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412EA4">
            <w:pPr>
              <w:pStyle w:val="Report"/>
            </w:pPr>
            <w:r>
              <w:t>Gloucester Shire Council</w:t>
            </w:r>
          </w:p>
          <w:p w:rsidR="000F359C" w:rsidRPr="000F359C" w:rsidRDefault="000F359C">
            <w:pPr>
              <w:pStyle w:val="Report"/>
              <w:rPr>
                <w:b w:val="0"/>
              </w:rPr>
            </w:pPr>
            <w:r w:rsidRPr="000F359C">
              <w:rPr>
                <w:b w:val="0"/>
              </w:rPr>
              <w:t>Date Submitted to IPART:</w:t>
            </w:r>
          </w:p>
          <w:p w:rsidR="00493377" w:rsidRPr="000F359C" w:rsidRDefault="000F359C">
            <w:pPr>
              <w:pStyle w:val="Report"/>
              <w:rPr>
                <w:b w:val="0"/>
              </w:rPr>
            </w:pPr>
            <w:r w:rsidRPr="000F359C">
              <w:rPr>
                <w:b w:val="0"/>
              </w:rPr>
              <w:t>Council Contact Person:</w:t>
            </w:r>
            <w:r w:rsidR="00412EA4">
              <w:rPr>
                <w:b w:val="0"/>
              </w:rPr>
              <w:t xml:space="preserve"> Mr Danny Green</w:t>
            </w:r>
          </w:p>
          <w:p w:rsidR="000F359C" w:rsidRPr="000F359C" w:rsidRDefault="000F359C" w:rsidP="000F359C">
            <w:pPr>
              <w:pStyle w:val="Report"/>
              <w:rPr>
                <w:b w:val="0"/>
              </w:rPr>
            </w:pPr>
            <w:r w:rsidRPr="000F359C">
              <w:rPr>
                <w:b w:val="0"/>
              </w:rPr>
              <w:t>Council Contact Phone:</w:t>
            </w:r>
            <w:r w:rsidR="00412EA4">
              <w:rPr>
                <w:b w:val="0"/>
              </w:rPr>
              <w:t xml:space="preserve"> (02) 6538 5250</w:t>
            </w:r>
          </w:p>
          <w:p w:rsidR="000F359C" w:rsidRPr="000F359C" w:rsidRDefault="000F359C" w:rsidP="000F359C">
            <w:pPr>
              <w:pStyle w:val="Report"/>
              <w:rPr>
                <w:b w:val="0"/>
              </w:rPr>
            </w:pPr>
            <w:r w:rsidRPr="000F359C">
              <w:rPr>
                <w:b w:val="0"/>
              </w:rPr>
              <w:t>Council Contact Email:</w:t>
            </w:r>
            <w:r w:rsidR="00412EA4">
              <w:rPr>
                <w:b w:val="0"/>
              </w:rPr>
              <w:t xml:space="preserve"> danny.green@gloucester.nsw.gov.au</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0F359C">
        <w:t>2014</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pPr>
        <w:pStyle w:val="BodytextIPART"/>
      </w:pPr>
      <w:r w:rsidRPr="000E20ED">
        <w:t xml:space="preserve">ISBN </w:t>
      </w:r>
      <w:r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Pr="000E20ED">
        <w:fldChar w:fldCharType="end"/>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Pr="000705E4" w:rsidRDefault="00862B00">
      <w:pPr>
        <w:pStyle w:val="BodytextIPART"/>
        <w:spacing w:before="80"/>
        <w:ind w:left="284"/>
        <w:rPr>
          <w:lang w:eastAsia="en-US"/>
        </w:rPr>
      </w:pPr>
      <w:r w:rsidRPr="000705E4">
        <w:rPr>
          <w:lang w:eastAsia="en-US"/>
        </w:rPr>
        <w:t>Ms Catherine Jones</w:t>
      </w:r>
    </w:p>
    <w:p w:rsidR="00493377" w:rsidRPr="000705E4" w:rsidRDefault="00493377">
      <w:pPr>
        <w:pStyle w:val="BodytextIPART"/>
      </w:pPr>
      <w:r w:rsidRPr="000705E4">
        <w:t>Inquiries regarding this document should be directed to a staff member:</w:t>
      </w:r>
    </w:p>
    <w:p w:rsidR="00493377" w:rsidRDefault="007B447B" w:rsidP="00BB3C37">
      <w:pPr>
        <w:pStyle w:val="BodytextIPART"/>
        <w:tabs>
          <w:tab w:val="left" w:pos="3119"/>
        </w:tabs>
        <w:spacing w:before="80"/>
        <w:ind w:left="284"/>
      </w:pPr>
      <w:r w:rsidRPr="000705E4">
        <w:t>Michael Seery</w:t>
      </w:r>
      <w:r w:rsidR="00493377" w:rsidRPr="000705E4">
        <w:tab/>
        <w:t>(02) 9290 </w:t>
      </w:r>
      <w:r w:rsidRPr="000705E4">
        <w:t>8421</w:t>
      </w:r>
    </w:p>
    <w:p w:rsidR="00944FF5" w:rsidRPr="006958FA" w:rsidRDefault="00944FF5" w:rsidP="00944FF5">
      <w:pPr>
        <w:pStyle w:val="BodytextIPART"/>
        <w:tabs>
          <w:tab w:val="left" w:pos="3119"/>
        </w:tabs>
        <w:spacing w:before="80"/>
        <w:ind w:left="284"/>
      </w:pPr>
      <w:r>
        <w:t>Tony Camenzuli</w:t>
      </w:r>
      <w:r>
        <w:tab/>
        <w:t>(02) 9113 7706</w:t>
      </w:r>
    </w:p>
    <w:p w:rsidR="00493377" w:rsidRPr="000705E4" w:rsidRDefault="00BB3C37" w:rsidP="00A916AA">
      <w:pPr>
        <w:pStyle w:val="BodytextIPART"/>
        <w:tabs>
          <w:tab w:val="left" w:pos="3119"/>
        </w:tabs>
        <w:spacing w:before="80"/>
        <w:ind w:left="284"/>
      </w:pPr>
      <w:r w:rsidRPr="000705E4">
        <w:t>Kumi Cuthbertson</w:t>
      </w:r>
      <w:r w:rsidRPr="000705E4">
        <w:tab/>
      </w:r>
      <w:r w:rsidRPr="000705E4">
        <w:tab/>
      </w:r>
      <w:r w:rsidR="00493377" w:rsidRPr="000705E4">
        <w:t>(02) 9290 </w:t>
      </w:r>
      <w:r w:rsidRPr="000705E4">
        <w:t>8479</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PO Box Q290, QVB Post Office</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1230</w:t>
      </w:r>
    </w:p>
    <w:p w:rsidR="00493377" w:rsidRPr="000705E4" w:rsidRDefault="00493377">
      <w:pPr>
        <w:pStyle w:val="BodytextIPART"/>
        <w:framePr w:hSpace="181" w:wrap="around" w:hAnchor="text" w:yAlign="bottom"/>
        <w:spacing w:before="0"/>
      </w:pPr>
      <w:r w:rsidRPr="000705E4">
        <w:t>Level 8, 1 Market Street,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E71F8D">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BF2935B" wp14:editId="440BCA5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6958FA"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6958FA">
        <w:rPr>
          <w:noProof/>
        </w:rPr>
        <w:t>1</w:t>
      </w:r>
      <w:r w:rsidR="006958FA">
        <w:rPr>
          <w:rFonts w:asciiTheme="minorHAnsi" w:eastAsiaTheme="minorEastAsia" w:hAnsiTheme="minorHAnsi" w:cstheme="minorBidi"/>
          <w:b w:val="0"/>
          <w:noProof/>
          <w:color w:val="auto"/>
          <w:sz w:val="22"/>
          <w:szCs w:val="22"/>
        </w:rPr>
        <w:tab/>
      </w:r>
      <w:r w:rsidR="006958FA">
        <w:rPr>
          <w:noProof/>
        </w:rPr>
        <w:t>Introduction</w:t>
      </w:r>
      <w:r w:rsidR="006958FA">
        <w:rPr>
          <w:noProof/>
        </w:rPr>
        <w:tab/>
      </w:r>
      <w:r w:rsidR="006958FA">
        <w:rPr>
          <w:noProof/>
        </w:rPr>
        <w:fldChar w:fldCharType="begin"/>
      </w:r>
      <w:r w:rsidR="006958FA">
        <w:rPr>
          <w:noProof/>
        </w:rPr>
        <w:instrText xml:space="preserve"> PAGEREF _Toc401138359 \h </w:instrText>
      </w:r>
      <w:r w:rsidR="006958FA">
        <w:rPr>
          <w:noProof/>
        </w:rPr>
      </w:r>
      <w:r w:rsidR="006958FA">
        <w:rPr>
          <w:noProof/>
        </w:rPr>
        <w:fldChar w:fldCharType="separate"/>
      </w:r>
      <w:r w:rsidR="00DF3253">
        <w:rPr>
          <w:noProof/>
        </w:rPr>
        <w:t>1</w:t>
      </w:r>
      <w:r w:rsidR="006958FA">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_Toc401138360 \h </w:instrText>
      </w:r>
      <w:r>
        <w:rPr>
          <w:noProof/>
        </w:rPr>
      </w:r>
      <w:r>
        <w:rPr>
          <w:noProof/>
        </w:rPr>
        <w:fldChar w:fldCharType="separate"/>
      </w:r>
      <w:r w:rsidR="00DF3253">
        <w:rPr>
          <w:noProof/>
        </w:rPr>
        <w:t>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Pr>
          <w:noProof/>
        </w:rPr>
        <w:fldChar w:fldCharType="begin"/>
      </w:r>
      <w:r>
        <w:rPr>
          <w:noProof/>
        </w:rPr>
        <w:instrText xml:space="preserve"> PAGEREF _Toc401138361 \h </w:instrText>
      </w:r>
      <w:r>
        <w:rPr>
          <w:noProof/>
        </w:rPr>
      </w:r>
      <w:r>
        <w:rPr>
          <w:noProof/>
        </w:rPr>
        <w:fldChar w:fldCharType="separate"/>
      </w:r>
      <w:r w:rsidR="00DF3253">
        <w:rPr>
          <w:noProof/>
        </w:rPr>
        <w:t>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_Toc401138362 \h </w:instrText>
      </w:r>
      <w:r>
        <w:rPr>
          <w:noProof/>
        </w:rPr>
      </w:r>
      <w:r>
        <w:rPr>
          <w:noProof/>
        </w:rPr>
        <w:fldChar w:fldCharType="separate"/>
      </w:r>
      <w:r w:rsidR="00DF3253">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_Toc401138363 \h </w:instrText>
      </w:r>
      <w:r>
        <w:rPr>
          <w:noProof/>
        </w:rPr>
      </w:r>
      <w:r>
        <w:rPr>
          <w:noProof/>
        </w:rPr>
        <w:fldChar w:fldCharType="separate"/>
      </w:r>
      <w:r w:rsidR="00DF3253">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_Toc401138364 \h </w:instrText>
      </w:r>
      <w:r>
        <w:rPr>
          <w:noProof/>
        </w:rPr>
      </w:r>
      <w:r>
        <w:rPr>
          <w:noProof/>
        </w:rPr>
        <w:fldChar w:fldCharType="separate"/>
      </w:r>
      <w:r w:rsidR="00DF3253">
        <w:rPr>
          <w:noProof/>
        </w:rPr>
        <w:t>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_Toc401138365 \h </w:instrText>
      </w:r>
      <w:r>
        <w:rPr>
          <w:noProof/>
        </w:rPr>
      </w:r>
      <w:r>
        <w:rPr>
          <w:noProof/>
        </w:rPr>
        <w:fldChar w:fldCharType="separate"/>
      </w:r>
      <w:r w:rsidR="00DF3253">
        <w:rPr>
          <w:noProof/>
        </w:rPr>
        <w:t>9</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_Toc401138366 \h </w:instrText>
      </w:r>
      <w:r>
        <w:rPr>
          <w:noProof/>
        </w:rPr>
      </w:r>
      <w:r>
        <w:rPr>
          <w:noProof/>
        </w:rPr>
        <w:fldChar w:fldCharType="separate"/>
      </w:r>
      <w:r w:rsidR="00DF3253">
        <w:rPr>
          <w:noProof/>
        </w:rPr>
        <w:t>10</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_Toc401138367 \h </w:instrText>
      </w:r>
      <w:r>
        <w:rPr>
          <w:noProof/>
        </w:rPr>
      </w:r>
      <w:r>
        <w:rPr>
          <w:noProof/>
        </w:rPr>
        <w:fldChar w:fldCharType="separate"/>
      </w:r>
      <w:r w:rsidR="00DF3253">
        <w:rPr>
          <w:noProof/>
        </w:rPr>
        <w:t>15</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_Toc401138368 \h </w:instrText>
      </w:r>
      <w:r>
        <w:rPr>
          <w:noProof/>
        </w:rPr>
      </w:r>
      <w:r>
        <w:rPr>
          <w:noProof/>
        </w:rPr>
        <w:fldChar w:fldCharType="separate"/>
      </w:r>
      <w:r w:rsidR="00DF3253">
        <w:rPr>
          <w:noProof/>
        </w:rPr>
        <w:t>17</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_Toc401138369 \h </w:instrText>
      </w:r>
      <w:r>
        <w:rPr>
          <w:noProof/>
        </w:rPr>
      </w:r>
      <w:r>
        <w:rPr>
          <w:noProof/>
        </w:rPr>
        <w:fldChar w:fldCharType="separate"/>
      </w:r>
      <w:r w:rsidR="00DF3253">
        <w:rPr>
          <w:noProof/>
        </w:rPr>
        <w:t>20</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_Toc401138370 \h </w:instrText>
      </w:r>
      <w:r>
        <w:rPr>
          <w:noProof/>
        </w:rPr>
      </w:r>
      <w:r>
        <w:rPr>
          <w:noProof/>
        </w:rPr>
        <w:fldChar w:fldCharType="separate"/>
      </w:r>
      <w:r w:rsidR="00DF3253">
        <w:rPr>
          <w:noProof/>
        </w:rPr>
        <w:t>26</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_Toc401138371 \h </w:instrText>
      </w:r>
      <w:r>
        <w:rPr>
          <w:noProof/>
        </w:rPr>
      </w:r>
      <w:r>
        <w:rPr>
          <w:noProof/>
        </w:rPr>
        <w:fldChar w:fldCharType="separate"/>
      </w:r>
      <w:r w:rsidR="00DF3253">
        <w:rPr>
          <w:noProof/>
        </w:rPr>
        <w:t>26</w:t>
      </w:r>
      <w:r>
        <w:rPr>
          <w:noProof/>
        </w:rPr>
        <w:fldChar w:fldCharType="end"/>
      </w:r>
    </w:p>
    <w:p w:rsidR="006958FA" w:rsidRDefault="006958FA">
      <w:pPr>
        <w:pStyle w:val="TOC2"/>
        <w:rPr>
          <w:rFonts w:asciiTheme="minorHAnsi" w:eastAsiaTheme="minorEastAsia" w:hAnsiTheme="minorHAnsi" w:cstheme="minorBidi"/>
          <w:noProof/>
          <w:sz w:val="22"/>
          <w:szCs w:val="22"/>
        </w:rPr>
      </w:pPr>
      <w:r w:rsidRPr="00772BC4">
        <w:rPr>
          <w:bCs/>
          <w:noProof/>
        </w:rPr>
        <w:t>4.1</w:t>
      </w:r>
      <w:r>
        <w:rPr>
          <w:rFonts w:asciiTheme="minorHAnsi" w:eastAsiaTheme="minorEastAsia" w:hAnsiTheme="minorHAnsi" w:cstheme="minorBidi"/>
          <w:noProof/>
          <w:sz w:val="22"/>
          <w:szCs w:val="22"/>
        </w:rPr>
        <w:tab/>
      </w:r>
      <w:r w:rsidRPr="00772BC4">
        <w:rPr>
          <w:bCs/>
          <w:noProof/>
        </w:rPr>
        <w:t>The consultation strategy</w:t>
      </w:r>
      <w:r>
        <w:rPr>
          <w:noProof/>
        </w:rPr>
        <w:tab/>
      </w:r>
      <w:r>
        <w:rPr>
          <w:noProof/>
        </w:rPr>
        <w:fldChar w:fldCharType="begin"/>
      </w:r>
      <w:r>
        <w:rPr>
          <w:noProof/>
        </w:rPr>
        <w:instrText xml:space="preserve"> PAGEREF _Toc401138372 \h </w:instrText>
      </w:r>
      <w:r>
        <w:rPr>
          <w:noProof/>
        </w:rPr>
      </w:r>
      <w:r>
        <w:rPr>
          <w:noProof/>
        </w:rPr>
        <w:fldChar w:fldCharType="separate"/>
      </w:r>
      <w:r w:rsidR="00DF3253">
        <w:rPr>
          <w:noProof/>
        </w:rPr>
        <w:t>28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_Toc401138373 \h </w:instrText>
      </w:r>
      <w:r>
        <w:rPr>
          <w:noProof/>
        </w:rPr>
      </w:r>
      <w:r>
        <w:rPr>
          <w:noProof/>
        </w:rPr>
        <w:fldChar w:fldCharType="separate"/>
      </w:r>
      <w:r w:rsidR="00DF3253">
        <w:rPr>
          <w:noProof/>
        </w:rPr>
        <w:t>31</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_Toc401138374 \h </w:instrText>
      </w:r>
      <w:r>
        <w:rPr>
          <w:noProof/>
        </w:rPr>
      </w:r>
      <w:r>
        <w:rPr>
          <w:noProof/>
        </w:rPr>
        <w:fldChar w:fldCharType="separate"/>
      </w:r>
      <w:r w:rsidR="00DF3253">
        <w:rPr>
          <w:noProof/>
        </w:rPr>
        <w:t>31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_Toc401138375 \h </w:instrText>
      </w:r>
      <w:r>
        <w:rPr>
          <w:noProof/>
        </w:rPr>
      </w:r>
      <w:r>
        <w:rPr>
          <w:noProof/>
        </w:rPr>
        <w:fldChar w:fldCharType="separate"/>
      </w:r>
      <w:r w:rsidR="00DF3253">
        <w:rPr>
          <w:noProof/>
        </w:rPr>
        <w:t>38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_Toc401138376 \h </w:instrText>
      </w:r>
      <w:r>
        <w:rPr>
          <w:noProof/>
        </w:rPr>
      </w:r>
      <w:r>
        <w:rPr>
          <w:noProof/>
        </w:rPr>
        <w:fldChar w:fldCharType="separate"/>
      </w:r>
      <w:r w:rsidR="00DF3253">
        <w:rPr>
          <w:noProof/>
        </w:rPr>
        <w:t>2</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_Toc401138377 \h </w:instrText>
      </w:r>
      <w:r>
        <w:rPr>
          <w:noProof/>
        </w:rPr>
      </w:r>
      <w:r>
        <w:rPr>
          <w:noProof/>
        </w:rPr>
        <w:fldChar w:fldCharType="separate"/>
      </w:r>
      <w:r w:rsidR="00DF3253">
        <w:rPr>
          <w:noProof/>
        </w:rPr>
        <w:t>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_Toc401138378 \h </w:instrText>
      </w:r>
      <w:r>
        <w:rPr>
          <w:noProof/>
        </w:rPr>
      </w:r>
      <w:r>
        <w:rPr>
          <w:noProof/>
        </w:rPr>
        <w:fldChar w:fldCharType="separate"/>
      </w:r>
      <w:r w:rsidR="00DF3253">
        <w:rPr>
          <w:noProof/>
        </w:rPr>
        <w:t>3</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_Toc401138379 \h </w:instrText>
      </w:r>
      <w:r>
        <w:rPr>
          <w:noProof/>
        </w:rPr>
      </w:r>
      <w:r>
        <w:rPr>
          <w:noProof/>
        </w:rPr>
        <w:fldChar w:fldCharType="separate"/>
      </w:r>
      <w:r w:rsidR="00DF3253">
        <w:rPr>
          <w:noProof/>
        </w:rPr>
        <w:t>8</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_Toc401138380 \h </w:instrText>
      </w:r>
      <w:r>
        <w:rPr>
          <w:noProof/>
        </w:rPr>
      </w:r>
      <w:r>
        <w:rPr>
          <w:noProof/>
        </w:rPr>
        <w:fldChar w:fldCharType="separate"/>
      </w:r>
      <w:r w:rsidR="00DF3253">
        <w:rPr>
          <w:noProof/>
        </w:rPr>
        <w:t>13</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_Toc401138381 \h </w:instrText>
      </w:r>
      <w:r>
        <w:rPr>
          <w:noProof/>
        </w:rPr>
      </w:r>
      <w:r>
        <w:rPr>
          <w:noProof/>
        </w:rPr>
        <w:fldChar w:fldCharType="separate"/>
      </w:r>
      <w:r w:rsidR="00DF3253">
        <w:rPr>
          <w:noProof/>
        </w:rPr>
        <w:t>15</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01138359"/>
      <w:r>
        <w:lastRenderedPageBreak/>
        <w:t>Introduction</w:t>
      </w:r>
      <w:bookmarkEnd w:id="0"/>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s508(2)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1" w:name="_Toc401138360"/>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for </w:t>
      </w:r>
      <w:r w:rsidR="001F1E22">
        <w:t xml:space="preserve"> a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lastRenderedPageBreak/>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BE4076" w:rsidRDefault="00D60EA5" w:rsidP="00D60EA5">
      <w:pPr>
        <w:pStyle w:val="ListBullet"/>
        <w:keepNext/>
      </w:pPr>
      <w:r w:rsidRPr="00BE4076">
        <w:t>Section 7 – Assessment criterion 5</w:t>
      </w:r>
    </w:p>
    <w:p w:rsidR="00D60EA5" w:rsidRPr="00BE4076" w:rsidRDefault="00547A5C" w:rsidP="00D60EA5">
      <w:pPr>
        <w:pStyle w:val="ListBullet"/>
        <w:keepNext/>
      </w:pPr>
      <w:r w:rsidRPr="00BE4076">
        <w:t>Section 8 –</w:t>
      </w:r>
      <w:r w:rsidR="00266497">
        <w:t xml:space="preserve"> </w:t>
      </w:r>
      <w:r w:rsidR="00446CA1" w:rsidRPr="00BE4076">
        <w:t>List of attachments</w:t>
      </w:r>
    </w:p>
    <w:p w:rsidR="00446CA1" w:rsidRPr="00BE4076" w:rsidRDefault="00D60EA5" w:rsidP="00446CA1">
      <w:pPr>
        <w:pStyle w:val="ListBullet"/>
        <w:keepNext/>
      </w:pPr>
      <w:r w:rsidRPr="00BE4076">
        <w:t xml:space="preserve">Section </w:t>
      </w:r>
      <w:r w:rsidR="00266497">
        <w:t>9</w:t>
      </w:r>
      <w:r w:rsidRPr="00BE4076">
        <w:t xml:space="preserve"> –</w:t>
      </w:r>
      <w:r w:rsidR="00446CA1" w:rsidRPr="00BE4076">
        <w:t xml:space="preserve"> Certification.</w:t>
      </w:r>
    </w:p>
    <w:p w:rsidR="00D60EA5" w:rsidRPr="000705E4" w:rsidRDefault="004739D9" w:rsidP="00D60EA5">
      <w:pPr>
        <w:pStyle w:val="Heading2"/>
      </w:pPr>
      <w:bookmarkStart w:id="2" w:name="_Toc366160403"/>
      <w:bookmarkStart w:id="3" w:name="_Toc401138361"/>
      <w:r w:rsidRPr="000705E4">
        <w:t xml:space="preserve">Using the </w:t>
      </w:r>
      <w:r w:rsidR="00B86F58" w:rsidRPr="000705E4">
        <w:t xml:space="preserve">Council </w:t>
      </w:r>
      <w:r w:rsidRPr="000705E4">
        <w:t>Portal to s</w:t>
      </w:r>
      <w:r w:rsidR="00D60EA5" w:rsidRPr="000705E4">
        <w:t>ubmit the application</w:t>
      </w:r>
      <w:bookmarkEnd w:id="2"/>
      <w:bookmarkEnd w:id="3"/>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1" w:history="1">
        <w:r w:rsidR="002245AF" w:rsidRPr="00627A43">
          <w:rPr>
            <w:rStyle w:val="Hyperlink"/>
          </w:rPr>
          <w:t>himali_ranasinghe@ipart.nsw.gov.au</w:t>
        </w:r>
      </w:hyperlink>
    </w:p>
    <w:p w:rsidR="00D60EA5" w:rsidRPr="00ED00D1" w:rsidRDefault="00D60EA5" w:rsidP="00D60EA5">
      <w:pPr>
        <w:pStyle w:val="BodyText"/>
        <w:spacing w:before="200"/>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60EA5">
      <w:pPr>
        <w:pStyle w:val="BodyText"/>
        <w:spacing w:before="200"/>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60EA5">
      <w:pPr>
        <w:pStyle w:val="BodyText"/>
        <w:spacing w:before="200"/>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6950D4">
      <w:pPr>
        <w:pStyle w:val="BodyText"/>
        <w:ind w:left="720"/>
        <w:jc w:val="left"/>
      </w:pPr>
      <w:r w:rsidRPr="00282BE9">
        <w:t xml:space="preserve">Local Government </w:t>
      </w:r>
      <w:r>
        <w:t>T</w:t>
      </w:r>
      <w:r w:rsidRPr="00282BE9">
        <w:t>eam</w:t>
      </w:r>
      <w:r>
        <w:br/>
      </w:r>
      <w:r w:rsidRPr="00282BE9">
        <w:t>Independent Pricing and Regulatory Tribunal</w:t>
      </w:r>
      <w:r w:rsidR="006950D4">
        <w:br/>
        <w:t xml:space="preserve">PO Box K35, </w:t>
      </w:r>
      <w:r w:rsidR="00092865">
        <w:br/>
      </w:r>
      <w:r w:rsidR="006950D4">
        <w:t>Haymarket Post Shop</w:t>
      </w:r>
      <w:r w:rsidR="00127883">
        <w:t xml:space="preserve"> </w:t>
      </w:r>
      <w:r w:rsidR="00092865">
        <w:t>NSW</w:t>
      </w:r>
      <w:r w:rsidR="00127883">
        <w:t xml:space="preserve"> </w:t>
      </w:r>
      <w:r w:rsidR="004C409E">
        <w:t>1230</w:t>
      </w:r>
    </w:p>
    <w:p w:rsidR="00D60EA5" w:rsidRDefault="00094297" w:rsidP="0060289A">
      <w:pPr>
        <w:pStyle w:val="BodyText"/>
        <w:ind w:left="720"/>
        <w:jc w:val="left"/>
      </w:pPr>
      <w:r w:rsidRPr="00C108DF">
        <w:t>2-24 Rawson Place</w:t>
      </w:r>
      <w:r w:rsidR="00043964" w:rsidRPr="00C108DF">
        <w:t xml:space="preserve">, Sydney </w:t>
      </w:r>
      <w:r w:rsidR="00282166">
        <w:t xml:space="preserve">NSW </w:t>
      </w:r>
      <w:r w:rsidR="006607B9" w:rsidRPr="00C108DF">
        <w:t>2000</w:t>
      </w:r>
      <w:r w:rsidR="00961EA3">
        <w:t xml:space="preserve"> </w:t>
      </w:r>
      <w:r w:rsidRPr="00C108DF">
        <w:t xml:space="preserve"> </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550CB7">
      <w:pPr>
        <w:pStyle w:val="BodyText"/>
        <w:spacing w:before="200"/>
        <w:ind w:left="-567"/>
      </w:pPr>
      <w:r w:rsidRPr="000705E4">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p>
    <w:p w:rsidR="0060289A" w:rsidRDefault="00D60EA5" w:rsidP="00550CB7">
      <w:pPr>
        <w:pStyle w:val="BodyText"/>
        <w:spacing w:before="200"/>
        <w:ind w:left="-567"/>
      </w:pPr>
      <w:r w:rsidRPr="000705E4">
        <w:lastRenderedPageBreak/>
        <w:t>Councils should also post their application on their own website for the community</w:t>
      </w:r>
      <w:r w:rsidRPr="009307D3">
        <w:t xml:space="preserve"> to </w:t>
      </w:r>
      <w:r w:rsidR="00C108DF">
        <w:t>access</w:t>
      </w:r>
      <w:r w:rsidRPr="009307D3">
        <w:t>.</w:t>
      </w:r>
    </w:p>
    <w:p w:rsidR="000F359C" w:rsidRDefault="007C0BD4" w:rsidP="00550CB7">
      <w:pPr>
        <w:pStyle w:val="Heading1"/>
        <w:tabs>
          <w:tab w:val="clear" w:pos="709"/>
          <w:tab w:val="num" w:pos="-567"/>
        </w:tabs>
        <w:ind w:left="-567" w:firstLine="0"/>
      </w:pPr>
      <w:bookmarkStart w:id="4" w:name="_Toc401138362"/>
      <w:r>
        <w:t>P</w:t>
      </w:r>
      <w:r w:rsidR="0020452B">
        <w:t>reliminaries</w:t>
      </w:r>
      <w:bookmarkEnd w:id="4"/>
    </w:p>
    <w:p w:rsidR="0020452B" w:rsidRPr="0020452B" w:rsidRDefault="0020452B" w:rsidP="00550CB7">
      <w:pPr>
        <w:pStyle w:val="Heading2"/>
        <w:tabs>
          <w:tab w:val="clear" w:pos="709"/>
          <w:tab w:val="num" w:pos="-567"/>
        </w:tabs>
        <w:ind w:left="-567" w:firstLine="0"/>
      </w:pPr>
      <w:bookmarkStart w:id="5" w:name="_Toc401138363"/>
      <w:r>
        <w:t>Focus on Integrated Planning and Reporting</w:t>
      </w:r>
      <w:bookmarkEnd w:id="5"/>
    </w:p>
    <w:p w:rsidR="00452CBD" w:rsidRPr="00C646F9" w:rsidRDefault="00F57C50" w:rsidP="00550CB7">
      <w:pPr>
        <w:pStyle w:val="BodyText"/>
        <w:tabs>
          <w:tab w:val="num" w:pos="-567"/>
        </w:tabs>
        <w:ind w:left="-567"/>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Fund’s  rates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550CB7">
      <w:pPr>
        <w:pStyle w:val="BodyText"/>
        <w:pBdr>
          <w:bottom w:val="single" w:sz="12" w:space="1" w:color="auto"/>
        </w:pBdr>
        <w:tabs>
          <w:tab w:val="num" w:pos="-567"/>
        </w:tabs>
        <w:ind w:left="-567"/>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311344" w:rsidRDefault="00311344" w:rsidP="00550CB7">
      <w:pPr>
        <w:pStyle w:val="BodyText"/>
        <w:pBdr>
          <w:bottom w:val="single" w:sz="12" w:space="1" w:color="auto"/>
        </w:pBdr>
        <w:tabs>
          <w:tab w:val="num" w:pos="-567"/>
        </w:tabs>
        <w:ind w:left="-567"/>
      </w:pPr>
    </w:p>
    <w:p w:rsidR="00311344" w:rsidRDefault="00311344" w:rsidP="00311344">
      <w:pPr>
        <w:pStyle w:val="BodyText"/>
        <w:spacing w:before="0"/>
        <w:ind w:right="-709" w:hanging="567"/>
        <w:rPr>
          <w:rFonts w:asciiTheme="minorHAnsi" w:hAnsiTheme="minorHAnsi"/>
        </w:rPr>
      </w:pPr>
    </w:p>
    <w:p w:rsidR="00311344" w:rsidRDefault="0019137C" w:rsidP="00271982">
      <w:pPr>
        <w:pStyle w:val="BodyText"/>
        <w:spacing w:before="0"/>
        <w:ind w:right="-709" w:hanging="567"/>
        <w:jc w:val="left"/>
        <w:rPr>
          <w:rFonts w:asciiTheme="minorHAnsi" w:hAnsiTheme="minorHAnsi"/>
        </w:rPr>
      </w:pPr>
      <w:r w:rsidRPr="00845A23">
        <w:rPr>
          <w:rFonts w:asciiTheme="minorHAnsi" w:hAnsiTheme="minorHAnsi"/>
        </w:rPr>
        <w:t xml:space="preserve">Gloucester Shire Council and its community </w:t>
      </w:r>
      <w:r w:rsidR="009C5515" w:rsidRPr="00845A23">
        <w:rPr>
          <w:rFonts w:asciiTheme="minorHAnsi" w:hAnsiTheme="minorHAnsi"/>
        </w:rPr>
        <w:t>have</w:t>
      </w:r>
      <w:r w:rsidRPr="00845A23">
        <w:rPr>
          <w:rFonts w:asciiTheme="minorHAnsi" w:hAnsiTheme="minorHAnsi"/>
        </w:rPr>
        <w:t xml:space="preserve"> embraced the transparency and strategic planning </w:t>
      </w:r>
      <w:r w:rsidR="00311344">
        <w:rPr>
          <w:rFonts w:asciiTheme="minorHAnsi" w:hAnsiTheme="minorHAnsi"/>
        </w:rPr>
        <w:t xml:space="preserve">brought </w:t>
      </w:r>
    </w:p>
    <w:p w:rsidR="0019137C" w:rsidRPr="00845A23" w:rsidRDefault="00311344" w:rsidP="00271982">
      <w:pPr>
        <w:pStyle w:val="BodyText"/>
        <w:spacing w:before="0"/>
        <w:ind w:right="-709" w:hanging="567"/>
        <w:jc w:val="left"/>
        <w:rPr>
          <w:rFonts w:asciiTheme="minorHAnsi" w:hAnsiTheme="minorHAnsi"/>
        </w:rPr>
      </w:pPr>
      <w:proofErr w:type="gramStart"/>
      <w:r>
        <w:rPr>
          <w:rFonts w:asciiTheme="minorHAnsi" w:hAnsiTheme="minorHAnsi"/>
        </w:rPr>
        <w:t>by</w:t>
      </w:r>
      <w:proofErr w:type="gramEnd"/>
      <w:r>
        <w:rPr>
          <w:rFonts w:asciiTheme="minorHAnsi" w:hAnsiTheme="minorHAnsi"/>
        </w:rPr>
        <w:t xml:space="preserve"> </w:t>
      </w:r>
      <w:r w:rsidR="00A1149B">
        <w:rPr>
          <w:rFonts w:asciiTheme="minorHAnsi" w:hAnsiTheme="minorHAnsi"/>
        </w:rPr>
        <w:t xml:space="preserve">the </w:t>
      </w:r>
      <w:r>
        <w:rPr>
          <w:rFonts w:asciiTheme="minorHAnsi" w:hAnsiTheme="minorHAnsi"/>
        </w:rPr>
        <w:t xml:space="preserve">IP&amp;R </w:t>
      </w:r>
      <w:r w:rsidR="00A1149B">
        <w:rPr>
          <w:rFonts w:asciiTheme="minorHAnsi" w:hAnsiTheme="minorHAnsi"/>
        </w:rPr>
        <w:t>framework</w:t>
      </w:r>
      <w:r>
        <w:rPr>
          <w:rFonts w:asciiTheme="minorHAnsi" w:hAnsiTheme="minorHAnsi"/>
        </w:rPr>
        <w:t xml:space="preserve"> and the</w:t>
      </w:r>
      <w:r w:rsidR="00A1149B">
        <w:rPr>
          <w:rFonts w:asciiTheme="minorHAnsi" w:hAnsiTheme="minorHAnsi"/>
        </w:rPr>
        <w:t xml:space="preserve"> planning</w:t>
      </w:r>
      <w:r w:rsidR="0019137C" w:rsidRPr="00845A23">
        <w:rPr>
          <w:rFonts w:asciiTheme="minorHAnsi" w:hAnsiTheme="minorHAnsi"/>
        </w:rPr>
        <w:t xml:space="preserve"> and reporting suite of documents.</w:t>
      </w:r>
    </w:p>
    <w:p w:rsidR="0019137C" w:rsidRPr="00845A23" w:rsidRDefault="0019137C" w:rsidP="00271982">
      <w:pPr>
        <w:pStyle w:val="BodyText"/>
        <w:ind w:left="-567"/>
        <w:jc w:val="left"/>
        <w:rPr>
          <w:rFonts w:asciiTheme="minorHAnsi" w:hAnsiTheme="minorHAnsi" w:cs="Century Gothic"/>
        </w:rPr>
      </w:pPr>
      <w:r w:rsidRPr="00845A23">
        <w:rPr>
          <w:rFonts w:asciiTheme="minorHAnsi" w:hAnsiTheme="minorHAnsi"/>
        </w:rPr>
        <w:t>The original Community Strategic Plan was formally adopted by Council on 27 June 2012 after many months</w:t>
      </w:r>
      <w:r w:rsidR="00AB58DB" w:rsidRPr="00845A23">
        <w:rPr>
          <w:rFonts w:asciiTheme="minorHAnsi" w:hAnsiTheme="minorHAnsi"/>
        </w:rPr>
        <w:t xml:space="preserve"> of consultation. The community, through the CSP process</w:t>
      </w:r>
      <w:r w:rsidR="0064711B" w:rsidRPr="00845A23">
        <w:rPr>
          <w:rFonts w:asciiTheme="minorHAnsi" w:hAnsiTheme="minorHAnsi"/>
        </w:rPr>
        <w:t>,</w:t>
      </w:r>
      <w:r w:rsidRPr="00845A23">
        <w:rPr>
          <w:rFonts w:asciiTheme="minorHAnsi" w:hAnsiTheme="minorHAnsi" w:cs="Century Gothic"/>
        </w:rPr>
        <w:t xml:space="preserve"> identified five key messages that formed the foundation of our Plan.</w:t>
      </w:r>
    </w:p>
    <w:p w:rsidR="0019137C" w:rsidRPr="00845A23" w:rsidRDefault="0019137C" w:rsidP="0060639F">
      <w:pPr>
        <w:pStyle w:val="BodyText"/>
        <w:numPr>
          <w:ilvl w:val="0"/>
          <w:numId w:val="57"/>
        </w:numPr>
        <w:jc w:val="left"/>
        <w:rPr>
          <w:rFonts w:asciiTheme="minorHAnsi" w:hAnsiTheme="minorHAnsi" w:cs="Century Gothic"/>
        </w:rPr>
      </w:pPr>
      <w:r w:rsidRPr="00845A23">
        <w:rPr>
          <w:rFonts w:asciiTheme="minorHAnsi" w:hAnsiTheme="minorHAnsi" w:cs="Century Gothic"/>
        </w:rPr>
        <w:t>Community members are concerned about the state of our shire’s roads and bridges and want to see core infrastructure maintained.</w:t>
      </w:r>
    </w:p>
    <w:p w:rsidR="0019137C" w:rsidRPr="00845A23" w:rsidRDefault="0019137C" w:rsidP="0060639F">
      <w:pPr>
        <w:pStyle w:val="BodyText"/>
        <w:numPr>
          <w:ilvl w:val="0"/>
          <w:numId w:val="57"/>
        </w:numPr>
        <w:jc w:val="left"/>
        <w:rPr>
          <w:rFonts w:asciiTheme="minorHAnsi" w:hAnsiTheme="minorHAnsi" w:cs="Century Gothic"/>
        </w:rPr>
      </w:pPr>
      <w:r w:rsidRPr="00845A23">
        <w:rPr>
          <w:rFonts w:asciiTheme="minorHAnsi" w:hAnsiTheme="minorHAnsi" w:cs="Century Gothic"/>
        </w:rPr>
        <w:t>Our people care about Gloucester’s unique environment and want to ensure that it is nurtured and protected.</w:t>
      </w:r>
    </w:p>
    <w:p w:rsidR="0019137C" w:rsidRPr="00845A23" w:rsidRDefault="0019137C" w:rsidP="0060639F">
      <w:pPr>
        <w:pStyle w:val="BodyText"/>
        <w:numPr>
          <w:ilvl w:val="0"/>
          <w:numId w:val="57"/>
        </w:numPr>
        <w:jc w:val="left"/>
        <w:rPr>
          <w:rFonts w:asciiTheme="minorHAnsi" w:hAnsiTheme="minorHAnsi"/>
        </w:rPr>
      </w:pPr>
      <w:r w:rsidRPr="00845A23">
        <w:rPr>
          <w:rFonts w:asciiTheme="minorHAnsi" w:hAnsiTheme="minorHAnsi"/>
        </w:rPr>
        <w:t>A broad-based economy and opportunities for employment are fundamental to our region’s future</w:t>
      </w:r>
    </w:p>
    <w:p w:rsidR="0019137C" w:rsidRPr="00845A23" w:rsidRDefault="0019137C" w:rsidP="0060639F">
      <w:pPr>
        <w:pStyle w:val="BodyText"/>
        <w:numPr>
          <w:ilvl w:val="0"/>
          <w:numId w:val="57"/>
        </w:numPr>
        <w:jc w:val="left"/>
        <w:rPr>
          <w:rFonts w:asciiTheme="minorHAnsi" w:hAnsiTheme="minorHAnsi"/>
        </w:rPr>
      </w:pPr>
      <w:r w:rsidRPr="00845A23">
        <w:rPr>
          <w:rFonts w:asciiTheme="minorHAnsi" w:hAnsiTheme="minorHAnsi"/>
        </w:rPr>
        <w:t>We want to continue to build a vibrant, connected and caring community</w:t>
      </w:r>
    </w:p>
    <w:p w:rsidR="0019137C" w:rsidRPr="00845A23" w:rsidRDefault="0019137C" w:rsidP="0060639F">
      <w:pPr>
        <w:pStyle w:val="BodyText"/>
        <w:numPr>
          <w:ilvl w:val="0"/>
          <w:numId w:val="57"/>
        </w:numPr>
        <w:jc w:val="left"/>
        <w:rPr>
          <w:rFonts w:asciiTheme="minorHAnsi" w:hAnsiTheme="minorHAnsi"/>
        </w:rPr>
      </w:pPr>
      <w:r w:rsidRPr="00845A23">
        <w:rPr>
          <w:rFonts w:asciiTheme="minorHAnsi" w:hAnsiTheme="minorHAnsi"/>
        </w:rPr>
        <w:t>Our community values responsible leadership and wants to be involved in making decisions that will affect Gloucester’s future.</w:t>
      </w:r>
    </w:p>
    <w:p w:rsidR="005A76D2" w:rsidRPr="00845A23" w:rsidRDefault="006D3EFD" w:rsidP="00271982">
      <w:pPr>
        <w:pStyle w:val="BodyText"/>
        <w:ind w:left="-567"/>
        <w:jc w:val="left"/>
        <w:rPr>
          <w:rFonts w:asciiTheme="minorHAnsi" w:hAnsiTheme="minorHAnsi"/>
        </w:rPr>
      </w:pPr>
      <w:r w:rsidRPr="00845A23">
        <w:rPr>
          <w:rFonts w:asciiTheme="minorHAnsi" w:hAnsiTheme="minorHAnsi"/>
        </w:rPr>
        <w:t xml:space="preserve">The supporting IP&amp;R framework documents </w:t>
      </w:r>
      <w:r w:rsidR="0064711B" w:rsidRPr="00845A23">
        <w:rPr>
          <w:rFonts w:asciiTheme="minorHAnsi" w:hAnsiTheme="minorHAnsi"/>
        </w:rPr>
        <w:t xml:space="preserve">were adopted </w:t>
      </w:r>
      <w:r w:rsidR="005A76D2" w:rsidRPr="00845A23">
        <w:rPr>
          <w:rFonts w:asciiTheme="minorHAnsi" w:hAnsiTheme="minorHAnsi"/>
        </w:rPr>
        <w:t xml:space="preserve">at this time </w:t>
      </w:r>
      <w:proofErr w:type="spellStart"/>
      <w:r w:rsidR="0064711B" w:rsidRPr="00845A23">
        <w:rPr>
          <w:rFonts w:asciiTheme="minorHAnsi" w:hAnsiTheme="minorHAnsi"/>
        </w:rPr>
        <w:t>also</w:t>
      </w:r>
      <w:r w:rsidR="005A76D2" w:rsidRPr="00845A23">
        <w:rPr>
          <w:rFonts w:asciiTheme="minorHAnsi" w:hAnsiTheme="minorHAnsi"/>
        </w:rPr>
        <w:t>.These</w:t>
      </w:r>
      <w:proofErr w:type="spellEnd"/>
      <w:r w:rsidR="005A76D2" w:rsidRPr="00845A23">
        <w:rPr>
          <w:rFonts w:asciiTheme="minorHAnsi" w:hAnsiTheme="minorHAnsi"/>
        </w:rPr>
        <w:t xml:space="preserve"> plans and documents were placed on public exhibition as appropriate as were the usual reports against performance and any amendments. Council </w:t>
      </w:r>
      <w:r w:rsidR="006D365F">
        <w:rPr>
          <w:rFonts w:asciiTheme="minorHAnsi" w:hAnsiTheme="minorHAnsi"/>
        </w:rPr>
        <w:t>introduced</w:t>
      </w:r>
      <w:r w:rsidR="005A76D2" w:rsidRPr="00845A23">
        <w:rPr>
          <w:rFonts w:asciiTheme="minorHAnsi" w:hAnsiTheme="minorHAnsi"/>
        </w:rPr>
        <w:t xml:space="preserve"> a committee structure </w:t>
      </w:r>
      <w:r w:rsidR="00550CB7" w:rsidRPr="00845A23">
        <w:rPr>
          <w:rFonts w:asciiTheme="minorHAnsi" w:hAnsiTheme="minorHAnsi"/>
        </w:rPr>
        <w:t xml:space="preserve">aligned to </w:t>
      </w:r>
      <w:r w:rsidR="005A76D2" w:rsidRPr="00845A23">
        <w:rPr>
          <w:rFonts w:asciiTheme="minorHAnsi" w:hAnsiTheme="minorHAnsi"/>
        </w:rPr>
        <w:t xml:space="preserve">each of </w:t>
      </w:r>
      <w:r w:rsidR="00550CB7" w:rsidRPr="00845A23">
        <w:rPr>
          <w:rFonts w:asciiTheme="minorHAnsi" w:hAnsiTheme="minorHAnsi"/>
        </w:rPr>
        <w:t>the key themes of our CSP. These committees</w:t>
      </w:r>
      <w:r w:rsidR="005A76D2" w:rsidRPr="00845A23">
        <w:rPr>
          <w:rFonts w:asciiTheme="minorHAnsi" w:hAnsiTheme="minorHAnsi"/>
        </w:rPr>
        <w:t xml:space="preserve"> include external members of the public</w:t>
      </w:r>
      <w:r w:rsidR="006D365F">
        <w:rPr>
          <w:rFonts w:asciiTheme="minorHAnsi" w:hAnsiTheme="minorHAnsi"/>
        </w:rPr>
        <w:t xml:space="preserve"> which</w:t>
      </w:r>
      <w:r w:rsidR="005A76D2" w:rsidRPr="00845A23">
        <w:rPr>
          <w:rFonts w:asciiTheme="minorHAnsi" w:hAnsiTheme="minorHAnsi"/>
        </w:rPr>
        <w:t xml:space="preserve"> enhances </w:t>
      </w:r>
      <w:r w:rsidR="006D365F">
        <w:rPr>
          <w:rFonts w:asciiTheme="minorHAnsi" w:hAnsiTheme="minorHAnsi"/>
        </w:rPr>
        <w:t>community</w:t>
      </w:r>
      <w:r w:rsidR="005A76D2" w:rsidRPr="00845A23">
        <w:rPr>
          <w:rFonts w:asciiTheme="minorHAnsi" w:hAnsiTheme="minorHAnsi"/>
        </w:rPr>
        <w:t xml:space="preserve"> input and understanding.</w:t>
      </w:r>
    </w:p>
    <w:p w:rsidR="0019137C" w:rsidRPr="00845A23" w:rsidRDefault="0019137C" w:rsidP="00271982">
      <w:pPr>
        <w:pStyle w:val="BodyText"/>
        <w:jc w:val="left"/>
        <w:rPr>
          <w:rFonts w:asciiTheme="minorHAnsi" w:hAnsiTheme="minorHAnsi"/>
        </w:rPr>
      </w:pPr>
      <w:r w:rsidRPr="00845A23">
        <w:rPr>
          <w:rFonts w:asciiTheme="minorHAnsi" w:hAnsiTheme="minorHAnsi"/>
        </w:rPr>
        <w:lastRenderedPageBreak/>
        <w:t xml:space="preserve">Following </w:t>
      </w:r>
      <w:r w:rsidR="006D3EFD" w:rsidRPr="00845A23">
        <w:rPr>
          <w:rFonts w:asciiTheme="minorHAnsi" w:hAnsiTheme="minorHAnsi"/>
        </w:rPr>
        <w:t>the council elections in September 2012, the new Council undertook a review of the Community Strategic Plan and associated plans, considering community needs and concerns. A minor amended copy of the Delivery program was adopted</w:t>
      </w:r>
      <w:r w:rsidR="00311344">
        <w:rPr>
          <w:rFonts w:asciiTheme="minorHAnsi" w:hAnsiTheme="minorHAnsi"/>
        </w:rPr>
        <w:t xml:space="preserve"> on 15 May 2013</w:t>
      </w:r>
      <w:r w:rsidR="006D3EFD" w:rsidRPr="00845A23">
        <w:rPr>
          <w:rFonts w:asciiTheme="minorHAnsi" w:hAnsiTheme="minorHAnsi"/>
        </w:rPr>
        <w:t>.</w:t>
      </w:r>
    </w:p>
    <w:p w:rsidR="006D3EFD" w:rsidRPr="00845A23" w:rsidRDefault="00550CB7" w:rsidP="00271982">
      <w:pPr>
        <w:pStyle w:val="BodyText"/>
        <w:jc w:val="left"/>
        <w:rPr>
          <w:rFonts w:asciiTheme="minorHAnsi" w:hAnsiTheme="minorHAnsi"/>
        </w:rPr>
      </w:pPr>
      <w:r w:rsidRPr="00845A23">
        <w:rPr>
          <w:rFonts w:asciiTheme="minorHAnsi" w:hAnsiTheme="minorHAnsi"/>
        </w:rPr>
        <w:t>T</w:t>
      </w:r>
      <w:r w:rsidR="006D3EFD" w:rsidRPr="00845A23">
        <w:rPr>
          <w:rFonts w:asciiTheme="minorHAnsi" w:hAnsiTheme="minorHAnsi"/>
        </w:rPr>
        <w:t>he condition of Council’s roads and bridges have historically been poor and reflected as such in the balance sheet</w:t>
      </w:r>
      <w:r w:rsidRPr="00845A23">
        <w:rPr>
          <w:rFonts w:asciiTheme="minorHAnsi" w:hAnsiTheme="minorHAnsi"/>
        </w:rPr>
        <w:t>. W</w:t>
      </w:r>
      <w:r w:rsidR="006D3EFD" w:rsidRPr="00845A23">
        <w:rPr>
          <w:rFonts w:asciiTheme="minorHAnsi" w:hAnsiTheme="minorHAnsi"/>
        </w:rPr>
        <w:t>ith the advent of a full service review and condition assessment of transport assets, the quantum and detail of this deficiency was identified</w:t>
      </w:r>
      <w:r w:rsidRPr="00845A23">
        <w:rPr>
          <w:rFonts w:asciiTheme="minorHAnsi" w:hAnsiTheme="minorHAnsi"/>
        </w:rPr>
        <w:t xml:space="preserve"> and costed</w:t>
      </w:r>
      <w:r w:rsidR="006D3EFD" w:rsidRPr="00845A23">
        <w:rPr>
          <w:rFonts w:asciiTheme="minorHAnsi" w:hAnsiTheme="minorHAnsi"/>
        </w:rPr>
        <w:t>.</w:t>
      </w:r>
    </w:p>
    <w:p w:rsidR="00D66E7B" w:rsidRPr="00845A23" w:rsidRDefault="006D3EFD" w:rsidP="00271982">
      <w:pPr>
        <w:pStyle w:val="BodyText"/>
        <w:jc w:val="left"/>
        <w:rPr>
          <w:rFonts w:asciiTheme="minorHAnsi" w:hAnsiTheme="minorHAnsi"/>
        </w:rPr>
      </w:pPr>
      <w:r w:rsidRPr="00845A23">
        <w:rPr>
          <w:rFonts w:asciiTheme="minorHAnsi" w:hAnsiTheme="minorHAnsi"/>
        </w:rPr>
        <w:t>All subsequent IP&amp;R planning documents included details of the asset renewal and maintenance backlog</w:t>
      </w:r>
      <w:r w:rsidR="00550CB7" w:rsidRPr="00845A23">
        <w:rPr>
          <w:rFonts w:asciiTheme="minorHAnsi" w:hAnsiTheme="minorHAnsi"/>
        </w:rPr>
        <w:t xml:space="preserve"> and the options Council proposed to resolve them</w:t>
      </w:r>
      <w:r w:rsidRPr="00845A23">
        <w:rPr>
          <w:rFonts w:asciiTheme="minorHAnsi" w:hAnsiTheme="minorHAnsi"/>
        </w:rPr>
        <w:t>.</w:t>
      </w:r>
      <w:r w:rsidR="00D66E7B" w:rsidRPr="00845A23">
        <w:rPr>
          <w:rFonts w:asciiTheme="minorHAnsi" w:hAnsiTheme="minorHAnsi"/>
        </w:rPr>
        <w:t xml:space="preserve"> </w:t>
      </w:r>
    </w:p>
    <w:p w:rsidR="006D3EFD" w:rsidRPr="00845A23" w:rsidRDefault="007560C0" w:rsidP="00271982">
      <w:pPr>
        <w:pStyle w:val="BodyText"/>
        <w:jc w:val="left"/>
        <w:rPr>
          <w:rFonts w:asciiTheme="minorHAnsi" w:hAnsiTheme="minorHAnsi"/>
        </w:rPr>
      </w:pPr>
      <w:r w:rsidRPr="00845A23">
        <w:rPr>
          <w:rFonts w:asciiTheme="minorHAnsi" w:hAnsiTheme="minorHAnsi"/>
        </w:rPr>
        <w:t>This backlog identification and options for solution were developed and</w:t>
      </w:r>
      <w:r w:rsidR="00550CB7" w:rsidRPr="00845A23">
        <w:rPr>
          <w:rFonts w:asciiTheme="minorHAnsi" w:hAnsiTheme="minorHAnsi"/>
        </w:rPr>
        <w:t xml:space="preserve"> the </w:t>
      </w:r>
      <w:r w:rsidR="009C5515" w:rsidRPr="00845A23">
        <w:rPr>
          <w:rFonts w:asciiTheme="minorHAnsi" w:hAnsiTheme="minorHAnsi"/>
        </w:rPr>
        <w:t>community informed</w:t>
      </w:r>
      <w:r w:rsidRPr="00845A23">
        <w:rPr>
          <w:rFonts w:asciiTheme="minorHAnsi" w:hAnsiTheme="minorHAnsi"/>
        </w:rPr>
        <w:t xml:space="preserve"> as the discussion and data collection proceeded </w:t>
      </w:r>
      <w:r w:rsidR="00550CB7" w:rsidRPr="00845A23">
        <w:rPr>
          <w:rFonts w:asciiTheme="minorHAnsi" w:hAnsiTheme="minorHAnsi"/>
        </w:rPr>
        <w:t>over time</w:t>
      </w:r>
      <w:r w:rsidRPr="00845A23">
        <w:rPr>
          <w:rFonts w:asciiTheme="minorHAnsi" w:hAnsiTheme="minorHAnsi"/>
        </w:rPr>
        <w:t xml:space="preserve">. The </w:t>
      </w:r>
      <w:r w:rsidR="009C5515" w:rsidRPr="00845A23">
        <w:rPr>
          <w:rFonts w:asciiTheme="minorHAnsi" w:hAnsiTheme="minorHAnsi"/>
        </w:rPr>
        <w:t>process of</w:t>
      </w:r>
      <w:r w:rsidR="00001029" w:rsidRPr="00845A23">
        <w:rPr>
          <w:rFonts w:asciiTheme="minorHAnsi" w:hAnsiTheme="minorHAnsi"/>
        </w:rPr>
        <w:t xml:space="preserve"> making an</w:t>
      </w:r>
      <w:r w:rsidR="006D3EFD" w:rsidRPr="00845A23">
        <w:rPr>
          <w:rFonts w:asciiTheme="minorHAnsi" w:hAnsiTheme="minorHAnsi"/>
        </w:rPr>
        <w:t xml:space="preserve"> SV application </w:t>
      </w:r>
      <w:r w:rsidRPr="00845A23">
        <w:rPr>
          <w:rFonts w:asciiTheme="minorHAnsi" w:hAnsiTheme="minorHAnsi"/>
        </w:rPr>
        <w:t xml:space="preserve">has been </w:t>
      </w:r>
      <w:r w:rsidR="009C5515" w:rsidRPr="00845A23">
        <w:rPr>
          <w:rFonts w:asciiTheme="minorHAnsi" w:hAnsiTheme="minorHAnsi"/>
        </w:rPr>
        <w:t>progressively worked</w:t>
      </w:r>
      <w:r w:rsidR="00001029" w:rsidRPr="00845A23">
        <w:rPr>
          <w:rFonts w:asciiTheme="minorHAnsi" w:hAnsiTheme="minorHAnsi"/>
        </w:rPr>
        <w:t xml:space="preserve"> through Council and the community</w:t>
      </w:r>
      <w:r w:rsidR="00550CB7" w:rsidRPr="00845A23">
        <w:rPr>
          <w:rFonts w:asciiTheme="minorHAnsi" w:hAnsiTheme="minorHAnsi"/>
        </w:rPr>
        <w:t>. A</w:t>
      </w:r>
      <w:r w:rsidR="00542A7C">
        <w:rPr>
          <w:rFonts w:asciiTheme="minorHAnsi" w:hAnsiTheme="minorHAnsi"/>
        </w:rPr>
        <w:t>s</w:t>
      </w:r>
      <w:r w:rsidR="00550CB7" w:rsidRPr="00845A23">
        <w:rPr>
          <w:rFonts w:asciiTheme="minorHAnsi" w:hAnsiTheme="minorHAnsi"/>
        </w:rPr>
        <w:t xml:space="preserve"> more accurate data was determined and options assessed, these were</w:t>
      </w:r>
      <w:r w:rsidR="00001029" w:rsidRPr="00845A23">
        <w:rPr>
          <w:rFonts w:asciiTheme="minorHAnsi" w:hAnsiTheme="minorHAnsi"/>
        </w:rPr>
        <w:t xml:space="preserve"> </w:t>
      </w:r>
      <w:r w:rsidR="006D3EFD" w:rsidRPr="00845A23">
        <w:rPr>
          <w:rFonts w:asciiTheme="minorHAnsi" w:hAnsiTheme="minorHAnsi"/>
        </w:rPr>
        <w:t>endorsed by Council and included in planning documents in greater detail as the data was collected and quantified.</w:t>
      </w:r>
    </w:p>
    <w:p w:rsidR="007560C0" w:rsidRPr="00845A23" w:rsidRDefault="007560C0" w:rsidP="00271982">
      <w:pPr>
        <w:pStyle w:val="BodyText"/>
        <w:jc w:val="left"/>
        <w:rPr>
          <w:rFonts w:asciiTheme="minorHAnsi" w:hAnsiTheme="minorHAnsi"/>
        </w:rPr>
      </w:pPr>
      <w:r w:rsidRPr="00845A23">
        <w:rPr>
          <w:rFonts w:asciiTheme="minorHAnsi" w:hAnsiTheme="minorHAnsi"/>
        </w:rPr>
        <w:t>The amended planning documents were placed on public exhibition.</w:t>
      </w:r>
    </w:p>
    <w:p w:rsidR="00A62B33" w:rsidRPr="00845A23" w:rsidRDefault="00A62B33" w:rsidP="00271982">
      <w:pPr>
        <w:pStyle w:val="BodyText"/>
        <w:jc w:val="left"/>
        <w:rPr>
          <w:rFonts w:asciiTheme="minorHAnsi" w:hAnsiTheme="minorHAnsi"/>
        </w:rPr>
      </w:pPr>
      <w:r w:rsidRPr="00845A23">
        <w:rPr>
          <w:rFonts w:asciiTheme="minorHAnsi" w:hAnsiTheme="minorHAnsi"/>
        </w:rPr>
        <w:t>Key Supporting Documents</w:t>
      </w:r>
    </w:p>
    <w:p w:rsidR="00A62B33" w:rsidRPr="00845A23" w:rsidRDefault="00A62B33" w:rsidP="0060639F">
      <w:pPr>
        <w:pStyle w:val="BodyText"/>
        <w:numPr>
          <w:ilvl w:val="0"/>
          <w:numId w:val="35"/>
        </w:numPr>
        <w:jc w:val="left"/>
        <w:rPr>
          <w:rFonts w:asciiTheme="minorHAnsi" w:hAnsiTheme="minorHAnsi"/>
        </w:rPr>
      </w:pPr>
      <w:r w:rsidRPr="00845A23">
        <w:rPr>
          <w:rFonts w:asciiTheme="minorHAnsi" w:hAnsiTheme="minorHAnsi"/>
        </w:rPr>
        <w:t>Community Strategic Plan  2012 -2022</w:t>
      </w:r>
    </w:p>
    <w:p w:rsidR="00A62B33" w:rsidRPr="00845A23" w:rsidRDefault="00A62B33" w:rsidP="0060639F">
      <w:pPr>
        <w:pStyle w:val="BodyText"/>
        <w:numPr>
          <w:ilvl w:val="0"/>
          <w:numId w:val="35"/>
        </w:numPr>
        <w:jc w:val="left"/>
        <w:rPr>
          <w:rFonts w:asciiTheme="minorHAnsi" w:hAnsiTheme="minorHAnsi"/>
        </w:rPr>
      </w:pPr>
      <w:r w:rsidRPr="00845A23">
        <w:rPr>
          <w:rFonts w:asciiTheme="minorHAnsi" w:hAnsiTheme="minorHAnsi"/>
        </w:rPr>
        <w:t>Delivery Program</w:t>
      </w:r>
    </w:p>
    <w:p w:rsidR="00A62B33" w:rsidRPr="00845A23" w:rsidRDefault="00A62B33" w:rsidP="0060639F">
      <w:pPr>
        <w:pStyle w:val="BodyText"/>
        <w:numPr>
          <w:ilvl w:val="0"/>
          <w:numId w:val="35"/>
        </w:numPr>
        <w:jc w:val="left"/>
        <w:rPr>
          <w:rFonts w:asciiTheme="minorHAnsi" w:hAnsiTheme="minorHAnsi"/>
        </w:rPr>
      </w:pPr>
      <w:r w:rsidRPr="00845A23">
        <w:rPr>
          <w:rFonts w:asciiTheme="minorHAnsi" w:hAnsiTheme="minorHAnsi"/>
        </w:rPr>
        <w:t>Asset Management Plan</w:t>
      </w:r>
    </w:p>
    <w:p w:rsidR="00207423" w:rsidRPr="00845A23" w:rsidRDefault="00207423" w:rsidP="0060639F">
      <w:pPr>
        <w:pStyle w:val="BodyText"/>
        <w:numPr>
          <w:ilvl w:val="0"/>
          <w:numId w:val="35"/>
        </w:numPr>
        <w:jc w:val="left"/>
        <w:rPr>
          <w:rFonts w:asciiTheme="minorHAnsi" w:hAnsiTheme="minorHAnsi"/>
        </w:rPr>
      </w:pPr>
      <w:r w:rsidRPr="00845A23">
        <w:rPr>
          <w:rFonts w:asciiTheme="minorHAnsi" w:hAnsiTheme="minorHAnsi"/>
        </w:rPr>
        <w:t>Long Term Financial Plan</w:t>
      </w:r>
    </w:p>
    <w:p w:rsidR="006810DE" w:rsidRPr="00845A23" w:rsidRDefault="006810DE" w:rsidP="00271982">
      <w:pPr>
        <w:pStyle w:val="BodyText"/>
        <w:jc w:val="left"/>
        <w:rPr>
          <w:rFonts w:asciiTheme="minorHAnsi" w:hAnsiTheme="minorHAnsi"/>
        </w:rPr>
      </w:pPr>
      <w:r w:rsidRPr="00845A23">
        <w:rPr>
          <w:rFonts w:asciiTheme="minorHAnsi" w:hAnsiTheme="minorHAnsi"/>
        </w:rPr>
        <w:t xml:space="preserve">Copies of relevant documents are </w:t>
      </w:r>
      <w:r w:rsidRPr="00542A7C">
        <w:rPr>
          <w:rFonts w:asciiTheme="minorHAnsi" w:hAnsiTheme="minorHAnsi"/>
        </w:rPr>
        <w:t>attached</w:t>
      </w:r>
      <w:r w:rsidRPr="00845A23">
        <w:rPr>
          <w:rFonts w:asciiTheme="minorHAnsi" w:hAnsiTheme="minorHAnsi"/>
        </w:rPr>
        <w:t xml:space="preserve"> to this application</w:t>
      </w:r>
      <w:r w:rsidR="00550CB7" w:rsidRPr="00845A23">
        <w:rPr>
          <w:rFonts w:asciiTheme="minorHAnsi" w:hAnsiTheme="minorHAnsi"/>
        </w:rPr>
        <w:t xml:space="preserve"> and each specifically addressed the Special Variation as follows</w:t>
      </w:r>
      <w:r w:rsidR="009C5515" w:rsidRPr="00845A23">
        <w:rPr>
          <w:rFonts w:asciiTheme="minorHAnsi" w:hAnsiTheme="minorHAnsi"/>
        </w:rPr>
        <w:t>:</w:t>
      </w:r>
    </w:p>
    <w:p w:rsidR="00550CB7" w:rsidRPr="00845A23" w:rsidRDefault="00550CB7" w:rsidP="00271982">
      <w:pPr>
        <w:pStyle w:val="BodyText"/>
        <w:jc w:val="left"/>
        <w:rPr>
          <w:rFonts w:asciiTheme="minorHAnsi" w:hAnsiTheme="minorHAnsi"/>
          <w:spacing w:val="-21"/>
          <w:w w:val="105"/>
        </w:rPr>
      </w:pPr>
      <w:r w:rsidRPr="00845A23">
        <w:rPr>
          <w:rFonts w:asciiTheme="minorHAnsi" w:hAnsiTheme="minorHAnsi"/>
        </w:rPr>
        <w:t xml:space="preserve">The </w:t>
      </w:r>
      <w:r w:rsidRPr="006D365F">
        <w:rPr>
          <w:rFonts w:asciiTheme="minorHAnsi" w:hAnsiTheme="minorHAnsi"/>
          <w:u w:val="single"/>
        </w:rPr>
        <w:t>Community Strategic Plan</w:t>
      </w:r>
      <w:r w:rsidRPr="00845A23">
        <w:rPr>
          <w:rFonts w:asciiTheme="minorHAnsi" w:hAnsiTheme="minorHAnsi"/>
        </w:rPr>
        <w:t xml:space="preserve"> details the quantum and challenges in funding asset renewal and maintenance. It discusses our small rate base but large public infrastructure whereby </w:t>
      </w:r>
      <w:r w:rsidR="00311344">
        <w:rPr>
          <w:rFonts w:asciiTheme="minorHAnsi" w:hAnsiTheme="minorHAnsi"/>
        </w:rPr>
        <w:t>our total replacement cost of assets</w:t>
      </w:r>
      <w:r w:rsidRPr="00845A23">
        <w:rPr>
          <w:rFonts w:asciiTheme="minorHAnsi" w:hAnsiTheme="minorHAnsi"/>
        </w:rPr>
        <w:t xml:space="preserve"> equates to </w:t>
      </w:r>
      <w:r w:rsidR="00311344">
        <w:rPr>
          <w:rFonts w:asciiTheme="minorHAnsi" w:hAnsiTheme="minorHAnsi"/>
        </w:rPr>
        <w:t>approx.</w:t>
      </w:r>
      <w:r w:rsidR="009C5515" w:rsidRPr="006D365F">
        <w:rPr>
          <w:rFonts w:asciiTheme="minorHAnsi" w:hAnsiTheme="minorHAnsi"/>
          <w:b/>
          <w:color w:val="FF0000"/>
        </w:rPr>
        <w:t xml:space="preserve"> </w:t>
      </w:r>
      <w:r w:rsidR="009C5515" w:rsidRPr="00542A7C">
        <w:rPr>
          <w:rFonts w:asciiTheme="minorHAnsi" w:hAnsiTheme="minorHAnsi"/>
        </w:rPr>
        <w:t>$</w:t>
      </w:r>
      <w:r w:rsidRPr="00542A7C">
        <w:rPr>
          <w:rFonts w:asciiTheme="minorHAnsi" w:hAnsiTheme="minorHAnsi"/>
        </w:rPr>
        <w:t xml:space="preserve">100,000 per resident. </w:t>
      </w:r>
      <w:r w:rsidR="004318AE" w:rsidRPr="00542A7C">
        <w:rPr>
          <w:rFonts w:asciiTheme="minorHAnsi" w:hAnsiTheme="minorHAnsi"/>
        </w:rPr>
        <w:t xml:space="preserve">The Plan highlights  </w:t>
      </w:r>
      <w:r w:rsidRPr="00542A7C">
        <w:rPr>
          <w:rFonts w:asciiTheme="minorHAnsi" w:hAnsiTheme="minorHAnsi"/>
        </w:rPr>
        <w:t xml:space="preserve">the diminishing level of resources available and the reasons </w:t>
      </w:r>
      <w:r w:rsidR="006D365F" w:rsidRPr="00542A7C">
        <w:rPr>
          <w:rFonts w:asciiTheme="minorHAnsi" w:hAnsiTheme="minorHAnsi"/>
        </w:rPr>
        <w:t xml:space="preserve">for </w:t>
      </w:r>
      <w:r w:rsidRPr="00542A7C">
        <w:rPr>
          <w:rFonts w:asciiTheme="minorHAnsi" w:hAnsiTheme="minorHAnsi"/>
        </w:rPr>
        <w:t>this</w:t>
      </w:r>
      <w:r w:rsidR="006D365F" w:rsidRPr="00542A7C">
        <w:rPr>
          <w:rFonts w:asciiTheme="minorHAnsi" w:hAnsiTheme="minorHAnsi"/>
        </w:rPr>
        <w:t>,</w:t>
      </w:r>
      <w:r w:rsidRPr="00542A7C">
        <w:rPr>
          <w:rFonts w:asciiTheme="minorHAnsi" w:hAnsiTheme="minorHAnsi"/>
        </w:rPr>
        <w:t xml:space="preserve"> </w:t>
      </w:r>
      <w:r w:rsidR="004318AE" w:rsidRPr="00542A7C">
        <w:rPr>
          <w:rFonts w:asciiTheme="minorHAnsi" w:hAnsiTheme="minorHAnsi"/>
        </w:rPr>
        <w:t xml:space="preserve">that Council revenues currently allow only </w:t>
      </w:r>
      <w:r w:rsidRPr="00542A7C">
        <w:rPr>
          <w:rFonts w:asciiTheme="minorHAnsi" w:hAnsiTheme="minorHAnsi"/>
        </w:rPr>
        <w:t xml:space="preserve"> half the $8.</w:t>
      </w:r>
      <w:r w:rsidR="00542A7C">
        <w:rPr>
          <w:rFonts w:asciiTheme="minorHAnsi" w:hAnsiTheme="minorHAnsi"/>
        </w:rPr>
        <w:t>3</w:t>
      </w:r>
      <w:r w:rsidRPr="00542A7C">
        <w:rPr>
          <w:rFonts w:asciiTheme="minorHAnsi" w:hAnsiTheme="minorHAnsi"/>
        </w:rPr>
        <w:t xml:space="preserve">m </w:t>
      </w:r>
      <w:r w:rsidRPr="00845A23">
        <w:rPr>
          <w:rFonts w:asciiTheme="minorHAnsi" w:hAnsiTheme="minorHAnsi"/>
        </w:rPr>
        <w:t xml:space="preserve">required to keep our roads in an acceptable condition, </w:t>
      </w:r>
      <w:r w:rsidR="006D365F">
        <w:rPr>
          <w:rFonts w:asciiTheme="minorHAnsi" w:hAnsiTheme="minorHAnsi"/>
        </w:rPr>
        <w:t xml:space="preserve">and </w:t>
      </w:r>
      <w:r w:rsidRPr="00845A23">
        <w:rPr>
          <w:rFonts w:asciiTheme="minorHAnsi" w:hAnsiTheme="minorHAnsi"/>
        </w:rPr>
        <w:t>that o</w:t>
      </w:r>
      <w:r w:rsidRPr="00845A23">
        <w:rPr>
          <w:rFonts w:asciiTheme="minorHAnsi" w:hAnsiTheme="minorHAnsi"/>
          <w:w w:val="110"/>
        </w:rPr>
        <w:t>ur</w:t>
      </w:r>
      <w:r w:rsidRPr="00845A23">
        <w:rPr>
          <w:rFonts w:asciiTheme="minorHAnsi" w:hAnsiTheme="minorHAnsi"/>
          <w:spacing w:val="-24"/>
          <w:w w:val="110"/>
        </w:rPr>
        <w:t xml:space="preserve"> </w:t>
      </w:r>
      <w:r w:rsidRPr="00845A23">
        <w:rPr>
          <w:rFonts w:asciiTheme="minorHAnsi" w:hAnsiTheme="minorHAnsi"/>
          <w:spacing w:val="-2"/>
          <w:w w:val="110"/>
        </w:rPr>
        <w:t>r</w:t>
      </w:r>
      <w:r w:rsidRPr="00845A23">
        <w:rPr>
          <w:rFonts w:asciiTheme="minorHAnsi" w:hAnsiTheme="minorHAnsi"/>
          <w:spacing w:val="-1"/>
          <w:w w:val="110"/>
        </w:rPr>
        <w:t>oads</w:t>
      </w:r>
      <w:r w:rsidRPr="00845A23">
        <w:rPr>
          <w:rFonts w:asciiTheme="minorHAnsi" w:hAnsiTheme="minorHAnsi"/>
          <w:spacing w:val="-24"/>
          <w:w w:val="110"/>
        </w:rPr>
        <w:t xml:space="preserve"> </w:t>
      </w:r>
      <w:r w:rsidRPr="00845A23">
        <w:rPr>
          <w:rFonts w:asciiTheme="minorHAnsi" w:hAnsiTheme="minorHAnsi"/>
          <w:w w:val="110"/>
        </w:rPr>
        <w:t>and</w:t>
      </w:r>
      <w:r w:rsidRPr="00845A23">
        <w:rPr>
          <w:rFonts w:asciiTheme="minorHAnsi" w:hAnsiTheme="minorHAnsi"/>
          <w:spacing w:val="29"/>
          <w:w w:val="121"/>
        </w:rPr>
        <w:t xml:space="preserve"> </w:t>
      </w:r>
      <w:r w:rsidRPr="00845A23">
        <w:rPr>
          <w:rFonts w:asciiTheme="minorHAnsi" w:hAnsiTheme="minorHAnsi"/>
          <w:w w:val="110"/>
        </w:rPr>
        <w:t>bridges</w:t>
      </w:r>
      <w:r w:rsidRPr="00845A23">
        <w:rPr>
          <w:rFonts w:asciiTheme="minorHAnsi" w:hAnsiTheme="minorHAnsi"/>
          <w:spacing w:val="-34"/>
          <w:w w:val="110"/>
        </w:rPr>
        <w:t xml:space="preserve"> </w:t>
      </w:r>
      <w:r w:rsidRPr="00845A23">
        <w:rPr>
          <w:rFonts w:asciiTheme="minorHAnsi" w:hAnsiTheme="minorHAnsi"/>
          <w:spacing w:val="-2"/>
          <w:w w:val="110"/>
        </w:rPr>
        <w:t>ar</w:t>
      </w:r>
      <w:r w:rsidRPr="00845A23">
        <w:rPr>
          <w:rFonts w:asciiTheme="minorHAnsi" w:hAnsiTheme="minorHAnsi"/>
          <w:spacing w:val="-1"/>
          <w:w w:val="110"/>
        </w:rPr>
        <w:t>e</w:t>
      </w:r>
      <w:r w:rsidRPr="00845A23">
        <w:rPr>
          <w:rFonts w:asciiTheme="minorHAnsi" w:hAnsiTheme="minorHAnsi"/>
          <w:spacing w:val="-34"/>
          <w:w w:val="110"/>
        </w:rPr>
        <w:t xml:space="preserve"> </w:t>
      </w:r>
      <w:r w:rsidRPr="00845A23">
        <w:rPr>
          <w:rFonts w:asciiTheme="minorHAnsi" w:hAnsiTheme="minorHAnsi"/>
          <w:w w:val="110"/>
        </w:rPr>
        <w:t>deteriorating</w:t>
      </w:r>
      <w:r w:rsidRPr="00845A23">
        <w:rPr>
          <w:rFonts w:asciiTheme="minorHAnsi" w:hAnsiTheme="minorHAnsi"/>
          <w:spacing w:val="-34"/>
          <w:w w:val="110"/>
        </w:rPr>
        <w:t xml:space="preserve"> </w:t>
      </w:r>
      <w:r w:rsidRPr="00845A23">
        <w:rPr>
          <w:rFonts w:asciiTheme="minorHAnsi" w:hAnsiTheme="minorHAnsi"/>
          <w:w w:val="110"/>
        </w:rPr>
        <w:t>faster</w:t>
      </w:r>
      <w:r w:rsidRPr="00845A23">
        <w:rPr>
          <w:rFonts w:asciiTheme="minorHAnsi" w:hAnsiTheme="minorHAnsi"/>
          <w:spacing w:val="22"/>
          <w:w w:val="101"/>
        </w:rPr>
        <w:t xml:space="preserve"> </w:t>
      </w:r>
      <w:r w:rsidRPr="00845A23">
        <w:rPr>
          <w:rFonts w:asciiTheme="minorHAnsi" w:hAnsiTheme="minorHAnsi"/>
          <w:w w:val="110"/>
        </w:rPr>
        <w:t>than</w:t>
      </w:r>
      <w:r w:rsidRPr="00845A23">
        <w:rPr>
          <w:rFonts w:asciiTheme="minorHAnsi" w:hAnsiTheme="minorHAnsi"/>
          <w:spacing w:val="-12"/>
          <w:w w:val="110"/>
        </w:rPr>
        <w:t xml:space="preserve"> </w:t>
      </w:r>
      <w:r w:rsidRPr="00845A23">
        <w:rPr>
          <w:rFonts w:asciiTheme="minorHAnsi" w:hAnsiTheme="minorHAnsi"/>
          <w:w w:val="110"/>
        </w:rPr>
        <w:t>we</w:t>
      </w:r>
      <w:r w:rsidRPr="00845A23">
        <w:rPr>
          <w:rFonts w:asciiTheme="minorHAnsi" w:hAnsiTheme="minorHAnsi"/>
          <w:spacing w:val="-12"/>
          <w:w w:val="110"/>
        </w:rPr>
        <w:t xml:space="preserve"> </w:t>
      </w:r>
      <w:r w:rsidRPr="00845A23">
        <w:rPr>
          <w:rFonts w:asciiTheme="minorHAnsi" w:hAnsiTheme="minorHAnsi"/>
          <w:w w:val="110"/>
        </w:rPr>
        <w:t>can</w:t>
      </w:r>
      <w:r w:rsidRPr="00845A23">
        <w:rPr>
          <w:rFonts w:asciiTheme="minorHAnsi" w:hAnsiTheme="minorHAnsi"/>
          <w:spacing w:val="-12"/>
          <w:w w:val="110"/>
        </w:rPr>
        <w:t xml:space="preserve"> </w:t>
      </w:r>
      <w:r w:rsidRPr="00845A23">
        <w:rPr>
          <w:rFonts w:asciiTheme="minorHAnsi" w:hAnsiTheme="minorHAnsi"/>
          <w:spacing w:val="-2"/>
          <w:w w:val="110"/>
        </w:rPr>
        <w:t>r</w:t>
      </w:r>
      <w:r w:rsidRPr="00845A23">
        <w:rPr>
          <w:rFonts w:asciiTheme="minorHAnsi" w:hAnsiTheme="minorHAnsi"/>
          <w:spacing w:val="-1"/>
          <w:w w:val="110"/>
        </w:rPr>
        <w:t>epair</w:t>
      </w:r>
      <w:r w:rsidRPr="00845A23">
        <w:rPr>
          <w:rFonts w:asciiTheme="minorHAnsi" w:hAnsiTheme="minorHAnsi"/>
          <w:spacing w:val="-12"/>
          <w:w w:val="110"/>
        </w:rPr>
        <w:t xml:space="preserve"> </w:t>
      </w:r>
      <w:r w:rsidRPr="00845A23">
        <w:rPr>
          <w:rFonts w:asciiTheme="minorHAnsi" w:hAnsiTheme="minorHAnsi"/>
          <w:w w:val="110"/>
        </w:rPr>
        <w:t>them.</w:t>
      </w:r>
    </w:p>
    <w:p w:rsidR="00550CB7" w:rsidRPr="00542A7C" w:rsidRDefault="004318AE" w:rsidP="00271982">
      <w:pPr>
        <w:pStyle w:val="BodyText"/>
        <w:jc w:val="left"/>
        <w:rPr>
          <w:rFonts w:asciiTheme="minorHAnsi" w:hAnsiTheme="minorHAnsi"/>
        </w:rPr>
      </w:pPr>
      <w:r w:rsidRPr="00542A7C">
        <w:rPr>
          <w:rFonts w:asciiTheme="minorHAnsi" w:hAnsiTheme="minorHAnsi"/>
          <w:spacing w:val="-21"/>
          <w:w w:val="105"/>
        </w:rPr>
        <w:t xml:space="preserve">The CSP </w:t>
      </w:r>
      <w:r w:rsidR="009C5515" w:rsidRPr="00542A7C">
        <w:rPr>
          <w:rFonts w:asciiTheme="minorHAnsi" w:hAnsiTheme="minorHAnsi"/>
          <w:spacing w:val="-21"/>
          <w:w w:val="105"/>
        </w:rPr>
        <w:t>shows</w:t>
      </w:r>
      <w:r w:rsidRPr="00542A7C">
        <w:rPr>
          <w:rFonts w:asciiTheme="minorHAnsi" w:hAnsiTheme="minorHAnsi"/>
          <w:spacing w:val="-21"/>
          <w:w w:val="105"/>
        </w:rPr>
        <w:t xml:space="preserve"> the </w:t>
      </w:r>
      <w:r w:rsidR="009C5515" w:rsidRPr="00542A7C">
        <w:rPr>
          <w:rFonts w:asciiTheme="minorHAnsi" w:hAnsiTheme="minorHAnsi"/>
          <w:spacing w:val="-21"/>
          <w:w w:val="105"/>
        </w:rPr>
        <w:t>outcome of the review</w:t>
      </w:r>
      <w:r w:rsidR="00550CB7" w:rsidRPr="00542A7C">
        <w:rPr>
          <w:rFonts w:asciiTheme="minorHAnsi" w:hAnsiTheme="minorHAnsi"/>
          <w:spacing w:val="-21"/>
          <w:w w:val="105"/>
        </w:rPr>
        <w:t xml:space="preserve"> of the condition of all roads and bridges which fully details how much backlog in renewals and maintenance we face. Th</w:t>
      </w:r>
      <w:r w:rsidRPr="00542A7C">
        <w:rPr>
          <w:rFonts w:asciiTheme="minorHAnsi" w:hAnsiTheme="minorHAnsi"/>
          <w:spacing w:val="-21"/>
          <w:w w:val="105"/>
        </w:rPr>
        <w:t>is shows</w:t>
      </w:r>
      <w:r w:rsidR="00550CB7" w:rsidRPr="00542A7C">
        <w:rPr>
          <w:rFonts w:asciiTheme="minorHAnsi" w:hAnsiTheme="minorHAnsi"/>
          <w:spacing w:val="15"/>
          <w:w w:val="105"/>
        </w:rPr>
        <w:t xml:space="preserve"> </w:t>
      </w:r>
      <w:r w:rsidR="006D365F" w:rsidRPr="00542A7C">
        <w:rPr>
          <w:rFonts w:asciiTheme="minorHAnsi" w:hAnsiTheme="minorHAnsi"/>
          <w:spacing w:val="15"/>
          <w:w w:val="105"/>
        </w:rPr>
        <w:t>that</w:t>
      </w:r>
      <w:r w:rsidRPr="00542A7C">
        <w:rPr>
          <w:rFonts w:asciiTheme="minorHAnsi" w:hAnsiTheme="minorHAnsi"/>
          <w:spacing w:val="15"/>
          <w:w w:val="105"/>
        </w:rPr>
        <w:t xml:space="preserve"> we</w:t>
      </w:r>
      <w:r w:rsidR="006D365F" w:rsidRPr="00542A7C">
        <w:rPr>
          <w:rFonts w:asciiTheme="minorHAnsi" w:hAnsiTheme="minorHAnsi"/>
          <w:spacing w:val="15"/>
          <w:w w:val="105"/>
        </w:rPr>
        <w:t xml:space="preserve"> </w:t>
      </w:r>
      <w:r w:rsidR="00550CB7" w:rsidRPr="00542A7C">
        <w:rPr>
          <w:rFonts w:asciiTheme="minorHAnsi" w:hAnsiTheme="minorHAnsi"/>
          <w:spacing w:val="-2"/>
          <w:w w:val="105"/>
        </w:rPr>
        <w:t>currently</w:t>
      </w:r>
      <w:r w:rsidR="00550CB7" w:rsidRPr="00542A7C">
        <w:rPr>
          <w:rFonts w:asciiTheme="minorHAnsi" w:hAnsiTheme="minorHAnsi"/>
          <w:spacing w:val="16"/>
          <w:w w:val="105"/>
        </w:rPr>
        <w:t xml:space="preserve"> </w:t>
      </w:r>
      <w:r w:rsidR="00550CB7" w:rsidRPr="00542A7C">
        <w:rPr>
          <w:rFonts w:asciiTheme="minorHAnsi" w:hAnsiTheme="minorHAnsi"/>
          <w:w w:val="105"/>
        </w:rPr>
        <w:t>have</w:t>
      </w:r>
      <w:r w:rsidR="00550CB7" w:rsidRPr="00542A7C">
        <w:rPr>
          <w:rFonts w:asciiTheme="minorHAnsi" w:hAnsiTheme="minorHAnsi"/>
          <w:spacing w:val="16"/>
          <w:w w:val="105"/>
        </w:rPr>
        <w:t xml:space="preserve"> </w:t>
      </w:r>
      <w:r w:rsidR="00550CB7" w:rsidRPr="00542A7C">
        <w:rPr>
          <w:rFonts w:asciiTheme="minorHAnsi" w:hAnsiTheme="minorHAnsi"/>
          <w:w w:val="105"/>
        </w:rPr>
        <w:t>some</w:t>
      </w:r>
      <w:r w:rsidR="00550CB7" w:rsidRPr="00542A7C">
        <w:rPr>
          <w:rFonts w:asciiTheme="minorHAnsi" w:hAnsiTheme="minorHAnsi"/>
          <w:spacing w:val="16"/>
          <w:w w:val="105"/>
        </w:rPr>
        <w:t xml:space="preserve"> </w:t>
      </w:r>
      <w:r w:rsidR="00550CB7" w:rsidRPr="00542A7C">
        <w:rPr>
          <w:rFonts w:asciiTheme="minorHAnsi" w:hAnsiTheme="minorHAnsi"/>
          <w:w w:val="105"/>
        </w:rPr>
        <w:t>$10</w:t>
      </w:r>
      <w:r w:rsidR="00550CB7" w:rsidRPr="00542A7C">
        <w:rPr>
          <w:rFonts w:asciiTheme="minorHAnsi" w:hAnsiTheme="minorHAnsi"/>
          <w:spacing w:val="29"/>
          <w:w w:val="105"/>
        </w:rPr>
        <w:t xml:space="preserve"> </w:t>
      </w:r>
      <w:r w:rsidR="00550CB7" w:rsidRPr="00542A7C">
        <w:rPr>
          <w:rFonts w:asciiTheme="minorHAnsi" w:hAnsiTheme="minorHAnsi"/>
          <w:w w:val="105"/>
        </w:rPr>
        <w:t>million</w:t>
      </w:r>
      <w:r w:rsidR="00550CB7" w:rsidRPr="00542A7C">
        <w:rPr>
          <w:rFonts w:asciiTheme="minorHAnsi" w:hAnsiTheme="minorHAnsi"/>
          <w:spacing w:val="-20"/>
          <w:w w:val="105"/>
        </w:rPr>
        <w:t xml:space="preserve"> </w:t>
      </w:r>
      <w:r w:rsidR="00550CB7" w:rsidRPr="00542A7C">
        <w:rPr>
          <w:rFonts w:asciiTheme="minorHAnsi" w:hAnsiTheme="minorHAnsi"/>
          <w:w w:val="105"/>
        </w:rPr>
        <w:t>worth</w:t>
      </w:r>
      <w:r w:rsidR="00550CB7" w:rsidRPr="00542A7C">
        <w:rPr>
          <w:rFonts w:asciiTheme="minorHAnsi" w:hAnsiTheme="minorHAnsi"/>
          <w:spacing w:val="-20"/>
          <w:w w:val="105"/>
        </w:rPr>
        <w:t xml:space="preserve"> </w:t>
      </w:r>
      <w:r w:rsidR="00550CB7" w:rsidRPr="00542A7C">
        <w:rPr>
          <w:rFonts w:asciiTheme="minorHAnsi" w:hAnsiTheme="minorHAnsi"/>
          <w:w w:val="105"/>
        </w:rPr>
        <w:t>of</w:t>
      </w:r>
      <w:r w:rsidR="00550CB7" w:rsidRPr="00542A7C">
        <w:rPr>
          <w:rFonts w:asciiTheme="minorHAnsi" w:hAnsiTheme="minorHAnsi"/>
          <w:spacing w:val="-19"/>
          <w:w w:val="105"/>
        </w:rPr>
        <w:t xml:space="preserve"> </w:t>
      </w:r>
      <w:r w:rsidR="00550CB7" w:rsidRPr="00542A7C">
        <w:rPr>
          <w:rFonts w:asciiTheme="minorHAnsi" w:hAnsiTheme="minorHAnsi"/>
          <w:w w:val="105"/>
        </w:rPr>
        <w:t>assets</w:t>
      </w:r>
      <w:r w:rsidR="00550CB7" w:rsidRPr="00542A7C">
        <w:rPr>
          <w:rFonts w:asciiTheme="minorHAnsi" w:hAnsiTheme="minorHAnsi"/>
          <w:spacing w:val="-20"/>
          <w:w w:val="105"/>
        </w:rPr>
        <w:t xml:space="preserve"> </w:t>
      </w:r>
      <w:r w:rsidR="00550CB7" w:rsidRPr="00542A7C">
        <w:rPr>
          <w:rFonts w:asciiTheme="minorHAnsi" w:hAnsiTheme="minorHAnsi"/>
          <w:w w:val="105"/>
        </w:rPr>
        <w:t>that have</w:t>
      </w:r>
      <w:r w:rsidR="00550CB7" w:rsidRPr="00542A7C">
        <w:rPr>
          <w:rFonts w:asciiTheme="minorHAnsi" w:hAnsiTheme="minorHAnsi"/>
          <w:spacing w:val="13"/>
          <w:w w:val="105"/>
        </w:rPr>
        <w:t xml:space="preserve"> </w:t>
      </w:r>
      <w:r w:rsidR="00550CB7" w:rsidRPr="00542A7C">
        <w:rPr>
          <w:rFonts w:asciiTheme="minorHAnsi" w:hAnsiTheme="minorHAnsi"/>
          <w:w w:val="105"/>
        </w:rPr>
        <w:t>fallen</w:t>
      </w:r>
      <w:r w:rsidR="00550CB7" w:rsidRPr="00542A7C">
        <w:rPr>
          <w:rFonts w:asciiTheme="minorHAnsi" w:hAnsiTheme="minorHAnsi"/>
          <w:spacing w:val="14"/>
          <w:w w:val="105"/>
        </w:rPr>
        <w:t xml:space="preserve"> </w:t>
      </w:r>
      <w:r w:rsidR="00550CB7" w:rsidRPr="00542A7C">
        <w:rPr>
          <w:rFonts w:asciiTheme="minorHAnsi" w:hAnsiTheme="minorHAnsi"/>
          <w:w w:val="105"/>
        </w:rPr>
        <w:t>below</w:t>
      </w:r>
      <w:r w:rsidR="00550CB7" w:rsidRPr="00542A7C">
        <w:rPr>
          <w:rFonts w:asciiTheme="minorHAnsi" w:hAnsiTheme="minorHAnsi"/>
          <w:spacing w:val="14"/>
          <w:w w:val="105"/>
        </w:rPr>
        <w:t xml:space="preserve"> </w:t>
      </w:r>
      <w:r w:rsidR="00550CB7" w:rsidRPr="00542A7C">
        <w:rPr>
          <w:rFonts w:asciiTheme="minorHAnsi" w:hAnsiTheme="minorHAnsi"/>
          <w:w w:val="105"/>
        </w:rPr>
        <w:t>the</w:t>
      </w:r>
      <w:r w:rsidR="00550CB7" w:rsidRPr="00542A7C">
        <w:rPr>
          <w:rFonts w:asciiTheme="minorHAnsi" w:hAnsiTheme="minorHAnsi"/>
          <w:spacing w:val="14"/>
          <w:w w:val="105"/>
        </w:rPr>
        <w:t xml:space="preserve"> </w:t>
      </w:r>
      <w:r w:rsidR="00550CB7" w:rsidRPr="00542A7C">
        <w:rPr>
          <w:rFonts w:asciiTheme="minorHAnsi" w:hAnsiTheme="minorHAnsi"/>
          <w:w w:val="105"/>
        </w:rPr>
        <w:t xml:space="preserve">minimum </w:t>
      </w:r>
      <w:r w:rsidR="00550CB7" w:rsidRPr="00542A7C">
        <w:rPr>
          <w:rFonts w:asciiTheme="minorHAnsi" w:hAnsiTheme="minorHAnsi"/>
          <w:spacing w:val="-1"/>
          <w:w w:val="110"/>
        </w:rPr>
        <w:t>standar</w:t>
      </w:r>
      <w:r w:rsidR="00550CB7" w:rsidRPr="00542A7C">
        <w:rPr>
          <w:rFonts w:asciiTheme="minorHAnsi" w:hAnsiTheme="minorHAnsi"/>
          <w:spacing w:val="-2"/>
          <w:w w:val="110"/>
        </w:rPr>
        <w:t>d and that b</w:t>
      </w:r>
      <w:r w:rsidR="00550CB7" w:rsidRPr="00542A7C">
        <w:rPr>
          <w:rFonts w:asciiTheme="minorHAnsi" w:hAnsiTheme="minorHAnsi"/>
          <w:w w:val="110"/>
        </w:rPr>
        <w:t>y</w:t>
      </w:r>
      <w:r w:rsidR="00550CB7" w:rsidRPr="00542A7C">
        <w:rPr>
          <w:rFonts w:asciiTheme="minorHAnsi" w:hAnsiTheme="minorHAnsi"/>
          <w:spacing w:val="-16"/>
          <w:w w:val="110"/>
        </w:rPr>
        <w:t xml:space="preserve"> </w:t>
      </w:r>
      <w:r w:rsidR="00550CB7" w:rsidRPr="00542A7C">
        <w:rPr>
          <w:rFonts w:asciiTheme="minorHAnsi" w:hAnsiTheme="minorHAnsi"/>
          <w:w w:val="110"/>
        </w:rPr>
        <w:t>2021</w:t>
      </w:r>
      <w:r w:rsidR="00550CB7" w:rsidRPr="00542A7C">
        <w:rPr>
          <w:rFonts w:asciiTheme="minorHAnsi" w:hAnsiTheme="minorHAnsi"/>
          <w:spacing w:val="-16"/>
          <w:w w:val="110"/>
        </w:rPr>
        <w:t xml:space="preserve"> </w:t>
      </w:r>
      <w:r w:rsidR="00550CB7" w:rsidRPr="00542A7C">
        <w:rPr>
          <w:rFonts w:asciiTheme="minorHAnsi" w:hAnsiTheme="minorHAnsi"/>
          <w:w w:val="110"/>
        </w:rPr>
        <w:t>we</w:t>
      </w:r>
      <w:r w:rsidR="00550CB7" w:rsidRPr="00542A7C">
        <w:rPr>
          <w:rFonts w:asciiTheme="minorHAnsi" w:hAnsiTheme="minorHAnsi"/>
          <w:spacing w:val="-17"/>
          <w:w w:val="110"/>
        </w:rPr>
        <w:t xml:space="preserve"> </w:t>
      </w:r>
      <w:r w:rsidR="00550CB7" w:rsidRPr="00542A7C">
        <w:rPr>
          <w:rFonts w:asciiTheme="minorHAnsi" w:hAnsiTheme="minorHAnsi"/>
          <w:w w:val="110"/>
        </w:rPr>
        <w:t>expect</w:t>
      </w:r>
      <w:r w:rsidR="00550CB7" w:rsidRPr="00542A7C">
        <w:rPr>
          <w:rFonts w:asciiTheme="minorHAnsi" w:hAnsiTheme="minorHAnsi"/>
          <w:spacing w:val="-16"/>
          <w:w w:val="110"/>
        </w:rPr>
        <w:t xml:space="preserve"> </w:t>
      </w:r>
      <w:r w:rsidR="00550CB7" w:rsidRPr="00542A7C">
        <w:rPr>
          <w:rFonts w:asciiTheme="minorHAnsi" w:hAnsiTheme="minorHAnsi"/>
          <w:w w:val="110"/>
        </w:rPr>
        <w:t>th</w:t>
      </w:r>
      <w:r w:rsidR="00311344">
        <w:rPr>
          <w:rFonts w:asciiTheme="minorHAnsi" w:hAnsiTheme="minorHAnsi"/>
          <w:w w:val="110"/>
        </w:rPr>
        <w:t>is</w:t>
      </w:r>
      <w:r w:rsidR="00550CB7" w:rsidRPr="00542A7C">
        <w:rPr>
          <w:rFonts w:asciiTheme="minorHAnsi" w:hAnsiTheme="minorHAnsi"/>
          <w:spacing w:val="27"/>
          <w:w w:val="105"/>
        </w:rPr>
        <w:t xml:space="preserve"> </w:t>
      </w:r>
      <w:r w:rsidR="00550CB7" w:rsidRPr="00542A7C">
        <w:rPr>
          <w:rFonts w:asciiTheme="minorHAnsi" w:hAnsiTheme="minorHAnsi"/>
          <w:w w:val="110"/>
        </w:rPr>
        <w:t>will</w:t>
      </w:r>
      <w:r w:rsidR="00550CB7" w:rsidRPr="00542A7C">
        <w:rPr>
          <w:rFonts w:asciiTheme="minorHAnsi" w:hAnsiTheme="minorHAnsi"/>
          <w:spacing w:val="-37"/>
          <w:w w:val="110"/>
        </w:rPr>
        <w:t xml:space="preserve"> </w:t>
      </w:r>
      <w:r w:rsidR="00550CB7" w:rsidRPr="00542A7C">
        <w:rPr>
          <w:rFonts w:asciiTheme="minorHAnsi" w:hAnsiTheme="minorHAnsi"/>
          <w:w w:val="110"/>
        </w:rPr>
        <w:t>have</w:t>
      </w:r>
      <w:r w:rsidR="00550CB7" w:rsidRPr="00542A7C">
        <w:rPr>
          <w:rFonts w:asciiTheme="minorHAnsi" w:hAnsiTheme="minorHAnsi"/>
          <w:spacing w:val="-37"/>
          <w:w w:val="110"/>
        </w:rPr>
        <w:t xml:space="preserve"> </w:t>
      </w:r>
      <w:r w:rsidR="00550CB7" w:rsidRPr="00542A7C">
        <w:rPr>
          <w:rFonts w:asciiTheme="minorHAnsi" w:hAnsiTheme="minorHAnsi"/>
          <w:spacing w:val="-2"/>
          <w:w w:val="110"/>
        </w:rPr>
        <w:t>incr</w:t>
      </w:r>
      <w:r w:rsidR="00550CB7" w:rsidRPr="00542A7C">
        <w:rPr>
          <w:rFonts w:asciiTheme="minorHAnsi" w:hAnsiTheme="minorHAnsi"/>
          <w:spacing w:val="-1"/>
          <w:w w:val="110"/>
        </w:rPr>
        <w:t>eased</w:t>
      </w:r>
      <w:r w:rsidR="00550CB7" w:rsidRPr="00542A7C">
        <w:rPr>
          <w:rFonts w:asciiTheme="minorHAnsi" w:hAnsiTheme="minorHAnsi"/>
          <w:spacing w:val="-36"/>
          <w:w w:val="110"/>
        </w:rPr>
        <w:t xml:space="preserve"> </w:t>
      </w:r>
      <w:r w:rsidR="00550CB7" w:rsidRPr="00542A7C">
        <w:rPr>
          <w:rFonts w:asciiTheme="minorHAnsi" w:hAnsiTheme="minorHAnsi"/>
          <w:w w:val="110"/>
        </w:rPr>
        <w:t>to</w:t>
      </w:r>
      <w:r w:rsidR="00550CB7" w:rsidRPr="00542A7C">
        <w:rPr>
          <w:rFonts w:asciiTheme="minorHAnsi" w:hAnsiTheme="minorHAnsi"/>
          <w:spacing w:val="-37"/>
          <w:w w:val="110"/>
        </w:rPr>
        <w:t xml:space="preserve"> </w:t>
      </w:r>
      <w:r w:rsidR="00550CB7" w:rsidRPr="00542A7C">
        <w:rPr>
          <w:rFonts w:asciiTheme="minorHAnsi" w:hAnsiTheme="minorHAnsi"/>
          <w:w w:val="110"/>
        </w:rPr>
        <w:t>$</w:t>
      </w:r>
      <w:r w:rsidR="00B51175">
        <w:rPr>
          <w:rFonts w:asciiTheme="minorHAnsi" w:hAnsiTheme="minorHAnsi"/>
          <w:w w:val="110"/>
        </w:rPr>
        <w:t>74</w:t>
      </w:r>
      <w:r w:rsidR="00550CB7" w:rsidRPr="00542A7C">
        <w:rPr>
          <w:rFonts w:asciiTheme="minorHAnsi" w:hAnsiTheme="minorHAnsi"/>
          <w:spacing w:val="-37"/>
          <w:w w:val="110"/>
        </w:rPr>
        <w:t xml:space="preserve"> </w:t>
      </w:r>
      <w:r w:rsidR="00550CB7" w:rsidRPr="00542A7C">
        <w:rPr>
          <w:rFonts w:asciiTheme="minorHAnsi" w:hAnsiTheme="minorHAnsi"/>
          <w:w w:val="110"/>
        </w:rPr>
        <w:t>million.</w:t>
      </w:r>
    </w:p>
    <w:p w:rsidR="00550CB7" w:rsidRPr="00845A23" w:rsidRDefault="004318AE" w:rsidP="00271982">
      <w:pPr>
        <w:pStyle w:val="BodyText"/>
        <w:jc w:val="left"/>
        <w:rPr>
          <w:rFonts w:asciiTheme="minorHAnsi" w:hAnsiTheme="minorHAnsi"/>
        </w:rPr>
      </w:pPr>
      <w:r w:rsidRPr="00845A23">
        <w:rPr>
          <w:rFonts w:asciiTheme="minorHAnsi" w:hAnsiTheme="minorHAnsi"/>
          <w:w w:val="110"/>
        </w:rPr>
        <w:t xml:space="preserve">The Plan goes on to state that Council has </w:t>
      </w:r>
      <w:r w:rsidR="00550CB7" w:rsidRPr="00845A23">
        <w:rPr>
          <w:rFonts w:asciiTheme="minorHAnsi" w:hAnsiTheme="minorHAnsi"/>
          <w:w w:val="110"/>
        </w:rPr>
        <w:t>developed a</w:t>
      </w:r>
      <w:r w:rsidR="00550CB7" w:rsidRPr="00845A23">
        <w:rPr>
          <w:rFonts w:asciiTheme="minorHAnsi" w:hAnsiTheme="minorHAnsi"/>
          <w:spacing w:val="11"/>
          <w:w w:val="110"/>
        </w:rPr>
        <w:t xml:space="preserve"> </w:t>
      </w:r>
      <w:r w:rsidR="00550CB7" w:rsidRPr="00845A23">
        <w:rPr>
          <w:rFonts w:asciiTheme="minorHAnsi" w:hAnsiTheme="minorHAnsi"/>
          <w:w w:val="110"/>
        </w:rPr>
        <w:t>long-term</w:t>
      </w:r>
      <w:r w:rsidR="00550CB7" w:rsidRPr="00845A23">
        <w:rPr>
          <w:rFonts w:asciiTheme="minorHAnsi" w:hAnsiTheme="minorHAnsi"/>
          <w:spacing w:val="11"/>
          <w:w w:val="110"/>
        </w:rPr>
        <w:t xml:space="preserve"> </w:t>
      </w:r>
      <w:r w:rsidR="00550CB7" w:rsidRPr="00845A23">
        <w:rPr>
          <w:rFonts w:asciiTheme="minorHAnsi" w:hAnsiTheme="minorHAnsi"/>
          <w:w w:val="110"/>
        </w:rPr>
        <w:t>maintenance</w:t>
      </w:r>
      <w:r w:rsidR="00550CB7" w:rsidRPr="00845A23">
        <w:rPr>
          <w:rFonts w:asciiTheme="minorHAnsi" w:hAnsiTheme="minorHAnsi"/>
          <w:spacing w:val="11"/>
          <w:w w:val="110"/>
        </w:rPr>
        <w:t xml:space="preserve"> </w:t>
      </w:r>
      <w:r w:rsidR="00550CB7" w:rsidRPr="00845A23">
        <w:rPr>
          <w:rFonts w:asciiTheme="minorHAnsi" w:hAnsiTheme="minorHAnsi"/>
          <w:w w:val="110"/>
        </w:rPr>
        <w:t>and</w:t>
      </w:r>
      <w:r w:rsidR="00550CB7" w:rsidRPr="00845A23">
        <w:rPr>
          <w:rFonts w:asciiTheme="minorHAnsi" w:hAnsiTheme="minorHAnsi"/>
          <w:spacing w:val="25"/>
          <w:w w:val="121"/>
        </w:rPr>
        <w:t xml:space="preserve"> </w:t>
      </w:r>
      <w:r w:rsidR="00550CB7" w:rsidRPr="00845A23">
        <w:rPr>
          <w:rFonts w:asciiTheme="minorHAnsi" w:hAnsiTheme="minorHAnsi"/>
          <w:spacing w:val="-2"/>
          <w:w w:val="110"/>
        </w:rPr>
        <w:t>r</w:t>
      </w:r>
      <w:r w:rsidR="00550CB7" w:rsidRPr="00845A23">
        <w:rPr>
          <w:rFonts w:asciiTheme="minorHAnsi" w:hAnsiTheme="minorHAnsi"/>
          <w:spacing w:val="-1"/>
          <w:w w:val="110"/>
        </w:rPr>
        <w:t>enewal</w:t>
      </w:r>
      <w:r w:rsidR="00550CB7" w:rsidRPr="00845A23">
        <w:rPr>
          <w:rFonts w:asciiTheme="minorHAnsi" w:hAnsiTheme="minorHAnsi"/>
          <w:spacing w:val="-28"/>
          <w:w w:val="110"/>
        </w:rPr>
        <w:t xml:space="preserve"> </w:t>
      </w:r>
      <w:r w:rsidR="00550CB7" w:rsidRPr="00845A23">
        <w:rPr>
          <w:rFonts w:asciiTheme="minorHAnsi" w:hAnsiTheme="minorHAnsi"/>
          <w:w w:val="110"/>
        </w:rPr>
        <w:t xml:space="preserve">plan but </w:t>
      </w:r>
      <w:r w:rsidR="00550CB7" w:rsidRPr="00845A23">
        <w:rPr>
          <w:rFonts w:asciiTheme="minorHAnsi" w:hAnsiTheme="minorHAnsi"/>
          <w:w w:val="105"/>
        </w:rPr>
        <w:t>delivering</w:t>
      </w:r>
      <w:r w:rsidR="00550CB7" w:rsidRPr="00845A23">
        <w:rPr>
          <w:rFonts w:asciiTheme="minorHAnsi" w:hAnsiTheme="minorHAnsi"/>
          <w:spacing w:val="-2"/>
          <w:w w:val="105"/>
        </w:rPr>
        <w:t xml:space="preserve"> </w:t>
      </w:r>
      <w:r w:rsidR="00550CB7" w:rsidRPr="00845A23">
        <w:rPr>
          <w:rFonts w:asciiTheme="minorHAnsi" w:hAnsiTheme="minorHAnsi"/>
          <w:w w:val="105"/>
        </w:rPr>
        <w:t>on it</w:t>
      </w:r>
      <w:r w:rsidR="00550CB7" w:rsidRPr="00845A23">
        <w:rPr>
          <w:rFonts w:asciiTheme="minorHAnsi" w:hAnsiTheme="minorHAnsi"/>
          <w:spacing w:val="25"/>
          <w:w w:val="113"/>
        </w:rPr>
        <w:t xml:space="preserve"> </w:t>
      </w:r>
      <w:r w:rsidR="00550CB7" w:rsidRPr="00845A23">
        <w:rPr>
          <w:rFonts w:asciiTheme="minorHAnsi" w:hAnsiTheme="minorHAnsi"/>
          <w:w w:val="105"/>
        </w:rPr>
        <w:t>will</w:t>
      </w:r>
      <w:r w:rsidR="00550CB7" w:rsidRPr="00845A23">
        <w:rPr>
          <w:rFonts w:asciiTheme="minorHAnsi" w:hAnsiTheme="minorHAnsi"/>
          <w:spacing w:val="23"/>
          <w:w w:val="105"/>
        </w:rPr>
        <w:t xml:space="preserve"> </w:t>
      </w:r>
      <w:r w:rsidR="00550CB7" w:rsidRPr="00845A23">
        <w:rPr>
          <w:rFonts w:asciiTheme="minorHAnsi" w:hAnsiTheme="minorHAnsi"/>
          <w:w w:val="105"/>
        </w:rPr>
        <w:t>depend</w:t>
      </w:r>
      <w:r w:rsidR="00550CB7" w:rsidRPr="00845A23">
        <w:rPr>
          <w:rFonts w:asciiTheme="minorHAnsi" w:hAnsiTheme="minorHAnsi"/>
          <w:spacing w:val="24"/>
          <w:w w:val="105"/>
        </w:rPr>
        <w:t xml:space="preserve"> </w:t>
      </w:r>
      <w:r w:rsidR="00550CB7" w:rsidRPr="00845A23">
        <w:rPr>
          <w:rFonts w:asciiTheme="minorHAnsi" w:hAnsiTheme="minorHAnsi"/>
          <w:w w:val="105"/>
        </w:rPr>
        <w:t>on</w:t>
      </w:r>
      <w:r w:rsidR="00550CB7" w:rsidRPr="00845A23">
        <w:rPr>
          <w:rFonts w:asciiTheme="minorHAnsi" w:hAnsiTheme="minorHAnsi"/>
          <w:spacing w:val="24"/>
          <w:w w:val="105"/>
        </w:rPr>
        <w:t xml:space="preserve"> </w:t>
      </w:r>
      <w:r w:rsidR="00550CB7" w:rsidRPr="00845A23">
        <w:rPr>
          <w:rFonts w:asciiTheme="minorHAnsi" w:hAnsiTheme="minorHAnsi"/>
          <w:w w:val="105"/>
        </w:rPr>
        <w:t>our</w:t>
      </w:r>
      <w:r w:rsidR="00550CB7" w:rsidRPr="00845A23">
        <w:rPr>
          <w:rFonts w:asciiTheme="minorHAnsi" w:hAnsiTheme="minorHAnsi"/>
          <w:spacing w:val="23"/>
          <w:w w:val="105"/>
        </w:rPr>
        <w:t xml:space="preserve"> </w:t>
      </w:r>
      <w:r w:rsidR="00550CB7" w:rsidRPr="00845A23">
        <w:rPr>
          <w:rFonts w:asciiTheme="minorHAnsi" w:hAnsiTheme="minorHAnsi"/>
          <w:w w:val="105"/>
        </w:rPr>
        <w:t>capacity</w:t>
      </w:r>
      <w:r w:rsidR="00550CB7" w:rsidRPr="00845A23">
        <w:rPr>
          <w:rFonts w:asciiTheme="minorHAnsi" w:hAnsiTheme="minorHAnsi"/>
          <w:w w:val="117"/>
        </w:rPr>
        <w:t xml:space="preserve"> </w:t>
      </w:r>
      <w:r w:rsidR="00550CB7" w:rsidRPr="00845A23">
        <w:rPr>
          <w:rFonts w:asciiTheme="minorHAnsi" w:hAnsiTheme="minorHAnsi"/>
          <w:w w:val="105"/>
        </w:rPr>
        <w:t>to</w:t>
      </w:r>
      <w:r w:rsidR="00550CB7" w:rsidRPr="00845A23">
        <w:rPr>
          <w:rFonts w:asciiTheme="minorHAnsi" w:hAnsiTheme="minorHAnsi"/>
          <w:spacing w:val="6"/>
          <w:w w:val="105"/>
        </w:rPr>
        <w:t xml:space="preserve"> </w:t>
      </w:r>
      <w:r w:rsidR="00550CB7" w:rsidRPr="00845A23">
        <w:rPr>
          <w:rFonts w:asciiTheme="minorHAnsi" w:hAnsiTheme="minorHAnsi"/>
          <w:w w:val="105"/>
        </w:rPr>
        <w:t>find</w:t>
      </w:r>
      <w:r w:rsidR="00550CB7" w:rsidRPr="00845A23">
        <w:rPr>
          <w:rFonts w:asciiTheme="minorHAnsi" w:hAnsiTheme="minorHAnsi"/>
          <w:spacing w:val="6"/>
          <w:w w:val="105"/>
        </w:rPr>
        <w:t xml:space="preserve"> </w:t>
      </w:r>
      <w:r w:rsidR="00550CB7" w:rsidRPr="00845A23">
        <w:rPr>
          <w:rFonts w:asciiTheme="minorHAnsi" w:hAnsiTheme="minorHAnsi"/>
          <w:w w:val="105"/>
        </w:rPr>
        <w:t>additional</w:t>
      </w:r>
      <w:r w:rsidR="00550CB7" w:rsidRPr="00845A23">
        <w:rPr>
          <w:rFonts w:asciiTheme="minorHAnsi" w:hAnsiTheme="minorHAnsi"/>
          <w:spacing w:val="6"/>
          <w:w w:val="105"/>
        </w:rPr>
        <w:t xml:space="preserve"> </w:t>
      </w:r>
      <w:r w:rsidR="00550CB7" w:rsidRPr="00845A23">
        <w:rPr>
          <w:rFonts w:asciiTheme="minorHAnsi" w:hAnsiTheme="minorHAnsi"/>
          <w:w w:val="105"/>
        </w:rPr>
        <w:t>income</w:t>
      </w:r>
      <w:r w:rsidR="00550CB7" w:rsidRPr="00845A23">
        <w:rPr>
          <w:rFonts w:asciiTheme="minorHAnsi" w:hAnsiTheme="minorHAnsi"/>
          <w:spacing w:val="6"/>
          <w:w w:val="105"/>
        </w:rPr>
        <w:t xml:space="preserve"> </w:t>
      </w:r>
      <w:r w:rsidR="00550CB7" w:rsidRPr="00845A23">
        <w:rPr>
          <w:rFonts w:asciiTheme="minorHAnsi" w:hAnsiTheme="minorHAnsi"/>
          <w:w w:val="105"/>
        </w:rPr>
        <w:t>including rate increases</w:t>
      </w:r>
      <w:r w:rsidR="00550CB7" w:rsidRPr="00845A23">
        <w:rPr>
          <w:rFonts w:asciiTheme="minorHAnsi" w:hAnsiTheme="minorHAnsi"/>
          <w:spacing w:val="-1"/>
          <w:w w:val="110"/>
        </w:rPr>
        <w:t>.</w:t>
      </w:r>
    </w:p>
    <w:p w:rsidR="00271982" w:rsidRDefault="00D66E7B" w:rsidP="00271982">
      <w:pPr>
        <w:pStyle w:val="BodyText"/>
        <w:jc w:val="left"/>
        <w:rPr>
          <w:rFonts w:asciiTheme="minorHAnsi" w:hAnsiTheme="minorHAnsi"/>
        </w:rPr>
      </w:pPr>
      <w:r w:rsidRPr="00845A23">
        <w:rPr>
          <w:rFonts w:asciiTheme="minorHAnsi" w:hAnsiTheme="minorHAnsi"/>
        </w:rPr>
        <w:t xml:space="preserve">The </w:t>
      </w:r>
      <w:r w:rsidRPr="006D365F">
        <w:rPr>
          <w:rFonts w:asciiTheme="minorHAnsi" w:hAnsiTheme="minorHAnsi"/>
          <w:u w:val="single"/>
        </w:rPr>
        <w:t>Delivery Program</w:t>
      </w:r>
      <w:r w:rsidRPr="00845A23">
        <w:rPr>
          <w:rFonts w:asciiTheme="minorHAnsi" w:hAnsiTheme="minorHAnsi"/>
        </w:rPr>
        <w:t xml:space="preserve"> 2013 – 2016 outlines the need for additional revenues and </w:t>
      </w:r>
      <w:proofErr w:type="spellStart"/>
      <w:r w:rsidR="00933E82" w:rsidRPr="00845A23">
        <w:rPr>
          <w:rFonts w:asciiTheme="minorHAnsi" w:hAnsiTheme="minorHAnsi"/>
        </w:rPr>
        <w:t>TCorp</w:t>
      </w:r>
      <w:proofErr w:type="spellEnd"/>
      <w:r w:rsidR="00933E82" w:rsidRPr="00845A23">
        <w:rPr>
          <w:rFonts w:asciiTheme="minorHAnsi" w:hAnsiTheme="minorHAnsi"/>
        </w:rPr>
        <w:t xml:space="preserve"> comments were included to advise the community of the financial challenges. We advised that </w:t>
      </w:r>
      <w:proofErr w:type="spellStart"/>
      <w:proofErr w:type="gramStart"/>
      <w:r w:rsidR="00311344">
        <w:rPr>
          <w:rFonts w:asciiTheme="minorHAnsi" w:hAnsiTheme="minorHAnsi"/>
        </w:rPr>
        <w:t>TCorp’s</w:t>
      </w:r>
      <w:proofErr w:type="spellEnd"/>
      <w:r w:rsidR="00311344">
        <w:rPr>
          <w:rFonts w:asciiTheme="minorHAnsi" w:hAnsiTheme="minorHAnsi"/>
        </w:rPr>
        <w:t xml:space="preserve"> </w:t>
      </w:r>
      <w:r w:rsidR="00933E82" w:rsidRPr="00845A23">
        <w:rPr>
          <w:rFonts w:asciiTheme="minorHAnsi" w:hAnsiTheme="minorHAnsi"/>
        </w:rPr>
        <w:t xml:space="preserve"> a</w:t>
      </w:r>
      <w:r w:rsidRPr="00845A23">
        <w:rPr>
          <w:rFonts w:asciiTheme="minorHAnsi" w:hAnsiTheme="minorHAnsi"/>
        </w:rPr>
        <w:t>ssessment</w:t>
      </w:r>
      <w:proofErr w:type="gramEnd"/>
      <w:r w:rsidRPr="00845A23">
        <w:rPr>
          <w:rFonts w:asciiTheme="minorHAnsi" w:hAnsiTheme="minorHAnsi"/>
        </w:rPr>
        <w:t xml:space="preserve"> has evaluated Council’s financial position as “very weak”, based on</w:t>
      </w:r>
    </w:p>
    <w:p w:rsidR="00933E82" w:rsidRPr="00845A23" w:rsidRDefault="00D66E7B" w:rsidP="00271982">
      <w:pPr>
        <w:pStyle w:val="BodyText"/>
        <w:ind w:left="-567"/>
        <w:jc w:val="left"/>
        <w:rPr>
          <w:rFonts w:asciiTheme="minorHAnsi" w:hAnsiTheme="minorHAnsi"/>
        </w:rPr>
      </w:pPr>
      <w:r w:rsidRPr="00845A23">
        <w:rPr>
          <w:rFonts w:asciiTheme="minorHAnsi" w:hAnsiTheme="minorHAnsi"/>
        </w:rPr>
        <w:lastRenderedPageBreak/>
        <w:t>Council’s initial assessment of the condition of its assets and our ability t</w:t>
      </w:r>
      <w:r w:rsidR="00933E82" w:rsidRPr="00845A23">
        <w:rPr>
          <w:rFonts w:asciiTheme="minorHAnsi" w:hAnsiTheme="minorHAnsi"/>
        </w:rPr>
        <w:t>o</w:t>
      </w:r>
      <w:r w:rsidRPr="00845A23">
        <w:rPr>
          <w:rFonts w:asciiTheme="minorHAnsi" w:hAnsiTheme="minorHAnsi"/>
        </w:rPr>
        <w:t xml:space="preserve"> meet costs associated with their maintenance and renewal.  </w:t>
      </w:r>
      <w:r w:rsidR="00933E82" w:rsidRPr="00845A23">
        <w:rPr>
          <w:rFonts w:asciiTheme="minorHAnsi" w:hAnsiTheme="minorHAnsi"/>
        </w:rPr>
        <w:t>We advised the community that we</w:t>
      </w:r>
      <w:r w:rsidRPr="00845A23">
        <w:rPr>
          <w:rFonts w:asciiTheme="minorHAnsi" w:hAnsiTheme="minorHAnsi"/>
        </w:rPr>
        <w:t xml:space="preserve"> will undertake an extended period of </w:t>
      </w:r>
      <w:r w:rsidR="00271982">
        <w:rPr>
          <w:rFonts w:asciiTheme="minorHAnsi" w:hAnsiTheme="minorHAnsi"/>
        </w:rPr>
        <w:t>c</w:t>
      </w:r>
      <w:r w:rsidRPr="00845A23">
        <w:rPr>
          <w:rFonts w:asciiTheme="minorHAnsi" w:hAnsiTheme="minorHAnsi"/>
        </w:rPr>
        <w:t xml:space="preserve">ommunity engagement aimed at establishing community expectations of service levels for its infrastructure.  This will allow a better determination to be made about maintenance and renewal requirements and the level of rates required to achieve these.  </w:t>
      </w:r>
    </w:p>
    <w:p w:rsidR="004318AE" w:rsidRPr="00845A23" w:rsidRDefault="004318AE" w:rsidP="00271982">
      <w:pPr>
        <w:pStyle w:val="BodyText"/>
        <w:ind w:left="-567"/>
        <w:jc w:val="left"/>
        <w:rPr>
          <w:rFonts w:asciiTheme="minorHAnsi" w:hAnsiTheme="minorHAnsi"/>
        </w:rPr>
      </w:pPr>
      <w:r w:rsidRPr="00845A23">
        <w:rPr>
          <w:rFonts w:asciiTheme="minorHAnsi" w:hAnsiTheme="minorHAnsi"/>
        </w:rPr>
        <w:t xml:space="preserve">The Delivery Program goes on further to state that </w:t>
      </w:r>
      <w:r w:rsidR="00D66E7B" w:rsidRPr="00845A23">
        <w:rPr>
          <w:rFonts w:asciiTheme="minorHAnsi" w:hAnsiTheme="minorHAnsi"/>
        </w:rPr>
        <w:t>Council’s finances will continue to be constrained in the coming years.  T</w:t>
      </w:r>
      <w:r w:rsidRPr="00845A23">
        <w:rPr>
          <w:rFonts w:asciiTheme="minorHAnsi" w:hAnsiTheme="minorHAnsi"/>
        </w:rPr>
        <w:t>hat t</w:t>
      </w:r>
      <w:r w:rsidR="00D66E7B" w:rsidRPr="00845A23">
        <w:rPr>
          <w:rFonts w:asciiTheme="minorHAnsi" w:hAnsiTheme="minorHAnsi"/>
        </w:rPr>
        <w:t xml:space="preserve">here will be insufficient funds to complete all the activities and community projects that we would like to undertake and Council will be seeking a Special Variation to be in force during the period of this plan and beyond, to improve Council's financial sustainability.  </w:t>
      </w:r>
    </w:p>
    <w:p w:rsidR="003C002E" w:rsidRPr="00845A23" w:rsidRDefault="00933E82" w:rsidP="00271982">
      <w:pPr>
        <w:pStyle w:val="BodyText"/>
        <w:ind w:left="-567"/>
        <w:jc w:val="left"/>
        <w:rPr>
          <w:rFonts w:asciiTheme="minorHAnsi" w:hAnsiTheme="minorHAnsi"/>
        </w:rPr>
      </w:pPr>
      <w:r w:rsidRPr="00845A23">
        <w:rPr>
          <w:rFonts w:asciiTheme="minorHAnsi" w:hAnsiTheme="minorHAnsi"/>
        </w:rPr>
        <w:t xml:space="preserve">Specifically itemised </w:t>
      </w:r>
      <w:r w:rsidR="004318AE" w:rsidRPr="00845A23">
        <w:rPr>
          <w:rFonts w:asciiTheme="minorHAnsi" w:hAnsiTheme="minorHAnsi"/>
        </w:rPr>
        <w:t xml:space="preserve">in the Delivery Program </w:t>
      </w:r>
      <w:r w:rsidRPr="00845A23">
        <w:rPr>
          <w:rFonts w:asciiTheme="minorHAnsi" w:hAnsiTheme="minorHAnsi"/>
        </w:rPr>
        <w:t>u</w:t>
      </w:r>
      <w:r w:rsidR="003C002E" w:rsidRPr="00845A23">
        <w:rPr>
          <w:rFonts w:asciiTheme="minorHAnsi" w:hAnsiTheme="minorHAnsi"/>
        </w:rPr>
        <w:t xml:space="preserve">nder Key Direction 1, Maintaining Core Infrastructure, </w:t>
      </w:r>
      <w:r w:rsidR="00D66E7B" w:rsidRPr="00845A23">
        <w:rPr>
          <w:rFonts w:asciiTheme="minorHAnsi" w:hAnsiTheme="minorHAnsi"/>
        </w:rPr>
        <w:t xml:space="preserve">Delivery Program </w:t>
      </w:r>
      <w:r w:rsidR="003C002E" w:rsidRPr="00845A23">
        <w:rPr>
          <w:rFonts w:asciiTheme="minorHAnsi" w:hAnsiTheme="minorHAnsi"/>
        </w:rPr>
        <w:t xml:space="preserve">Objective 1 is that Public Assets and Infrastructure will be planned, managed and funded to agreed levels of service.  Strategy 1.2 to achieve this is </w:t>
      </w:r>
      <w:r w:rsidR="00271982">
        <w:rPr>
          <w:rFonts w:asciiTheme="minorHAnsi" w:hAnsiTheme="minorHAnsi"/>
        </w:rPr>
        <w:t>“</w:t>
      </w:r>
      <w:r w:rsidR="003C002E" w:rsidRPr="00845A23">
        <w:rPr>
          <w:rFonts w:asciiTheme="minorHAnsi" w:hAnsiTheme="minorHAnsi"/>
        </w:rPr>
        <w:t>to conduct annual condition assessments and valuations</w:t>
      </w:r>
      <w:r w:rsidR="00271982">
        <w:rPr>
          <w:rFonts w:asciiTheme="minorHAnsi" w:hAnsiTheme="minorHAnsi"/>
        </w:rPr>
        <w:t>”</w:t>
      </w:r>
      <w:r w:rsidR="003C002E" w:rsidRPr="00845A23">
        <w:rPr>
          <w:rFonts w:asciiTheme="minorHAnsi" w:hAnsiTheme="minorHAnsi"/>
        </w:rPr>
        <w:t xml:space="preserve"> and </w:t>
      </w:r>
      <w:r w:rsidR="00271982">
        <w:rPr>
          <w:rFonts w:asciiTheme="minorHAnsi" w:hAnsiTheme="minorHAnsi"/>
        </w:rPr>
        <w:t>“</w:t>
      </w:r>
      <w:r w:rsidR="003C002E" w:rsidRPr="00845A23">
        <w:rPr>
          <w:rFonts w:asciiTheme="minorHAnsi" w:hAnsiTheme="minorHAnsi"/>
        </w:rPr>
        <w:t xml:space="preserve">to </w:t>
      </w:r>
      <w:r w:rsidR="003C002E" w:rsidRPr="00845A23">
        <w:rPr>
          <w:rFonts w:asciiTheme="minorHAnsi" w:hAnsiTheme="minorHAnsi"/>
          <w:color w:val="000000" w:themeColor="text1"/>
        </w:rPr>
        <w:t>evaluate asset maintenance and replacement requirements</w:t>
      </w:r>
      <w:r w:rsidR="00271982">
        <w:rPr>
          <w:rFonts w:asciiTheme="minorHAnsi" w:hAnsiTheme="minorHAnsi"/>
          <w:color w:val="000000" w:themeColor="text1"/>
        </w:rPr>
        <w:t>”</w:t>
      </w:r>
      <w:r w:rsidR="003C002E" w:rsidRPr="00845A23">
        <w:rPr>
          <w:rFonts w:asciiTheme="minorHAnsi" w:hAnsiTheme="minorHAnsi"/>
          <w:color w:val="000000" w:themeColor="text1"/>
        </w:rPr>
        <w:t xml:space="preserve">. To achieve the funding component under Key Direction 5, Governance, Objective 4 is </w:t>
      </w:r>
      <w:r w:rsidR="00271982">
        <w:rPr>
          <w:rFonts w:asciiTheme="minorHAnsi" w:hAnsiTheme="minorHAnsi"/>
          <w:color w:val="000000" w:themeColor="text1"/>
        </w:rPr>
        <w:t>“</w:t>
      </w:r>
      <w:r w:rsidR="003C002E" w:rsidRPr="00845A23">
        <w:rPr>
          <w:rFonts w:asciiTheme="minorHAnsi" w:hAnsiTheme="minorHAnsi"/>
          <w:color w:val="000000" w:themeColor="text1"/>
        </w:rPr>
        <w:t xml:space="preserve">to </w:t>
      </w:r>
      <w:r w:rsidRPr="00845A23">
        <w:rPr>
          <w:rFonts w:asciiTheme="minorHAnsi" w:hAnsiTheme="minorHAnsi"/>
          <w:color w:val="000000" w:themeColor="text1"/>
        </w:rPr>
        <w:t>e</w:t>
      </w:r>
      <w:r w:rsidR="003C002E" w:rsidRPr="00845A23">
        <w:rPr>
          <w:rFonts w:asciiTheme="minorHAnsi" w:hAnsiTheme="minorHAnsi"/>
          <w:color w:val="000000" w:themeColor="text1"/>
        </w:rPr>
        <w:t>nsure ongoing financial sustainability</w:t>
      </w:r>
      <w:r w:rsidR="00271982">
        <w:rPr>
          <w:rFonts w:asciiTheme="minorHAnsi" w:hAnsiTheme="minorHAnsi"/>
          <w:color w:val="000000" w:themeColor="text1"/>
        </w:rPr>
        <w:t>”</w:t>
      </w:r>
      <w:r w:rsidR="003C002E" w:rsidRPr="00845A23">
        <w:rPr>
          <w:rFonts w:asciiTheme="minorHAnsi" w:hAnsiTheme="minorHAnsi"/>
          <w:color w:val="000000" w:themeColor="text1"/>
        </w:rPr>
        <w:t xml:space="preserve"> with Strategy 4.1 to achieve this through </w:t>
      </w:r>
      <w:r w:rsidR="00271982">
        <w:rPr>
          <w:rFonts w:asciiTheme="minorHAnsi" w:hAnsiTheme="minorHAnsi"/>
          <w:color w:val="000000" w:themeColor="text1"/>
        </w:rPr>
        <w:t>“</w:t>
      </w:r>
      <w:r w:rsidRPr="00845A23">
        <w:rPr>
          <w:rFonts w:asciiTheme="minorHAnsi" w:hAnsiTheme="minorHAnsi"/>
          <w:color w:val="000000" w:themeColor="text1"/>
        </w:rPr>
        <w:t>the p</w:t>
      </w:r>
      <w:r w:rsidR="003C002E" w:rsidRPr="00845A23">
        <w:rPr>
          <w:rFonts w:asciiTheme="minorHAnsi" w:hAnsiTheme="minorHAnsi"/>
        </w:rPr>
        <w:t>repar</w:t>
      </w:r>
      <w:r w:rsidRPr="00845A23">
        <w:rPr>
          <w:rFonts w:asciiTheme="minorHAnsi" w:hAnsiTheme="minorHAnsi"/>
        </w:rPr>
        <w:t>ation of</w:t>
      </w:r>
      <w:r w:rsidR="003C002E" w:rsidRPr="00845A23">
        <w:rPr>
          <w:rFonts w:asciiTheme="minorHAnsi" w:hAnsiTheme="minorHAnsi"/>
        </w:rPr>
        <w:t xml:space="preserve"> a Special Variation (SV) application for implementation from 201</w:t>
      </w:r>
      <w:r w:rsidR="001D3113" w:rsidRPr="00845A23">
        <w:rPr>
          <w:rFonts w:asciiTheme="minorHAnsi" w:hAnsiTheme="minorHAnsi"/>
        </w:rPr>
        <w:t>5</w:t>
      </w:r>
      <w:r w:rsidR="003C002E" w:rsidRPr="00845A23">
        <w:rPr>
          <w:rFonts w:asciiTheme="minorHAnsi" w:hAnsiTheme="minorHAnsi"/>
        </w:rPr>
        <w:t>-1</w:t>
      </w:r>
      <w:r w:rsidR="001D3113" w:rsidRPr="00845A23">
        <w:rPr>
          <w:rFonts w:asciiTheme="minorHAnsi" w:hAnsiTheme="minorHAnsi"/>
        </w:rPr>
        <w:t>6 FY</w:t>
      </w:r>
      <w:r w:rsidR="00271982">
        <w:rPr>
          <w:rFonts w:asciiTheme="minorHAnsi" w:hAnsiTheme="minorHAnsi"/>
        </w:rPr>
        <w:t>”</w:t>
      </w:r>
      <w:r w:rsidR="001D3113" w:rsidRPr="00845A23">
        <w:rPr>
          <w:rFonts w:asciiTheme="minorHAnsi" w:hAnsiTheme="minorHAnsi"/>
        </w:rPr>
        <w:t>.</w:t>
      </w:r>
    </w:p>
    <w:p w:rsidR="00550CB7" w:rsidRDefault="00550CB7" w:rsidP="00271982">
      <w:pPr>
        <w:pStyle w:val="BodyText"/>
        <w:ind w:left="-567"/>
        <w:jc w:val="left"/>
        <w:rPr>
          <w:rFonts w:asciiTheme="minorHAnsi" w:hAnsiTheme="minorHAnsi"/>
        </w:rPr>
      </w:pPr>
      <w:r w:rsidRPr="00845A23">
        <w:rPr>
          <w:rFonts w:asciiTheme="minorHAnsi" w:hAnsiTheme="minorHAnsi"/>
        </w:rPr>
        <w:t xml:space="preserve">Council’s </w:t>
      </w:r>
      <w:r w:rsidRPr="006D365F">
        <w:rPr>
          <w:rFonts w:asciiTheme="minorHAnsi" w:hAnsiTheme="minorHAnsi"/>
          <w:u w:val="single"/>
        </w:rPr>
        <w:t>Asset Management Plan</w:t>
      </w:r>
      <w:r w:rsidRPr="00845A23">
        <w:rPr>
          <w:rFonts w:asciiTheme="minorHAnsi" w:hAnsiTheme="minorHAnsi"/>
        </w:rPr>
        <w:t xml:space="preserve"> details the standards of service , roads and bridge hierarchy, risks and costs together with a desired capital and maintenance works program set against our restrained funding plan. The definitive option of a SV is clearly identified in the Plan as a necessary resolution for this shortfall.</w:t>
      </w:r>
    </w:p>
    <w:p w:rsidR="00C234BE" w:rsidRPr="00C234BE" w:rsidRDefault="00C234BE" w:rsidP="00271982">
      <w:pPr>
        <w:pStyle w:val="BodyText"/>
        <w:ind w:left="-567"/>
        <w:jc w:val="left"/>
        <w:rPr>
          <w:rFonts w:asciiTheme="minorHAnsi" w:hAnsiTheme="minorHAnsi"/>
          <w:szCs w:val="22"/>
        </w:rPr>
      </w:pPr>
      <w:r w:rsidRPr="00C234BE">
        <w:rPr>
          <w:rFonts w:asciiTheme="minorHAnsi" w:hAnsiTheme="minorHAnsi"/>
          <w:szCs w:val="22"/>
        </w:rPr>
        <w:t>Council has defined service levels in two terms</w:t>
      </w:r>
      <w:r w:rsidR="00271982">
        <w:rPr>
          <w:rFonts w:asciiTheme="minorHAnsi" w:hAnsiTheme="minorHAnsi"/>
          <w:szCs w:val="22"/>
        </w:rPr>
        <w:t>; Community Levels of Service and Technical Measures of Performance</w:t>
      </w:r>
      <w:r w:rsidRPr="00C234BE">
        <w:rPr>
          <w:rFonts w:asciiTheme="minorHAnsi" w:hAnsiTheme="minorHAnsi"/>
          <w:szCs w:val="22"/>
        </w:rPr>
        <w:t>.</w:t>
      </w:r>
    </w:p>
    <w:p w:rsidR="00C234BE" w:rsidRPr="00C234BE" w:rsidRDefault="00C234BE" w:rsidP="00271982">
      <w:pPr>
        <w:pStyle w:val="BodyText"/>
        <w:ind w:left="-567"/>
        <w:jc w:val="left"/>
        <w:rPr>
          <w:rFonts w:asciiTheme="minorHAnsi" w:hAnsiTheme="minorHAnsi"/>
          <w:szCs w:val="22"/>
        </w:rPr>
      </w:pPr>
      <w:r w:rsidRPr="00C234BE">
        <w:rPr>
          <w:rFonts w:asciiTheme="minorHAnsi" w:hAnsiTheme="minorHAnsi"/>
          <w:szCs w:val="22"/>
        </w:rPr>
        <w:t xml:space="preserve">The Community Levels of Service </w:t>
      </w:r>
      <w:r w:rsidR="00E00026">
        <w:rPr>
          <w:rFonts w:asciiTheme="minorHAnsi" w:hAnsiTheme="minorHAnsi"/>
          <w:szCs w:val="22"/>
        </w:rPr>
        <w:t xml:space="preserve">(LOS) </w:t>
      </w:r>
      <w:r w:rsidRPr="00C234BE">
        <w:rPr>
          <w:rFonts w:asciiTheme="minorHAnsi" w:hAnsiTheme="minorHAnsi"/>
          <w:szCs w:val="22"/>
        </w:rPr>
        <w:t>relate to the service outcomes that the community wants in terms of safety, quality, quantity, reliability, responsiveness, cost effectiveness and legislative compliance.</w:t>
      </w:r>
    </w:p>
    <w:p w:rsidR="00C234BE" w:rsidRPr="00C234BE" w:rsidRDefault="00C234BE" w:rsidP="00271982">
      <w:pPr>
        <w:pStyle w:val="BodyText"/>
        <w:ind w:left="-567"/>
        <w:jc w:val="left"/>
        <w:rPr>
          <w:rFonts w:asciiTheme="minorHAnsi" w:hAnsiTheme="minorHAnsi"/>
          <w:szCs w:val="22"/>
        </w:rPr>
      </w:pPr>
      <w:r w:rsidRPr="00C234BE">
        <w:rPr>
          <w:rFonts w:asciiTheme="minorHAnsi" w:hAnsiTheme="minorHAnsi"/>
          <w:szCs w:val="22"/>
        </w:rPr>
        <w:t>Community levels of service measures used in the asset management plan are:</w:t>
      </w:r>
    </w:p>
    <w:p w:rsidR="00C234BE" w:rsidRPr="00C234BE" w:rsidRDefault="00C234BE" w:rsidP="0060639F">
      <w:pPr>
        <w:pStyle w:val="BodyText"/>
        <w:numPr>
          <w:ilvl w:val="0"/>
          <w:numId w:val="36"/>
        </w:numPr>
        <w:jc w:val="left"/>
        <w:rPr>
          <w:rFonts w:asciiTheme="minorHAnsi" w:hAnsiTheme="minorHAnsi"/>
          <w:szCs w:val="22"/>
        </w:rPr>
      </w:pPr>
      <w:r w:rsidRPr="00C234BE">
        <w:rPr>
          <w:rFonts w:asciiTheme="minorHAnsi" w:hAnsiTheme="minorHAnsi"/>
          <w:szCs w:val="22"/>
        </w:rPr>
        <w:t>Quality</w:t>
      </w:r>
      <w:r w:rsidRPr="00C234BE">
        <w:rPr>
          <w:rFonts w:asciiTheme="minorHAnsi" w:hAnsiTheme="minorHAnsi"/>
          <w:szCs w:val="22"/>
        </w:rPr>
        <w:tab/>
      </w:r>
      <w:r w:rsidRPr="00C234BE">
        <w:rPr>
          <w:rFonts w:asciiTheme="minorHAnsi" w:hAnsiTheme="minorHAnsi"/>
          <w:szCs w:val="22"/>
        </w:rPr>
        <w:tab/>
      </w:r>
      <w:r w:rsidRPr="00C234BE">
        <w:rPr>
          <w:rFonts w:asciiTheme="minorHAnsi" w:hAnsiTheme="minorHAnsi"/>
          <w:szCs w:val="22"/>
        </w:rPr>
        <w:tab/>
        <w:t>How good is the service?</w:t>
      </w:r>
    </w:p>
    <w:p w:rsidR="00C234BE" w:rsidRPr="00C234BE" w:rsidRDefault="00E00026" w:rsidP="0060639F">
      <w:pPr>
        <w:pStyle w:val="BodyText"/>
        <w:numPr>
          <w:ilvl w:val="0"/>
          <w:numId w:val="36"/>
        </w:numPr>
        <w:jc w:val="left"/>
        <w:rPr>
          <w:rFonts w:asciiTheme="minorHAnsi" w:hAnsiTheme="minorHAnsi"/>
          <w:szCs w:val="22"/>
        </w:rPr>
      </w:pPr>
      <w:r>
        <w:rPr>
          <w:rFonts w:asciiTheme="minorHAnsi" w:hAnsiTheme="minorHAnsi"/>
          <w:szCs w:val="22"/>
        </w:rPr>
        <w:t>Function</w:t>
      </w:r>
      <w:r>
        <w:rPr>
          <w:rFonts w:asciiTheme="minorHAnsi" w:hAnsiTheme="minorHAnsi"/>
          <w:szCs w:val="22"/>
        </w:rPr>
        <w:tab/>
      </w:r>
      <w:r>
        <w:rPr>
          <w:rFonts w:asciiTheme="minorHAnsi" w:hAnsiTheme="minorHAnsi"/>
          <w:szCs w:val="22"/>
        </w:rPr>
        <w:tab/>
      </w:r>
      <w:r w:rsidR="00C234BE" w:rsidRPr="00C234BE">
        <w:rPr>
          <w:rFonts w:asciiTheme="minorHAnsi" w:hAnsiTheme="minorHAnsi"/>
          <w:szCs w:val="22"/>
        </w:rPr>
        <w:t>Does it meet users’ needs?</w:t>
      </w:r>
    </w:p>
    <w:p w:rsidR="00C234BE" w:rsidRPr="00C234BE" w:rsidRDefault="00C234BE" w:rsidP="0060639F">
      <w:pPr>
        <w:pStyle w:val="BodyText"/>
        <w:numPr>
          <w:ilvl w:val="0"/>
          <w:numId w:val="36"/>
        </w:numPr>
        <w:jc w:val="left"/>
        <w:rPr>
          <w:rFonts w:asciiTheme="minorHAnsi" w:hAnsiTheme="minorHAnsi"/>
          <w:szCs w:val="22"/>
        </w:rPr>
      </w:pPr>
      <w:r w:rsidRPr="00C234BE">
        <w:rPr>
          <w:rFonts w:asciiTheme="minorHAnsi" w:hAnsiTheme="minorHAnsi"/>
          <w:szCs w:val="22"/>
        </w:rPr>
        <w:t>Safety</w:t>
      </w:r>
      <w:r w:rsidRPr="00C234BE">
        <w:rPr>
          <w:rFonts w:asciiTheme="minorHAnsi" w:hAnsiTheme="minorHAnsi"/>
          <w:szCs w:val="22"/>
        </w:rPr>
        <w:tab/>
      </w:r>
      <w:r w:rsidRPr="00C234BE">
        <w:rPr>
          <w:rFonts w:asciiTheme="minorHAnsi" w:hAnsiTheme="minorHAnsi"/>
          <w:szCs w:val="22"/>
        </w:rPr>
        <w:tab/>
      </w:r>
      <w:r w:rsidRPr="00C234BE">
        <w:rPr>
          <w:rFonts w:asciiTheme="minorHAnsi" w:hAnsiTheme="minorHAnsi"/>
          <w:szCs w:val="22"/>
        </w:rPr>
        <w:tab/>
        <w:t>Is the service safe?</w:t>
      </w:r>
    </w:p>
    <w:p w:rsidR="00C234BE" w:rsidRPr="00C234BE" w:rsidRDefault="00C234BE" w:rsidP="00271982">
      <w:pPr>
        <w:pStyle w:val="BodyText"/>
        <w:ind w:left="-567"/>
        <w:jc w:val="left"/>
        <w:rPr>
          <w:rFonts w:asciiTheme="minorHAnsi" w:hAnsiTheme="minorHAnsi"/>
          <w:szCs w:val="22"/>
        </w:rPr>
      </w:pPr>
      <w:r w:rsidRPr="00C234BE">
        <w:rPr>
          <w:rFonts w:asciiTheme="minorHAnsi" w:hAnsiTheme="minorHAnsi"/>
          <w:szCs w:val="22"/>
        </w:rPr>
        <w:t>Supporting the community service levels are operational or technical measures of performance. These technical measures relate to the allocation of resources to service activities that the council undertakes to best achieve the desired community outcomes.</w:t>
      </w:r>
    </w:p>
    <w:p w:rsidR="00C234BE" w:rsidRPr="00C234BE" w:rsidRDefault="00C234BE" w:rsidP="00271982">
      <w:pPr>
        <w:pStyle w:val="BodyText"/>
        <w:ind w:hanging="567"/>
        <w:jc w:val="left"/>
        <w:rPr>
          <w:rFonts w:asciiTheme="minorHAnsi" w:hAnsiTheme="minorHAnsi"/>
          <w:szCs w:val="22"/>
        </w:rPr>
      </w:pPr>
      <w:r w:rsidRPr="00C234BE">
        <w:rPr>
          <w:rFonts w:asciiTheme="minorHAnsi" w:hAnsiTheme="minorHAnsi"/>
          <w:szCs w:val="22"/>
        </w:rPr>
        <w:t>Technical service measures are linked to annual budgets covering:</w:t>
      </w:r>
    </w:p>
    <w:p w:rsidR="00C234BE" w:rsidRPr="00C234BE" w:rsidRDefault="00C234BE" w:rsidP="0060639F">
      <w:pPr>
        <w:pStyle w:val="BodyText"/>
        <w:numPr>
          <w:ilvl w:val="0"/>
          <w:numId w:val="37"/>
        </w:numPr>
        <w:jc w:val="left"/>
        <w:rPr>
          <w:rFonts w:asciiTheme="minorHAnsi" w:hAnsiTheme="minorHAnsi"/>
          <w:szCs w:val="22"/>
        </w:rPr>
      </w:pPr>
      <w:r w:rsidRPr="00C234BE">
        <w:rPr>
          <w:rFonts w:asciiTheme="minorHAnsi" w:hAnsiTheme="minorHAnsi"/>
          <w:szCs w:val="22"/>
        </w:rPr>
        <w:t>Operations – the regular activities to provide services such as opening hours, cleansing frequency, mowing frequency, etc.</w:t>
      </w:r>
    </w:p>
    <w:p w:rsidR="00C234BE" w:rsidRPr="00C234BE" w:rsidRDefault="00C234BE" w:rsidP="0060639F">
      <w:pPr>
        <w:pStyle w:val="BodyText"/>
        <w:numPr>
          <w:ilvl w:val="0"/>
          <w:numId w:val="37"/>
        </w:numPr>
        <w:jc w:val="left"/>
        <w:rPr>
          <w:rFonts w:asciiTheme="minorHAnsi" w:hAnsiTheme="minorHAnsi"/>
          <w:szCs w:val="22"/>
        </w:rPr>
      </w:pPr>
      <w:r w:rsidRPr="00C234BE">
        <w:rPr>
          <w:rFonts w:asciiTheme="minorHAnsi" w:hAnsiTheme="minorHAnsi"/>
          <w:szCs w:val="22"/>
        </w:rPr>
        <w:t>Maintenance – the activities necessary to retain an assets as near as practicable to its original condition (</w:t>
      </w:r>
      <w:r w:rsidR="009C5515" w:rsidRPr="00C234BE">
        <w:rPr>
          <w:rFonts w:asciiTheme="minorHAnsi" w:hAnsiTheme="minorHAnsi"/>
          <w:szCs w:val="22"/>
        </w:rPr>
        <w:t>e.g.</w:t>
      </w:r>
      <w:r w:rsidRPr="00C234BE">
        <w:rPr>
          <w:rFonts w:asciiTheme="minorHAnsi" w:hAnsiTheme="minorHAnsi"/>
          <w:szCs w:val="22"/>
        </w:rPr>
        <w:t xml:space="preserve"> road patching, unsealed road grading, building and structure repairs),</w:t>
      </w:r>
    </w:p>
    <w:p w:rsidR="00C234BE" w:rsidRPr="00C234BE" w:rsidRDefault="00C234BE" w:rsidP="0060639F">
      <w:pPr>
        <w:pStyle w:val="BodyText"/>
        <w:numPr>
          <w:ilvl w:val="0"/>
          <w:numId w:val="37"/>
        </w:numPr>
        <w:jc w:val="left"/>
        <w:rPr>
          <w:rFonts w:asciiTheme="minorHAnsi" w:hAnsiTheme="minorHAnsi"/>
          <w:szCs w:val="22"/>
        </w:rPr>
      </w:pPr>
      <w:r w:rsidRPr="00C234BE">
        <w:rPr>
          <w:rFonts w:asciiTheme="minorHAnsi" w:hAnsiTheme="minorHAnsi"/>
          <w:szCs w:val="22"/>
        </w:rPr>
        <w:lastRenderedPageBreak/>
        <w:t>Renewal – the activities that return the service capability of an asset up to that which it had originally (</w:t>
      </w:r>
      <w:r w:rsidR="009C5515" w:rsidRPr="00C234BE">
        <w:rPr>
          <w:rFonts w:asciiTheme="minorHAnsi" w:hAnsiTheme="minorHAnsi"/>
          <w:szCs w:val="22"/>
        </w:rPr>
        <w:t>e.g.</w:t>
      </w:r>
      <w:r w:rsidRPr="00C234BE">
        <w:rPr>
          <w:rFonts w:asciiTheme="minorHAnsi" w:hAnsiTheme="minorHAnsi"/>
          <w:szCs w:val="22"/>
        </w:rPr>
        <w:t xml:space="preserve"> frequency and cost of road resurfacing and pavement reconstruction, pipeline replacement and building component replacement),</w:t>
      </w:r>
    </w:p>
    <w:p w:rsidR="00C234BE" w:rsidRPr="00C234BE" w:rsidRDefault="00C234BE" w:rsidP="0060639F">
      <w:pPr>
        <w:pStyle w:val="BodyText"/>
        <w:numPr>
          <w:ilvl w:val="0"/>
          <w:numId w:val="37"/>
        </w:numPr>
        <w:jc w:val="left"/>
        <w:rPr>
          <w:rFonts w:asciiTheme="minorHAnsi" w:hAnsiTheme="minorHAnsi"/>
          <w:szCs w:val="22"/>
        </w:rPr>
      </w:pPr>
      <w:r w:rsidRPr="00C234BE">
        <w:rPr>
          <w:rFonts w:asciiTheme="minorHAnsi" w:hAnsiTheme="minorHAnsi"/>
          <w:szCs w:val="22"/>
        </w:rPr>
        <w:t>Upgrade – the activities to provide an higher level of service (</w:t>
      </w:r>
      <w:r w:rsidR="009C5515" w:rsidRPr="00C234BE">
        <w:rPr>
          <w:rFonts w:asciiTheme="minorHAnsi" w:hAnsiTheme="minorHAnsi"/>
          <w:szCs w:val="22"/>
        </w:rPr>
        <w:t>e.g.</w:t>
      </w:r>
      <w:r w:rsidRPr="00C234BE">
        <w:rPr>
          <w:rFonts w:asciiTheme="minorHAnsi" w:hAnsiTheme="minorHAnsi"/>
          <w:szCs w:val="22"/>
        </w:rPr>
        <w:t xml:space="preserve"> widening a road, sealing an unsealed road, replacing a pipeline with a larger size) or a new service that did not exist previously (</w:t>
      </w:r>
      <w:r w:rsidR="009C5515" w:rsidRPr="00C234BE">
        <w:rPr>
          <w:rFonts w:asciiTheme="minorHAnsi" w:hAnsiTheme="minorHAnsi"/>
          <w:szCs w:val="22"/>
        </w:rPr>
        <w:t>e.g.</w:t>
      </w:r>
      <w:r w:rsidRPr="00C234BE">
        <w:rPr>
          <w:rFonts w:asciiTheme="minorHAnsi" w:hAnsiTheme="minorHAnsi"/>
          <w:szCs w:val="22"/>
        </w:rPr>
        <w:t xml:space="preserve"> a new library).</w:t>
      </w:r>
    </w:p>
    <w:p w:rsidR="00C234BE" w:rsidRPr="00C234BE" w:rsidRDefault="00C234BE" w:rsidP="00271982">
      <w:pPr>
        <w:pStyle w:val="BodyText"/>
        <w:jc w:val="left"/>
        <w:rPr>
          <w:rFonts w:asciiTheme="minorHAnsi" w:hAnsiTheme="minorHAnsi"/>
          <w:szCs w:val="22"/>
        </w:rPr>
      </w:pPr>
      <w:r w:rsidRPr="00C234BE">
        <w:rPr>
          <w:rFonts w:asciiTheme="minorHAnsi" w:hAnsiTheme="minorHAnsi"/>
          <w:szCs w:val="22"/>
        </w:rPr>
        <w:t>The standard of service must be balanced against the cost of providing the service. Council review</w:t>
      </w:r>
      <w:r>
        <w:rPr>
          <w:rFonts w:asciiTheme="minorHAnsi" w:hAnsiTheme="minorHAnsi"/>
          <w:szCs w:val="22"/>
        </w:rPr>
        <w:t>s</w:t>
      </w:r>
      <w:r w:rsidRPr="00C234BE">
        <w:rPr>
          <w:rFonts w:asciiTheme="minorHAnsi" w:hAnsiTheme="minorHAnsi"/>
          <w:szCs w:val="22"/>
        </w:rPr>
        <w:t xml:space="preserve"> the LOS in accordance with customer demand and industry trends.</w:t>
      </w:r>
    </w:p>
    <w:p w:rsidR="00C234BE" w:rsidRPr="00C234BE" w:rsidRDefault="00C234BE" w:rsidP="00271982">
      <w:pPr>
        <w:pStyle w:val="BodyText"/>
        <w:jc w:val="left"/>
        <w:rPr>
          <w:rFonts w:asciiTheme="minorHAnsi" w:hAnsiTheme="minorHAnsi"/>
          <w:szCs w:val="22"/>
        </w:rPr>
      </w:pPr>
      <w:r w:rsidRPr="00C234BE">
        <w:rPr>
          <w:rFonts w:asciiTheme="minorHAnsi" w:hAnsiTheme="minorHAnsi"/>
          <w:szCs w:val="22"/>
        </w:rPr>
        <w:t xml:space="preserve">Council’s current </w:t>
      </w:r>
      <w:r>
        <w:rPr>
          <w:rFonts w:asciiTheme="minorHAnsi" w:hAnsiTheme="minorHAnsi"/>
          <w:szCs w:val="22"/>
        </w:rPr>
        <w:t xml:space="preserve">technical levels of </w:t>
      </w:r>
      <w:r w:rsidR="009C5515" w:rsidRPr="00C234BE">
        <w:rPr>
          <w:rFonts w:asciiTheme="minorHAnsi" w:hAnsiTheme="minorHAnsi"/>
          <w:szCs w:val="22"/>
        </w:rPr>
        <w:t>service are</w:t>
      </w:r>
      <w:r w:rsidRPr="00C234BE">
        <w:rPr>
          <w:rFonts w:asciiTheme="minorHAnsi" w:hAnsiTheme="minorHAnsi"/>
          <w:szCs w:val="22"/>
        </w:rPr>
        <w:t xml:space="preserve"> detailed in </w:t>
      </w:r>
      <w:r>
        <w:rPr>
          <w:rFonts w:asciiTheme="minorHAnsi" w:hAnsiTheme="minorHAnsi"/>
          <w:szCs w:val="22"/>
        </w:rPr>
        <w:t>the following t</w:t>
      </w:r>
      <w:r w:rsidRPr="00C234BE">
        <w:rPr>
          <w:rFonts w:asciiTheme="minorHAnsi" w:hAnsiTheme="minorHAnsi"/>
          <w:szCs w:val="22"/>
        </w:rPr>
        <w:t>able</w:t>
      </w:r>
      <w:r>
        <w:rPr>
          <w:rFonts w:asciiTheme="minorHAnsi" w:hAnsiTheme="minorHAnsi"/>
          <w:szCs w:val="22"/>
        </w:rPr>
        <w:t>:</w:t>
      </w:r>
    </w:p>
    <w:p w:rsidR="00C234BE" w:rsidRPr="00C234BE" w:rsidRDefault="00C234BE" w:rsidP="00271982">
      <w:pPr>
        <w:pStyle w:val="BodyText"/>
        <w:ind w:left="-567"/>
        <w:jc w:val="left"/>
        <w:rPr>
          <w:rFonts w:asciiTheme="minorHAnsi" w:hAnsiTheme="minorHAnsi"/>
          <w:i/>
          <w:szCs w:val="22"/>
        </w:rPr>
      </w:pPr>
    </w:p>
    <w:tbl>
      <w:tblPr>
        <w:tblW w:w="10065" w:type="dxa"/>
        <w:jc w:val="center"/>
        <w:tblInd w:w="-601" w:type="dxa"/>
        <w:tblBorders>
          <w:top w:val="nil"/>
          <w:left w:val="nil"/>
          <w:bottom w:val="nil"/>
          <w:right w:val="nil"/>
        </w:tblBorders>
        <w:tblLook w:val="0000" w:firstRow="0" w:lastRow="0" w:firstColumn="0" w:lastColumn="0" w:noHBand="0" w:noVBand="0"/>
      </w:tblPr>
      <w:tblGrid>
        <w:gridCol w:w="3439"/>
        <w:gridCol w:w="2174"/>
        <w:gridCol w:w="579"/>
        <w:gridCol w:w="1038"/>
        <w:gridCol w:w="2835"/>
      </w:tblGrid>
      <w:tr w:rsidR="00C234BE" w:rsidRPr="00C234BE" w:rsidTr="00271982">
        <w:trPr>
          <w:trHeight w:val="284"/>
          <w:jc w:val="center"/>
        </w:trPr>
        <w:tc>
          <w:tcPr>
            <w:tcW w:w="3439" w:type="dxa"/>
            <w:tcBorders>
              <w:top w:val="single" w:sz="4" w:space="0" w:color="auto"/>
              <w:left w:val="single" w:sz="4" w:space="0" w:color="auto"/>
              <w:bottom w:val="single" w:sz="4" w:space="0" w:color="auto"/>
              <w:right w:val="single" w:sz="6" w:space="0" w:color="000000"/>
            </w:tcBorders>
            <w:vAlign w:val="center"/>
          </w:tcPr>
          <w:p w:rsidR="00C234BE" w:rsidRPr="00271982" w:rsidRDefault="00C234BE" w:rsidP="00271982">
            <w:pPr>
              <w:pStyle w:val="BodyText"/>
              <w:jc w:val="left"/>
              <w:rPr>
                <w:rFonts w:asciiTheme="minorHAnsi" w:hAnsiTheme="minorHAnsi"/>
                <w:b/>
                <w:sz w:val="20"/>
                <w:szCs w:val="20"/>
              </w:rPr>
            </w:pPr>
            <w:r w:rsidRPr="00271982">
              <w:rPr>
                <w:rFonts w:asciiTheme="minorHAnsi" w:hAnsiTheme="minorHAnsi"/>
                <w:b/>
                <w:sz w:val="20"/>
                <w:szCs w:val="20"/>
              </w:rPr>
              <w:t xml:space="preserve">Service Criteria </w:t>
            </w:r>
          </w:p>
        </w:tc>
        <w:tc>
          <w:tcPr>
            <w:tcW w:w="3791" w:type="dxa"/>
            <w:gridSpan w:val="3"/>
            <w:tcBorders>
              <w:top w:val="single" w:sz="4" w:space="0" w:color="auto"/>
              <w:left w:val="single" w:sz="6" w:space="0" w:color="000000"/>
              <w:bottom w:val="single" w:sz="4" w:space="0" w:color="auto"/>
              <w:right w:val="single" w:sz="6" w:space="0" w:color="000000"/>
            </w:tcBorders>
            <w:vAlign w:val="center"/>
          </w:tcPr>
          <w:p w:rsidR="00C234BE" w:rsidRPr="00271982" w:rsidRDefault="00C234BE" w:rsidP="00271982">
            <w:pPr>
              <w:pStyle w:val="BodyText"/>
              <w:jc w:val="left"/>
              <w:rPr>
                <w:rFonts w:asciiTheme="minorHAnsi" w:hAnsiTheme="minorHAnsi"/>
                <w:b/>
                <w:sz w:val="20"/>
                <w:szCs w:val="20"/>
              </w:rPr>
            </w:pPr>
            <w:r w:rsidRPr="00271982">
              <w:rPr>
                <w:rFonts w:asciiTheme="minorHAnsi" w:hAnsiTheme="minorHAnsi"/>
                <w:b/>
                <w:sz w:val="20"/>
                <w:szCs w:val="20"/>
              </w:rPr>
              <w:t xml:space="preserve">Service Target </w:t>
            </w:r>
          </w:p>
        </w:tc>
        <w:tc>
          <w:tcPr>
            <w:tcW w:w="2835" w:type="dxa"/>
            <w:tcBorders>
              <w:top w:val="single" w:sz="4" w:space="0" w:color="auto"/>
              <w:left w:val="single" w:sz="6" w:space="0" w:color="000000"/>
              <w:bottom w:val="single" w:sz="4" w:space="0" w:color="auto"/>
              <w:right w:val="single" w:sz="4" w:space="0" w:color="auto"/>
            </w:tcBorders>
            <w:vAlign w:val="center"/>
          </w:tcPr>
          <w:p w:rsidR="00C234BE" w:rsidRPr="00271982" w:rsidRDefault="00C234BE" w:rsidP="00271982">
            <w:pPr>
              <w:pStyle w:val="BodyText"/>
              <w:jc w:val="left"/>
              <w:rPr>
                <w:rFonts w:asciiTheme="minorHAnsi" w:hAnsiTheme="minorHAnsi"/>
                <w:b/>
                <w:sz w:val="20"/>
                <w:szCs w:val="20"/>
              </w:rPr>
            </w:pPr>
            <w:r w:rsidRPr="00271982">
              <w:rPr>
                <w:rFonts w:asciiTheme="minorHAnsi" w:hAnsiTheme="minorHAnsi"/>
                <w:b/>
                <w:sz w:val="20"/>
                <w:szCs w:val="20"/>
              </w:rPr>
              <w:t xml:space="preserve">Compliance Measure </w:t>
            </w:r>
          </w:p>
        </w:tc>
      </w:tr>
      <w:tr w:rsidR="00C234BE" w:rsidRPr="00C234BE" w:rsidTr="00271982">
        <w:trPr>
          <w:trHeight w:val="567"/>
          <w:jc w:val="center"/>
        </w:trPr>
        <w:tc>
          <w:tcPr>
            <w:tcW w:w="3439" w:type="dxa"/>
            <w:tcBorders>
              <w:top w:val="single" w:sz="4" w:space="0" w:color="auto"/>
              <w:left w:val="single" w:sz="4" w:space="0" w:color="auto"/>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Ongoing repair potholes </w:t>
            </w:r>
          </w:p>
        </w:tc>
        <w:tc>
          <w:tcPr>
            <w:tcW w:w="3791" w:type="dxa"/>
            <w:gridSpan w:val="3"/>
            <w:tcBorders>
              <w:top w:val="single" w:sz="4" w:space="0" w:color="auto"/>
              <w:left w:val="single" w:sz="6" w:space="0" w:color="000000"/>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Repair wheel path potholes deeper than 50mm within two weeks of being identified </w:t>
            </w:r>
          </w:p>
        </w:tc>
        <w:tc>
          <w:tcPr>
            <w:tcW w:w="2835" w:type="dxa"/>
            <w:tcBorders>
              <w:top w:val="single" w:sz="4" w:space="0" w:color="auto"/>
              <w:left w:val="single" w:sz="6" w:space="0" w:color="000000"/>
              <w:bottom w:val="single" w:sz="4" w:space="0" w:color="auto"/>
              <w:right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Less than 2 justified complaints per month </w:t>
            </w:r>
          </w:p>
        </w:tc>
      </w:tr>
      <w:tr w:rsidR="00C234BE" w:rsidRPr="00C234BE" w:rsidTr="00271982">
        <w:trPr>
          <w:trHeight w:val="567"/>
          <w:jc w:val="center"/>
        </w:trPr>
        <w:tc>
          <w:tcPr>
            <w:tcW w:w="3439" w:type="dxa"/>
            <w:tcBorders>
              <w:top w:val="single" w:sz="4" w:space="0" w:color="auto"/>
              <w:left w:val="single" w:sz="4" w:space="0" w:color="auto"/>
              <w:right w:val="single" w:sz="5"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Average Routine Grade (Grader Roller </w:t>
            </w:r>
            <w:r w:rsidR="009C5515" w:rsidRPr="00271982">
              <w:rPr>
                <w:rFonts w:asciiTheme="minorHAnsi" w:hAnsiTheme="minorHAnsi"/>
                <w:sz w:val="20"/>
                <w:szCs w:val="20"/>
              </w:rPr>
              <w:t>Water cart</w:t>
            </w:r>
            <w:r w:rsidRPr="00271982">
              <w:rPr>
                <w:rFonts w:asciiTheme="minorHAnsi" w:hAnsiTheme="minorHAnsi"/>
                <w:sz w:val="20"/>
                <w:szCs w:val="20"/>
              </w:rPr>
              <w:t xml:space="preserve">) across the network </w:t>
            </w:r>
          </w:p>
        </w:tc>
        <w:tc>
          <w:tcPr>
            <w:tcW w:w="2174" w:type="dxa"/>
            <w:tcBorders>
              <w:top w:val="single" w:sz="4" w:space="0" w:color="auto"/>
              <w:left w:val="single" w:sz="5" w:space="0" w:color="000000"/>
            </w:tcBorders>
          </w:tcPr>
          <w:p w:rsid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Rural Sealed (</w:t>
            </w:r>
            <w:r w:rsidR="009C5515" w:rsidRPr="00271982">
              <w:rPr>
                <w:rFonts w:asciiTheme="minorHAnsi" w:hAnsiTheme="minorHAnsi"/>
                <w:sz w:val="20"/>
                <w:szCs w:val="20"/>
              </w:rPr>
              <w:t>i.e.</w:t>
            </w:r>
            <w:r w:rsidRPr="00271982">
              <w:rPr>
                <w:rFonts w:asciiTheme="minorHAnsi" w:hAnsiTheme="minorHAnsi"/>
                <w:sz w:val="20"/>
                <w:szCs w:val="20"/>
              </w:rPr>
              <w:t xml:space="preserve"> US Shldr) </w:t>
            </w:r>
          </w:p>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Rural Unsealed </w:t>
            </w:r>
          </w:p>
        </w:tc>
        <w:tc>
          <w:tcPr>
            <w:tcW w:w="579" w:type="dxa"/>
            <w:tcBorders>
              <w:top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0.1 </w:t>
            </w:r>
          </w:p>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2 </w:t>
            </w:r>
          </w:p>
        </w:tc>
        <w:tc>
          <w:tcPr>
            <w:tcW w:w="1038" w:type="dxa"/>
            <w:tcBorders>
              <w:top w:val="single" w:sz="4" w:space="0" w:color="auto"/>
              <w:right w:val="single" w:sz="5"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Grades/yr </w:t>
            </w:r>
          </w:p>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Grades/yr </w:t>
            </w:r>
          </w:p>
        </w:tc>
        <w:tc>
          <w:tcPr>
            <w:tcW w:w="2835" w:type="dxa"/>
            <w:tcBorders>
              <w:top w:val="single" w:sz="4" w:space="0" w:color="auto"/>
              <w:left w:val="single" w:sz="5" w:space="0" w:color="000000"/>
              <w:right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Less than 10 justified complaints per month </w:t>
            </w:r>
          </w:p>
        </w:tc>
      </w:tr>
      <w:tr w:rsidR="00C234BE" w:rsidRPr="00C234BE" w:rsidTr="00271982">
        <w:trPr>
          <w:trHeight w:val="614"/>
          <w:jc w:val="center"/>
        </w:trPr>
        <w:tc>
          <w:tcPr>
            <w:tcW w:w="3439" w:type="dxa"/>
            <w:tcBorders>
              <w:top w:val="single" w:sz="4" w:space="0" w:color="auto"/>
              <w:left w:val="single" w:sz="4" w:space="0" w:color="auto"/>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Progressively convert gravel collector road surfaces to sealed surfaces, excluding unsealed shoulders adjacent to table drains </w:t>
            </w:r>
          </w:p>
        </w:tc>
        <w:tc>
          <w:tcPr>
            <w:tcW w:w="3791" w:type="dxa"/>
            <w:gridSpan w:val="3"/>
            <w:tcBorders>
              <w:top w:val="single" w:sz="4" w:space="0" w:color="auto"/>
              <w:left w:val="single" w:sz="6" w:space="0" w:color="000000"/>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No gravel surfaces by 2040 for top 4 Collector Roads </w:t>
            </w:r>
          </w:p>
        </w:tc>
        <w:tc>
          <w:tcPr>
            <w:tcW w:w="2835" w:type="dxa"/>
            <w:tcBorders>
              <w:top w:val="single" w:sz="4" w:space="0" w:color="auto"/>
              <w:left w:val="single" w:sz="6" w:space="0" w:color="000000"/>
              <w:bottom w:val="single" w:sz="4" w:space="0" w:color="auto"/>
              <w:right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Annual budget allocations set to achieve target and spent each year. </w:t>
            </w:r>
          </w:p>
        </w:tc>
      </w:tr>
      <w:tr w:rsidR="00C234BE" w:rsidRPr="00C234BE" w:rsidTr="00271982">
        <w:trPr>
          <w:trHeight w:val="510"/>
          <w:jc w:val="center"/>
        </w:trPr>
        <w:tc>
          <w:tcPr>
            <w:tcW w:w="3439" w:type="dxa"/>
            <w:tcBorders>
              <w:top w:val="single" w:sz="4" w:space="0" w:color="auto"/>
              <w:left w:val="single" w:sz="4" w:space="0" w:color="auto"/>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Keep culvert inlet and outlets clean </w:t>
            </w:r>
          </w:p>
        </w:tc>
        <w:tc>
          <w:tcPr>
            <w:tcW w:w="3791" w:type="dxa"/>
            <w:gridSpan w:val="3"/>
            <w:tcBorders>
              <w:top w:val="single" w:sz="4" w:space="0" w:color="auto"/>
              <w:left w:val="single" w:sz="6" w:space="0" w:color="000000"/>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Program routine maintenance of culverts every 4 years </w:t>
            </w:r>
          </w:p>
        </w:tc>
        <w:tc>
          <w:tcPr>
            <w:tcW w:w="2835" w:type="dxa"/>
            <w:tcBorders>
              <w:top w:val="single" w:sz="4" w:space="0" w:color="auto"/>
              <w:left w:val="single" w:sz="6" w:space="0" w:color="000000"/>
              <w:bottom w:val="single" w:sz="4" w:space="0" w:color="auto"/>
              <w:right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Less than 2 justified complaints per month</w:t>
            </w:r>
          </w:p>
        </w:tc>
      </w:tr>
      <w:tr w:rsidR="00C234BE" w:rsidRPr="00C234BE" w:rsidTr="00271982">
        <w:trPr>
          <w:trHeight w:val="567"/>
          <w:jc w:val="center"/>
        </w:trPr>
        <w:tc>
          <w:tcPr>
            <w:tcW w:w="3439" w:type="dxa"/>
            <w:tcBorders>
              <w:top w:val="single" w:sz="4" w:space="0" w:color="auto"/>
              <w:left w:val="single" w:sz="4" w:space="0" w:color="auto"/>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Ensure signs are legible, accurate and correctly installed</w:t>
            </w:r>
          </w:p>
        </w:tc>
        <w:tc>
          <w:tcPr>
            <w:tcW w:w="3791" w:type="dxa"/>
            <w:gridSpan w:val="3"/>
            <w:tcBorders>
              <w:top w:val="single" w:sz="4" w:space="0" w:color="auto"/>
              <w:left w:val="single" w:sz="6" w:space="0" w:color="000000"/>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Program works as required and within one month of being identified.</w:t>
            </w:r>
          </w:p>
        </w:tc>
        <w:tc>
          <w:tcPr>
            <w:tcW w:w="2835" w:type="dxa"/>
            <w:tcBorders>
              <w:top w:val="single" w:sz="4" w:space="0" w:color="auto"/>
              <w:left w:val="single" w:sz="6" w:space="0" w:color="000000"/>
              <w:bottom w:val="single" w:sz="4" w:space="0" w:color="auto"/>
              <w:right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Less than 2 justified complaints per month</w:t>
            </w:r>
          </w:p>
        </w:tc>
      </w:tr>
      <w:tr w:rsidR="00C234BE" w:rsidRPr="00C234BE" w:rsidTr="00271982">
        <w:trPr>
          <w:trHeight w:val="510"/>
          <w:jc w:val="center"/>
        </w:trPr>
        <w:tc>
          <w:tcPr>
            <w:tcW w:w="3439" w:type="dxa"/>
            <w:tcBorders>
              <w:top w:val="single" w:sz="4" w:space="0" w:color="auto"/>
              <w:left w:val="single" w:sz="4" w:space="0" w:color="auto"/>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Attend asset replacement before assets become unserviceable</w:t>
            </w:r>
          </w:p>
        </w:tc>
        <w:tc>
          <w:tcPr>
            <w:tcW w:w="3791" w:type="dxa"/>
            <w:gridSpan w:val="3"/>
            <w:tcBorders>
              <w:top w:val="single" w:sz="4" w:space="0" w:color="auto"/>
              <w:left w:val="single" w:sz="6" w:space="0" w:color="000000"/>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Allocate funding required to eliminate Condition 5 assets</w:t>
            </w:r>
          </w:p>
        </w:tc>
        <w:tc>
          <w:tcPr>
            <w:tcW w:w="2835" w:type="dxa"/>
            <w:tcBorders>
              <w:top w:val="single" w:sz="4" w:space="0" w:color="auto"/>
              <w:left w:val="single" w:sz="6" w:space="0" w:color="000000"/>
              <w:bottom w:val="single" w:sz="4" w:space="0" w:color="auto"/>
              <w:right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 xml:space="preserve">90% of required funding allocated each financial </w:t>
            </w:r>
            <w:r w:rsidR="009C5515" w:rsidRPr="00271982">
              <w:rPr>
                <w:rFonts w:asciiTheme="minorHAnsi" w:hAnsiTheme="minorHAnsi"/>
                <w:sz w:val="20"/>
                <w:szCs w:val="20"/>
              </w:rPr>
              <w:t>year’s</w:t>
            </w:r>
            <w:r w:rsidRPr="00271982">
              <w:rPr>
                <w:rFonts w:asciiTheme="minorHAnsi" w:hAnsiTheme="minorHAnsi"/>
                <w:sz w:val="20"/>
                <w:szCs w:val="20"/>
              </w:rPr>
              <w:t xml:space="preserve"> budget</w:t>
            </w:r>
          </w:p>
        </w:tc>
      </w:tr>
      <w:tr w:rsidR="00C234BE" w:rsidRPr="00C234BE" w:rsidTr="00271982">
        <w:trPr>
          <w:trHeight w:val="510"/>
          <w:jc w:val="center"/>
        </w:trPr>
        <w:tc>
          <w:tcPr>
            <w:tcW w:w="3439" w:type="dxa"/>
            <w:tcBorders>
              <w:top w:val="single" w:sz="4" w:space="0" w:color="auto"/>
              <w:left w:val="single" w:sz="4" w:space="0" w:color="auto"/>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Control grass growth on unsealed shoulders or sealed roads</w:t>
            </w:r>
          </w:p>
        </w:tc>
        <w:tc>
          <w:tcPr>
            <w:tcW w:w="3791" w:type="dxa"/>
            <w:gridSpan w:val="3"/>
            <w:tcBorders>
              <w:top w:val="single" w:sz="4" w:space="0" w:color="auto"/>
              <w:left w:val="single" w:sz="6" w:space="0" w:color="000000"/>
              <w:bottom w:val="single" w:sz="4" w:space="0" w:color="auto"/>
              <w:right w:val="single" w:sz="6" w:space="0" w:color="000000"/>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Slash at intervals to ensure a maximum height of 300mm is not exceeded. Twice per year (average)</w:t>
            </w:r>
          </w:p>
        </w:tc>
        <w:tc>
          <w:tcPr>
            <w:tcW w:w="2835" w:type="dxa"/>
            <w:tcBorders>
              <w:top w:val="single" w:sz="4" w:space="0" w:color="auto"/>
              <w:left w:val="single" w:sz="6" w:space="0" w:color="000000"/>
              <w:bottom w:val="single" w:sz="4" w:space="0" w:color="auto"/>
              <w:right w:val="single" w:sz="4" w:space="0" w:color="auto"/>
            </w:tcBorders>
          </w:tcPr>
          <w:p w:rsidR="00C234BE" w:rsidRPr="00271982" w:rsidRDefault="00C234BE" w:rsidP="00271982">
            <w:pPr>
              <w:pStyle w:val="BodyText"/>
              <w:jc w:val="left"/>
              <w:rPr>
                <w:rFonts w:asciiTheme="minorHAnsi" w:hAnsiTheme="minorHAnsi"/>
                <w:sz w:val="20"/>
                <w:szCs w:val="20"/>
              </w:rPr>
            </w:pPr>
            <w:r w:rsidRPr="00271982">
              <w:rPr>
                <w:rFonts w:asciiTheme="minorHAnsi" w:hAnsiTheme="minorHAnsi"/>
                <w:sz w:val="20"/>
                <w:szCs w:val="20"/>
              </w:rPr>
              <w:t>Less than 2 justified complaints per month</w:t>
            </w:r>
          </w:p>
        </w:tc>
      </w:tr>
    </w:tbl>
    <w:p w:rsidR="00EA7D9A" w:rsidRDefault="00EA7D9A" w:rsidP="00271982">
      <w:pPr>
        <w:pStyle w:val="Caption"/>
        <w:rPr>
          <w:rFonts w:asciiTheme="minorHAnsi" w:hAnsiTheme="minorHAnsi"/>
        </w:rPr>
      </w:pPr>
    </w:p>
    <w:p w:rsidR="00EA7D9A" w:rsidRPr="00EA7D9A" w:rsidRDefault="00EA7D9A" w:rsidP="00271982">
      <w:pPr>
        <w:pStyle w:val="Caption"/>
        <w:ind w:left="-567" w:firstLine="0"/>
        <w:rPr>
          <w:rFonts w:asciiTheme="minorHAnsi" w:hAnsiTheme="minorHAnsi"/>
          <w:b w:val="0"/>
          <w:sz w:val="22"/>
          <w:szCs w:val="22"/>
        </w:rPr>
      </w:pPr>
      <w:r w:rsidRPr="00EA7D9A">
        <w:rPr>
          <w:rFonts w:asciiTheme="minorHAnsi" w:hAnsiTheme="minorHAnsi"/>
          <w:b w:val="0"/>
          <w:sz w:val="22"/>
          <w:szCs w:val="22"/>
        </w:rPr>
        <w:t xml:space="preserve">Council’s condition profile for assets included in the AMP is shown below. </w:t>
      </w:r>
      <w:r w:rsidR="00461E27">
        <w:rPr>
          <w:rFonts w:asciiTheme="minorHAnsi" w:hAnsiTheme="minorHAnsi"/>
          <w:b w:val="0"/>
          <w:sz w:val="22"/>
          <w:szCs w:val="22"/>
        </w:rPr>
        <w:t>This</w:t>
      </w:r>
      <w:r w:rsidR="00E00026">
        <w:rPr>
          <w:rFonts w:asciiTheme="minorHAnsi" w:hAnsiTheme="minorHAnsi"/>
          <w:b w:val="0"/>
          <w:sz w:val="22"/>
          <w:szCs w:val="22"/>
        </w:rPr>
        <w:t xml:space="preserve"> an example of graphical depictions included in newsletters, brochures and direct public presentations. </w:t>
      </w:r>
      <w:r w:rsidR="009C5515" w:rsidRPr="00EA7D9A">
        <w:rPr>
          <w:rFonts w:asciiTheme="minorHAnsi" w:hAnsiTheme="minorHAnsi"/>
          <w:b w:val="0"/>
          <w:sz w:val="22"/>
          <w:szCs w:val="22"/>
        </w:rPr>
        <w:t>A</w:t>
      </w:r>
      <w:r w:rsidR="00271982">
        <w:rPr>
          <w:rFonts w:asciiTheme="minorHAnsi" w:hAnsiTheme="minorHAnsi"/>
          <w:b w:val="0"/>
          <w:sz w:val="22"/>
          <w:szCs w:val="22"/>
        </w:rPr>
        <w:t>s can be seen, a</w:t>
      </w:r>
      <w:r w:rsidR="009C5515" w:rsidRPr="00EA7D9A">
        <w:rPr>
          <w:rFonts w:asciiTheme="minorHAnsi" w:hAnsiTheme="minorHAnsi"/>
          <w:b w:val="0"/>
          <w:sz w:val="22"/>
          <w:szCs w:val="22"/>
        </w:rPr>
        <w:t xml:space="preserve"> significant portion is</w:t>
      </w:r>
      <w:r w:rsidRPr="00EA7D9A">
        <w:rPr>
          <w:rFonts w:asciiTheme="minorHAnsi" w:hAnsiTheme="minorHAnsi"/>
          <w:b w:val="0"/>
          <w:sz w:val="22"/>
          <w:szCs w:val="22"/>
        </w:rPr>
        <w:t xml:space="preserve"> in the fair to poor category which means there are failure risks and attention is needed soon.</w:t>
      </w:r>
    </w:p>
    <w:p w:rsidR="00EA7D9A" w:rsidRDefault="00EA7D9A" w:rsidP="00271982">
      <w:pPr>
        <w:pStyle w:val="Caption"/>
        <w:rPr>
          <w:rFonts w:asciiTheme="minorHAnsi" w:hAnsiTheme="minorHAnsi"/>
        </w:rPr>
      </w:pPr>
    </w:p>
    <w:p w:rsidR="00C234BE" w:rsidRPr="00845A23" w:rsidRDefault="00C234BE" w:rsidP="00271982">
      <w:pPr>
        <w:pStyle w:val="Caption"/>
        <w:rPr>
          <w:rFonts w:asciiTheme="minorHAnsi" w:hAnsiTheme="minorHAnsi"/>
        </w:rPr>
      </w:pPr>
      <w:r>
        <w:rPr>
          <w:noProof/>
        </w:rPr>
        <w:lastRenderedPageBreak/>
        <w:drawing>
          <wp:inline distT="0" distB="0" distL="0" distR="0" wp14:anchorId="2BBB8D75" wp14:editId="552E83D1">
            <wp:extent cx="5021437" cy="3586741"/>
            <wp:effectExtent l="19050" t="0" r="7763" b="0"/>
            <wp:docPr id="23" name="Picture 12" descr="Chart_Fig3_Condition_Prof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_Fig3_Condition_Profile.gif"/>
                    <pic:cNvPicPr/>
                  </pic:nvPicPr>
                  <pic:blipFill>
                    <a:blip r:embed="rId22" cstate="print"/>
                    <a:stretch>
                      <a:fillRect/>
                    </a:stretch>
                  </pic:blipFill>
                  <pic:spPr>
                    <a:xfrm>
                      <a:off x="0" y="0"/>
                      <a:ext cx="5021437" cy="3586741"/>
                    </a:xfrm>
                    <a:prstGeom prst="rect">
                      <a:avLst/>
                    </a:prstGeom>
                    <a:solidFill>
                      <a:srgbClr val="00B0F0"/>
                    </a:solidFill>
                  </pic:spPr>
                </pic:pic>
              </a:graphicData>
            </a:graphic>
          </wp:inline>
        </w:drawing>
      </w:r>
    </w:p>
    <w:p w:rsidR="00EA7D9A" w:rsidRDefault="00EA7D9A" w:rsidP="00271982">
      <w:pPr>
        <w:pStyle w:val="BodyText"/>
        <w:spacing w:after="200"/>
        <w:ind w:left="-567"/>
        <w:jc w:val="left"/>
        <w:rPr>
          <w:rFonts w:ascii="Calibri" w:hAnsi="Calibri"/>
          <w:szCs w:val="22"/>
        </w:rPr>
      </w:pPr>
      <w:r w:rsidRPr="00EA7D9A">
        <w:rPr>
          <w:rFonts w:ascii="Calibri" w:hAnsi="Calibri"/>
          <w:szCs w:val="22"/>
        </w:rPr>
        <w:t>The following table uses IIMM Description of Condition</w:t>
      </w:r>
      <w:r w:rsidR="00E00026">
        <w:rPr>
          <w:rFonts w:ascii="Calibri" w:hAnsi="Calibri"/>
          <w:szCs w:val="22"/>
        </w:rPr>
        <w:t xml:space="preserve"> and depicts terminology which were aligned to pictures of various road conditions</w:t>
      </w:r>
      <w:r w:rsidR="00271982">
        <w:rPr>
          <w:rFonts w:ascii="Calibri" w:hAnsi="Calibri"/>
          <w:szCs w:val="22"/>
        </w:rPr>
        <w:t xml:space="preserve"> and included in various presentations and information documents</w:t>
      </w:r>
      <w:r w:rsidR="00E00026">
        <w:rPr>
          <w:rFonts w:ascii="Calibri" w:hAnsi="Calibri"/>
          <w:szCs w:val="22"/>
        </w:rPr>
        <w:t>.</w:t>
      </w:r>
    </w:p>
    <w:tbl>
      <w:tblPr>
        <w:tblW w:w="9365" w:type="dxa"/>
        <w:tblBorders>
          <w:top w:val="nil"/>
          <w:left w:val="nil"/>
          <w:bottom w:val="nil"/>
          <w:right w:val="nil"/>
        </w:tblBorders>
        <w:tblLook w:val="0000" w:firstRow="0" w:lastRow="0" w:firstColumn="0" w:lastColumn="0" w:noHBand="0" w:noVBand="0"/>
      </w:tblPr>
      <w:tblGrid>
        <w:gridCol w:w="1150"/>
        <w:gridCol w:w="1150"/>
        <w:gridCol w:w="1543"/>
        <w:gridCol w:w="1529"/>
        <w:gridCol w:w="1860"/>
        <w:gridCol w:w="2133"/>
      </w:tblGrid>
      <w:tr w:rsidR="00EA7D9A" w:rsidTr="00EF58C2">
        <w:trPr>
          <w:trHeight w:val="693"/>
        </w:trPr>
        <w:tc>
          <w:tcPr>
            <w:tcW w:w="1150" w:type="dxa"/>
            <w:tcBorders>
              <w:top w:val="double" w:sz="5" w:space="0" w:color="000000"/>
              <w:left w:val="double" w:sz="5" w:space="0" w:color="000000"/>
              <w:bottom w:val="double" w:sz="5" w:space="0" w:color="000000"/>
              <w:right w:val="double" w:sz="5" w:space="0" w:color="000000"/>
            </w:tcBorders>
            <w:shd w:val="clear" w:color="auto" w:fill="D9D9D9" w:themeFill="background1" w:themeFillShade="D9"/>
            <w:vAlign w:val="center"/>
          </w:tcPr>
          <w:p w:rsidR="00EA7D9A" w:rsidRDefault="00EA7D9A" w:rsidP="00271982">
            <w:pPr>
              <w:pStyle w:val="Default"/>
              <w:rPr>
                <w:sz w:val="20"/>
                <w:szCs w:val="20"/>
              </w:rPr>
            </w:pPr>
            <w:r>
              <w:rPr>
                <w:b/>
                <w:bCs/>
                <w:sz w:val="20"/>
                <w:szCs w:val="20"/>
              </w:rPr>
              <w:t xml:space="preserve">Condition </w:t>
            </w:r>
          </w:p>
        </w:tc>
        <w:tc>
          <w:tcPr>
            <w:tcW w:w="1150" w:type="dxa"/>
            <w:tcBorders>
              <w:top w:val="double" w:sz="5" w:space="0" w:color="000000"/>
              <w:left w:val="double" w:sz="5" w:space="0" w:color="000000"/>
              <w:bottom w:val="double" w:sz="5" w:space="0" w:color="000000"/>
              <w:right w:val="double" w:sz="5" w:space="0" w:color="000000"/>
            </w:tcBorders>
            <w:shd w:val="clear" w:color="auto" w:fill="D9D9D9" w:themeFill="background1" w:themeFillShade="D9"/>
          </w:tcPr>
          <w:p w:rsidR="00EA7D9A" w:rsidRDefault="00EA7D9A" w:rsidP="00271982">
            <w:pPr>
              <w:pStyle w:val="Default"/>
              <w:rPr>
                <w:sz w:val="20"/>
                <w:szCs w:val="20"/>
              </w:rPr>
            </w:pPr>
            <w:r>
              <w:rPr>
                <w:b/>
                <w:bCs/>
                <w:sz w:val="20"/>
                <w:szCs w:val="20"/>
              </w:rPr>
              <w:t xml:space="preserve">Condition Score </w:t>
            </w:r>
          </w:p>
        </w:tc>
        <w:tc>
          <w:tcPr>
            <w:tcW w:w="1543" w:type="dxa"/>
            <w:tcBorders>
              <w:top w:val="double" w:sz="5" w:space="0" w:color="000000"/>
              <w:left w:val="double" w:sz="5" w:space="0" w:color="000000"/>
              <w:bottom w:val="double" w:sz="5" w:space="0" w:color="000000"/>
              <w:right w:val="double" w:sz="5" w:space="0" w:color="000000"/>
            </w:tcBorders>
            <w:shd w:val="clear" w:color="auto" w:fill="D9D9D9" w:themeFill="background1" w:themeFillShade="D9"/>
          </w:tcPr>
          <w:p w:rsidR="00EA7D9A" w:rsidRDefault="00EA7D9A" w:rsidP="00271982">
            <w:pPr>
              <w:pStyle w:val="Default"/>
              <w:rPr>
                <w:sz w:val="20"/>
                <w:szCs w:val="20"/>
              </w:rPr>
            </w:pPr>
            <w:r>
              <w:rPr>
                <w:b/>
                <w:bCs/>
                <w:sz w:val="20"/>
                <w:szCs w:val="20"/>
              </w:rPr>
              <w:t xml:space="preserve">Condition Description </w:t>
            </w:r>
          </w:p>
        </w:tc>
        <w:tc>
          <w:tcPr>
            <w:tcW w:w="1529" w:type="dxa"/>
            <w:tcBorders>
              <w:top w:val="double" w:sz="5" w:space="0" w:color="000000"/>
              <w:left w:val="double" w:sz="5" w:space="0" w:color="000000"/>
              <w:bottom w:val="double" w:sz="5" w:space="0" w:color="000000"/>
              <w:right w:val="double" w:sz="5" w:space="0" w:color="000000"/>
            </w:tcBorders>
            <w:shd w:val="clear" w:color="auto" w:fill="D9D9D9" w:themeFill="background1" w:themeFillShade="D9"/>
            <w:vAlign w:val="center"/>
          </w:tcPr>
          <w:p w:rsidR="00EA7D9A" w:rsidRDefault="00EA7D9A" w:rsidP="00271982">
            <w:pPr>
              <w:pStyle w:val="Default"/>
              <w:rPr>
                <w:sz w:val="20"/>
                <w:szCs w:val="20"/>
              </w:rPr>
            </w:pPr>
            <w:r>
              <w:rPr>
                <w:b/>
                <w:bCs/>
                <w:sz w:val="20"/>
                <w:szCs w:val="20"/>
              </w:rPr>
              <w:t xml:space="preserve">Wear </w:t>
            </w:r>
          </w:p>
        </w:tc>
        <w:tc>
          <w:tcPr>
            <w:tcW w:w="1860" w:type="dxa"/>
            <w:tcBorders>
              <w:top w:val="double" w:sz="5" w:space="0" w:color="000000"/>
              <w:left w:val="double" w:sz="5" w:space="0" w:color="000000"/>
              <w:bottom w:val="double" w:sz="5" w:space="0" w:color="000000"/>
              <w:right w:val="double" w:sz="5" w:space="0" w:color="000000"/>
            </w:tcBorders>
            <w:shd w:val="clear" w:color="auto" w:fill="D9D9D9" w:themeFill="background1" w:themeFillShade="D9"/>
          </w:tcPr>
          <w:p w:rsidR="00EA7D9A" w:rsidRDefault="00EA7D9A" w:rsidP="00271982">
            <w:pPr>
              <w:pStyle w:val="Default"/>
              <w:rPr>
                <w:sz w:val="20"/>
                <w:szCs w:val="20"/>
              </w:rPr>
            </w:pPr>
            <w:r>
              <w:rPr>
                <w:b/>
                <w:bCs/>
                <w:sz w:val="20"/>
                <w:szCs w:val="20"/>
              </w:rPr>
              <w:t>Maintenance Requirement</w:t>
            </w:r>
          </w:p>
        </w:tc>
        <w:tc>
          <w:tcPr>
            <w:tcW w:w="2133" w:type="dxa"/>
            <w:tcBorders>
              <w:top w:val="double" w:sz="5" w:space="0" w:color="000000"/>
              <w:left w:val="double" w:sz="5" w:space="0" w:color="000000"/>
              <w:bottom w:val="double" w:sz="5" w:space="0" w:color="000000"/>
              <w:right w:val="double" w:sz="5" w:space="0" w:color="000000"/>
            </w:tcBorders>
            <w:shd w:val="clear" w:color="auto" w:fill="D9D9D9" w:themeFill="background1" w:themeFillShade="D9"/>
            <w:vAlign w:val="center"/>
          </w:tcPr>
          <w:p w:rsidR="00EA7D9A" w:rsidRDefault="00EA7D9A" w:rsidP="00271982">
            <w:pPr>
              <w:pStyle w:val="Default"/>
              <w:rPr>
                <w:sz w:val="20"/>
                <w:szCs w:val="20"/>
              </w:rPr>
            </w:pPr>
            <w:r>
              <w:rPr>
                <w:b/>
                <w:bCs/>
                <w:sz w:val="20"/>
                <w:szCs w:val="20"/>
              </w:rPr>
              <w:t xml:space="preserve"> Functionality </w:t>
            </w:r>
          </w:p>
        </w:tc>
      </w:tr>
      <w:tr w:rsidR="00EA7D9A" w:rsidTr="00EF58C2">
        <w:trPr>
          <w:trHeight w:val="708"/>
        </w:trPr>
        <w:tc>
          <w:tcPr>
            <w:tcW w:w="1150" w:type="dxa"/>
            <w:tcBorders>
              <w:top w:val="doub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Excellent</w:t>
            </w:r>
          </w:p>
        </w:tc>
        <w:tc>
          <w:tcPr>
            <w:tcW w:w="1150" w:type="dxa"/>
            <w:tcBorders>
              <w:top w:val="doub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 1 </w:t>
            </w:r>
          </w:p>
        </w:tc>
        <w:tc>
          <w:tcPr>
            <w:tcW w:w="1543" w:type="dxa"/>
            <w:tcBorders>
              <w:top w:val="doub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Chance of failure is minimal </w:t>
            </w:r>
          </w:p>
        </w:tc>
        <w:tc>
          <w:tcPr>
            <w:tcW w:w="1529" w:type="dxa"/>
            <w:tcBorders>
              <w:top w:val="doub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Negligible wear </w:t>
            </w:r>
          </w:p>
        </w:tc>
        <w:tc>
          <w:tcPr>
            <w:tcW w:w="1860" w:type="dxa"/>
            <w:tcBorders>
              <w:top w:val="doub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No problem beyond normal maintenance </w:t>
            </w:r>
          </w:p>
        </w:tc>
        <w:tc>
          <w:tcPr>
            <w:tcW w:w="2133" w:type="dxa"/>
            <w:tcBorders>
              <w:top w:val="doub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Easily performing required function </w:t>
            </w:r>
          </w:p>
        </w:tc>
      </w:tr>
      <w:tr w:rsidR="00EA7D9A" w:rsidTr="00EF58C2">
        <w:trPr>
          <w:trHeight w:val="708"/>
        </w:trPr>
        <w:tc>
          <w:tcPr>
            <w:tcW w:w="1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Good</w:t>
            </w:r>
          </w:p>
        </w:tc>
        <w:tc>
          <w:tcPr>
            <w:tcW w:w="1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 2 </w:t>
            </w:r>
          </w:p>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Chance of failure is minimal </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All wear within design tolerance </w:t>
            </w:r>
          </w:p>
        </w:tc>
        <w:tc>
          <w:tcPr>
            <w:tcW w:w="1860"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No problem beyond normal maintenance </w:t>
            </w:r>
          </w:p>
        </w:tc>
        <w:tc>
          <w:tcPr>
            <w:tcW w:w="2133"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Adequately performing required function </w:t>
            </w:r>
          </w:p>
        </w:tc>
      </w:tr>
      <w:tr w:rsidR="00EA7D9A" w:rsidTr="00EF58C2">
        <w:trPr>
          <w:trHeight w:val="938"/>
        </w:trPr>
        <w:tc>
          <w:tcPr>
            <w:tcW w:w="1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Fair</w:t>
            </w:r>
          </w:p>
        </w:tc>
        <w:tc>
          <w:tcPr>
            <w:tcW w:w="1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 3 </w:t>
            </w:r>
          </w:p>
        </w:tc>
        <w:tc>
          <w:tcPr>
            <w:tcW w:w="15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Chance of failure is low but present </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Wear approaching allowable limits </w:t>
            </w:r>
          </w:p>
        </w:tc>
        <w:tc>
          <w:tcPr>
            <w:tcW w:w="1860"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Problem that will require prioritised attention </w:t>
            </w:r>
          </w:p>
        </w:tc>
        <w:tc>
          <w:tcPr>
            <w:tcW w:w="2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Performing function but possibly not effectively </w:t>
            </w:r>
          </w:p>
        </w:tc>
      </w:tr>
      <w:tr w:rsidR="00EA7D9A" w:rsidTr="00EF58C2">
        <w:trPr>
          <w:trHeight w:val="938"/>
        </w:trPr>
        <w:tc>
          <w:tcPr>
            <w:tcW w:w="1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Poor </w:t>
            </w:r>
          </w:p>
        </w:tc>
        <w:tc>
          <w:tcPr>
            <w:tcW w:w="1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4 </w:t>
            </w:r>
          </w:p>
        </w:tc>
        <w:tc>
          <w:tcPr>
            <w:tcW w:w="15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There is a real chance of failure </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Wear beyond allowable limits </w:t>
            </w:r>
          </w:p>
        </w:tc>
        <w:tc>
          <w:tcPr>
            <w:tcW w:w="1860"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Problem identified requiring immediate attention </w:t>
            </w:r>
          </w:p>
        </w:tc>
        <w:tc>
          <w:tcPr>
            <w:tcW w:w="2133"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At lowest level of acceptability in performing required function </w:t>
            </w:r>
          </w:p>
        </w:tc>
      </w:tr>
      <w:tr w:rsidR="00EA7D9A" w:rsidTr="00EF58C2">
        <w:trPr>
          <w:trHeight w:val="713"/>
        </w:trPr>
        <w:tc>
          <w:tcPr>
            <w:tcW w:w="1150"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Broken/ Damaged </w:t>
            </w:r>
          </w:p>
        </w:tc>
        <w:tc>
          <w:tcPr>
            <w:tcW w:w="11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5 </w:t>
            </w:r>
          </w:p>
        </w:tc>
        <w:tc>
          <w:tcPr>
            <w:tcW w:w="1543"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Failed </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Substantial deterioration </w:t>
            </w:r>
          </w:p>
        </w:tc>
        <w:tc>
          <w:tcPr>
            <w:tcW w:w="1860" w:type="dxa"/>
            <w:tcBorders>
              <w:top w:val="single" w:sz="5" w:space="0" w:color="000000"/>
              <w:left w:val="single" w:sz="5" w:space="0" w:color="000000"/>
              <w:bottom w:val="single" w:sz="5" w:space="0" w:color="000000"/>
              <w:right w:val="single" w:sz="5" w:space="0" w:color="000000"/>
            </w:tcBorders>
            <w:shd w:val="clear" w:color="auto" w:fill="auto"/>
          </w:tcPr>
          <w:p w:rsidR="00EA7D9A" w:rsidRDefault="00EA7D9A" w:rsidP="00271982">
            <w:pPr>
              <w:pStyle w:val="Default"/>
              <w:rPr>
                <w:sz w:val="20"/>
                <w:szCs w:val="20"/>
              </w:rPr>
            </w:pPr>
            <w:r>
              <w:rPr>
                <w:sz w:val="20"/>
                <w:szCs w:val="20"/>
              </w:rPr>
              <w:t xml:space="preserve">Dangerous or Broken down </w:t>
            </w:r>
          </w:p>
        </w:tc>
        <w:tc>
          <w:tcPr>
            <w:tcW w:w="21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EA7D9A" w:rsidRDefault="00EA7D9A" w:rsidP="00271982">
            <w:pPr>
              <w:pStyle w:val="Default"/>
              <w:rPr>
                <w:sz w:val="20"/>
                <w:szCs w:val="20"/>
              </w:rPr>
            </w:pPr>
            <w:r>
              <w:rPr>
                <w:sz w:val="20"/>
                <w:szCs w:val="20"/>
              </w:rPr>
              <w:t xml:space="preserve">Not performing function </w:t>
            </w:r>
          </w:p>
        </w:tc>
      </w:tr>
    </w:tbl>
    <w:p w:rsidR="00207423" w:rsidRPr="00845A23" w:rsidRDefault="00207423" w:rsidP="0072653A">
      <w:pPr>
        <w:pStyle w:val="BodyText"/>
        <w:ind w:left="-567"/>
        <w:jc w:val="left"/>
        <w:rPr>
          <w:rFonts w:asciiTheme="minorHAnsi" w:hAnsiTheme="minorHAnsi"/>
        </w:rPr>
      </w:pPr>
      <w:r w:rsidRPr="00845A23">
        <w:rPr>
          <w:rFonts w:asciiTheme="minorHAnsi" w:hAnsiTheme="minorHAnsi"/>
        </w:rPr>
        <w:t xml:space="preserve">The </w:t>
      </w:r>
      <w:r w:rsidRPr="00EA7D9A">
        <w:rPr>
          <w:rFonts w:asciiTheme="minorHAnsi" w:hAnsiTheme="minorHAnsi"/>
          <w:u w:val="single"/>
        </w:rPr>
        <w:t>Long Term Financial Plan</w:t>
      </w:r>
      <w:r w:rsidR="009E1772" w:rsidRPr="00845A23">
        <w:rPr>
          <w:rFonts w:asciiTheme="minorHAnsi" w:hAnsiTheme="minorHAnsi"/>
        </w:rPr>
        <w:t xml:space="preserve"> outline</w:t>
      </w:r>
      <w:r w:rsidR="003904A3">
        <w:rPr>
          <w:rFonts w:asciiTheme="minorHAnsi" w:hAnsiTheme="minorHAnsi"/>
        </w:rPr>
        <w:t>s</w:t>
      </w:r>
      <w:r w:rsidR="009E1772" w:rsidRPr="00845A23">
        <w:rPr>
          <w:rFonts w:asciiTheme="minorHAnsi" w:hAnsiTheme="minorHAnsi"/>
        </w:rPr>
        <w:t xml:space="preserve"> the financial shortfall and our inability to fund the backlog as well as demonstrate</w:t>
      </w:r>
      <w:r w:rsidR="003904A3">
        <w:rPr>
          <w:rFonts w:asciiTheme="minorHAnsi" w:hAnsiTheme="minorHAnsi"/>
        </w:rPr>
        <w:t>s</w:t>
      </w:r>
      <w:r w:rsidR="009E1772" w:rsidRPr="00845A23">
        <w:rPr>
          <w:rFonts w:asciiTheme="minorHAnsi" w:hAnsiTheme="minorHAnsi"/>
        </w:rPr>
        <w:t xml:space="preserve"> the additional rate revenue generated from a range of SV scenarios. Prior to adoption by council, the LTFP was placed on public exhibition. The scenario models were used as part of community information and consultation sessions</w:t>
      </w:r>
      <w:r w:rsidR="003904A3">
        <w:rPr>
          <w:rFonts w:asciiTheme="minorHAnsi" w:hAnsiTheme="minorHAnsi"/>
        </w:rPr>
        <w:t xml:space="preserve"> for the SV process</w:t>
      </w:r>
      <w:r w:rsidR="009E1772" w:rsidRPr="00845A23">
        <w:rPr>
          <w:rFonts w:asciiTheme="minorHAnsi" w:hAnsiTheme="minorHAnsi"/>
        </w:rPr>
        <w:t>.</w:t>
      </w:r>
    </w:p>
    <w:p w:rsidR="00207423" w:rsidRDefault="00207423" w:rsidP="00271982">
      <w:pPr>
        <w:pStyle w:val="BodyText"/>
        <w:jc w:val="left"/>
        <w:rPr>
          <w:rFonts w:asciiTheme="minorHAnsi" w:hAnsiTheme="minorHAnsi"/>
        </w:rPr>
      </w:pPr>
      <w:r w:rsidRPr="00845A23">
        <w:rPr>
          <w:rFonts w:asciiTheme="minorHAnsi" w:hAnsiTheme="minorHAnsi"/>
        </w:rPr>
        <w:lastRenderedPageBreak/>
        <w:t>The Asset Management Plan</w:t>
      </w:r>
      <w:r w:rsidR="003904A3">
        <w:rPr>
          <w:rFonts w:asciiTheme="minorHAnsi" w:hAnsiTheme="minorHAnsi"/>
        </w:rPr>
        <w:t>, Delivery Program</w:t>
      </w:r>
      <w:r w:rsidRPr="00845A23">
        <w:rPr>
          <w:rFonts w:asciiTheme="minorHAnsi" w:hAnsiTheme="minorHAnsi"/>
        </w:rPr>
        <w:t xml:space="preserve"> and Long Term Financial Plan included detailed scenarios for a range of rate increases each associated with a discrete works program. </w:t>
      </w:r>
      <w:r w:rsidR="00845A23" w:rsidRPr="00845A23">
        <w:rPr>
          <w:rFonts w:asciiTheme="minorHAnsi" w:hAnsiTheme="minorHAnsi"/>
        </w:rPr>
        <w:t>Each works program was developed to achieve a certain road or bridge condition or service level.</w:t>
      </w:r>
    </w:p>
    <w:p w:rsidR="0072653A" w:rsidRPr="00845A23" w:rsidRDefault="0072653A" w:rsidP="0072653A">
      <w:pPr>
        <w:pStyle w:val="BodyText"/>
        <w:pBdr>
          <w:bottom w:val="single" w:sz="4" w:space="1" w:color="auto"/>
        </w:pBdr>
        <w:jc w:val="left"/>
        <w:rPr>
          <w:rFonts w:asciiTheme="minorHAnsi" w:hAnsiTheme="minorHAnsi"/>
        </w:rPr>
      </w:pPr>
    </w:p>
    <w:p w:rsidR="00B157B7" w:rsidRPr="00FE2452" w:rsidRDefault="00B157B7" w:rsidP="00B157B7">
      <w:pPr>
        <w:pStyle w:val="Heading2"/>
      </w:pPr>
      <w:bookmarkStart w:id="6" w:name="_Toc401138364"/>
      <w:r>
        <w:t>Key purpose of special variation</w:t>
      </w:r>
      <w:bookmarkEnd w:id="6"/>
    </w:p>
    <w:p w:rsidR="00B157B7" w:rsidRDefault="00B157B7" w:rsidP="00B157B7">
      <w:pPr>
        <w:pStyle w:val="BodyText"/>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452CBD">
        <w:tc>
          <w:tcPr>
            <w:tcW w:w="4644" w:type="dxa"/>
            <w:vAlign w:val="center"/>
          </w:tcPr>
          <w:p w:rsidR="00B157B7" w:rsidRPr="00B84AA8" w:rsidRDefault="00B157B7" w:rsidP="00DA3D47">
            <w:pPr>
              <w:pStyle w:val="TableTextEntries"/>
              <w:spacing w:before="60" w:after="60"/>
            </w:pPr>
            <w:r w:rsidRPr="00B84AA8">
              <w:t>Maintain existing services</w:t>
            </w:r>
          </w:p>
        </w:tc>
        <w:tc>
          <w:tcPr>
            <w:tcW w:w="993" w:type="dxa"/>
          </w:tcPr>
          <w:p w:rsidR="00B157B7" w:rsidRPr="00B84AA8" w:rsidRDefault="00A62B33" w:rsidP="00DA3D47">
            <w:pPr>
              <w:pStyle w:val="BodyText"/>
              <w:spacing w:before="60" w:after="60"/>
              <w:jc w:val="center"/>
            </w:pPr>
            <w:r>
              <w:t>x</w:t>
            </w:r>
            <w:r w:rsidR="00B157B7" w:rsidRPr="00B84AA8">
              <w:fldChar w:fldCharType="begin">
                <w:ffData>
                  <w:name w:val="Check4"/>
                  <w:enabled/>
                  <w:calcOnExit w:val="0"/>
                  <w:checkBox>
                    <w:sizeAuto/>
                    <w:default w:val="0"/>
                  </w:checkBox>
                </w:ffData>
              </w:fldChar>
            </w:r>
            <w:bookmarkStart w:id="7" w:name="Check4"/>
            <w:r w:rsidR="00B157B7" w:rsidRPr="00B84AA8">
              <w:instrText xml:space="preserve"> FORMCHECKBOX </w:instrText>
            </w:r>
            <w:r w:rsidR="00E71F8D">
              <w:fldChar w:fldCharType="separate"/>
            </w:r>
            <w:r w:rsidR="00B157B7" w:rsidRPr="00B84AA8">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E71F8D">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00E71F8D">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A62B33" w:rsidP="00DA3D47">
            <w:pPr>
              <w:pStyle w:val="BodyText"/>
              <w:spacing w:before="60" w:after="60"/>
              <w:jc w:val="center"/>
            </w:pPr>
            <w:r>
              <w:t>x</w:t>
            </w:r>
            <w:r w:rsidR="00B157B7" w:rsidRPr="00B84AA8">
              <w:fldChar w:fldCharType="begin">
                <w:ffData>
                  <w:name w:val="Check1"/>
                  <w:enabled/>
                  <w:calcOnExit w:val="0"/>
                  <w:checkBox>
                    <w:sizeAuto/>
                    <w:default w:val="0"/>
                    <w:checked w:val="0"/>
                  </w:checkBox>
                </w:ffData>
              </w:fldChar>
            </w:r>
            <w:bookmarkStart w:id="9" w:name="Check1"/>
            <w:r w:rsidR="00B157B7" w:rsidRPr="00B84AA8">
              <w:instrText xml:space="preserve"> FORMCHECKBOX </w:instrText>
            </w:r>
            <w:r w:rsidR="00E71F8D">
              <w:fldChar w:fldCharType="separate"/>
            </w:r>
            <w:r w:rsidR="00B157B7" w:rsidRPr="00B84AA8">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A62B33" w:rsidP="00DA3D47">
            <w:pPr>
              <w:pStyle w:val="BodyText"/>
              <w:spacing w:before="60" w:after="60"/>
              <w:jc w:val="center"/>
            </w:pPr>
            <w:r>
              <w:t>x</w:t>
            </w:r>
            <w:r w:rsidR="00B157B7" w:rsidRPr="00B84AA8">
              <w:fldChar w:fldCharType="begin">
                <w:ffData>
                  <w:name w:val="Check2"/>
                  <w:enabled/>
                  <w:calcOnExit w:val="0"/>
                  <w:checkBox>
                    <w:sizeAuto/>
                    <w:default w:val="0"/>
                    <w:checked w:val="0"/>
                  </w:checkBox>
                </w:ffData>
              </w:fldChar>
            </w:r>
            <w:r w:rsidR="00B157B7" w:rsidRPr="00B84AA8">
              <w:instrText xml:space="preserve"> FORMCHECKBOX </w:instrText>
            </w:r>
            <w:r w:rsidR="00E71F8D">
              <w:fldChar w:fldCharType="separate"/>
            </w:r>
            <w:r w:rsidR="00B157B7"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Pr="00B84AA8">
              <w:instrText xml:space="preserve"> FORMCHECKBOX </w:instrText>
            </w:r>
            <w:r w:rsidR="00E71F8D">
              <w:fldChar w:fldCharType="separate"/>
            </w:r>
            <w:r w:rsidRPr="00B84AA8">
              <w:fldChar w:fldCharType="end"/>
            </w:r>
            <w:bookmarkEnd w:id="10"/>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Other (specify)</w:t>
            </w:r>
          </w:p>
        </w:tc>
        <w:tc>
          <w:tcPr>
            <w:tcW w:w="993" w:type="dxa"/>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Pr="00B84AA8">
              <w:instrText xml:space="preserve"> FORMCHECKBOX </w:instrText>
            </w:r>
            <w:r w:rsidR="00E71F8D">
              <w:fldChar w:fldCharType="separate"/>
            </w:r>
            <w:r w:rsidRPr="00B84AA8">
              <w:fldChar w:fldCharType="end"/>
            </w:r>
            <w:bookmarkEnd w:id="11"/>
          </w:p>
        </w:tc>
      </w:tr>
    </w:tbl>
    <w:p w:rsidR="007F05F6" w:rsidRDefault="008B1F5A" w:rsidP="00D60EA5">
      <w:pPr>
        <w:pStyle w:val="BodyText"/>
      </w:pPr>
      <w:r>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 xml:space="preserve">a decision to make an application.  </w:t>
      </w:r>
    </w:p>
    <w:p w:rsidR="0072653A" w:rsidRDefault="0072653A" w:rsidP="0072653A">
      <w:pPr>
        <w:pStyle w:val="BodyText"/>
        <w:pBdr>
          <w:bottom w:val="single" w:sz="4" w:space="1" w:color="auto"/>
        </w:pBdr>
      </w:pPr>
    </w:p>
    <w:p w:rsidR="00A62B33" w:rsidRDefault="00A62B33" w:rsidP="00A62B33"/>
    <w:p w:rsidR="006810DE" w:rsidRPr="00845A23" w:rsidRDefault="006810DE" w:rsidP="00147649">
      <w:pPr>
        <w:pStyle w:val="BodyText"/>
        <w:jc w:val="left"/>
        <w:rPr>
          <w:rFonts w:asciiTheme="minorHAnsi" w:hAnsiTheme="minorHAnsi"/>
        </w:rPr>
      </w:pPr>
      <w:r w:rsidRPr="00845A23">
        <w:rPr>
          <w:rFonts w:asciiTheme="minorHAnsi" w:hAnsiTheme="minorHAnsi"/>
        </w:rPr>
        <w:t xml:space="preserve">The purpose of </w:t>
      </w:r>
      <w:r w:rsidR="006E6357" w:rsidRPr="00845A23">
        <w:rPr>
          <w:rFonts w:asciiTheme="minorHAnsi" w:hAnsiTheme="minorHAnsi"/>
        </w:rPr>
        <w:t>the variation is to address the backlog in community transport assets (i.e. road</w:t>
      </w:r>
      <w:r w:rsidR="009C5515" w:rsidRPr="00845A23">
        <w:rPr>
          <w:rFonts w:asciiTheme="minorHAnsi" w:hAnsiTheme="minorHAnsi"/>
        </w:rPr>
        <w:t>, bridges</w:t>
      </w:r>
      <w:r w:rsidR="006E6357" w:rsidRPr="00845A23">
        <w:rPr>
          <w:rFonts w:asciiTheme="minorHAnsi" w:hAnsiTheme="minorHAnsi"/>
        </w:rPr>
        <w:t xml:space="preserve"> and road furniture) which is significantly greater than Council’s ability to fund</w:t>
      </w:r>
      <w:r w:rsidR="00714CB8" w:rsidRPr="00845A23">
        <w:rPr>
          <w:rFonts w:asciiTheme="minorHAnsi" w:hAnsiTheme="minorHAnsi"/>
        </w:rPr>
        <w:t xml:space="preserve"> with current revenues</w:t>
      </w:r>
      <w:r w:rsidR="006E6357" w:rsidRPr="00845A23">
        <w:rPr>
          <w:rFonts w:asciiTheme="minorHAnsi" w:hAnsiTheme="minorHAnsi"/>
        </w:rPr>
        <w:t>.</w:t>
      </w:r>
    </w:p>
    <w:p w:rsidR="006E6357" w:rsidRPr="00845A23" w:rsidRDefault="003904A3" w:rsidP="00147649">
      <w:pPr>
        <w:pStyle w:val="BodyText"/>
        <w:jc w:val="left"/>
        <w:rPr>
          <w:rFonts w:asciiTheme="minorHAnsi" w:hAnsiTheme="minorHAnsi"/>
        </w:rPr>
      </w:pPr>
      <w:r>
        <w:rPr>
          <w:rFonts w:asciiTheme="minorHAnsi" w:hAnsiTheme="minorHAnsi"/>
        </w:rPr>
        <w:t>Council has been aware</w:t>
      </w:r>
      <w:r w:rsidR="006E6357" w:rsidRPr="00845A23">
        <w:rPr>
          <w:rFonts w:asciiTheme="minorHAnsi" w:hAnsiTheme="minorHAnsi"/>
        </w:rPr>
        <w:t xml:space="preserve"> for some time that the condition of our roads and bridges has reached a very poor state. To quantify this condition</w:t>
      </w:r>
      <w:r>
        <w:rPr>
          <w:rFonts w:asciiTheme="minorHAnsi" w:hAnsiTheme="minorHAnsi"/>
        </w:rPr>
        <w:t xml:space="preserve"> </w:t>
      </w:r>
      <w:r w:rsidRPr="00845A23">
        <w:rPr>
          <w:rFonts w:asciiTheme="minorHAnsi" w:hAnsiTheme="minorHAnsi"/>
        </w:rPr>
        <w:t>we conducted a detailed and exhaustive asset condition and assessment project</w:t>
      </w:r>
      <w:r>
        <w:rPr>
          <w:rFonts w:asciiTheme="minorHAnsi" w:hAnsiTheme="minorHAnsi"/>
        </w:rPr>
        <w:t xml:space="preserve">. This project enabled us </w:t>
      </w:r>
      <w:r w:rsidR="006E6357" w:rsidRPr="00845A23">
        <w:rPr>
          <w:rFonts w:asciiTheme="minorHAnsi" w:hAnsiTheme="minorHAnsi"/>
        </w:rPr>
        <w:t>to inform our community, to develop a prioritised works program and to seek funding</w:t>
      </w:r>
      <w:r w:rsidR="00A62B33" w:rsidRPr="00845A23">
        <w:rPr>
          <w:rFonts w:asciiTheme="minorHAnsi" w:hAnsiTheme="minorHAnsi"/>
        </w:rPr>
        <w:t xml:space="preserve">. </w:t>
      </w:r>
      <w:r>
        <w:rPr>
          <w:rFonts w:asciiTheme="minorHAnsi" w:hAnsiTheme="minorHAnsi"/>
        </w:rPr>
        <w:t>It also</w:t>
      </w:r>
      <w:r w:rsidR="00A62B33" w:rsidRPr="00845A23">
        <w:rPr>
          <w:rFonts w:asciiTheme="minorHAnsi" w:hAnsiTheme="minorHAnsi"/>
        </w:rPr>
        <w:t xml:space="preserve"> enabled accurate costs for backlog renewal and future maintenance to be </w:t>
      </w:r>
      <w:r w:rsidR="006E6357" w:rsidRPr="00845A23">
        <w:rPr>
          <w:rFonts w:asciiTheme="minorHAnsi" w:hAnsiTheme="minorHAnsi"/>
        </w:rPr>
        <w:t>calculat</w:t>
      </w:r>
      <w:r w:rsidR="00A62B33" w:rsidRPr="00845A23">
        <w:rPr>
          <w:rFonts w:asciiTheme="minorHAnsi" w:hAnsiTheme="minorHAnsi"/>
        </w:rPr>
        <w:t xml:space="preserve">ed and to develop the associated long term financial resource plan. </w:t>
      </w:r>
    </w:p>
    <w:p w:rsidR="002138F6" w:rsidRPr="00845A23" w:rsidRDefault="00A62B33" w:rsidP="00147649">
      <w:pPr>
        <w:pStyle w:val="BodyText"/>
        <w:jc w:val="left"/>
        <w:rPr>
          <w:rFonts w:asciiTheme="minorHAnsi" w:hAnsiTheme="minorHAnsi"/>
        </w:rPr>
      </w:pPr>
      <w:r w:rsidRPr="00845A23">
        <w:rPr>
          <w:rFonts w:asciiTheme="minorHAnsi" w:hAnsiTheme="minorHAnsi"/>
        </w:rPr>
        <w:t xml:space="preserve">This </w:t>
      </w:r>
      <w:r w:rsidR="006E6357" w:rsidRPr="00845A23">
        <w:rPr>
          <w:rFonts w:asciiTheme="minorHAnsi" w:hAnsiTheme="minorHAnsi"/>
        </w:rPr>
        <w:t xml:space="preserve">project </w:t>
      </w:r>
      <w:r w:rsidRPr="00845A23">
        <w:rPr>
          <w:rFonts w:asciiTheme="minorHAnsi" w:hAnsiTheme="minorHAnsi"/>
        </w:rPr>
        <w:t xml:space="preserve">clearly identified the need for significant additional revenues with the key component of this, an application for a special </w:t>
      </w:r>
      <w:r w:rsidR="001732F3">
        <w:rPr>
          <w:rFonts w:asciiTheme="minorHAnsi" w:hAnsiTheme="minorHAnsi"/>
        </w:rPr>
        <w:t>variation.</w:t>
      </w:r>
      <w:r w:rsidRPr="00845A23">
        <w:rPr>
          <w:rFonts w:asciiTheme="minorHAnsi" w:hAnsiTheme="minorHAnsi"/>
        </w:rPr>
        <w:t xml:space="preserve"> </w:t>
      </w:r>
      <w:r w:rsidR="006E6357" w:rsidRPr="00845A23">
        <w:rPr>
          <w:rFonts w:asciiTheme="minorHAnsi" w:hAnsiTheme="minorHAnsi"/>
        </w:rPr>
        <w:t>Whilst a</w:t>
      </w:r>
      <w:r w:rsidRPr="00845A23">
        <w:rPr>
          <w:rFonts w:asciiTheme="minorHAnsi" w:hAnsiTheme="minorHAnsi"/>
        </w:rPr>
        <w:t xml:space="preserve"> SV is</w:t>
      </w:r>
      <w:r w:rsidR="00E00026">
        <w:rPr>
          <w:rFonts w:asciiTheme="minorHAnsi" w:hAnsiTheme="minorHAnsi"/>
        </w:rPr>
        <w:t>,</w:t>
      </w:r>
      <w:r w:rsidRPr="00845A23">
        <w:rPr>
          <w:rFonts w:asciiTheme="minorHAnsi" w:hAnsiTheme="minorHAnsi"/>
        </w:rPr>
        <w:t xml:space="preserve"> and will not be</w:t>
      </w:r>
      <w:r w:rsidR="00E00026">
        <w:rPr>
          <w:rFonts w:asciiTheme="minorHAnsi" w:hAnsiTheme="minorHAnsi"/>
        </w:rPr>
        <w:t>,</w:t>
      </w:r>
      <w:r w:rsidRPr="00845A23">
        <w:rPr>
          <w:rFonts w:asciiTheme="minorHAnsi" w:hAnsiTheme="minorHAnsi"/>
        </w:rPr>
        <w:t xml:space="preserve"> the sole focus of Council’s attention with regard to </w:t>
      </w:r>
      <w:r w:rsidR="0072653A">
        <w:rPr>
          <w:rFonts w:asciiTheme="minorHAnsi" w:hAnsiTheme="minorHAnsi"/>
        </w:rPr>
        <w:t>addressing financial sustainability</w:t>
      </w:r>
      <w:r w:rsidRPr="00845A23">
        <w:rPr>
          <w:rFonts w:asciiTheme="minorHAnsi" w:hAnsiTheme="minorHAnsi"/>
        </w:rPr>
        <w:t>, rates do form a significant propor</w:t>
      </w:r>
      <w:r w:rsidR="006E6357" w:rsidRPr="00845A23">
        <w:rPr>
          <w:rFonts w:asciiTheme="minorHAnsi" w:hAnsiTheme="minorHAnsi"/>
        </w:rPr>
        <w:t xml:space="preserve">tion of revenues and as such feature strongly in any solution. </w:t>
      </w:r>
      <w:r w:rsidR="002138F6" w:rsidRPr="00845A23">
        <w:rPr>
          <w:rFonts w:asciiTheme="minorHAnsi" w:hAnsiTheme="minorHAnsi"/>
        </w:rPr>
        <w:t>All other areas</w:t>
      </w:r>
      <w:r w:rsidR="006E6357" w:rsidRPr="00845A23">
        <w:rPr>
          <w:rFonts w:asciiTheme="minorHAnsi" w:hAnsiTheme="minorHAnsi"/>
        </w:rPr>
        <w:t xml:space="preserve"> of revenues and efficiencies were reviewed and</w:t>
      </w:r>
      <w:r w:rsidR="002138F6" w:rsidRPr="00845A23">
        <w:rPr>
          <w:rFonts w:asciiTheme="minorHAnsi" w:hAnsiTheme="minorHAnsi"/>
        </w:rPr>
        <w:t xml:space="preserve"> will continually </w:t>
      </w:r>
      <w:r w:rsidR="006E6357" w:rsidRPr="00845A23">
        <w:rPr>
          <w:rFonts w:asciiTheme="minorHAnsi" w:hAnsiTheme="minorHAnsi"/>
        </w:rPr>
        <w:t>be assess</w:t>
      </w:r>
      <w:r w:rsidR="002138F6" w:rsidRPr="00845A23">
        <w:rPr>
          <w:rFonts w:asciiTheme="minorHAnsi" w:hAnsiTheme="minorHAnsi"/>
        </w:rPr>
        <w:t>ed.</w:t>
      </w:r>
    </w:p>
    <w:p w:rsidR="00A62B33" w:rsidRPr="00845A23" w:rsidRDefault="00A62B33" w:rsidP="00147649">
      <w:pPr>
        <w:pStyle w:val="BodyText"/>
        <w:jc w:val="left"/>
        <w:rPr>
          <w:rFonts w:asciiTheme="minorHAnsi" w:hAnsiTheme="minorHAnsi"/>
        </w:rPr>
      </w:pPr>
      <w:r w:rsidRPr="00845A23">
        <w:rPr>
          <w:rFonts w:asciiTheme="minorHAnsi" w:hAnsiTheme="minorHAnsi"/>
        </w:rPr>
        <w:t xml:space="preserve">Council has investigated all options with some gains already achieved and will continue to pursue as appropriate. However </w:t>
      </w:r>
      <w:r w:rsidR="001732F3">
        <w:rPr>
          <w:rFonts w:asciiTheme="minorHAnsi" w:hAnsiTheme="minorHAnsi"/>
        </w:rPr>
        <w:t>realistically</w:t>
      </w:r>
      <w:r w:rsidR="0072653A">
        <w:rPr>
          <w:rFonts w:asciiTheme="minorHAnsi" w:hAnsiTheme="minorHAnsi"/>
        </w:rPr>
        <w:t>,</w:t>
      </w:r>
      <w:r w:rsidR="001732F3">
        <w:rPr>
          <w:rFonts w:asciiTheme="minorHAnsi" w:hAnsiTheme="minorHAnsi"/>
        </w:rPr>
        <w:t xml:space="preserve"> </w:t>
      </w:r>
      <w:r w:rsidR="00E00026">
        <w:rPr>
          <w:rFonts w:asciiTheme="minorHAnsi" w:hAnsiTheme="minorHAnsi"/>
        </w:rPr>
        <w:t>some of these options</w:t>
      </w:r>
      <w:r w:rsidRPr="00845A23">
        <w:rPr>
          <w:rFonts w:asciiTheme="minorHAnsi" w:hAnsiTheme="minorHAnsi"/>
        </w:rPr>
        <w:t xml:space="preserve"> will contribute </w:t>
      </w:r>
      <w:r w:rsidR="001732F3">
        <w:rPr>
          <w:rFonts w:asciiTheme="minorHAnsi" w:hAnsiTheme="minorHAnsi"/>
        </w:rPr>
        <w:t xml:space="preserve">only a small portion of </w:t>
      </w:r>
      <w:r w:rsidRPr="00845A23">
        <w:rPr>
          <w:rFonts w:asciiTheme="minorHAnsi" w:hAnsiTheme="minorHAnsi"/>
        </w:rPr>
        <w:t xml:space="preserve">the significant funding required. </w:t>
      </w:r>
    </w:p>
    <w:p w:rsidR="00862343" w:rsidRPr="00845A23" w:rsidRDefault="00862343" w:rsidP="00147649">
      <w:pPr>
        <w:pStyle w:val="BodyText"/>
        <w:ind w:right="283"/>
        <w:jc w:val="left"/>
        <w:rPr>
          <w:rFonts w:asciiTheme="minorHAnsi" w:hAnsiTheme="minorHAnsi"/>
        </w:rPr>
      </w:pPr>
      <w:r w:rsidRPr="00845A23">
        <w:rPr>
          <w:rFonts w:asciiTheme="minorHAnsi" w:hAnsiTheme="minorHAnsi"/>
        </w:rPr>
        <w:t xml:space="preserve">Council’s first run Long Term Financial Plan was prepared </w:t>
      </w:r>
      <w:r w:rsidR="002138F6" w:rsidRPr="00845A23">
        <w:rPr>
          <w:rFonts w:asciiTheme="minorHAnsi" w:hAnsiTheme="minorHAnsi"/>
        </w:rPr>
        <w:t xml:space="preserve">as part of the initial CSP </w:t>
      </w:r>
      <w:r w:rsidRPr="00845A23">
        <w:rPr>
          <w:rFonts w:asciiTheme="minorHAnsi" w:hAnsiTheme="minorHAnsi"/>
        </w:rPr>
        <w:t xml:space="preserve">but failed to fully cost the strategies, actions and </w:t>
      </w:r>
      <w:r w:rsidR="001732F3">
        <w:rPr>
          <w:rFonts w:asciiTheme="minorHAnsi" w:hAnsiTheme="minorHAnsi"/>
        </w:rPr>
        <w:t xml:space="preserve">aspirational </w:t>
      </w:r>
      <w:r w:rsidRPr="00845A23">
        <w:rPr>
          <w:rFonts w:asciiTheme="minorHAnsi" w:hAnsiTheme="minorHAnsi"/>
        </w:rPr>
        <w:t>targets identified in the CSP</w:t>
      </w:r>
      <w:r w:rsidR="002138F6" w:rsidRPr="00845A23">
        <w:rPr>
          <w:rFonts w:asciiTheme="minorHAnsi" w:hAnsiTheme="minorHAnsi"/>
        </w:rPr>
        <w:t xml:space="preserve">. Transport assets </w:t>
      </w:r>
      <w:r w:rsidR="002138F6" w:rsidRPr="00845A23">
        <w:rPr>
          <w:rFonts w:asciiTheme="minorHAnsi" w:hAnsiTheme="minorHAnsi"/>
        </w:rPr>
        <w:lastRenderedPageBreak/>
        <w:t xml:space="preserve">(roads, bridges, </w:t>
      </w:r>
      <w:r w:rsidR="009C5515" w:rsidRPr="00845A23">
        <w:rPr>
          <w:rFonts w:asciiTheme="minorHAnsi" w:hAnsiTheme="minorHAnsi"/>
        </w:rPr>
        <w:t>etc.</w:t>
      </w:r>
      <w:r w:rsidR="002138F6" w:rsidRPr="00845A23">
        <w:rPr>
          <w:rFonts w:asciiTheme="minorHAnsi" w:hAnsiTheme="minorHAnsi"/>
        </w:rPr>
        <w:t>) comprise 93% of all asset values and therefore</w:t>
      </w:r>
      <w:r w:rsidRPr="00845A23">
        <w:rPr>
          <w:rFonts w:asciiTheme="minorHAnsi" w:hAnsiTheme="minorHAnsi"/>
        </w:rPr>
        <w:t xml:space="preserve"> asset renewal and maintenance </w:t>
      </w:r>
      <w:r w:rsidR="002138F6" w:rsidRPr="00845A23">
        <w:rPr>
          <w:rFonts w:asciiTheme="minorHAnsi" w:hAnsiTheme="minorHAnsi"/>
        </w:rPr>
        <w:t xml:space="preserve">was identified as </w:t>
      </w:r>
      <w:r w:rsidRPr="00845A23">
        <w:rPr>
          <w:rFonts w:asciiTheme="minorHAnsi" w:hAnsiTheme="minorHAnsi"/>
        </w:rPr>
        <w:t xml:space="preserve">being the most important and expensive </w:t>
      </w:r>
      <w:r w:rsidR="003904A3">
        <w:rPr>
          <w:rFonts w:asciiTheme="minorHAnsi" w:hAnsiTheme="minorHAnsi"/>
        </w:rPr>
        <w:t>shortfall</w:t>
      </w:r>
      <w:r w:rsidRPr="00845A23">
        <w:rPr>
          <w:rFonts w:asciiTheme="minorHAnsi" w:hAnsiTheme="minorHAnsi"/>
        </w:rPr>
        <w:t>.</w:t>
      </w:r>
    </w:p>
    <w:p w:rsidR="002138F6" w:rsidRPr="00B51175" w:rsidRDefault="002138F6" w:rsidP="00147649">
      <w:pPr>
        <w:pStyle w:val="BodyText"/>
        <w:ind w:left="-567"/>
        <w:jc w:val="left"/>
        <w:rPr>
          <w:rFonts w:asciiTheme="minorHAnsi" w:hAnsiTheme="minorHAnsi"/>
        </w:rPr>
      </w:pPr>
      <w:r w:rsidRPr="00B51175">
        <w:rPr>
          <w:rFonts w:asciiTheme="minorHAnsi" w:hAnsiTheme="minorHAnsi"/>
        </w:rPr>
        <w:t>The detailed analysis showed that we currently hav</w:t>
      </w:r>
      <w:r w:rsidR="00926C52" w:rsidRPr="00B51175">
        <w:rPr>
          <w:rFonts w:asciiTheme="minorHAnsi" w:hAnsiTheme="minorHAnsi"/>
        </w:rPr>
        <w:t>e</w:t>
      </w:r>
      <w:r w:rsidRPr="00B51175">
        <w:rPr>
          <w:rFonts w:asciiTheme="minorHAnsi" w:hAnsiTheme="minorHAnsi"/>
        </w:rPr>
        <w:t xml:space="preserve"> $10m in assets that had fallen below the minimum standard </w:t>
      </w:r>
      <w:r w:rsidR="006E6357" w:rsidRPr="00B51175">
        <w:rPr>
          <w:rFonts w:asciiTheme="minorHAnsi" w:hAnsiTheme="minorHAnsi"/>
        </w:rPr>
        <w:t>which</w:t>
      </w:r>
      <w:r w:rsidRPr="00B51175">
        <w:rPr>
          <w:rFonts w:asciiTheme="minorHAnsi" w:hAnsiTheme="minorHAnsi"/>
        </w:rPr>
        <w:t xml:space="preserve"> </w:t>
      </w:r>
      <w:r w:rsidR="006E6357" w:rsidRPr="00B51175">
        <w:rPr>
          <w:rFonts w:asciiTheme="minorHAnsi" w:hAnsiTheme="minorHAnsi"/>
        </w:rPr>
        <w:t xml:space="preserve">by </w:t>
      </w:r>
      <w:r w:rsidR="009C5515" w:rsidRPr="00B51175">
        <w:rPr>
          <w:rFonts w:asciiTheme="minorHAnsi" w:hAnsiTheme="minorHAnsi"/>
        </w:rPr>
        <w:t>2021 would</w:t>
      </w:r>
      <w:r w:rsidRPr="00B51175">
        <w:rPr>
          <w:rFonts w:asciiTheme="minorHAnsi" w:hAnsiTheme="minorHAnsi"/>
        </w:rPr>
        <w:t xml:space="preserve"> increase to $74m.</w:t>
      </w:r>
      <w:r w:rsidR="00926C52" w:rsidRPr="00B51175">
        <w:rPr>
          <w:rFonts w:asciiTheme="minorHAnsi" w:hAnsiTheme="minorHAnsi"/>
        </w:rPr>
        <w:t xml:space="preserve"> Additionally to maintain them at an appropriate level once achieved would require $8</w:t>
      </w:r>
      <w:r w:rsidR="008D3937" w:rsidRPr="00B51175">
        <w:rPr>
          <w:rFonts w:asciiTheme="minorHAnsi" w:hAnsiTheme="minorHAnsi"/>
        </w:rPr>
        <w:t>.3</w:t>
      </w:r>
      <w:r w:rsidR="00926C52" w:rsidRPr="00B51175">
        <w:rPr>
          <w:rFonts w:asciiTheme="minorHAnsi" w:hAnsiTheme="minorHAnsi"/>
        </w:rPr>
        <w:t>m per annum.</w:t>
      </w:r>
    </w:p>
    <w:p w:rsidR="00862343" w:rsidRPr="00845A23" w:rsidRDefault="00862343" w:rsidP="00147649">
      <w:pPr>
        <w:pStyle w:val="BodyText"/>
        <w:ind w:left="-567"/>
        <w:jc w:val="left"/>
        <w:rPr>
          <w:rFonts w:asciiTheme="minorHAnsi" w:hAnsiTheme="minorHAnsi"/>
        </w:rPr>
      </w:pPr>
      <w:r w:rsidRPr="00845A23">
        <w:rPr>
          <w:rFonts w:asciiTheme="minorHAnsi" w:hAnsiTheme="minorHAnsi"/>
        </w:rPr>
        <w:t xml:space="preserve">To understand the impact of the backlog and revenue required, various scenarios were developed that showed </w:t>
      </w:r>
      <w:r w:rsidR="00926C52" w:rsidRPr="00845A23">
        <w:rPr>
          <w:rFonts w:asciiTheme="minorHAnsi" w:hAnsiTheme="minorHAnsi"/>
        </w:rPr>
        <w:t xml:space="preserve">a range of work programs and the resultant service level on road performance against various ranges of </w:t>
      </w:r>
      <w:r w:rsidRPr="00845A23">
        <w:rPr>
          <w:rFonts w:asciiTheme="minorHAnsi" w:hAnsiTheme="minorHAnsi"/>
        </w:rPr>
        <w:t xml:space="preserve">SVs </w:t>
      </w:r>
      <w:r w:rsidR="00926C52" w:rsidRPr="00845A23">
        <w:rPr>
          <w:rFonts w:asciiTheme="minorHAnsi" w:hAnsiTheme="minorHAnsi"/>
        </w:rPr>
        <w:t xml:space="preserve">and the impact these would have on </w:t>
      </w:r>
      <w:r w:rsidR="001732F3">
        <w:rPr>
          <w:rFonts w:asciiTheme="minorHAnsi" w:hAnsiTheme="minorHAnsi"/>
        </w:rPr>
        <w:t xml:space="preserve">future </w:t>
      </w:r>
      <w:r w:rsidR="00926C52" w:rsidRPr="00845A23">
        <w:rPr>
          <w:rFonts w:asciiTheme="minorHAnsi" w:hAnsiTheme="minorHAnsi"/>
        </w:rPr>
        <w:t>rates.</w:t>
      </w:r>
      <w:r w:rsidRPr="00845A23">
        <w:rPr>
          <w:rFonts w:asciiTheme="minorHAnsi" w:hAnsiTheme="minorHAnsi"/>
        </w:rPr>
        <w:t xml:space="preserve"> </w:t>
      </w:r>
      <w:r w:rsidR="003904A3">
        <w:rPr>
          <w:rFonts w:asciiTheme="minorHAnsi" w:hAnsiTheme="minorHAnsi"/>
        </w:rPr>
        <w:t xml:space="preserve"> These levels were visually depicted in our direct presentations, newsletters and other information/consultation methods.</w:t>
      </w:r>
    </w:p>
    <w:p w:rsidR="003904A3" w:rsidRDefault="006E6357" w:rsidP="00147649">
      <w:pPr>
        <w:pStyle w:val="BodyText"/>
        <w:ind w:left="-567"/>
        <w:jc w:val="left"/>
        <w:rPr>
          <w:rFonts w:asciiTheme="minorHAnsi" w:hAnsiTheme="minorHAnsi"/>
        </w:rPr>
      </w:pPr>
      <w:r w:rsidRPr="00845A23">
        <w:rPr>
          <w:rFonts w:asciiTheme="minorHAnsi" w:hAnsiTheme="minorHAnsi"/>
        </w:rPr>
        <w:t xml:space="preserve">Transport </w:t>
      </w:r>
      <w:r w:rsidR="00147649">
        <w:rPr>
          <w:rFonts w:asciiTheme="minorHAnsi" w:hAnsiTheme="minorHAnsi"/>
        </w:rPr>
        <w:t>connections and freight access are</w:t>
      </w:r>
      <w:r w:rsidRPr="00845A23">
        <w:rPr>
          <w:rFonts w:asciiTheme="minorHAnsi" w:hAnsiTheme="minorHAnsi"/>
        </w:rPr>
        <w:t xml:space="preserve"> vital in this region with half of our ratepayer </w:t>
      </w:r>
      <w:r w:rsidR="001732F3">
        <w:rPr>
          <w:rFonts w:asciiTheme="minorHAnsi" w:hAnsiTheme="minorHAnsi"/>
        </w:rPr>
        <w:t xml:space="preserve">revenue derived from </w:t>
      </w:r>
      <w:r w:rsidR="003904A3">
        <w:rPr>
          <w:rFonts w:asciiTheme="minorHAnsi" w:hAnsiTheme="minorHAnsi"/>
        </w:rPr>
        <w:t>the category “</w:t>
      </w:r>
      <w:r w:rsidR="001732F3">
        <w:rPr>
          <w:rFonts w:asciiTheme="minorHAnsi" w:hAnsiTheme="minorHAnsi"/>
        </w:rPr>
        <w:t>Farmland</w:t>
      </w:r>
      <w:r w:rsidR="003904A3">
        <w:rPr>
          <w:rFonts w:asciiTheme="minorHAnsi" w:hAnsiTheme="minorHAnsi"/>
        </w:rPr>
        <w:t>”</w:t>
      </w:r>
      <w:r w:rsidR="001732F3">
        <w:rPr>
          <w:rFonts w:asciiTheme="minorHAnsi" w:hAnsiTheme="minorHAnsi"/>
        </w:rPr>
        <w:t>. A</w:t>
      </w:r>
      <w:r w:rsidRPr="00845A23">
        <w:rPr>
          <w:rFonts w:asciiTheme="minorHAnsi" w:hAnsiTheme="minorHAnsi"/>
        </w:rPr>
        <w:t xml:space="preserve">griculture </w:t>
      </w:r>
      <w:r w:rsidR="001732F3">
        <w:rPr>
          <w:rFonts w:asciiTheme="minorHAnsi" w:hAnsiTheme="minorHAnsi"/>
        </w:rPr>
        <w:t xml:space="preserve">is </w:t>
      </w:r>
      <w:r w:rsidRPr="00845A23">
        <w:rPr>
          <w:rFonts w:asciiTheme="minorHAnsi" w:hAnsiTheme="minorHAnsi"/>
        </w:rPr>
        <w:t>a significant economic driver and employer</w:t>
      </w:r>
      <w:r w:rsidR="001732F3">
        <w:rPr>
          <w:rFonts w:asciiTheme="minorHAnsi" w:hAnsiTheme="minorHAnsi"/>
        </w:rPr>
        <w:t xml:space="preserve"> and depends on good and safe road connections</w:t>
      </w:r>
      <w:r w:rsidR="009C5515">
        <w:rPr>
          <w:rFonts w:asciiTheme="minorHAnsi" w:hAnsiTheme="minorHAnsi"/>
        </w:rPr>
        <w:t>.</w:t>
      </w:r>
      <w:r w:rsidRPr="00845A23">
        <w:rPr>
          <w:rFonts w:asciiTheme="minorHAnsi" w:hAnsiTheme="minorHAnsi"/>
        </w:rPr>
        <w:t xml:space="preserve"> Gloucester has no state roads in the shire and has responsibility for all roads. </w:t>
      </w:r>
      <w:r w:rsidR="001732F3">
        <w:rPr>
          <w:rFonts w:asciiTheme="minorHAnsi" w:hAnsiTheme="minorHAnsi"/>
        </w:rPr>
        <w:t>It is noted however that s</w:t>
      </w:r>
      <w:r w:rsidRPr="00845A23">
        <w:rPr>
          <w:rFonts w:asciiTheme="minorHAnsi" w:hAnsiTheme="minorHAnsi"/>
        </w:rPr>
        <w:t>ome state funds are received for maintenance and some capital grants made available on an ad hoc basis.</w:t>
      </w:r>
    </w:p>
    <w:p w:rsidR="00AE0180" w:rsidRDefault="00AE0180" w:rsidP="00147649">
      <w:pPr>
        <w:pStyle w:val="BodyText"/>
        <w:ind w:left="-567"/>
        <w:jc w:val="left"/>
        <w:rPr>
          <w:rFonts w:asciiTheme="minorHAnsi" w:hAnsiTheme="minorHAnsi"/>
        </w:rPr>
      </w:pPr>
      <w:r w:rsidRPr="00845A23">
        <w:rPr>
          <w:rFonts w:asciiTheme="minorHAnsi" w:hAnsiTheme="minorHAnsi"/>
        </w:rPr>
        <w:t xml:space="preserve">In consultation with the community, </w:t>
      </w:r>
      <w:r w:rsidR="009C5515">
        <w:rPr>
          <w:rFonts w:asciiTheme="minorHAnsi" w:hAnsiTheme="minorHAnsi"/>
        </w:rPr>
        <w:t xml:space="preserve">presentations on </w:t>
      </w:r>
      <w:r w:rsidR="009C5515" w:rsidRPr="00845A23">
        <w:rPr>
          <w:rFonts w:asciiTheme="minorHAnsi" w:hAnsiTheme="minorHAnsi"/>
        </w:rPr>
        <w:t>a SV of 18% (cumulative for 5 years) inclusive of CPI were</w:t>
      </w:r>
      <w:r w:rsidRPr="00845A23">
        <w:rPr>
          <w:rFonts w:asciiTheme="minorHAnsi" w:hAnsiTheme="minorHAnsi"/>
        </w:rPr>
        <w:t xml:space="preserve"> demonstrated as the amount required to bring roads to an average condition across the shire of 2.9/5.</w:t>
      </w:r>
      <w:r w:rsidR="001732F3">
        <w:rPr>
          <w:rFonts w:asciiTheme="minorHAnsi" w:hAnsiTheme="minorHAnsi"/>
        </w:rPr>
        <w:t xml:space="preserve"> </w:t>
      </w:r>
      <w:r w:rsidR="00147649">
        <w:rPr>
          <w:rFonts w:asciiTheme="minorHAnsi" w:hAnsiTheme="minorHAnsi"/>
        </w:rPr>
        <w:t>(</w:t>
      </w:r>
      <w:r w:rsidR="001732F3">
        <w:rPr>
          <w:rFonts w:asciiTheme="minorHAnsi" w:hAnsiTheme="minorHAnsi"/>
        </w:rPr>
        <w:t>Condition categories range from 1 or best</w:t>
      </w:r>
      <w:r w:rsidR="003904A3">
        <w:rPr>
          <w:rFonts w:asciiTheme="minorHAnsi" w:hAnsiTheme="minorHAnsi"/>
        </w:rPr>
        <w:t xml:space="preserve"> to</w:t>
      </w:r>
      <w:r w:rsidR="001732F3">
        <w:rPr>
          <w:rFonts w:asciiTheme="minorHAnsi" w:hAnsiTheme="minorHAnsi"/>
        </w:rPr>
        <w:t xml:space="preserve"> 5 or worst/failed condition). </w:t>
      </w:r>
      <w:r w:rsidRPr="00845A23">
        <w:rPr>
          <w:rFonts w:asciiTheme="minorHAnsi" w:hAnsiTheme="minorHAnsi"/>
        </w:rPr>
        <w:t xml:space="preserve">The engagement process showed that there was not the </w:t>
      </w:r>
      <w:r w:rsidR="001732F3">
        <w:rPr>
          <w:rFonts w:asciiTheme="minorHAnsi" w:hAnsiTheme="minorHAnsi"/>
        </w:rPr>
        <w:t xml:space="preserve">community acceptance or </w:t>
      </w:r>
      <w:r w:rsidRPr="00845A23">
        <w:rPr>
          <w:rFonts w:asciiTheme="minorHAnsi" w:hAnsiTheme="minorHAnsi"/>
        </w:rPr>
        <w:t>capacity for this level of increase and the SV application modified to 1</w:t>
      </w:r>
      <w:r w:rsidR="00714CB8" w:rsidRPr="00845A23">
        <w:rPr>
          <w:rFonts w:asciiTheme="minorHAnsi" w:hAnsiTheme="minorHAnsi"/>
        </w:rPr>
        <w:t>3</w:t>
      </w:r>
      <w:r w:rsidRPr="00845A23">
        <w:rPr>
          <w:rFonts w:asciiTheme="minorHAnsi" w:hAnsiTheme="minorHAnsi"/>
        </w:rPr>
        <w:t>% (cumulative for 3years</w:t>
      </w:r>
      <w:r w:rsidR="009C5515" w:rsidRPr="00845A23">
        <w:rPr>
          <w:rFonts w:asciiTheme="minorHAnsi" w:hAnsiTheme="minorHAnsi"/>
        </w:rPr>
        <w:t>) inclusive</w:t>
      </w:r>
      <w:r w:rsidRPr="00845A23">
        <w:rPr>
          <w:rFonts w:asciiTheme="minorHAnsi" w:hAnsiTheme="minorHAnsi"/>
        </w:rPr>
        <w:t xml:space="preserve"> of CPI. If the SV application is not successful, roads and bridges will continue to deteriorate</w:t>
      </w:r>
      <w:r w:rsidR="001732F3">
        <w:rPr>
          <w:rFonts w:asciiTheme="minorHAnsi" w:hAnsiTheme="minorHAnsi"/>
        </w:rPr>
        <w:t xml:space="preserve">. Early intervention is obviously cheaper in the long term </w:t>
      </w:r>
      <w:r w:rsidR="00B51175">
        <w:rPr>
          <w:rFonts w:asciiTheme="minorHAnsi" w:hAnsiTheme="minorHAnsi"/>
        </w:rPr>
        <w:t>with</w:t>
      </w:r>
      <w:r w:rsidR="001732F3">
        <w:rPr>
          <w:rFonts w:asciiTheme="minorHAnsi" w:hAnsiTheme="minorHAnsi"/>
        </w:rPr>
        <w:t xml:space="preserve"> the risk </w:t>
      </w:r>
      <w:r w:rsidR="00B51175">
        <w:rPr>
          <w:rFonts w:asciiTheme="minorHAnsi" w:hAnsiTheme="minorHAnsi"/>
        </w:rPr>
        <w:t>that</w:t>
      </w:r>
      <w:r w:rsidR="001732F3">
        <w:rPr>
          <w:rFonts w:asciiTheme="minorHAnsi" w:hAnsiTheme="minorHAnsi"/>
        </w:rPr>
        <w:t xml:space="preserve"> some assets will move </w:t>
      </w:r>
      <w:r w:rsidR="00561905">
        <w:rPr>
          <w:rFonts w:asciiTheme="minorHAnsi" w:hAnsiTheme="minorHAnsi"/>
        </w:rPr>
        <w:t>b</w:t>
      </w:r>
      <w:r w:rsidRPr="00845A23">
        <w:rPr>
          <w:rFonts w:asciiTheme="minorHAnsi" w:hAnsiTheme="minorHAnsi"/>
        </w:rPr>
        <w:t>eyond the point of remediation into the realms of full replacement at much higher cost.</w:t>
      </w:r>
    </w:p>
    <w:p w:rsidR="00147649" w:rsidRPr="00845A23" w:rsidRDefault="00147649" w:rsidP="00147649">
      <w:pPr>
        <w:pStyle w:val="BodyText"/>
        <w:pBdr>
          <w:bottom w:val="single" w:sz="4" w:space="1" w:color="auto"/>
        </w:pBdr>
        <w:ind w:left="-567"/>
        <w:rPr>
          <w:rFonts w:asciiTheme="minorHAnsi" w:hAnsiTheme="minorHAnsi"/>
        </w:rPr>
      </w:pPr>
    </w:p>
    <w:p w:rsidR="00A62B33" w:rsidRPr="00F854EA" w:rsidRDefault="00A62B33" w:rsidP="00046603">
      <w:pPr>
        <w:spacing w:before="240" w:line="280" w:lineRule="atLeast"/>
      </w:pPr>
    </w:p>
    <w:p w:rsidR="007F05F6" w:rsidRDefault="007F05F6" w:rsidP="007F05F6">
      <w:pPr>
        <w:pStyle w:val="Heading2"/>
        <w:spacing w:after="240"/>
      </w:pPr>
      <w:bookmarkStart w:id="12" w:name="_Toc304287283"/>
      <w:bookmarkStart w:id="13" w:name="_Toc366160409"/>
      <w:bookmarkStart w:id="14" w:name="_Toc401138365"/>
      <w:r>
        <w:t xml:space="preserve">Capital </w:t>
      </w:r>
      <w:r w:rsidRPr="005E5B1F">
        <w:t>e</w:t>
      </w:r>
      <w:r>
        <w:t>xpenditure</w:t>
      </w:r>
      <w:bookmarkEnd w:id="12"/>
      <w:r>
        <w:t xml:space="preserve"> review</w:t>
      </w:r>
      <w:bookmarkEnd w:id="13"/>
      <w:bookmarkEnd w:id="14"/>
    </w:p>
    <w:p w:rsidR="007F05F6" w:rsidRDefault="008B1F5A" w:rsidP="007F05F6">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exempt and cost in excess of 10% of council’s annual ordinary rates revenue or $1 million (GST exclusive), whichever is the greater.  </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Layout w:type="fixed"/>
        <w:tblLook w:val="01E0" w:firstRow="1" w:lastRow="1" w:firstColumn="1" w:lastColumn="1" w:noHBand="0" w:noVBand="0"/>
      </w:tblPr>
      <w:tblGrid>
        <w:gridCol w:w="6487"/>
        <w:gridCol w:w="851"/>
        <w:gridCol w:w="816"/>
      </w:tblGrid>
      <w:tr w:rsidR="007F05F6" w:rsidTr="00452CBD">
        <w:trPr>
          <w:trHeight w:val="613"/>
        </w:trPr>
        <w:tc>
          <w:tcPr>
            <w:tcW w:w="6487" w:type="dxa"/>
          </w:tcPr>
          <w:p w:rsidR="007F05F6" w:rsidRDefault="007F05F6" w:rsidP="00452CB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E71F8D">
              <w:rPr>
                <w:rFonts w:cs="Arial"/>
              </w:rPr>
            </w:r>
            <w:r w:rsidR="00E71F8D">
              <w:rPr>
                <w:rFonts w:cs="Arial"/>
              </w:rPr>
              <w:fldChar w:fldCharType="separate"/>
            </w:r>
            <w:r>
              <w:rPr>
                <w:rFonts w:cs="Arial"/>
              </w:rPr>
              <w:fldChar w:fldCharType="end"/>
            </w:r>
          </w:p>
        </w:tc>
        <w:tc>
          <w:tcPr>
            <w:tcW w:w="816" w:type="dxa"/>
          </w:tcPr>
          <w:p w:rsidR="007F05F6" w:rsidRDefault="007F05F6" w:rsidP="00B51175">
            <w:pPr>
              <w:pStyle w:val="TableTextEntries"/>
            </w:pPr>
            <w:r>
              <w:rPr>
                <w:rFonts w:cs="Arial"/>
              </w:rPr>
              <w:t xml:space="preserve">No </w:t>
            </w:r>
            <w:r w:rsidR="00B51175">
              <w:rPr>
                <w:rFonts w:cs="Arial"/>
                <w:b/>
              </w:rPr>
              <w:t>X</w:t>
            </w:r>
            <w:r>
              <w:rPr>
                <w:rFonts w:cs="Arial"/>
              </w:rPr>
              <w:fldChar w:fldCharType="begin">
                <w:ffData>
                  <w:name w:val="Check7"/>
                  <w:enabled/>
                  <w:calcOnExit w:val="0"/>
                  <w:checkBox>
                    <w:sizeAuto/>
                    <w:default w:val="0"/>
                  </w:checkBox>
                </w:ffData>
              </w:fldChar>
            </w:r>
            <w:r>
              <w:rPr>
                <w:rFonts w:cs="Arial"/>
              </w:rPr>
              <w:instrText xml:space="preserve"> FORMCHECKBOX </w:instrText>
            </w:r>
            <w:r w:rsidR="00E71F8D">
              <w:rPr>
                <w:rFonts w:cs="Arial"/>
              </w:rPr>
            </w:r>
            <w:r w:rsidR="00E71F8D">
              <w:rPr>
                <w:rFonts w:cs="Arial"/>
              </w:rPr>
              <w:fldChar w:fldCharType="separate"/>
            </w:r>
            <w:r>
              <w:rPr>
                <w:rFonts w:cs="Arial"/>
              </w:rPr>
              <w:fldChar w:fldCharType="end"/>
            </w:r>
          </w:p>
        </w:tc>
      </w:tr>
      <w:tr w:rsidR="007F05F6" w:rsidTr="00452CBD">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E71F8D">
              <w:rPr>
                <w:rFonts w:cs="Arial"/>
              </w:rPr>
            </w:r>
            <w:r w:rsidR="00E71F8D">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E71F8D">
              <w:rPr>
                <w:rFonts w:cs="Arial"/>
              </w:rPr>
            </w:r>
            <w:r w:rsidR="00E71F8D">
              <w:rPr>
                <w:rFonts w:cs="Arial"/>
              </w:rPr>
              <w:fldChar w:fldCharType="separate"/>
            </w:r>
            <w:r>
              <w:rPr>
                <w:rFonts w:cs="Arial"/>
              </w:rPr>
              <w:fldChar w:fldCharType="end"/>
            </w:r>
          </w:p>
        </w:tc>
      </w:tr>
    </w:tbl>
    <w:p w:rsidR="000F359C" w:rsidRDefault="00E3295D" w:rsidP="006607B9">
      <w:pPr>
        <w:pStyle w:val="Heading1"/>
      </w:pPr>
      <w:bookmarkStart w:id="15" w:name="_Toc401138366"/>
      <w:r>
        <w:lastRenderedPageBreak/>
        <w:t xml:space="preserve">Assessment Criterion 1: </w:t>
      </w:r>
      <w:r w:rsidR="000F359C">
        <w:t>Need for the variation</w:t>
      </w:r>
      <w:bookmarkEnd w:id="15"/>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D60EA5">
      <w:pPr>
        <w:pStyle w:val="Quote"/>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D60EA5">
      <w:pPr>
        <w:pStyle w:val="QuoteBullet"/>
        <w:rPr>
          <w:rFonts w:ascii="Arial" w:hAnsi="Arial"/>
          <w:i/>
        </w:rPr>
      </w:pPr>
      <w:r w:rsidRPr="006D3A62">
        <w:rPr>
          <w:rFonts w:ascii="Arial" w:hAnsi="Arial"/>
          <w:i/>
        </w:rPr>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D60EA5">
      <w:pPr>
        <w:pStyle w:val="QuoteBullet"/>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2A25A8">
      <w:pPr>
        <w:pStyle w:val="Quote"/>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2A25A8">
      <w:pPr>
        <w:pStyle w:val="Quote"/>
        <w:rPr>
          <w:rFonts w:ascii="Arial" w:hAnsi="Arial" w:cs="Arial"/>
          <w:i/>
        </w:rPr>
      </w:pPr>
      <w:r w:rsidRPr="002A25A8">
        <w:rPr>
          <w:rFonts w:ascii="Arial" w:hAnsi="Arial" w:cs="Arial"/>
          <w:i/>
        </w:rPr>
        <w:t xml:space="preserve">Evidence </w:t>
      </w:r>
      <w:r>
        <w:rPr>
          <w:rFonts w:ascii="Arial" w:hAnsi="Arial" w:cs="Arial"/>
          <w:i/>
        </w:rPr>
        <w:t>could also include the assessment of the council’s financial sustainability conducted by the NSW Treasury Corporation.</w:t>
      </w:r>
    </w:p>
    <w:p w:rsidR="00F169FD" w:rsidRPr="00266497" w:rsidRDefault="00F169FD" w:rsidP="007D46AE">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(TCorp).</w:t>
      </w:r>
    </w:p>
    <w:p w:rsidR="00B822FE" w:rsidRDefault="00F169FD" w:rsidP="00D60EA5">
      <w:pPr>
        <w:pStyle w:val="BodyText"/>
      </w:pPr>
      <w:r w:rsidRPr="00266497">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ents especially the Long Term Financial Plan (LTFP) 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147649" w:rsidRDefault="00147649" w:rsidP="00147649">
      <w:pPr>
        <w:pStyle w:val="BodyText"/>
        <w:pBdr>
          <w:bottom w:val="single" w:sz="4" w:space="1" w:color="auto"/>
        </w:pBdr>
      </w:pPr>
    </w:p>
    <w:p w:rsidR="001D4F88" w:rsidRDefault="001D4F88" w:rsidP="001D4F88">
      <w:pPr>
        <w:spacing w:after="200" w:line="276" w:lineRule="auto"/>
        <w:rPr>
          <w:rFonts w:asciiTheme="minorHAnsi" w:hAnsiTheme="minorHAnsi"/>
          <w:b/>
          <w:szCs w:val="22"/>
        </w:rPr>
      </w:pPr>
    </w:p>
    <w:p w:rsidR="001D4F88" w:rsidRPr="00561905" w:rsidRDefault="001D4F88" w:rsidP="00D94E3C">
      <w:pPr>
        <w:pStyle w:val="BodyText"/>
        <w:rPr>
          <w:rFonts w:asciiTheme="minorHAnsi" w:hAnsiTheme="minorHAnsi"/>
        </w:rPr>
      </w:pPr>
      <w:r w:rsidRPr="00561905">
        <w:rPr>
          <w:rFonts w:asciiTheme="minorHAnsi" w:hAnsiTheme="minorHAnsi"/>
        </w:rPr>
        <w:t>Like most councils</w:t>
      </w:r>
      <w:r w:rsidR="006F0382" w:rsidRPr="00561905">
        <w:rPr>
          <w:rFonts w:asciiTheme="minorHAnsi" w:hAnsiTheme="minorHAnsi"/>
        </w:rPr>
        <w:t>,</w:t>
      </w:r>
      <w:r w:rsidRPr="00561905">
        <w:rPr>
          <w:rFonts w:asciiTheme="minorHAnsi" w:hAnsiTheme="minorHAnsi"/>
        </w:rPr>
        <w:t xml:space="preserve"> Gloucester has felt the escalating costs of providing services over recent years as well as an expectation to provide a broader range of services. At the same time income levels to fund services have not kept pace</w:t>
      </w:r>
      <w:r w:rsidR="00B51175">
        <w:rPr>
          <w:rFonts w:asciiTheme="minorHAnsi" w:hAnsiTheme="minorHAnsi"/>
        </w:rPr>
        <w:t>;</w:t>
      </w:r>
      <w:r w:rsidRPr="00561905">
        <w:rPr>
          <w:rFonts w:asciiTheme="minorHAnsi" w:hAnsiTheme="minorHAnsi"/>
        </w:rPr>
        <w:t xml:space="preserve"> not only have Councils</w:t>
      </w:r>
      <w:r w:rsidR="00147649">
        <w:rPr>
          <w:rFonts w:asciiTheme="minorHAnsi" w:hAnsiTheme="minorHAnsi"/>
        </w:rPr>
        <w:t>’</w:t>
      </w:r>
      <w:r w:rsidRPr="00561905">
        <w:rPr>
          <w:rFonts w:asciiTheme="minorHAnsi" w:hAnsiTheme="minorHAnsi"/>
        </w:rPr>
        <w:t xml:space="preserve"> rates been pegged to CPI, but State and Federal Governments have shifted costs to local government and decreased the funding disbursements that are crucial to the ongoing viability of local government. This continued decline in other sources of funding is almost certainly going to continue into the foreseeable future</w:t>
      </w:r>
      <w:r w:rsidR="00147649">
        <w:rPr>
          <w:rFonts w:asciiTheme="minorHAnsi" w:hAnsiTheme="minorHAnsi"/>
        </w:rPr>
        <w:t xml:space="preserve"> and is an integral part of a council’s sustainability</w:t>
      </w:r>
      <w:r w:rsidRPr="00561905">
        <w:rPr>
          <w:rFonts w:asciiTheme="minorHAnsi" w:hAnsiTheme="minorHAnsi"/>
        </w:rPr>
        <w:t xml:space="preserve">. </w:t>
      </w:r>
    </w:p>
    <w:p w:rsidR="00147649" w:rsidRDefault="001D4F88" w:rsidP="00D94E3C">
      <w:pPr>
        <w:pStyle w:val="BodyText"/>
        <w:rPr>
          <w:rFonts w:asciiTheme="minorHAnsi" w:hAnsiTheme="minorHAnsi"/>
        </w:rPr>
      </w:pPr>
      <w:r w:rsidRPr="00561905">
        <w:rPr>
          <w:rFonts w:asciiTheme="minorHAnsi" w:hAnsiTheme="minorHAnsi"/>
        </w:rPr>
        <w:t>The recent federal budget decision to freeze the indexation of federal grants will cost Australian councils an estimated $925 million by 2017-18. Like many smaller rural and remote councils the impact will hit Gloucester hardest. We will continue to lobby for the value of FAGs to be restored to a level equivalent to one percent of tax revenue, the level they were at in 1996. In recent years the value has slipped to 0.7 percent, but by 2017-18</w:t>
      </w:r>
      <w:r w:rsidR="006F0382" w:rsidRPr="00561905">
        <w:rPr>
          <w:rFonts w:asciiTheme="minorHAnsi" w:hAnsiTheme="minorHAnsi"/>
        </w:rPr>
        <w:t>, on current trends</w:t>
      </w:r>
      <w:r w:rsidR="009C5515" w:rsidRPr="00561905">
        <w:rPr>
          <w:rFonts w:asciiTheme="minorHAnsi" w:hAnsiTheme="minorHAnsi"/>
        </w:rPr>
        <w:t>, that</w:t>
      </w:r>
      <w:r w:rsidRPr="00561905">
        <w:rPr>
          <w:rFonts w:asciiTheme="minorHAnsi" w:hAnsiTheme="minorHAnsi"/>
        </w:rPr>
        <w:t xml:space="preserve"> figure will have fallen to just 0.53 percent.</w:t>
      </w:r>
      <w:r w:rsidR="00147649">
        <w:rPr>
          <w:rFonts w:asciiTheme="minorHAnsi" w:hAnsiTheme="minorHAnsi"/>
        </w:rPr>
        <w:t xml:space="preserve"> </w:t>
      </w:r>
    </w:p>
    <w:p w:rsidR="001D4F88" w:rsidRPr="00561905" w:rsidRDefault="001D4F88" w:rsidP="00147649">
      <w:pPr>
        <w:pStyle w:val="BodyText"/>
        <w:ind w:left="-567"/>
        <w:rPr>
          <w:rFonts w:asciiTheme="minorHAnsi" w:hAnsiTheme="minorHAnsi"/>
        </w:rPr>
      </w:pPr>
      <w:r w:rsidRPr="00561905">
        <w:rPr>
          <w:rFonts w:asciiTheme="minorHAnsi" w:hAnsiTheme="minorHAnsi"/>
        </w:rPr>
        <w:lastRenderedPageBreak/>
        <w:t xml:space="preserve">Until now </w:t>
      </w:r>
      <w:r w:rsidR="00147649">
        <w:rPr>
          <w:rFonts w:asciiTheme="minorHAnsi" w:hAnsiTheme="minorHAnsi"/>
        </w:rPr>
        <w:t>this council has</w:t>
      </w:r>
      <w:r w:rsidRPr="00561905">
        <w:rPr>
          <w:rFonts w:asciiTheme="minorHAnsi" w:hAnsiTheme="minorHAnsi"/>
        </w:rPr>
        <w:t xml:space="preserve"> managed these declines in funding by suffering the resultant deterioration in our assets. While our reduced works and operations, together with some efficiency savings have gone some way to maintaining service levels in the face of decreased income, we have needed to postpone important operational and capital works. This has led to a backlog of work required to maintain </w:t>
      </w:r>
      <w:r w:rsidR="00561905">
        <w:rPr>
          <w:rFonts w:asciiTheme="minorHAnsi" w:hAnsiTheme="minorHAnsi"/>
        </w:rPr>
        <w:t>aspirational targets</w:t>
      </w:r>
      <w:r w:rsidRPr="00561905">
        <w:rPr>
          <w:rFonts w:asciiTheme="minorHAnsi" w:hAnsiTheme="minorHAnsi"/>
        </w:rPr>
        <w:t xml:space="preserve"> outlined in the Community Strategic Plan</w:t>
      </w:r>
      <w:r w:rsidR="00296C8C">
        <w:rPr>
          <w:rFonts w:asciiTheme="minorHAnsi" w:hAnsiTheme="minorHAnsi"/>
        </w:rPr>
        <w:t xml:space="preserve"> relating to roads and bridges.</w:t>
      </w:r>
    </w:p>
    <w:p w:rsidR="001D4F88" w:rsidRPr="00561905" w:rsidRDefault="001D4F88" w:rsidP="00046603">
      <w:pPr>
        <w:pStyle w:val="BodyText"/>
        <w:ind w:left="-567"/>
        <w:rPr>
          <w:rFonts w:asciiTheme="minorHAnsi" w:hAnsiTheme="minorHAnsi"/>
        </w:rPr>
      </w:pPr>
      <w:r w:rsidRPr="00561905">
        <w:rPr>
          <w:rFonts w:asciiTheme="minorHAnsi" w:hAnsiTheme="minorHAnsi"/>
        </w:rPr>
        <w:t xml:space="preserve">In our endeavours to </w:t>
      </w:r>
      <w:r w:rsidR="00296C8C">
        <w:rPr>
          <w:rFonts w:asciiTheme="minorHAnsi" w:hAnsiTheme="minorHAnsi"/>
        </w:rPr>
        <w:t>meet</w:t>
      </w:r>
      <w:r w:rsidRPr="00561905">
        <w:rPr>
          <w:rFonts w:asciiTheme="minorHAnsi" w:hAnsiTheme="minorHAnsi"/>
        </w:rPr>
        <w:t xml:space="preserve"> our obligation to the community to utilise ratepayer’s funds frugally and as a further attempt to address our tightening financial situation</w:t>
      </w:r>
      <w:r w:rsidR="00561905">
        <w:rPr>
          <w:rFonts w:asciiTheme="minorHAnsi" w:hAnsiTheme="minorHAnsi"/>
        </w:rPr>
        <w:t>,</w:t>
      </w:r>
      <w:r w:rsidRPr="00561905">
        <w:rPr>
          <w:rFonts w:asciiTheme="minorHAnsi" w:hAnsiTheme="minorHAnsi"/>
        </w:rPr>
        <w:t xml:space="preserve"> we have completed a number of efficiency and quality improvement reforms. </w:t>
      </w:r>
    </w:p>
    <w:p w:rsidR="001D4F88" w:rsidRPr="00561905" w:rsidRDefault="001D4F88" w:rsidP="00046603">
      <w:pPr>
        <w:pStyle w:val="BodyText"/>
        <w:ind w:left="-567" w:hanging="1"/>
        <w:rPr>
          <w:rFonts w:asciiTheme="minorHAnsi" w:hAnsiTheme="minorHAnsi"/>
        </w:rPr>
      </w:pPr>
      <w:r w:rsidRPr="00561905">
        <w:rPr>
          <w:rFonts w:asciiTheme="minorHAnsi" w:hAnsiTheme="minorHAnsi"/>
        </w:rPr>
        <w:t xml:space="preserve">Whilst a SV will not be the sole focus of our attention with regard to generating additional income, rates do form a significant proportion of revenues. In pursuing options to increase revenues and reduce costs we </w:t>
      </w:r>
      <w:r w:rsidR="006F0382" w:rsidRPr="00561905">
        <w:rPr>
          <w:rFonts w:asciiTheme="minorHAnsi" w:hAnsiTheme="minorHAnsi"/>
        </w:rPr>
        <w:t xml:space="preserve">have introduced </w:t>
      </w:r>
      <w:r w:rsidR="00147649">
        <w:rPr>
          <w:rFonts w:asciiTheme="minorHAnsi" w:hAnsiTheme="minorHAnsi"/>
        </w:rPr>
        <w:t xml:space="preserve">efficiencies and improvements such as </w:t>
      </w:r>
      <w:r w:rsidRPr="00561905">
        <w:rPr>
          <w:rFonts w:asciiTheme="minorHAnsi" w:hAnsiTheme="minorHAnsi"/>
        </w:rPr>
        <w:t>the following:</w:t>
      </w:r>
    </w:p>
    <w:p w:rsidR="00296C8C" w:rsidRDefault="001D4F88" w:rsidP="0060639F">
      <w:pPr>
        <w:pStyle w:val="BodyText"/>
        <w:numPr>
          <w:ilvl w:val="0"/>
          <w:numId w:val="38"/>
        </w:numPr>
        <w:rPr>
          <w:rFonts w:asciiTheme="minorHAnsi" w:hAnsiTheme="minorHAnsi"/>
        </w:rPr>
      </w:pPr>
      <w:r w:rsidRPr="00561905">
        <w:rPr>
          <w:rFonts w:asciiTheme="minorHAnsi" w:hAnsiTheme="minorHAnsi"/>
        </w:rPr>
        <w:t xml:space="preserve">All operations have been reviewed for possible efficiencies and resultant savings. Costs and services provided for each service unit have been analysed and performance indicators identified for progressive benchmarking. </w:t>
      </w:r>
    </w:p>
    <w:p w:rsidR="00DC3C40" w:rsidRPr="00561905" w:rsidRDefault="001D4F88" w:rsidP="0060639F">
      <w:pPr>
        <w:pStyle w:val="BodyText"/>
        <w:numPr>
          <w:ilvl w:val="0"/>
          <w:numId w:val="38"/>
        </w:numPr>
        <w:rPr>
          <w:rFonts w:asciiTheme="minorHAnsi" w:hAnsiTheme="minorHAnsi"/>
        </w:rPr>
      </w:pPr>
      <w:r w:rsidRPr="00561905">
        <w:rPr>
          <w:rFonts w:asciiTheme="minorHAnsi" w:hAnsiTheme="minorHAnsi"/>
        </w:rPr>
        <w:t xml:space="preserve">Organisational management responsibility and reporting has been restructured with a reduction in 4 senior staff. </w:t>
      </w:r>
      <w:r w:rsidR="007933E0" w:rsidRPr="00561905">
        <w:rPr>
          <w:rFonts w:asciiTheme="minorHAnsi" w:hAnsiTheme="minorHAnsi"/>
        </w:rPr>
        <w:t xml:space="preserve">This </w:t>
      </w:r>
      <w:r w:rsidR="009C5515">
        <w:rPr>
          <w:rFonts w:asciiTheme="minorHAnsi" w:hAnsiTheme="minorHAnsi"/>
        </w:rPr>
        <w:t>gener</w:t>
      </w:r>
      <w:r w:rsidR="009C5515" w:rsidRPr="00561905">
        <w:rPr>
          <w:rFonts w:asciiTheme="minorHAnsi" w:hAnsiTheme="minorHAnsi"/>
        </w:rPr>
        <w:t>ates a</w:t>
      </w:r>
      <w:r w:rsidR="007933E0" w:rsidRPr="00561905">
        <w:rPr>
          <w:rFonts w:asciiTheme="minorHAnsi" w:hAnsiTheme="minorHAnsi"/>
        </w:rPr>
        <w:t xml:space="preserve"> </w:t>
      </w:r>
      <w:r w:rsidR="002F634B" w:rsidRPr="00561905">
        <w:rPr>
          <w:rFonts w:asciiTheme="minorHAnsi" w:hAnsiTheme="minorHAnsi"/>
        </w:rPr>
        <w:t xml:space="preserve">direct </w:t>
      </w:r>
      <w:r w:rsidR="00561905">
        <w:rPr>
          <w:rFonts w:asciiTheme="minorHAnsi" w:hAnsiTheme="minorHAnsi"/>
        </w:rPr>
        <w:t xml:space="preserve">annual </w:t>
      </w:r>
      <w:r w:rsidR="007933E0" w:rsidRPr="00561905">
        <w:rPr>
          <w:rFonts w:asciiTheme="minorHAnsi" w:hAnsiTheme="minorHAnsi"/>
        </w:rPr>
        <w:t xml:space="preserve">saving in our employee costs of </w:t>
      </w:r>
      <w:r w:rsidR="009C5515">
        <w:rPr>
          <w:rFonts w:asciiTheme="minorHAnsi" w:hAnsiTheme="minorHAnsi"/>
        </w:rPr>
        <w:t xml:space="preserve">approx. </w:t>
      </w:r>
      <w:r w:rsidR="007933E0" w:rsidRPr="00561905">
        <w:rPr>
          <w:rFonts w:asciiTheme="minorHAnsi" w:hAnsiTheme="minorHAnsi"/>
        </w:rPr>
        <w:t>$</w:t>
      </w:r>
      <w:r w:rsidR="002F634B" w:rsidRPr="00561905">
        <w:rPr>
          <w:rFonts w:asciiTheme="minorHAnsi" w:hAnsiTheme="minorHAnsi"/>
        </w:rPr>
        <w:t>500,000</w:t>
      </w:r>
      <w:r w:rsidR="007933E0" w:rsidRPr="00561905">
        <w:rPr>
          <w:rFonts w:asciiTheme="minorHAnsi" w:hAnsiTheme="minorHAnsi"/>
        </w:rPr>
        <w:t xml:space="preserve"> </w:t>
      </w:r>
      <w:r w:rsidR="00613BBF" w:rsidRPr="00561905">
        <w:rPr>
          <w:rFonts w:asciiTheme="minorHAnsi" w:hAnsiTheme="minorHAnsi"/>
        </w:rPr>
        <w:t xml:space="preserve">per annum going forward </w:t>
      </w:r>
      <w:r w:rsidR="002F634B" w:rsidRPr="00561905">
        <w:rPr>
          <w:rFonts w:asciiTheme="minorHAnsi" w:hAnsiTheme="minorHAnsi"/>
        </w:rPr>
        <w:t xml:space="preserve">in current dollars </w:t>
      </w:r>
      <w:r w:rsidR="007933E0" w:rsidRPr="00561905">
        <w:rPr>
          <w:rFonts w:asciiTheme="minorHAnsi" w:hAnsiTheme="minorHAnsi"/>
        </w:rPr>
        <w:t>or</w:t>
      </w:r>
      <w:r w:rsidR="00561905">
        <w:rPr>
          <w:rFonts w:asciiTheme="minorHAnsi" w:hAnsiTheme="minorHAnsi"/>
        </w:rPr>
        <w:t xml:space="preserve"> in excess of</w:t>
      </w:r>
      <w:r w:rsidR="007933E0" w:rsidRPr="00561905">
        <w:rPr>
          <w:rFonts w:asciiTheme="minorHAnsi" w:hAnsiTheme="minorHAnsi"/>
        </w:rPr>
        <w:t xml:space="preserve"> </w:t>
      </w:r>
      <w:r w:rsidR="002F634B" w:rsidRPr="00561905">
        <w:rPr>
          <w:rFonts w:asciiTheme="minorHAnsi" w:hAnsiTheme="minorHAnsi"/>
        </w:rPr>
        <w:t>8</w:t>
      </w:r>
      <w:r w:rsidR="007933E0" w:rsidRPr="00561905">
        <w:rPr>
          <w:rFonts w:asciiTheme="minorHAnsi" w:hAnsiTheme="minorHAnsi"/>
        </w:rPr>
        <w:t>%</w:t>
      </w:r>
      <w:r w:rsidR="00561905">
        <w:rPr>
          <w:rFonts w:asciiTheme="minorHAnsi" w:hAnsiTheme="minorHAnsi"/>
        </w:rPr>
        <w:t xml:space="preserve"> of total employee costs</w:t>
      </w:r>
      <w:r w:rsidR="002F634B" w:rsidRPr="00561905">
        <w:rPr>
          <w:rFonts w:asciiTheme="minorHAnsi" w:hAnsiTheme="minorHAnsi"/>
        </w:rPr>
        <w:t>.</w:t>
      </w:r>
      <w:r w:rsidR="007933E0" w:rsidRPr="00561905">
        <w:rPr>
          <w:rFonts w:asciiTheme="minorHAnsi" w:hAnsiTheme="minorHAnsi"/>
        </w:rPr>
        <w:t xml:space="preserve"> </w:t>
      </w:r>
      <w:r w:rsidR="002F634B" w:rsidRPr="00561905">
        <w:rPr>
          <w:rFonts w:asciiTheme="minorHAnsi" w:hAnsiTheme="minorHAnsi"/>
        </w:rPr>
        <w:t xml:space="preserve">In addition we have introduced a moratorium on other work force employment. </w:t>
      </w:r>
    </w:p>
    <w:p w:rsidR="001D4F88" w:rsidRPr="00561905" w:rsidRDefault="001D4F88" w:rsidP="0060639F">
      <w:pPr>
        <w:pStyle w:val="BodyText"/>
        <w:numPr>
          <w:ilvl w:val="0"/>
          <w:numId w:val="38"/>
        </w:numPr>
        <w:rPr>
          <w:rFonts w:asciiTheme="minorHAnsi" w:hAnsiTheme="minorHAnsi"/>
        </w:rPr>
      </w:pPr>
      <w:r w:rsidRPr="00561905">
        <w:rPr>
          <w:rFonts w:asciiTheme="minorHAnsi" w:hAnsiTheme="minorHAnsi"/>
        </w:rPr>
        <w:t>We have implemented a project management methodology, a quality approach and enterprise risk management into our operations.</w:t>
      </w:r>
    </w:p>
    <w:p w:rsidR="001D4F88" w:rsidRPr="00561905" w:rsidRDefault="001D4F88" w:rsidP="0060639F">
      <w:pPr>
        <w:pStyle w:val="BodyText"/>
        <w:numPr>
          <w:ilvl w:val="0"/>
          <w:numId w:val="38"/>
        </w:numPr>
        <w:rPr>
          <w:rFonts w:asciiTheme="minorHAnsi" w:hAnsiTheme="minorHAnsi"/>
        </w:rPr>
      </w:pPr>
      <w:r w:rsidRPr="00561905">
        <w:rPr>
          <w:rFonts w:asciiTheme="minorHAnsi" w:hAnsiTheme="minorHAnsi"/>
        </w:rPr>
        <w:t xml:space="preserve">The need and optimal use of assets has been assessed. A property portfolio developed </w:t>
      </w:r>
      <w:r w:rsidR="006F0382" w:rsidRPr="00561905">
        <w:rPr>
          <w:rFonts w:asciiTheme="minorHAnsi" w:hAnsiTheme="minorHAnsi"/>
        </w:rPr>
        <w:t>with some land sold and others ongoing</w:t>
      </w:r>
      <w:r w:rsidRPr="00561905">
        <w:rPr>
          <w:rFonts w:asciiTheme="minorHAnsi" w:hAnsiTheme="minorHAnsi"/>
        </w:rPr>
        <w:t>.</w:t>
      </w:r>
    </w:p>
    <w:p w:rsidR="001D4F88" w:rsidRPr="00561905" w:rsidRDefault="001D4F88" w:rsidP="0060639F">
      <w:pPr>
        <w:pStyle w:val="BodyText"/>
        <w:numPr>
          <w:ilvl w:val="0"/>
          <w:numId w:val="38"/>
        </w:numPr>
        <w:rPr>
          <w:rFonts w:asciiTheme="minorHAnsi" w:hAnsiTheme="minorHAnsi"/>
        </w:rPr>
      </w:pPr>
      <w:r w:rsidRPr="00561905">
        <w:rPr>
          <w:rFonts w:asciiTheme="minorHAnsi" w:hAnsiTheme="minorHAnsi"/>
        </w:rPr>
        <w:t xml:space="preserve">Our ability to provide the services and aspirational targets identified by the community in the CSP has been critically appraised. Prioritised road and bridge programs have been developed to ensure the reduced resources available are focused on a priority basis. </w:t>
      </w:r>
      <w:r w:rsidR="00561905">
        <w:rPr>
          <w:rFonts w:asciiTheme="minorHAnsi" w:hAnsiTheme="minorHAnsi"/>
        </w:rPr>
        <w:t xml:space="preserve">A reduced works program and associated resourcing has been implemented for </w:t>
      </w:r>
      <w:r w:rsidR="009C5515">
        <w:rPr>
          <w:rFonts w:asciiTheme="minorHAnsi" w:hAnsiTheme="minorHAnsi"/>
        </w:rPr>
        <w:t xml:space="preserve">our </w:t>
      </w:r>
      <w:r w:rsidR="009C5515" w:rsidRPr="00561905">
        <w:rPr>
          <w:rFonts w:asciiTheme="minorHAnsi" w:hAnsiTheme="minorHAnsi"/>
        </w:rPr>
        <w:t>Parks</w:t>
      </w:r>
      <w:r w:rsidRPr="00561905">
        <w:rPr>
          <w:rFonts w:asciiTheme="minorHAnsi" w:hAnsiTheme="minorHAnsi"/>
        </w:rPr>
        <w:t xml:space="preserve"> and Gardens and opening hours of our pools </w:t>
      </w:r>
      <w:r w:rsidR="00561905">
        <w:rPr>
          <w:rFonts w:asciiTheme="minorHAnsi" w:hAnsiTheme="minorHAnsi"/>
        </w:rPr>
        <w:t xml:space="preserve">modified achieving a reduction in </w:t>
      </w:r>
      <w:r w:rsidR="00B51175">
        <w:rPr>
          <w:rFonts w:asciiTheme="minorHAnsi" w:hAnsiTheme="minorHAnsi"/>
        </w:rPr>
        <w:t>variable</w:t>
      </w:r>
      <w:r w:rsidR="00561905">
        <w:rPr>
          <w:rFonts w:asciiTheme="minorHAnsi" w:hAnsiTheme="minorHAnsi"/>
        </w:rPr>
        <w:t xml:space="preserve"> costs</w:t>
      </w:r>
      <w:r w:rsidRPr="00561905">
        <w:rPr>
          <w:rFonts w:asciiTheme="minorHAnsi" w:hAnsiTheme="minorHAnsi"/>
        </w:rPr>
        <w:t>.</w:t>
      </w:r>
    </w:p>
    <w:p w:rsidR="001D4F88" w:rsidRPr="00561905" w:rsidRDefault="001D4F88" w:rsidP="0060639F">
      <w:pPr>
        <w:pStyle w:val="BodyText"/>
        <w:numPr>
          <w:ilvl w:val="0"/>
          <w:numId w:val="38"/>
        </w:numPr>
        <w:rPr>
          <w:rFonts w:asciiTheme="minorHAnsi" w:hAnsiTheme="minorHAnsi"/>
        </w:rPr>
      </w:pPr>
      <w:r w:rsidRPr="00561905">
        <w:rPr>
          <w:rFonts w:asciiTheme="minorHAnsi" w:hAnsiTheme="minorHAnsi"/>
        </w:rPr>
        <w:t>We will continue to explore options for shared resources, partnerships or entrepreneurial activities with government agencies, local groups and the private sector.</w:t>
      </w:r>
    </w:p>
    <w:p w:rsidR="001D4F88" w:rsidRPr="00561905" w:rsidRDefault="001D4F88" w:rsidP="0060639F">
      <w:pPr>
        <w:pStyle w:val="BodyText"/>
        <w:numPr>
          <w:ilvl w:val="0"/>
          <w:numId w:val="38"/>
        </w:numPr>
        <w:rPr>
          <w:rFonts w:asciiTheme="minorHAnsi" w:hAnsiTheme="minorHAnsi"/>
        </w:rPr>
      </w:pPr>
      <w:r w:rsidRPr="00561905">
        <w:rPr>
          <w:rFonts w:asciiTheme="minorHAnsi" w:hAnsiTheme="minorHAnsi"/>
        </w:rPr>
        <w:t>We have an active Grants Working Group that monitors all grant opportunities to maximise and value add to identified projects. We will continue to pursue grant opportunities</w:t>
      </w:r>
    </w:p>
    <w:p w:rsidR="00147649" w:rsidRDefault="00561905" w:rsidP="0060639F">
      <w:pPr>
        <w:pStyle w:val="BodyText"/>
        <w:numPr>
          <w:ilvl w:val="0"/>
          <w:numId w:val="38"/>
        </w:numPr>
        <w:rPr>
          <w:rFonts w:asciiTheme="minorHAnsi" w:hAnsiTheme="minorHAnsi"/>
        </w:rPr>
      </w:pPr>
      <w:r>
        <w:rPr>
          <w:rFonts w:asciiTheme="minorHAnsi" w:hAnsiTheme="minorHAnsi"/>
        </w:rPr>
        <w:t xml:space="preserve">A revised Waste Management Strategy has been introduced that will reduce waste to landfill </w:t>
      </w:r>
      <w:r w:rsidR="009C5515">
        <w:rPr>
          <w:rFonts w:asciiTheme="minorHAnsi" w:hAnsiTheme="minorHAnsi"/>
        </w:rPr>
        <w:t xml:space="preserve">and </w:t>
      </w:r>
      <w:r w:rsidR="009C5515" w:rsidRPr="00561905">
        <w:rPr>
          <w:rFonts w:asciiTheme="minorHAnsi" w:hAnsiTheme="minorHAnsi"/>
        </w:rPr>
        <w:t>minimise</w:t>
      </w:r>
      <w:r w:rsidR="001D4F88" w:rsidRPr="00561905">
        <w:rPr>
          <w:rFonts w:asciiTheme="minorHAnsi" w:hAnsiTheme="minorHAnsi"/>
        </w:rPr>
        <w:t xml:space="preserve"> the </w:t>
      </w:r>
      <w:r>
        <w:rPr>
          <w:rFonts w:asciiTheme="minorHAnsi" w:hAnsiTheme="minorHAnsi"/>
        </w:rPr>
        <w:t xml:space="preserve">state </w:t>
      </w:r>
      <w:r w:rsidR="001D4F88" w:rsidRPr="00561905">
        <w:rPr>
          <w:rFonts w:asciiTheme="minorHAnsi" w:hAnsiTheme="minorHAnsi"/>
        </w:rPr>
        <w:t>imposed waste levy. Except for waste, other fees and charges are only a minor component but these have been reassessed to ensure that they cover costs of provision. Some fees are statutory however.</w:t>
      </w:r>
    </w:p>
    <w:p w:rsidR="001D4F88" w:rsidRPr="00147649" w:rsidRDefault="001D4F88" w:rsidP="002942F6">
      <w:pPr>
        <w:pStyle w:val="BodyText"/>
        <w:rPr>
          <w:rFonts w:asciiTheme="minorHAnsi" w:hAnsiTheme="minorHAnsi"/>
        </w:rPr>
      </w:pPr>
      <w:r w:rsidRPr="00147649">
        <w:rPr>
          <w:rFonts w:asciiTheme="minorHAnsi" w:hAnsiTheme="minorHAnsi"/>
        </w:rPr>
        <w:t xml:space="preserve">With rates our most significant revenue source, this has been critically analysed over a long period. This Council has never sought a special rate variation, choosing to stay within the constraints of the rate peg which was imposed in 1977. With costs running far above the rate peg CPI, increasing statutory and regulatory demands, a reduction in grant funds, cost shifting impositions, increased </w:t>
      </w:r>
      <w:r w:rsidRPr="00147649">
        <w:rPr>
          <w:rFonts w:asciiTheme="minorHAnsi" w:hAnsiTheme="minorHAnsi"/>
        </w:rPr>
        <w:lastRenderedPageBreak/>
        <w:t>community expectations and deteriorating assets, it is clear that a rate increase through a special variation is critical to our financial sustainability.</w:t>
      </w:r>
    </w:p>
    <w:p w:rsidR="001D4F88" w:rsidRPr="00561905" w:rsidRDefault="001D4F88" w:rsidP="00046603">
      <w:pPr>
        <w:pStyle w:val="BodyText"/>
        <w:rPr>
          <w:rFonts w:asciiTheme="minorHAnsi" w:hAnsiTheme="minorHAnsi"/>
        </w:rPr>
      </w:pPr>
      <w:r w:rsidRPr="00561905">
        <w:rPr>
          <w:rFonts w:asciiTheme="minorHAnsi" w:hAnsiTheme="minorHAnsi"/>
        </w:rPr>
        <w:t xml:space="preserve">Our ability to borrow </w:t>
      </w:r>
      <w:r w:rsidR="00147649">
        <w:rPr>
          <w:rFonts w:asciiTheme="minorHAnsi" w:hAnsiTheme="minorHAnsi"/>
        </w:rPr>
        <w:t>has been considered as a</w:t>
      </w:r>
      <w:r w:rsidRPr="00561905">
        <w:rPr>
          <w:rFonts w:asciiTheme="minorHAnsi" w:hAnsiTheme="minorHAnsi"/>
        </w:rPr>
        <w:t xml:space="preserve"> further option. Whilst this does not generate new funds it does permit savings when projects are able to be aligned in a more efficient manner. However the repayment is an issue to be managed. </w:t>
      </w:r>
    </w:p>
    <w:p w:rsidR="001D4F88" w:rsidRPr="00561905" w:rsidRDefault="001D4F88" w:rsidP="00046603">
      <w:pPr>
        <w:pStyle w:val="BodyText"/>
        <w:rPr>
          <w:rFonts w:asciiTheme="minorHAnsi" w:hAnsiTheme="minorHAnsi"/>
        </w:rPr>
      </w:pPr>
      <w:r w:rsidRPr="00561905">
        <w:rPr>
          <w:rFonts w:asciiTheme="minorHAnsi" w:hAnsiTheme="minorHAnsi"/>
        </w:rPr>
        <w:t>We are a member of regional organisations of councils and utilise all appropriate resource sharing and joint projects. The review into local government presently before us has seen considerable internal and external appraisal of our operations and future sustainability.</w:t>
      </w:r>
      <w:r w:rsidR="00932960">
        <w:rPr>
          <w:rFonts w:asciiTheme="minorHAnsi" w:hAnsiTheme="minorHAnsi"/>
        </w:rPr>
        <w:t xml:space="preserve"> We are involved in Hunter Council’s Joint Organisation pilot. We have been actively involved in an extensive resource sharing/shared service study with </w:t>
      </w:r>
      <w:proofErr w:type="spellStart"/>
      <w:r w:rsidR="00932960">
        <w:rPr>
          <w:rFonts w:asciiTheme="minorHAnsi" w:hAnsiTheme="minorHAnsi"/>
        </w:rPr>
        <w:t>MidROC</w:t>
      </w:r>
      <w:proofErr w:type="spellEnd"/>
      <w:r w:rsidR="00932960">
        <w:rPr>
          <w:rFonts w:asciiTheme="minorHAnsi" w:hAnsiTheme="minorHAnsi"/>
        </w:rPr>
        <w:t xml:space="preserve"> Councils.</w:t>
      </w:r>
      <w:r w:rsidR="00B51175">
        <w:rPr>
          <w:rFonts w:asciiTheme="minorHAnsi" w:hAnsiTheme="minorHAnsi"/>
        </w:rPr>
        <w:t xml:space="preserve"> There were significant savings identified and such </w:t>
      </w:r>
      <w:r w:rsidR="00147649">
        <w:rPr>
          <w:rFonts w:asciiTheme="minorHAnsi" w:hAnsiTheme="minorHAnsi"/>
        </w:rPr>
        <w:t>opportunities</w:t>
      </w:r>
      <w:r w:rsidR="00B51175">
        <w:rPr>
          <w:rFonts w:asciiTheme="minorHAnsi" w:hAnsiTheme="minorHAnsi"/>
        </w:rPr>
        <w:t xml:space="preserve"> will be pursued.</w:t>
      </w:r>
    </w:p>
    <w:p w:rsidR="001D4F88" w:rsidRPr="00561905" w:rsidRDefault="00DC3C40" w:rsidP="00D94E3C">
      <w:pPr>
        <w:pStyle w:val="BodyText"/>
        <w:rPr>
          <w:rFonts w:asciiTheme="minorHAnsi" w:hAnsiTheme="minorHAnsi"/>
        </w:rPr>
      </w:pPr>
      <w:r w:rsidRPr="00561905">
        <w:rPr>
          <w:rFonts w:asciiTheme="minorHAnsi" w:hAnsiTheme="minorHAnsi"/>
        </w:rPr>
        <w:t>Gloucester Council has not previously applied for a special variation and has not adequately aligned this diminishing revenue to the increasing cost paradigm. For example when compared to the construction cost indicator, for just the period 2003 to 2012, the gap has widened by 30 points or so. This impact</w:t>
      </w:r>
      <w:r w:rsidR="001D4F88" w:rsidRPr="00561905">
        <w:rPr>
          <w:rFonts w:asciiTheme="minorHAnsi" w:hAnsiTheme="minorHAnsi"/>
        </w:rPr>
        <w:t xml:space="preserve"> can be seen in the following diagram for recent years </w:t>
      </w:r>
      <w:r w:rsidR="000B4224">
        <w:rPr>
          <w:rFonts w:asciiTheme="minorHAnsi" w:hAnsiTheme="minorHAnsi"/>
        </w:rPr>
        <w:t>since</w:t>
      </w:r>
      <w:r w:rsidR="001D4F88" w:rsidRPr="00561905">
        <w:rPr>
          <w:rFonts w:asciiTheme="minorHAnsi" w:hAnsiTheme="minorHAnsi"/>
        </w:rPr>
        <w:t xml:space="preserve"> data has be</w:t>
      </w:r>
      <w:r w:rsidR="000B4224">
        <w:rPr>
          <w:rFonts w:asciiTheme="minorHAnsi" w:hAnsiTheme="minorHAnsi"/>
        </w:rPr>
        <w:t>come</w:t>
      </w:r>
      <w:r w:rsidR="001D4F88" w:rsidRPr="00561905">
        <w:rPr>
          <w:rFonts w:asciiTheme="minorHAnsi" w:hAnsiTheme="minorHAnsi"/>
        </w:rPr>
        <w:t xml:space="preserve"> available.</w:t>
      </w:r>
    </w:p>
    <w:p w:rsidR="001D4F88" w:rsidRPr="00561905" w:rsidRDefault="001D4F88" w:rsidP="00147649">
      <w:pPr>
        <w:pStyle w:val="BodyText"/>
        <w:jc w:val="center"/>
        <w:rPr>
          <w:rFonts w:asciiTheme="minorHAnsi" w:hAnsiTheme="minorHAnsi"/>
          <w:b/>
          <w:iCs/>
          <w:color w:val="C00000"/>
          <w14:shadow w14:blurRad="50800" w14:dist="38100" w14:dir="2700000" w14:sx="100000" w14:sy="100000" w14:kx="0" w14:ky="0" w14:algn="tl">
            <w14:srgbClr w14:val="000000">
              <w14:alpha w14:val="60000"/>
            </w14:srgbClr>
          </w14:shadow>
        </w:rPr>
      </w:pPr>
      <w:r w:rsidRPr="00561905">
        <w:rPr>
          <w:rFonts w:asciiTheme="minorHAnsi" w:hAnsiTheme="minorHAnsi"/>
          <w:b/>
          <w:iCs/>
          <w:noProof/>
          <w:color w:val="C00000"/>
          <w14:shadow w14:blurRad="50800" w14:dist="38100" w14:dir="2700000" w14:sx="100000" w14:sy="100000" w14:kx="0" w14:ky="0" w14:algn="tl">
            <w14:srgbClr w14:val="000000">
              <w14:alpha w14:val="60000"/>
            </w14:srgbClr>
          </w14:shadow>
        </w:rPr>
        <w:drawing>
          <wp:inline distT="0" distB="0" distL="0" distR="0" wp14:anchorId="303E6B5D" wp14:editId="65A9A89F">
            <wp:extent cx="3359889" cy="1690577"/>
            <wp:effectExtent l="0" t="0" r="12065" b="2413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6C8C" w:rsidRDefault="00296C8C" w:rsidP="00561905">
      <w:pPr>
        <w:pStyle w:val="BodyText"/>
        <w:rPr>
          <w:rFonts w:asciiTheme="minorHAnsi" w:hAnsiTheme="minorHAnsi"/>
        </w:rPr>
      </w:pPr>
    </w:p>
    <w:p w:rsidR="001D4F88" w:rsidRPr="00561905" w:rsidRDefault="001D4F88" w:rsidP="00D94E3C">
      <w:pPr>
        <w:pStyle w:val="BodyText"/>
        <w:rPr>
          <w:rFonts w:asciiTheme="minorHAnsi" w:hAnsiTheme="minorHAnsi"/>
        </w:rPr>
      </w:pPr>
      <w:r w:rsidRPr="00561905">
        <w:rPr>
          <w:rFonts w:asciiTheme="minorHAnsi" w:hAnsiTheme="minorHAnsi"/>
        </w:rPr>
        <w:t xml:space="preserve">Recent assessment by T-Corp has evaluated Council’s financial position as “very weak”, based on an initial assessment of the condition of its assets and our ability to meet costs associated with their maintenance and renewal.  In response, Council </w:t>
      </w:r>
      <w:r w:rsidR="006F0382" w:rsidRPr="00561905">
        <w:rPr>
          <w:rFonts w:asciiTheme="minorHAnsi" w:hAnsiTheme="minorHAnsi"/>
        </w:rPr>
        <w:t xml:space="preserve">commenced </w:t>
      </w:r>
      <w:r w:rsidRPr="00561905">
        <w:rPr>
          <w:rFonts w:asciiTheme="minorHAnsi" w:hAnsiTheme="minorHAnsi"/>
        </w:rPr>
        <w:t xml:space="preserve">community engagement aimed at establishing community expectations of service levels for its infrastructure.  This </w:t>
      </w:r>
      <w:r w:rsidR="000531EE">
        <w:rPr>
          <w:rFonts w:asciiTheme="minorHAnsi" w:hAnsiTheme="minorHAnsi"/>
        </w:rPr>
        <w:t>will allow</w:t>
      </w:r>
      <w:r w:rsidRPr="00561905">
        <w:rPr>
          <w:rFonts w:asciiTheme="minorHAnsi" w:hAnsiTheme="minorHAnsi"/>
        </w:rPr>
        <w:t xml:space="preserve"> a better determination to be made about maintenance and renewal requirements and the level of rates required to achieve these.  Our finances will, however, continue to be constrained in the coming years.  There will be insufficient funds to complete all the activities and community projects that we would like to undertake and therefore seeking a Special Variation </w:t>
      </w:r>
      <w:r w:rsidR="006F0382" w:rsidRPr="00561905">
        <w:rPr>
          <w:rFonts w:asciiTheme="minorHAnsi" w:hAnsiTheme="minorHAnsi"/>
        </w:rPr>
        <w:t xml:space="preserve">is vital </w:t>
      </w:r>
      <w:r w:rsidRPr="00561905">
        <w:rPr>
          <w:rFonts w:asciiTheme="minorHAnsi" w:hAnsiTheme="minorHAnsi"/>
        </w:rPr>
        <w:t xml:space="preserve">to improve Council's financial sustainability.  </w:t>
      </w:r>
    </w:p>
    <w:p w:rsidR="001D4F88" w:rsidRPr="00561905" w:rsidRDefault="001D4F88" w:rsidP="00D94E3C">
      <w:pPr>
        <w:pStyle w:val="BodyText"/>
        <w:rPr>
          <w:rFonts w:asciiTheme="minorHAnsi" w:hAnsiTheme="minorHAnsi"/>
          <w:iCs/>
        </w:rPr>
      </w:pPr>
      <w:r w:rsidRPr="00561905">
        <w:rPr>
          <w:rFonts w:asciiTheme="minorHAnsi" w:hAnsiTheme="minorHAnsi"/>
          <w:iCs/>
        </w:rPr>
        <w:t xml:space="preserve">The Local Government Independent Review Panel has recently concluded an extensive review regarding the future sustainability of Local Government in this State.  In the case of Gloucester Shire, the panel has suggested a merger with Greater Taree City Council and with Great Lakes Council and the formation of a Joint Organisation (such as Mid Coast Regional Council).  </w:t>
      </w:r>
      <w:r w:rsidR="006F0382" w:rsidRPr="00561905">
        <w:rPr>
          <w:rFonts w:asciiTheme="minorHAnsi" w:hAnsiTheme="minorHAnsi"/>
          <w:iCs/>
        </w:rPr>
        <w:t xml:space="preserve">At this point we are in facilitation and business case mode with Great </w:t>
      </w:r>
      <w:r w:rsidR="00932960">
        <w:rPr>
          <w:rFonts w:asciiTheme="minorHAnsi" w:hAnsiTheme="minorHAnsi"/>
          <w:iCs/>
        </w:rPr>
        <w:t>L</w:t>
      </w:r>
      <w:r w:rsidR="006F0382" w:rsidRPr="00561905">
        <w:rPr>
          <w:rFonts w:asciiTheme="minorHAnsi" w:hAnsiTheme="minorHAnsi"/>
          <w:iCs/>
        </w:rPr>
        <w:t>akes.</w:t>
      </w:r>
      <w:r w:rsidR="00932960">
        <w:rPr>
          <w:rFonts w:asciiTheme="minorHAnsi" w:hAnsiTheme="minorHAnsi"/>
          <w:iCs/>
        </w:rPr>
        <w:t xml:space="preserve"> We are also working as active members of </w:t>
      </w:r>
      <w:r w:rsidR="000531EE">
        <w:rPr>
          <w:rFonts w:asciiTheme="minorHAnsi" w:hAnsiTheme="minorHAnsi"/>
          <w:iCs/>
        </w:rPr>
        <w:t>our 2 local ROCs,</w:t>
      </w:r>
      <w:r w:rsidR="00932960">
        <w:rPr>
          <w:rFonts w:asciiTheme="minorHAnsi" w:hAnsiTheme="minorHAnsi"/>
          <w:iCs/>
        </w:rPr>
        <w:t xml:space="preserve"> Hunter Councils and </w:t>
      </w:r>
      <w:proofErr w:type="spellStart"/>
      <w:r w:rsidR="00932960">
        <w:rPr>
          <w:rFonts w:asciiTheme="minorHAnsi" w:hAnsiTheme="minorHAnsi"/>
          <w:iCs/>
        </w:rPr>
        <w:t>MidROC</w:t>
      </w:r>
      <w:proofErr w:type="spellEnd"/>
      <w:r w:rsidR="000531EE">
        <w:rPr>
          <w:rFonts w:asciiTheme="minorHAnsi" w:hAnsiTheme="minorHAnsi"/>
          <w:iCs/>
        </w:rPr>
        <w:t>,</w:t>
      </w:r>
      <w:r w:rsidR="00932960">
        <w:rPr>
          <w:rFonts w:asciiTheme="minorHAnsi" w:hAnsiTheme="minorHAnsi"/>
          <w:iCs/>
        </w:rPr>
        <w:t xml:space="preserve"> to develop JO arrangements and enhanced service delivery models.</w:t>
      </w:r>
    </w:p>
    <w:p w:rsidR="001D4F88" w:rsidRPr="00561905" w:rsidRDefault="00932960" w:rsidP="00DF7EBB">
      <w:pPr>
        <w:pStyle w:val="BodyText"/>
        <w:ind w:left="-567"/>
        <w:rPr>
          <w:rFonts w:asciiTheme="minorHAnsi" w:hAnsiTheme="minorHAnsi"/>
        </w:rPr>
      </w:pPr>
      <w:r>
        <w:rPr>
          <w:rFonts w:asciiTheme="minorHAnsi" w:hAnsiTheme="minorHAnsi"/>
          <w:iCs/>
        </w:rPr>
        <w:lastRenderedPageBreak/>
        <w:t>T</w:t>
      </w:r>
      <w:r w:rsidR="001D4F88" w:rsidRPr="00561905">
        <w:rPr>
          <w:rFonts w:asciiTheme="minorHAnsi" w:hAnsiTheme="minorHAnsi"/>
          <w:iCs/>
        </w:rPr>
        <w:t xml:space="preserve">he </w:t>
      </w:r>
      <w:r>
        <w:rPr>
          <w:rFonts w:asciiTheme="minorHAnsi" w:hAnsiTheme="minorHAnsi"/>
          <w:iCs/>
        </w:rPr>
        <w:t xml:space="preserve">Panel’s </w:t>
      </w:r>
      <w:r w:rsidR="001D4F88" w:rsidRPr="00561905">
        <w:rPr>
          <w:rFonts w:asciiTheme="minorHAnsi" w:hAnsiTheme="minorHAnsi"/>
          <w:iCs/>
        </w:rPr>
        <w:t>report identifies benefits for this Shire but also raises significant concerns in terms of identity, independence and support for local and district communities.  </w:t>
      </w:r>
      <w:r w:rsidR="001D4F88" w:rsidRPr="00561905">
        <w:rPr>
          <w:rFonts w:asciiTheme="minorHAnsi" w:hAnsiTheme="minorHAnsi"/>
        </w:rPr>
        <w:t xml:space="preserve">Gloucester fulfils an important role as a district </w:t>
      </w:r>
      <w:r w:rsidR="009C5515" w:rsidRPr="00561905">
        <w:rPr>
          <w:rFonts w:asciiTheme="minorHAnsi" w:hAnsiTheme="minorHAnsi"/>
        </w:rPr>
        <w:t>centre that</w:t>
      </w:r>
      <w:r w:rsidR="001D4F88" w:rsidRPr="00561905">
        <w:rPr>
          <w:rFonts w:asciiTheme="minorHAnsi" w:hAnsiTheme="minorHAnsi"/>
        </w:rPr>
        <w:t xml:space="preserve"> services and influences a community extending beyond the boundaries of the Shire.  We need to understand the potential from such a merger and to contrast this against the natural desire and advantages of remaining independent within our community and district.</w:t>
      </w:r>
    </w:p>
    <w:p w:rsidR="001D4F88" w:rsidRPr="00561905" w:rsidRDefault="001D4F88" w:rsidP="00046603">
      <w:pPr>
        <w:pStyle w:val="BodyText"/>
        <w:ind w:left="-567"/>
        <w:rPr>
          <w:rFonts w:asciiTheme="minorHAnsi" w:hAnsiTheme="minorHAnsi"/>
        </w:rPr>
      </w:pPr>
      <w:r w:rsidRPr="00561905">
        <w:rPr>
          <w:rFonts w:asciiTheme="minorHAnsi" w:hAnsiTheme="minorHAnsi"/>
        </w:rPr>
        <w:t>While navigating these major and related issues of sustainability and amalgamation, it will be important to not lose sight of delivering the Community's goals and aspirations and, in particular, continuing to make Gloucester 'a better place' to live, work and play.</w:t>
      </w:r>
    </w:p>
    <w:p w:rsidR="001D4F88" w:rsidRPr="00561905" w:rsidRDefault="001D4F88" w:rsidP="00D94E3C">
      <w:pPr>
        <w:pStyle w:val="BodyText"/>
        <w:ind w:left="-567"/>
        <w:rPr>
          <w:rFonts w:asciiTheme="minorHAnsi" w:hAnsiTheme="minorHAnsi"/>
          <w:iCs/>
        </w:rPr>
      </w:pPr>
      <w:r w:rsidRPr="00561905">
        <w:rPr>
          <w:rFonts w:asciiTheme="minorHAnsi" w:hAnsiTheme="minorHAnsi"/>
          <w:iCs/>
        </w:rPr>
        <w:t>Council will work in partnership with the community, State and Federal governments and other key stakeholders to ensure that positive change is achieved in meeting these complex challenges.</w:t>
      </w:r>
    </w:p>
    <w:p w:rsidR="001D4F88" w:rsidRPr="00561905" w:rsidRDefault="00F61344" w:rsidP="00D94E3C">
      <w:pPr>
        <w:pStyle w:val="BodyText"/>
        <w:ind w:left="-567"/>
        <w:rPr>
          <w:rFonts w:asciiTheme="minorHAnsi" w:hAnsiTheme="minorHAnsi"/>
        </w:rPr>
      </w:pPr>
      <w:r w:rsidRPr="00561905">
        <w:rPr>
          <w:rFonts w:asciiTheme="minorHAnsi" w:hAnsiTheme="minorHAnsi"/>
        </w:rPr>
        <w:t xml:space="preserve">However </w:t>
      </w:r>
      <w:r w:rsidR="000B4224">
        <w:rPr>
          <w:rFonts w:asciiTheme="minorHAnsi" w:hAnsiTheme="minorHAnsi"/>
        </w:rPr>
        <w:t xml:space="preserve">Council in its consultation has shown that </w:t>
      </w:r>
      <w:r w:rsidRPr="00561905">
        <w:rPr>
          <w:rFonts w:asciiTheme="minorHAnsi" w:hAnsiTheme="minorHAnsi"/>
        </w:rPr>
        <w:t>a</w:t>
      </w:r>
      <w:r w:rsidR="001D4F88" w:rsidRPr="00561905">
        <w:rPr>
          <w:rFonts w:asciiTheme="minorHAnsi" w:hAnsiTheme="minorHAnsi"/>
        </w:rPr>
        <w:t xml:space="preserve"> solution to the asset problem must be reached now.  We understand how important sound infrastructure is to our region if we wish to continue to attract economic investment</w:t>
      </w:r>
      <w:r w:rsidR="00932960">
        <w:rPr>
          <w:rFonts w:asciiTheme="minorHAnsi" w:hAnsiTheme="minorHAnsi"/>
        </w:rPr>
        <w:t>, foster agricultural growth</w:t>
      </w:r>
      <w:r w:rsidR="001D4F88" w:rsidRPr="00561905">
        <w:rPr>
          <w:rFonts w:asciiTheme="minorHAnsi" w:hAnsiTheme="minorHAnsi"/>
        </w:rPr>
        <w:t xml:space="preserve"> and grow our tourism potential.  We also understand </w:t>
      </w:r>
      <w:r w:rsidR="00DC3C40" w:rsidRPr="00561905">
        <w:rPr>
          <w:rFonts w:asciiTheme="minorHAnsi" w:hAnsiTheme="minorHAnsi"/>
        </w:rPr>
        <w:t xml:space="preserve">through our extensive discussion and information sessions </w:t>
      </w:r>
      <w:r w:rsidR="001D4F88" w:rsidRPr="00561905">
        <w:rPr>
          <w:rFonts w:asciiTheme="minorHAnsi" w:hAnsiTheme="minorHAnsi"/>
        </w:rPr>
        <w:t>that reliable roads and bridges are critical to our community and way of life.</w:t>
      </w:r>
    </w:p>
    <w:p w:rsidR="001D4F88" w:rsidRPr="00561905" w:rsidRDefault="001D4F88" w:rsidP="00D94E3C">
      <w:pPr>
        <w:pStyle w:val="BodyText"/>
        <w:ind w:left="-567"/>
        <w:rPr>
          <w:rFonts w:asciiTheme="minorHAnsi" w:hAnsiTheme="minorHAnsi"/>
        </w:rPr>
      </w:pPr>
      <w:r w:rsidRPr="00561905">
        <w:rPr>
          <w:rFonts w:asciiTheme="minorHAnsi" w:hAnsiTheme="minorHAnsi"/>
        </w:rPr>
        <w:t xml:space="preserve">The </w:t>
      </w:r>
      <w:r w:rsidR="009C5515" w:rsidRPr="00561905">
        <w:rPr>
          <w:rFonts w:asciiTheme="minorHAnsi" w:hAnsiTheme="minorHAnsi"/>
        </w:rPr>
        <w:t>condition of the majority of our assets is</w:t>
      </w:r>
      <w:r w:rsidRPr="00561905">
        <w:rPr>
          <w:rFonts w:asciiTheme="minorHAnsi" w:hAnsiTheme="minorHAnsi"/>
        </w:rPr>
        <w:t xml:space="preserve"> in the average state of 2 or 3. Over time they will move toward </w:t>
      </w:r>
      <w:r w:rsidR="00932960">
        <w:rPr>
          <w:rFonts w:asciiTheme="minorHAnsi" w:hAnsiTheme="minorHAnsi"/>
        </w:rPr>
        <w:t xml:space="preserve">a </w:t>
      </w:r>
      <w:r w:rsidRPr="00561905">
        <w:rPr>
          <w:rFonts w:asciiTheme="minorHAnsi" w:hAnsiTheme="minorHAnsi"/>
        </w:rPr>
        <w:t>poor or 5 state</w:t>
      </w:r>
      <w:r w:rsidR="00932960">
        <w:rPr>
          <w:rFonts w:asciiTheme="minorHAnsi" w:hAnsiTheme="minorHAnsi"/>
        </w:rPr>
        <w:t>,</w:t>
      </w:r>
      <w:r w:rsidRPr="00561905">
        <w:rPr>
          <w:rFonts w:asciiTheme="minorHAnsi" w:hAnsiTheme="minorHAnsi"/>
        </w:rPr>
        <w:t xml:space="preserve"> without significant attention.</w:t>
      </w:r>
    </w:p>
    <w:p w:rsidR="001D4F88" w:rsidRPr="00561905" w:rsidRDefault="001D4F88" w:rsidP="00561905">
      <w:pPr>
        <w:pStyle w:val="BodyText"/>
        <w:rPr>
          <w:rFonts w:asciiTheme="minorHAnsi" w:hAnsiTheme="minorHAnsi"/>
        </w:rPr>
      </w:pPr>
    </w:p>
    <w:p w:rsidR="001D4F88" w:rsidRPr="00561905" w:rsidRDefault="001D4F88" w:rsidP="00561905">
      <w:pPr>
        <w:pStyle w:val="BodyText"/>
        <w:rPr>
          <w:rFonts w:asciiTheme="minorHAnsi" w:hAnsiTheme="minorHAnsi"/>
        </w:rPr>
      </w:pPr>
      <w:r w:rsidRPr="00561905">
        <w:rPr>
          <w:rFonts w:asciiTheme="minorHAnsi" w:hAnsiTheme="minorHAnsi"/>
          <w:noProof/>
        </w:rPr>
        <w:drawing>
          <wp:inline distT="0" distB="0" distL="0" distR="0" wp14:anchorId="38B6D3CC" wp14:editId="58E8127F">
            <wp:extent cx="4848446" cy="2537630"/>
            <wp:effectExtent l="0" t="0" r="0" b="0"/>
            <wp:docPr id="6"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11062" cy="2570403"/>
                    </a:xfrm>
                    <a:prstGeom prst="rect">
                      <a:avLst/>
                    </a:prstGeom>
                    <a:noFill/>
                  </pic:spPr>
                </pic:pic>
              </a:graphicData>
            </a:graphic>
          </wp:inline>
        </w:drawing>
      </w:r>
    </w:p>
    <w:p w:rsidR="001D4F88" w:rsidRPr="00561905" w:rsidRDefault="001D4F88" w:rsidP="00D94E3C">
      <w:pPr>
        <w:pStyle w:val="BodyText"/>
        <w:ind w:left="-567"/>
        <w:rPr>
          <w:rFonts w:asciiTheme="minorHAnsi" w:hAnsiTheme="minorHAnsi"/>
        </w:rPr>
      </w:pPr>
      <w:r w:rsidRPr="00561905">
        <w:rPr>
          <w:rFonts w:asciiTheme="minorHAnsi" w:hAnsiTheme="minorHAnsi"/>
        </w:rPr>
        <w:t>The actual number of rateable properties is very small and to gain an increase of the magnitude required</w:t>
      </w:r>
      <w:r w:rsidR="00932960">
        <w:rPr>
          <w:rFonts w:asciiTheme="minorHAnsi" w:hAnsiTheme="minorHAnsi"/>
        </w:rPr>
        <w:t>,</w:t>
      </w:r>
      <w:r w:rsidRPr="00561905">
        <w:rPr>
          <w:rFonts w:asciiTheme="minorHAnsi" w:hAnsiTheme="minorHAnsi"/>
        </w:rPr>
        <w:t xml:space="preserve"> a significant increase in rates will be needed.</w:t>
      </w:r>
    </w:p>
    <w:p w:rsidR="001D4F88" w:rsidRPr="00561905" w:rsidRDefault="001D4F88" w:rsidP="00D94E3C">
      <w:pPr>
        <w:pStyle w:val="BodyText"/>
        <w:ind w:left="-567"/>
        <w:rPr>
          <w:rFonts w:asciiTheme="minorHAnsi" w:hAnsiTheme="minorHAnsi"/>
        </w:rPr>
      </w:pPr>
      <w:r w:rsidRPr="00561905">
        <w:rPr>
          <w:rFonts w:asciiTheme="minorHAnsi" w:hAnsiTheme="minorHAnsi"/>
        </w:rPr>
        <w:t xml:space="preserve">We have </w:t>
      </w:r>
      <w:r w:rsidR="00F61344" w:rsidRPr="00561905">
        <w:rPr>
          <w:rFonts w:asciiTheme="minorHAnsi" w:hAnsiTheme="minorHAnsi"/>
        </w:rPr>
        <w:t xml:space="preserve">held much discussion, information and consultation with the community and </w:t>
      </w:r>
      <w:r w:rsidRPr="00561905">
        <w:rPr>
          <w:rFonts w:asciiTheme="minorHAnsi" w:hAnsiTheme="minorHAnsi"/>
        </w:rPr>
        <w:t>modelled several scenarios to identify the appropriate increase needed to fund</w:t>
      </w:r>
      <w:r w:rsidR="00F61344" w:rsidRPr="00561905">
        <w:rPr>
          <w:rFonts w:asciiTheme="minorHAnsi" w:hAnsiTheme="minorHAnsi"/>
        </w:rPr>
        <w:t xml:space="preserve"> </w:t>
      </w:r>
      <w:r w:rsidRPr="00561905">
        <w:rPr>
          <w:rFonts w:asciiTheme="minorHAnsi" w:hAnsiTheme="minorHAnsi"/>
        </w:rPr>
        <w:t>the works program developed.</w:t>
      </w:r>
    </w:p>
    <w:p w:rsidR="001D4F88" w:rsidRPr="00F7372D" w:rsidRDefault="001D4F88" w:rsidP="00D94E3C">
      <w:pPr>
        <w:pStyle w:val="BodyText"/>
        <w:ind w:left="-567"/>
        <w:rPr>
          <w:rFonts w:asciiTheme="minorHAnsi" w:hAnsiTheme="minorHAnsi"/>
        </w:rPr>
      </w:pPr>
      <w:r w:rsidRPr="00F7372D">
        <w:rPr>
          <w:rFonts w:asciiTheme="minorHAnsi" w:hAnsiTheme="minorHAnsi"/>
        </w:rPr>
        <w:t>The cost to bring our key assets to a good average condition is $74m and the annual maintenance to keep them at this level would be $8.3m.</w:t>
      </w:r>
      <w:r w:rsidR="00F7372D">
        <w:rPr>
          <w:rFonts w:asciiTheme="minorHAnsi" w:hAnsiTheme="minorHAnsi"/>
        </w:rPr>
        <w:t xml:space="preserve"> This is detailed in the following tables:</w:t>
      </w:r>
    </w:p>
    <w:p w:rsidR="001D4F88" w:rsidRPr="00561905" w:rsidRDefault="001D4F88" w:rsidP="00561905">
      <w:pPr>
        <w:pStyle w:val="BodyText"/>
        <w:rPr>
          <w:rFonts w:asciiTheme="minorHAnsi" w:hAnsiTheme="minorHAnsi"/>
        </w:rPr>
      </w:pPr>
      <w:r w:rsidRPr="00561905">
        <w:rPr>
          <w:rFonts w:asciiTheme="minorHAnsi" w:hAnsiTheme="minorHAnsi"/>
          <w:noProof/>
        </w:rPr>
        <w:lastRenderedPageBreak/>
        <w:drawing>
          <wp:inline distT="0" distB="0" distL="0" distR="0" wp14:anchorId="5A1A86B9" wp14:editId="46AF5953">
            <wp:extent cx="5627504" cy="2749052"/>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5628394" cy="2749487"/>
                    </a:xfrm>
                    <a:prstGeom prst="rect">
                      <a:avLst/>
                    </a:prstGeom>
                    <a:noFill/>
                    <a:ln w="9525">
                      <a:noFill/>
                      <a:miter lim="800000"/>
                      <a:headEnd/>
                      <a:tailEnd/>
                    </a:ln>
                  </pic:spPr>
                </pic:pic>
              </a:graphicData>
            </a:graphic>
          </wp:inline>
        </w:drawing>
      </w:r>
    </w:p>
    <w:p w:rsidR="001D4F88" w:rsidRPr="00561905" w:rsidRDefault="001D4F88" w:rsidP="00561905">
      <w:pPr>
        <w:pStyle w:val="BodyText"/>
        <w:rPr>
          <w:rFonts w:asciiTheme="minorHAnsi" w:hAnsiTheme="minorHAnsi"/>
        </w:rPr>
      </w:pPr>
      <w:r w:rsidRPr="00561905">
        <w:rPr>
          <w:rFonts w:asciiTheme="minorHAnsi" w:hAnsiTheme="minorHAnsi"/>
          <w:noProof/>
        </w:rPr>
        <w:drawing>
          <wp:inline distT="0" distB="0" distL="0" distR="0" wp14:anchorId="50029121" wp14:editId="0D867FE0">
            <wp:extent cx="5550196" cy="4852105"/>
            <wp:effectExtent l="0" t="0" r="0" b="5715"/>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5556188" cy="4857343"/>
                    </a:xfrm>
                    <a:prstGeom prst="rect">
                      <a:avLst/>
                    </a:prstGeom>
                    <a:noFill/>
                    <a:ln w="9525">
                      <a:noFill/>
                      <a:miter lim="800000"/>
                      <a:headEnd/>
                      <a:tailEnd/>
                    </a:ln>
                  </pic:spPr>
                </pic:pic>
              </a:graphicData>
            </a:graphic>
          </wp:inline>
        </w:drawing>
      </w:r>
    </w:p>
    <w:p w:rsidR="001D4F88" w:rsidRPr="00561905" w:rsidRDefault="001D4F88" w:rsidP="00561905">
      <w:pPr>
        <w:pStyle w:val="BodyText"/>
        <w:rPr>
          <w:rFonts w:asciiTheme="minorHAnsi" w:hAnsiTheme="minorHAnsi"/>
        </w:rPr>
      </w:pPr>
    </w:p>
    <w:p w:rsidR="00F61344" w:rsidRDefault="004F6B57" w:rsidP="00046603">
      <w:pPr>
        <w:pStyle w:val="BodyText"/>
        <w:rPr>
          <w:rFonts w:asciiTheme="minorHAnsi" w:hAnsiTheme="minorHAnsi"/>
        </w:rPr>
      </w:pPr>
      <w:r w:rsidRPr="00561905">
        <w:rPr>
          <w:rFonts w:asciiTheme="minorHAnsi" w:hAnsiTheme="minorHAnsi"/>
        </w:rPr>
        <w:t xml:space="preserve">Council presented </w:t>
      </w:r>
      <w:r w:rsidR="00F61344" w:rsidRPr="00561905">
        <w:rPr>
          <w:rFonts w:asciiTheme="minorHAnsi" w:hAnsiTheme="minorHAnsi"/>
        </w:rPr>
        <w:t xml:space="preserve">to the community a range of works programs generated from levels of road condition (service) further linked to the funding required (SV). Whilst 18% cumulative for 5 years (inclusive of CPI) enables total average roads and bridges condition to reach </w:t>
      </w:r>
      <w:r w:rsidR="00932960">
        <w:rPr>
          <w:rFonts w:asciiTheme="minorHAnsi" w:hAnsiTheme="minorHAnsi"/>
        </w:rPr>
        <w:t xml:space="preserve">a good average </w:t>
      </w:r>
      <w:r w:rsidR="00932960">
        <w:rPr>
          <w:rFonts w:asciiTheme="minorHAnsi" w:hAnsiTheme="minorHAnsi"/>
        </w:rPr>
        <w:lastRenderedPageBreak/>
        <w:t xml:space="preserve">condition of </w:t>
      </w:r>
      <w:r w:rsidR="00F61344" w:rsidRPr="00561905">
        <w:rPr>
          <w:rFonts w:asciiTheme="minorHAnsi" w:hAnsiTheme="minorHAnsi"/>
        </w:rPr>
        <w:t xml:space="preserve">2.9/5, the feedback shows that </w:t>
      </w:r>
      <w:r w:rsidR="000B4224">
        <w:rPr>
          <w:rFonts w:asciiTheme="minorHAnsi" w:hAnsiTheme="minorHAnsi"/>
        </w:rPr>
        <w:t xml:space="preserve">a SV of </w:t>
      </w:r>
      <w:r w:rsidR="00F61344" w:rsidRPr="00561905">
        <w:rPr>
          <w:rFonts w:asciiTheme="minorHAnsi" w:hAnsiTheme="minorHAnsi"/>
        </w:rPr>
        <w:t>13% only for 3 years cumulative (and inclusive of CPI) was the optimum at this time for the community.</w:t>
      </w:r>
    </w:p>
    <w:p w:rsidR="00F7372D" w:rsidRPr="00561905" w:rsidRDefault="00F7372D" w:rsidP="00046603">
      <w:pPr>
        <w:pStyle w:val="BodyText"/>
        <w:rPr>
          <w:rFonts w:asciiTheme="minorHAnsi" w:hAnsiTheme="minorHAnsi"/>
        </w:rPr>
      </w:pPr>
    </w:p>
    <w:p w:rsidR="00F61344" w:rsidRDefault="00F7372D" w:rsidP="00A17554">
      <w:pPr>
        <w:spacing w:line="360" w:lineRule="auto"/>
        <w:ind w:left="-426"/>
        <w:rPr>
          <w:rFonts w:asciiTheme="minorHAnsi" w:hAnsiTheme="minorHAnsi"/>
          <w:szCs w:val="22"/>
        </w:rPr>
      </w:pPr>
      <w:r w:rsidRPr="00A17554">
        <w:rPr>
          <w:rFonts w:asciiTheme="minorHAnsi" w:hAnsiTheme="minorHAnsi"/>
          <w:b/>
          <w:noProof/>
          <w:color w:val="C00000"/>
          <w:szCs w:val="22"/>
        </w:rPr>
        <w:drawing>
          <wp:inline distT="0" distB="0" distL="0" distR="0" wp14:anchorId="7BE46287" wp14:editId="03A4D10E">
            <wp:extent cx="5922334" cy="2806995"/>
            <wp:effectExtent l="19050" t="19050" r="21590" b="1270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918479" cy="2805168"/>
                    </a:xfrm>
                    <a:prstGeom prst="rect">
                      <a:avLst/>
                    </a:prstGeom>
                    <a:noFill/>
                    <a:ln w="9525">
                      <a:solidFill>
                        <a:sysClr val="windowText" lastClr="000000">
                          <a:lumMod val="85000"/>
                          <a:lumOff val="15000"/>
                        </a:sysClr>
                      </a:solidFill>
                      <a:miter lim="800000"/>
                      <a:headEnd/>
                      <a:tailEnd/>
                    </a:ln>
                  </pic:spPr>
                </pic:pic>
              </a:graphicData>
            </a:graphic>
          </wp:inline>
        </w:drawing>
      </w:r>
    </w:p>
    <w:p w:rsidR="00147649" w:rsidRPr="00A17554" w:rsidRDefault="00147649" w:rsidP="00147649">
      <w:pPr>
        <w:pBdr>
          <w:bottom w:val="single" w:sz="4" w:space="1" w:color="auto"/>
        </w:pBdr>
        <w:spacing w:line="360" w:lineRule="auto"/>
        <w:ind w:left="-426"/>
        <w:rPr>
          <w:rFonts w:asciiTheme="minorHAnsi" w:hAnsiTheme="minorHAnsi"/>
          <w:szCs w:val="22"/>
        </w:rPr>
      </w:pPr>
    </w:p>
    <w:p w:rsidR="001D4F88" w:rsidRPr="00A17554" w:rsidRDefault="001D4F88" w:rsidP="00A17554">
      <w:pPr>
        <w:spacing w:line="360" w:lineRule="auto"/>
        <w:ind w:left="-426"/>
        <w:rPr>
          <w:rFonts w:asciiTheme="minorHAnsi" w:hAnsiTheme="minorHAnsi"/>
          <w:szCs w:val="22"/>
        </w:rPr>
      </w:pPr>
    </w:p>
    <w:p w:rsidR="00D60EA5" w:rsidRPr="00FE2452" w:rsidRDefault="00261E25" w:rsidP="00D60EA5">
      <w:pPr>
        <w:pStyle w:val="Heading2"/>
      </w:pPr>
      <w:bookmarkStart w:id="16" w:name="_Toc366160406"/>
      <w:bookmarkStart w:id="17" w:name="_Toc401138367"/>
      <w:r>
        <w:t>Case for special variation</w:t>
      </w:r>
      <w:r w:rsidR="0057581B">
        <w:t xml:space="preserve"> - </w:t>
      </w:r>
      <w:r w:rsidR="00FE2452" w:rsidRPr="00FE2452">
        <w:t>c</w:t>
      </w:r>
      <w:r w:rsidR="00D60EA5" w:rsidRPr="00FE2452">
        <w:t>ommunity need</w:t>
      </w:r>
      <w:bookmarkEnd w:id="16"/>
      <w:bookmarkEnd w:id="17"/>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71760B">
      <w:pPr>
        <w:pStyle w:val="ListBullet"/>
      </w:pPr>
      <w:r>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71760B">
      <w:pPr>
        <w:pStyle w:val="ListBullet"/>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C33D94" w:rsidRDefault="00C33D94" w:rsidP="00C33D94">
      <w:pPr>
        <w:pStyle w:val="BodyText"/>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734F82" w:rsidRDefault="00734F82" w:rsidP="00D22F1F">
      <w:pPr>
        <w:pStyle w:val="BodyText"/>
        <w:pBdr>
          <w:bottom w:val="single" w:sz="4" w:space="1" w:color="auto"/>
        </w:pBdr>
      </w:pPr>
    </w:p>
    <w:p w:rsidR="00D377C4" w:rsidRPr="00932960" w:rsidRDefault="009655C5" w:rsidP="00D22F1F">
      <w:pPr>
        <w:pStyle w:val="BodyText"/>
        <w:rPr>
          <w:rFonts w:asciiTheme="minorHAnsi" w:hAnsiTheme="minorHAnsi"/>
        </w:rPr>
      </w:pPr>
      <w:r w:rsidRPr="00932960">
        <w:rPr>
          <w:rFonts w:asciiTheme="minorHAnsi" w:hAnsiTheme="minorHAnsi"/>
        </w:rPr>
        <w:t xml:space="preserve">The Gloucester Community’s need for significant additional funding to address a deteriorating condition in its roads and bridges has been known and evidenced for some time. </w:t>
      </w:r>
      <w:r w:rsidR="00D377C4" w:rsidRPr="00932960">
        <w:rPr>
          <w:rFonts w:asciiTheme="minorHAnsi" w:hAnsiTheme="minorHAnsi"/>
        </w:rPr>
        <w:t xml:space="preserve"> </w:t>
      </w:r>
      <w:r w:rsidR="00D22F1F">
        <w:rPr>
          <w:rFonts w:asciiTheme="minorHAnsi" w:hAnsiTheme="minorHAnsi"/>
        </w:rPr>
        <w:t>T</w:t>
      </w:r>
      <w:r w:rsidR="00D377C4" w:rsidRPr="00932960">
        <w:rPr>
          <w:rFonts w:asciiTheme="minorHAnsi" w:hAnsiTheme="minorHAnsi"/>
        </w:rPr>
        <w:t xml:space="preserve">he </w:t>
      </w:r>
      <w:r w:rsidR="00D22F1F">
        <w:rPr>
          <w:rFonts w:asciiTheme="minorHAnsi" w:hAnsiTheme="minorHAnsi"/>
        </w:rPr>
        <w:t xml:space="preserve">deteriorating </w:t>
      </w:r>
      <w:r w:rsidR="00D22F1F">
        <w:rPr>
          <w:rFonts w:asciiTheme="minorHAnsi" w:hAnsiTheme="minorHAnsi"/>
        </w:rPr>
        <w:lastRenderedPageBreak/>
        <w:t>condition</w:t>
      </w:r>
      <w:r w:rsidR="00D377C4" w:rsidRPr="00932960">
        <w:rPr>
          <w:rFonts w:asciiTheme="minorHAnsi" w:hAnsiTheme="minorHAnsi"/>
        </w:rPr>
        <w:t xml:space="preserve"> has been anecdotal and complaint based but more significantly identified through audit reports and Special Schedule 7 analysis. </w:t>
      </w:r>
    </w:p>
    <w:p w:rsidR="00D377C4" w:rsidRPr="00932960" w:rsidRDefault="00D377C4" w:rsidP="00D94E3C">
      <w:pPr>
        <w:pStyle w:val="BodyText"/>
        <w:rPr>
          <w:rFonts w:asciiTheme="minorHAnsi" w:hAnsiTheme="minorHAnsi"/>
        </w:rPr>
      </w:pPr>
      <w:r w:rsidRPr="00932960">
        <w:rPr>
          <w:rFonts w:asciiTheme="minorHAnsi" w:hAnsiTheme="minorHAnsi"/>
        </w:rPr>
        <w:t xml:space="preserve">The Shire receives feedback </w:t>
      </w:r>
      <w:r w:rsidR="006074F5">
        <w:rPr>
          <w:rFonts w:asciiTheme="minorHAnsi" w:hAnsiTheme="minorHAnsi"/>
        </w:rPr>
        <w:t xml:space="preserve">on the condition of its roads and bridges </w:t>
      </w:r>
      <w:r w:rsidRPr="00932960">
        <w:rPr>
          <w:rFonts w:asciiTheme="minorHAnsi" w:hAnsiTheme="minorHAnsi"/>
        </w:rPr>
        <w:t>from professional road users such as school bus operations, emergency services, local state agencies, truck operations as well as ratepayers.</w:t>
      </w:r>
    </w:p>
    <w:p w:rsidR="00AF6EEA" w:rsidRPr="00932960" w:rsidRDefault="000B4224" w:rsidP="00D94E3C">
      <w:pPr>
        <w:pStyle w:val="BodyText"/>
        <w:rPr>
          <w:rFonts w:asciiTheme="minorHAnsi" w:hAnsiTheme="minorHAnsi"/>
        </w:rPr>
      </w:pPr>
      <w:r w:rsidRPr="00932960">
        <w:rPr>
          <w:rFonts w:asciiTheme="minorHAnsi" w:eastAsia="Calibri" w:hAnsiTheme="minorHAnsi"/>
          <w:noProof/>
        </w:rPr>
        <w:drawing>
          <wp:anchor distT="0" distB="0" distL="114300" distR="114300" simplePos="0" relativeHeight="251670528" behindDoc="0" locked="0" layoutInCell="1" allowOverlap="1" wp14:anchorId="40D8F802" wp14:editId="5EAF38B8">
            <wp:simplePos x="0" y="0"/>
            <wp:positionH relativeFrom="column">
              <wp:posOffset>-738505</wp:posOffset>
            </wp:positionH>
            <wp:positionV relativeFrom="paragraph">
              <wp:posOffset>1633220</wp:posOffset>
            </wp:positionV>
            <wp:extent cx="6692900" cy="5135245"/>
            <wp:effectExtent l="0" t="0" r="0" b="8255"/>
            <wp:wrapSquare wrapText="bothSides"/>
            <wp:docPr id="20" name="Picture 13" descr="Quantitative-Results_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itative-Results_P25.JPG"/>
                    <pic:cNvPicPr/>
                  </pic:nvPicPr>
                  <pic:blipFill>
                    <a:blip r:embed="rId28" cstate="print">
                      <a:extLst>
                        <a:ext uri="{BEBA8EAE-BF5A-486C-A8C5-ECC9F3942E4B}">
                          <a14:imgProps xmlns:a14="http://schemas.microsoft.com/office/drawing/2010/main">
                            <a14:imgLayer r:embed="rId29">
                              <a14:imgEffect>
                                <a14:sharpenSoften amount="23000"/>
                              </a14:imgEffect>
                              <a14:imgEffect>
                                <a14:brightnessContrast bright="-27000"/>
                              </a14:imgEffect>
                            </a14:imgLayer>
                          </a14:imgProps>
                        </a:ext>
                        <a:ext uri="{28A0092B-C50C-407E-A947-70E740481C1C}">
                          <a14:useLocalDpi xmlns:a14="http://schemas.microsoft.com/office/drawing/2010/main" val="0"/>
                        </a:ext>
                      </a:extLst>
                    </a:blip>
                    <a:srcRect t="6247" b="21419"/>
                    <a:stretch>
                      <a:fillRect/>
                    </a:stretch>
                  </pic:blipFill>
                  <pic:spPr>
                    <a:xfrm>
                      <a:off x="0" y="0"/>
                      <a:ext cx="6692900" cy="5135245"/>
                    </a:xfrm>
                    <a:prstGeom prst="rect">
                      <a:avLst/>
                    </a:prstGeom>
                  </pic:spPr>
                </pic:pic>
              </a:graphicData>
            </a:graphic>
            <wp14:sizeRelH relativeFrom="margin">
              <wp14:pctWidth>0</wp14:pctWidth>
            </wp14:sizeRelH>
            <wp14:sizeRelV relativeFrom="margin">
              <wp14:pctHeight>0</wp14:pctHeight>
            </wp14:sizeRelV>
          </wp:anchor>
        </w:drawing>
      </w:r>
      <w:r w:rsidR="00AF6EEA" w:rsidRPr="00932960">
        <w:rPr>
          <w:rFonts w:asciiTheme="minorHAnsi" w:hAnsiTheme="minorHAnsi" w:cs="Century Gothic"/>
        </w:rPr>
        <w:t xml:space="preserve">While most residents agreed that Council was “doing a good job” with what </w:t>
      </w:r>
      <w:r w:rsidR="006074F5">
        <w:rPr>
          <w:rFonts w:asciiTheme="minorHAnsi" w:hAnsiTheme="minorHAnsi" w:cs="Century Gothic"/>
        </w:rPr>
        <w:t xml:space="preserve">funding </w:t>
      </w:r>
      <w:r w:rsidR="00AF6EEA" w:rsidRPr="00932960">
        <w:rPr>
          <w:rFonts w:asciiTheme="minorHAnsi" w:hAnsiTheme="minorHAnsi" w:cs="Century Gothic"/>
        </w:rPr>
        <w:t>it had, there was an understanding that we are consistently underspending on road maintenance and renewals within our shire due to lack of resources. A significant gap has opened between Council’s capacity and community expectations with regard to roads and bridges.</w:t>
      </w:r>
      <w:r w:rsidR="00AF6EEA" w:rsidRPr="00932960">
        <w:rPr>
          <w:rFonts w:asciiTheme="minorHAnsi" w:hAnsiTheme="minorHAnsi"/>
        </w:rPr>
        <w:t xml:space="preserve"> A recent survey of customer expectations shows this significant gap between importance rating vs satisfaction with service.</w:t>
      </w:r>
    </w:p>
    <w:p w:rsidR="00E2576E" w:rsidRPr="00932960" w:rsidRDefault="00E2576E" w:rsidP="000B4224">
      <w:pPr>
        <w:pStyle w:val="Caption"/>
      </w:pPr>
      <w:r w:rsidRPr="00932960">
        <w:rPr>
          <w:noProof/>
        </w:rPr>
        <w:lastRenderedPageBreak/>
        <w:drawing>
          <wp:inline distT="0" distB="0" distL="0" distR="0" wp14:anchorId="2CBC73CE" wp14:editId="54B37CAD">
            <wp:extent cx="5040630" cy="2267893"/>
            <wp:effectExtent l="0" t="0" r="762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F6EEA" w:rsidRPr="00932960" w:rsidRDefault="00AF6EEA" w:rsidP="00932960">
      <w:pPr>
        <w:pStyle w:val="BodyText"/>
        <w:rPr>
          <w:rFonts w:asciiTheme="minorHAnsi" w:hAnsiTheme="minorHAnsi"/>
        </w:rPr>
      </w:pPr>
    </w:p>
    <w:p w:rsidR="00AF6EEA" w:rsidRPr="00932960" w:rsidRDefault="00AF6EEA" w:rsidP="00D94E3C">
      <w:pPr>
        <w:pStyle w:val="BodyText"/>
        <w:ind w:left="-567"/>
        <w:rPr>
          <w:rFonts w:asciiTheme="minorHAnsi" w:hAnsiTheme="minorHAnsi" w:cs="Century Gothic"/>
        </w:rPr>
      </w:pPr>
      <w:r w:rsidRPr="00932960">
        <w:rPr>
          <w:rFonts w:asciiTheme="minorHAnsi" w:hAnsiTheme="minorHAnsi"/>
        </w:rPr>
        <w:t xml:space="preserve">As a reflection of this </w:t>
      </w:r>
      <w:r w:rsidR="00D22F1F">
        <w:rPr>
          <w:rFonts w:asciiTheme="minorHAnsi" w:hAnsiTheme="minorHAnsi"/>
        </w:rPr>
        <w:t>performance gap,</w:t>
      </w:r>
      <w:r w:rsidRPr="00932960">
        <w:rPr>
          <w:rFonts w:asciiTheme="minorHAnsi" w:hAnsiTheme="minorHAnsi"/>
        </w:rPr>
        <w:t xml:space="preserve"> through the community’s involvement in the development of the CSP </w:t>
      </w:r>
      <w:r w:rsidR="00D22F1F">
        <w:rPr>
          <w:rFonts w:asciiTheme="minorHAnsi" w:hAnsiTheme="minorHAnsi"/>
        </w:rPr>
        <w:t>as well as</w:t>
      </w:r>
      <w:r w:rsidRPr="00932960">
        <w:rPr>
          <w:rFonts w:asciiTheme="minorHAnsi" w:hAnsiTheme="minorHAnsi"/>
        </w:rPr>
        <w:t xml:space="preserve"> an extensive information and engagement program over the past 18 months, it was made clear that the community is </w:t>
      </w:r>
      <w:r w:rsidRPr="00932960">
        <w:rPr>
          <w:rFonts w:asciiTheme="minorHAnsi" w:hAnsiTheme="minorHAnsi" w:cs="Century Gothic"/>
        </w:rPr>
        <w:t>concerned about the state of the shire’s roads and bridges</w:t>
      </w:r>
      <w:r w:rsidR="008069FE" w:rsidRPr="00932960">
        <w:rPr>
          <w:rFonts w:asciiTheme="minorHAnsi" w:hAnsiTheme="minorHAnsi" w:cs="Century Gothic"/>
        </w:rPr>
        <w:t xml:space="preserve"> with </w:t>
      </w:r>
      <w:r w:rsidR="009C5515" w:rsidRPr="00932960">
        <w:rPr>
          <w:rFonts w:asciiTheme="minorHAnsi" w:hAnsiTheme="minorHAnsi" w:cs="Century Gothic"/>
        </w:rPr>
        <w:t>a key</w:t>
      </w:r>
      <w:r w:rsidR="008069FE" w:rsidRPr="00932960">
        <w:rPr>
          <w:rFonts w:asciiTheme="minorHAnsi" w:hAnsiTheme="minorHAnsi" w:cs="Century Gothic"/>
        </w:rPr>
        <w:t xml:space="preserve"> theme </w:t>
      </w:r>
      <w:r w:rsidR="009C5515" w:rsidRPr="00932960">
        <w:rPr>
          <w:rFonts w:asciiTheme="minorHAnsi" w:hAnsiTheme="minorHAnsi" w:cs="Century Gothic"/>
        </w:rPr>
        <w:t>-”</w:t>
      </w:r>
      <w:r w:rsidR="008069FE" w:rsidRPr="00932960">
        <w:rPr>
          <w:rFonts w:asciiTheme="minorHAnsi" w:hAnsiTheme="minorHAnsi" w:cs="AvantGarde-Book"/>
        </w:rPr>
        <w:t xml:space="preserve"> Community members are concerned about the state of our shire’s roads and bridges and want to see core infrastructure maintained.”</w:t>
      </w:r>
    </w:p>
    <w:p w:rsidR="00D377C4" w:rsidRPr="00C44235" w:rsidRDefault="009655C5" w:rsidP="00D94E3C">
      <w:pPr>
        <w:pStyle w:val="BodyText"/>
        <w:ind w:left="-567"/>
        <w:rPr>
          <w:rFonts w:asciiTheme="minorHAnsi" w:hAnsiTheme="minorHAnsi"/>
        </w:rPr>
      </w:pPr>
      <w:r w:rsidRPr="00C44235">
        <w:rPr>
          <w:rFonts w:asciiTheme="minorHAnsi" w:hAnsiTheme="minorHAnsi"/>
        </w:rPr>
        <w:t xml:space="preserve">The Shire has an extensive transport network including 278 bridges and causeways, 330 km sealed roads, 444 km unsealed roads, 51 km kerbs and gutter, 12.7 km footpaths plus roadside furniture. These have a replacement value of $323m, and a projected operation, renewal and upgrade cost over the 10 year planning period of $151m. </w:t>
      </w:r>
      <w:r w:rsidR="00C44235" w:rsidRPr="00C44235">
        <w:rPr>
          <w:rFonts w:asciiTheme="minorHAnsi" w:hAnsiTheme="minorHAnsi"/>
        </w:rPr>
        <w:t xml:space="preserve">To put this in perspective, </w:t>
      </w:r>
      <w:r w:rsidRPr="00C44235">
        <w:rPr>
          <w:rFonts w:asciiTheme="minorHAnsi" w:hAnsiTheme="minorHAnsi"/>
        </w:rPr>
        <w:t>Council’s</w:t>
      </w:r>
      <w:r w:rsidR="00C44235" w:rsidRPr="00C44235">
        <w:rPr>
          <w:rFonts w:asciiTheme="minorHAnsi" w:hAnsiTheme="minorHAnsi"/>
        </w:rPr>
        <w:t xml:space="preserve"> rate revenue per annum is $3.9m.</w:t>
      </w:r>
      <w:r w:rsidRPr="00C44235">
        <w:rPr>
          <w:rFonts w:asciiTheme="minorHAnsi" w:hAnsiTheme="minorHAnsi"/>
        </w:rPr>
        <w:t xml:space="preserve"> </w:t>
      </w:r>
      <w:proofErr w:type="gramStart"/>
      <w:r w:rsidR="00D377C4" w:rsidRPr="00C44235">
        <w:rPr>
          <w:rFonts w:asciiTheme="minorHAnsi" w:hAnsiTheme="minorHAnsi"/>
        </w:rPr>
        <w:t>and</w:t>
      </w:r>
      <w:proofErr w:type="gramEnd"/>
      <w:r w:rsidR="00D377C4" w:rsidRPr="00C44235">
        <w:rPr>
          <w:rFonts w:asciiTheme="minorHAnsi" w:hAnsiTheme="minorHAnsi"/>
        </w:rPr>
        <w:t xml:space="preserve"> hence a significant funding shortfall</w:t>
      </w:r>
      <w:r w:rsidR="00C44235">
        <w:rPr>
          <w:rFonts w:asciiTheme="minorHAnsi" w:hAnsiTheme="minorHAnsi"/>
        </w:rPr>
        <w:t xml:space="preserve"> is obvious</w:t>
      </w:r>
      <w:r w:rsidR="00D377C4" w:rsidRPr="00C44235">
        <w:rPr>
          <w:rFonts w:asciiTheme="minorHAnsi" w:hAnsiTheme="minorHAnsi"/>
        </w:rPr>
        <w:t>. The requirement to bring these assets into a good average (2.9/5) condition is $74m over 10 years.</w:t>
      </w:r>
    </w:p>
    <w:p w:rsidR="0072334E" w:rsidRPr="00932960" w:rsidRDefault="0072334E" w:rsidP="00D94E3C">
      <w:pPr>
        <w:pStyle w:val="BodyText"/>
        <w:ind w:left="-567"/>
        <w:rPr>
          <w:rFonts w:asciiTheme="minorHAnsi" w:hAnsiTheme="minorHAnsi"/>
        </w:rPr>
      </w:pPr>
      <w:r w:rsidRPr="00932960">
        <w:rPr>
          <w:rFonts w:asciiTheme="minorHAnsi" w:hAnsiTheme="minorHAnsi"/>
        </w:rPr>
        <w:t xml:space="preserve">The purpose of this SV application is to enable Council to increase rates above the CPI peg to undertake a defined and detailed asset renewal and maintenance program. Gloucester Shire Council has conducted a detailed and exhaustive asset condition and assessment project. This enabled accurate costs for backlog renewal and future maintenance to be quantified and to develop the associated long term financial resource plan. </w:t>
      </w:r>
    </w:p>
    <w:p w:rsidR="00B23D6E" w:rsidRPr="00932960" w:rsidRDefault="00B23D6E" w:rsidP="00D94E3C">
      <w:pPr>
        <w:pStyle w:val="BodyText"/>
        <w:ind w:left="-567"/>
        <w:rPr>
          <w:rFonts w:asciiTheme="minorHAnsi" w:hAnsiTheme="minorHAnsi"/>
        </w:rPr>
      </w:pPr>
      <w:r w:rsidRPr="00932960">
        <w:rPr>
          <w:rFonts w:asciiTheme="minorHAnsi" w:hAnsiTheme="minorHAnsi"/>
        </w:rPr>
        <w:t xml:space="preserve">Council utilises recognised IPWEA asset </w:t>
      </w:r>
      <w:r w:rsidR="009C5515" w:rsidRPr="00932960">
        <w:rPr>
          <w:rFonts w:asciiTheme="minorHAnsi" w:hAnsiTheme="minorHAnsi"/>
        </w:rPr>
        <w:t>software and</w:t>
      </w:r>
      <w:r w:rsidR="00F45870" w:rsidRPr="00932960">
        <w:rPr>
          <w:rFonts w:asciiTheme="minorHAnsi" w:hAnsiTheme="minorHAnsi"/>
        </w:rPr>
        <w:t xml:space="preserve"> </w:t>
      </w:r>
      <w:r w:rsidRPr="00932960">
        <w:rPr>
          <w:rFonts w:asciiTheme="minorHAnsi" w:hAnsiTheme="minorHAnsi"/>
        </w:rPr>
        <w:t xml:space="preserve">is actively involved with other Councils through ROCs, to coordinate and standardise condition assessments, costing, valuation, depreciation, reporting and disclosure of assets. At the 2013/14 audit, our auditors </w:t>
      </w:r>
      <w:r w:rsidR="00C44235">
        <w:rPr>
          <w:rFonts w:asciiTheme="minorHAnsi" w:hAnsiTheme="minorHAnsi"/>
        </w:rPr>
        <w:t>included a review of</w:t>
      </w:r>
      <w:r w:rsidRPr="00932960">
        <w:rPr>
          <w:rFonts w:asciiTheme="minorHAnsi" w:hAnsiTheme="minorHAnsi"/>
        </w:rPr>
        <w:t xml:space="preserve"> our condition methodology and agreed with the model and its application.</w:t>
      </w:r>
    </w:p>
    <w:p w:rsidR="00AF6EEA" w:rsidRPr="00932960" w:rsidRDefault="00AF6EEA" w:rsidP="00D94E3C">
      <w:pPr>
        <w:pStyle w:val="BodyText"/>
        <w:ind w:left="-567"/>
        <w:rPr>
          <w:rFonts w:asciiTheme="minorHAnsi" w:hAnsiTheme="minorHAnsi" w:cs="Century Gothic"/>
        </w:rPr>
      </w:pPr>
      <w:r w:rsidRPr="00932960">
        <w:rPr>
          <w:rFonts w:asciiTheme="minorHAnsi" w:hAnsiTheme="minorHAnsi"/>
        </w:rPr>
        <w:t xml:space="preserve">A road hierarchy has been developed to ensure that risks are known, that works programs aligned and that available funds go to highest risk/demand assets. </w:t>
      </w:r>
    </w:p>
    <w:p w:rsidR="00D377C4" w:rsidRDefault="00D377C4" w:rsidP="00D22F1F">
      <w:pPr>
        <w:pBdr>
          <w:bottom w:val="single" w:sz="4" w:space="1" w:color="auto"/>
        </w:pBdr>
        <w:autoSpaceDE w:val="0"/>
        <w:autoSpaceDN w:val="0"/>
        <w:adjustRightInd w:val="0"/>
        <w:rPr>
          <w:rFonts w:asciiTheme="minorHAnsi" w:hAnsiTheme="minorHAnsi"/>
        </w:rPr>
      </w:pPr>
    </w:p>
    <w:p w:rsidR="00D60EA5" w:rsidRDefault="003B7983" w:rsidP="00D60EA5">
      <w:pPr>
        <w:pStyle w:val="Heading2"/>
      </w:pPr>
      <w:bookmarkStart w:id="18" w:name="_Toc366160408"/>
      <w:bookmarkStart w:id="19" w:name="_Toc401138368"/>
      <w:r>
        <w:t>F</w:t>
      </w:r>
      <w:r w:rsidR="00D60EA5">
        <w:t>inancial sustainability</w:t>
      </w:r>
      <w:bookmarkEnd w:id="18"/>
      <w:bookmarkEnd w:id="19"/>
    </w:p>
    <w:p w:rsidR="00D60EA5" w:rsidRDefault="00D60EA5" w:rsidP="00D60EA5">
      <w:pPr>
        <w:pStyle w:val="BodyText"/>
      </w:pPr>
      <w:r w:rsidRPr="001E7392">
        <w:t>The special variation may be intended to improve the council’s underlying financial position, or to fund specific projects or programs of expenditure, or a combination of the two.  We will consider evidence about the council’s current and fu</w:t>
      </w:r>
      <w:r w:rsidR="00B84AA8">
        <w:t>ture financial sustainability</w:t>
      </w:r>
      <w:r w:rsidR="00DF7955">
        <w:t xml:space="preserve"> and the assumptions it has made in coming to a view on its financial sustainability</w:t>
      </w:r>
      <w:r w:rsidR="00B84AA8">
        <w:t>.</w:t>
      </w:r>
    </w:p>
    <w:p w:rsidR="00F93834" w:rsidRPr="00F93834" w:rsidRDefault="008B1F5A" w:rsidP="00F93834">
      <w:pPr>
        <w:pStyle w:val="BodyText"/>
      </w:pPr>
      <w:r>
        <w:lastRenderedPageBreak/>
        <w:t>You should e</w:t>
      </w:r>
      <w:r w:rsidR="00576F7F">
        <w:t>xplain below</w:t>
      </w:r>
      <w:r w:rsidR="00F93834" w:rsidRPr="00F93834">
        <w:t>:</w:t>
      </w:r>
    </w:p>
    <w:p w:rsidR="00330E5C" w:rsidRPr="008B1F5A" w:rsidRDefault="00330E5C" w:rsidP="0071760B">
      <w:pPr>
        <w:pStyle w:val="ListBullet"/>
      </w:pPr>
      <w:r>
        <w:t>T</w:t>
      </w:r>
      <w:r w:rsidR="005F7648" w:rsidRPr="00F93834">
        <w:t xml:space="preserve">he council’s </w:t>
      </w:r>
      <w:r w:rsidR="00D60EA5" w:rsidRPr="00F93834">
        <w:t xml:space="preserve">understanding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r w:rsidR="00D60EA5" w:rsidRPr="008B1F5A">
        <w:t xml:space="preserve"> </w:t>
      </w:r>
    </w:p>
    <w:p w:rsidR="005F7648" w:rsidRPr="008B1F5A" w:rsidRDefault="00511A12" w:rsidP="0071760B">
      <w:pPr>
        <w:pStyle w:val="ListBullet"/>
      </w:pPr>
      <w:r w:rsidRPr="008B1F5A">
        <w:t>A</w:t>
      </w:r>
      <w:r w:rsidR="00D60EA5" w:rsidRPr="008B1F5A">
        <w:t>ny external assessment</w:t>
      </w:r>
      <w:r w:rsidR="00330E5C" w:rsidRPr="008B1F5A">
        <w:t xml:space="preserve"> of the council’s financial sustainability</w:t>
      </w:r>
      <w:r w:rsidR="00D60EA5" w:rsidRPr="008B1F5A">
        <w:t xml:space="preserve">, </w:t>
      </w:r>
      <w:r w:rsidR="009C5515" w:rsidRPr="008B1F5A">
        <w:t>e.g.</w:t>
      </w:r>
      <w:r w:rsidR="00B84AA8" w:rsidRPr="008B1F5A">
        <w:t>,</w:t>
      </w:r>
      <w:r w:rsidR="00A452DF" w:rsidRPr="008B1F5A">
        <w:t xml:space="preserve"> by auditors or TCorp</w:t>
      </w:r>
      <w:r w:rsidRPr="008B1F5A">
        <w:t xml:space="preserve">.  Indicate </w:t>
      </w:r>
      <w:r w:rsidR="005F7648" w:rsidRPr="008B1F5A">
        <w:t xml:space="preserve">how </w:t>
      </w:r>
      <w:r w:rsidR="000E41D5" w:rsidRPr="008B1F5A">
        <w:t xml:space="preserve">such </w:t>
      </w:r>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 relevant </w:t>
      </w:r>
      <w:r w:rsidR="003B7983" w:rsidRPr="008B1F5A">
        <w:t>to</w:t>
      </w:r>
      <w:r w:rsidR="005F7648" w:rsidRPr="008B1F5A">
        <w:t xml:space="preserve"> supporting the decision to apply for a special variation</w:t>
      </w:r>
      <w:r w:rsidRPr="008B1F5A">
        <w:t>.</w:t>
      </w:r>
    </w:p>
    <w:p w:rsidR="00D60EA5" w:rsidRDefault="00511A12" w:rsidP="0071760B">
      <w:pPr>
        <w:pStyle w:val="ListBullet"/>
      </w:pPr>
      <w:r>
        <w:t>T</w:t>
      </w:r>
      <w:r w:rsidR="005F7648" w:rsidRPr="00F93834">
        <w:t xml:space="preserve">he council’s </w:t>
      </w:r>
      <w:r w:rsidR="00D60EA5" w:rsidRPr="00F93834">
        <w:t xml:space="preserve">view of </w:t>
      </w:r>
      <w:r w:rsidR="00F93834" w:rsidRPr="00F93834">
        <w:t xml:space="preserve">the impact </w:t>
      </w:r>
      <w:r>
        <w:t xml:space="preserve">of the </w:t>
      </w:r>
      <w:r w:rsidRPr="00F93834">
        <w:t xml:space="preserve">special variation </w:t>
      </w:r>
      <w:r w:rsidR="00F93834" w:rsidRPr="00F93834">
        <w:t xml:space="preserve">on </w:t>
      </w:r>
      <w:r w:rsidR="00D60EA5" w:rsidRPr="00F93834">
        <w:t>its financial sustainabili</w:t>
      </w:r>
      <w:r w:rsidR="006B30D8" w:rsidRPr="00F93834">
        <w:t>ty</w:t>
      </w:r>
      <w:r>
        <w:t>.</w:t>
      </w:r>
    </w:p>
    <w:p w:rsidR="00F273C8" w:rsidRDefault="00F273C8" w:rsidP="00926C52">
      <w:pPr>
        <w:spacing w:after="200" w:line="276" w:lineRule="auto"/>
      </w:pPr>
    </w:p>
    <w:p w:rsidR="00D22F1F" w:rsidRDefault="00D22F1F" w:rsidP="00D22F1F">
      <w:pPr>
        <w:pBdr>
          <w:bottom w:val="single" w:sz="4" w:space="1" w:color="auto"/>
        </w:pBdr>
        <w:spacing w:after="200" w:line="276" w:lineRule="auto"/>
      </w:pPr>
    </w:p>
    <w:p w:rsidR="00D94E3C" w:rsidRDefault="00D94E3C" w:rsidP="004C54D4">
      <w:pPr>
        <w:pStyle w:val="BodyText"/>
        <w:rPr>
          <w:rFonts w:asciiTheme="minorHAnsi" w:hAnsiTheme="minorHAnsi"/>
          <w:szCs w:val="22"/>
        </w:rPr>
      </w:pPr>
      <w:r>
        <w:rPr>
          <w:rFonts w:asciiTheme="minorHAnsi" w:hAnsiTheme="minorHAnsi"/>
          <w:szCs w:val="22"/>
        </w:rPr>
        <w:t xml:space="preserve">In developing options to address our financial sustainability challenge, it was informative to consider the findings of the </w:t>
      </w:r>
      <w:proofErr w:type="spellStart"/>
      <w:r>
        <w:rPr>
          <w:rFonts w:asciiTheme="minorHAnsi" w:hAnsiTheme="minorHAnsi"/>
          <w:szCs w:val="22"/>
        </w:rPr>
        <w:t>TCorp</w:t>
      </w:r>
      <w:proofErr w:type="spellEnd"/>
      <w:r>
        <w:rPr>
          <w:rFonts w:asciiTheme="minorHAnsi" w:hAnsiTheme="minorHAnsi"/>
          <w:szCs w:val="22"/>
        </w:rPr>
        <w:t xml:space="preserve"> report. This report was performed in March 2013 and provides a detailed analysis</w:t>
      </w:r>
      <w:r w:rsidR="00D22F1F">
        <w:rPr>
          <w:rFonts w:asciiTheme="minorHAnsi" w:hAnsiTheme="minorHAnsi"/>
          <w:szCs w:val="22"/>
        </w:rPr>
        <w:t xml:space="preserve"> based on our financial position and trends at that time</w:t>
      </w:r>
      <w:r>
        <w:rPr>
          <w:rFonts w:asciiTheme="minorHAnsi" w:hAnsiTheme="minorHAnsi"/>
          <w:szCs w:val="22"/>
        </w:rPr>
        <w:t xml:space="preserve">. </w:t>
      </w:r>
    </w:p>
    <w:p w:rsidR="00F273C8" w:rsidRPr="006074F5" w:rsidRDefault="00F273C8" w:rsidP="004C54D4">
      <w:pPr>
        <w:pStyle w:val="BodyText"/>
        <w:rPr>
          <w:rFonts w:asciiTheme="minorHAnsi" w:hAnsiTheme="minorHAnsi"/>
          <w:szCs w:val="22"/>
        </w:rPr>
      </w:pPr>
      <w:r w:rsidRPr="006074F5">
        <w:rPr>
          <w:rFonts w:asciiTheme="minorHAnsi" w:hAnsiTheme="minorHAnsi"/>
          <w:szCs w:val="22"/>
        </w:rPr>
        <w:t>T Corp’s report stated in summary</w:t>
      </w:r>
      <w:r w:rsidR="006074F5">
        <w:rPr>
          <w:rFonts w:asciiTheme="minorHAnsi" w:hAnsiTheme="minorHAnsi"/>
          <w:szCs w:val="22"/>
        </w:rPr>
        <w:t xml:space="preserve"> that</w:t>
      </w:r>
      <w:r w:rsidR="001F565A">
        <w:rPr>
          <w:rFonts w:asciiTheme="minorHAnsi" w:hAnsiTheme="minorHAnsi"/>
          <w:szCs w:val="22"/>
        </w:rPr>
        <w:t xml:space="preserve"> </w:t>
      </w:r>
      <w:r w:rsidRPr="006074F5">
        <w:rPr>
          <w:rFonts w:asciiTheme="minorHAnsi" w:hAnsiTheme="minorHAnsi"/>
          <w:szCs w:val="22"/>
        </w:rPr>
        <w:t xml:space="preserve">Council’s financial position has been deteriorating over the review period, and has been further impacted on a consolidated basis by the transfer of its water and sewer assets to Midcoast Water in 2012.  Council has been unable to achieve operating surpluses when capital grants and contributions are excluded during the review period and the deficits have grown year on year.  Some other observations </w:t>
      </w:r>
      <w:r w:rsidR="00C44235">
        <w:rPr>
          <w:rFonts w:asciiTheme="minorHAnsi" w:hAnsiTheme="minorHAnsi"/>
          <w:szCs w:val="22"/>
        </w:rPr>
        <w:t xml:space="preserve">by </w:t>
      </w:r>
      <w:proofErr w:type="spellStart"/>
      <w:r w:rsidR="00C44235">
        <w:rPr>
          <w:rFonts w:asciiTheme="minorHAnsi" w:hAnsiTheme="minorHAnsi"/>
          <w:szCs w:val="22"/>
        </w:rPr>
        <w:t>TCorp</w:t>
      </w:r>
      <w:proofErr w:type="spellEnd"/>
      <w:r w:rsidR="00C44235">
        <w:rPr>
          <w:rFonts w:asciiTheme="minorHAnsi" w:hAnsiTheme="minorHAnsi"/>
          <w:szCs w:val="22"/>
        </w:rPr>
        <w:t xml:space="preserve"> at the time </w:t>
      </w:r>
      <w:r w:rsidRPr="006074F5">
        <w:rPr>
          <w:rFonts w:asciiTheme="minorHAnsi" w:hAnsiTheme="minorHAnsi"/>
          <w:szCs w:val="22"/>
        </w:rPr>
        <w:t>include:</w:t>
      </w:r>
    </w:p>
    <w:p w:rsidR="00F273C8" w:rsidRPr="006074F5" w:rsidRDefault="00F273C8" w:rsidP="0060639F">
      <w:pPr>
        <w:pStyle w:val="BodyText"/>
        <w:numPr>
          <w:ilvl w:val="0"/>
          <w:numId w:val="30"/>
        </w:numPr>
        <w:rPr>
          <w:rFonts w:asciiTheme="minorHAnsi" w:hAnsiTheme="minorHAnsi"/>
          <w:szCs w:val="22"/>
        </w:rPr>
      </w:pPr>
      <w:r w:rsidRPr="006074F5">
        <w:rPr>
          <w:rFonts w:asciiTheme="minorHAnsi" w:hAnsiTheme="minorHAnsi"/>
          <w:szCs w:val="22"/>
        </w:rPr>
        <w:t>Council’s underlying operating performance, as measured by EBITDA, has decreased to $1.8m in 2012 following the transfer of the water and sewer assets, from $2.2m in 2009</w:t>
      </w:r>
    </w:p>
    <w:p w:rsidR="00F273C8" w:rsidRPr="006074F5" w:rsidRDefault="00F273C8" w:rsidP="0060639F">
      <w:pPr>
        <w:pStyle w:val="BodyText"/>
        <w:numPr>
          <w:ilvl w:val="0"/>
          <w:numId w:val="30"/>
        </w:numPr>
        <w:rPr>
          <w:rFonts w:asciiTheme="minorHAnsi" w:hAnsiTheme="minorHAnsi"/>
          <w:szCs w:val="22"/>
        </w:rPr>
      </w:pPr>
      <w:r w:rsidRPr="006074F5">
        <w:rPr>
          <w:rFonts w:asciiTheme="minorHAnsi" w:hAnsiTheme="minorHAnsi"/>
          <w:szCs w:val="22"/>
        </w:rPr>
        <w:t>Council’s liquidity has remained adequate to meet  short term liabilities throughout the review period however they have been below the 1.50x benchmark in the past three years indicating limited flexibility</w:t>
      </w:r>
    </w:p>
    <w:p w:rsidR="00F273C8" w:rsidRPr="006074F5" w:rsidRDefault="00F273C8" w:rsidP="0060639F">
      <w:pPr>
        <w:pStyle w:val="BodyText"/>
        <w:numPr>
          <w:ilvl w:val="0"/>
          <w:numId w:val="30"/>
        </w:numPr>
        <w:rPr>
          <w:rFonts w:asciiTheme="minorHAnsi" w:hAnsiTheme="minorHAnsi"/>
          <w:szCs w:val="22"/>
        </w:rPr>
      </w:pPr>
      <w:r w:rsidRPr="006074F5">
        <w:rPr>
          <w:rFonts w:asciiTheme="minorHAnsi" w:hAnsiTheme="minorHAnsi"/>
          <w:szCs w:val="22"/>
        </w:rPr>
        <w:t xml:space="preserve">Within the General Fund alone, Council has increased borrowings from $2.5m in 2009 to $3.6m in 2012 </w:t>
      </w:r>
    </w:p>
    <w:p w:rsidR="00F273C8" w:rsidRPr="006074F5" w:rsidRDefault="00F273C8" w:rsidP="0060639F">
      <w:pPr>
        <w:pStyle w:val="BodyText"/>
        <w:numPr>
          <w:ilvl w:val="0"/>
          <w:numId w:val="30"/>
        </w:numPr>
        <w:rPr>
          <w:rFonts w:asciiTheme="minorHAnsi" w:hAnsiTheme="minorHAnsi"/>
          <w:szCs w:val="22"/>
        </w:rPr>
      </w:pPr>
      <w:r w:rsidRPr="006074F5">
        <w:rPr>
          <w:rFonts w:asciiTheme="minorHAnsi" w:hAnsiTheme="minorHAnsi"/>
          <w:szCs w:val="22"/>
        </w:rPr>
        <w:t>Council’s Own Source Operating Revenue Ratio has been below the benchmark in each year indicating Council’s reliance on grants and contributions</w:t>
      </w:r>
    </w:p>
    <w:p w:rsidR="00F273C8" w:rsidRPr="006074F5" w:rsidRDefault="00F273C8" w:rsidP="0060639F">
      <w:pPr>
        <w:pStyle w:val="BodyText"/>
        <w:numPr>
          <w:ilvl w:val="0"/>
          <w:numId w:val="30"/>
        </w:numPr>
        <w:rPr>
          <w:rFonts w:asciiTheme="minorHAnsi" w:hAnsiTheme="minorHAnsi"/>
          <w:szCs w:val="22"/>
        </w:rPr>
      </w:pPr>
      <w:r w:rsidRPr="006074F5">
        <w:rPr>
          <w:rFonts w:asciiTheme="minorHAnsi" w:hAnsiTheme="minorHAnsi"/>
          <w:szCs w:val="22"/>
        </w:rPr>
        <w:t>Council experienced large increases in wages and salaries costs in 2010 and 2011 before they decreased in 2012 following the water and sewer asset transfer</w:t>
      </w:r>
    </w:p>
    <w:p w:rsidR="00F273C8" w:rsidRPr="006074F5" w:rsidRDefault="00F273C8" w:rsidP="0060639F">
      <w:pPr>
        <w:pStyle w:val="BodyText"/>
        <w:numPr>
          <w:ilvl w:val="0"/>
          <w:numId w:val="30"/>
        </w:numPr>
        <w:rPr>
          <w:rFonts w:asciiTheme="minorHAnsi" w:hAnsiTheme="minorHAnsi"/>
          <w:szCs w:val="22"/>
        </w:rPr>
      </w:pPr>
      <w:r w:rsidRPr="006074F5">
        <w:rPr>
          <w:rFonts w:asciiTheme="minorHAnsi" w:hAnsiTheme="minorHAnsi"/>
          <w:szCs w:val="22"/>
        </w:rPr>
        <w:t>Council has a low reserve for leave entitlements that will need to be funded in future years</w:t>
      </w:r>
    </w:p>
    <w:p w:rsidR="00F273C8" w:rsidRPr="006074F5" w:rsidRDefault="006074F5" w:rsidP="004C54D4">
      <w:pPr>
        <w:pStyle w:val="BodyText"/>
        <w:rPr>
          <w:rFonts w:asciiTheme="minorHAnsi" w:hAnsiTheme="minorHAnsi"/>
          <w:szCs w:val="22"/>
        </w:rPr>
      </w:pPr>
      <w:r>
        <w:rPr>
          <w:rFonts w:asciiTheme="minorHAnsi" w:hAnsiTheme="minorHAnsi"/>
          <w:szCs w:val="22"/>
        </w:rPr>
        <w:t>C</w:t>
      </w:r>
      <w:r w:rsidR="00F273C8" w:rsidRPr="006074F5">
        <w:rPr>
          <w:rFonts w:asciiTheme="minorHAnsi" w:hAnsiTheme="minorHAnsi"/>
          <w:szCs w:val="22"/>
        </w:rPr>
        <w:t xml:space="preserve">ouncil reported $32.6m of Infrastructure Backlog in 2012 which represents 30.2% of its infrastructure asset value of $108.0m.  </w:t>
      </w:r>
      <w:proofErr w:type="spellStart"/>
      <w:r w:rsidR="00D22F1F">
        <w:rPr>
          <w:rFonts w:asciiTheme="minorHAnsi" w:hAnsiTheme="minorHAnsi"/>
          <w:szCs w:val="22"/>
        </w:rPr>
        <w:t>TCorp</w:t>
      </w:r>
      <w:proofErr w:type="spellEnd"/>
      <w:r w:rsidR="00D22F1F">
        <w:rPr>
          <w:rFonts w:asciiTheme="minorHAnsi" w:hAnsiTheme="minorHAnsi"/>
          <w:szCs w:val="22"/>
        </w:rPr>
        <w:t xml:space="preserve"> observed</w:t>
      </w:r>
      <w:r w:rsidR="00F273C8" w:rsidRPr="006074F5">
        <w:rPr>
          <w:rFonts w:asciiTheme="minorHAnsi" w:hAnsiTheme="minorHAnsi"/>
          <w:szCs w:val="22"/>
        </w:rPr>
        <w:t>:</w:t>
      </w:r>
    </w:p>
    <w:p w:rsidR="00F273C8" w:rsidRPr="006074F5" w:rsidRDefault="00F273C8" w:rsidP="0060639F">
      <w:pPr>
        <w:pStyle w:val="BodyText"/>
        <w:numPr>
          <w:ilvl w:val="0"/>
          <w:numId w:val="31"/>
        </w:numPr>
        <w:rPr>
          <w:rFonts w:asciiTheme="minorHAnsi" w:hAnsiTheme="minorHAnsi"/>
          <w:szCs w:val="22"/>
        </w:rPr>
      </w:pPr>
      <w:r w:rsidRPr="006074F5">
        <w:rPr>
          <w:rFonts w:asciiTheme="minorHAnsi" w:hAnsiTheme="minorHAnsi"/>
          <w:szCs w:val="22"/>
        </w:rPr>
        <w:t xml:space="preserve">The Backlog has reduced from $54.3m in 2009, partly due to the transfer of the water and sewer assets that had a combined backlog total of $23.0m in 2011 </w:t>
      </w:r>
    </w:p>
    <w:p w:rsidR="00F273C8" w:rsidRPr="006074F5" w:rsidRDefault="00F273C8" w:rsidP="0060639F">
      <w:pPr>
        <w:pStyle w:val="BodyText"/>
        <w:numPr>
          <w:ilvl w:val="0"/>
          <w:numId w:val="31"/>
        </w:numPr>
        <w:rPr>
          <w:rFonts w:asciiTheme="minorHAnsi" w:hAnsiTheme="minorHAnsi"/>
          <w:szCs w:val="22"/>
        </w:rPr>
      </w:pPr>
      <w:r w:rsidRPr="006074F5">
        <w:rPr>
          <w:rFonts w:asciiTheme="minorHAnsi" w:hAnsiTheme="minorHAnsi"/>
          <w:szCs w:val="22"/>
        </w:rPr>
        <w:t>Council has been unable to meet the benchmark for the Asset Maintenance Ratio, Building and Infrastructure Asset Renewal Ratio, and Capital Expenditure Ratio in the past two years and this will lead to an increase in the Backlog if these trends are not reversed</w:t>
      </w:r>
    </w:p>
    <w:p w:rsidR="00F273C8" w:rsidRPr="006074F5" w:rsidRDefault="00F273C8" w:rsidP="00D94E3C">
      <w:pPr>
        <w:pStyle w:val="BodyText"/>
        <w:ind w:left="-284" w:hanging="283"/>
        <w:rPr>
          <w:rFonts w:asciiTheme="minorHAnsi" w:hAnsiTheme="minorHAnsi"/>
          <w:szCs w:val="22"/>
        </w:rPr>
      </w:pPr>
      <w:r w:rsidRPr="006074F5">
        <w:rPr>
          <w:rFonts w:asciiTheme="minorHAnsi" w:hAnsiTheme="minorHAnsi"/>
          <w:szCs w:val="22"/>
        </w:rPr>
        <w:lastRenderedPageBreak/>
        <w:t xml:space="preserve">The key observations from </w:t>
      </w:r>
      <w:r w:rsidR="006074F5">
        <w:rPr>
          <w:rFonts w:asciiTheme="minorHAnsi" w:hAnsiTheme="minorHAnsi"/>
          <w:szCs w:val="22"/>
        </w:rPr>
        <w:t>TCorp’s</w:t>
      </w:r>
      <w:r w:rsidRPr="006074F5">
        <w:rPr>
          <w:rFonts w:asciiTheme="minorHAnsi" w:hAnsiTheme="minorHAnsi"/>
          <w:szCs w:val="22"/>
        </w:rPr>
        <w:t xml:space="preserve"> review of Council’s 10 year forecasts for its General Fund </w:t>
      </w:r>
      <w:r w:rsidR="00D22F1F">
        <w:rPr>
          <w:rFonts w:asciiTheme="minorHAnsi" w:hAnsiTheme="minorHAnsi"/>
          <w:szCs w:val="22"/>
        </w:rPr>
        <w:t>we</w:t>
      </w:r>
      <w:r w:rsidRPr="006074F5">
        <w:rPr>
          <w:rFonts w:asciiTheme="minorHAnsi" w:hAnsiTheme="minorHAnsi"/>
          <w:szCs w:val="22"/>
        </w:rPr>
        <w:t>re:</w:t>
      </w:r>
    </w:p>
    <w:p w:rsidR="00F273C8" w:rsidRPr="006074F5" w:rsidRDefault="00F273C8" w:rsidP="0060639F">
      <w:pPr>
        <w:pStyle w:val="BodyText"/>
        <w:numPr>
          <w:ilvl w:val="0"/>
          <w:numId w:val="32"/>
        </w:numPr>
        <w:ind w:left="-284" w:hanging="283"/>
        <w:rPr>
          <w:rFonts w:asciiTheme="minorHAnsi" w:hAnsiTheme="minorHAnsi"/>
          <w:szCs w:val="22"/>
        </w:rPr>
      </w:pPr>
      <w:r w:rsidRPr="006074F5">
        <w:rPr>
          <w:rFonts w:asciiTheme="minorHAnsi" w:hAnsiTheme="minorHAnsi"/>
          <w:szCs w:val="22"/>
        </w:rPr>
        <w:t>Operating deficits are projected to remain and increase over the forecast period under the ‘Status Quo’ scenario</w:t>
      </w:r>
    </w:p>
    <w:p w:rsidR="00F273C8" w:rsidRPr="006074F5" w:rsidRDefault="00F273C8" w:rsidP="0060639F">
      <w:pPr>
        <w:pStyle w:val="BodyText"/>
        <w:numPr>
          <w:ilvl w:val="0"/>
          <w:numId w:val="32"/>
        </w:numPr>
        <w:ind w:left="-284" w:hanging="283"/>
        <w:rPr>
          <w:rFonts w:asciiTheme="minorHAnsi" w:hAnsiTheme="minorHAnsi"/>
          <w:szCs w:val="22"/>
        </w:rPr>
      </w:pPr>
      <w:r w:rsidRPr="006074F5">
        <w:rPr>
          <w:rFonts w:asciiTheme="minorHAnsi" w:hAnsiTheme="minorHAnsi"/>
          <w:szCs w:val="22"/>
        </w:rPr>
        <w:t>Council has modelled three alternative SV scenarios of varying amounts to indicate the financial benefit of Council receiving an approved SV application</w:t>
      </w:r>
    </w:p>
    <w:p w:rsidR="00F273C8" w:rsidRPr="006074F5" w:rsidRDefault="00F273C8" w:rsidP="0060639F">
      <w:pPr>
        <w:pStyle w:val="BodyText"/>
        <w:numPr>
          <w:ilvl w:val="0"/>
          <w:numId w:val="32"/>
        </w:numPr>
        <w:ind w:left="-284" w:hanging="283"/>
        <w:rPr>
          <w:rFonts w:asciiTheme="minorHAnsi" w:hAnsiTheme="minorHAnsi"/>
          <w:szCs w:val="22"/>
        </w:rPr>
      </w:pPr>
      <w:r w:rsidRPr="006074F5">
        <w:rPr>
          <w:rFonts w:asciiTheme="minorHAnsi" w:hAnsiTheme="minorHAnsi"/>
          <w:szCs w:val="22"/>
        </w:rPr>
        <w:t>Council has listed a summary of strategic actions that cover various options to raise revenues, provide efficiencies and reduce expenses</w:t>
      </w:r>
    </w:p>
    <w:p w:rsidR="00F273C8" w:rsidRPr="006074F5" w:rsidRDefault="00F273C8" w:rsidP="0060639F">
      <w:pPr>
        <w:pStyle w:val="BodyText"/>
        <w:numPr>
          <w:ilvl w:val="0"/>
          <w:numId w:val="32"/>
        </w:numPr>
        <w:ind w:left="-284" w:hanging="283"/>
        <w:rPr>
          <w:rFonts w:asciiTheme="minorHAnsi" w:hAnsiTheme="minorHAnsi"/>
          <w:szCs w:val="22"/>
        </w:rPr>
      </w:pPr>
      <w:r w:rsidRPr="006074F5">
        <w:rPr>
          <w:rFonts w:asciiTheme="minorHAnsi" w:hAnsiTheme="minorHAnsi"/>
          <w:szCs w:val="22"/>
        </w:rPr>
        <w:t>Council’s liquidity is projected to continue to be adequate but with limited flexibility with a forecast Unrestricted Current Ratio below the 1.50x benchmark in each year</w:t>
      </w:r>
    </w:p>
    <w:p w:rsidR="00F273C8" w:rsidRPr="006074F5" w:rsidRDefault="006074F5" w:rsidP="00D22F1F">
      <w:pPr>
        <w:pStyle w:val="BodyText"/>
        <w:ind w:left="-567"/>
        <w:rPr>
          <w:rFonts w:asciiTheme="minorHAnsi" w:hAnsiTheme="minorHAnsi"/>
          <w:szCs w:val="22"/>
        </w:rPr>
      </w:pPr>
      <w:r>
        <w:rPr>
          <w:rFonts w:asciiTheme="minorHAnsi" w:hAnsiTheme="minorHAnsi"/>
          <w:szCs w:val="22"/>
        </w:rPr>
        <w:t xml:space="preserve">TCorp </w:t>
      </w:r>
      <w:r w:rsidR="001F565A">
        <w:rPr>
          <w:rFonts w:asciiTheme="minorHAnsi" w:hAnsiTheme="minorHAnsi"/>
          <w:szCs w:val="22"/>
        </w:rPr>
        <w:t>also</w:t>
      </w:r>
      <w:r>
        <w:rPr>
          <w:rFonts w:asciiTheme="minorHAnsi" w:hAnsiTheme="minorHAnsi"/>
          <w:szCs w:val="22"/>
        </w:rPr>
        <w:t xml:space="preserve"> stated that</w:t>
      </w:r>
      <w:r w:rsidR="00F273C8" w:rsidRPr="006074F5">
        <w:rPr>
          <w:rFonts w:asciiTheme="minorHAnsi" w:hAnsiTheme="minorHAnsi"/>
          <w:szCs w:val="22"/>
        </w:rPr>
        <w:t xml:space="preserve"> if Council is successful with one of the possible SV applications then they may have the capacity to undertake additional borrowings.  Until the details of any approved SV’s are available it is not considered prudent to recommend any additional borrowings.  </w:t>
      </w:r>
    </w:p>
    <w:p w:rsidR="00F273C8" w:rsidRPr="006074F5" w:rsidRDefault="00F273C8" w:rsidP="00D94E3C">
      <w:pPr>
        <w:pStyle w:val="BodyText"/>
        <w:ind w:left="-284" w:hanging="283"/>
        <w:rPr>
          <w:rFonts w:asciiTheme="minorHAnsi" w:hAnsiTheme="minorHAnsi"/>
          <w:szCs w:val="22"/>
        </w:rPr>
      </w:pPr>
      <w:r w:rsidRPr="006074F5">
        <w:rPr>
          <w:rFonts w:asciiTheme="minorHAnsi" w:hAnsiTheme="minorHAnsi"/>
          <w:szCs w:val="22"/>
        </w:rPr>
        <w:t>In respect of the long term Sustainability of the Co</w:t>
      </w:r>
      <w:r w:rsidR="006074F5">
        <w:rPr>
          <w:rFonts w:asciiTheme="minorHAnsi" w:hAnsiTheme="minorHAnsi"/>
          <w:szCs w:val="22"/>
        </w:rPr>
        <w:t>uncil TCorp’s</w:t>
      </w:r>
      <w:r w:rsidRPr="006074F5">
        <w:rPr>
          <w:rFonts w:asciiTheme="minorHAnsi" w:hAnsiTheme="minorHAnsi"/>
          <w:szCs w:val="22"/>
        </w:rPr>
        <w:t xml:space="preserve"> key observations </w:t>
      </w:r>
      <w:r w:rsidR="006074F5">
        <w:rPr>
          <w:rFonts w:asciiTheme="minorHAnsi" w:hAnsiTheme="minorHAnsi"/>
          <w:szCs w:val="22"/>
        </w:rPr>
        <w:t>we</w:t>
      </w:r>
      <w:r w:rsidRPr="006074F5">
        <w:rPr>
          <w:rFonts w:asciiTheme="minorHAnsi" w:hAnsiTheme="minorHAnsi"/>
          <w:szCs w:val="22"/>
        </w:rPr>
        <w:t>re:</w:t>
      </w:r>
    </w:p>
    <w:p w:rsidR="00F273C8" w:rsidRPr="006074F5" w:rsidRDefault="00F273C8" w:rsidP="0060639F">
      <w:pPr>
        <w:pStyle w:val="BodyText"/>
        <w:numPr>
          <w:ilvl w:val="0"/>
          <w:numId w:val="33"/>
        </w:numPr>
        <w:ind w:left="-284" w:hanging="283"/>
        <w:rPr>
          <w:rFonts w:asciiTheme="minorHAnsi" w:hAnsiTheme="minorHAnsi"/>
          <w:szCs w:val="22"/>
        </w:rPr>
      </w:pPr>
      <w:r w:rsidRPr="006074F5">
        <w:rPr>
          <w:rFonts w:asciiTheme="minorHAnsi" w:hAnsiTheme="minorHAnsi"/>
          <w:szCs w:val="22"/>
        </w:rPr>
        <w:t xml:space="preserve">Based on Council’s LTFP, Council has forecast increasing operating deficits which is Unsustainable.  The current service levels cannot be maintained with the existing revenue and expense base.  </w:t>
      </w:r>
    </w:p>
    <w:p w:rsidR="00F273C8" w:rsidRPr="006074F5" w:rsidRDefault="00F273C8" w:rsidP="0060639F">
      <w:pPr>
        <w:pStyle w:val="BodyText"/>
        <w:numPr>
          <w:ilvl w:val="0"/>
          <w:numId w:val="33"/>
        </w:numPr>
        <w:ind w:left="-284" w:hanging="283"/>
        <w:rPr>
          <w:rFonts w:asciiTheme="minorHAnsi" w:hAnsiTheme="minorHAnsi"/>
          <w:szCs w:val="22"/>
        </w:rPr>
      </w:pPr>
      <w:r w:rsidRPr="006074F5">
        <w:rPr>
          <w:rFonts w:asciiTheme="minorHAnsi" w:hAnsiTheme="minorHAnsi"/>
          <w:szCs w:val="22"/>
        </w:rPr>
        <w:t>The current forecast LTFP will likely lead to a deterioration of Council’s asset base</w:t>
      </w:r>
    </w:p>
    <w:p w:rsidR="00F273C8" w:rsidRPr="006074F5" w:rsidRDefault="00F273C8" w:rsidP="0060639F">
      <w:pPr>
        <w:pStyle w:val="BodyText"/>
        <w:numPr>
          <w:ilvl w:val="0"/>
          <w:numId w:val="33"/>
        </w:numPr>
        <w:ind w:left="-284" w:hanging="283"/>
        <w:rPr>
          <w:rFonts w:asciiTheme="minorHAnsi" w:hAnsiTheme="minorHAnsi"/>
          <w:szCs w:val="22"/>
        </w:rPr>
      </w:pPr>
      <w:r w:rsidRPr="006074F5">
        <w:rPr>
          <w:rFonts w:asciiTheme="minorHAnsi" w:hAnsiTheme="minorHAnsi"/>
          <w:szCs w:val="22"/>
        </w:rPr>
        <w:t>It is important that Council reviews all the possible options to raise revenues and decrease expenses in order to improve their future financial position</w:t>
      </w:r>
    </w:p>
    <w:p w:rsidR="00F273C8" w:rsidRPr="006074F5" w:rsidRDefault="00F273C8" w:rsidP="0060639F">
      <w:pPr>
        <w:pStyle w:val="BodyText"/>
        <w:numPr>
          <w:ilvl w:val="0"/>
          <w:numId w:val="33"/>
        </w:numPr>
        <w:ind w:left="-284" w:hanging="283"/>
        <w:rPr>
          <w:rFonts w:asciiTheme="minorHAnsi" w:hAnsiTheme="minorHAnsi"/>
          <w:szCs w:val="22"/>
        </w:rPr>
      </w:pPr>
      <w:r w:rsidRPr="006074F5">
        <w:rPr>
          <w:rFonts w:asciiTheme="minorHAnsi" w:hAnsiTheme="minorHAnsi"/>
          <w:szCs w:val="22"/>
        </w:rPr>
        <w:t xml:space="preserve">Council should continue to explore the viability of a SV application that will increase rates revenue to assist the objective of becoming financially Sustainable in the long term </w:t>
      </w:r>
    </w:p>
    <w:p w:rsidR="00F273C8" w:rsidRPr="006074F5" w:rsidRDefault="00F273C8" w:rsidP="0060639F">
      <w:pPr>
        <w:pStyle w:val="BodyText"/>
        <w:numPr>
          <w:ilvl w:val="0"/>
          <w:numId w:val="33"/>
        </w:numPr>
        <w:ind w:left="-284" w:hanging="283"/>
        <w:rPr>
          <w:rFonts w:asciiTheme="minorHAnsi" w:hAnsiTheme="minorHAnsi"/>
          <w:szCs w:val="22"/>
        </w:rPr>
      </w:pPr>
      <w:r w:rsidRPr="006074F5">
        <w:rPr>
          <w:rFonts w:asciiTheme="minorHAnsi" w:hAnsiTheme="minorHAnsi"/>
          <w:szCs w:val="22"/>
        </w:rPr>
        <w:t>Council needs to follow the summary of strategic actions within the LTFP to enable them to explore the most suitable way to become Sustainable in the long term</w:t>
      </w:r>
    </w:p>
    <w:p w:rsidR="00F273C8" w:rsidRPr="006074F5" w:rsidRDefault="00F273C8" w:rsidP="0060639F">
      <w:pPr>
        <w:pStyle w:val="BodyText"/>
        <w:numPr>
          <w:ilvl w:val="0"/>
          <w:numId w:val="33"/>
        </w:numPr>
        <w:ind w:left="-284" w:hanging="283"/>
        <w:rPr>
          <w:rFonts w:asciiTheme="minorHAnsi" w:hAnsiTheme="minorHAnsi"/>
          <w:szCs w:val="22"/>
        </w:rPr>
      </w:pPr>
      <w:r w:rsidRPr="006074F5">
        <w:rPr>
          <w:rFonts w:asciiTheme="minorHAnsi" w:hAnsiTheme="minorHAnsi"/>
          <w:szCs w:val="22"/>
        </w:rPr>
        <w:t xml:space="preserve">Council has limited financial reserves and does not have sufficient resources to withstand any significant unforeseen financial events </w:t>
      </w:r>
    </w:p>
    <w:p w:rsidR="005D5575" w:rsidRPr="006074F5" w:rsidRDefault="005D5575" w:rsidP="00D94E3C">
      <w:pPr>
        <w:pStyle w:val="BodyText"/>
        <w:ind w:left="-284" w:hanging="283"/>
        <w:rPr>
          <w:rFonts w:asciiTheme="minorHAnsi" w:hAnsiTheme="minorHAnsi" w:cs="Arial"/>
          <w:color w:val="000000"/>
          <w:szCs w:val="22"/>
          <w:u w:val="single"/>
        </w:rPr>
      </w:pPr>
      <w:r w:rsidRPr="006074F5">
        <w:rPr>
          <w:rFonts w:asciiTheme="minorHAnsi" w:hAnsiTheme="minorHAnsi" w:cs="Arial"/>
          <w:color w:val="000000"/>
          <w:szCs w:val="22"/>
          <w:u w:val="single"/>
        </w:rPr>
        <w:t xml:space="preserve">Results of </w:t>
      </w:r>
      <w:r w:rsidR="009C5515" w:rsidRPr="006074F5">
        <w:rPr>
          <w:rFonts w:asciiTheme="minorHAnsi" w:hAnsiTheme="minorHAnsi" w:cs="Arial"/>
          <w:color w:val="000000"/>
          <w:szCs w:val="22"/>
          <w:u w:val="single"/>
        </w:rPr>
        <w:t>modelling</w:t>
      </w:r>
    </w:p>
    <w:p w:rsidR="005D5575" w:rsidRPr="006074F5" w:rsidRDefault="005D5575" w:rsidP="00D94E3C">
      <w:pPr>
        <w:pStyle w:val="BodyText"/>
        <w:ind w:left="-567"/>
        <w:rPr>
          <w:rFonts w:asciiTheme="minorHAnsi" w:hAnsiTheme="minorHAnsi" w:cs="Arial"/>
          <w:color w:val="000000"/>
          <w:szCs w:val="22"/>
        </w:rPr>
      </w:pPr>
      <w:proofErr w:type="spellStart"/>
      <w:r w:rsidRPr="006074F5">
        <w:rPr>
          <w:rFonts w:asciiTheme="minorHAnsi" w:hAnsiTheme="minorHAnsi" w:cs="Arial"/>
          <w:color w:val="000000"/>
          <w:szCs w:val="22"/>
        </w:rPr>
        <w:t>T</w:t>
      </w:r>
      <w:r w:rsidR="00BD5B25">
        <w:rPr>
          <w:rFonts w:asciiTheme="minorHAnsi" w:hAnsiTheme="minorHAnsi" w:cs="Arial"/>
          <w:color w:val="000000"/>
          <w:szCs w:val="22"/>
        </w:rPr>
        <w:t>Corp’s</w:t>
      </w:r>
      <w:proofErr w:type="spellEnd"/>
      <w:r w:rsidRPr="006074F5">
        <w:rPr>
          <w:rFonts w:asciiTheme="minorHAnsi" w:hAnsiTheme="minorHAnsi" w:cs="Arial"/>
          <w:color w:val="000000"/>
          <w:szCs w:val="22"/>
        </w:rPr>
        <w:t xml:space="preserve"> status quo scenario shows increasing cash deficits and infrastructure liabilities for Council over the next 10 years. The forecast predicts cash deficits ranging from $46,000 to $136,000 and, if depreciation is included, deficits will range from $4.8M to $6.7M.</w:t>
      </w:r>
    </w:p>
    <w:p w:rsidR="005D5575" w:rsidRPr="006074F5" w:rsidRDefault="005D5575" w:rsidP="00D94E3C">
      <w:pPr>
        <w:pStyle w:val="BodyText"/>
        <w:ind w:left="-567"/>
        <w:rPr>
          <w:rFonts w:asciiTheme="minorHAnsi" w:hAnsiTheme="minorHAnsi" w:cs="Arial"/>
          <w:color w:val="000000"/>
          <w:szCs w:val="22"/>
        </w:rPr>
      </w:pPr>
      <w:r w:rsidRPr="006074F5">
        <w:rPr>
          <w:rFonts w:asciiTheme="minorHAnsi" w:hAnsiTheme="minorHAnsi" w:cs="Arial"/>
          <w:color w:val="000000"/>
          <w:szCs w:val="22"/>
        </w:rPr>
        <w:t>These deficits vary according to the timing of major infrastructure works and their financing. However, this does not address the significant infrastructure backlog.</w:t>
      </w:r>
    </w:p>
    <w:p w:rsidR="005D5575" w:rsidRPr="006074F5" w:rsidRDefault="005D5575" w:rsidP="00D94E3C">
      <w:pPr>
        <w:pStyle w:val="BodyText"/>
        <w:ind w:left="-567"/>
        <w:rPr>
          <w:rFonts w:asciiTheme="minorHAnsi" w:hAnsiTheme="minorHAnsi" w:cs="Arial"/>
          <w:color w:val="000000"/>
          <w:szCs w:val="22"/>
        </w:rPr>
      </w:pPr>
      <w:r w:rsidRPr="006074F5">
        <w:rPr>
          <w:rFonts w:asciiTheme="minorHAnsi" w:hAnsiTheme="minorHAnsi" w:cs="Arial"/>
          <w:color w:val="000000"/>
          <w:szCs w:val="22"/>
        </w:rPr>
        <w:t>Council’s usual operations, with minimal capital works, are not sustainable in the longer term</w:t>
      </w:r>
      <w:r w:rsidRPr="006074F5">
        <w:rPr>
          <w:rFonts w:asciiTheme="minorHAnsi" w:hAnsiTheme="minorHAnsi" w:cs="Arial"/>
          <w:i/>
          <w:iCs/>
          <w:color w:val="000000"/>
          <w:szCs w:val="22"/>
        </w:rPr>
        <w:t xml:space="preserve">, </w:t>
      </w:r>
      <w:r w:rsidRPr="006074F5">
        <w:rPr>
          <w:rFonts w:asciiTheme="minorHAnsi" w:hAnsiTheme="minorHAnsi" w:cs="Arial"/>
          <w:color w:val="000000"/>
          <w:szCs w:val="22"/>
        </w:rPr>
        <w:t>given increasing inflationary costs such as materials, electricity, fuel and wages. Compounded by the need to find extra resources for improved infrastructure management, the status quo scenario would result in serious economic and community impacts for the shire over the longer term.</w:t>
      </w:r>
    </w:p>
    <w:p w:rsidR="00D94E3C" w:rsidRDefault="00D94E3C" w:rsidP="004C54D4">
      <w:pPr>
        <w:pStyle w:val="BodyText"/>
        <w:rPr>
          <w:rFonts w:asciiTheme="minorHAnsi" w:hAnsiTheme="minorHAnsi" w:cs="Arial"/>
          <w:color w:val="000000"/>
          <w:szCs w:val="22"/>
          <w:u w:val="single"/>
        </w:rPr>
      </w:pPr>
    </w:p>
    <w:p w:rsidR="005D5575" w:rsidRPr="006074F5" w:rsidRDefault="005D5575" w:rsidP="004C54D4">
      <w:pPr>
        <w:pStyle w:val="BodyText"/>
        <w:rPr>
          <w:rFonts w:asciiTheme="minorHAnsi" w:hAnsiTheme="minorHAnsi" w:cs="Arial"/>
          <w:color w:val="000000"/>
          <w:szCs w:val="22"/>
          <w:u w:val="single"/>
        </w:rPr>
      </w:pPr>
      <w:r w:rsidRPr="006074F5">
        <w:rPr>
          <w:rFonts w:asciiTheme="minorHAnsi" w:hAnsiTheme="minorHAnsi" w:cs="Arial"/>
          <w:color w:val="000000"/>
          <w:szCs w:val="22"/>
          <w:u w:val="single"/>
        </w:rPr>
        <w:lastRenderedPageBreak/>
        <w:t>Impact on infrastructure</w:t>
      </w:r>
    </w:p>
    <w:p w:rsidR="005D5575" w:rsidRPr="006074F5" w:rsidRDefault="005D5575" w:rsidP="004C54D4">
      <w:pPr>
        <w:pStyle w:val="BodyText"/>
        <w:rPr>
          <w:rFonts w:asciiTheme="minorHAnsi" w:hAnsiTheme="minorHAnsi" w:cs="Arial"/>
          <w:color w:val="000000"/>
          <w:szCs w:val="22"/>
        </w:rPr>
      </w:pPr>
      <w:r w:rsidRPr="006074F5">
        <w:rPr>
          <w:rFonts w:asciiTheme="minorHAnsi" w:hAnsiTheme="minorHAnsi" w:cs="Arial"/>
          <w:color w:val="000000"/>
          <w:szCs w:val="22"/>
        </w:rPr>
        <w:t>The model shows a cumulative infrastructure maintenance shortfall of $53.7M over the next 10 years, being $50M for Transport infrastructure, $2.5M for Recreational Facilities and $1.2M for Buildings. This will result in some 20% of the Shire’s depreciating infrastructure base falling to below the minimum standard by 2022.</w:t>
      </w:r>
    </w:p>
    <w:p w:rsidR="005D5575" w:rsidRPr="006074F5" w:rsidRDefault="005D5575" w:rsidP="004C54D4">
      <w:pPr>
        <w:pStyle w:val="BodyText"/>
        <w:rPr>
          <w:rFonts w:asciiTheme="minorHAnsi" w:hAnsiTheme="minorHAnsi" w:cs="Arial"/>
          <w:color w:val="000000"/>
          <w:szCs w:val="22"/>
        </w:rPr>
      </w:pPr>
      <w:r w:rsidRPr="006074F5">
        <w:rPr>
          <w:rFonts w:asciiTheme="minorHAnsi" w:hAnsiTheme="minorHAnsi" w:cs="Arial"/>
          <w:color w:val="000000"/>
          <w:szCs w:val="22"/>
        </w:rPr>
        <w:t>At these levels, economic and community activities within the shire will be significantly impacted. Road standards will deteriorate and the possibility of critical failure of wooden bridges will increase.</w:t>
      </w:r>
    </w:p>
    <w:p w:rsidR="005D5575" w:rsidRDefault="006074F5" w:rsidP="004C54D4">
      <w:pPr>
        <w:pStyle w:val="BodyText"/>
        <w:rPr>
          <w:rFonts w:asciiTheme="minorHAnsi" w:hAnsiTheme="minorHAnsi" w:cs="Arial"/>
          <w:color w:val="000000"/>
          <w:szCs w:val="22"/>
        </w:rPr>
      </w:pPr>
      <w:r>
        <w:rPr>
          <w:rFonts w:asciiTheme="minorHAnsi" w:hAnsiTheme="minorHAnsi" w:cs="Arial"/>
          <w:color w:val="000000"/>
          <w:szCs w:val="22"/>
        </w:rPr>
        <w:t>TCorp concluded that t</w:t>
      </w:r>
      <w:r w:rsidR="005D5575" w:rsidRPr="006074F5">
        <w:rPr>
          <w:rFonts w:asciiTheme="minorHAnsi" w:hAnsiTheme="minorHAnsi" w:cs="Arial"/>
          <w:color w:val="000000"/>
          <w:szCs w:val="22"/>
        </w:rPr>
        <w:t>he status quo scenario does not reflect the best community outcomes for the Shire and would limit Council’s capacity to provide sound governance and responsible management of community resources in</w:t>
      </w:r>
      <w:r>
        <w:rPr>
          <w:rFonts w:asciiTheme="minorHAnsi" w:hAnsiTheme="minorHAnsi" w:cs="Arial"/>
          <w:color w:val="000000"/>
          <w:szCs w:val="22"/>
        </w:rPr>
        <w:t xml:space="preserve"> </w:t>
      </w:r>
      <w:r w:rsidR="005D5575" w:rsidRPr="006074F5">
        <w:rPr>
          <w:rFonts w:asciiTheme="minorHAnsi" w:hAnsiTheme="minorHAnsi" w:cs="Arial"/>
          <w:color w:val="000000"/>
          <w:szCs w:val="22"/>
        </w:rPr>
        <w:t>the coming years.</w:t>
      </w:r>
    </w:p>
    <w:p w:rsidR="00BD5B25" w:rsidRPr="00C44235" w:rsidRDefault="00BD5B25" w:rsidP="00BD5B25">
      <w:pPr>
        <w:pStyle w:val="BodyText"/>
        <w:rPr>
          <w:rFonts w:asciiTheme="minorHAnsi" w:hAnsiTheme="minorHAnsi" w:cs="Arial"/>
          <w:color w:val="000000"/>
          <w:szCs w:val="22"/>
        </w:rPr>
      </w:pPr>
      <w:r w:rsidRPr="00C44235">
        <w:rPr>
          <w:rFonts w:asciiTheme="minorHAnsi" w:hAnsiTheme="minorHAnsi" w:cs="Arial"/>
          <w:color w:val="000000"/>
          <w:szCs w:val="22"/>
        </w:rPr>
        <w:t xml:space="preserve">The assessment by </w:t>
      </w:r>
      <w:proofErr w:type="spellStart"/>
      <w:r w:rsidRPr="00C44235">
        <w:rPr>
          <w:rFonts w:asciiTheme="minorHAnsi" w:hAnsiTheme="minorHAnsi" w:cs="Arial"/>
          <w:color w:val="000000"/>
          <w:szCs w:val="22"/>
        </w:rPr>
        <w:t>TCorp</w:t>
      </w:r>
      <w:proofErr w:type="spellEnd"/>
      <w:r w:rsidRPr="00C44235">
        <w:rPr>
          <w:rFonts w:asciiTheme="minorHAnsi" w:hAnsiTheme="minorHAnsi" w:cs="Arial"/>
          <w:color w:val="000000"/>
          <w:szCs w:val="22"/>
        </w:rPr>
        <w:t xml:space="preserve"> did not surprise. Council is aware of the financial situation and is working </w:t>
      </w:r>
      <w:r>
        <w:rPr>
          <w:rFonts w:asciiTheme="minorHAnsi" w:hAnsiTheme="minorHAnsi" w:cs="Arial"/>
          <w:color w:val="000000"/>
          <w:szCs w:val="22"/>
        </w:rPr>
        <w:t>to solve its sustainability problem</w:t>
      </w:r>
      <w:r w:rsidRPr="00C44235">
        <w:rPr>
          <w:rFonts w:asciiTheme="minorHAnsi" w:hAnsiTheme="minorHAnsi" w:cs="Arial"/>
          <w:color w:val="000000"/>
          <w:szCs w:val="22"/>
        </w:rPr>
        <w:t xml:space="preserve"> which is also </w:t>
      </w:r>
      <w:r>
        <w:rPr>
          <w:rFonts w:asciiTheme="minorHAnsi" w:hAnsiTheme="minorHAnsi" w:cs="Arial"/>
          <w:color w:val="000000"/>
          <w:szCs w:val="22"/>
        </w:rPr>
        <w:t xml:space="preserve">a </w:t>
      </w:r>
      <w:r w:rsidRPr="00C44235">
        <w:rPr>
          <w:rFonts w:asciiTheme="minorHAnsi" w:hAnsiTheme="minorHAnsi" w:cs="Arial"/>
          <w:color w:val="000000"/>
          <w:szCs w:val="22"/>
        </w:rPr>
        <w:t>central element of the LG Review.</w:t>
      </w:r>
      <w:r>
        <w:rPr>
          <w:rFonts w:asciiTheme="minorHAnsi" w:hAnsiTheme="minorHAnsi" w:cs="Arial"/>
          <w:color w:val="000000"/>
          <w:szCs w:val="22"/>
        </w:rPr>
        <w:t xml:space="preserve"> Modelled solutions were developed that considered all efficiency and revenue options. These are shown in the following section.</w:t>
      </w:r>
    </w:p>
    <w:p w:rsidR="00BD5B25" w:rsidRPr="006074F5" w:rsidRDefault="00BD5B25" w:rsidP="00D22F1F">
      <w:pPr>
        <w:pStyle w:val="BodyText"/>
        <w:pBdr>
          <w:bottom w:val="single" w:sz="4" w:space="1" w:color="auto"/>
        </w:pBdr>
        <w:rPr>
          <w:rFonts w:asciiTheme="minorHAnsi" w:hAnsiTheme="minorHAnsi" w:cs="Arial"/>
          <w:color w:val="000000"/>
          <w:szCs w:val="22"/>
        </w:rPr>
      </w:pPr>
    </w:p>
    <w:p w:rsidR="00576F7F" w:rsidRDefault="00576F7F" w:rsidP="00576F7F">
      <w:pPr>
        <w:pStyle w:val="Heading2"/>
      </w:pPr>
      <w:bookmarkStart w:id="20" w:name="_Toc401138369"/>
      <w:r>
        <w:t>Financial indicators</w:t>
      </w:r>
      <w:bookmarkEnd w:id="20"/>
    </w:p>
    <w:p w:rsidR="00D60EA5" w:rsidRDefault="00D60EA5" w:rsidP="00D60EA5">
      <w:pPr>
        <w:pStyle w:val="BodyText"/>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266497" w:rsidRDefault="00D60EA5" w:rsidP="00D60EA5">
      <w:pPr>
        <w:pStyle w:val="ListBullet"/>
      </w:pPr>
      <w:r w:rsidRPr="00761C02">
        <w:t xml:space="preserve">Operating balance ratio </w:t>
      </w:r>
      <w:r>
        <w:t xml:space="preserve">excluding capital items (ie,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D22F1F" w:rsidRDefault="00D22F1F" w:rsidP="00D22F1F">
      <w:pPr>
        <w:pStyle w:val="ListBullet"/>
        <w:numPr>
          <w:ilvl w:val="0"/>
          <w:numId w:val="0"/>
        </w:numPr>
        <w:pBdr>
          <w:bottom w:val="single" w:sz="4" w:space="1" w:color="auto"/>
        </w:pBdr>
        <w:ind w:left="284"/>
      </w:pPr>
    </w:p>
    <w:p w:rsidR="0091004C" w:rsidRPr="006941B1" w:rsidRDefault="0091004C" w:rsidP="00546232">
      <w:pPr>
        <w:pStyle w:val="BodyText"/>
        <w:rPr>
          <w:rFonts w:asciiTheme="minorHAnsi" w:hAnsiTheme="minorHAnsi"/>
          <w:b/>
          <w:szCs w:val="22"/>
        </w:rPr>
      </w:pPr>
      <w:bookmarkStart w:id="21" w:name="_Toc330915496"/>
      <w:bookmarkStart w:id="22" w:name="_Toc334702520"/>
      <w:r w:rsidRPr="006941B1">
        <w:rPr>
          <w:rFonts w:asciiTheme="minorHAnsi" w:hAnsiTheme="minorHAnsi"/>
          <w:b/>
          <w:szCs w:val="22"/>
        </w:rPr>
        <w:t>Review of Financial Forecasts</w:t>
      </w:r>
      <w:bookmarkEnd w:id="21"/>
      <w:bookmarkEnd w:id="22"/>
    </w:p>
    <w:p w:rsidR="00D22F1F" w:rsidRDefault="00863302" w:rsidP="00546232">
      <w:pPr>
        <w:pStyle w:val="BodyText"/>
        <w:rPr>
          <w:rFonts w:asciiTheme="minorHAnsi" w:hAnsiTheme="minorHAnsi" w:cs="Arial"/>
          <w:szCs w:val="22"/>
        </w:rPr>
      </w:pPr>
      <w:r w:rsidRPr="006941B1">
        <w:rPr>
          <w:rFonts w:asciiTheme="minorHAnsi" w:hAnsiTheme="minorHAnsi" w:cs="Arial"/>
          <w:szCs w:val="22"/>
        </w:rPr>
        <w:t xml:space="preserve">Council has modelled 3 </w:t>
      </w:r>
      <w:r w:rsidR="00D22F1F">
        <w:rPr>
          <w:rFonts w:asciiTheme="minorHAnsi" w:hAnsiTheme="minorHAnsi" w:cs="Arial"/>
          <w:szCs w:val="22"/>
        </w:rPr>
        <w:t xml:space="preserve">forecast </w:t>
      </w:r>
      <w:r w:rsidRPr="006941B1">
        <w:rPr>
          <w:rFonts w:asciiTheme="minorHAnsi" w:hAnsiTheme="minorHAnsi" w:cs="Arial"/>
          <w:szCs w:val="22"/>
        </w:rPr>
        <w:t xml:space="preserve">scenarios: </w:t>
      </w:r>
    </w:p>
    <w:p w:rsidR="00D22F1F" w:rsidRDefault="00863302" w:rsidP="0060639F">
      <w:pPr>
        <w:pStyle w:val="BodyText"/>
        <w:numPr>
          <w:ilvl w:val="0"/>
          <w:numId w:val="58"/>
        </w:numPr>
        <w:spacing w:before="0" w:line="240" w:lineRule="auto"/>
        <w:rPr>
          <w:rFonts w:asciiTheme="minorHAnsi" w:hAnsiTheme="minorHAnsi" w:cs="Arial"/>
          <w:szCs w:val="22"/>
        </w:rPr>
      </w:pPr>
      <w:r w:rsidRPr="006941B1">
        <w:rPr>
          <w:rFonts w:asciiTheme="minorHAnsi" w:hAnsiTheme="minorHAnsi" w:cs="Arial"/>
          <w:szCs w:val="22"/>
        </w:rPr>
        <w:t xml:space="preserve">one based on the status quo position, </w:t>
      </w:r>
    </w:p>
    <w:p w:rsidR="00D22F1F" w:rsidRDefault="00863302" w:rsidP="0060639F">
      <w:pPr>
        <w:pStyle w:val="BodyText"/>
        <w:numPr>
          <w:ilvl w:val="0"/>
          <w:numId w:val="58"/>
        </w:numPr>
        <w:spacing w:before="0" w:line="240" w:lineRule="auto"/>
        <w:rPr>
          <w:rFonts w:asciiTheme="minorHAnsi" w:hAnsiTheme="minorHAnsi" w:cs="Arial"/>
          <w:szCs w:val="22"/>
        </w:rPr>
      </w:pPr>
      <w:r w:rsidRPr="006941B1">
        <w:rPr>
          <w:rFonts w:asciiTheme="minorHAnsi" w:hAnsiTheme="minorHAnsi" w:cs="Arial"/>
          <w:szCs w:val="22"/>
        </w:rPr>
        <w:t xml:space="preserve">one on an 18% cumulative SV for 5 years and </w:t>
      </w:r>
    </w:p>
    <w:p w:rsidR="00D22F1F" w:rsidRDefault="00863302" w:rsidP="0060639F">
      <w:pPr>
        <w:pStyle w:val="BodyText"/>
        <w:numPr>
          <w:ilvl w:val="0"/>
          <w:numId w:val="58"/>
        </w:numPr>
        <w:spacing w:before="0" w:line="240" w:lineRule="auto"/>
        <w:rPr>
          <w:rFonts w:asciiTheme="minorHAnsi" w:hAnsiTheme="minorHAnsi" w:cs="Arial"/>
          <w:szCs w:val="22"/>
        </w:rPr>
      </w:pPr>
      <w:proofErr w:type="gramStart"/>
      <w:r w:rsidRPr="006941B1">
        <w:rPr>
          <w:rFonts w:asciiTheme="minorHAnsi" w:hAnsiTheme="minorHAnsi" w:cs="Arial"/>
          <w:szCs w:val="22"/>
        </w:rPr>
        <w:t>one</w:t>
      </w:r>
      <w:proofErr w:type="gramEnd"/>
      <w:r w:rsidRPr="006941B1">
        <w:rPr>
          <w:rFonts w:asciiTheme="minorHAnsi" w:hAnsiTheme="minorHAnsi" w:cs="Arial"/>
          <w:szCs w:val="22"/>
        </w:rPr>
        <w:t xml:space="preserve"> based on our adopted approach of a 13% cumulative for 3 years. </w:t>
      </w:r>
    </w:p>
    <w:p w:rsidR="00863302" w:rsidRPr="006941B1" w:rsidRDefault="00863302" w:rsidP="00D22F1F">
      <w:pPr>
        <w:pStyle w:val="BodyText"/>
        <w:ind w:left="-567"/>
        <w:rPr>
          <w:rFonts w:asciiTheme="minorHAnsi" w:hAnsiTheme="minorHAnsi" w:cs="Arial"/>
          <w:szCs w:val="22"/>
        </w:rPr>
      </w:pPr>
      <w:r w:rsidRPr="006941B1">
        <w:rPr>
          <w:rFonts w:asciiTheme="minorHAnsi" w:hAnsiTheme="minorHAnsi" w:cs="Arial"/>
          <w:szCs w:val="22"/>
        </w:rPr>
        <w:lastRenderedPageBreak/>
        <w:t>These SVs are inclusive of the rate pegged CPI increase.</w:t>
      </w:r>
    </w:p>
    <w:p w:rsidR="00863302" w:rsidRPr="006941B1" w:rsidRDefault="00B34981" w:rsidP="00D94E3C">
      <w:pPr>
        <w:pStyle w:val="BodyText"/>
        <w:ind w:left="-567"/>
        <w:rPr>
          <w:rFonts w:asciiTheme="minorHAnsi" w:hAnsiTheme="minorHAnsi" w:cs="Arial"/>
          <w:szCs w:val="22"/>
          <w:u w:val="single"/>
        </w:rPr>
      </w:pPr>
      <w:r w:rsidRPr="006941B1">
        <w:rPr>
          <w:rFonts w:asciiTheme="minorHAnsi" w:hAnsiTheme="minorHAnsi" w:cs="Arial"/>
          <w:szCs w:val="22"/>
          <w:u w:val="single"/>
        </w:rPr>
        <w:t>Status Quo</w:t>
      </w:r>
    </w:p>
    <w:p w:rsidR="00863302" w:rsidRPr="006941B1" w:rsidRDefault="00863302" w:rsidP="00D94E3C">
      <w:pPr>
        <w:pStyle w:val="BodyText"/>
        <w:ind w:left="-567"/>
        <w:rPr>
          <w:rFonts w:asciiTheme="minorHAnsi" w:hAnsiTheme="minorHAnsi"/>
          <w:szCs w:val="22"/>
          <w:lang w:val="en-US"/>
        </w:rPr>
      </w:pPr>
      <w:r w:rsidRPr="006941B1">
        <w:rPr>
          <w:rFonts w:asciiTheme="minorHAnsi" w:hAnsiTheme="minorHAnsi"/>
          <w:szCs w:val="22"/>
          <w:lang w:val="en-US"/>
        </w:rPr>
        <w:t xml:space="preserve">The status quo forecasts that for  FY2016 Council will suffer a $3.169m loss before capital grants and gains on disposals of assets. This is a negative 26.25% operating ratio. The target for the operating ratio is to break even or better. Under the status quo scenario Council will have a continuing average loss of more than $3m each year of the 10 year Plan. The result sees a continuing negative operating ratio,  which improves slightly over the 10 year period due to a reducing depreciation spend. </w:t>
      </w:r>
    </w:p>
    <w:p w:rsidR="00863302" w:rsidRPr="006941B1" w:rsidRDefault="00863302" w:rsidP="00D94E3C">
      <w:pPr>
        <w:pStyle w:val="BodyText"/>
        <w:ind w:left="-567"/>
        <w:rPr>
          <w:rFonts w:asciiTheme="minorHAnsi" w:hAnsiTheme="minorHAnsi"/>
          <w:szCs w:val="22"/>
          <w:lang w:val="en-US"/>
        </w:rPr>
      </w:pPr>
      <w:r w:rsidRPr="006941B1">
        <w:rPr>
          <w:rFonts w:asciiTheme="minorHAnsi" w:hAnsiTheme="minorHAnsi"/>
          <w:szCs w:val="22"/>
          <w:lang w:val="en-US"/>
        </w:rPr>
        <w:t>Depreciation is reducing because more assets are reaching the end of their useful lives and are not being renewed through a capital works program. This is reflected in the building and infrastructure asset renewal ratio which</w:t>
      </w:r>
      <w:r w:rsidR="00BD5B25">
        <w:rPr>
          <w:rFonts w:asciiTheme="minorHAnsi" w:hAnsiTheme="minorHAnsi"/>
          <w:szCs w:val="22"/>
          <w:lang w:val="en-US"/>
        </w:rPr>
        <w:t>,</w:t>
      </w:r>
      <w:r w:rsidRPr="006941B1">
        <w:rPr>
          <w:rFonts w:asciiTheme="minorHAnsi" w:hAnsiTheme="minorHAnsi"/>
          <w:szCs w:val="22"/>
          <w:lang w:val="en-US"/>
        </w:rPr>
        <w:t xml:space="preserve"> going forward from FY2015 year, sits at around a negative 50% when the target is between 90-100% (or 100% average over 3 years).</w:t>
      </w:r>
    </w:p>
    <w:p w:rsidR="00863302" w:rsidRPr="006941B1" w:rsidRDefault="00863302" w:rsidP="00D94E3C">
      <w:pPr>
        <w:pStyle w:val="BodyText"/>
        <w:ind w:left="-567"/>
        <w:rPr>
          <w:rFonts w:asciiTheme="minorHAnsi" w:hAnsiTheme="minorHAnsi"/>
          <w:szCs w:val="22"/>
          <w:lang w:val="en-US"/>
        </w:rPr>
      </w:pPr>
      <w:r w:rsidRPr="006941B1">
        <w:rPr>
          <w:rFonts w:asciiTheme="minorHAnsi" w:hAnsiTheme="minorHAnsi"/>
          <w:szCs w:val="22"/>
          <w:lang w:val="en-US"/>
        </w:rPr>
        <w:t xml:space="preserve">As no new loans have been factored into the LTFP the Debt Service Cover ratio sits at a comfortable level, well within the target. Loans are considered to accelerate a capital works program, however this needs to be balanced between the low level of maintenance Council is currently able to allocate and the additional interest and capital repayments which would be payable on a loan. </w:t>
      </w:r>
    </w:p>
    <w:p w:rsidR="00863302" w:rsidRPr="006941B1" w:rsidRDefault="00863302" w:rsidP="00D94E3C">
      <w:pPr>
        <w:pStyle w:val="BodyText"/>
        <w:ind w:left="-567"/>
        <w:rPr>
          <w:rFonts w:asciiTheme="minorHAnsi" w:hAnsiTheme="minorHAnsi"/>
          <w:szCs w:val="22"/>
        </w:rPr>
      </w:pPr>
      <w:r w:rsidRPr="006941B1">
        <w:rPr>
          <w:rFonts w:asciiTheme="minorHAnsi" w:hAnsiTheme="minorHAnsi"/>
          <w:szCs w:val="22"/>
        </w:rPr>
        <w:t>Assets will continue to deteriorate as funds will not be available to renew them. This in turn increases Council's public liability as some road assets for example may become dangerous and subject to closure or not be maintained.</w:t>
      </w:r>
    </w:p>
    <w:p w:rsidR="00863302" w:rsidRPr="006941B1" w:rsidRDefault="00863302" w:rsidP="00D94E3C">
      <w:pPr>
        <w:pStyle w:val="BodyText"/>
        <w:ind w:left="-567"/>
        <w:rPr>
          <w:rFonts w:asciiTheme="minorHAnsi" w:hAnsiTheme="minorHAnsi"/>
          <w:szCs w:val="22"/>
        </w:rPr>
      </w:pPr>
      <w:r w:rsidRPr="006941B1">
        <w:rPr>
          <w:rFonts w:asciiTheme="minorHAnsi" w:hAnsiTheme="minorHAnsi"/>
          <w:szCs w:val="22"/>
        </w:rPr>
        <w:t>As assets deteriorate they will require further funds to be spent on operations such as inspections, and unbudgeted reactive work to fix deteriorated assets. Possible claims could result from unmaintained assets.</w:t>
      </w:r>
    </w:p>
    <w:p w:rsidR="00863302" w:rsidRPr="006941B1" w:rsidRDefault="00863302" w:rsidP="00D94E3C">
      <w:pPr>
        <w:pStyle w:val="BodyText"/>
        <w:ind w:left="-567"/>
        <w:rPr>
          <w:rFonts w:asciiTheme="minorHAnsi" w:hAnsiTheme="minorHAnsi"/>
          <w:szCs w:val="22"/>
        </w:rPr>
      </w:pPr>
      <w:r w:rsidRPr="006941B1">
        <w:rPr>
          <w:rFonts w:asciiTheme="minorHAnsi" w:hAnsiTheme="minorHAnsi"/>
          <w:szCs w:val="22"/>
        </w:rPr>
        <w:t>As staff time is taken up with reactive works, less time will be able to be spent on implementing Council’s action plan. This could create a difficult downward spiral of diminishing returns.</w:t>
      </w:r>
    </w:p>
    <w:p w:rsidR="00863302" w:rsidRDefault="00863302" w:rsidP="00D94E3C">
      <w:pPr>
        <w:pStyle w:val="BodyText"/>
        <w:ind w:left="-567"/>
        <w:rPr>
          <w:rFonts w:asciiTheme="minorHAnsi" w:hAnsiTheme="minorHAnsi"/>
          <w:szCs w:val="22"/>
        </w:rPr>
      </w:pPr>
      <w:r w:rsidRPr="006941B1">
        <w:rPr>
          <w:rFonts w:asciiTheme="minorHAnsi" w:hAnsiTheme="minorHAnsi"/>
          <w:szCs w:val="22"/>
        </w:rPr>
        <w:t>It is noted that the status quo scenario is a 'worst case' scenario where no further grant funds will be received for existing services, no further efficiencies are found, or extra activities which fulfil Council's long term goals.</w:t>
      </w:r>
    </w:p>
    <w:p w:rsidR="006447F0" w:rsidRPr="006941B1" w:rsidRDefault="006447F0" w:rsidP="00D22F1F">
      <w:pPr>
        <w:pStyle w:val="BodyText"/>
        <w:ind w:left="-567"/>
        <w:rPr>
          <w:rFonts w:asciiTheme="minorHAnsi" w:hAnsiTheme="minorHAnsi" w:cs="Arial"/>
          <w:szCs w:val="22"/>
          <w:u w:val="single"/>
        </w:rPr>
      </w:pPr>
      <w:r w:rsidRPr="006941B1">
        <w:rPr>
          <w:rFonts w:asciiTheme="minorHAnsi" w:hAnsiTheme="minorHAnsi" w:cs="Arial"/>
          <w:szCs w:val="22"/>
          <w:u w:val="single"/>
        </w:rPr>
        <w:t>18% (including CPI) SV cumulative for 5 years</w:t>
      </w:r>
    </w:p>
    <w:p w:rsidR="006447F0" w:rsidRPr="006941B1" w:rsidRDefault="006447F0" w:rsidP="00D22F1F">
      <w:pPr>
        <w:pStyle w:val="BodyText"/>
        <w:ind w:left="-567"/>
        <w:rPr>
          <w:rFonts w:asciiTheme="minorHAnsi" w:hAnsiTheme="minorHAnsi"/>
          <w:szCs w:val="22"/>
        </w:rPr>
      </w:pPr>
      <w:r w:rsidRPr="006941B1">
        <w:rPr>
          <w:rFonts w:asciiTheme="minorHAnsi" w:hAnsiTheme="minorHAnsi"/>
          <w:szCs w:val="22"/>
        </w:rPr>
        <w:t xml:space="preserve">In this scenario, Council has modelled a special variation that would enable an average standard road condition of 2.9/5 (where 1 is best and 5 </w:t>
      </w:r>
      <w:proofErr w:type="gramStart"/>
      <w:r w:rsidRPr="006941B1">
        <w:rPr>
          <w:rFonts w:asciiTheme="minorHAnsi" w:hAnsiTheme="minorHAnsi"/>
          <w:szCs w:val="22"/>
        </w:rPr>
        <w:t>is</w:t>
      </w:r>
      <w:proofErr w:type="gramEnd"/>
      <w:r w:rsidRPr="006941B1">
        <w:rPr>
          <w:rFonts w:asciiTheme="minorHAnsi" w:hAnsiTheme="minorHAnsi"/>
          <w:szCs w:val="22"/>
        </w:rPr>
        <w:t xml:space="preserve"> worst). This scenario was included in the widespread consultation and information sessions. The feedback from the community is that they neither accepted nor could afford this rate increase. The model </w:t>
      </w:r>
      <w:r w:rsidR="00D22F1F">
        <w:rPr>
          <w:rFonts w:asciiTheme="minorHAnsi" w:hAnsiTheme="minorHAnsi"/>
          <w:szCs w:val="22"/>
        </w:rPr>
        <w:t>wa</w:t>
      </w:r>
      <w:r w:rsidRPr="006941B1">
        <w:rPr>
          <w:rFonts w:asciiTheme="minorHAnsi" w:hAnsiTheme="minorHAnsi"/>
          <w:szCs w:val="22"/>
        </w:rPr>
        <w:t xml:space="preserve">s </w:t>
      </w:r>
      <w:r w:rsidR="00D22F1F">
        <w:rPr>
          <w:rFonts w:asciiTheme="minorHAnsi" w:hAnsiTheme="minorHAnsi"/>
          <w:szCs w:val="22"/>
        </w:rPr>
        <w:t>developed to e</w:t>
      </w:r>
      <w:r w:rsidRPr="006941B1">
        <w:rPr>
          <w:rFonts w:asciiTheme="minorHAnsi" w:hAnsiTheme="minorHAnsi"/>
          <w:szCs w:val="22"/>
        </w:rPr>
        <w:t>nable a direct comparison of the higher levels of outcomes possible.</w:t>
      </w:r>
    </w:p>
    <w:p w:rsidR="006447F0" w:rsidRPr="006941B1" w:rsidRDefault="006447F0" w:rsidP="00D22F1F">
      <w:pPr>
        <w:pStyle w:val="BodyText"/>
        <w:ind w:left="-567"/>
        <w:rPr>
          <w:rFonts w:asciiTheme="minorHAnsi" w:hAnsiTheme="minorHAnsi"/>
          <w:szCs w:val="22"/>
        </w:rPr>
      </w:pPr>
      <w:r w:rsidRPr="006941B1">
        <w:rPr>
          <w:rFonts w:asciiTheme="minorHAnsi" w:hAnsiTheme="minorHAnsi"/>
          <w:szCs w:val="22"/>
        </w:rPr>
        <w:t>The extra funds raised will go towards tackling the backlog of works outstanding on Council’s infrastructure (mainly roads), which make up 93% of Council assets.</w:t>
      </w:r>
    </w:p>
    <w:p w:rsidR="006447F0" w:rsidRPr="006941B1" w:rsidRDefault="006447F0" w:rsidP="00D22F1F">
      <w:pPr>
        <w:pStyle w:val="BodyText"/>
        <w:ind w:left="-567"/>
        <w:rPr>
          <w:rFonts w:asciiTheme="minorHAnsi" w:hAnsiTheme="minorHAnsi"/>
          <w:szCs w:val="22"/>
        </w:rPr>
      </w:pPr>
      <w:r w:rsidRPr="006941B1">
        <w:rPr>
          <w:rFonts w:asciiTheme="minorHAnsi" w:hAnsiTheme="minorHAnsi"/>
          <w:szCs w:val="22"/>
        </w:rPr>
        <w:t xml:space="preserve">This is the optimal plan for Council to enable all KPI’s to be met over the 10 year period. </w:t>
      </w:r>
    </w:p>
    <w:p w:rsidR="006447F0" w:rsidRPr="006941B1" w:rsidRDefault="006447F0" w:rsidP="006447F0">
      <w:pPr>
        <w:pStyle w:val="BodyText"/>
        <w:ind w:left="-567"/>
        <w:rPr>
          <w:rFonts w:asciiTheme="minorHAnsi" w:hAnsiTheme="minorHAnsi"/>
          <w:szCs w:val="22"/>
        </w:rPr>
      </w:pPr>
      <w:r w:rsidRPr="006941B1">
        <w:rPr>
          <w:rFonts w:asciiTheme="minorHAnsi" w:hAnsiTheme="minorHAnsi"/>
          <w:szCs w:val="22"/>
        </w:rPr>
        <w:t>The Operating performance result moves into a surplus. Own source revenue exceeds the 60% benchmark and the additional revenue generated can be allocated to clear the backlog of capital works taking the Building and Infrastructure Asset Renewal Ratio above the targeted 100% which is required if the backlog is to be cleared.</w:t>
      </w:r>
    </w:p>
    <w:p w:rsidR="006447F0" w:rsidRPr="006941B1" w:rsidRDefault="006447F0" w:rsidP="00D22F1F">
      <w:pPr>
        <w:pStyle w:val="BodyText"/>
        <w:rPr>
          <w:rFonts w:asciiTheme="minorHAnsi" w:hAnsiTheme="minorHAnsi"/>
          <w:szCs w:val="22"/>
        </w:rPr>
      </w:pPr>
      <w:r w:rsidRPr="006941B1">
        <w:rPr>
          <w:rFonts w:asciiTheme="minorHAnsi" w:hAnsiTheme="minorHAnsi"/>
          <w:szCs w:val="22"/>
        </w:rPr>
        <w:lastRenderedPageBreak/>
        <w:t>Again the additional SV funds over the 10 year period go towards clearing Council’s backlog of capital works, and will allow Council to implement better strategic asset management systems to ensure work plans are accurately forecast, carried out and documented.</w:t>
      </w:r>
    </w:p>
    <w:p w:rsidR="006447F0" w:rsidRPr="006941B1" w:rsidRDefault="006447F0" w:rsidP="00D22F1F">
      <w:pPr>
        <w:pStyle w:val="BodyText"/>
        <w:rPr>
          <w:rFonts w:asciiTheme="minorHAnsi" w:hAnsiTheme="minorHAnsi"/>
          <w:szCs w:val="22"/>
        </w:rPr>
      </w:pPr>
      <w:r w:rsidRPr="006941B1">
        <w:rPr>
          <w:rFonts w:asciiTheme="minorHAnsi" w:hAnsiTheme="minorHAnsi"/>
          <w:szCs w:val="22"/>
        </w:rPr>
        <w:t>Council would still carry out Its Action Plan</w:t>
      </w:r>
      <w:r w:rsidR="00765302">
        <w:rPr>
          <w:rFonts w:asciiTheme="minorHAnsi" w:hAnsiTheme="minorHAnsi"/>
          <w:szCs w:val="22"/>
        </w:rPr>
        <w:t xml:space="preserve"> and the range of improvements</w:t>
      </w:r>
      <w:r w:rsidRPr="006941B1">
        <w:rPr>
          <w:rFonts w:asciiTheme="minorHAnsi" w:hAnsiTheme="minorHAnsi"/>
          <w:szCs w:val="22"/>
        </w:rPr>
        <w:t xml:space="preserve"> but it would have the resource to not only maintain current service levels, but to improve them, and be able to start resourcing other long term goals in the community strategic plan to a greater extent.</w:t>
      </w:r>
    </w:p>
    <w:p w:rsidR="006447F0" w:rsidRPr="006941B1" w:rsidRDefault="006447F0" w:rsidP="00D22F1F">
      <w:pPr>
        <w:pStyle w:val="BodyText"/>
        <w:rPr>
          <w:rFonts w:asciiTheme="minorHAnsi" w:hAnsiTheme="minorHAnsi"/>
          <w:szCs w:val="22"/>
        </w:rPr>
      </w:pPr>
      <w:r w:rsidRPr="006941B1">
        <w:rPr>
          <w:rFonts w:asciiTheme="minorHAnsi" w:hAnsiTheme="minorHAnsi"/>
          <w:szCs w:val="22"/>
        </w:rPr>
        <w:t>These benefits would flow to the Shire in an earlier timeframe, enable Council to implement ‘Best Practice’ processes making use of current technology, and could also generate resource sharing to gain further scale and capacity as required by State Government.</w:t>
      </w:r>
    </w:p>
    <w:p w:rsidR="006447F0" w:rsidRPr="006941B1" w:rsidRDefault="006447F0" w:rsidP="00D22F1F">
      <w:pPr>
        <w:pStyle w:val="BodyText"/>
        <w:ind w:firstLine="45"/>
        <w:rPr>
          <w:rFonts w:asciiTheme="minorHAnsi" w:hAnsiTheme="minorHAnsi"/>
          <w:szCs w:val="22"/>
        </w:rPr>
      </w:pPr>
      <w:r w:rsidRPr="006941B1">
        <w:rPr>
          <w:rFonts w:asciiTheme="minorHAnsi" w:hAnsiTheme="minorHAnsi"/>
          <w:szCs w:val="22"/>
        </w:rPr>
        <w:t xml:space="preserve">An 18% increase in rates cumulative for 5 years will see on average rates increasing by 128.78% (more than double), compared to </w:t>
      </w:r>
      <w:r w:rsidR="00765302">
        <w:rPr>
          <w:rFonts w:asciiTheme="minorHAnsi" w:hAnsiTheme="minorHAnsi"/>
          <w:szCs w:val="22"/>
        </w:rPr>
        <w:t xml:space="preserve">a </w:t>
      </w:r>
      <w:r w:rsidRPr="006941B1">
        <w:rPr>
          <w:rFonts w:asciiTheme="minorHAnsi" w:hAnsiTheme="minorHAnsi"/>
          <w:szCs w:val="22"/>
        </w:rPr>
        <w:t xml:space="preserve">15.25% increase with just the standard CPI or rate pegged increase. </w:t>
      </w:r>
    </w:p>
    <w:p w:rsidR="006447F0" w:rsidRPr="006941B1" w:rsidRDefault="006447F0" w:rsidP="00D22F1F">
      <w:pPr>
        <w:pStyle w:val="BodyText"/>
        <w:rPr>
          <w:rFonts w:asciiTheme="minorHAnsi" w:hAnsiTheme="minorHAnsi"/>
          <w:szCs w:val="22"/>
        </w:rPr>
      </w:pPr>
      <w:r w:rsidRPr="006941B1">
        <w:rPr>
          <w:rFonts w:asciiTheme="minorHAnsi" w:hAnsiTheme="minorHAnsi"/>
          <w:szCs w:val="22"/>
        </w:rPr>
        <w:t>Although the 18% would clear the backlog and enable Council to fulfil elements of the Community Strategic Plan which are currently unfunded, it is considered currently not acceptable to impose such a huge increase in rates.</w:t>
      </w:r>
    </w:p>
    <w:p w:rsidR="006447F0" w:rsidRDefault="006447F0" w:rsidP="00D22F1F">
      <w:pPr>
        <w:pStyle w:val="BodyText"/>
        <w:rPr>
          <w:rFonts w:asciiTheme="minorHAnsi" w:hAnsiTheme="minorHAnsi"/>
          <w:szCs w:val="22"/>
        </w:rPr>
      </w:pPr>
      <w:r w:rsidRPr="006941B1">
        <w:rPr>
          <w:rFonts w:asciiTheme="minorHAnsi" w:hAnsiTheme="minorHAnsi"/>
          <w:szCs w:val="22"/>
        </w:rPr>
        <w:t xml:space="preserve">Therefore even though Council is aware what increase is required at this stage to clear the backlog and implement the maintenance routine to optimise the use of the renewed assets, it is unable to raise the revenue required to fund the program. Council therefore has to go back to its action plan and rethink its service levels, moderate its long term goals, </w:t>
      </w:r>
      <w:r w:rsidR="00765302">
        <w:rPr>
          <w:rFonts w:asciiTheme="minorHAnsi" w:hAnsiTheme="minorHAnsi"/>
          <w:szCs w:val="22"/>
        </w:rPr>
        <w:t xml:space="preserve">and </w:t>
      </w:r>
      <w:proofErr w:type="spellStart"/>
      <w:r w:rsidR="00765302">
        <w:rPr>
          <w:rFonts w:asciiTheme="minorHAnsi" w:hAnsiTheme="minorHAnsi"/>
          <w:szCs w:val="22"/>
        </w:rPr>
        <w:t>reconsder</w:t>
      </w:r>
      <w:proofErr w:type="spellEnd"/>
      <w:r w:rsidRPr="006941B1">
        <w:rPr>
          <w:rFonts w:asciiTheme="minorHAnsi" w:hAnsiTheme="minorHAnsi"/>
          <w:szCs w:val="22"/>
        </w:rPr>
        <w:t xml:space="preserve"> how the goals can be reached without the financial impact currently forecast.</w:t>
      </w:r>
    </w:p>
    <w:p w:rsidR="006447F0" w:rsidRPr="006941B1" w:rsidRDefault="006447F0" w:rsidP="00D22F1F">
      <w:pPr>
        <w:pStyle w:val="BodyText"/>
        <w:ind w:left="-567" w:firstLine="567"/>
        <w:rPr>
          <w:rFonts w:asciiTheme="minorHAnsi" w:hAnsiTheme="minorHAnsi"/>
          <w:szCs w:val="22"/>
        </w:rPr>
      </w:pPr>
      <w:r>
        <w:rPr>
          <w:rFonts w:asciiTheme="minorHAnsi" w:hAnsiTheme="minorHAnsi"/>
          <w:szCs w:val="22"/>
        </w:rPr>
        <w:t>A modified SV will be sought.</w:t>
      </w:r>
    </w:p>
    <w:p w:rsidR="00A17554" w:rsidRPr="006941B1" w:rsidRDefault="00B34981" w:rsidP="00D22F1F">
      <w:pPr>
        <w:pStyle w:val="BodyText"/>
        <w:ind w:left="-567" w:firstLine="567"/>
        <w:rPr>
          <w:rFonts w:asciiTheme="minorHAnsi" w:hAnsiTheme="minorHAnsi" w:cs="Arial"/>
          <w:szCs w:val="22"/>
          <w:u w:val="single"/>
        </w:rPr>
      </w:pPr>
      <w:r w:rsidRPr="006941B1">
        <w:rPr>
          <w:rFonts w:asciiTheme="minorHAnsi" w:hAnsiTheme="minorHAnsi" w:cs="Arial"/>
          <w:szCs w:val="22"/>
          <w:u w:val="single"/>
        </w:rPr>
        <w:t>13% (including CPI) SV cumulative for 3 years</w:t>
      </w:r>
    </w:p>
    <w:p w:rsidR="00B34981" w:rsidRPr="006941B1" w:rsidRDefault="00B34981" w:rsidP="00D22F1F">
      <w:pPr>
        <w:pStyle w:val="BodyText"/>
        <w:rPr>
          <w:rFonts w:asciiTheme="minorHAnsi" w:hAnsiTheme="minorHAnsi"/>
          <w:szCs w:val="22"/>
        </w:rPr>
      </w:pPr>
      <w:r w:rsidRPr="006941B1">
        <w:rPr>
          <w:rFonts w:asciiTheme="minorHAnsi" w:hAnsiTheme="minorHAnsi"/>
          <w:szCs w:val="22"/>
        </w:rPr>
        <w:t xml:space="preserve">In this scenario, which represents the application made to IPART, a Special Variation of 13% (including the Rate Peg increase) has been sought for 3 years cumulative </w:t>
      </w:r>
      <w:r w:rsidR="009C276F">
        <w:rPr>
          <w:rFonts w:asciiTheme="minorHAnsi" w:hAnsiTheme="minorHAnsi"/>
          <w:szCs w:val="22"/>
        </w:rPr>
        <w:t>i</w:t>
      </w:r>
      <w:r w:rsidR="009C276F" w:rsidRPr="009C276F">
        <w:rPr>
          <w:rFonts w:asciiTheme="minorHAnsi" w:hAnsiTheme="minorHAnsi"/>
          <w:szCs w:val="22"/>
        </w:rPr>
        <w:t xml:space="preserve">.e. </w:t>
      </w:r>
      <w:r w:rsidR="009C276F" w:rsidRPr="009C276F">
        <w:rPr>
          <w:rFonts w:asciiTheme="minorHAnsi" w:hAnsiTheme="minorHAnsi"/>
        </w:rPr>
        <w:t>13% in each of the next 3 years,</w:t>
      </w:r>
      <w:r w:rsidR="009C276F">
        <w:t xml:space="preserve"> </w:t>
      </w:r>
      <w:r w:rsidRPr="006941B1">
        <w:rPr>
          <w:rFonts w:asciiTheme="minorHAnsi" w:hAnsiTheme="minorHAnsi"/>
          <w:szCs w:val="22"/>
        </w:rPr>
        <w:t>starting in the 2015/16 year. This increase will remain in the rate base.</w:t>
      </w:r>
    </w:p>
    <w:p w:rsidR="00B34981" w:rsidRPr="006941B1" w:rsidRDefault="00B34981" w:rsidP="00D22F1F">
      <w:pPr>
        <w:pStyle w:val="BodyText"/>
        <w:rPr>
          <w:rFonts w:asciiTheme="minorHAnsi" w:hAnsiTheme="minorHAnsi"/>
          <w:szCs w:val="22"/>
        </w:rPr>
      </w:pPr>
      <w:r w:rsidRPr="006941B1">
        <w:rPr>
          <w:rFonts w:asciiTheme="minorHAnsi" w:hAnsiTheme="minorHAnsi"/>
          <w:szCs w:val="22"/>
        </w:rPr>
        <w:t>The extra funds raised will fund a defined works program that starts the long haul of tackling the backlog of works outstanding on Council’s infrastructure (mainly roads), which make up 93% of Council assets.</w:t>
      </w:r>
    </w:p>
    <w:p w:rsidR="00B34981" w:rsidRPr="006941B1" w:rsidRDefault="00B34981" w:rsidP="00D22F1F">
      <w:pPr>
        <w:pStyle w:val="BodyText"/>
        <w:rPr>
          <w:rFonts w:asciiTheme="minorHAnsi" w:hAnsiTheme="minorHAnsi"/>
          <w:szCs w:val="22"/>
        </w:rPr>
      </w:pPr>
      <w:r w:rsidRPr="006941B1">
        <w:rPr>
          <w:rFonts w:asciiTheme="minorHAnsi" w:hAnsiTheme="minorHAnsi"/>
          <w:szCs w:val="22"/>
        </w:rPr>
        <w:t>This is the scenario adopted by council for its SV submission. However it does not fully resolve the financial issues</w:t>
      </w:r>
      <w:r w:rsidR="00765302">
        <w:rPr>
          <w:rFonts w:asciiTheme="minorHAnsi" w:hAnsiTheme="minorHAnsi"/>
          <w:szCs w:val="22"/>
        </w:rPr>
        <w:t>,</w:t>
      </w:r>
      <w:r w:rsidRPr="006941B1">
        <w:rPr>
          <w:rFonts w:asciiTheme="minorHAnsi" w:hAnsiTheme="minorHAnsi"/>
          <w:szCs w:val="22"/>
        </w:rPr>
        <w:t xml:space="preserve"> particularly the backlog. Whilst the net operating result improves from a deficit of $3.388m in 2016 to a deficit of $1.738m loss in 2025, </w:t>
      </w:r>
      <w:r w:rsidR="00765302">
        <w:rPr>
          <w:rFonts w:asciiTheme="minorHAnsi" w:hAnsiTheme="minorHAnsi"/>
          <w:szCs w:val="22"/>
        </w:rPr>
        <w:t>our loss position remains</w:t>
      </w:r>
      <w:r w:rsidRPr="006941B1">
        <w:rPr>
          <w:rFonts w:asciiTheme="minorHAnsi" w:hAnsiTheme="minorHAnsi"/>
          <w:szCs w:val="22"/>
        </w:rPr>
        <w:t>.</w:t>
      </w:r>
    </w:p>
    <w:p w:rsidR="00B34981" w:rsidRPr="006941B1" w:rsidRDefault="00B34981" w:rsidP="00D22F1F">
      <w:pPr>
        <w:pStyle w:val="BodyText"/>
        <w:rPr>
          <w:rFonts w:asciiTheme="minorHAnsi" w:hAnsiTheme="minorHAnsi"/>
          <w:szCs w:val="22"/>
        </w:rPr>
      </w:pPr>
      <w:r w:rsidRPr="006941B1">
        <w:rPr>
          <w:rFonts w:asciiTheme="minorHAnsi" w:hAnsiTheme="minorHAnsi"/>
          <w:szCs w:val="22"/>
        </w:rPr>
        <w:t xml:space="preserve">This shortfall is reflected in the Building and Infrastructure asset renewal ratio which only improves from 62.9% in 2016 to 73.4% in 2025 against the </w:t>
      </w:r>
      <w:r w:rsidRPr="006941B1">
        <w:rPr>
          <w:rFonts w:asciiTheme="minorHAnsi" w:hAnsiTheme="minorHAnsi"/>
          <w:szCs w:val="22"/>
          <w:lang w:val="en-US"/>
        </w:rPr>
        <w:t>target of between 90-100% (or 100% average over 3 years).</w:t>
      </w:r>
      <w:r w:rsidRPr="006941B1">
        <w:rPr>
          <w:rFonts w:asciiTheme="minorHAnsi" w:hAnsiTheme="minorHAnsi"/>
          <w:szCs w:val="22"/>
        </w:rPr>
        <w:t xml:space="preserve"> It is an improvement on the status quo model.</w:t>
      </w:r>
    </w:p>
    <w:p w:rsidR="00B34981" w:rsidRPr="006941B1" w:rsidRDefault="00B34981" w:rsidP="00765302">
      <w:pPr>
        <w:pStyle w:val="BodyText"/>
        <w:rPr>
          <w:rFonts w:asciiTheme="minorHAnsi" w:hAnsiTheme="minorHAnsi"/>
          <w:szCs w:val="22"/>
        </w:rPr>
      </w:pPr>
      <w:bookmarkStart w:id="23" w:name="_MON_1483435714"/>
      <w:bookmarkEnd w:id="23"/>
      <w:r w:rsidRPr="006941B1">
        <w:rPr>
          <w:rFonts w:asciiTheme="minorHAnsi" w:hAnsiTheme="minorHAnsi"/>
          <w:szCs w:val="22"/>
        </w:rPr>
        <w:t>When average rates are compared to Councils 5 neighbouring local government areas, the current rates in all categories (except mining) fall in the middle</w:t>
      </w:r>
      <w:r w:rsidR="00765302">
        <w:rPr>
          <w:rFonts w:asciiTheme="minorHAnsi" w:hAnsiTheme="minorHAnsi"/>
          <w:szCs w:val="22"/>
        </w:rPr>
        <w:t xml:space="preserve"> range</w:t>
      </w:r>
      <w:r w:rsidRPr="006941B1">
        <w:rPr>
          <w:rFonts w:asciiTheme="minorHAnsi" w:hAnsiTheme="minorHAnsi"/>
          <w:szCs w:val="22"/>
        </w:rPr>
        <w:t xml:space="preserve">. It is noted that some of the neighbouring areas already have special rate variations granted which will be in force in the 2015/16 year. </w:t>
      </w:r>
    </w:p>
    <w:p w:rsidR="00B34981" w:rsidRPr="006941B1" w:rsidRDefault="00B34981" w:rsidP="006447F0">
      <w:pPr>
        <w:pStyle w:val="BodyText"/>
        <w:ind w:left="-567"/>
        <w:rPr>
          <w:rFonts w:asciiTheme="minorHAnsi" w:hAnsiTheme="minorHAnsi"/>
          <w:szCs w:val="22"/>
        </w:rPr>
      </w:pPr>
      <w:r w:rsidRPr="006941B1">
        <w:rPr>
          <w:rFonts w:asciiTheme="minorHAnsi" w:hAnsiTheme="minorHAnsi"/>
          <w:szCs w:val="22"/>
        </w:rPr>
        <w:lastRenderedPageBreak/>
        <w:t>Council understands that its population has a high proportion of older retirees who are pensioners, and who have moved to the area to take advantage of relaxing in a beautiful environment where opportunities abound in joining in with local community groups and other activities.</w:t>
      </w:r>
    </w:p>
    <w:p w:rsidR="00B34981" w:rsidRDefault="00B34981" w:rsidP="006447F0">
      <w:pPr>
        <w:pStyle w:val="BodyText"/>
        <w:ind w:left="-567"/>
        <w:rPr>
          <w:rFonts w:asciiTheme="minorHAnsi" w:hAnsiTheme="minorHAnsi"/>
          <w:szCs w:val="22"/>
        </w:rPr>
      </w:pPr>
      <w:r w:rsidRPr="006941B1">
        <w:rPr>
          <w:rFonts w:asciiTheme="minorHAnsi" w:hAnsiTheme="minorHAnsi"/>
          <w:szCs w:val="22"/>
        </w:rPr>
        <w:t xml:space="preserve">Council has considered the findings of an affordability analysis and believes this option </w:t>
      </w:r>
      <w:r w:rsidR="009C276F">
        <w:rPr>
          <w:rFonts w:asciiTheme="minorHAnsi" w:hAnsiTheme="minorHAnsi"/>
          <w:szCs w:val="22"/>
        </w:rPr>
        <w:t>is affordable for its residents. H</w:t>
      </w:r>
      <w:r w:rsidRPr="006941B1">
        <w:rPr>
          <w:rFonts w:asciiTheme="minorHAnsi" w:hAnsiTheme="minorHAnsi"/>
          <w:szCs w:val="22"/>
        </w:rPr>
        <w:t>owever it acknowledges that there may be some hardship caused by the increases, and therefore it has introduced a hardship policy to allow households to apply for different options to help in paying their rates.</w:t>
      </w:r>
    </w:p>
    <w:p w:rsidR="00765302" w:rsidRPr="006941B1" w:rsidRDefault="00765302" w:rsidP="00765302">
      <w:pPr>
        <w:pStyle w:val="BodyText"/>
        <w:ind w:left="-567"/>
        <w:rPr>
          <w:rFonts w:asciiTheme="minorHAnsi" w:hAnsiTheme="minorHAnsi"/>
          <w:szCs w:val="22"/>
        </w:rPr>
      </w:pPr>
      <w:r w:rsidRPr="006941B1">
        <w:rPr>
          <w:rFonts w:asciiTheme="minorHAnsi" w:hAnsiTheme="minorHAnsi"/>
          <w:szCs w:val="22"/>
        </w:rPr>
        <w:t>This model suggests that Council would greatly improve its ability to maintain its assets while maintaining current service levels in other areas of council. Council will still need to maintain its focus on achieving full resolution of its deteriorating assets and looking at additional revenue sources. Council also will need to continue finding innovative and alternative routes to delivering its long term goals.</w:t>
      </w:r>
    </w:p>
    <w:p w:rsidR="00765302" w:rsidRPr="006941B1" w:rsidRDefault="00765302" w:rsidP="00765302">
      <w:pPr>
        <w:pStyle w:val="BodyText"/>
        <w:ind w:left="-567"/>
        <w:rPr>
          <w:rFonts w:asciiTheme="minorHAnsi" w:hAnsiTheme="minorHAnsi"/>
          <w:szCs w:val="22"/>
        </w:rPr>
      </w:pPr>
      <w:r w:rsidRPr="006941B1">
        <w:rPr>
          <w:rFonts w:asciiTheme="minorHAnsi" w:hAnsiTheme="minorHAnsi"/>
          <w:szCs w:val="22"/>
        </w:rPr>
        <w:t xml:space="preserve">The Action Plan contained in the LTFP </w:t>
      </w:r>
      <w:r>
        <w:rPr>
          <w:rFonts w:asciiTheme="minorHAnsi" w:hAnsiTheme="minorHAnsi"/>
          <w:szCs w:val="22"/>
        </w:rPr>
        <w:t xml:space="preserve">together with other revenue and efficiency options </w:t>
      </w:r>
      <w:r w:rsidRPr="006941B1">
        <w:rPr>
          <w:rFonts w:asciiTheme="minorHAnsi" w:hAnsiTheme="minorHAnsi"/>
          <w:szCs w:val="22"/>
        </w:rPr>
        <w:t>would continue and grow as further possibilities to gain strategic capacity are uncovered which would allow Council to deliver more of its long term goals for the community.</w:t>
      </w:r>
    </w:p>
    <w:p w:rsidR="00765302" w:rsidRPr="006941B1" w:rsidRDefault="00765302" w:rsidP="00765302">
      <w:pPr>
        <w:pStyle w:val="BodyText"/>
        <w:ind w:left="-567"/>
        <w:rPr>
          <w:rFonts w:asciiTheme="minorHAnsi" w:hAnsiTheme="minorHAnsi"/>
          <w:szCs w:val="22"/>
        </w:rPr>
      </w:pPr>
      <w:r w:rsidRPr="006941B1">
        <w:rPr>
          <w:rFonts w:asciiTheme="minorHAnsi" w:hAnsiTheme="minorHAnsi"/>
          <w:szCs w:val="22"/>
        </w:rPr>
        <w:t>A 13% increase in rates for 3 years will see on average rates increasing by 44.29%, compared to 8.64% increase with just the standard CPI or rate pegged increase.</w:t>
      </w:r>
    </w:p>
    <w:p w:rsidR="00B34981" w:rsidRPr="006941B1" w:rsidRDefault="00B34981" w:rsidP="006447F0">
      <w:pPr>
        <w:pStyle w:val="BodyText"/>
        <w:ind w:left="-567"/>
        <w:rPr>
          <w:rFonts w:asciiTheme="minorHAnsi" w:hAnsiTheme="minorHAnsi"/>
          <w:szCs w:val="22"/>
        </w:rPr>
      </w:pPr>
      <w:r w:rsidRPr="006941B1">
        <w:rPr>
          <w:rFonts w:asciiTheme="minorHAnsi" w:hAnsiTheme="minorHAnsi"/>
          <w:szCs w:val="22"/>
        </w:rPr>
        <w:t>Council will still not achieve the State Government KPI targets for Operating Surplus and Building and Infrastructure asset renewals over the 10 year period without additional revenues or introducing further efficiency gains and changes in working practice.</w:t>
      </w:r>
    </w:p>
    <w:p w:rsidR="00B34981" w:rsidRPr="006941B1" w:rsidRDefault="00B34981" w:rsidP="006447F0">
      <w:pPr>
        <w:pStyle w:val="BodyText"/>
        <w:ind w:left="-567"/>
        <w:rPr>
          <w:rFonts w:asciiTheme="minorHAnsi" w:hAnsiTheme="minorHAnsi"/>
          <w:szCs w:val="22"/>
        </w:rPr>
      </w:pPr>
      <w:r w:rsidRPr="006941B1">
        <w:rPr>
          <w:rFonts w:asciiTheme="minorHAnsi" w:hAnsiTheme="minorHAnsi"/>
          <w:szCs w:val="22"/>
        </w:rPr>
        <w:t>However whilst outcomes from the Status  Quo scenario worsened as time went on, under this scenario at the end of the model 10 year period, Council will be in a better situation than at present.</w:t>
      </w:r>
    </w:p>
    <w:p w:rsidR="00B34981" w:rsidRDefault="00B34981" w:rsidP="006447F0">
      <w:pPr>
        <w:pStyle w:val="BodyText"/>
        <w:ind w:left="-567"/>
        <w:rPr>
          <w:rFonts w:asciiTheme="minorHAnsi" w:hAnsiTheme="minorHAnsi"/>
          <w:szCs w:val="22"/>
        </w:rPr>
      </w:pPr>
      <w:r w:rsidRPr="006941B1">
        <w:rPr>
          <w:rFonts w:asciiTheme="minorHAnsi" w:hAnsiTheme="minorHAnsi"/>
          <w:szCs w:val="22"/>
        </w:rPr>
        <w:t>It is considered that this option is viable if taken alongside the action plan to increase Council’s strategic capacity and create efficiencies. The Scenario also requires a reassessment of the community strategic plan and corresponding service levels and if necessary apply for further increases after the three year SV period has concluded.</w:t>
      </w:r>
    </w:p>
    <w:p w:rsidR="006447F0" w:rsidRDefault="006447F0" w:rsidP="006447F0">
      <w:pPr>
        <w:pStyle w:val="BodyText"/>
        <w:ind w:left="-567"/>
        <w:rPr>
          <w:rFonts w:asciiTheme="minorHAnsi" w:hAnsiTheme="minorHAnsi"/>
          <w:szCs w:val="22"/>
        </w:rPr>
      </w:pPr>
      <w:r>
        <w:rPr>
          <w:rFonts w:asciiTheme="minorHAnsi" w:hAnsiTheme="minorHAnsi"/>
          <w:szCs w:val="22"/>
        </w:rPr>
        <w:t>The financial and asset ratios arising from the 3 scenarios show</w:t>
      </w:r>
      <w:r w:rsidR="00866755">
        <w:rPr>
          <w:rFonts w:asciiTheme="minorHAnsi" w:hAnsiTheme="minorHAnsi"/>
          <w:szCs w:val="22"/>
        </w:rPr>
        <w:t xml:space="preserve"> that the movement over the 10 years of the LTFP using this model moves Council reasonably and affordably toward achieving the benchmark ratios as measures of sustainability.</w:t>
      </w: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p w:rsidR="006447F0" w:rsidRDefault="006447F0" w:rsidP="006447F0">
      <w:pPr>
        <w:pStyle w:val="BodyText"/>
        <w:ind w:left="-567"/>
        <w:rPr>
          <w:rFonts w:asciiTheme="minorHAnsi" w:hAnsiTheme="minorHAnsi"/>
          <w:szCs w:val="22"/>
        </w:rPr>
      </w:pPr>
    </w:p>
    <w:tbl>
      <w:tblPr>
        <w:tblStyle w:val="TableGrid"/>
        <w:tblW w:w="0" w:type="auto"/>
        <w:jc w:val="center"/>
        <w:tblInd w:w="-567" w:type="dxa"/>
        <w:tblLayout w:type="fixed"/>
        <w:tblLook w:val="04E0" w:firstRow="1" w:lastRow="1" w:firstColumn="1" w:lastColumn="0" w:noHBand="0" w:noVBand="1"/>
      </w:tblPr>
      <w:tblGrid>
        <w:gridCol w:w="4787"/>
        <w:gridCol w:w="1417"/>
        <w:gridCol w:w="1418"/>
        <w:gridCol w:w="1417"/>
      </w:tblGrid>
      <w:tr w:rsidR="006447F0" w:rsidRPr="006447F0" w:rsidTr="00866755">
        <w:trPr>
          <w:jc w:val="center"/>
        </w:trPr>
        <w:tc>
          <w:tcPr>
            <w:tcW w:w="4787" w:type="dxa"/>
            <w:tcBorders>
              <w:bottom w:val="single" w:sz="4" w:space="0" w:color="auto"/>
            </w:tcBorders>
          </w:tcPr>
          <w:p w:rsidR="006447F0" w:rsidRPr="00866755" w:rsidRDefault="00866755" w:rsidP="00866755">
            <w:pPr>
              <w:pStyle w:val="BodyText"/>
              <w:jc w:val="center"/>
              <w:rPr>
                <w:rFonts w:asciiTheme="minorHAnsi" w:hAnsiTheme="minorHAnsi"/>
                <w:b/>
                <w:sz w:val="24"/>
                <w:szCs w:val="24"/>
              </w:rPr>
            </w:pPr>
            <w:r w:rsidRPr="00866755">
              <w:rPr>
                <w:rFonts w:asciiTheme="minorHAnsi" w:hAnsiTheme="minorHAnsi"/>
                <w:b/>
                <w:sz w:val="24"/>
                <w:szCs w:val="24"/>
              </w:rPr>
              <w:t>Improvement in financial sustainability ratios over the term of Council’s LTFP</w:t>
            </w:r>
          </w:p>
        </w:tc>
        <w:tc>
          <w:tcPr>
            <w:tcW w:w="1417" w:type="dxa"/>
          </w:tcPr>
          <w:p w:rsidR="006447F0" w:rsidRPr="006447F0" w:rsidRDefault="006447F0" w:rsidP="006447F0">
            <w:pPr>
              <w:pStyle w:val="BodyText"/>
              <w:rPr>
                <w:rFonts w:asciiTheme="minorHAnsi" w:hAnsiTheme="minorHAnsi"/>
                <w:szCs w:val="22"/>
              </w:rPr>
            </w:pPr>
          </w:p>
        </w:tc>
        <w:tc>
          <w:tcPr>
            <w:tcW w:w="1418" w:type="dxa"/>
            <w:shd w:val="clear" w:color="auto" w:fill="EAF1DD" w:themeFill="accent3" w:themeFillTint="33"/>
          </w:tcPr>
          <w:p w:rsidR="006447F0" w:rsidRPr="0063232C" w:rsidRDefault="006447F0" w:rsidP="006447F0">
            <w:pPr>
              <w:pStyle w:val="BodyText"/>
              <w:ind w:left="142"/>
              <w:jc w:val="center"/>
              <w:rPr>
                <w:rFonts w:asciiTheme="minorHAnsi" w:hAnsiTheme="minorHAnsi"/>
                <w:b/>
                <w:szCs w:val="22"/>
              </w:rPr>
            </w:pPr>
            <w:r w:rsidRPr="0063232C">
              <w:rPr>
                <w:rFonts w:asciiTheme="minorHAnsi" w:hAnsiTheme="minorHAnsi"/>
                <w:b/>
                <w:szCs w:val="22"/>
              </w:rPr>
              <w:t>2015/16</w:t>
            </w:r>
          </w:p>
          <w:p w:rsidR="006447F0" w:rsidRPr="0063232C" w:rsidRDefault="006447F0" w:rsidP="006447F0">
            <w:pPr>
              <w:pStyle w:val="BodyText"/>
              <w:ind w:left="142"/>
              <w:jc w:val="center"/>
              <w:rPr>
                <w:rFonts w:asciiTheme="minorHAnsi" w:hAnsiTheme="minorHAnsi"/>
                <w:b/>
                <w:szCs w:val="22"/>
              </w:rPr>
            </w:pPr>
            <w:r w:rsidRPr="0063232C">
              <w:rPr>
                <w:rFonts w:asciiTheme="minorHAnsi" w:hAnsiTheme="minorHAnsi"/>
                <w:b/>
                <w:szCs w:val="22"/>
              </w:rPr>
              <w:t>%</w:t>
            </w:r>
          </w:p>
        </w:tc>
        <w:tc>
          <w:tcPr>
            <w:tcW w:w="1417" w:type="dxa"/>
            <w:shd w:val="clear" w:color="auto" w:fill="EAF1DD" w:themeFill="accent3" w:themeFillTint="33"/>
          </w:tcPr>
          <w:p w:rsidR="006447F0" w:rsidRPr="0063232C" w:rsidRDefault="006447F0" w:rsidP="006447F0">
            <w:pPr>
              <w:pStyle w:val="BodyText"/>
              <w:ind w:left="168"/>
              <w:jc w:val="center"/>
              <w:rPr>
                <w:rFonts w:asciiTheme="minorHAnsi" w:hAnsiTheme="minorHAnsi"/>
                <w:b/>
                <w:szCs w:val="22"/>
              </w:rPr>
            </w:pPr>
            <w:r w:rsidRPr="0063232C">
              <w:rPr>
                <w:rFonts w:asciiTheme="minorHAnsi" w:hAnsiTheme="minorHAnsi"/>
                <w:b/>
                <w:szCs w:val="22"/>
              </w:rPr>
              <w:t>2024/25</w:t>
            </w:r>
          </w:p>
          <w:p w:rsidR="006447F0" w:rsidRPr="0063232C" w:rsidRDefault="006447F0" w:rsidP="006447F0">
            <w:pPr>
              <w:pStyle w:val="BodyText"/>
              <w:ind w:left="168"/>
              <w:jc w:val="center"/>
              <w:rPr>
                <w:rFonts w:asciiTheme="minorHAnsi" w:hAnsiTheme="minorHAnsi"/>
                <w:b/>
                <w:szCs w:val="22"/>
              </w:rPr>
            </w:pPr>
            <w:r w:rsidRPr="0063232C">
              <w:rPr>
                <w:rFonts w:asciiTheme="minorHAnsi" w:hAnsiTheme="minorHAnsi"/>
                <w:b/>
                <w:szCs w:val="22"/>
              </w:rPr>
              <w:t>%</w:t>
            </w:r>
          </w:p>
        </w:tc>
      </w:tr>
      <w:tr w:rsidR="006447F0" w:rsidRPr="006447F0" w:rsidTr="00866755">
        <w:trPr>
          <w:jc w:val="center"/>
        </w:trPr>
        <w:tc>
          <w:tcPr>
            <w:tcW w:w="4787" w:type="dxa"/>
            <w:tcBorders>
              <w:bottom w:val="nil"/>
            </w:tcBorders>
            <w:shd w:val="clear" w:color="auto" w:fill="DBE5F1" w:themeFill="accent1" w:themeFillTint="33"/>
          </w:tcPr>
          <w:p w:rsidR="006447F0" w:rsidRPr="0063232C" w:rsidRDefault="006447F0" w:rsidP="003E38B3">
            <w:pPr>
              <w:pStyle w:val="BodyText"/>
              <w:rPr>
                <w:rFonts w:asciiTheme="minorHAnsi" w:hAnsiTheme="minorHAnsi"/>
                <w:b/>
                <w:szCs w:val="22"/>
              </w:rPr>
            </w:pPr>
            <w:r w:rsidRPr="0063232C">
              <w:rPr>
                <w:rFonts w:asciiTheme="minorHAnsi" w:hAnsiTheme="minorHAnsi"/>
                <w:b/>
                <w:szCs w:val="22"/>
              </w:rPr>
              <w:t xml:space="preserve">Operating </w:t>
            </w:r>
            <w:r w:rsidR="003E38B3" w:rsidRPr="0063232C">
              <w:rPr>
                <w:rFonts w:asciiTheme="minorHAnsi" w:hAnsiTheme="minorHAnsi"/>
                <w:b/>
                <w:szCs w:val="22"/>
              </w:rPr>
              <w:t>B</w:t>
            </w:r>
            <w:r w:rsidRPr="0063232C">
              <w:rPr>
                <w:rFonts w:asciiTheme="minorHAnsi" w:hAnsiTheme="minorHAnsi"/>
                <w:b/>
                <w:szCs w:val="22"/>
              </w:rPr>
              <w:t>alance ratio excluding capital items</w:t>
            </w:r>
          </w:p>
        </w:tc>
        <w:tc>
          <w:tcPr>
            <w:tcW w:w="1417" w:type="dxa"/>
            <w:shd w:val="clear" w:color="auto" w:fill="DBE5F1" w:themeFill="accent1" w:themeFillTint="33"/>
          </w:tcPr>
          <w:p w:rsidR="006447F0" w:rsidRPr="006447F0" w:rsidRDefault="006447F0" w:rsidP="006447F0">
            <w:pPr>
              <w:pStyle w:val="BodyText"/>
              <w:ind w:left="126"/>
              <w:jc w:val="center"/>
              <w:rPr>
                <w:rFonts w:asciiTheme="minorHAnsi" w:hAnsiTheme="minorHAnsi"/>
                <w:szCs w:val="22"/>
              </w:rPr>
            </w:pPr>
            <w:r w:rsidRPr="006447F0">
              <w:rPr>
                <w:rFonts w:asciiTheme="minorHAnsi" w:hAnsiTheme="minorHAnsi"/>
                <w:szCs w:val="22"/>
              </w:rPr>
              <w:t>Status Quo</w:t>
            </w:r>
          </w:p>
        </w:tc>
        <w:tc>
          <w:tcPr>
            <w:tcW w:w="1418"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-16</w:t>
            </w:r>
          </w:p>
        </w:tc>
        <w:tc>
          <w:tcPr>
            <w:tcW w:w="1417"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-13</w:t>
            </w:r>
          </w:p>
        </w:tc>
      </w:tr>
      <w:tr w:rsidR="006447F0" w:rsidRPr="006447F0" w:rsidTr="00866755">
        <w:trPr>
          <w:jc w:val="center"/>
        </w:trPr>
        <w:tc>
          <w:tcPr>
            <w:tcW w:w="4787" w:type="dxa"/>
            <w:tcBorders>
              <w:top w:val="nil"/>
              <w:bottom w:val="nil"/>
            </w:tcBorders>
            <w:shd w:val="clear" w:color="auto" w:fill="DBE5F1" w:themeFill="accent1" w:themeFillTint="33"/>
          </w:tcPr>
          <w:p w:rsidR="006447F0" w:rsidRPr="0063232C" w:rsidRDefault="006447F0" w:rsidP="0072653A">
            <w:pPr>
              <w:pStyle w:val="BodyText"/>
              <w:rPr>
                <w:rFonts w:asciiTheme="minorHAnsi" w:hAnsiTheme="minorHAnsi"/>
                <w:b/>
                <w:szCs w:val="22"/>
              </w:rPr>
            </w:pPr>
          </w:p>
        </w:tc>
        <w:tc>
          <w:tcPr>
            <w:tcW w:w="1417"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13% (3yrs)</w:t>
            </w:r>
          </w:p>
        </w:tc>
        <w:tc>
          <w:tcPr>
            <w:tcW w:w="1418"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-12</w:t>
            </w:r>
          </w:p>
        </w:tc>
        <w:tc>
          <w:tcPr>
            <w:tcW w:w="1417"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-3</w:t>
            </w:r>
          </w:p>
        </w:tc>
      </w:tr>
      <w:tr w:rsidR="006447F0" w:rsidRPr="006447F0" w:rsidTr="00866755">
        <w:trPr>
          <w:jc w:val="center"/>
        </w:trPr>
        <w:tc>
          <w:tcPr>
            <w:tcW w:w="4787" w:type="dxa"/>
            <w:tcBorders>
              <w:top w:val="nil"/>
              <w:bottom w:val="single" w:sz="4" w:space="0" w:color="auto"/>
            </w:tcBorders>
            <w:shd w:val="clear" w:color="auto" w:fill="DBE5F1" w:themeFill="accent1" w:themeFillTint="33"/>
          </w:tcPr>
          <w:p w:rsidR="006447F0" w:rsidRPr="0063232C" w:rsidRDefault="006447F0" w:rsidP="0072653A">
            <w:pPr>
              <w:pStyle w:val="BodyText"/>
              <w:rPr>
                <w:rFonts w:asciiTheme="minorHAnsi" w:hAnsiTheme="minorHAnsi"/>
                <w:b/>
                <w:szCs w:val="22"/>
              </w:rPr>
            </w:pPr>
          </w:p>
        </w:tc>
        <w:tc>
          <w:tcPr>
            <w:tcW w:w="1417"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18% (5yrs)</w:t>
            </w:r>
          </w:p>
        </w:tc>
        <w:tc>
          <w:tcPr>
            <w:tcW w:w="1418"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-10</w:t>
            </w:r>
          </w:p>
        </w:tc>
        <w:tc>
          <w:tcPr>
            <w:tcW w:w="1417" w:type="dxa"/>
            <w:shd w:val="clear" w:color="auto" w:fill="DBE5F1" w:themeFill="accent1" w:themeFillTint="33"/>
          </w:tcPr>
          <w:p w:rsidR="006447F0" w:rsidRPr="006447F0" w:rsidRDefault="006447F0" w:rsidP="006447F0">
            <w:pPr>
              <w:pStyle w:val="BodyText"/>
              <w:jc w:val="center"/>
              <w:rPr>
                <w:rFonts w:asciiTheme="minorHAnsi" w:hAnsiTheme="minorHAnsi"/>
                <w:szCs w:val="22"/>
              </w:rPr>
            </w:pPr>
            <w:r>
              <w:rPr>
                <w:rFonts w:asciiTheme="minorHAnsi" w:hAnsiTheme="minorHAnsi"/>
                <w:szCs w:val="22"/>
              </w:rPr>
              <w:t>12</w:t>
            </w:r>
          </w:p>
        </w:tc>
      </w:tr>
      <w:tr w:rsidR="006447F0" w:rsidRPr="006447F0" w:rsidTr="00866755">
        <w:trPr>
          <w:jc w:val="center"/>
        </w:trPr>
        <w:tc>
          <w:tcPr>
            <w:tcW w:w="4787" w:type="dxa"/>
            <w:tcBorders>
              <w:bottom w:val="nil"/>
            </w:tcBorders>
          </w:tcPr>
          <w:p w:rsidR="006447F0" w:rsidRPr="0063232C" w:rsidRDefault="003E38B3" w:rsidP="0072653A">
            <w:pPr>
              <w:pStyle w:val="BodyText"/>
              <w:rPr>
                <w:rFonts w:asciiTheme="minorHAnsi" w:hAnsiTheme="minorHAnsi"/>
                <w:b/>
                <w:szCs w:val="22"/>
              </w:rPr>
            </w:pPr>
            <w:r w:rsidRPr="0063232C">
              <w:rPr>
                <w:rFonts w:asciiTheme="minorHAnsi" w:hAnsiTheme="minorHAnsi"/>
                <w:b/>
                <w:szCs w:val="22"/>
              </w:rPr>
              <w:t>Unrestricted Current ratio</w:t>
            </w:r>
          </w:p>
        </w:tc>
        <w:tc>
          <w:tcPr>
            <w:tcW w:w="1417" w:type="dxa"/>
          </w:tcPr>
          <w:p w:rsidR="006447F0" w:rsidRDefault="003E38B3" w:rsidP="006447F0">
            <w:pPr>
              <w:pStyle w:val="BodyText"/>
              <w:jc w:val="center"/>
              <w:rPr>
                <w:rFonts w:asciiTheme="minorHAnsi" w:hAnsiTheme="minorHAnsi"/>
                <w:szCs w:val="22"/>
              </w:rPr>
            </w:pPr>
            <w:r w:rsidRPr="006447F0">
              <w:rPr>
                <w:rFonts w:asciiTheme="minorHAnsi" w:hAnsiTheme="minorHAnsi"/>
                <w:szCs w:val="22"/>
              </w:rPr>
              <w:t>Status Quo</w:t>
            </w:r>
          </w:p>
        </w:tc>
        <w:tc>
          <w:tcPr>
            <w:tcW w:w="1418" w:type="dxa"/>
          </w:tcPr>
          <w:p w:rsidR="006447F0" w:rsidRDefault="0063232C" w:rsidP="006447F0">
            <w:pPr>
              <w:pStyle w:val="BodyText"/>
              <w:jc w:val="center"/>
              <w:rPr>
                <w:rFonts w:asciiTheme="minorHAnsi" w:hAnsiTheme="minorHAnsi"/>
                <w:szCs w:val="22"/>
              </w:rPr>
            </w:pPr>
            <w:r>
              <w:rPr>
                <w:rFonts w:asciiTheme="minorHAnsi" w:hAnsiTheme="minorHAnsi"/>
                <w:szCs w:val="22"/>
              </w:rPr>
              <w:t>50</w:t>
            </w:r>
          </w:p>
        </w:tc>
        <w:tc>
          <w:tcPr>
            <w:tcW w:w="1417" w:type="dxa"/>
          </w:tcPr>
          <w:p w:rsidR="006447F0" w:rsidRDefault="0063232C" w:rsidP="006447F0">
            <w:pPr>
              <w:pStyle w:val="BodyText"/>
              <w:jc w:val="center"/>
              <w:rPr>
                <w:rFonts w:asciiTheme="minorHAnsi" w:hAnsiTheme="minorHAnsi"/>
                <w:szCs w:val="22"/>
              </w:rPr>
            </w:pPr>
            <w:r>
              <w:rPr>
                <w:rFonts w:asciiTheme="minorHAnsi" w:hAnsiTheme="minorHAnsi"/>
                <w:szCs w:val="22"/>
              </w:rPr>
              <w:t>106</w:t>
            </w:r>
          </w:p>
        </w:tc>
      </w:tr>
      <w:tr w:rsidR="006447F0" w:rsidRPr="006447F0" w:rsidTr="00866755">
        <w:trPr>
          <w:jc w:val="center"/>
        </w:trPr>
        <w:tc>
          <w:tcPr>
            <w:tcW w:w="4787" w:type="dxa"/>
            <w:tcBorders>
              <w:top w:val="nil"/>
              <w:bottom w:val="nil"/>
            </w:tcBorders>
          </w:tcPr>
          <w:p w:rsidR="006447F0" w:rsidRPr="0063232C" w:rsidRDefault="006447F0" w:rsidP="0072653A">
            <w:pPr>
              <w:pStyle w:val="BodyText"/>
              <w:rPr>
                <w:rFonts w:asciiTheme="minorHAnsi" w:hAnsiTheme="minorHAnsi"/>
                <w:b/>
                <w:szCs w:val="22"/>
              </w:rPr>
            </w:pPr>
          </w:p>
        </w:tc>
        <w:tc>
          <w:tcPr>
            <w:tcW w:w="1417" w:type="dxa"/>
          </w:tcPr>
          <w:p w:rsidR="006447F0" w:rsidRDefault="003E38B3" w:rsidP="006447F0">
            <w:pPr>
              <w:pStyle w:val="BodyText"/>
              <w:jc w:val="center"/>
              <w:rPr>
                <w:rFonts w:asciiTheme="minorHAnsi" w:hAnsiTheme="minorHAnsi"/>
                <w:szCs w:val="22"/>
              </w:rPr>
            </w:pPr>
            <w:r>
              <w:rPr>
                <w:rFonts w:asciiTheme="minorHAnsi" w:hAnsiTheme="minorHAnsi"/>
                <w:szCs w:val="22"/>
              </w:rPr>
              <w:t>13% (3yrs)</w:t>
            </w:r>
          </w:p>
        </w:tc>
        <w:tc>
          <w:tcPr>
            <w:tcW w:w="1418" w:type="dxa"/>
          </w:tcPr>
          <w:p w:rsidR="006447F0" w:rsidRDefault="0063232C" w:rsidP="006447F0">
            <w:pPr>
              <w:pStyle w:val="BodyText"/>
              <w:jc w:val="center"/>
              <w:rPr>
                <w:rFonts w:asciiTheme="minorHAnsi" w:hAnsiTheme="minorHAnsi"/>
                <w:szCs w:val="22"/>
              </w:rPr>
            </w:pPr>
            <w:r>
              <w:rPr>
                <w:rFonts w:asciiTheme="minorHAnsi" w:hAnsiTheme="minorHAnsi"/>
                <w:szCs w:val="22"/>
              </w:rPr>
              <w:t>50</w:t>
            </w:r>
          </w:p>
        </w:tc>
        <w:tc>
          <w:tcPr>
            <w:tcW w:w="1417" w:type="dxa"/>
          </w:tcPr>
          <w:p w:rsidR="006447F0" w:rsidRDefault="0063232C" w:rsidP="006447F0">
            <w:pPr>
              <w:pStyle w:val="BodyText"/>
              <w:jc w:val="center"/>
              <w:rPr>
                <w:rFonts w:asciiTheme="minorHAnsi" w:hAnsiTheme="minorHAnsi"/>
                <w:szCs w:val="22"/>
              </w:rPr>
            </w:pPr>
            <w:r>
              <w:rPr>
                <w:rFonts w:asciiTheme="minorHAnsi" w:hAnsiTheme="minorHAnsi"/>
                <w:szCs w:val="22"/>
              </w:rPr>
              <w:t>110</w:t>
            </w:r>
          </w:p>
        </w:tc>
      </w:tr>
      <w:tr w:rsidR="006447F0" w:rsidRPr="006447F0" w:rsidTr="00866755">
        <w:trPr>
          <w:jc w:val="center"/>
        </w:trPr>
        <w:tc>
          <w:tcPr>
            <w:tcW w:w="4787" w:type="dxa"/>
            <w:tcBorders>
              <w:top w:val="nil"/>
              <w:bottom w:val="single" w:sz="4" w:space="0" w:color="auto"/>
            </w:tcBorders>
          </w:tcPr>
          <w:p w:rsidR="006447F0" w:rsidRPr="0063232C" w:rsidRDefault="006447F0" w:rsidP="0072653A">
            <w:pPr>
              <w:pStyle w:val="BodyText"/>
              <w:rPr>
                <w:rFonts w:asciiTheme="minorHAnsi" w:hAnsiTheme="minorHAnsi"/>
                <w:b/>
                <w:szCs w:val="22"/>
              </w:rPr>
            </w:pPr>
          </w:p>
        </w:tc>
        <w:tc>
          <w:tcPr>
            <w:tcW w:w="1417" w:type="dxa"/>
          </w:tcPr>
          <w:p w:rsidR="006447F0" w:rsidRDefault="003E38B3" w:rsidP="006447F0">
            <w:pPr>
              <w:pStyle w:val="BodyText"/>
              <w:jc w:val="center"/>
              <w:rPr>
                <w:rFonts w:asciiTheme="minorHAnsi" w:hAnsiTheme="minorHAnsi"/>
                <w:szCs w:val="22"/>
              </w:rPr>
            </w:pPr>
            <w:r>
              <w:rPr>
                <w:rFonts w:asciiTheme="minorHAnsi" w:hAnsiTheme="minorHAnsi"/>
                <w:szCs w:val="22"/>
              </w:rPr>
              <w:t>18% (5yrs)</w:t>
            </w:r>
          </w:p>
        </w:tc>
        <w:tc>
          <w:tcPr>
            <w:tcW w:w="1418" w:type="dxa"/>
          </w:tcPr>
          <w:p w:rsidR="006447F0" w:rsidRDefault="0063232C" w:rsidP="006447F0">
            <w:pPr>
              <w:pStyle w:val="BodyText"/>
              <w:jc w:val="center"/>
              <w:rPr>
                <w:rFonts w:asciiTheme="minorHAnsi" w:hAnsiTheme="minorHAnsi"/>
                <w:szCs w:val="22"/>
              </w:rPr>
            </w:pPr>
            <w:r>
              <w:rPr>
                <w:rFonts w:asciiTheme="minorHAnsi" w:hAnsiTheme="minorHAnsi"/>
                <w:szCs w:val="22"/>
              </w:rPr>
              <w:t>50</w:t>
            </w:r>
          </w:p>
        </w:tc>
        <w:tc>
          <w:tcPr>
            <w:tcW w:w="1417" w:type="dxa"/>
          </w:tcPr>
          <w:p w:rsidR="006447F0" w:rsidRDefault="0063232C" w:rsidP="006447F0">
            <w:pPr>
              <w:pStyle w:val="BodyText"/>
              <w:jc w:val="center"/>
              <w:rPr>
                <w:rFonts w:asciiTheme="minorHAnsi" w:hAnsiTheme="minorHAnsi"/>
                <w:szCs w:val="22"/>
              </w:rPr>
            </w:pPr>
            <w:r>
              <w:rPr>
                <w:rFonts w:asciiTheme="minorHAnsi" w:hAnsiTheme="minorHAnsi"/>
                <w:szCs w:val="22"/>
              </w:rPr>
              <w:t>136</w:t>
            </w:r>
          </w:p>
        </w:tc>
      </w:tr>
      <w:tr w:rsidR="006447F0" w:rsidRPr="006447F0" w:rsidTr="00866755">
        <w:trPr>
          <w:jc w:val="center"/>
        </w:trPr>
        <w:tc>
          <w:tcPr>
            <w:tcW w:w="4787" w:type="dxa"/>
            <w:tcBorders>
              <w:bottom w:val="nil"/>
            </w:tcBorders>
            <w:shd w:val="clear" w:color="auto" w:fill="DBE5F1" w:themeFill="accent1" w:themeFillTint="33"/>
          </w:tcPr>
          <w:p w:rsidR="006447F0" w:rsidRPr="0063232C" w:rsidRDefault="003E38B3" w:rsidP="0072653A">
            <w:pPr>
              <w:pStyle w:val="BodyText"/>
              <w:rPr>
                <w:rFonts w:asciiTheme="minorHAnsi" w:hAnsiTheme="minorHAnsi"/>
                <w:b/>
                <w:szCs w:val="22"/>
              </w:rPr>
            </w:pPr>
            <w:r w:rsidRPr="0063232C">
              <w:rPr>
                <w:rFonts w:asciiTheme="minorHAnsi" w:hAnsiTheme="minorHAnsi"/>
                <w:b/>
                <w:szCs w:val="22"/>
              </w:rPr>
              <w:t>Rates and Annual Charges ratio</w:t>
            </w:r>
          </w:p>
        </w:tc>
        <w:tc>
          <w:tcPr>
            <w:tcW w:w="1417" w:type="dxa"/>
            <w:shd w:val="clear" w:color="auto" w:fill="DBE5F1" w:themeFill="accent1" w:themeFillTint="33"/>
          </w:tcPr>
          <w:p w:rsidR="006447F0" w:rsidRDefault="003E38B3" w:rsidP="006447F0">
            <w:pPr>
              <w:pStyle w:val="BodyText"/>
              <w:jc w:val="center"/>
              <w:rPr>
                <w:rFonts w:asciiTheme="minorHAnsi" w:hAnsiTheme="minorHAnsi"/>
                <w:szCs w:val="22"/>
              </w:rPr>
            </w:pPr>
            <w:r w:rsidRPr="006447F0">
              <w:rPr>
                <w:rFonts w:asciiTheme="minorHAnsi" w:hAnsiTheme="minorHAnsi"/>
                <w:szCs w:val="22"/>
              </w:rPr>
              <w:t>Status Quo</w:t>
            </w:r>
          </w:p>
        </w:tc>
        <w:tc>
          <w:tcPr>
            <w:tcW w:w="1418"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42</w:t>
            </w:r>
          </w:p>
        </w:tc>
        <w:tc>
          <w:tcPr>
            <w:tcW w:w="1417"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43</w:t>
            </w:r>
          </w:p>
        </w:tc>
      </w:tr>
      <w:tr w:rsidR="006447F0" w:rsidRPr="006447F0" w:rsidTr="00866755">
        <w:trPr>
          <w:jc w:val="center"/>
        </w:trPr>
        <w:tc>
          <w:tcPr>
            <w:tcW w:w="4787" w:type="dxa"/>
            <w:tcBorders>
              <w:top w:val="nil"/>
              <w:bottom w:val="nil"/>
            </w:tcBorders>
            <w:shd w:val="clear" w:color="auto" w:fill="DBE5F1" w:themeFill="accent1" w:themeFillTint="33"/>
          </w:tcPr>
          <w:p w:rsidR="006447F0" w:rsidRPr="0063232C" w:rsidRDefault="006447F0" w:rsidP="0072653A">
            <w:pPr>
              <w:pStyle w:val="BodyText"/>
              <w:rPr>
                <w:rFonts w:asciiTheme="minorHAnsi" w:hAnsiTheme="minorHAnsi"/>
                <w:b/>
                <w:szCs w:val="22"/>
              </w:rPr>
            </w:pPr>
          </w:p>
        </w:tc>
        <w:tc>
          <w:tcPr>
            <w:tcW w:w="1417" w:type="dxa"/>
            <w:shd w:val="clear" w:color="auto" w:fill="DBE5F1" w:themeFill="accent1" w:themeFillTint="33"/>
          </w:tcPr>
          <w:p w:rsidR="006447F0" w:rsidRDefault="003E38B3" w:rsidP="006447F0">
            <w:pPr>
              <w:pStyle w:val="BodyText"/>
              <w:jc w:val="center"/>
              <w:rPr>
                <w:rFonts w:asciiTheme="minorHAnsi" w:hAnsiTheme="minorHAnsi"/>
                <w:szCs w:val="22"/>
              </w:rPr>
            </w:pPr>
            <w:r>
              <w:rPr>
                <w:rFonts w:asciiTheme="minorHAnsi" w:hAnsiTheme="minorHAnsi"/>
                <w:szCs w:val="22"/>
              </w:rPr>
              <w:t>13% (3yrs)</w:t>
            </w:r>
          </w:p>
        </w:tc>
        <w:tc>
          <w:tcPr>
            <w:tcW w:w="1418"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44</w:t>
            </w:r>
          </w:p>
        </w:tc>
        <w:tc>
          <w:tcPr>
            <w:tcW w:w="1417"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48</w:t>
            </w:r>
          </w:p>
        </w:tc>
      </w:tr>
      <w:tr w:rsidR="006447F0" w:rsidRPr="006447F0" w:rsidTr="00866755">
        <w:trPr>
          <w:jc w:val="center"/>
        </w:trPr>
        <w:tc>
          <w:tcPr>
            <w:tcW w:w="4787" w:type="dxa"/>
            <w:tcBorders>
              <w:top w:val="nil"/>
              <w:bottom w:val="single" w:sz="4" w:space="0" w:color="auto"/>
            </w:tcBorders>
            <w:shd w:val="clear" w:color="auto" w:fill="DBE5F1" w:themeFill="accent1" w:themeFillTint="33"/>
          </w:tcPr>
          <w:p w:rsidR="006447F0" w:rsidRPr="0063232C" w:rsidRDefault="006447F0" w:rsidP="0072653A">
            <w:pPr>
              <w:pStyle w:val="BodyText"/>
              <w:rPr>
                <w:rFonts w:asciiTheme="minorHAnsi" w:hAnsiTheme="minorHAnsi"/>
                <w:b/>
                <w:szCs w:val="22"/>
              </w:rPr>
            </w:pPr>
          </w:p>
        </w:tc>
        <w:tc>
          <w:tcPr>
            <w:tcW w:w="1417" w:type="dxa"/>
            <w:shd w:val="clear" w:color="auto" w:fill="DBE5F1" w:themeFill="accent1" w:themeFillTint="33"/>
          </w:tcPr>
          <w:p w:rsidR="006447F0" w:rsidRDefault="003E38B3" w:rsidP="006447F0">
            <w:pPr>
              <w:pStyle w:val="BodyText"/>
              <w:jc w:val="center"/>
              <w:rPr>
                <w:rFonts w:asciiTheme="minorHAnsi" w:hAnsiTheme="minorHAnsi"/>
                <w:szCs w:val="22"/>
              </w:rPr>
            </w:pPr>
            <w:r>
              <w:rPr>
                <w:rFonts w:asciiTheme="minorHAnsi" w:hAnsiTheme="minorHAnsi"/>
                <w:szCs w:val="22"/>
              </w:rPr>
              <w:t>18% (5yrs)</w:t>
            </w:r>
          </w:p>
        </w:tc>
        <w:tc>
          <w:tcPr>
            <w:tcW w:w="1418"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44</w:t>
            </w:r>
          </w:p>
        </w:tc>
        <w:tc>
          <w:tcPr>
            <w:tcW w:w="1417"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56</w:t>
            </w:r>
          </w:p>
        </w:tc>
      </w:tr>
      <w:tr w:rsidR="006447F0" w:rsidRPr="006447F0" w:rsidTr="00866755">
        <w:trPr>
          <w:jc w:val="center"/>
        </w:trPr>
        <w:tc>
          <w:tcPr>
            <w:tcW w:w="4787" w:type="dxa"/>
            <w:tcBorders>
              <w:bottom w:val="nil"/>
            </w:tcBorders>
          </w:tcPr>
          <w:p w:rsidR="006447F0" w:rsidRPr="0063232C" w:rsidRDefault="003E38B3" w:rsidP="0072653A">
            <w:pPr>
              <w:pStyle w:val="BodyText"/>
              <w:rPr>
                <w:rFonts w:asciiTheme="minorHAnsi" w:hAnsiTheme="minorHAnsi"/>
                <w:b/>
                <w:szCs w:val="22"/>
              </w:rPr>
            </w:pPr>
            <w:r w:rsidRPr="0063232C">
              <w:rPr>
                <w:rFonts w:asciiTheme="minorHAnsi" w:hAnsiTheme="minorHAnsi"/>
                <w:b/>
                <w:szCs w:val="22"/>
              </w:rPr>
              <w:t>Debt Service ratio</w:t>
            </w:r>
          </w:p>
        </w:tc>
        <w:tc>
          <w:tcPr>
            <w:tcW w:w="1417" w:type="dxa"/>
          </w:tcPr>
          <w:p w:rsidR="006447F0" w:rsidRDefault="003E38B3" w:rsidP="006447F0">
            <w:pPr>
              <w:pStyle w:val="BodyText"/>
              <w:jc w:val="center"/>
              <w:rPr>
                <w:rFonts w:asciiTheme="minorHAnsi" w:hAnsiTheme="minorHAnsi"/>
                <w:szCs w:val="22"/>
              </w:rPr>
            </w:pPr>
            <w:r w:rsidRPr="006447F0">
              <w:rPr>
                <w:rFonts w:asciiTheme="minorHAnsi" w:hAnsiTheme="minorHAnsi"/>
                <w:szCs w:val="22"/>
              </w:rPr>
              <w:t>Status Quo</w:t>
            </w:r>
          </w:p>
        </w:tc>
        <w:tc>
          <w:tcPr>
            <w:tcW w:w="1418" w:type="dxa"/>
          </w:tcPr>
          <w:p w:rsidR="006447F0" w:rsidRDefault="0063232C" w:rsidP="006447F0">
            <w:pPr>
              <w:pStyle w:val="BodyText"/>
              <w:jc w:val="center"/>
              <w:rPr>
                <w:rFonts w:asciiTheme="minorHAnsi" w:hAnsiTheme="minorHAnsi"/>
                <w:szCs w:val="22"/>
              </w:rPr>
            </w:pPr>
            <w:r>
              <w:rPr>
                <w:rFonts w:asciiTheme="minorHAnsi" w:hAnsiTheme="minorHAnsi"/>
                <w:szCs w:val="22"/>
              </w:rPr>
              <w:t>4</w:t>
            </w:r>
          </w:p>
        </w:tc>
        <w:tc>
          <w:tcPr>
            <w:tcW w:w="1417" w:type="dxa"/>
          </w:tcPr>
          <w:p w:rsidR="006447F0" w:rsidRDefault="0063232C" w:rsidP="006447F0">
            <w:pPr>
              <w:pStyle w:val="BodyText"/>
              <w:jc w:val="center"/>
              <w:rPr>
                <w:rFonts w:asciiTheme="minorHAnsi" w:hAnsiTheme="minorHAnsi"/>
                <w:szCs w:val="22"/>
              </w:rPr>
            </w:pPr>
            <w:r>
              <w:rPr>
                <w:rFonts w:asciiTheme="minorHAnsi" w:hAnsiTheme="minorHAnsi"/>
                <w:szCs w:val="22"/>
              </w:rPr>
              <w:t>1</w:t>
            </w:r>
          </w:p>
        </w:tc>
      </w:tr>
      <w:tr w:rsidR="006447F0" w:rsidRPr="006447F0" w:rsidTr="00866755">
        <w:trPr>
          <w:jc w:val="center"/>
        </w:trPr>
        <w:tc>
          <w:tcPr>
            <w:tcW w:w="4787" w:type="dxa"/>
            <w:tcBorders>
              <w:top w:val="nil"/>
              <w:bottom w:val="nil"/>
            </w:tcBorders>
          </w:tcPr>
          <w:p w:rsidR="006447F0" w:rsidRPr="0063232C" w:rsidRDefault="006447F0" w:rsidP="0072653A">
            <w:pPr>
              <w:pStyle w:val="BodyText"/>
              <w:rPr>
                <w:rFonts w:asciiTheme="minorHAnsi" w:hAnsiTheme="minorHAnsi"/>
                <w:b/>
                <w:szCs w:val="22"/>
              </w:rPr>
            </w:pPr>
          </w:p>
        </w:tc>
        <w:tc>
          <w:tcPr>
            <w:tcW w:w="1417" w:type="dxa"/>
          </w:tcPr>
          <w:p w:rsidR="006447F0" w:rsidRDefault="003E38B3" w:rsidP="006447F0">
            <w:pPr>
              <w:pStyle w:val="BodyText"/>
              <w:jc w:val="center"/>
              <w:rPr>
                <w:rFonts w:asciiTheme="minorHAnsi" w:hAnsiTheme="minorHAnsi"/>
                <w:szCs w:val="22"/>
              </w:rPr>
            </w:pPr>
            <w:r>
              <w:rPr>
                <w:rFonts w:asciiTheme="minorHAnsi" w:hAnsiTheme="minorHAnsi"/>
                <w:szCs w:val="22"/>
              </w:rPr>
              <w:t>13% (3yrs)</w:t>
            </w:r>
          </w:p>
        </w:tc>
        <w:tc>
          <w:tcPr>
            <w:tcW w:w="1418" w:type="dxa"/>
          </w:tcPr>
          <w:p w:rsidR="006447F0" w:rsidRDefault="0063232C" w:rsidP="006447F0">
            <w:pPr>
              <w:pStyle w:val="BodyText"/>
              <w:jc w:val="center"/>
              <w:rPr>
                <w:rFonts w:asciiTheme="minorHAnsi" w:hAnsiTheme="minorHAnsi"/>
                <w:szCs w:val="22"/>
              </w:rPr>
            </w:pPr>
            <w:r>
              <w:rPr>
                <w:rFonts w:asciiTheme="minorHAnsi" w:hAnsiTheme="minorHAnsi"/>
                <w:szCs w:val="22"/>
              </w:rPr>
              <w:t>3</w:t>
            </w:r>
          </w:p>
        </w:tc>
        <w:tc>
          <w:tcPr>
            <w:tcW w:w="1417" w:type="dxa"/>
          </w:tcPr>
          <w:p w:rsidR="006447F0" w:rsidRDefault="0063232C" w:rsidP="006447F0">
            <w:pPr>
              <w:pStyle w:val="BodyText"/>
              <w:jc w:val="center"/>
              <w:rPr>
                <w:rFonts w:asciiTheme="minorHAnsi" w:hAnsiTheme="minorHAnsi"/>
                <w:szCs w:val="22"/>
              </w:rPr>
            </w:pPr>
            <w:r>
              <w:rPr>
                <w:rFonts w:asciiTheme="minorHAnsi" w:hAnsiTheme="minorHAnsi"/>
                <w:szCs w:val="22"/>
              </w:rPr>
              <w:t>1</w:t>
            </w:r>
          </w:p>
        </w:tc>
      </w:tr>
      <w:tr w:rsidR="006447F0" w:rsidRPr="006447F0" w:rsidTr="00866755">
        <w:trPr>
          <w:jc w:val="center"/>
        </w:trPr>
        <w:tc>
          <w:tcPr>
            <w:tcW w:w="4787" w:type="dxa"/>
            <w:tcBorders>
              <w:top w:val="nil"/>
              <w:bottom w:val="single" w:sz="4" w:space="0" w:color="auto"/>
            </w:tcBorders>
          </w:tcPr>
          <w:p w:rsidR="006447F0" w:rsidRPr="0063232C" w:rsidRDefault="006447F0" w:rsidP="0072653A">
            <w:pPr>
              <w:pStyle w:val="BodyText"/>
              <w:rPr>
                <w:rFonts w:asciiTheme="minorHAnsi" w:hAnsiTheme="minorHAnsi"/>
                <w:b/>
                <w:szCs w:val="22"/>
              </w:rPr>
            </w:pPr>
          </w:p>
        </w:tc>
        <w:tc>
          <w:tcPr>
            <w:tcW w:w="1417" w:type="dxa"/>
            <w:tcBorders>
              <w:bottom w:val="single" w:sz="4" w:space="0" w:color="auto"/>
            </w:tcBorders>
          </w:tcPr>
          <w:p w:rsidR="006447F0" w:rsidRDefault="003E38B3" w:rsidP="006447F0">
            <w:pPr>
              <w:pStyle w:val="BodyText"/>
              <w:jc w:val="center"/>
              <w:rPr>
                <w:rFonts w:asciiTheme="minorHAnsi" w:hAnsiTheme="minorHAnsi"/>
                <w:szCs w:val="22"/>
              </w:rPr>
            </w:pPr>
            <w:r>
              <w:rPr>
                <w:rFonts w:asciiTheme="minorHAnsi" w:hAnsiTheme="minorHAnsi"/>
                <w:szCs w:val="22"/>
              </w:rPr>
              <w:t>18% (5yrs)</w:t>
            </w:r>
          </w:p>
        </w:tc>
        <w:tc>
          <w:tcPr>
            <w:tcW w:w="1418" w:type="dxa"/>
            <w:tcBorders>
              <w:bottom w:val="single" w:sz="4" w:space="0" w:color="auto"/>
            </w:tcBorders>
          </w:tcPr>
          <w:p w:rsidR="006447F0" w:rsidRDefault="0063232C" w:rsidP="006447F0">
            <w:pPr>
              <w:pStyle w:val="BodyText"/>
              <w:jc w:val="center"/>
              <w:rPr>
                <w:rFonts w:asciiTheme="minorHAnsi" w:hAnsiTheme="minorHAnsi"/>
                <w:szCs w:val="22"/>
              </w:rPr>
            </w:pPr>
            <w:r>
              <w:rPr>
                <w:rFonts w:asciiTheme="minorHAnsi" w:hAnsiTheme="minorHAnsi"/>
                <w:szCs w:val="22"/>
              </w:rPr>
              <w:t>3</w:t>
            </w:r>
          </w:p>
        </w:tc>
        <w:tc>
          <w:tcPr>
            <w:tcW w:w="1417" w:type="dxa"/>
            <w:tcBorders>
              <w:bottom w:val="single" w:sz="4" w:space="0" w:color="auto"/>
            </w:tcBorders>
          </w:tcPr>
          <w:p w:rsidR="006447F0" w:rsidRDefault="0063232C" w:rsidP="006447F0">
            <w:pPr>
              <w:pStyle w:val="BodyText"/>
              <w:jc w:val="center"/>
              <w:rPr>
                <w:rFonts w:asciiTheme="minorHAnsi" w:hAnsiTheme="minorHAnsi"/>
                <w:szCs w:val="22"/>
              </w:rPr>
            </w:pPr>
            <w:r>
              <w:rPr>
                <w:rFonts w:asciiTheme="minorHAnsi" w:hAnsiTheme="minorHAnsi"/>
                <w:szCs w:val="22"/>
              </w:rPr>
              <w:t>1</w:t>
            </w:r>
          </w:p>
        </w:tc>
      </w:tr>
      <w:tr w:rsidR="006447F0" w:rsidRPr="006447F0" w:rsidTr="00866755">
        <w:trPr>
          <w:jc w:val="center"/>
        </w:trPr>
        <w:tc>
          <w:tcPr>
            <w:tcW w:w="4787" w:type="dxa"/>
            <w:tcBorders>
              <w:bottom w:val="nil"/>
            </w:tcBorders>
            <w:shd w:val="clear" w:color="auto" w:fill="DBE5F1" w:themeFill="accent1" w:themeFillTint="33"/>
          </w:tcPr>
          <w:p w:rsidR="006447F0" w:rsidRPr="0063232C" w:rsidRDefault="003E38B3" w:rsidP="0072653A">
            <w:pPr>
              <w:pStyle w:val="BodyText"/>
              <w:rPr>
                <w:rFonts w:asciiTheme="minorHAnsi" w:hAnsiTheme="minorHAnsi"/>
                <w:b/>
                <w:szCs w:val="22"/>
              </w:rPr>
            </w:pPr>
            <w:r w:rsidRPr="0063232C">
              <w:rPr>
                <w:rFonts w:asciiTheme="minorHAnsi" w:hAnsiTheme="minorHAnsi"/>
                <w:b/>
                <w:szCs w:val="22"/>
              </w:rPr>
              <w:t>Broad Liabilities ratio</w:t>
            </w:r>
          </w:p>
        </w:tc>
        <w:tc>
          <w:tcPr>
            <w:tcW w:w="1417" w:type="dxa"/>
            <w:shd w:val="clear" w:color="auto" w:fill="DBE5F1" w:themeFill="accent1" w:themeFillTint="33"/>
          </w:tcPr>
          <w:p w:rsidR="006447F0" w:rsidRDefault="003E38B3" w:rsidP="006447F0">
            <w:pPr>
              <w:pStyle w:val="BodyText"/>
              <w:jc w:val="center"/>
              <w:rPr>
                <w:rFonts w:asciiTheme="minorHAnsi" w:hAnsiTheme="minorHAnsi"/>
                <w:szCs w:val="22"/>
              </w:rPr>
            </w:pPr>
            <w:r w:rsidRPr="006447F0">
              <w:rPr>
                <w:rFonts w:asciiTheme="minorHAnsi" w:hAnsiTheme="minorHAnsi"/>
                <w:szCs w:val="22"/>
              </w:rPr>
              <w:t>Status Quo</w:t>
            </w:r>
          </w:p>
        </w:tc>
        <w:tc>
          <w:tcPr>
            <w:tcW w:w="1418"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6.05</w:t>
            </w:r>
          </w:p>
        </w:tc>
        <w:tc>
          <w:tcPr>
            <w:tcW w:w="1417"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6.08</w:t>
            </w:r>
          </w:p>
        </w:tc>
      </w:tr>
      <w:tr w:rsidR="006447F0" w:rsidRPr="006447F0" w:rsidTr="00866755">
        <w:trPr>
          <w:jc w:val="center"/>
        </w:trPr>
        <w:tc>
          <w:tcPr>
            <w:tcW w:w="4787" w:type="dxa"/>
            <w:tcBorders>
              <w:top w:val="nil"/>
              <w:bottom w:val="nil"/>
            </w:tcBorders>
            <w:shd w:val="clear" w:color="auto" w:fill="DBE5F1" w:themeFill="accent1" w:themeFillTint="33"/>
          </w:tcPr>
          <w:p w:rsidR="006447F0" w:rsidRPr="0063232C" w:rsidRDefault="006447F0" w:rsidP="0072653A">
            <w:pPr>
              <w:pStyle w:val="BodyText"/>
              <w:rPr>
                <w:rFonts w:asciiTheme="minorHAnsi" w:hAnsiTheme="minorHAnsi"/>
                <w:b/>
                <w:szCs w:val="22"/>
              </w:rPr>
            </w:pPr>
          </w:p>
        </w:tc>
        <w:tc>
          <w:tcPr>
            <w:tcW w:w="1417" w:type="dxa"/>
            <w:shd w:val="clear" w:color="auto" w:fill="DBE5F1" w:themeFill="accent1" w:themeFillTint="33"/>
          </w:tcPr>
          <w:p w:rsidR="006447F0" w:rsidRDefault="003E38B3" w:rsidP="006447F0">
            <w:pPr>
              <w:pStyle w:val="BodyText"/>
              <w:jc w:val="center"/>
              <w:rPr>
                <w:rFonts w:asciiTheme="minorHAnsi" w:hAnsiTheme="minorHAnsi"/>
                <w:szCs w:val="22"/>
              </w:rPr>
            </w:pPr>
            <w:r>
              <w:rPr>
                <w:rFonts w:asciiTheme="minorHAnsi" w:hAnsiTheme="minorHAnsi"/>
                <w:szCs w:val="22"/>
              </w:rPr>
              <w:t>13% (3yrs)</w:t>
            </w:r>
          </w:p>
        </w:tc>
        <w:tc>
          <w:tcPr>
            <w:tcW w:w="1418"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5.85</w:t>
            </w:r>
          </w:p>
        </w:tc>
        <w:tc>
          <w:tcPr>
            <w:tcW w:w="1417"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5.42</w:t>
            </w:r>
          </w:p>
        </w:tc>
      </w:tr>
      <w:tr w:rsidR="006447F0" w:rsidRPr="006447F0" w:rsidTr="00866755">
        <w:trPr>
          <w:jc w:val="center"/>
        </w:trPr>
        <w:tc>
          <w:tcPr>
            <w:tcW w:w="4787" w:type="dxa"/>
            <w:tcBorders>
              <w:top w:val="nil"/>
              <w:bottom w:val="single" w:sz="4" w:space="0" w:color="auto"/>
            </w:tcBorders>
            <w:shd w:val="clear" w:color="auto" w:fill="DBE5F1" w:themeFill="accent1" w:themeFillTint="33"/>
          </w:tcPr>
          <w:p w:rsidR="006447F0" w:rsidRPr="0063232C" w:rsidRDefault="006447F0" w:rsidP="0072653A">
            <w:pPr>
              <w:pStyle w:val="BodyText"/>
              <w:rPr>
                <w:rFonts w:asciiTheme="minorHAnsi" w:hAnsiTheme="minorHAnsi"/>
                <w:b/>
                <w:szCs w:val="22"/>
              </w:rPr>
            </w:pPr>
          </w:p>
        </w:tc>
        <w:tc>
          <w:tcPr>
            <w:tcW w:w="1417" w:type="dxa"/>
            <w:shd w:val="clear" w:color="auto" w:fill="DBE5F1" w:themeFill="accent1" w:themeFillTint="33"/>
          </w:tcPr>
          <w:p w:rsidR="006447F0" w:rsidRDefault="003E38B3" w:rsidP="006447F0">
            <w:pPr>
              <w:pStyle w:val="BodyText"/>
              <w:jc w:val="center"/>
              <w:rPr>
                <w:rFonts w:asciiTheme="minorHAnsi" w:hAnsiTheme="minorHAnsi"/>
                <w:szCs w:val="22"/>
              </w:rPr>
            </w:pPr>
            <w:r>
              <w:rPr>
                <w:rFonts w:asciiTheme="minorHAnsi" w:hAnsiTheme="minorHAnsi"/>
                <w:szCs w:val="22"/>
              </w:rPr>
              <w:t>18% (5yrs)</w:t>
            </w:r>
          </w:p>
        </w:tc>
        <w:tc>
          <w:tcPr>
            <w:tcW w:w="1418"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5.75</w:t>
            </w:r>
          </w:p>
        </w:tc>
        <w:tc>
          <w:tcPr>
            <w:tcW w:w="1417" w:type="dxa"/>
            <w:shd w:val="clear" w:color="auto" w:fill="DBE5F1" w:themeFill="accent1" w:themeFillTint="33"/>
          </w:tcPr>
          <w:p w:rsidR="006447F0" w:rsidRDefault="0063232C" w:rsidP="006447F0">
            <w:pPr>
              <w:pStyle w:val="BodyText"/>
              <w:jc w:val="center"/>
              <w:rPr>
                <w:rFonts w:asciiTheme="minorHAnsi" w:hAnsiTheme="minorHAnsi"/>
                <w:szCs w:val="22"/>
              </w:rPr>
            </w:pPr>
            <w:r>
              <w:rPr>
                <w:rFonts w:asciiTheme="minorHAnsi" w:hAnsiTheme="minorHAnsi"/>
                <w:szCs w:val="22"/>
              </w:rPr>
              <w:t>4.42</w:t>
            </w:r>
          </w:p>
        </w:tc>
      </w:tr>
      <w:tr w:rsidR="003E38B3" w:rsidRPr="006447F0" w:rsidTr="00866755">
        <w:trPr>
          <w:jc w:val="center"/>
        </w:trPr>
        <w:tc>
          <w:tcPr>
            <w:tcW w:w="4787" w:type="dxa"/>
            <w:tcBorders>
              <w:bottom w:val="nil"/>
            </w:tcBorders>
          </w:tcPr>
          <w:p w:rsidR="003E38B3" w:rsidRPr="0063232C" w:rsidRDefault="003E38B3" w:rsidP="0072653A">
            <w:pPr>
              <w:pStyle w:val="BodyText"/>
              <w:rPr>
                <w:rFonts w:asciiTheme="minorHAnsi" w:hAnsiTheme="minorHAnsi"/>
                <w:b/>
                <w:szCs w:val="22"/>
              </w:rPr>
            </w:pPr>
            <w:r w:rsidRPr="0063232C">
              <w:rPr>
                <w:rFonts w:asciiTheme="minorHAnsi" w:hAnsiTheme="minorHAnsi"/>
                <w:b/>
                <w:szCs w:val="22"/>
              </w:rPr>
              <w:t>Asset Renewal ratio</w:t>
            </w:r>
          </w:p>
        </w:tc>
        <w:tc>
          <w:tcPr>
            <w:tcW w:w="1417" w:type="dxa"/>
          </w:tcPr>
          <w:p w:rsidR="003E38B3" w:rsidRDefault="003E38B3" w:rsidP="006447F0">
            <w:pPr>
              <w:pStyle w:val="BodyText"/>
              <w:jc w:val="center"/>
              <w:rPr>
                <w:rFonts w:asciiTheme="minorHAnsi" w:hAnsiTheme="minorHAnsi"/>
                <w:szCs w:val="22"/>
              </w:rPr>
            </w:pPr>
            <w:r w:rsidRPr="006447F0">
              <w:rPr>
                <w:rFonts w:asciiTheme="minorHAnsi" w:hAnsiTheme="minorHAnsi"/>
                <w:szCs w:val="22"/>
              </w:rPr>
              <w:t>Status Quo</w:t>
            </w:r>
          </w:p>
        </w:tc>
        <w:tc>
          <w:tcPr>
            <w:tcW w:w="1418" w:type="dxa"/>
          </w:tcPr>
          <w:p w:rsidR="003E38B3" w:rsidRDefault="0063232C" w:rsidP="006447F0">
            <w:pPr>
              <w:pStyle w:val="BodyText"/>
              <w:jc w:val="center"/>
              <w:rPr>
                <w:rFonts w:asciiTheme="minorHAnsi" w:hAnsiTheme="minorHAnsi"/>
                <w:szCs w:val="22"/>
              </w:rPr>
            </w:pPr>
            <w:r>
              <w:rPr>
                <w:rFonts w:asciiTheme="minorHAnsi" w:hAnsiTheme="minorHAnsi"/>
                <w:szCs w:val="22"/>
              </w:rPr>
              <w:t>46</w:t>
            </w:r>
          </w:p>
        </w:tc>
        <w:tc>
          <w:tcPr>
            <w:tcW w:w="1417" w:type="dxa"/>
          </w:tcPr>
          <w:p w:rsidR="003E38B3" w:rsidRDefault="0063232C" w:rsidP="006447F0">
            <w:pPr>
              <w:pStyle w:val="BodyText"/>
              <w:jc w:val="center"/>
              <w:rPr>
                <w:rFonts w:asciiTheme="minorHAnsi" w:hAnsiTheme="minorHAnsi"/>
                <w:szCs w:val="22"/>
              </w:rPr>
            </w:pPr>
            <w:r>
              <w:rPr>
                <w:rFonts w:asciiTheme="minorHAnsi" w:hAnsiTheme="minorHAnsi"/>
                <w:szCs w:val="22"/>
              </w:rPr>
              <w:t>37</w:t>
            </w:r>
          </w:p>
        </w:tc>
      </w:tr>
      <w:tr w:rsidR="003E38B3" w:rsidRPr="006447F0" w:rsidTr="00866755">
        <w:trPr>
          <w:jc w:val="center"/>
        </w:trPr>
        <w:tc>
          <w:tcPr>
            <w:tcW w:w="4787" w:type="dxa"/>
            <w:tcBorders>
              <w:top w:val="nil"/>
              <w:bottom w:val="nil"/>
            </w:tcBorders>
          </w:tcPr>
          <w:p w:rsidR="003E38B3" w:rsidRPr="0063232C" w:rsidRDefault="003E38B3" w:rsidP="0072653A">
            <w:pPr>
              <w:pStyle w:val="BodyText"/>
              <w:rPr>
                <w:rFonts w:asciiTheme="minorHAnsi" w:hAnsiTheme="minorHAnsi"/>
                <w:b/>
                <w:szCs w:val="22"/>
              </w:rPr>
            </w:pPr>
          </w:p>
        </w:tc>
        <w:tc>
          <w:tcPr>
            <w:tcW w:w="1417" w:type="dxa"/>
          </w:tcPr>
          <w:p w:rsidR="003E38B3" w:rsidRDefault="003E38B3" w:rsidP="006447F0">
            <w:pPr>
              <w:pStyle w:val="BodyText"/>
              <w:jc w:val="center"/>
              <w:rPr>
                <w:rFonts w:asciiTheme="minorHAnsi" w:hAnsiTheme="minorHAnsi"/>
                <w:szCs w:val="22"/>
              </w:rPr>
            </w:pPr>
            <w:r>
              <w:rPr>
                <w:rFonts w:asciiTheme="minorHAnsi" w:hAnsiTheme="minorHAnsi"/>
                <w:szCs w:val="22"/>
              </w:rPr>
              <w:t>13% (3yrs)</w:t>
            </w:r>
          </w:p>
        </w:tc>
        <w:tc>
          <w:tcPr>
            <w:tcW w:w="1418" w:type="dxa"/>
          </w:tcPr>
          <w:p w:rsidR="003E38B3" w:rsidRDefault="0063232C" w:rsidP="006447F0">
            <w:pPr>
              <w:pStyle w:val="BodyText"/>
              <w:jc w:val="center"/>
              <w:rPr>
                <w:rFonts w:asciiTheme="minorHAnsi" w:hAnsiTheme="minorHAnsi"/>
                <w:szCs w:val="22"/>
              </w:rPr>
            </w:pPr>
            <w:r>
              <w:rPr>
                <w:rFonts w:asciiTheme="minorHAnsi" w:hAnsiTheme="minorHAnsi"/>
                <w:szCs w:val="22"/>
              </w:rPr>
              <w:t>54</w:t>
            </w:r>
          </w:p>
        </w:tc>
        <w:tc>
          <w:tcPr>
            <w:tcW w:w="1417" w:type="dxa"/>
          </w:tcPr>
          <w:p w:rsidR="003E38B3" w:rsidRDefault="0063232C" w:rsidP="006447F0">
            <w:pPr>
              <w:pStyle w:val="BodyText"/>
              <w:jc w:val="center"/>
              <w:rPr>
                <w:rFonts w:asciiTheme="minorHAnsi" w:hAnsiTheme="minorHAnsi"/>
                <w:szCs w:val="22"/>
              </w:rPr>
            </w:pPr>
            <w:r>
              <w:rPr>
                <w:rFonts w:asciiTheme="minorHAnsi" w:hAnsiTheme="minorHAnsi"/>
                <w:szCs w:val="22"/>
              </w:rPr>
              <w:t>65</w:t>
            </w:r>
          </w:p>
        </w:tc>
      </w:tr>
      <w:tr w:rsidR="003E38B3" w:rsidRPr="006447F0" w:rsidTr="00866755">
        <w:trPr>
          <w:jc w:val="center"/>
        </w:trPr>
        <w:tc>
          <w:tcPr>
            <w:tcW w:w="4787" w:type="dxa"/>
            <w:tcBorders>
              <w:top w:val="nil"/>
            </w:tcBorders>
          </w:tcPr>
          <w:p w:rsidR="003E38B3" w:rsidRPr="0063232C" w:rsidRDefault="003E38B3" w:rsidP="0072653A">
            <w:pPr>
              <w:pStyle w:val="BodyText"/>
              <w:rPr>
                <w:rFonts w:asciiTheme="minorHAnsi" w:hAnsiTheme="minorHAnsi"/>
                <w:b/>
                <w:szCs w:val="22"/>
              </w:rPr>
            </w:pPr>
          </w:p>
        </w:tc>
        <w:tc>
          <w:tcPr>
            <w:tcW w:w="1417" w:type="dxa"/>
          </w:tcPr>
          <w:p w:rsidR="003E38B3" w:rsidRDefault="003E38B3" w:rsidP="006447F0">
            <w:pPr>
              <w:pStyle w:val="BodyText"/>
              <w:jc w:val="center"/>
              <w:rPr>
                <w:rFonts w:asciiTheme="minorHAnsi" w:hAnsiTheme="minorHAnsi"/>
                <w:szCs w:val="22"/>
              </w:rPr>
            </w:pPr>
            <w:r>
              <w:rPr>
                <w:rFonts w:asciiTheme="minorHAnsi" w:hAnsiTheme="minorHAnsi"/>
                <w:szCs w:val="22"/>
              </w:rPr>
              <w:t>18% (5yrs)</w:t>
            </w:r>
          </w:p>
        </w:tc>
        <w:tc>
          <w:tcPr>
            <w:tcW w:w="1418" w:type="dxa"/>
          </w:tcPr>
          <w:p w:rsidR="003E38B3" w:rsidRDefault="0063232C" w:rsidP="006447F0">
            <w:pPr>
              <w:pStyle w:val="BodyText"/>
              <w:jc w:val="center"/>
              <w:rPr>
                <w:rFonts w:asciiTheme="minorHAnsi" w:hAnsiTheme="minorHAnsi"/>
                <w:szCs w:val="22"/>
              </w:rPr>
            </w:pPr>
            <w:r>
              <w:rPr>
                <w:rFonts w:asciiTheme="minorHAnsi" w:hAnsiTheme="minorHAnsi"/>
                <w:szCs w:val="22"/>
              </w:rPr>
              <w:t>59</w:t>
            </w:r>
          </w:p>
        </w:tc>
        <w:tc>
          <w:tcPr>
            <w:tcW w:w="1417" w:type="dxa"/>
          </w:tcPr>
          <w:p w:rsidR="003E38B3" w:rsidRDefault="0063232C" w:rsidP="006447F0">
            <w:pPr>
              <w:pStyle w:val="BodyText"/>
              <w:jc w:val="center"/>
              <w:rPr>
                <w:rFonts w:asciiTheme="minorHAnsi" w:hAnsiTheme="minorHAnsi"/>
                <w:szCs w:val="22"/>
              </w:rPr>
            </w:pPr>
            <w:r>
              <w:rPr>
                <w:rFonts w:asciiTheme="minorHAnsi" w:hAnsiTheme="minorHAnsi"/>
                <w:szCs w:val="22"/>
              </w:rPr>
              <w:t>116</w:t>
            </w:r>
          </w:p>
        </w:tc>
      </w:tr>
    </w:tbl>
    <w:p w:rsidR="0091004C" w:rsidRPr="006941B1" w:rsidRDefault="0091004C" w:rsidP="00765302">
      <w:pPr>
        <w:pStyle w:val="BodyText"/>
        <w:ind w:left="-567" w:firstLine="567"/>
        <w:rPr>
          <w:rFonts w:asciiTheme="minorHAnsi" w:hAnsiTheme="minorHAnsi" w:cs="Arial"/>
          <w:b/>
          <w:szCs w:val="22"/>
        </w:rPr>
      </w:pPr>
      <w:bookmarkStart w:id="24" w:name="_Toc330915503"/>
      <w:bookmarkStart w:id="25" w:name="_Toc334702527"/>
      <w:r w:rsidRPr="006941B1">
        <w:rPr>
          <w:rFonts w:asciiTheme="minorHAnsi" w:hAnsiTheme="minorHAnsi" w:cs="Arial"/>
          <w:b/>
          <w:szCs w:val="22"/>
        </w:rPr>
        <w:t>Sustainability</w:t>
      </w:r>
      <w:bookmarkEnd w:id="24"/>
      <w:bookmarkEnd w:id="25"/>
      <w:r w:rsidRPr="006941B1">
        <w:rPr>
          <w:rFonts w:asciiTheme="minorHAnsi" w:hAnsiTheme="minorHAnsi" w:cs="Arial"/>
          <w:b/>
          <w:szCs w:val="22"/>
        </w:rPr>
        <w:t xml:space="preserve"> assessment from review</w:t>
      </w:r>
      <w:r w:rsidRPr="006941B1">
        <w:rPr>
          <w:rFonts w:asciiTheme="minorHAnsi" w:hAnsiTheme="minorHAnsi" w:cs="Arial"/>
          <w:b/>
          <w:szCs w:val="22"/>
        </w:rPr>
        <w:tab/>
      </w:r>
    </w:p>
    <w:p w:rsidR="0091004C" w:rsidRPr="006941B1" w:rsidRDefault="0091004C" w:rsidP="00D94E3C">
      <w:pPr>
        <w:pStyle w:val="BodyText"/>
        <w:ind w:left="-567"/>
        <w:rPr>
          <w:rFonts w:asciiTheme="minorHAnsi" w:hAnsiTheme="minorHAnsi" w:cs="Arial"/>
          <w:szCs w:val="22"/>
        </w:rPr>
      </w:pPr>
      <w:r w:rsidRPr="006941B1">
        <w:rPr>
          <w:rFonts w:asciiTheme="minorHAnsi" w:hAnsiTheme="minorHAnsi" w:cs="Arial"/>
          <w:szCs w:val="22"/>
        </w:rPr>
        <w:lastRenderedPageBreak/>
        <w:t xml:space="preserve">Council is in an unsustainable financial position if current operating conditions continue.  We have reported an operating deficit in each of the past </w:t>
      </w:r>
      <w:r w:rsidR="00010037" w:rsidRPr="006941B1">
        <w:rPr>
          <w:rFonts w:asciiTheme="minorHAnsi" w:hAnsiTheme="minorHAnsi" w:cs="Arial"/>
          <w:szCs w:val="22"/>
        </w:rPr>
        <w:t>five</w:t>
      </w:r>
      <w:r w:rsidRPr="006941B1">
        <w:rPr>
          <w:rFonts w:asciiTheme="minorHAnsi" w:hAnsiTheme="minorHAnsi" w:cs="Arial"/>
          <w:szCs w:val="22"/>
        </w:rPr>
        <w:t xml:space="preserve"> years when capital grants and contributions are excluded and have forecast a deteriorating position each year of the forecast period.</w:t>
      </w:r>
    </w:p>
    <w:p w:rsidR="00A17554" w:rsidRPr="006941B1" w:rsidRDefault="0091004C" w:rsidP="00D94E3C">
      <w:pPr>
        <w:pStyle w:val="BodyText"/>
        <w:ind w:left="-567"/>
        <w:rPr>
          <w:rFonts w:asciiTheme="minorHAnsi" w:hAnsiTheme="minorHAnsi" w:cs="Arial"/>
          <w:szCs w:val="22"/>
        </w:rPr>
      </w:pPr>
      <w:r w:rsidRPr="006941B1">
        <w:rPr>
          <w:rFonts w:asciiTheme="minorHAnsi" w:hAnsiTheme="minorHAnsi" w:cs="Arial"/>
          <w:szCs w:val="22"/>
        </w:rPr>
        <w:t>We need to consider all possibilities to raise additional revenues and/or reduce expenses to enable the continuation of the current levels of service to the community.  The process of applying for a SV is one of the options that will assist to reverse the declining operating results.</w:t>
      </w:r>
    </w:p>
    <w:p w:rsidR="0091004C" w:rsidRPr="006941B1" w:rsidRDefault="0091004C" w:rsidP="00D94E3C">
      <w:pPr>
        <w:pStyle w:val="BodyText"/>
        <w:ind w:left="-567"/>
        <w:rPr>
          <w:rFonts w:asciiTheme="minorHAnsi" w:hAnsiTheme="minorHAnsi"/>
          <w:szCs w:val="22"/>
        </w:rPr>
      </w:pPr>
      <w:r w:rsidRPr="006941B1">
        <w:rPr>
          <w:rFonts w:asciiTheme="minorHAnsi" w:hAnsiTheme="minorHAnsi"/>
          <w:szCs w:val="22"/>
        </w:rPr>
        <w:t>In considering longer term financial sustainability the following arise:</w:t>
      </w:r>
    </w:p>
    <w:p w:rsidR="0091004C" w:rsidRPr="006941B1" w:rsidRDefault="007742F2" w:rsidP="0060639F">
      <w:pPr>
        <w:pStyle w:val="BodyText"/>
        <w:numPr>
          <w:ilvl w:val="0"/>
          <w:numId w:val="55"/>
        </w:numPr>
        <w:ind w:left="-284" w:hanging="283"/>
        <w:rPr>
          <w:rFonts w:asciiTheme="minorHAnsi" w:hAnsiTheme="minorHAnsi"/>
          <w:b/>
          <w:szCs w:val="22"/>
        </w:rPr>
      </w:pPr>
      <w:r w:rsidRPr="006941B1">
        <w:rPr>
          <w:rFonts w:asciiTheme="minorHAnsi" w:hAnsiTheme="minorHAnsi"/>
          <w:szCs w:val="22"/>
        </w:rPr>
        <w:t>The</w:t>
      </w:r>
      <w:r w:rsidR="0091004C" w:rsidRPr="006941B1">
        <w:rPr>
          <w:rFonts w:asciiTheme="minorHAnsi" w:hAnsiTheme="minorHAnsi"/>
          <w:szCs w:val="22"/>
        </w:rPr>
        <w:t xml:space="preserve"> ‘Status Quo’ </w:t>
      </w:r>
      <w:r w:rsidRPr="006941B1">
        <w:rPr>
          <w:rFonts w:asciiTheme="minorHAnsi" w:hAnsiTheme="minorHAnsi"/>
          <w:szCs w:val="22"/>
        </w:rPr>
        <w:t>forecast</w:t>
      </w:r>
      <w:r w:rsidR="0091004C" w:rsidRPr="006941B1">
        <w:rPr>
          <w:rFonts w:asciiTheme="minorHAnsi" w:hAnsiTheme="minorHAnsi"/>
          <w:szCs w:val="22"/>
        </w:rPr>
        <w:t xml:space="preserve"> highlights operating deficits will continue and are likely to increase, making it impossible for Council to maintain the current service levels and their asset maintenance and renewals funding at an acceptable level</w:t>
      </w:r>
    </w:p>
    <w:p w:rsidR="0091004C" w:rsidRPr="006941B1" w:rsidRDefault="0091004C" w:rsidP="0060639F">
      <w:pPr>
        <w:pStyle w:val="BodyText"/>
        <w:numPr>
          <w:ilvl w:val="0"/>
          <w:numId w:val="55"/>
        </w:numPr>
        <w:ind w:left="-284" w:hanging="283"/>
        <w:rPr>
          <w:rFonts w:asciiTheme="minorHAnsi" w:hAnsiTheme="minorHAnsi"/>
          <w:b/>
          <w:szCs w:val="22"/>
        </w:rPr>
      </w:pPr>
      <w:r w:rsidRPr="006941B1">
        <w:rPr>
          <w:rFonts w:asciiTheme="minorHAnsi" w:hAnsiTheme="minorHAnsi"/>
          <w:szCs w:val="22"/>
        </w:rPr>
        <w:t>Council’s forecast capital expenditure remains below the required levels and is forecast to decrease to well below the level required to maintain the quality of Council’s asset base</w:t>
      </w:r>
    </w:p>
    <w:p w:rsidR="0091004C" w:rsidRPr="006941B1" w:rsidRDefault="0091004C" w:rsidP="0060639F">
      <w:pPr>
        <w:pStyle w:val="BodyText"/>
        <w:numPr>
          <w:ilvl w:val="0"/>
          <w:numId w:val="55"/>
        </w:numPr>
        <w:ind w:left="-284" w:hanging="283"/>
        <w:rPr>
          <w:rFonts w:asciiTheme="minorHAnsi" w:hAnsiTheme="minorHAnsi"/>
          <w:b/>
          <w:szCs w:val="22"/>
        </w:rPr>
      </w:pPr>
      <w:r w:rsidRPr="006941B1">
        <w:rPr>
          <w:rFonts w:asciiTheme="minorHAnsi" w:hAnsiTheme="minorHAnsi"/>
          <w:szCs w:val="22"/>
        </w:rPr>
        <w:t xml:space="preserve">Council has limited financial reserves and does not have sufficient resources to withstand any significant unforeseen financial events </w:t>
      </w:r>
    </w:p>
    <w:p w:rsidR="0091004C" w:rsidRPr="006941B1" w:rsidRDefault="0091004C" w:rsidP="0060639F">
      <w:pPr>
        <w:pStyle w:val="BodyText"/>
        <w:numPr>
          <w:ilvl w:val="0"/>
          <w:numId w:val="55"/>
        </w:numPr>
        <w:ind w:left="-284"/>
        <w:rPr>
          <w:rFonts w:asciiTheme="minorHAnsi" w:hAnsiTheme="minorHAnsi"/>
          <w:b/>
          <w:szCs w:val="22"/>
        </w:rPr>
      </w:pPr>
      <w:r w:rsidRPr="006941B1">
        <w:rPr>
          <w:rFonts w:asciiTheme="minorHAnsi" w:hAnsiTheme="minorHAnsi"/>
          <w:szCs w:val="22"/>
        </w:rPr>
        <w:t xml:space="preserve">If a SV application is approved, it may not generate sufficient additional revenues to improve Council’s operating results to a </w:t>
      </w:r>
      <w:r w:rsidR="00765302">
        <w:rPr>
          <w:rFonts w:asciiTheme="minorHAnsi" w:hAnsiTheme="minorHAnsi"/>
          <w:szCs w:val="22"/>
        </w:rPr>
        <w:t>s</w:t>
      </w:r>
      <w:r w:rsidRPr="006941B1">
        <w:rPr>
          <w:rFonts w:asciiTheme="minorHAnsi" w:hAnsiTheme="minorHAnsi"/>
          <w:szCs w:val="22"/>
        </w:rPr>
        <w:t>ustainable position</w:t>
      </w:r>
      <w:r w:rsidR="00765302">
        <w:rPr>
          <w:rFonts w:asciiTheme="minorHAnsi" w:hAnsiTheme="minorHAnsi"/>
          <w:szCs w:val="22"/>
        </w:rPr>
        <w:t>. F</w:t>
      </w:r>
      <w:r w:rsidRPr="006941B1">
        <w:rPr>
          <w:rFonts w:asciiTheme="minorHAnsi" w:hAnsiTheme="minorHAnsi"/>
          <w:szCs w:val="22"/>
        </w:rPr>
        <w:t>urther options to raise revenues and/or reduce expenses will</w:t>
      </w:r>
      <w:r w:rsidR="00765302">
        <w:rPr>
          <w:rFonts w:asciiTheme="minorHAnsi" w:hAnsiTheme="minorHAnsi"/>
          <w:szCs w:val="22"/>
        </w:rPr>
        <w:t xml:space="preserve"> need to</w:t>
      </w:r>
      <w:r w:rsidRPr="006941B1">
        <w:rPr>
          <w:rFonts w:asciiTheme="minorHAnsi" w:hAnsiTheme="minorHAnsi"/>
          <w:szCs w:val="22"/>
        </w:rPr>
        <w:t xml:space="preserve"> be </w:t>
      </w:r>
      <w:r w:rsidR="00765302">
        <w:rPr>
          <w:rFonts w:asciiTheme="minorHAnsi" w:hAnsiTheme="minorHAnsi"/>
          <w:szCs w:val="22"/>
        </w:rPr>
        <w:t>introduc</w:t>
      </w:r>
      <w:r w:rsidRPr="006941B1">
        <w:rPr>
          <w:rFonts w:asciiTheme="minorHAnsi" w:hAnsiTheme="minorHAnsi"/>
          <w:szCs w:val="22"/>
        </w:rPr>
        <w:t>ed as detailed within the LTFP</w:t>
      </w:r>
    </w:p>
    <w:p w:rsidR="0091004C" w:rsidRPr="006941B1" w:rsidRDefault="0091004C" w:rsidP="0060639F">
      <w:pPr>
        <w:pStyle w:val="BodyText"/>
        <w:numPr>
          <w:ilvl w:val="0"/>
          <w:numId w:val="55"/>
        </w:numPr>
        <w:ind w:left="-284"/>
        <w:rPr>
          <w:rFonts w:asciiTheme="minorHAnsi" w:hAnsiTheme="minorHAnsi"/>
          <w:b/>
          <w:szCs w:val="22"/>
        </w:rPr>
      </w:pPr>
      <w:r w:rsidRPr="006941B1">
        <w:rPr>
          <w:rFonts w:asciiTheme="minorHAnsi" w:hAnsiTheme="minorHAnsi"/>
          <w:szCs w:val="22"/>
        </w:rPr>
        <w:t xml:space="preserve">Council is </w:t>
      </w:r>
      <w:r w:rsidR="00010037" w:rsidRPr="006941B1">
        <w:rPr>
          <w:rFonts w:asciiTheme="minorHAnsi" w:hAnsiTheme="minorHAnsi"/>
          <w:szCs w:val="22"/>
        </w:rPr>
        <w:t>cognisant of controlling employee expenses having terminated or not replaced 4 senior staff. Further a moratorium on all positions is in place. An identified action will be to better align our employee functions to a revised CSP.</w:t>
      </w:r>
      <w:r w:rsidRPr="006941B1">
        <w:rPr>
          <w:rFonts w:asciiTheme="minorHAnsi" w:hAnsiTheme="minorHAnsi"/>
          <w:szCs w:val="22"/>
        </w:rPr>
        <w:t xml:space="preserve">   </w:t>
      </w:r>
    </w:p>
    <w:p w:rsidR="0091004C" w:rsidRPr="006941B1" w:rsidRDefault="0091004C" w:rsidP="0060639F">
      <w:pPr>
        <w:pStyle w:val="BodyText"/>
        <w:numPr>
          <w:ilvl w:val="0"/>
          <w:numId w:val="55"/>
        </w:numPr>
        <w:ind w:left="-284"/>
        <w:rPr>
          <w:rFonts w:asciiTheme="minorHAnsi" w:hAnsiTheme="minorHAnsi"/>
          <w:szCs w:val="22"/>
        </w:rPr>
      </w:pPr>
      <w:r w:rsidRPr="006941B1">
        <w:rPr>
          <w:rFonts w:asciiTheme="minorHAnsi" w:hAnsiTheme="minorHAnsi"/>
          <w:szCs w:val="22"/>
        </w:rPr>
        <w:t>Capital projects identified in the current S94 Plan (developer contributions) and associated Asset Management and Risk Management plans have been included in the model. It should be noted, however,</w:t>
      </w:r>
      <w:r w:rsidR="0053575F" w:rsidRPr="006941B1">
        <w:rPr>
          <w:rFonts w:asciiTheme="minorHAnsi" w:hAnsiTheme="minorHAnsi"/>
          <w:szCs w:val="22"/>
        </w:rPr>
        <w:t xml:space="preserve"> </w:t>
      </w:r>
      <w:r w:rsidRPr="006941B1">
        <w:rPr>
          <w:rFonts w:asciiTheme="minorHAnsi" w:hAnsiTheme="minorHAnsi"/>
          <w:szCs w:val="22"/>
        </w:rPr>
        <w:t>that the</w:t>
      </w:r>
      <w:r w:rsidR="00010037" w:rsidRPr="006941B1">
        <w:rPr>
          <w:rFonts w:asciiTheme="minorHAnsi" w:hAnsiTheme="minorHAnsi"/>
          <w:szCs w:val="22"/>
        </w:rPr>
        <w:t xml:space="preserve"> S94 is currently going through a review </w:t>
      </w:r>
      <w:r w:rsidRPr="006941B1">
        <w:rPr>
          <w:rFonts w:asciiTheme="minorHAnsi" w:hAnsiTheme="minorHAnsi"/>
          <w:szCs w:val="22"/>
        </w:rPr>
        <w:t>and projected expenditure for specific projects may be impacted. It should also be noted that not all S94 contribution “cash” will be available in the year identified for the commencement of the project.</w:t>
      </w:r>
    </w:p>
    <w:p w:rsidR="001F565A" w:rsidRPr="006941B1" w:rsidRDefault="001F565A" w:rsidP="00765302">
      <w:pPr>
        <w:pStyle w:val="BodyText"/>
        <w:ind w:left="-284"/>
        <w:rPr>
          <w:rFonts w:asciiTheme="minorHAnsi" w:hAnsiTheme="minorHAnsi"/>
          <w:szCs w:val="22"/>
        </w:rPr>
      </w:pPr>
      <w:r w:rsidRPr="006941B1">
        <w:rPr>
          <w:rFonts w:asciiTheme="minorHAnsi" w:hAnsiTheme="minorHAnsi"/>
          <w:szCs w:val="22"/>
        </w:rPr>
        <w:t>In support of the works program attached to the additional revenues generated by the SV Council</w:t>
      </w:r>
      <w:r w:rsidR="00765302">
        <w:rPr>
          <w:rFonts w:asciiTheme="minorHAnsi" w:hAnsiTheme="minorHAnsi"/>
          <w:szCs w:val="22"/>
        </w:rPr>
        <w:t>,</w:t>
      </w:r>
      <w:r w:rsidRPr="006941B1">
        <w:rPr>
          <w:rFonts w:asciiTheme="minorHAnsi" w:hAnsiTheme="minorHAnsi"/>
          <w:szCs w:val="22"/>
        </w:rPr>
        <w:t xml:space="preserve"> will adopt the following specific transport asset </w:t>
      </w:r>
      <w:r w:rsidR="009C5515" w:rsidRPr="006941B1">
        <w:rPr>
          <w:rFonts w:asciiTheme="minorHAnsi" w:hAnsiTheme="minorHAnsi"/>
          <w:szCs w:val="22"/>
        </w:rPr>
        <w:t>strategies</w:t>
      </w:r>
      <w:r w:rsidR="00765302">
        <w:rPr>
          <w:rFonts w:asciiTheme="minorHAnsi" w:hAnsiTheme="minorHAnsi"/>
          <w:szCs w:val="22"/>
        </w:rPr>
        <w:t xml:space="preserve"> as part of the overall implementation of wider efficiency strategies</w:t>
      </w:r>
      <w:r w:rsidR="009C5515" w:rsidRPr="006941B1">
        <w:rPr>
          <w:rFonts w:asciiTheme="minorHAnsi" w:hAnsiTheme="minorHAnsi"/>
          <w:szCs w:val="22"/>
        </w:rPr>
        <w:t>:</w:t>
      </w:r>
    </w:p>
    <w:p w:rsidR="001F565A" w:rsidRPr="006941B1" w:rsidRDefault="001F565A" w:rsidP="0060639F">
      <w:pPr>
        <w:pStyle w:val="BodyText"/>
        <w:numPr>
          <w:ilvl w:val="0"/>
          <w:numId w:val="39"/>
        </w:numPr>
        <w:ind w:left="284"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t>Continue the community engagement process on service levels for our transport infrastructure,</w:t>
      </w:r>
    </w:p>
    <w:p w:rsidR="001F565A" w:rsidRPr="006941B1" w:rsidRDefault="001F565A" w:rsidP="0060639F">
      <w:pPr>
        <w:pStyle w:val="BodyText"/>
        <w:numPr>
          <w:ilvl w:val="0"/>
          <w:numId w:val="39"/>
        </w:numPr>
        <w:ind w:left="284"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t>Further developing and refining our Asset Management System to ensure it reflects comprehensive and current information regarding our transport infrastructure,</w:t>
      </w:r>
    </w:p>
    <w:p w:rsidR="001F565A" w:rsidRPr="006941B1" w:rsidRDefault="001F565A" w:rsidP="0060639F">
      <w:pPr>
        <w:pStyle w:val="BodyText"/>
        <w:numPr>
          <w:ilvl w:val="0"/>
          <w:numId w:val="39"/>
        </w:numPr>
        <w:ind w:left="284"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t>Making continuous improvements to our road maintenance activities in order to gain maximum efficiency and value for money</w:t>
      </w:r>
    </w:p>
    <w:p w:rsidR="001F565A" w:rsidRPr="006941B1" w:rsidRDefault="001F565A" w:rsidP="0060639F">
      <w:pPr>
        <w:pStyle w:val="BodyText"/>
        <w:numPr>
          <w:ilvl w:val="0"/>
          <w:numId w:val="39"/>
        </w:numPr>
        <w:ind w:left="284"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t>Make submissions to State and Federal Governments for funding assistance to address our infrastructure funding crisis</w:t>
      </w:r>
    </w:p>
    <w:p w:rsidR="001F565A" w:rsidRPr="006941B1" w:rsidRDefault="001F565A" w:rsidP="0060639F">
      <w:pPr>
        <w:pStyle w:val="BodyText"/>
        <w:numPr>
          <w:ilvl w:val="0"/>
          <w:numId w:val="39"/>
        </w:numPr>
        <w:ind w:left="567"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lastRenderedPageBreak/>
        <w:t>Establishing policies to direct rural subdivision and dwelling construction to areas where acceptable road standards can provide access, or required road upgrading can be achieved to minimum public standards</w:t>
      </w:r>
    </w:p>
    <w:p w:rsidR="001F565A" w:rsidRPr="006941B1" w:rsidRDefault="001F565A" w:rsidP="0060639F">
      <w:pPr>
        <w:pStyle w:val="BodyText"/>
        <w:numPr>
          <w:ilvl w:val="0"/>
          <w:numId w:val="39"/>
        </w:numPr>
        <w:ind w:left="567"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t>Reviewing section 94 contributions for essential capital upgrades, and where Council's unfunded liability can be achieved</w:t>
      </w:r>
    </w:p>
    <w:p w:rsidR="001F565A" w:rsidRPr="006941B1" w:rsidRDefault="001F565A" w:rsidP="0060639F">
      <w:pPr>
        <w:pStyle w:val="BodyText"/>
        <w:numPr>
          <w:ilvl w:val="0"/>
          <w:numId w:val="39"/>
        </w:numPr>
        <w:ind w:left="567"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t>Minimising transport assets, by sale of surplus roads and refusal of transfer of assets from Government Authorities</w:t>
      </w:r>
    </w:p>
    <w:p w:rsidR="001F565A" w:rsidRPr="006941B1" w:rsidRDefault="001F565A" w:rsidP="0060639F">
      <w:pPr>
        <w:pStyle w:val="BodyText"/>
        <w:numPr>
          <w:ilvl w:val="0"/>
          <w:numId w:val="39"/>
        </w:numPr>
        <w:ind w:left="567" w:hanging="284"/>
        <w:rPr>
          <w:rFonts w:asciiTheme="minorHAnsi" w:hAnsiTheme="minorHAnsi" w:cs="Arial Narrow"/>
          <w:bCs/>
          <w:color w:val="000000"/>
          <w:kern w:val="24"/>
          <w:szCs w:val="22"/>
        </w:rPr>
      </w:pPr>
      <w:r w:rsidRPr="006941B1">
        <w:rPr>
          <w:rFonts w:asciiTheme="minorHAnsi" w:hAnsiTheme="minorHAnsi" w:cs="Arial Narrow"/>
          <w:bCs/>
          <w:color w:val="000000"/>
          <w:kern w:val="24"/>
          <w:szCs w:val="22"/>
        </w:rPr>
        <w:t>Monitor and report SV generated works program as to completion and review future rates revenue as to adequacy.</w:t>
      </w:r>
    </w:p>
    <w:p w:rsidR="001F565A" w:rsidRPr="00A17554" w:rsidRDefault="001F565A" w:rsidP="00765302">
      <w:pPr>
        <w:pStyle w:val="ListBullet"/>
        <w:numPr>
          <w:ilvl w:val="0"/>
          <w:numId w:val="0"/>
        </w:numPr>
        <w:pBdr>
          <w:bottom w:val="single" w:sz="4" w:space="1" w:color="auto"/>
        </w:pBdr>
        <w:spacing w:line="360" w:lineRule="auto"/>
        <w:rPr>
          <w:rFonts w:asciiTheme="minorHAnsi" w:hAnsiTheme="minorHAnsi"/>
          <w:szCs w:val="22"/>
        </w:rPr>
      </w:pPr>
    </w:p>
    <w:p w:rsidR="004B58E6" w:rsidRDefault="004B58E6" w:rsidP="00261E25">
      <w:pPr>
        <w:pStyle w:val="Heading2"/>
      </w:pPr>
      <w:bookmarkStart w:id="26" w:name="_Toc401138370"/>
      <w:r>
        <w:t>Contribution plan costs above the cap</w:t>
      </w:r>
      <w:bookmarkEnd w:id="26"/>
    </w:p>
    <w:p w:rsidR="004B58E6" w:rsidRPr="008B1F5A" w:rsidRDefault="008B1F5A" w:rsidP="004B58E6">
      <w:pPr>
        <w:pStyle w:val="BodyText"/>
      </w:pPr>
      <w:r w:rsidRPr="008B1F5A">
        <w:t>You should c</w:t>
      </w:r>
      <w:r w:rsidR="00F413CE" w:rsidRPr="008B1F5A">
        <w:t>omplete this section i</w:t>
      </w:r>
      <w:r w:rsidR="004B58E6" w:rsidRPr="008B1F5A">
        <w:t>f the special variation seeks funding for contributions plan costs above the development contributions cap.</w:t>
      </w:r>
      <w:r w:rsidR="00F57C50" w:rsidRPr="008B1F5A">
        <w:t xml:space="preserve"> Otherwise, leave this section blank.</w:t>
      </w:r>
    </w:p>
    <w:p w:rsidR="00C774B5" w:rsidRDefault="008B1F5A" w:rsidP="004B58E6">
      <w:pPr>
        <w:pStyle w:val="BodyText"/>
      </w:pPr>
      <w:r w:rsidRPr="008B1F5A">
        <w:t>Please e</w:t>
      </w:r>
      <w:r w:rsidR="00C774B5" w:rsidRPr="008B1F5A">
        <w:t>xplain how the</w:t>
      </w:r>
      <w:r w:rsidR="00C774B5" w:rsidRPr="0003702A">
        <w:t xml:space="preserve"> council has established the need for a special variation to meet the shortfall in</w:t>
      </w:r>
      <w:r w:rsidR="00C774B5">
        <w:t xml:space="preserve"> development contributions</w:t>
      </w:r>
      <w:r w:rsidR="00C774B5" w:rsidRPr="0003702A">
        <w:t>.</w:t>
      </w:r>
    </w:p>
    <w:p w:rsidR="00D77B17" w:rsidRPr="00BD468D" w:rsidRDefault="00D77B17" w:rsidP="00D77B17">
      <w:pPr>
        <w:pStyle w:val="BoxText"/>
        <w:rPr>
          <w:bCs/>
        </w:rPr>
      </w:pPr>
      <w:r w:rsidRPr="00D77B17">
        <w:rPr>
          <w:rStyle w:val="BodyTextChar"/>
        </w:rPr>
        <w:t xml:space="preserve">For costs above </w:t>
      </w:r>
      <w:r w:rsidRPr="00BD468D">
        <w:rPr>
          <w:rStyle w:val="BodyTextChar"/>
        </w:rPr>
        <w:t>the cap in contributions plans, a council must provide</w:t>
      </w:r>
      <w:r w:rsidR="0086528B">
        <w:rPr>
          <w:rStyle w:val="BodyTextChar"/>
        </w:rPr>
        <w:t>:</w:t>
      </w:r>
      <w:r w:rsidRPr="00BD468D">
        <w:rPr>
          <w:rStyle w:val="FootnoteReference"/>
        </w:rPr>
        <w:footnoteReference w:id="4"/>
      </w:r>
    </w:p>
    <w:p w:rsidR="00D77B17" w:rsidRPr="00BD468D" w:rsidRDefault="00D77B17" w:rsidP="00D77B17">
      <w:pPr>
        <w:pStyle w:val="ListBullet"/>
      </w:pPr>
      <w:r w:rsidRPr="00BD468D">
        <w:t>a copy of the council’s section 94 contributions plan</w:t>
      </w:r>
    </w:p>
    <w:p w:rsidR="00D77B17" w:rsidRPr="008B1F5A" w:rsidRDefault="00D77B17" w:rsidP="00D77B17">
      <w:pPr>
        <w:pStyle w:val="ListBullet"/>
      </w:pPr>
      <w:r w:rsidRPr="00BD468D">
        <w:t>a co</w:t>
      </w:r>
      <w:r w:rsidR="00C774B5" w:rsidRPr="00BD468D">
        <w:t xml:space="preserve">py of the Minister for Planning’s </w:t>
      </w:r>
      <w:r w:rsidRPr="00BD468D">
        <w:t xml:space="preserve">response to IPART’s review and details of how the council has </w:t>
      </w:r>
      <w:r w:rsidRPr="008B1F5A">
        <w:t>subsequently amended the contributions plan</w:t>
      </w:r>
    </w:p>
    <w:p w:rsidR="00D77B17" w:rsidRPr="008B1F5A" w:rsidRDefault="00D77B17" w:rsidP="00D77B17">
      <w:pPr>
        <w:pStyle w:val="ListBullet"/>
      </w:pPr>
      <w:r w:rsidRPr="008B1F5A">
        <w:t>details of any other funding sources that the council is proposing to use</w:t>
      </w:r>
    </w:p>
    <w:p w:rsidR="00D77B17" w:rsidRPr="008B1F5A" w:rsidRDefault="00D77B17" w:rsidP="00D77B17">
      <w:pPr>
        <w:pStyle w:val="ListBullet"/>
      </w:pPr>
      <w:r w:rsidRPr="008B1F5A">
        <w:t>any reference to the proposed contributions (which were previously to be funded by developers) in the council’s planning documents (eg, LTFP and Asset Management Plan (AMP)</w:t>
      </w:r>
      <w:r w:rsidR="00BF47D1" w:rsidRPr="008B1F5A">
        <w:t>.</w:t>
      </w:r>
    </w:p>
    <w:p w:rsidR="00D77B17"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E71F8D">
            <w:r>
              <w:t>NA</w:t>
            </w:r>
          </w:p>
        </w:tc>
      </w:tr>
    </w:tbl>
    <w:p w:rsidR="000F359C" w:rsidRDefault="000F359C" w:rsidP="006607B9">
      <w:pPr>
        <w:pStyle w:val="Heading1"/>
      </w:pPr>
      <w:bookmarkStart w:id="27" w:name="_Toc401138371"/>
      <w:r>
        <w:t>Assessment criterion 2: Community awareness and engagement</w:t>
      </w:r>
      <w:bookmarkEnd w:id="27"/>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Pr="006D3A62" w:rsidRDefault="00D60EA5" w:rsidP="00B84AA8">
      <w:pPr>
        <w:pStyle w:val="Quote"/>
        <w:rPr>
          <w:rFonts w:ascii="Arial" w:hAnsi="Arial"/>
          <w:i/>
        </w:rPr>
      </w:pPr>
      <w:r w:rsidRPr="006D3A62">
        <w:rPr>
          <w:rFonts w:ascii="Arial" w:hAnsi="Arial"/>
          <w:i/>
        </w:rPr>
        <w:t xml:space="preserve">Evidence that the community is aware of the need for and extent of a rate rise.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w:t>
      </w:r>
      <w:r w:rsidR="00D93423">
        <w:rPr>
          <w:rFonts w:ascii="Arial" w:hAnsi="Arial"/>
          <w:i/>
        </w:rPr>
        <w:lastRenderedPageBreak/>
        <w:t xml:space="preserve">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D60EA5" w:rsidRDefault="004F1E3F" w:rsidP="00D60EA5">
      <w:pPr>
        <w:pStyle w:val="BodyText"/>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D60EA5">
      <w:pPr>
        <w:pStyle w:val="ListBullet"/>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D60EA5">
      <w:pPr>
        <w:pStyle w:val="ListBullet"/>
      </w:pPr>
      <w:r>
        <w:t xml:space="preserve">it </w:t>
      </w:r>
      <w:r w:rsidR="00B84AA8">
        <w:t>p</w:t>
      </w:r>
      <w:r w:rsidR="00D60EA5">
        <w:t>rovided opportunities for input and gathered input/feedback from the community about the proposal</w:t>
      </w:r>
    </w:p>
    <w:p w:rsidR="00D60EA5" w:rsidRDefault="009E7E19" w:rsidP="009E7E19">
      <w:pPr>
        <w:pStyle w:val="ListBullet"/>
      </w:pPr>
      <w:r>
        <w:t>the IP&amp;R documents clearly set out the extent of the requested rate increases</w:t>
      </w:r>
      <w:r w:rsidR="0065063C">
        <w:t>.</w:t>
      </w:r>
    </w:p>
    <w:p w:rsidR="00901623" w:rsidRDefault="00D60EA5" w:rsidP="00901623">
      <w:pPr>
        <w:pStyle w:val="BodyText"/>
      </w:pPr>
      <w:r>
        <w:t>In assessing the evidence, we will consider how transparent the engagement with the community has been, especially in relation to explaining:</w:t>
      </w:r>
      <w:r w:rsidR="00216DCF">
        <w:t xml:space="preserve"> </w:t>
      </w:r>
    </w:p>
    <w:p w:rsidR="00D60EA5" w:rsidRPr="00901623" w:rsidRDefault="00D60EA5" w:rsidP="00901623">
      <w:pPr>
        <w:pStyle w:val="ListBullet"/>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D60EA5">
      <w:pPr>
        <w:pStyle w:val="ListBullet"/>
      </w:pPr>
      <w:r w:rsidRPr="00901623">
        <w:t xml:space="preserve">the </w:t>
      </w:r>
      <w:r w:rsidRPr="00266497">
        <w:t>annual increase in rates that will result if the special variation is approved in full (and not just the increase in daily or weekly terms)</w:t>
      </w:r>
    </w:p>
    <w:p w:rsidR="00D60EA5" w:rsidRPr="00266497" w:rsidRDefault="00D60EA5" w:rsidP="00D60EA5">
      <w:pPr>
        <w:pStyle w:val="ListBullet"/>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D60EA5">
      <w:pPr>
        <w:pStyle w:val="ListBullet"/>
      </w:pPr>
      <w:r w:rsidRPr="00266497">
        <w:t>the</w:t>
      </w:r>
      <w:r w:rsidR="00D60EA5" w:rsidRPr="00266497">
        <w:t xml:space="preserve"> rate levels that would apply without the special variation</w:t>
      </w:r>
    </w:p>
    <w:p w:rsidR="00D60EA5" w:rsidRDefault="00D60EA5" w:rsidP="00D60EA5">
      <w:pPr>
        <w:pStyle w:val="ListBullet"/>
      </w:pPr>
      <w:r w:rsidRPr="00266497">
        <w:t>proposed increases in any other council charges (eg, waste management, water and sewer</w:t>
      </w:r>
      <w:r w:rsidRPr="00901623">
        <w:t>), especially if these are likely to exceed the increase in the CPI.</w:t>
      </w:r>
    </w:p>
    <w:p w:rsidR="007C25F0" w:rsidRDefault="007C25F0" w:rsidP="00464B32">
      <w:pPr>
        <w:pStyle w:val="BodyText"/>
      </w:pPr>
      <w:r w:rsidRPr="002D00DA">
        <w:t xml:space="preserve">More information about how the council may engage the community is to be found in the OLG </w:t>
      </w:r>
      <w:r w:rsidRPr="00270B1F">
        <w:rPr>
          <w:i/>
        </w:rPr>
        <w:t>Guidelines</w:t>
      </w:r>
      <w:r w:rsidRPr="002D00DA">
        <w:t xml:space="preserve">, the IP&amp;R manual, and </w:t>
      </w:r>
      <w:r w:rsidRPr="006019BE">
        <w:t xml:space="preserve">IPART’s Fact Sheet </w:t>
      </w:r>
      <w:r w:rsidRPr="00270B1F">
        <w:rPr>
          <w:i/>
        </w:rPr>
        <w:t>Community Awareness and Engagement</w:t>
      </w:r>
      <w:r w:rsidR="001F1E22">
        <w:rPr>
          <w:i/>
        </w:rPr>
        <w:t xml:space="preserve"> for special variation applications</w:t>
      </w:r>
      <w:r w:rsidRPr="006019BE">
        <w:t>, October 2014.</w:t>
      </w:r>
    </w:p>
    <w:p w:rsidR="00D60EA5"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122C88" w:rsidTr="006607B9">
        <w:trPr>
          <w:cantSplit/>
        </w:trPr>
        <w:tc>
          <w:tcPr>
            <w:tcW w:w="7938" w:type="dxa"/>
            <w:tcBorders>
              <w:top w:val="single" w:sz="24" w:space="0" w:color="7C7C7C"/>
            </w:tcBorders>
            <w:shd w:val="clear" w:color="auto" w:fill="auto"/>
            <w:tcMar>
              <w:left w:w="0" w:type="dxa"/>
              <w:right w:w="0" w:type="dxa"/>
            </w:tcMar>
          </w:tcPr>
          <w:p w:rsidR="00D60EA5" w:rsidRPr="00131AFC" w:rsidRDefault="00D60EA5" w:rsidP="00B84AA8">
            <w:pPr>
              <w:pStyle w:val="BoxTitle"/>
            </w:pPr>
            <w:r>
              <w:lastRenderedPageBreak/>
              <w:fldChar w:fldCharType="begin"/>
            </w:r>
            <w:r>
              <w:instrText xml:space="preserve"> IF 1 = 1 "Box </w:instrText>
            </w:r>
            <w:r>
              <w:fldChar w:fldCharType="begin"/>
            </w:r>
            <w:r>
              <w:instrText xml:space="preserve"> IF </w:instrText>
            </w:r>
            <w:fldSimple w:instr=" STYLEREF &quot;Heading 6&quot; \l \n ">
              <w:r w:rsidR="00DF3253">
                <w:rPr>
                  <w:noProof/>
                </w:rPr>
                <w:instrText>0</w:instrText>
              </w:r>
            </w:fldSimple>
            <w:r>
              <w:instrText xml:space="preserve"> = 0 "</w:instrText>
            </w:r>
            <w:r>
              <w:fldChar w:fldCharType="begin"/>
            </w:r>
            <w:r>
              <w:instrText xml:space="preserve"> IF </w:instrText>
            </w:r>
            <w:fldSimple w:instr=" STYLEREF &quot;Heading 1&quot; \l \n ">
              <w:r w:rsidR="00DF3253">
                <w:rPr>
                  <w:noProof/>
                </w:rPr>
                <w:instrText>4</w:instrText>
              </w:r>
            </w:fldSimple>
            <w:r>
              <w:instrText xml:space="preserve"> = 0 "" "</w:instrText>
            </w:r>
            <w:fldSimple w:instr=" STYLEREF &quot;Heading 1&quot; \l \n ">
              <w:r w:rsidR="00DF3253">
                <w:rPr>
                  <w:noProof/>
                </w:rPr>
                <w:instrText>4</w:instrText>
              </w:r>
            </w:fldSimple>
            <w:r>
              <w:instrText xml:space="preserve">." </w:instrText>
            </w:r>
            <w:r>
              <w:fldChar w:fldCharType="separate"/>
            </w:r>
            <w:r w:rsidR="00DF3253">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DF3253">
              <w:rPr>
                <w:noProof/>
              </w:rPr>
              <w:instrText>4.</w:instrText>
            </w:r>
            <w:r>
              <w:fldChar w:fldCharType="end"/>
            </w:r>
            <w:r>
              <w:fldChar w:fldCharType="begin"/>
            </w:r>
            <w:r>
              <w:instrText xml:space="preserve"> SEQ Box \* ARABIC \s </w:instrText>
            </w:r>
            <w:r>
              <w:fldChar w:fldCharType="begin"/>
            </w:r>
            <w:r>
              <w:instrText xml:space="preserve"> IF </w:instrText>
            </w:r>
            <w:fldSimple w:instr=" STYLEREF &quot;Heading 6&quot; \l \n ">
              <w:r w:rsidR="00DF3253">
                <w:rPr>
                  <w:noProof/>
                </w:rPr>
                <w:instrText>0</w:instrText>
              </w:r>
            </w:fldSimple>
            <w:r>
              <w:instrText xml:space="preserve"> = 0 "</w:instrText>
            </w:r>
            <w:r>
              <w:fldChar w:fldCharType="begin"/>
            </w:r>
            <w:r>
              <w:instrText xml:space="preserve"> IF </w:instrText>
            </w:r>
            <w:fldSimple w:instr=" STYLEREF &quot;Heading 1&quot; \l \n ">
              <w:r w:rsidR="00DF3253">
                <w:rPr>
                  <w:noProof/>
                </w:rPr>
                <w:instrText>4</w:instrText>
              </w:r>
            </w:fldSimple>
            <w:r>
              <w:instrText xml:space="preserve"> = 0 "" "1" </w:instrText>
            </w:r>
            <w:r>
              <w:fldChar w:fldCharType="separate"/>
            </w:r>
            <w:r w:rsidR="00DF3253">
              <w:rPr>
                <w:noProof/>
              </w:rPr>
              <w:instrText>1</w:instrText>
            </w:r>
            <w:r>
              <w:fldChar w:fldCharType="end"/>
            </w:r>
            <w:r>
              <w:instrText xml:space="preserve">" "6" </w:instrText>
            </w:r>
            <w:r>
              <w:fldChar w:fldCharType="separate"/>
            </w:r>
            <w:r w:rsidR="00DF3253">
              <w:rPr>
                <w:noProof/>
              </w:rPr>
              <w:instrText>1</w:instrText>
            </w:r>
            <w:r>
              <w:fldChar w:fldCharType="end"/>
            </w:r>
            <w:r>
              <w:instrText xml:space="preserve"> </w:instrText>
            </w:r>
            <w:r>
              <w:fldChar w:fldCharType="separate"/>
            </w:r>
            <w:r w:rsidR="00DF3253">
              <w:rPr>
                <w:noProof/>
              </w:rPr>
              <w:instrText>1</w:instrText>
            </w:r>
            <w:r>
              <w:fldChar w:fldCharType="end"/>
            </w:r>
            <w:r>
              <w:instrText xml:space="preserve">" "" </w:instrText>
            </w:r>
            <w:r>
              <w:fldChar w:fldCharType="separate"/>
            </w:r>
            <w:bookmarkStart w:id="28" w:name="_Box6820"/>
            <w:r w:rsidR="00DF3253">
              <w:rPr>
                <w:noProof/>
              </w:rPr>
              <w:t>Box 4.1</w:t>
            </w:r>
            <w:bookmarkEnd w:id="28"/>
            <w:r>
              <w:fldChar w:fldCharType="end"/>
            </w:r>
            <w:r w:rsidRPr="00122C88">
              <w:tab/>
            </w:r>
            <w:r>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2D00DA" w:rsidRDefault="00D60EA5" w:rsidP="006607B9">
            <w:pPr>
              <w:pStyle w:val="BoxText"/>
            </w:pPr>
            <w:r w:rsidRPr="00385582">
              <w:t>The council</w:t>
            </w:r>
            <w:r w:rsidR="00122DB2">
              <w:t>’s application</w:t>
            </w:r>
            <w:r w:rsidRPr="00385582">
              <w:t xml:space="preserve"> shoul</w:t>
            </w:r>
            <w:r w:rsidRPr="002D00DA">
              <w:t xml:space="preserve">d </w:t>
            </w:r>
            <w:r w:rsidR="00122DB2">
              <w:t xml:space="preserve">show how you have </w:t>
            </w:r>
            <w:r w:rsidRPr="002D00DA">
              <w:t>explain</w:t>
            </w:r>
            <w:r w:rsidR="00122DB2">
              <w:t>ed</w:t>
            </w:r>
            <w:r w:rsidRPr="002D00DA">
              <w:t xml:space="preserve"> to its community:</w:t>
            </w:r>
          </w:p>
          <w:p w:rsidR="00D60EA5" w:rsidRPr="002D00DA" w:rsidRDefault="000A58C7" w:rsidP="006607B9">
            <w:pPr>
              <w:pStyle w:val="BoxListBullet"/>
            </w:pPr>
            <w:r w:rsidRPr="002D00DA">
              <w:t>T</w:t>
            </w:r>
            <w:r w:rsidR="00D60EA5" w:rsidRPr="002D00DA">
              <w:t>here is a special variation due to expire at the end of th</w:t>
            </w:r>
            <w:r w:rsidR="00D06665" w:rsidRPr="002D00DA">
              <w:t xml:space="preserve">e current </w:t>
            </w:r>
            <w:r w:rsidR="00D60EA5" w:rsidRPr="002D00DA">
              <w:t>financial year or during the period covered by the proposed special variation</w:t>
            </w:r>
            <w:r w:rsidRPr="002D00DA">
              <w:t xml:space="preserve">.  This needs to </w:t>
            </w:r>
            <w:r w:rsidR="00C94A16" w:rsidRPr="002D00DA">
              <w:t xml:space="preserve">include when </w:t>
            </w:r>
            <w:r w:rsidR="007730A7">
              <w:t xml:space="preserve">the expiring special variation was originally </w:t>
            </w:r>
            <w:r w:rsidR="00C94A16" w:rsidRPr="002D00DA">
              <w:t xml:space="preserve">approved, for what purpose and the </w:t>
            </w:r>
            <w:r w:rsidR="00A041EB" w:rsidRPr="002D00DA">
              <w:t xml:space="preserve">percentage </w:t>
            </w:r>
            <w:r w:rsidRPr="002D00DA">
              <w:t xml:space="preserve">of </w:t>
            </w:r>
            <w:r w:rsidR="00270E9D" w:rsidRPr="002D00DA">
              <w:t>(General Fund)</w:t>
            </w:r>
            <w:r w:rsidR="00270E9D">
              <w:t xml:space="preserve"> </w:t>
            </w:r>
            <w:r w:rsidRPr="002D00DA">
              <w:t>general income originally approved</w:t>
            </w:r>
            <w:r w:rsidR="009D36D4" w:rsidRPr="002D00DA">
              <w:t>.</w:t>
            </w:r>
          </w:p>
          <w:p w:rsidR="00EF1DCA" w:rsidRDefault="00EF1DCA" w:rsidP="00356BC4">
            <w:pPr>
              <w:pStyle w:val="BoxListBullet"/>
            </w:pPr>
            <w:r>
              <w:t>T</w:t>
            </w:r>
            <w:r w:rsidRPr="002D00DA">
              <w:t xml:space="preserve">he corresponding percentage of general income that </w:t>
            </w:r>
            <w:r>
              <w:t xml:space="preserve">the expiring special variation </w:t>
            </w:r>
            <w:r w:rsidRPr="002D00DA">
              <w:t>represents</w:t>
            </w:r>
            <w:r>
              <w:t xml:space="preserve"> for the relevant year</w:t>
            </w:r>
            <w:r w:rsidRPr="002D00DA">
              <w:t>.</w:t>
            </w:r>
          </w:p>
          <w:p w:rsidR="00B97221" w:rsidRPr="00440FC8" w:rsidRDefault="00B97221" w:rsidP="00356BC4">
            <w:pPr>
              <w:pStyle w:val="BoxListBullet"/>
            </w:pPr>
            <w:r>
              <w:t>Whether the temporary</w:t>
            </w:r>
            <w:r w:rsidRPr="00440FC8">
              <w:t xml:space="preserve"> expiring special variation is being replaced with a</w:t>
            </w:r>
            <w:r w:rsidR="00EF1DCA">
              <w:t>nother</w:t>
            </w:r>
            <w:r w:rsidRPr="00440FC8">
              <w:t xml:space="preserve"> </w:t>
            </w:r>
            <w:r>
              <w:t xml:space="preserve">temporary or </w:t>
            </w:r>
            <w:r w:rsidR="00EF1DCA">
              <w:t xml:space="preserve">a </w:t>
            </w:r>
            <w:r w:rsidRPr="00440FC8">
              <w:t>permanent increase to the rate base</w:t>
            </w:r>
            <w:r w:rsidR="00DF7DA8">
              <w:t>.</w:t>
            </w:r>
          </w:p>
          <w:p w:rsidR="00EF1DCA" w:rsidRPr="002D00DA" w:rsidRDefault="00EF1DCA" w:rsidP="00EF1DCA">
            <w:pPr>
              <w:pStyle w:val="BoxListBullet"/>
            </w:pPr>
            <w:r>
              <w:t>T</w:t>
            </w:r>
            <w:r w:rsidRPr="0030291B">
              <w:t>he percentage value of any additional variation amount</w:t>
            </w:r>
            <w:r>
              <w:t>,</w:t>
            </w:r>
            <w:r w:rsidRPr="0030291B">
              <w:t xml:space="preserve"> above the rate peg</w:t>
            </w:r>
            <w:r>
              <w:t>,</w:t>
            </w:r>
            <w:r w:rsidRPr="0030291B">
              <w:t xml:space="preserve"> for which the council is applying for through a special variation.</w:t>
            </w:r>
          </w:p>
          <w:p w:rsidR="00D60EA5" w:rsidRPr="002D00DA" w:rsidRDefault="00A01F5A" w:rsidP="006607B9">
            <w:pPr>
              <w:pStyle w:val="BoxListBullet"/>
            </w:pPr>
            <w:r w:rsidRPr="002D00DA">
              <w:t>I</w:t>
            </w:r>
            <w:r w:rsidR="00D60EA5" w:rsidRPr="002D00DA">
              <w:t xml:space="preserve">f the </w:t>
            </w:r>
            <w:r w:rsidR="00270E9D">
              <w:t xml:space="preserve">proposed </w:t>
            </w:r>
            <w:r w:rsidR="00D60EA5" w:rsidRPr="002D00DA">
              <w:t xml:space="preserve">special variation </w:t>
            </w:r>
            <w:r w:rsidR="00345C90">
              <w:t>was</w:t>
            </w:r>
            <w:r w:rsidR="00345C90" w:rsidRPr="002D00DA">
              <w:t xml:space="preserve"> </w:t>
            </w:r>
            <w:r w:rsidR="00D60EA5" w:rsidRPr="002D00DA">
              <w:t xml:space="preserve">not approved </w:t>
            </w:r>
            <w:r w:rsidR="00270E9D">
              <w:t xml:space="preserve">ie, </w:t>
            </w:r>
            <w:r w:rsidR="00D60EA5" w:rsidRPr="002D00DA">
              <w:t>only the rate peg applie</w:t>
            </w:r>
            <w:r w:rsidR="00270E9D">
              <w:t>s</w:t>
            </w:r>
            <w:r w:rsidR="00D60EA5" w:rsidRPr="002D00DA">
              <w:t>, the year-on-year change in rates would be lower, or that rates may fall</w:t>
            </w:r>
            <w:r w:rsidR="009D36D4" w:rsidRPr="002D00DA">
              <w:t>.</w:t>
            </w:r>
          </w:p>
          <w:p w:rsidR="00C94A16" w:rsidRPr="00385582" w:rsidRDefault="00C94A16" w:rsidP="00B230DF">
            <w:pPr>
              <w:pStyle w:val="BoxText"/>
            </w:pPr>
            <w:r w:rsidRPr="002D00DA">
              <w:t xml:space="preserve">The council </w:t>
            </w:r>
            <w:r w:rsidR="00B230DF" w:rsidRPr="002D00DA">
              <w:t>also</w:t>
            </w:r>
            <w:r w:rsidR="00B230DF" w:rsidRPr="002845D8">
              <w:t xml:space="preserve"> </w:t>
            </w:r>
            <w:r w:rsidRPr="002845D8">
              <w:t>must attach</w:t>
            </w:r>
            <w:r w:rsidR="00B230DF" w:rsidRPr="002845D8">
              <w:t>, to its application to IPART,</w:t>
            </w:r>
            <w:r w:rsidRPr="002845D8">
              <w:t xml:space="preserve"> a copy of the Instrument of Approval that has been signed by </w:t>
            </w:r>
            <w:r w:rsidR="00B230DF" w:rsidRPr="002845D8">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B043CE" w:rsidRDefault="00B043CE" w:rsidP="00A17554">
      <w:pPr>
        <w:spacing w:after="120" w:line="360" w:lineRule="auto"/>
        <w:rPr>
          <w:rFonts w:asciiTheme="minorHAnsi" w:hAnsiTheme="minorHAnsi"/>
          <w:b/>
          <w:szCs w:val="22"/>
        </w:rPr>
      </w:pPr>
      <w:bookmarkStart w:id="29" w:name="_Toc366160411"/>
      <w:bookmarkStart w:id="30" w:name="_Toc401138372"/>
    </w:p>
    <w:p w:rsidR="00D60EA5" w:rsidRPr="00B17EC1" w:rsidRDefault="00D60EA5" w:rsidP="00D60EA5">
      <w:pPr>
        <w:pStyle w:val="Heading2"/>
        <w:ind w:right="-141"/>
        <w:rPr>
          <w:bCs/>
        </w:rPr>
      </w:pPr>
      <w:r w:rsidRPr="00B17EC1">
        <w:rPr>
          <w:bCs/>
        </w:rPr>
        <w:t>The consultation strategy</w:t>
      </w:r>
      <w:bookmarkEnd w:id="29"/>
      <w:bookmarkEnd w:id="30"/>
    </w:p>
    <w:p w:rsidR="00D60EA5" w:rsidRPr="002D00DA"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Pr="00B17EC1" w:rsidRDefault="00A76397" w:rsidP="00D60EA5">
      <w:pPr>
        <w:pStyle w:val="BodyText"/>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D60EA5" w:rsidRPr="002C54BE" w:rsidRDefault="00D60EA5" w:rsidP="00D60EA5">
      <w:pPr>
        <w:pStyle w:val="Heading2"/>
      </w:pPr>
      <w:bookmarkStart w:id="31" w:name="_Toc366160413"/>
      <w:bookmarkStart w:id="32" w:name="_Toc401138373"/>
      <w:r>
        <w:t>Feedback</w:t>
      </w:r>
      <w:r w:rsidRPr="002C54BE">
        <w:t xml:space="preserve"> from </w:t>
      </w:r>
      <w:r>
        <w:t xml:space="preserve">the </w:t>
      </w:r>
      <w:r w:rsidRPr="002C54BE">
        <w:t>community consultations</w:t>
      </w:r>
      <w:bookmarkEnd w:id="31"/>
      <w:bookmarkEnd w:id="32"/>
    </w:p>
    <w:p w:rsidR="00D60EA5" w:rsidRDefault="00D60EA5" w:rsidP="00D60EA5">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385582">
        <w:t xml:space="preserve">Where the council has received submissions from the community relevant to the special variation, the application should set out the views expressed in those submissions.  </w:t>
      </w:r>
      <w:r w:rsidR="002D00DA" w:rsidRPr="0078506E">
        <w:t xml:space="preserve">Please </w:t>
      </w:r>
      <w:r w:rsidR="002D00DA" w:rsidRPr="0078506E">
        <w:lastRenderedPageBreak/>
        <w:t>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E71F8D" w:rsidRDefault="00E71F8D" w:rsidP="00E71F8D">
      <w:pPr>
        <w:pBdr>
          <w:bottom w:val="single" w:sz="4" w:space="1" w:color="auto"/>
        </w:pBdr>
        <w:spacing w:after="120" w:line="360" w:lineRule="auto"/>
        <w:rPr>
          <w:rFonts w:asciiTheme="minorHAnsi" w:hAnsiTheme="minorHAnsi"/>
          <w:b/>
          <w:szCs w:val="22"/>
        </w:rPr>
      </w:pPr>
    </w:p>
    <w:p w:rsidR="00E71F8D" w:rsidRPr="00B043CE" w:rsidRDefault="00E71F8D" w:rsidP="00E71F8D">
      <w:pPr>
        <w:pStyle w:val="BodyText"/>
        <w:rPr>
          <w:rFonts w:asciiTheme="minorHAnsi" w:hAnsiTheme="minorHAnsi"/>
          <w:b/>
        </w:rPr>
      </w:pPr>
      <w:r w:rsidRPr="00B043CE">
        <w:rPr>
          <w:rFonts w:asciiTheme="minorHAnsi" w:hAnsiTheme="minorHAnsi"/>
          <w:b/>
        </w:rPr>
        <w:t>Community Engagement Process:</w:t>
      </w:r>
    </w:p>
    <w:p w:rsidR="00E71F8D" w:rsidRPr="00B043CE" w:rsidRDefault="00E71F8D" w:rsidP="00E71F8D">
      <w:pPr>
        <w:pStyle w:val="BodyText"/>
        <w:rPr>
          <w:rFonts w:asciiTheme="minorHAnsi" w:hAnsiTheme="minorHAnsi"/>
        </w:rPr>
      </w:pPr>
      <w:r w:rsidRPr="00B043CE">
        <w:rPr>
          <w:rFonts w:asciiTheme="minorHAnsi" w:hAnsiTheme="minorHAnsi"/>
        </w:rPr>
        <w:t>Since June 2013 Council has presented to community service clubs, organisations and public gathe</w:t>
      </w:r>
      <w:r>
        <w:rPr>
          <w:rFonts w:asciiTheme="minorHAnsi" w:hAnsiTheme="minorHAnsi"/>
        </w:rPr>
        <w:t xml:space="preserve">rings at 41 individual sessions </w:t>
      </w:r>
      <w:r w:rsidRPr="00B043CE">
        <w:rPr>
          <w:rFonts w:asciiTheme="minorHAnsi" w:hAnsiTheme="minorHAnsi"/>
        </w:rPr>
        <w:t>around the shire</w:t>
      </w:r>
      <w:r>
        <w:rPr>
          <w:rFonts w:asciiTheme="minorHAnsi" w:hAnsiTheme="minorHAnsi"/>
        </w:rPr>
        <w:t xml:space="preserve"> to make attendance as easy as possible for all ratepayers</w:t>
      </w:r>
      <w:r w:rsidRPr="00B043CE">
        <w:rPr>
          <w:rFonts w:asciiTheme="minorHAnsi" w:hAnsiTheme="minorHAnsi"/>
        </w:rPr>
        <w:t xml:space="preserve">. </w:t>
      </w:r>
      <w:r>
        <w:rPr>
          <w:rFonts w:asciiTheme="minorHAnsi" w:hAnsiTheme="minorHAnsi"/>
        </w:rPr>
        <w:t xml:space="preserve">Council spoke to several general meetings of the Business Chamber, held an information desk at the library and a display booth at the Agricultural Show in an endeavour to connect with a wide community audience. </w:t>
      </w:r>
      <w:r w:rsidRPr="00B043CE">
        <w:rPr>
          <w:rFonts w:asciiTheme="minorHAnsi" w:hAnsiTheme="minorHAnsi"/>
        </w:rPr>
        <w:t>These sessions were advertised per the local newspaper (Gloucester Advocate), by direct mail out to specific area addresses, via emails and newsletters. As well some coverage was achieved on local radio and television stations.</w:t>
      </w:r>
    </w:p>
    <w:p w:rsidR="00E71F8D" w:rsidRPr="00B043CE" w:rsidRDefault="00E71F8D" w:rsidP="00E71F8D">
      <w:pPr>
        <w:pStyle w:val="BodyText"/>
        <w:rPr>
          <w:rFonts w:asciiTheme="minorHAnsi" w:hAnsiTheme="minorHAnsi"/>
        </w:rPr>
      </w:pPr>
      <w:r w:rsidRPr="00B043CE">
        <w:rPr>
          <w:rFonts w:asciiTheme="minorHAnsi" w:hAnsiTheme="minorHAnsi"/>
        </w:rPr>
        <w:t>A</w:t>
      </w:r>
      <w:r>
        <w:rPr>
          <w:rFonts w:asciiTheme="minorHAnsi" w:hAnsiTheme="minorHAnsi"/>
        </w:rPr>
        <w:t xml:space="preserve"> total of 836 persons which represents 27% of total rate assessments, a</w:t>
      </w:r>
      <w:r w:rsidRPr="00B043CE">
        <w:rPr>
          <w:rFonts w:asciiTheme="minorHAnsi" w:hAnsiTheme="minorHAnsi"/>
        </w:rPr>
        <w:t>ttended these sessions.</w:t>
      </w:r>
      <w:r>
        <w:rPr>
          <w:rFonts w:asciiTheme="minorHAnsi" w:hAnsiTheme="minorHAnsi"/>
        </w:rPr>
        <w:t xml:space="preserve"> </w:t>
      </w:r>
      <w:proofErr w:type="gramStart"/>
      <w:r w:rsidRPr="009C276F">
        <w:rPr>
          <w:rFonts w:asciiTheme="minorHAnsi" w:hAnsiTheme="minorHAnsi"/>
        </w:rPr>
        <w:t>A copy of the PowerPoint presentation</w:t>
      </w:r>
      <w:r>
        <w:rPr>
          <w:rFonts w:asciiTheme="minorHAnsi" w:hAnsiTheme="minorHAnsi"/>
        </w:rPr>
        <w:t>s used are</w:t>
      </w:r>
      <w:proofErr w:type="gramEnd"/>
      <w:r w:rsidRPr="009C276F">
        <w:rPr>
          <w:rFonts w:asciiTheme="minorHAnsi" w:hAnsiTheme="minorHAnsi"/>
        </w:rPr>
        <w:t xml:space="preserve"> attached.</w:t>
      </w:r>
    </w:p>
    <w:p w:rsidR="00E71F8D" w:rsidRDefault="00E71F8D" w:rsidP="00E71F8D">
      <w:pPr>
        <w:pStyle w:val="BodyText"/>
        <w:rPr>
          <w:rFonts w:asciiTheme="minorHAnsi" w:hAnsiTheme="minorHAnsi"/>
        </w:rPr>
      </w:pPr>
      <w:r w:rsidRPr="00B043CE">
        <w:rPr>
          <w:rFonts w:asciiTheme="minorHAnsi" w:hAnsiTheme="minorHAnsi"/>
        </w:rPr>
        <w:t>The full list of these sessions and numbers attending is attached. The key comments are noted</w:t>
      </w:r>
      <w:r>
        <w:rPr>
          <w:rFonts w:asciiTheme="minorHAnsi" w:hAnsiTheme="minorHAnsi"/>
        </w:rPr>
        <w:t xml:space="preserve"> below</w:t>
      </w:r>
      <w:r w:rsidRPr="00B043CE">
        <w:rPr>
          <w:rFonts w:asciiTheme="minorHAnsi" w:hAnsiTheme="minorHAnsi"/>
        </w:rPr>
        <w:t>.</w:t>
      </w:r>
    </w:p>
    <w:p w:rsidR="00E71F8D" w:rsidRPr="00B043CE" w:rsidRDefault="00E71F8D" w:rsidP="00E71F8D">
      <w:pPr>
        <w:pStyle w:val="BodyText"/>
        <w:rPr>
          <w:rFonts w:asciiTheme="minorHAnsi" w:hAnsiTheme="minorHAnsi"/>
        </w:rPr>
      </w:pPr>
      <w:r>
        <w:rPr>
          <w:rFonts w:asciiTheme="minorHAnsi" w:hAnsiTheme="minorHAnsi"/>
        </w:rPr>
        <w:t>A community engagement strategy was adopted and implemented.</w:t>
      </w:r>
    </w:p>
    <w:p w:rsidR="00E71F8D" w:rsidRDefault="00E71F8D" w:rsidP="00E71F8D">
      <w:pPr>
        <w:pStyle w:val="BodyText"/>
        <w:rPr>
          <w:rFonts w:asciiTheme="minorHAnsi" w:hAnsiTheme="minorHAnsi"/>
          <w:szCs w:val="22"/>
        </w:rPr>
      </w:pPr>
      <w:r w:rsidRPr="00AD2F81">
        <w:rPr>
          <w:rFonts w:asciiTheme="minorHAnsi" w:hAnsiTheme="minorHAnsi"/>
          <w:szCs w:val="22"/>
        </w:rPr>
        <w:t xml:space="preserve">As well, Council emailed directly to contact lists, </w:t>
      </w:r>
      <w:r>
        <w:rPr>
          <w:rFonts w:asciiTheme="minorHAnsi" w:hAnsiTheme="minorHAnsi"/>
          <w:szCs w:val="22"/>
        </w:rPr>
        <w:t xml:space="preserve">maintained all documents and information on </w:t>
      </w:r>
      <w:proofErr w:type="gramStart"/>
      <w:r>
        <w:rPr>
          <w:rFonts w:asciiTheme="minorHAnsi" w:hAnsiTheme="minorHAnsi"/>
          <w:szCs w:val="22"/>
        </w:rPr>
        <w:t xml:space="preserve">the </w:t>
      </w:r>
      <w:r w:rsidRPr="00AD2F81">
        <w:rPr>
          <w:rFonts w:asciiTheme="minorHAnsi" w:hAnsiTheme="minorHAnsi"/>
          <w:szCs w:val="22"/>
        </w:rPr>
        <w:t xml:space="preserve"> website</w:t>
      </w:r>
      <w:proofErr w:type="gramEnd"/>
      <w:r w:rsidRPr="00AD2F81">
        <w:rPr>
          <w:rFonts w:asciiTheme="minorHAnsi" w:hAnsiTheme="minorHAnsi"/>
          <w:szCs w:val="22"/>
        </w:rPr>
        <w:t xml:space="preserve">, </w:t>
      </w:r>
      <w:r>
        <w:rPr>
          <w:rFonts w:asciiTheme="minorHAnsi" w:hAnsiTheme="minorHAnsi"/>
          <w:szCs w:val="22"/>
        </w:rPr>
        <w:t xml:space="preserve">sent </w:t>
      </w:r>
      <w:r w:rsidRPr="00AD2F81">
        <w:rPr>
          <w:rFonts w:asciiTheme="minorHAnsi" w:hAnsiTheme="minorHAnsi"/>
          <w:szCs w:val="22"/>
        </w:rPr>
        <w:t>direct mail outs to each ratepayer, provided brochures and newsletters.</w:t>
      </w:r>
    </w:p>
    <w:p w:rsidR="00E71F8D" w:rsidRPr="00AD2F81" w:rsidRDefault="00E71F8D" w:rsidP="00E71F8D">
      <w:pPr>
        <w:pStyle w:val="BodyText"/>
        <w:rPr>
          <w:rFonts w:asciiTheme="minorHAnsi" w:hAnsiTheme="minorHAnsi"/>
          <w:szCs w:val="22"/>
        </w:rPr>
      </w:pPr>
      <w:r>
        <w:rPr>
          <w:rFonts w:asciiTheme="minorHAnsi" w:hAnsiTheme="minorHAnsi"/>
          <w:szCs w:val="22"/>
        </w:rPr>
        <w:t>The presentation clearly set out the financial challenges Council faces; how the current situation was reached, what options and actions we are taking culminating in the renewal and maintenance backlog, the levels of service and associated impact on rates for several scenarios, and the resultant need for a significant increase in rate revenues.</w:t>
      </w:r>
    </w:p>
    <w:p w:rsidR="00E71F8D" w:rsidRPr="00B043CE" w:rsidRDefault="00E71F8D" w:rsidP="00E71F8D">
      <w:pPr>
        <w:pStyle w:val="BodyText"/>
        <w:ind w:left="-567"/>
        <w:rPr>
          <w:rFonts w:asciiTheme="minorHAnsi" w:hAnsiTheme="minorHAnsi"/>
          <w:b/>
          <w:szCs w:val="22"/>
        </w:rPr>
      </w:pPr>
      <w:r w:rsidRPr="00B043CE">
        <w:rPr>
          <w:rFonts w:asciiTheme="minorHAnsi" w:hAnsiTheme="minorHAnsi"/>
          <w:b/>
          <w:szCs w:val="22"/>
        </w:rPr>
        <w:t>Community Engagement Results:</w:t>
      </w:r>
    </w:p>
    <w:p w:rsidR="00E71F8D" w:rsidRPr="00106E58" w:rsidRDefault="00E71F8D" w:rsidP="00E71F8D">
      <w:pPr>
        <w:pStyle w:val="BodyText"/>
        <w:ind w:left="-567"/>
        <w:rPr>
          <w:rFonts w:asciiTheme="minorHAnsi" w:hAnsiTheme="minorHAnsi"/>
          <w:szCs w:val="22"/>
        </w:rPr>
      </w:pPr>
      <w:r w:rsidRPr="00106E58">
        <w:rPr>
          <w:rFonts w:asciiTheme="minorHAnsi" w:hAnsiTheme="minorHAnsi"/>
          <w:szCs w:val="22"/>
        </w:rPr>
        <w:t>A total of 836 persons attended the presentations. Feedback from each session was recorded. Direct comments were received from 128 per mail, email or feedback form</w:t>
      </w:r>
      <w:r w:rsidRPr="009C276F">
        <w:rPr>
          <w:rFonts w:asciiTheme="minorHAnsi" w:hAnsiTheme="minorHAnsi"/>
          <w:b/>
          <w:szCs w:val="22"/>
        </w:rPr>
        <w:t>.</w:t>
      </w:r>
      <w:r w:rsidRPr="00106E58">
        <w:rPr>
          <w:rFonts w:asciiTheme="minorHAnsi" w:hAnsiTheme="minorHAnsi"/>
          <w:color w:val="FF0000"/>
          <w:szCs w:val="22"/>
        </w:rPr>
        <w:t xml:space="preserve"> </w:t>
      </w:r>
      <w:r w:rsidRPr="00106E58">
        <w:rPr>
          <w:rFonts w:asciiTheme="minorHAnsi" w:hAnsiTheme="minorHAnsi"/>
          <w:szCs w:val="22"/>
        </w:rPr>
        <w:t>All these have been responded to with any specific queries directly addressed. A media release on the process and outcomes was placed.</w:t>
      </w:r>
    </w:p>
    <w:p w:rsidR="00E71F8D" w:rsidRPr="00106E58" w:rsidRDefault="00E71F8D" w:rsidP="00E71F8D">
      <w:pPr>
        <w:pStyle w:val="BodyText"/>
        <w:ind w:left="-567"/>
        <w:rPr>
          <w:rFonts w:asciiTheme="minorHAnsi" w:hAnsiTheme="minorHAnsi"/>
        </w:rPr>
      </w:pPr>
      <w:r w:rsidRPr="00106E58">
        <w:rPr>
          <w:rFonts w:asciiTheme="minorHAnsi" w:hAnsiTheme="minorHAnsi"/>
        </w:rPr>
        <w:t xml:space="preserve">The overwhelming response was of an inability to pay the increase. This response was received from all sectors – </w:t>
      </w:r>
      <w:r>
        <w:rPr>
          <w:rFonts w:asciiTheme="minorHAnsi" w:hAnsiTheme="minorHAnsi"/>
        </w:rPr>
        <w:t xml:space="preserve">residents, </w:t>
      </w:r>
      <w:r w:rsidRPr="00106E58">
        <w:rPr>
          <w:rFonts w:asciiTheme="minorHAnsi" w:hAnsiTheme="minorHAnsi"/>
        </w:rPr>
        <w:t>aged, business and farmers. There was good understanding of the issues and the solution but those who agreed to a significant increase did not accept the magnitude of Council’s optimum solution as proposed. (</w:t>
      </w:r>
      <w:proofErr w:type="gramStart"/>
      <w:r w:rsidRPr="00106E58">
        <w:rPr>
          <w:rFonts w:asciiTheme="minorHAnsi" w:hAnsiTheme="minorHAnsi"/>
        </w:rPr>
        <w:t>i.e</w:t>
      </w:r>
      <w:proofErr w:type="gramEnd"/>
      <w:r w:rsidRPr="00106E58">
        <w:rPr>
          <w:rFonts w:asciiTheme="minorHAnsi" w:hAnsiTheme="minorHAnsi"/>
        </w:rPr>
        <w:t>. an 18% inclusive of CPI increase at 5 years cumulative) as affordable.</w:t>
      </w:r>
    </w:p>
    <w:p w:rsidR="00E71F8D" w:rsidRPr="00B043CE" w:rsidRDefault="00E71F8D" w:rsidP="00E71F8D">
      <w:pPr>
        <w:pStyle w:val="BodyText"/>
        <w:ind w:left="-567"/>
        <w:rPr>
          <w:rFonts w:asciiTheme="minorHAnsi" w:hAnsiTheme="minorHAnsi"/>
        </w:rPr>
      </w:pPr>
      <w:r w:rsidRPr="00B043CE">
        <w:rPr>
          <w:rFonts w:asciiTheme="minorHAnsi" w:hAnsiTheme="minorHAnsi"/>
        </w:rPr>
        <w:t xml:space="preserve">Whilst there was </w:t>
      </w:r>
      <w:r>
        <w:rPr>
          <w:rFonts w:asciiTheme="minorHAnsi" w:hAnsiTheme="minorHAnsi"/>
        </w:rPr>
        <w:t>general</w:t>
      </w:r>
      <w:r w:rsidRPr="00B043CE">
        <w:rPr>
          <w:rFonts w:asciiTheme="minorHAnsi" w:hAnsiTheme="minorHAnsi"/>
        </w:rPr>
        <w:t xml:space="preserve"> agreement in lifting the rates to attend to the asset problem, the matter of affordability was the constant theme. This was common across all sectors.</w:t>
      </w:r>
    </w:p>
    <w:p w:rsidR="00E71F8D" w:rsidRPr="00B043CE" w:rsidRDefault="00E71F8D" w:rsidP="00E71F8D">
      <w:pPr>
        <w:pStyle w:val="BodyText"/>
        <w:ind w:left="-567"/>
        <w:rPr>
          <w:rFonts w:asciiTheme="minorHAnsi" w:hAnsiTheme="minorHAnsi"/>
        </w:rPr>
      </w:pPr>
      <w:r w:rsidRPr="00B043CE">
        <w:rPr>
          <w:rFonts w:asciiTheme="minorHAnsi" w:hAnsiTheme="minorHAnsi"/>
        </w:rPr>
        <w:t>There were other general comments made, some of which were fairly common among the respondents. These were:</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 xml:space="preserve">Low cattle prices – </w:t>
      </w:r>
      <w:r>
        <w:rPr>
          <w:rFonts w:asciiTheme="minorHAnsi" w:hAnsiTheme="minorHAnsi"/>
        </w:rPr>
        <w:t>“at present would need to sell</w:t>
      </w:r>
      <w:r w:rsidRPr="00B043CE">
        <w:rPr>
          <w:rFonts w:asciiTheme="minorHAnsi" w:hAnsiTheme="minorHAnsi"/>
        </w:rPr>
        <w:t xml:space="preserve"> 32 weaners to meet rates, </w:t>
      </w:r>
      <w:r>
        <w:rPr>
          <w:rFonts w:asciiTheme="minorHAnsi" w:hAnsiTheme="minorHAnsi"/>
        </w:rPr>
        <w:t xml:space="preserve">18% </w:t>
      </w:r>
      <w:r w:rsidRPr="00B043CE">
        <w:rPr>
          <w:rFonts w:asciiTheme="minorHAnsi" w:hAnsiTheme="minorHAnsi"/>
        </w:rPr>
        <w:t>would increase to 70</w:t>
      </w:r>
      <w:r>
        <w:rPr>
          <w:rFonts w:asciiTheme="minorHAnsi" w:hAnsiTheme="minorHAnsi"/>
        </w:rPr>
        <w:t>”</w:t>
      </w:r>
      <w:r w:rsidRPr="00B043CE">
        <w:rPr>
          <w:rFonts w:asciiTheme="minorHAnsi" w:hAnsiTheme="minorHAnsi"/>
        </w:rPr>
        <w:t>.</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Council should cut expenses – cars, staff, pay cut, new building, mismanagement , wastage</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lastRenderedPageBreak/>
        <w:t>One off increase is acceptable but not a compounding one</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Council have got us here so get us out</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Some comments both for and against amalgamation as the solution</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Problem should have been fixed long ago</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Council to increase its productivity and quality, use contractors</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 xml:space="preserve">Don’t waste money on things that don’t need it </w:t>
      </w:r>
      <w:r>
        <w:rPr>
          <w:rFonts w:asciiTheme="minorHAnsi" w:hAnsiTheme="minorHAnsi"/>
        </w:rPr>
        <w:t>–</w:t>
      </w:r>
      <w:r w:rsidRPr="00B043CE">
        <w:rPr>
          <w:rFonts w:asciiTheme="minorHAnsi" w:hAnsiTheme="minorHAnsi"/>
        </w:rPr>
        <w:t xml:space="preserve"> </w:t>
      </w:r>
      <w:r>
        <w:rPr>
          <w:rFonts w:asciiTheme="minorHAnsi" w:hAnsiTheme="minorHAnsi"/>
        </w:rPr>
        <w:t>e.g. Meeting Place</w:t>
      </w:r>
      <w:r w:rsidRPr="00B043CE">
        <w:rPr>
          <w:rFonts w:asciiTheme="minorHAnsi" w:hAnsiTheme="minorHAnsi"/>
        </w:rPr>
        <w:t>, Town Centre Strategy</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Will impact on investment in properties, increase rents</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Roads that people worry about are not in our shire</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Shops will shut, consumer confidence down</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Pr>
          <w:rFonts w:asciiTheme="minorHAnsi" w:hAnsiTheme="minorHAnsi"/>
        </w:rPr>
        <w:t>Council is p</w:t>
      </w:r>
      <w:r w:rsidRPr="00B043CE">
        <w:rPr>
          <w:rFonts w:asciiTheme="minorHAnsi" w:hAnsiTheme="minorHAnsi"/>
        </w:rPr>
        <w:t>oor and slow on planning approvals</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M</w:t>
      </w:r>
      <w:r>
        <w:rPr>
          <w:rFonts w:asciiTheme="minorHAnsi" w:hAnsiTheme="minorHAnsi"/>
        </w:rPr>
        <w:t xml:space="preserve">id </w:t>
      </w:r>
      <w:r w:rsidRPr="00B043CE">
        <w:rPr>
          <w:rFonts w:asciiTheme="minorHAnsi" w:hAnsiTheme="minorHAnsi"/>
        </w:rPr>
        <w:t>C</w:t>
      </w:r>
      <w:r>
        <w:rPr>
          <w:rFonts w:asciiTheme="minorHAnsi" w:hAnsiTheme="minorHAnsi"/>
        </w:rPr>
        <w:t xml:space="preserve">oast </w:t>
      </w:r>
      <w:r w:rsidRPr="00B043CE">
        <w:rPr>
          <w:rFonts w:asciiTheme="minorHAnsi" w:hAnsiTheme="minorHAnsi"/>
        </w:rPr>
        <w:t>W</w:t>
      </w:r>
      <w:r>
        <w:rPr>
          <w:rFonts w:asciiTheme="minorHAnsi" w:hAnsiTheme="minorHAnsi"/>
        </w:rPr>
        <w:t>ater</w:t>
      </w:r>
      <w:r w:rsidRPr="00B043CE">
        <w:rPr>
          <w:rFonts w:asciiTheme="minorHAnsi" w:hAnsiTheme="minorHAnsi"/>
        </w:rPr>
        <w:t xml:space="preserve"> charges also increasing</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If lived within budget in the past why can’t we now?</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What do we get for our rates?</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proofErr w:type="gramStart"/>
      <w:r w:rsidRPr="00B043CE">
        <w:rPr>
          <w:rFonts w:asciiTheme="minorHAnsi" w:hAnsiTheme="minorHAnsi"/>
        </w:rPr>
        <w:t>No option as the state won’t assist.</w:t>
      </w:r>
      <w:proofErr w:type="gramEnd"/>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Too much spent in town and not on country roads.</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Roads not “too bad”</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Pool hours cutback a good step</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Money to stop mines but none for roads</w:t>
      </w:r>
    </w:p>
    <w:p w:rsidR="00E71F8D" w:rsidRPr="00B043CE" w:rsidRDefault="00E71F8D" w:rsidP="00E71F8D">
      <w:pPr>
        <w:pStyle w:val="BodyText"/>
        <w:numPr>
          <w:ilvl w:val="0"/>
          <w:numId w:val="34"/>
        </w:numPr>
        <w:spacing w:before="0" w:line="240" w:lineRule="auto"/>
        <w:ind w:left="142" w:hanging="6"/>
        <w:jc w:val="left"/>
        <w:rPr>
          <w:rFonts w:asciiTheme="minorHAnsi" w:hAnsiTheme="minorHAnsi"/>
        </w:rPr>
      </w:pPr>
      <w:r w:rsidRPr="00B043CE">
        <w:rPr>
          <w:rFonts w:asciiTheme="minorHAnsi" w:hAnsiTheme="minorHAnsi"/>
        </w:rPr>
        <w:t>Want the extension of sealed roads</w:t>
      </w:r>
    </w:p>
    <w:p w:rsidR="00E71F8D" w:rsidRPr="00A17554" w:rsidRDefault="00E71F8D" w:rsidP="00E71F8D">
      <w:pPr>
        <w:spacing w:after="200" w:line="360" w:lineRule="auto"/>
        <w:rPr>
          <w:rFonts w:asciiTheme="minorHAnsi" w:hAnsiTheme="minorHAnsi"/>
          <w:b/>
          <w:szCs w:val="22"/>
        </w:rPr>
      </w:pPr>
    </w:p>
    <w:tbl>
      <w:tblPr>
        <w:tblStyle w:val="TableGrid1"/>
        <w:tblW w:w="9181" w:type="dxa"/>
        <w:tblLook w:val="04A0" w:firstRow="1" w:lastRow="0" w:firstColumn="1" w:lastColumn="0" w:noHBand="0" w:noVBand="1"/>
      </w:tblPr>
      <w:tblGrid>
        <w:gridCol w:w="2235"/>
        <w:gridCol w:w="6946"/>
      </w:tblGrid>
      <w:tr w:rsidR="00E71F8D" w:rsidRPr="00A17554" w:rsidTr="00E71F8D">
        <w:trPr>
          <w:trHeight w:val="713"/>
        </w:trPr>
        <w:tc>
          <w:tcPr>
            <w:tcW w:w="2235" w:type="dxa"/>
          </w:tcPr>
          <w:p w:rsidR="00E71F8D" w:rsidRPr="00A17554" w:rsidRDefault="00E71F8D" w:rsidP="00E71F8D">
            <w:pPr>
              <w:spacing w:after="120" w:line="360" w:lineRule="auto"/>
              <w:jc w:val="center"/>
              <w:rPr>
                <w:rFonts w:asciiTheme="minorHAnsi" w:hAnsiTheme="minorHAnsi"/>
                <w:b/>
                <w:szCs w:val="22"/>
              </w:rPr>
            </w:pPr>
            <w:r w:rsidRPr="00A17554">
              <w:rPr>
                <w:rFonts w:asciiTheme="minorHAnsi" w:hAnsiTheme="minorHAnsi"/>
                <w:b/>
                <w:szCs w:val="22"/>
              </w:rPr>
              <w:t>Community engagement activity</w:t>
            </w:r>
          </w:p>
        </w:tc>
        <w:tc>
          <w:tcPr>
            <w:tcW w:w="6946" w:type="dxa"/>
          </w:tcPr>
          <w:p w:rsidR="00E71F8D" w:rsidRPr="00A17554" w:rsidRDefault="00E71F8D" w:rsidP="00E71F8D">
            <w:pPr>
              <w:spacing w:after="120" w:line="360" w:lineRule="auto"/>
              <w:jc w:val="center"/>
              <w:rPr>
                <w:rFonts w:asciiTheme="minorHAnsi" w:hAnsiTheme="minorHAnsi"/>
                <w:b/>
                <w:szCs w:val="22"/>
              </w:rPr>
            </w:pPr>
            <w:r>
              <w:rPr>
                <w:rFonts w:asciiTheme="minorHAnsi" w:hAnsiTheme="minorHAnsi"/>
                <w:b/>
                <w:szCs w:val="22"/>
              </w:rPr>
              <w:t>Comments</w:t>
            </w:r>
          </w:p>
        </w:tc>
      </w:tr>
      <w:tr w:rsidR="00E71F8D" w:rsidRPr="00A17554" w:rsidTr="00E71F8D">
        <w:tc>
          <w:tcPr>
            <w:tcW w:w="2235"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Presentations</w:t>
            </w:r>
          </w:p>
        </w:tc>
        <w:tc>
          <w:tcPr>
            <w:tcW w:w="6946"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Went to outer areas, time after for questions, enabled specific local issues, enabled individual queries</w:t>
            </w:r>
          </w:p>
        </w:tc>
      </w:tr>
      <w:tr w:rsidR="00E71F8D" w:rsidRPr="00A17554" w:rsidTr="00E71F8D">
        <w:tc>
          <w:tcPr>
            <w:tcW w:w="2235" w:type="dxa"/>
          </w:tcPr>
          <w:p w:rsidR="00E71F8D" w:rsidRPr="00A17554" w:rsidRDefault="00E71F8D" w:rsidP="00E71F8D">
            <w:pPr>
              <w:spacing w:before="120" w:after="120" w:line="360" w:lineRule="auto"/>
              <w:rPr>
                <w:rFonts w:asciiTheme="minorHAnsi" w:hAnsiTheme="minorHAnsi"/>
                <w:szCs w:val="22"/>
              </w:rPr>
            </w:pPr>
            <w:r w:rsidRPr="00A17554">
              <w:rPr>
                <w:rFonts w:asciiTheme="minorHAnsi" w:hAnsiTheme="minorHAnsi"/>
                <w:szCs w:val="22"/>
              </w:rPr>
              <w:t>Media</w:t>
            </w:r>
          </w:p>
        </w:tc>
        <w:tc>
          <w:tcPr>
            <w:tcW w:w="6946"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Regular articles, advertised meetings, specific elements presented, feedback at end of process</w:t>
            </w:r>
          </w:p>
        </w:tc>
      </w:tr>
      <w:tr w:rsidR="00E71F8D" w:rsidRPr="00A17554" w:rsidTr="00E71F8D">
        <w:tc>
          <w:tcPr>
            <w:tcW w:w="2235" w:type="dxa"/>
          </w:tcPr>
          <w:p w:rsidR="00E71F8D" w:rsidRPr="00A17554" w:rsidRDefault="00E71F8D" w:rsidP="00E71F8D">
            <w:pPr>
              <w:spacing w:before="120" w:after="120" w:line="360" w:lineRule="auto"/>
              <w:rPr>
                <w:rFonts w:asciiTheme="minorHAnsi" w:hAnsiTheme="minorHAnsi"/>
                <w:szCs w:val="22"/>
              </w:rPr>
            </w:pPr>
            <w:r w:rsidRPr="00A17554">
              <w:rPr>
                <w:rFonts w:asciiTheme="minorHAnsi" w:hAnsiTheme="minorHAnsi"/>
                <w:szCs w:val="22"/>
              </w:rPr>
              <w:t>Newsletters and brochures</w:t>
            </w:r>
          </w:p>
        </w:tc>
        <w:tc>
          <w:tcPr>
            <w:tcW w:w="6946"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Sent as a series of 4 with graphs and full details – included feedback form.</w:t>
            </w:r>
          </w:p>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Calculation matrix to enable estimates of likely impact</w:t>
            </w:r>
            <w:r>
              <w:rPr>
                <w:rFonts w:asciiTheme="minorHAnsi" w:hAnsiTheme="minorHAnsi"/>
                <w:szCs w:val="22"/>
              </w:rPr>
              <w:t>s on individual properties</w:t>
            </w:r>
          </w:p>
        </w:tc>
      </w:tr>
      <w:tr w:rsidR="00E71F8D" w:rsidRPr="00A17554" w:rsidTr="00E71F8D">
        <w:tc>
          <w:tcPr>
            <w:tcW w:w="2235" w:type="dxa"/>
          </w:tcPr>
          <w:p w:rsidR="00E71F8D" w:rsidRPr="00A17554" w:rsidRDefault="00E71F8D" w:rsidP="00E71F8D">
            <w:pPr>
              <w:spacing w:before="120" w:after="120" w:line="360" w:lineRule="auto"/>
              <w:rPr>
                <w:rFonts w:asciiTheme="minorHAnsi" w:hAnsiTheme="minorHAnsi"/>
                <w:szCs w:val="22"/>
              </w:rPr>
            </w:pPr>
            <w:r w:rsidRPr="00A17554">
              <w:rPr>
                <w:rFonts w:asciiTheme="minorHAnsi" w:hAnsiTheme="minorHAnsi"/>
                <w:szCs w:val="22"/>
              </w:rPr>
              <w:t xml:space="preserve">IP&amp;R Process </w:t>
            </w:r>
          </w:p>
        </w:tc>
        <w:tc>
          <w:tcPr>
            <w:tcW w:w="6946"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 xml:space="preserve">Amendments </w:t>
            </w:r>
            <w:r>
              <w:rPr>
                <w:rFonts w:asciiTheme="minorHAnsi" w:hAnsiTheme="minorHAnsi"/>
                <w:szCs w:val="22"/>
              </w:rPr>
              <w:t>as</w:t>
            </w:r>
            <w:r w:rsidRPr="00A17554">
              <w:rPr>
                <w:rFonts w:asciiTheme="minorHAnsi" w:hAnsiTheme="minorHAnsi"/>
                <w:szCs w:val="22"/>
              </w:rPr>
              <w:t xml:space="preserve"> made to the Delivery Program </w:t>
            </w:r>
            <w:r>
              <w:rPr>
                <w:rFonts w:asciiTheme="minorHAnsi" w:hAnsiTheme="minorHAnsi"/>
                <w:szCs w:val="22"/>
              </w:rPr>
              <w:t>were</w:t>
            </w:r>
            <w:r w:rsidRPr="00A17554">
              <w:rPr>
                <w:rFonts w:asciiTheme="minorHAnsi" w:hAnsiTheme="minorHAnsi"/>
                <w:szCs w:val="22"/>
              </w:rPr>
              <w:t xml:space="preserve"> placed on public exhibition.</w:t>
            </w:r>
          </w:p>
          <w:p w:rsidR="00E71F8D" w:rsidRPr="00A17554" w:rsidRDefault="00E71F8D" w:rsidP="00E71F8D">
            <w:pPr>
              <w:spacing w:after="120" w:line="360" w:lineRule="auto"/>
              <w:rPr>
                <w:rFonts w:asciiTheme="minorHAnsi" w:hAnsiTheme="minorHAnsi"/>
                <w:szCs w:val="22"/>
              </w:rPr>
            </w:pPr>
            <w:r>
              <w:rPr>
                <w:rFonts w:asciiTheme="minorHAnsi" w:hAnsiTheme="minorHAnsi"/>
                <w:szCs w:val="22"/>
              </w:rPr>
              <w:t xml:space="preserve">Regular status reports on Council’s </w:t>
            </w:r>
            <w:r w:rsidRPr="00A17554">
              <w:rPr>
                <w:rFonts w:asciiTheme="minorHAnsi" w:hAnsiTheme="minorHAnsi"/>
                <w:szCs w:val="22"/>
              </w:rPr>
              <w:t>Operational Plan</w:t>
            </w:r>
            <w:r>
              <w:rPr>
                <w:rFonts w:asciiTheme="minorHAnsi" w:hAnsiTheme="minorHAnsi"/>
                <w:szCs w:val="22"/>
              </w:rPr>
              <w:t xml:space="preserve"> </w:t>
            </w:r>
            <w:proofErr w:type="gramStart"/>
            <w:r>
              <w:rPr>
                <w:rFonts w:asciiTheme="minorHAnsi" w:hAnsiTheme="minorHAnsi"/>
                <w:szCs w:val="22"/>
              </w:rPr>
              <w:t xml:space="preserve">and </w:t>
            </w:r>
            <w:r w:rsidRPr="00A17554">
              <w:rPr>
                <w:rFonts w:asciiTheme="minorHAnsi" w:hAnsiTheme="minorHAnsi"/>
                <w:szCs w:val="22"/>
              </w:rPr>
              <w:t xml:space="preserve"> </w:t>
            </w:r>
            <w:r>
              <w:rPr>
                <w:rFonts w:asciiTheme="minorHAnsi" w:hAnsiTheme="minorHAnsi"/>
                <w:szCs w:val="22"/>
              </w:rPr>
              <w:t>Delivery</w:t>
            </w:r>
            <w:proofErr w:type="gramEnd"/>
            <w:r>
              <w:rPr>
                <w:rFonts w:asciiTheme="minorHAnsi" w:hAnsiTheme="minorHAnsi"/>
                <w:szCs w:val="22"/>
              </w:rPr>
              <w:t xml:space="preserve"> Program that identified</w:t>
            </w:r>
            <w:r w:rsidRPr="00A17554">
              <w:rPr>
                <w:rFonts w:asciiTheme="minorHAnsi" w:hAnsiTheme="minorHAnsi"/>
                <w:szCs w:val="22"/>
              </w:rPr>
              <w:t xml:space="preserve"> designated actions to achieve SV</w:t>
            </w:r>
            <w:r>
              <w:rPr>
                <w:rFonts w:asciiTheme="minorHAnsi" w:hAnsiTheme="minorHAnsi"/>
                <w:szCs w:val="22"/>
              </w:rPr>
              <w:t xml:space="preserve"> were on public record and display</w:t>
            </w:r>
            <w:r w:rsidRPr="00A17554">
              <w:rPr>
                <w:rFonts w:asciiTheme="minorHAnsi" w:hAnsiTheme="minorHAnsi"/>
                <w:szCs w:val="22"/>
              </w:rPr>
              <w:t>.</w:t>
            </w:r>
          </w:p>
        </w:tc>
      </w:tr>
      <w:tr w:rsidR="00E71F8D" w:rsidRPr="00A17554" w:rsidTr="00E71F8D">
        <w:tc>
          <w:tcPr>
            <w:tcW w:w="2235" w:type="dxa"/>
          </w:tcPr>
          <w:p w:rsidR="00E71F8D" w:rsidRPr="00A17554" w:rsidRDefault="00E71F8D" w:rsidP="00E71F8D">
            <w:pPr>
              <w:spacing w:before="120" w:after="120" w:line="360" w:lineRule="auto"/>
              <w:rPr>
                <w:rFonts w:asciiTheme="minorHAnsi" w:hAnsiTheme="minorHAnsi"/>
                <w:szCs w:val="22"/>
              </w:rPr>
            </w:pPr>
            <w:r w:rsidRPr="00A17554">
              <w:rPr>
                <w:rFonts w:asciiTheme="minorHAnsi" w:hAnsiTheme="minorHAnsi"/>
                <w:szCs w:val="22"/>
              </w:rPr>
              <w:t>Other</w:t>
            </w:r>
          </w:p>
        </w:tc>
        <w:tc>
          <w:tcPr>
            <w:tcW w:w="6946"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A significant email list of contacts was targeted.</w:t>
            </w:r>
          </w:p>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Actively pursued sectors e.g. via school P&amp;C groups</w:t>
            </w:r>
          </w:p>
        </w:tc>
      </w:tr>
    </w:tbl>
    <w:p w:rsidR="00E71F8D" w:rsidRPr="00A17554" w:rsidRDefault="00E71F8D" w:rsidP="00E71F8D">
      <w:pPr>
        <w:spacing w:before="240" w:after="200" w:line="360" w:lineRule="auto"/>
        <w:rPr>
          <w:rFonts w:asciiTheme="minorHAnsi" w:hAnsiTheme="minorHAnsi"/>
          <w:b/>
          <w:szCs w:val="22"/>
        </w:rPr>
      </w:pPr>
      <w:r w:rsidRPr="00A17554">
        <w:rPr>
          <w:rFonts w:asciiTheme="minorHAnsi" w:hAnsiTheme="minorHAnsi"/>
          <w:b/>
          <w:szCs w:val="22"/>
        </w:rPr>
        <w:lastRenderedPageBreak/>
        <w:t>Communicating the Outcomes:</w:t>
      </w:r>
    </w:p>
    <w:tbl>
      <w:tblPr>
        <w:tblStyle w:val="TableGrid1"/>
        <w:tblW w:w="0" w:type="auto"/>
        <w:tblLook w:val="04A0" w:firstRow="1" w:lastRow="0" w:firstColumn="1" w:lastColumn="0" w:noHBand="0" w:noVBand="1"/>
      </w:tblPr>
      <w:tblGrid>
        <w:gridCol w:w="2198"/>
        <w:gridCol w:w="4290"/>
        <w:gridCol w:w="2693"/>
      </w:tblGrid>
      <w:tr w:rsidR="00E71F8D" w:rsidRPr="00A17554" w:rsidTr="00E71F8D">
        <w:tc>
          <w:tcPr>
            <w:tcW w:w="2198" w:type="dxa"/>
          </w:tcPr>
          <w:p w:rsidR="00E71F8D" w:rsidRPr="00A17554" w:rsidRDefault="00E71F8D" w:rsidP="00E71F8D">
            <w:pPr>
              <w:spacing w:after="120" w:line="360" w:lineRule="auto"/>
              <w:rPr>
                <w:rFonts w:asciiTheme="minorHAnsi" w:hAnsiTheme="minorHAnsi"/>
                <w:b/>
                <w:szCs w:val="22"/>
              </w:rPr>
            </w:pPr>
            <w:r w:rsidRPr="00A17554">
              <w:rPr>
                <w:rFonts w:asciiTheme="minorHAnsi" w:hAnsiTheme="minorHAnsi"/>
                <w:b/>
                <w:szCs w:val="22"/>
              </w:rPr>
              <w:t>Stakeholder group</w:t>
            </w:r>
          </w:p>
        </w:tc>
        <w:tc>
          <w:tcPr>
            <w:tcW w:w="4290" w:type="dxa"/>
          </w:tcPr>
          <w:p w:rsidR="00E71F8D" w:rsidRPr="00A17554" w:rsidRDefault="00E71F8D" w:rsidP="00E71F8D">
            <w:pPr>
              <w:spacing w:after="120" w:line="360" w:lineRule="auto"/>
              <w:rPr>
                <w:rFonts w:asciiTheme="minorHAnsi" w:hAnsiTheme="minorHAnsi"/>
                <w:b/>
                <w:szCs w:val="22"/>
              </w:rPr>
            </w:pPr>
            <w:r w:rsidRPr="00A17554">
              <w:rPr>
                <w:rFonts w:asciiTheme="minorHAnsi" w:hAnsiTheme="minorHAnsi"/>
                <w:b/>
                <w:szCs w:val="22"/>
              </w:rPr>
              <w:t>What w</w:t>
            </w:r>
            <w:r>
              <w:rPr>
                <w:rFonts w:asciiTheme="minorHAnsi" w:hAnsiTheme="minorHAnsi"/>
                <w:b/>
                <w:szCs w:val="22"/>
              </w:rPr>
              <w:t xml:space="preserve">as </w:t>
            </w:r>
            <w:r w:rsidRPr="00A17554">
              <w:rPr>
                <w:rFonts w:asciiTheme="minorHAnsi" w:hAnsiTheme="minorHAnsi"/>
                <w:b/>
                <w:szCs w:val="22"/>
              </w:rPr>
              <w:t xml:space="preserve"> communicated</w:t>
            </w:r>
          </w:p>
        </w:tc>
        <w:tc>
          <w:tcPr>
            <w:tcW w:w="2693" w:type="dxa"/>
          </w:tcPr>
          <w:p w:rsidR="00E71F8D" w:rsidRPr="00A17554" w:rsidRDefault="00E71F8D" w:rsidP="00E71F8D">
            <w:pPr>
              <w:spacing w:after="120" w:line="360" w:lineRule="auto"/>
              <w:rPr>
                <w:rFonts w:asciiTheme="minorHAnsi" w:hAnsiTheme="minorHAnsi"/>
                <w:b/>
                <w:szCs w:val="22"/>
              </w:rPr>
            </w:pPr>
            <w:r w:rsidRPr="00A17554">
              <w:rPr>
                <w:rFonts w:asciiTheme="minorHAnsi" w:hAnsiTheme="minorHAnsi"/>
                <w:b/>
                <w:szCs w:val="22"/>
              </w:rPr>
              <w:t>How communicated</w:t>
            </w:r>
          </w:p>
        </w:tc>
      </w:tr>
      <w:tr w:rsidR="00E71F8D" w:rsidRPr="00A17554" w:rsidTr="00E71F8D">
        <w:tc>
          <w:tcPr>
            <w:tcW w:w="2198"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General ratepayers</w:t>
            </w:r>
          </w:p>
        </w:tc>
        <w:tc>
          <w:tcPr>
            <w:tcW w:w="4290"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 xml:space="preserve">An initial media release that </w:t>
            </w:r>
            <w:proofErr w:type="spellStart"/>
            <w:r w:rsidRPr="00A17554">
              <w:rPr>
                <w:rFonts w:asciiTheme="minorHAnsi" w:hAnsiTheme="minorHAnsi"/>
                <w:szCs w:val="22"/>
              </w:rPr>
              <w:t>summarise</w:t>
            </w:r>
            <w:r>
              <w:rPr>
                <w:rFonts w:asciiTheme="minorHAnsi" w:hAnsiTheme="minorHAnsi"/>
                <w:szCs w:val="22"/>
              </w:rPr>
              <w:t>d</w:t>
            </w:r>
            <w:proofErr w:type="spellEnd"/>
            <w:r w:rsidRPr="00A17554">
              <w:rPr>
                <w:rFonts w:asciiTheme="minorHAnsi" w:hAnsiTheme="minorHAnsi"/>
                <w:szCs w:val="22"/>
              </w:rPr>
              <w:t xml:space="preserve"> the response.</w:t>
            </w:r>
          </w:p>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Individual responses (with specific queries addressed) to all who provided feedback.</w:t>
            </w:r>
          </w:p>
        </w:tc>
        <w:tc>
          <w:tcPr>
            <w:tcW w:w="2693" w:type="dxa"/>
          </w:tcPr>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Newspaper</w:t>
            </w:r>
          </w:p>
          <w:p w:rsidR="00E71F8D" w:rsidRPr="00A17554" w:rsidRDefault="00E71F8D" w:rsidP="00E71F8D">
            <w:pPr>
              <w:spacing w:after="120" w:line="360" w:lineRule="auto"/>
              <w:rPr>
                <w:rFonts w:asciiTheme="minorHAnsi" w:hAnsiTheme="minorHAnsi"/>
                <w:szCs w:val="22"/>
              </w:rPr>
            </w:pPr>
          </w:p>
          <w:p w:rsidR="00E71F8D" w:rsidRPr="00A17554" w:rsidRDefault="00E71F8D" w:rsidP="00E71F8D">
            <w:pPr>
              <w:spacing w:after="120" w:line="360" w:lineRule="auto"/>
              <w:rPr>
                <w:rFonts w:asciiTheme="minorHAnsi" w:hAnsiTheme="minorHAnsi"/>
                <w:szCs w:val="22"/>
              </w:rPr>
            </w:pPr>
            <w:r w:rsidRPr="00A17554">
              <w:rPr>
                <w:rFonts w:asciiTheme="minorHAnsi" w:hAnsiTheme="minorHAnsi"/>
                <w:szCs w:val="22"/>
              </w:rPr>
              <w:t>Email/letter</w:t>
            </w:r>
          </w:p>
        </w:tc>
      </w:tr>
    </w:tbl>
    <w:p w:rsidR="00E71F8D" w:rsidRDefault="00E71F8D" w:rsidP="00E71F8D">
      <w:pPr>
        <w:spacing w:after="200" w:line="276" w:lineRule="auto"/>
        <w:rPr>
          <w:rFonts w:asciiTheme="minorHAnsi" w:eastAsiaTheme="minorHAnsi" w:hAnsiTheme="minorHAnsi" w:cstheme="minorBidi"/>
          <w:b/>
          <w:szCs w:val="22"/>
          <w:lang w:eastAsia="en-US"/>
        </w:rPr>
      </w:pPr>
    </w:p>
    <w:p w:rsidR="00E71F8D" w:rsidRDefault="00E71F8D" w:rsidP="00E71F8D">
      <w:pPr>
        <w:spacing w:after="200" w:line="276" w:lineRule="auto"/>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Activities for consultation and feedback</w:t>
      </w:r>
    </w:p>
    <w:p w:rsidR="00E71F8D" w:rsidRPr="00E71F8D" w:rsidRDefault="00E71F8D" w:rsidP="00E71F8D">
      <w:pPr>
        <w:spacing w:after="200" w:line="276" w:lineRule="auto"/>
        <w:rPr>
          <w:rFonts w:asciiTheme="minorHAnsi" w:eastAsiaTheme="minorHAnsi" w:hAnsiTheme="minorHAnsi" w:cstheme="minorBidi"/>
          <w:b/>
          <w:szCs w:val="22"/>
          <w:lang w:eastAsia="en-US"/>
        </w:rPr>
      </w:pPr>
      <w:r w:rsidRPr="00E71F8D">
        <w:rPr>
          <w:rFonts w:asciiTheme="minorHAnsi" w:eastAsiaTheme="minorHAnsi" w:hAnsiTheme="minorHAnsi" w:cstheme="minorBidi"/>
          <w:b/>
          <w:szCs w:val="22"/>
          <w:lang w:eastAsia="en-US"/>
        </w:rPr>
        <w:t>2012</w:t>
      </w:r>
    </w:p>
    <w:p w:rsidR="00E71F8D"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Community Newsletter </w:t>
      </w:r>
      <w:proofErr w:type="gramStart"/>
      <w:r w:rsidRPr="008974D4">
        <w:rPr>
          <w:rFonts w:asciiTheme="minorHAnsi" w:eastAsiaTheme="minorHAnsi" w:hAnsiTheme="minorHAnsi" w:cstheme="minorBidi"/>
          <w:szCs w:val="22"/>
          <w:lang w:eastAsia="en-US"/>
        </w:rPr>
        <w:t xml:space="preserve">-  </w:t>
      </w:r>
      <w:r w:rsidRPr="008974D4">
        <w:rPr>
          <w:rFonts w:asciiTheme="minorHAnsi" w:eastAsiaTheme="minorHAnsi" w:hAnsiTheme="minorHAnsi" w:cstheme="minorBidi"/>
          <w:i/>
          <w:szCs w:val="22"/>
          <w:lang w:eastAsia="en-US"/>
        </w:rPr>
        <w:t>Gloucester</w:t>
      </w:r>
      <w:proofErr w:type="gramEnd"/>
      <w:r w:rsidRPr="008974D4">
        <w:rPr>
          <w:rFonts w:asciiTheme="minorHAnsi" w:eastAsiaTheme="minorHAnsi" w:hAnsiTheme="minorHAnsi" w:cstheme="minorBidi"/>
          <w:i/>
          <w:szCs w:val="22"/>
          <w:lang w:eastAsia="en-US"/>
        </w:rPr>
        <w:t xml:space="preserve"> Community Strategic Plan</w:t>
      </w:r>
      <w:r>
        <w:rPr>
          <w:rFonts w:asciiTheme="minorHAnsi" w:eastAsiaTheme="minorHAnsi" w:hAnsiTheme="minorHAnsi" w:cstheme="minorBidi"/>
          <w:i/>
          <w:szCs w:val="22"/>
          <w:lang w:eastAsia="en-US"/>
        </w:rPr>
        <w:t xml:space="preserve"> </w:t>
      </w:r>
      <w:r w:rsidRPr="008974D4">
        <w:rPr>
          <w:rFonts w:asciiTheme="minorHAnsi" w:eastAsiaTheme="minorHAnsi" w:hAnsiTheme="minorHAnsi" w:cstheme="minorBidi"/>
          <w:szCs w:val="22"/>
          <w:lang w:eastAsia="en-US"/>
        </w:rPr>
        <w:t xml:space="preserve">issued to all community members via post and also available on website following adoption </w:t>
      </w:r>
      <w:r>
        <w:rPr>
          <w:rFonts w:asciiTheme="minorHAnsi" w:eastAsiaTheme="minorHAnsi" w:hAnsiTheme="minorHAnsi" w:cstheme="minorBidi"/>
          <w:szCs w:val="22"/>
          <w:lang w:eastAsia="en-US"/>
        </w:rPr>
        <w:t>of the Community Strategic Plan.</w:t>
      </w: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16 May </w:t>
      </w:r>
    </w:p>
    <w:p w:rsidR="00E71F8D" w:rsidRPr="008974D4" w:rsidRDefault="00E71F8D" w:rsidP="00E71F8D">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23 May </w:t>
      </w:r>
    </w:p>
    <w:p w:rsidR="00E71F8D" w:rsidRPr="008974D4" w:rsidRDefault="00E71F8D" w:rsidP="00E71F8D">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July</w:t>
      </w:r>
    </w:p>
    <w:p w:rsidR="00E71F8D" w:rsidRPr="008974D4" w:rsidRDefault="00E71F8D" w:rsidP="00E71F8D">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8 August</w:t>
      </w:r>
    </w:p>
    <w:p w:rsidR="00E71F8D" w:rsidRPr="008974D4" w:rsidRDefault="00E71F8D" w:rsidP="00E71F8D">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10 October</w:t>
      </w:r>
    </w:p>
    <w:p w:rsidR="00E71F8D" w:rsidRPr="008974D4" w:rsidRDefault="00E71F8D" w:rsidP="00E71F8D">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24 October</w:t>
      </w:r>
    </w:p>
    <w:p w:rsidR="00E71F8D" w:rsidRPr="008974D4" w:rsidRDefault="00E71F8D" w:rsidP="00E71F8D">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5 December</w:t>
      </w:r>
    </w:p>
    <w:p w:rsidR="00E71F8D" w:rsidRPr="008974D4" w:rsidRDefault="00E71F8D" w:rsidP="00E71F8D">
      <w:pPr>
        <w:spacing w:line="276" w:lineRule="auto"/>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E71F8D" w:rsidRPr="008974D4" w:rsidRDefault="00E71F8D" w:rsidP="00E71F8D">
      <w:pPr>
        <w:spacing w:line="276" w:lineRule="auto"/>
        <w:rPr>
          <w:rFonts w:asciiTheme="minorHAnsi" w:eastAsiaTheme="minorHAnsi" w:hAnsiTheme="minorHAnsi" w:cstheme="minorBidi"/>
          <w:szCs w:val="22"/>
          <w:lang w:eastAsia="en-US"/>
        </w:rPr>
      </w:pPr>
    </w:p>
    <w:tbl>
      <w:tblPr>
        <w:tblStyle w:val="TableGrid2"/>
        <w:tblW w:w="0" w:type="auto"/>
        <w:tblLook w:val="04A0" w:firstRow="1" w:lastRow="0" w:firstColumn="1" w:lastColumn="0" w:noHBand="0" w:noVBand="1"/>
      </w:tblPr>
      <w:tblGrid>
        <w:gridCol w:w="2093"/>
        <w:gridCol w:w="7149"/>
      </w:tblGrid>
      <w:tr w:rsidR="00E71F8D" w:rsidRPr="008974D4" w:rsidTr="00E71F8D">
        <w:tc>
          <w:tcPr>
            <w:tcW w:w="2093" w:type="dxa"/>
          </w:tcPr>
          <w:p w:rsidR="00E71F8D" w:rsidRPr="008974D4" w:rsidRDefault="00E71F8D" w:rsidP="00E71F8D">
            <w:pPr>
              <w:jc w:val="center"/>
              <w:rPr>
                <w:rFonts w:asciiTheme="minorHAnsi" w:hAnsiTheme="minorHAnsi"/>
                <w:szCs w:val="22"/>
              </w:rPr>
            </w:pPr>
            <w:r w:rsidRPr="008974D4">
              <w:rPr>
                <w:rFonts w:asciiTheme="minorHAnsi" w:hAnsiTheme="minorHAnsi"/>
                <w:szCs w:val="22"/>
              </w:rPr>
              <w:t>Meeting Date</w:t>
            </w:r>
          </w:p>
        </w:tc>
        <w:tc>
          <w:tcPr>
            <w:tcW w:w="7149" w:type="dxa"/>
          </w:tcPr>
          <w:p w:rsidR="00E71F8D" w:rsidRPr="008974D4" w:rsidRDefault="00E71F8D" w:rsidP="00E71F8D">
            <w:pPr>
              <w:jc w:val="center"/>
              <w:rPr>
                <w:rFonts w:asciiTheme="minorHAnsi" w:hAnsiTheme="minorHAnsi"/>
                <w:szCs w:val="22"/>
              </w:rPr>
            </w:pPr>
            <w:r w:rsidRPr="008974D4">
              <w:rPr>
                <w:rFonts w:asciiTheme="minorHAnsi" w:hAnsiTheme="minorHAnsi"/>
                <w:szCs w:val="22"/>
              </w:rPr>
              <w:t>Details of Resolution</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t>16 May</w:t>
            </w:r>
          </w:p>
        </w:tc>
        <w:tc>
          <w:tcPr>
            <w:tcW w:w="7149" w:type="dxa"/>
          </w:tcPr>
          <w:p w:rsidR="00E71F8D" w:rsidRPr="008974D4" w:rsidRDefault="00E71F8D" w:rsidP="00E71F8D">
            <w:pPr>
              <w:rPr>
                <w:rFonts w:asciiTheme="minorHAnsi" w:hAnsiTheme="minorHAnsi"/>
                <w:szCs w:val="22"/>
              </w:rPr>
            </w:pPr>
            <w:r w:rsidRPr="008974D4">
              <w:rPr>
                <w:rFonts w:asciiTheme="minorHAnsi" w:hAnsiTheme="minorHAnsi"/>
                <w:szCs w:val="22"/>
              </w:rPr>
              <w:t>Adoption of Community Strategic Plan, Delivery Program and Operational Plan for public exhibition until 15 June 2012</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t>27 June</w:t>
            </w:r>
          </w:p>
        </w:tc>
        <w:tc>
          <w:tcPr>
            <w:tcW w:w="7149" w:type="dxa"/>
          </w:tcPr>
          <w:p w:rsidR="00E71F8D" w:rsidRPr="008974D4" w:rsidRDefault="00E71F8D" w:rsidP="00E71F8D">
            <w:pPr>
              <w:rPr>
                <w:rFonts w:asciiTheme="minorHAnsi" w:hAnsiTheme="minorHAnsi"/>
                <w:szCs w:val="22"/>
              </w:rPr>
            </w:pPr>
            <w:r w:rsidRPr="008974D4">
              <w:rPr>
                <w:rFonts w:asciiTheme="minorHAnsi" w:hAnsiTheme="minorHAnsi"/>
                <w:szCs w:val="22"/>
              </w:rPr>
              <w:t xml:space="preserve">Adoption of Community Strategic Plan, Delivery Program, Operational Plan and Resourcing Strategy </w:t>
            </w:r>
          </w:p>
        </w:tc>
      </w:tr>
    </w:tbl>
    <w:p w:rsidR="00E71F8D" w:rsidRPr="008974D4" w:rsidRDefault="00E71F8D" w:rsidP="00E71F8D">
      <w:pPr>
        <w:spacing w:line="276" w:lineRule="auto"/>
        <w:rPr>
          <w:rFonts w:asciiTheme="minorHAnsi" w:eastAsiaTheme="minorHAnsi" w:hAnsiTheme="minorHAnsi" w:cstheme="minorBidi"/>
          <w:szCs w:val="22"/>
          <w:lang w:eastAsia="en-US"/>
        </w:rPr>
      </w:pPr>
    </w:p>
    <w:p w:rsidR="00E71F8D" w:rsidRPr="008974D4" w:rsidRDefault="00E71F8D" w:rsidP="00E71F8D">
      <w:pPr>
        <w:spacing w:after="20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b/>
          <w:szCs w:val="22"/>
          <w:lang w:eastAsia="en-US"/>
        </w:rPr>
        <w:t>2013</w:t>
      </w: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Community Consultation Newsletters issued to all community members via post and also available from Council’s Administration Centre, Library and website:</w:t>
      </w:r>
    </w:p>
    <w:p w:rsidR="00E71F8D" w:rsidRPr="008974D4" w:rsidRDefault="00E71F8D" w:rsidP="00E71F8D">
      <w:pPr>
        <w:numPr>
          <w:ilvl w:val="0"/>
          <w:numId w:val="44"/>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March - </w:t>
      </w:r>
      <w:r w:rsidRPr="008974D4">
        <w:rPr>
          <w:rFonts w:asciiTheme="minorHAnsi" w:eastAsiaTheme="minorHAnsi" w:hAnsiTheme="minorHAnsi" w:cstheme="minorBidi"/>
          <w:i/>
          <w:szCs w:val="22"/>
          <w:lang w:eastAsia="en-US"/>
        </w:rPr>
        <w:t>Community Assets</w:t>
      </w:r>
      <w:r w:rsidRPr="008974D4">
        <w:rPr>
          <w:rFonts w:asciiTheme="minorHAnsi" w:eastAsiaTheme="minorHAnsi" w:hAnsiTheme="minorHAnsi" w:cstheme="minorBidi"/>
          <w:szCs w:val="22"/>
          <w:lang w:eastAsia="en-US"/>
        </w:rPr>
        <w:t xml:space="preserve"> </w:t>
      </w:r>
    </w:p>
    <w:p w:rsidR="00E71F8D" w:rsidRPr="008974D4" w:rsidRDefault="00E71F8D" w:rsidP="00E71F8D">
      <w:pPr>
        <w:numPr>
          <w:ilvl w:val="0"/>
          <w:numId w:val="44"/>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July – </w:t>
      </w:r>
      <w:r w:rsidRPr="008974D4">
        <w:rPr>
          <w:rFonts w:asciiTheme="minorHAnsi" w:eastAsiaTheme="minorHAnsi" w:hAnsiTheme="minorHAnsi" w:cstheme="minorBidi"/>
          <w:i/>
          <w:szCs w:val="22"/>
          <w:lang w:eastAsia="en-US"/>
        </w:rPr>
        <w:t>The Condition of our Assets – Where are we now?</w:t>
      </w:r>
    </w:p>
    <w:p w:rsidR="00E71F8D" w:rsidRDefault="00E71F8D" w:rsidP="00E71F8D">
      <w:pPr>
        <w:spacing w:after="200" w:line="276" w:lineRule="auto"/>
        <w:contextualSpacing/>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Request for community feedback regarding the contents of the Newsletters was contained within each newsletter and advertised in the local paper and on Council’s website</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lastRenderedPageBreak/>
        <w:t>Public Meetings held across the Shire – advertised in the local newspaper and individual invitations forwarded to all residents:-</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Stratford Hall Meeting – 15 April</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Stratford Hall Meeting – 20 June</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Barrington Hall Meeting – 27 June</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Business Proprietors/Operators Meeting – 16 July</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Waukivory</w:t>
      </w:r>
      <w:proofErr w:type="spellEnd"/>
      <w:r w:rsidRPr="008974D4">
        <w:rPr>
          <w:rFonts w:asciiTheme="minorHAnsi" w:eastAsiaTheme="minorHAnsi" w:hAnsiTheme="minorHAnsi" w:cstheme="minorBidi"/>
          <w:szCs w:val="22"/>
          <w:lang w:eastAsia="en-US"/>
        </w:rPr>
        <w:t xml:space="preserve"> Hall Meeting – 15 July</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Graziers &amp; Primary Producers – NSW Farmers (Gloucester Branch) – 25 July</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Rawdon Vale Meeting – 3 September</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Bundook Meeting – 31 October</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Rookhurst</w:t>
      </w:r>
      <w:proofErr w:type="spellEnd"/>
      <w:r w:rsidRPr="008974D4">
        <w:rPr>
          <w:rFonts w:asciiTheme="minorHAnsi" w:eastAsiaTheme="minorHAnsi" w:hAnsiTheme="minorHAnsi" w:cstheme="minorBidi"/>
          <w:szCs w:val="22"/>
          <w:lang w:eastAsia="en-US"/>
        </w:rPr>
        <w:t xml:space="preserve"> Meeting – 19 November</w:t>
      </w:r>
    </w:p>
    <w:p w:rsidR="00E71F8D" w:rsidRPr="008974D4" w:rsidRDefault="00E71F8D" w:rsidP="00E71F8D">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Rawdon Vale Meeting – 16 December</w:t>
      </w:r>
    </w:p>
    <w:p w:rsidR="00E71F8D" w:rsidRPr="008974D4" w:rsidRDefault="00E71F8D" w:rsidP="00E71F8D">
      <w:pPr>
        <w:spacing w:line="276" w:lineRule="auto"/>
        <w:ind w:left="726"/>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Response letters were forwarded to those unable to attend any of the public meetings and enquired as to the outcome of the meeting</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17 July</w:t>
      </w:r>
    </w:p>
    <w:p w:rsidR="00E71F8D" w:rsidRPr="008974D4" w:rsidRDefault="00E71F8D" w:rsidP="00E71F8D">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31 July</w:t>
      </w:r>
    </w:p>
    <w:p w:rsidR="00E71F8D" w:rsidRPr="008974D4" w:rsidRDefault="00E71F8D" w:rsidP="00E71F8D">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14 August</w:t>
      </w:r>
    </w:p>
    <w:p w:rsidR="00E71F8D" w:rsidRPr="008974D4" w:rsidRDefault="00E71F8D" w:rsidP="00E71F8D">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28 August </w:t>
      </w:r>
    </w:p>
    <w:p w:rsidR="00E71F8D" w:rsidRPr="008974D4" w:rsidRDefault="00E71F8D" w:rsidP="00E71F8D">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23 October</w:t>
      </w:r>
    </w:p>
    <w:p w:rsidR="00E71F8D" w:rsidRPr="008974D4" w:rsidRDefault="00E71F8D" w:rsidP="00E71F8D">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30 October</w:t>
      </w:r>
    </w:p>
    <w:p w:rsidR="00E71F8D" w:rsidRPr="008974D4" w:rsidRDefault="00E71F8D" w:rsidP="00E71F8D">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December</w:t>
      </w:r>
    </w:p>
    <w:p w:rsidR="00E71F8D" w:rsidRPr="00776CA4" w:rsidRDefault="00E71F8D" w:rsidP="00E71F8D">
      <w:pPr>
        <w:spacing w:line="276" w:lineRule="auto"/>
        <w:ind w:left="774"/>
        <w:rPr>
          <w:rFonts w:ascii="Arial" w:eastAsiaTheme="minorHAnsi" w:hAnsi="Arial" w:cstheme="minorBidi"/>
          <w:sz w:val="24"/>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i/>
          <w:szCs w:val="22"/>
          <w:lang w:eastAsia="en-US"/>
        </w:rPr>
        <w:t xml:space="preserve">“From the Mayor’s Desk” </w:t>
      </w:r>
      <w:r w:rsidRPr="008974D4">
        <w:rPr>
          <w:rFonts w:asciiTheme="minorHAnsi" w:eastAsiaTheme="minorHAnsi" w:hAnsiTheme="minorHAnsi" w:cstheme="minorBidi"/>
          <w:szCs w:val="22"/>
          <w:lang w:eastAsia="en-US"/>
        </w:rPr>
        <w:t>appearing in the Gloucester Advocate:</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numPr>
          <w:ilvl w:val="0"/>
          <w:numId w:val="47"/>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7 August</w:t>
      </w:r>
    </w:p>
    <w:p w:rsidR="00E71F8D" w:rsidRPr="008974D4" w:rsidRDefault="00E71F8D" w:rsidP="00E71F8D">
      <w:pPr>
        <w:numPr>
          <w:ilvl w:val="0"/>
          <w:numId w:val="47"/>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 October</w:t>
      </w:r>
    </w:p>
    <w:p w:rsidR="00E71F8D" w:rsidRPr="008974D4" w:rsidRDefault="00E71F8D" w:rsidP="00E71F8D">
      <w:pPr>
        <w:numPr>
          <w:ilvl w:val="0"/>
          <w:numId w:val="47"/>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13 November</w:t>
      </w:r>
    </w:p>
    <w:p w:rsidR="00E71F8D" w:rsidRPr="008974D4" w:rsidRDefault="00E71F8D" w:rsidP="00E71F8D">
      <w:pPr>
        <w:spacing w:line="276" w:lineRule="auto"/>
        <w:ind w:left="774"/>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E71F8D" w:rsidRPr="008974D4" w:rsidRDefault="00E71F8D" w:rsidP="00E71F8D">
      <w:pPr>
        <w:spacing w:line="276" w:lineRule="auto"/>
        <w:ind w:left="360"/>
        <w:rPr>
          <w:rFonts w:asciiTheme="minorHAnsi" w:eastAsiaTheme="minorHAnsi" w:hAnsiTheme="minorHAnsi" w:cstheme="minorBidi"/>
          <w:szCs w:val="22"/>
          <w:lang w:eastAsia="en-US"/>
        </w:rPr>
      </w:pPr>
    </w:p>
    <w:tbl>
      <w:tblPr>
        <w:tblStyle w:val="TableGrid2"/>
        <w:tblW w:w="0" w:type="auto"/>
        <w:tblLook w:val="04A0" w:firstRow="1" w:lastRow="0" w:firstColumn="1" w:lastColumn="0" w:noHBand="0" w:noVBand="1"/>
      </w:tblPr>
      <w:tblGrid>
        <w:gridCol w:w="2093"/>
        <w:gridCol w:w="7149"/>
      </w:tblGrid>
      <w:tr w:rsidR="00E71F8D" w:rsidRPr="008974D4" w:rsidTr="00E71F8D">
        <w:tc>
          <w:tcPr>
            <w:tcW w:w="2093" w:type="dxa"/>
          </w:tcPr>
          <w:p w:rsidR="00E71F8D" w:rsidRPr="004A6772" w:rsidRDefault="00E71F8D" w:rsidP="00E71F8D">
            <w:pPr>
              <w:jc w:val="center"/>
              <w:rPr>
                <w:rFonts w:asciiTheme="minorHAnsi" w:hAnsiTheme="minorHAnsi"/>
                <w:b/>
                <w:szCs w:val="22"/>
              </w:rPr>
            </w:pPr>
            <w:r w:rsidRPr="004A6772">
              <w:rPr>
                <w:rFonts w:asciiTheme="minorHAnsi" w:hAnsiTheme="minorHAnsi"/>
                <w:b/>
                <w:szCs w:val="22"/>
              </w:rPr>
              <w:t>Meeting Date</w:t>
            </w:r>
          </w:p>
        </w:tc>
        <w:tc>
          <w:tcPr>
            <w:tcW w:w="7149" w:type="dxa"/>
          </w:tcPr>
          <w:p w:rsidR="00E71F8D" w:rsidRPr="004A6772" w:rsidRDefault="00E71F8D" w:rsidP="00E71F8D">
            <w:pPr>
              <w:jc w:val="center"/>
              <w:rPr>
                <w:rFonts w:asciiTheme="minorHAnsi" w:hAnsiTheme="minorHAnsi"/>
                <w:b/>
                <w:szCs w:val="22"/>
              </w:rPr>
            </w:pPr>
            <w:r w:rsidRPr="004A6772">
              <w:rPr>
                <w:rFonts w:asciiTheme="minorHAnsi" w:hAnsiTheme="minorHAnsi"/>
                <w:b/>
                <w:szCs w:val="22"/>
              </w:rPr>
              <w:t>Details of Resolution</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t>20 February</w:t>
            </w:r>
          </w:p>
        </w:tc>
        <w:tc>
          <w:tcPr>
            <w:tcW w:w="7149" w:type="dxa"/>
          </w:tcPr>
          <w:p w:rsidR="00E71F8D" w:rsidRPr="008974D4" w:rsidRDefault="00E71F8D" w:rsidP="00E71F8D">
            <w:pPr>
              <w:rPr>
                <w:rFonts w:asciiTheme="minorHAnsi" w:hAnsiTheme="minorHAnsi"/>
                <w:szCs w:val="22"/>
              </w:rPr>
            </w:pPr>
            <w:r w:rsidRPr="008974D4">
              <w:rPr>
                <w:rFonts w:asciiTheme="minorHAnsi" w:hAnsiTheme="minorHAnsi"/>
                <w:szCs w:val="22"/>
              </w:rPr>
              <w:t>Review of Delivery Program for period 1 July to 31 December 2012</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t>15 May</w:t>
            </w:r>
          </w:p>
        </w:tc>
        <w:tc>
          <w:tcPr>
            <w:tcW w:w="7149" w:type="dxa"/>
          </w:tcPr>
          <w:p w:rsidR="00E71F8D" w:rsidRPr="008974D4" w:rsidRDefault="00E71F8D" w:rsidP="00E71F8D">
            <w:pPr>
              <w:rPr>
                <w:rFonts w:asciiTheme="minorHAnsi" w:hAnsiTheme="minorHAnsi"/>
                <w:szCs w:val="22"/>
              </w:rPr>
            </w:pPr>
            <w:r w:rsidRPr="008974D4">
              <w:rPr>
                <w:rFonts w:asciiTheme="minorHAnsi" w:hAnsiTheme="minorHAnsi"/>
                <w:szCs w:val="22"/>
              </w:rPr>
              <w:t>Adoption for public exhibition of Delivery Program 2013-14 and Operational Plan 2013-14</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t>26 June</w:t>
            </w:r>
          </w:p>
        </w:tc>
        <w:tc>
          <w:tcPr>
            <w:tcW w:w="7149" w:type="dxa"/>
          </w:tcPr>
          <w:p w:rsidR="00E71F8D" w:rsidRPr="008974D4" w:rsidRDefault="00E71F8D" w:rsidP="00E71F8D">
            <w:pPr>
              <w:rPr>
                <w:rFonts w:asciiTheme="minorHAnsi" w:hAnsiTheme="minorHAnsi"/>
                <w:szCs w:val="22"/>
              </w:rPr>
            </w:pPr>
            <w:r w:rsidRPr="008974D4">
              <w:rPr>
                <w:rFonts w:asciiTheme="minorHAnsi" w:hAnsiTheme="minorHAnsi"/>
                <w:szCs w:val="22"/>
              </w:rPr>
              <w:t>Adoption of 2012-2011 Community Strategic Plan, 2013-2017 Delivery Program and 2013-2014 Operational Plan, adoption of general rates for the 2013-14 financial year.</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t>21 August</w:t>
            </w:r>
          </w:p>
        </w:tc>
        <w:tc>
          <w:tcPr>
            <w:tcW w:w="7149" w:type="dxa"/>
          </w:tcPr>
          <w:p w:rsidR="00E71F8D" w:rsidRPr="008974D4" w:rsidRDefault="00E71F8D" w:rsidP="00E71F8D">
            <w:pPr>
              <w:numPr>
                <w:ilvl w:val="0"/>
                <w:numId w:val="42"/>
              </w:numPr>
              <w:contextualSpacing/>
              <w:rPr>
                <w:rFonts w:asciiTheme="minorHAnsi" w:hAnsiTheme="minorHAnsi"/>
                <w:szCs w:val="22"/>
              </w:rPr>
            </w:pPr>
            <w:r w:rsidRPr="008974D4">
              <w:rPr>
                <w:rFonts w:asciiTheme="minorHAnsi" w:hAnsiTheme="minorHAnsi"/>
                <w:szCs w:val="22"/>
              </w:rPr>
              <w:t>Review of Delivery Program 2013-2017</w:t>
            </w:r>
          </w:p>
          <w:p w:rsidR="00E71F8D" w:rsidRPr="008974D4" w:rsidRDefault="00E71F8D" w:rsidP="00E71F8D">
            <w:pPr>
              <w:numPr>
                <w:ilvl w:val="0"/>
                <w:numId w:val="42"/>
              </w:numPr>
              <w:contextualSpacing/>
              <w:rPr>
                <w:rFonts w:asciiTheme="minorHAnsi" w:hAnsiTheme="minorHAnsi"/>
                <w:szCs w:val="22"/>
              </w:rPr>
            </w:pPr>
            <w:r w:rsidRPr="008974D4">
              <w:rPr>
                <w:rFonts w:asciiTheme="minorHAnsi" w:hAnsiTheme="minorHAnsi"/>
                <w:szCs w:val="22"/>
              </w:rPr>
              <w:t>Endorsement of Community Engagement Action Plan re: SRV</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t>16 October</w:t>
            </w:r>
          </w:p>
        </w:tc>
        <w:tc>
          <w:tcPr>
            <w:tcW w:w="7149" w:type="dxa"/>
          </w:tcPr>
          <w:p w:rsidR="00E71F8D" w:rsidRPr="008974D4" w:rsidRDefault="00E71F8D" w:rsidP="00E71F8D">
            <w:pPr>
              <w:rPr>
                <w:rFonts w:asciiTheme="minorHAnsi" w:hAnsiTheme="minorHAnsi"/>
                <w:szCs w:val="22"/>
              </w:rPr>
            </w:pPr>
            <w:r w:rsidRPr="008974D4">
              <w:rPr>
                <w:rFonts w:asciiTheme="minorHAnsi" w:hAnsiTheme="minorHAnsi"/>
                <w:szCs w:val="22"/>
              </w:rPr>
              <w:t>Resolution to make a submission to IPART for a SRV for implementation July 2015</w:t>
            </w:r>
          </w:p>
        </w:tc>
      </w:tr>
      <w:tr w:rsidR="00E71F8D" w:rsidRPr="008974D4" w:rsidTr="00E71F8D">
        <w:tc>
          <w:tcPr>
            <w:tcW w:w="2093" w:type="dxa"/>
          </w:tcPr>
          <w:p w:rsidR="00E71F8D" w:rsidRPr="008974D4" w:rsidRDefault="00E71F8D" w:rsidP="00E71F8D">
            <w:pPr>
              <w:rPr>
                <w:rFonts w:asciiTheme="minorHAnsi" w:hAnsiTheme="minorHAnsi"/>
                <w:szCs w:val="22"/>
              </w:rPr>
            </w:pPr>
            <w:r w:rsidRPr="008974D4">
              <w:rPr>
                <w:rFonts w:asciiTheme="minorHAnsi" w:hAnsiTheme="minorHAnsi"/>
                <w:szCs w:val="22"/>
              </w:rPr>
              <w:lastRenderedPageBreak/>
              <w:t>18 December</w:t>
            </w:r>
          </w:p>
        </w:tc>
        <w:tc>
          <w:tcPr>
            <w:tcW w:w="7149" w:type="dxa"/>
          </w:tcPr>
          <w:p w:rsidR="00E71F8D" w:rsidRPr="008974D4" w:rsidRDefault="00E71F8D" w:rsidP="00E71F8D">
            <w:pPr>
              <w:rPr>
                <w:rFonts w:asciiTheme="minorHAnsi" w:hAnsiTheme="minorHAnsi"/>
                <w:szCs w:val="22"/>
              </w:rPr>
            </w:pPr>
            <w:r w:rsidRPr="008974D4">
              <w:rPr>
                <w:rFonts w:asciiTheme="minorHAnsi" w:hAnsiTheme="minorHAnsi"/>
                <w:szCs w:val="22"/>
              </w:rPr>
              <w:t>Detailing the following items for consideration at Council’s Ordinary Meeting to be held in February 2014:</w:t>
            </w:r>
          </w:p>
          <w:p w:rsidR="00E71F8D" w:rsidRPr="008974D4" w:rsidRDefault="00E71F8D" w:rsidP="00E71F8D">
            <w:pPr>
              <w:numPr>
                <w:ilvl w:val="0"/>
                <w:numId w:val="53"/>
              </w:numPr>
              <w:contextualSpacing/>
              <w:rPr>
                <w:rFonts w:asciiTheme="minorHAnsi" w:hAnsiTheme="minorHAnsi"/>
                <w:szCs w:val="22"/>
              </w:rPr>
            </w:pPr>
            <w:r w:rsidRPr="008974D4">
              <w:rPr>
                <w:rFonts w:asciiTheme="minorHAnsi" w:hAnsiTheme="minorHAnsi"/>
                <w:szCs w:val="22"/>
              </w:rPr>
              <w:t>Financial Sustainability</w:t>
            </w:r>
          </w:p>
          <w:p w:rsidR="00E71F8D" w:rsidRPr="008974D4" w:rsidRDefault="00E71F8D" w:rsidP="00E71F8D">
            <w:pPr>
              <w:numPr>
                <w:ilvl w:val="0"/>
                <w:numId w:val="53"/>
              </w:numPr>
              <w:contextualSpacing/>
              <w:rPr>
                <w:rFonts w:asciiTheme="minorHAnsi" w:hAnsiTheme="minorHAnsi"/>
                <w:szCs w:val="22"/>
              </w:rPr>
            </w:pPr>
            <w:r w:rsidRPr="008974D4">
              <w:rPr>
                <w:rFonts w:asciiTheme="minorHAnsi" w:hAnsiTheme="minorHAnsi"/>
                <w:szCs w:val="22"/>
              </w:rPr>
              <w:t>SRV Action Plan</w:t>
            </w:r>
          </w:p>
          <w:p w:rsidR="00E71F8D" w:rsidRPr="008974D4" w:rsidRDefault="00E71F8D" w:rsidP="00E71F8D">
            <w:pPr>
              <w:numPr>
                <w:ilvl w:val="0"/>
                <w:numId w:val="53"/>
              </w:numPr>
              <w:contextualSpacing/>
              <w:rPr>
                <w:rFonts w:asciiTheme="minorHAnsi" w:hAnsiTheme="minorHAnsi"/>
                <w:szCs w:val="22"/>
              </w:rPr>
            </w:pPr>
            <w:r w:rsidRPr="008974D4">
              <w:rPr>
                <w:rFonts w:asciiTheme="minorHAnsi" w:hAnsiTheme="minorHAnsi"/>
                <w:szCs w:val="22"/>
              </w:rPr>
              <w:t>Review of the CSP</w:t>
            </w:r>
          </w:p>
        </w:tc>
      </w:tr>
    </w:tbl>
    <w:p w:rsidR="00E71F8D" w:rsidRPr="008974D4" w:rsidRDefault="00E71F8D" w:rsidP="00E71F8D">
      <w:pPr>
        <w:spacing w:line="276" w:lineRule="auto"/>
        <w:rPr>
          <w:rFonts w:asciiTheme="minorHAnsi" w:eastAsiaTheme="minorHAnsi" w:hAnsiTheme="minorHAnsi" w:cstheme="minorBidi"/>
          <w:szCs w:val="22"/>
          <w:lang w:eastAsia="en-US"/>
        </w:rPr>
      </w:pPr>
    </w:p>
    <w:p w:rsidR="00E71F8D"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2012/13 Annual Report</w:t>
      </w:r>
      <w:r>
        <w:rPr>
          <w:rFonts w:asciiTheme="minorHAnsi" w:eastAsiaTheme="minorHAnsi" w:hAnsiTheme="minorHAnsi" w:cstheme="minorBidi"/>
          <w:szCs w:val="22"/>
          <w:lang w:eastAsia="en-US"/>
        </w:rPr>
        <w:t xml:space="preserve"> – on display and also direct mail out with comments to contact list.</w:t>
      </w:r>
    </w:p>
    <w:p w:rsidR="00E71F8D" w:rsidRPr="008974D4" w:rsidRDefault="00E71F8D" w:rsidP="00E71F8D">
      <w:pPr>
        <w:spacing w:after="120" w:line="276" w:lineRule="auto"/>
        <w:rPr>
          <w:rFonts w:asciiTheme="minorHAnsi" w:eastAsiaTheme="minorHAnsi" w:hAnsiTheme="minorHAnsi" w:cstheme="minorBidi"/>
          <w:b/>
          <w:szCs w:val="22"/>
          <w:lang w:eastAsia="en-US"/>
        </w:rPr>
      </w:pPr>
      <w:r w:rsidRPr="008974D4">
        <w:rPr>
          <w:rFonts w:asciiTheme="minorHAnsi" w:eastAsiaTheme="minorHAnsi" w:hAnsiTheme="minorHAnsi" w:cstheme="minorBidi"/>
          <w:b/>
          <w:szCs w:val="22"/>
          <w:lang w:eastAsia="en-US"/>
        </w:rPr>
        <w:t>2014</w:t>
      </w: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Community Consultation Newsletter issued to all community members via post and also available from Council’s Administration Centre, Library and website:</w:t>
      </w:r>
    </w:p>
    <w:p w:rsidR="00E71F8D" w:rsidRPr="008974D4" w:rsidRDefault="00E71F8D" w:rsidP="00E71F8D">
      <w:pPr>
        <w:ind w:left="360"/>
        <w:rPr>
          <w:rFonts w:asciiTheme="minorHAnsi" w:eastAsiaTheme="minorHAnsi" w:hAnsiTheme="minorHAnsi" w:cstheme="minorBidi"/>
          <w:szCs w:val="22"/>
          <w:lang w:eastAsia="en-US"/>
        </w:rPr>
      </w:pPr>
    </w:p>
    <w:p w:rsidR="00E71F8D" w:rsidRPr="008974D4" w:rsidRDefault="00E71F8D" w:rsidP="00E71F8D">
      <w:pPr>
        <w:numPr>
          <w:ilvl w:val="0"/>
          <w:numId w:val="44"/>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July – </w:t>
      </w:r>
      <w:r w:rsidRPr="008974D4">
        <w:rPr>
          <w:rFonts w:asciiTheme="minorHAnsi" w:eastAsiaTheme="minorHAnsi" w:hAnsiTheme="minorHAnsi" w:cstheme="minorBidi"/>
          <w:i/>
          <w:szCs w:val="22"/>
          <w:lang w:eastAsia="en-US"/>
        </w:rPr>
        <w:t>The Need to Increase rates</w:t>
      </w:r>
    </w:p>
    <w:p w:rsidR="00E71F8D" w:rsidRPr="008974D4" w:rsidRDefault="00E71F8D" w:rsidP="00E71F8D">
      <w:pPr>
        <w:spacing w:after="12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The Newsletter was also forwarded to key community groups via email.</w:t>
      </w: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Request for community feedback regarding the contents of the Newsletter was contained within the newsletter and advertised in the local paper and on Council’s website</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Public Meetings held across the Shire – advertised in the local newspaper and individual invitations forwarded to all residents:-</w:t>
      </w:r>
    </w:p>
    <w:p w:rsidR="00E71F8D" w:rsidRPr="008974D4" w:rsidRDefault="00E71F8D" w:rsidP="00E71F8D">
      <w:pPr>
        <w:spacing w:line="276" w:lineRule="auto"/>
        <w:ind w:left="66"/>
        <w:rPr>
          <w:rFonts w:asciiTheme="minorHAnsi" w:eastAsiaTheme="minorHAnsi" w:hAnsiTheme="minorHAnsi" w:cstheme="minorBidi"/>
          <w:szCs w:val="22"/>
          <w:lang w:eastAsia="en-US"/>
        </w:rPr>
      </w:pPr>
    </w:p>
    <w:p w:rsidR="00E71F8D" w:rsidRPr="008974D4" w:rsidRDefault="00E71F8D" w:rsidP="00E71F8D">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Rawdon Vale – 11 June</w:t>
      </w:r>
    </w:p>
    <w:p w:rsidR="00E71F8D" w:rsidRPr="008974D4" w:rsidRDefault="00E71F8D" w:rsidP="00E71F8D">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Barrington Hall – 26 June</w:t>
      </w:r>
    </w:p>
    <w:p w:rsidR="00E71F8D" w:rsidRPr="008974D4" w:rsidRDefault="00E71F8D" w:rsidP="00E71F8D">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Stratford Hall – 1 July</w:t>
      </w:r>
    </w:p>
    <w:p w:rsidR="00E71F8D" w:rsidRPr="008974D4" w:rsidRDefault="00E71F8D" w:rsidP="00E71F8D">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Bundook – 10 July</w:t>
      </w:r>
    </w:p>
    <w:p w:rsidR="00E71F8D" w:rsidRPr="008974D4" w:rsidRDefault="00E71F8D" w:rsidP="00E71F8D">
      <w:pPr>
        <w:numPr>
          <w:ilvl w:val="0"/>
          <w:numId w:val="48"/>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Rookhurst</w:t>
      </w:r>
      <w:proofErr w:type="spellEnd"/>
      <w:r w:rsidRPr="008974D4">
        <w:rPr>
          <w:rFonts w:asciiTheme="minorHAnsi" w:eastAsiaTheme="minorHAnsi" w:hAnsiTheme="minorHAnsi" w:cstheme="minorBidi"/>
          <w:szCs w:val="22"/>
          <w:lang w:eastAsia="en-US"/>
        </w:rPr>
        <w:t xml:space="preserve"> – 14 July</w:t>
      </w:r>
    </w:p>
    <w:p w:rsidR="00E71F8D" w:rsidRPr="008974D4" w:rsidRDefault="00E71F8D" w:rsidP="00E71F8D">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Senior Citizens Centre Gloucester – 15 July</w:t>
      </w:r>
    </w:p>
    <w:p w:rsidR="00E71F8D" w:rsidRPr="008974D4" w:rsidRDefault="00E71F8D" w:rsidP="00E71F8D">
      <w:pPr>
        <w:numPr>
          <w:ilvl w:val="0"/>
          <w:numId w:val="48"/>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Waukivory</w:t>
      </w:r>
      <w:proofErr w:type="spellEnd"/>
      <w:r w:rsidRPr="008974D4">
        <w:rPr>
          <w:rFonts w:asciiTheme="minorHAnsi" w:eastAsiaTheme="minorHAnsi" w:hAnsiTheme="minorHAnsi" w:cstheme="minorBidi"/>
          <w:szCs w:val="22"/>
          <w:lang w:eastAsia="en-US"/>
        </w:rPr>
        <w:t xml:space="preserve"> – 11 August</w:t>
      </w:r>
    </w:p>
    <w:p w:rsidR="00E71F8D" w:rsidRPr="008974D4" w:rsidRDefault="00E71F8D" w:rsidP="00E71F8D">
      <w:pPr>
        <w:spacing w:line="276" w:lineRule="auto"/>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E71F8D" w:rsidRPr="008974D4" w:rsidRDefault="00E71F8D" w:rsidP="00E71F8D">
      <w:pPr>
        <w:spacing w:line="276" w:lineRule="auto"/>
        <w:ind w:left="66"/>
        <w:rPr>
          <w:rFonts w:asciiTheme="minorHAnsi" w:eastAsiaTheme="minorHAnsi" w:hAnsiTheme="minorHAnsi" w:cstheme="minorBidi"/>
          <w:szCs w:val="22"/>
          <w:lang w:eastAsia="en-US"/>
        </w:rPr>
      </w:pP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5 March</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12 March</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19 March</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26 March</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 April</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30 April</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June</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7 July</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16 July</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7 August</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14 August</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13 August</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20 August</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27 August</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17 September</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15 October</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lastRenderedPageBreak/>
        <w:t>22 October</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19 November</w:t>
      </w:r>
    </w:p>
    <w:p w:rsidR="00E71F8D" w:rsidRPr="008974D4" w:rsidRDefault="00E71F8D" w:rsidP="00E71F8D">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29 November</w:t>
      </w:r>
    </w:p>
    <w:p w:rsidR="00E71F8D" w:rsidRDefault="00E71F8D" w:rsidP="00E71F8D">
      <w:pPr>
        <w:spacing w:after="200" w:line="276" w:lineRule="auto"/>
        <w:contextualSpacing/>
        <w:rPr>
          <w:rFonts w:ascii="Arial" w:eastAsiaTheme="minorHAnsi" w:hAnsi="Arial" w:cstheme="minorBidi"/>
          <w:sz w:val="24"/>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i/>
          <w:szCs w:val="22"/>
          <w:lang w:eastAsia="en-US"/>
        </w:rPr>
        <w:t xml:space="preserve">“From the Mayor’s Desk” </w:t>
      </w:r>
      <w:r w:rsidRPr="008974D4">
        <w:rPr>
          <w:rFonts w:asciiTheme="minorHAnsi" w:eastAsiaTheme="minorHAnsi" w:hAnsiTheme="minorHAnsi" w:cstheme="minorBidi"/>
          <w:szCs w:val="22"/>
          <w:lang w:eastAsia="en-US"/>
        </w:rPr>
        <w:t>appearing in the Gloucester Advocate:</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numPr>
          <w:ilvl w:val="0"/>
          <w:numId w:val="51"/>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June</w:t>
      </w:r>
    </w:p>
    <w:p w:rsidR="00E71F8D" w:rsidRPr="008974D4" w:rsidRDefault="00E71F8D" w:rsidP="00E71F8D">
      <w:pPr>
        <w:numPr>
          <w:ilvl w:val="0"/>
          <w:numId w:val="51"/>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 July</w:t>
      </w:r>
    </w:p>
    <w:p w:rsidR="00E71F8D" w:rsidRPr="008974D4" w:rsidRDefault="00E71F8D" w:rsidP="00E71F8D">
      <w:pPr>
        <w:spacing w:line="276" w:lineRule="auto"/>
        <w:ind w:left="720"/>
        <w:contextualSpacing/>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E71F8D" w:rsidRPr="008974D4" w:rsidRDefault="00E71F8D" w:rsidP="00E71F8D">
      <w:pPr>
        <w:spacing w:line="276" w:lineRule="auto"/>
        <w:rPr>
          <w:rFonts w:asciiTheme="minorHAnsi" w:eastAsiaTheme="minorHAnsi" w:hAnsiTheme="minorHAnsi" w:cstheme="minorBidi"/>
          <w:szCs w:val="22"/>
          <w:lang w:eastAsia="en-US"/>
        </w:rPr>
      </w:pPr>
    </w:p>
    <w:tbl>
      <w:tblPr>
        <w:tblStyle w:val="TableGrid2"/>
        <w:tblW w:w="0" w:type="auto"/>
        <w:tblInd w:w="66" w:type="dxa"/>
        <w:tblLook w:val="04A0" w:firstRow="1" w:lastRow="0" w:firstColumn="1" w:lastColumn="0" w:noHBand="0" w:noVBand="1"/>
      </w:tblPr>
      <w:tblGrid>
        <w:gridCol w:w="2081"/>
        <w:gridCol w:w="6574"/>
      </w:tblGrid>
      <w:tr w:rsidR="00E71F8D" w:rsidRPr="008974D4" w:rsidTr="00E71F8D">
        <w:tc>
          <w:tcPr>
            <w:tcW w:w="2081" w:type="dxa"/>
          </w:tcPr>
          <w:p w:rsidR="00E71F8D" w:rsidRPr="004A6772" w:rsidRDefault="00E71F8D" w:rsidP="00E71F8D">
            <w:pPr>
              <w:rPr>
                <w:rFonts w:asciiTheme="minorHAnsi" w:hAnsiTheme="minorHAnsi"/>
                <w:b/>
                <w:szCs w:val="22"/>
              </w:rPr>
            </w:pPr>
            <w:r w:rsidRPr="004A6772">
              <w:rPr>
                <w:rFonts w:asciiTheme="minorHAnsi" w:hAnsiTheme="minorHAnsi"/>
                <w:b/>
                <w:szCs w:val="22"/>
              </w:rPr>
              <w:t>Meeting Date</w:t>
            </w:r>
          </w:p>
        </w:tc>
        <w:tc>
          <w:tcPr>
            <w:tcW w:w="6574" w:type="dxa"/>
          </w:tcPr>
          <w:p w:rsidR="00E71F8D" w:rsidRPr="004A6772" w:rsidRDefault="00E71F8D" w:rsidP="00E71F8D">
            <w:pPr>
              <w:rPr>
                <w:rFonts w:asciiTheme="minorHAnsi" w:hAnsiTheme="minorHAnsi"/>
                <w:b/>
                <w:szCs w:val="22"/>
              </w:rPr>
            </w:pPr>
            <w:r w:rsidRPr="004A6772">
              <w:rPr>
                <w:rFonts w:asciiTheme="minorHAnsi" w:hAnsiTheme="minorHAnsi"/>
                <w:b/>
                <w:szCs w:val="22"/>
              </w:rPr>
              <w:t>Details</w:t>
            </w:r>
          </w:p>
        </w:tc>
      </w:tr>
      <w:tr w:rsidR="00E71F8D" w:rsidRPr="008974D4" w:rsidTr="00E71F8D">
        <w:tc>
          <w:tcPr>
            <w:tcW w:w="2081" w:type="dxa"/>
          </w:tcPr>
          <w:p w:rsidR="00E71F8D" w:rsidRPr="008974D4" w:rsidRDefault="00E71F8D" w:rsidP="00E71F8D">
            <w:pPr>
              <w:rPr>
                <w:rFonts w:asciiTheme="minorHAnsi" w:hAnsiTheme="minorHAnsi"/>
                <w:szCs w:val="22"/>
              </w:rPr>
            </w:pPr>
            <w:r w:rsidRPr="008974D4">
              <w:rPr>
                <w:rFonts w:asciiTheme="minorHAnsi" w:hAnsiTheme="minorHAnsi"/>
                <w:szCs w:val="22"/>
              </w:rPr>
              <w:t>20 February</w:t>
            </w:r>
          </w:p>
        </w:tc>
        <w:tc>
          <w:tcPr>
            <w:tcW w:w="6574" w:type="dxa"/>
          </w:tcPr>
          <w:p w:rsidR="00E71F8D" w:rsidRPr="008974D4" w:rsidRDefault="00E71F8D" w:rsidP="00E71F8D">
            <w:pPr>
              <w:rPr>
                <w:rFonts w:asciiTheme="minorHAnsi" w:hAnsiTheme="minorHAnsi"/>
                <w:szCs w:val="22"/>
              </w:rPr>
            </w:pPr>
            <w:r w:rsidRPr="008974D4">
              <w:rPr>
                <w:rFonts w:asciiTheme="minorHAnsi" w:hAnsiTheme="minorHAnsi"/>
                <w:szCs w:val="22"/>
              </w:rPr>
              <w:t>Adoption of Review of Delivery Program 2013-2017</w:t>
            </w:r>
          </w:p>
        </w:tc>
      </w:tr>
      <w:tr w:rsidR="00E71F8D" w:rsidRPr="008974D4" w:rsidTr="00E71F8D">
        <w:tc>
          <w:tcPr>
            <w:tcW w:w="2081" w:type="dxa"/>
          </w:tcPr>
          <w:p w:rsidR="00E71F8D" w:rsidRPr="008974D4" w:rsidRDefault="00E71F8D" w:rsidP="00E71F8D">
            <w:pPr>
              <w:rPr>
                <w:rFonts w:asciiTheme="minorHAnsi" w:hAnsiTheme="minorHAnsi"/>
                <w:szCs w:val="22"/>
              </w:rPr>
            </w:pPr>
            <w:r w:rsidRPr="008974D4">
              <w:rPr>
                <w:rFonts w:asciiTheme="minorHAnsi" w:hAnsiTheme="minorHAnsi"/>
                <w:szCs w:val="22"/>
              </w:rPr>
              <w:t>19 March</w:t>
            </w:r>
          </w:p>
        </w:tc>
        <w:tc>
          <w:tcPr>
            <w:tcW w:w="6574" w:type="dxa"/>
          </w:tcPr>
          <w:p w:rsidR="00E71F8D" w:rsidRPr="008974D4" w:rsidRDefault="00E71F8D" w:rsidP="00E71F8D">
            <w:pPr>
              <w:rPr>
                <w:rFonts w:asciiTheme="minorHAnsi" w:hAnsiTheme="minorHAnsi"/>
                <w:szCs w:val="22"/>
              </w:rPr>
            </w:pPr>
            <w:r w:rsidRPr="008974D4">
              <w:rPr>
                <w:rFonts w:asciiTheme="minorHAnsi" w:hAnsiTheme="minorHAnsi"/>
                <w:szCs w:val="22"/>
              </w:rPr>
              <w:t>Question from Public Gallery as to progress of SRV</w:t>
            </w:r>
          </w:p>
        </w:tc>
      </w:tr>
      <w:tr w:rsidR="00E71F8D" w:rsidRPr="008974D4" w:rsidTr="00E71F8D">
        <w:tc>
          <w:tcPr>
            <w:tcW w:w="2081" w:type="dxa"/>
          </w:tcPr>
          <w:p w:rsidR="00E71F8D" w:rsidRPr="008974D4" w:rsidRDefault="00E71F8D" w:rsidP="00E71F8D">
            <w:pPr>
              <w:rPr>
                <w:rFonts w:asciiTheme="minorHAnsi" w:hAnsiTheme="minorHAnsi"/>
                <w:szCs w:val="22"/>
              </w:rPr>
            </w:pPr>
            <w:r w:rsidRPr="008974D4">
              <w:rPr>
                <w:rFonts w:asciiTheme="minorHAnsi" w:hAnsiTheme="minorHAnsi"/>
                <w:szCs w:val="22"/>
              </w:rPr>
              <w:t>21 May</w:t>
            </w:r>
          </w:p>
        </w:tc>
        <w:tc>
          <w:tcPr>
            <w:tcW w:w="6574" w:type="dxa"/>
          </w:tcPr>
          <w:p w:rsidR="00E71F8D" w:rsidRPr="008974D4" w:rsidRDefault="00E71F8D" w:rsidP="00E71F8D">
            <w:pPr>
              <w:numPr>
                <w:ilvl w:val="0"/>
                <w:numId w:val="42"/>
              </w:numPr>
              <w:contextualSpacing/>
              <w:rPr>
                <w:rFonts w:asciiTheme="minorHAnsi" w:hAnsiTheme="minorHAnsi"/>
                <w:szCs w:val="22"/>
              </w:rPr>
            </w:pPr>
            <w:r w:rsidRPr="008974D4">
              <w:rPr>
                <w:rFonts w:asciiTheme="minorHAnsi" w:hAnsiTheme="minorHAnsi"/>
                <w:szCs w:val="22"/>
              </w:rPr>
              <w:t>Amended Delivery Program for public exhibition</w:t>
            </w:r>
          </w:p>
          <w:p w:rsidR="00E71F8D" w:rsidRPr="008974D4" w:rsidRDefault="00E71F8D" w:rsidP="00E71F8D">
            <w:pPr>
              <w:numPr>
                <w:ilvl w:val="0"/>
                <w:numId w:val="42"/>
              </w:numPr>
              <w:contextualSpacing/>
              <w:rPr>
                <w:rFonts w:asciiTheme="minorHAnsi" w:hAnsiTheme="minorHAnsi"/>
                <w:szCs w:val="22"/>
              </w:rPr>
            </w:pPr>
            <w:r w:rsidRPr="008974D4">
              <w:rPr>
                <w:rFonts w:asciiTheme="minorHAnsi" w:hAnsiTheme="minorHAnsi"/>
                <w:szCs w:val="22"/>
              </w:rPr>
              <w:t>SRV of 18%, cumulative over 5 years</w:t>
            </w:r>
          </w:p>
        </w:tc>
      </w:tr>
      <w:tr w:rsidR="00E71F8D" w:rsidRPr="008974D4" w:rsidTr="00E71F8D">
        <w:tc>
          <w:tcPr>
            <w:tcW w:w="2081" w:type="dxa"/>
          </w:tcPr>
          <w:p w:rsidR="00E71F8D" w:rsidRPr="008974D4" w:rsidRDefault="00E71F8D" w:rsidP="00E71F8D">
            <w:pPr>
              <w:rPr>
                <w:rFonts w:asciiTheme="minorHAnsi" w:hAnsiTheme="minorHAnsi"/>
                <w:szCs w:val="22"/>
              </w:rPr>
            </w:pPr>
            <w:r w:rsidRPr="008974D4">
              <w:rPr>
                <w:rFonts w:asciiTheme="minorHAnsi" w:hAnsiTheme="minorHAnsi"/>
                <w:szCs w:val="22"/>
              </w:rPr>
              <w:t>17 September</w:t>
            </w:r>
          </w:p>
        </w:tc>
        <w:tc>
          <w:tcPr>
            <w:tcW w:w="6574" w:type="dxa"/>
          </w:tcPr>
          <w:p w:rsidR="00E71F8D" w:rsidRPr="008974D4" w:rsidRDefault="00E71F8D" w:rsidP="00E71F8D">
            <w:pPr>
              <w:rPr>
                <w:rFonts w:asciiTheme="minorHAnsi" w:hAnsiTheme="minorHAnsi"/>
                <w:szCs w:val="22"/>
              </w:rPr>
            </w:pPr>
            <w:r w:rsidRPr="008974D4">
              <w:rPr>
                <w:rFonts w:asciiTheme="minorHAnsi" w:hAnsiTheme="minorHAnsi"/>
                <w:szCs w:val="22"/>
              </w:rPr>
              <w:t>Review of Delivery Program 2012-2016</w:t>
            </w:r>
          </w:p>
        </w:tc>
      </w:tr>
      <w:tr w:rsidR="00E71F8D" w:rsidRPr="008974D4" w:rsidTr="00E71F8D">
        <w:tc>
          <w:tcPr>
            <w:tcW w:w="2081" w:type="dxa"/>
          </w:tcPr>
          <w:p w:rsidR="00E71F8D" w:rsidRPr="008974D4" w:rsidRDefault="00E71F8D" w:rsidP="00E71F8D">
            <w:pPr>
              <w:rPr>
                <w:rFonts w:asciiTheme="minorHAnsi" w:hAnsiTheme="minorHAnsi"/>
                <w:szCs w:val="22"/>
              </w:rPr>
            </w:pPr>
            <w:r w:rsidRPr="008974D4">
              <w:rPr>
                <w:rFonts w:asciiTheme="minorHAnsi" w:hAnsiTheme="minorHAnsi"/>
                <w:szCs w:val="22"/>
              </w:rPr>
              <w:t>15 October</w:t>
            </w:r>
          </w:p>
        </w:tc>
        <w:tc>
          <w:tcPr>
            <w:tcW w:w="6574" w:type="dxa"/>
          </w:tcPr>
          <w:p w:rsidR="00E71F8D" w:rsidRPr="008974D4" w:rsidRDefault="00E71F8D" w:rsidP="00E71F8D">
            <w:pPr>
              <w:numPr>
                <w:ilvl w:val="0"/>
                <w:numId w:val="54"/>
              </w:numPr>
              <w:contextualSpacing/>
              <w:rPr>
                <w:rFonts w:asciiTheme="minorHAnsi" w:hAnsiTheme="minorHAnsi"/>
                <w:szCs w:val="22"/>
              </w:rPr>
            </w:pPr>
            <w:r w:rsidRPr="008974D4">
              <w:rPr>
                <w:rFonts w:asciiTheme="minorHAnsi" w:hAnsiTheme="minorHAnsi"/>
                <w:szCs w:val="22"/>
              </w:rPr>
              <w:t>Resolution that Council make application for a SRV OF 10.5%  above the standard 2.5% CPI increase to commence 1 July 2015 and to compound for the following 2 years</w:t>
            </w:r>
          </w:p>
          <w:p w:rsidR="00E71F8D" w:rsidRPr="008974D4" w:rsidRDefault="00E71F8D" w:rsidP="00E71F8D">
            <w:pPr>
              <w:numPr>
                <w:ilvl w:val="0"/>
                <w:numId w:val="54"/>
              </w:numPr>
              <w:contextualSpacing/>
              <w:rPr>
                <w:rFonts w:asciiTheme="minorHAnsi" w:hAnsiTheme="minorHAnsi"/>
                <w:szCs w:val="22"/>
              </w:rPr>
            </w:pPr>
            <w:r w:rsidRPr="008974D4">
              <w:rPr>
                <w:rFonts w:asciiTheme="minorHAnsi" w:hAnsiTheme="minorHAnsi"/>
                <w:szCs w:val="22"/>
              </w:rPr>
              <w:t>The allocation among the individual rate categories be reviewed</w:t>
            </w:r>
          </w:p>
          <w:p w:rsidR="00E71F8D" w:rsidRPr="008974D4" w:rsidRDefault="00E71F8D" w:rsidP="00E71F8D">
            <w:pPr>
              <w:numPr>
                <w:ilvl w:val="0"/>
                <w:numId w:val="54"/>
              </w:numPr>
              <w:contextualSpacing/>
              <w:rPr>
                <w:rFonts w:asciiTheme="minorHAnsi" w:hAnsiTheme="minorHAnsi"/>
                <w:szCs w:val="22"/>
              </w:rPr>
            </w:pPr>
            <w:r w:rsidRPr="008974D4">
              <w:rPr>
                <w:rFonts w:asciiTheme="minorHAnsi" w:hAnsiTheme="minorHAnsi"/>
                <w:szCs w:val="22"/>
              </w:rPr>
              <w:t>Six months prior to the expiration of this SRV (</w:t>
            </w:r>
            <w:proofErr w:type="spellStart"/>
            <w:r w:rsidRPr="008974D4">
              <w:rPr>
                <w:rFonts w:asciiTheme="minorHAnsi" w:hAnsiTheme="minorHAnsi"/>
                <w:szCs w:val="22"/>
              </w:rPr>
              <w:t>ie</w:t>
            </w:r>
            <w:proofErr w:type="spellEnd"/>
            <w:r w:rsidRPr="008974D4">
              <w:rPr>
                <w:rFonts w:asciiTheme="minorHAnsi" w:hAnsiTheme="minorHAnsi"/>
                <w:szCs w:val="22"/>
              </w:rPr>
              <w:t xml:space="preserve"> December 2017) the situation be assessed with the view to making a new application</w:t>
            </w:r>
          </w:p>
          <w:p w:rsidR="00E71F8D" w:rsidRPr="008974D4" w:rsidRDefault="00E71F8D" w:rsidP="00E71F8D">
            <w:pPr>
              <w:numPr>
                <w:ilvl w:val="0"/>
                <w:numId w:val="54"/>
              </w:numPr>
              <w:contextualSpacing/>
              <w:rPr>
                <w:rFonts w:asciiTheme="minorHAnsi" w:hAnsiTheme="minorHAnsi"/>
                <w:szCs w:val="22"/>
              </w:rPr>
            </w:pPr>
            <w:r w:rsidRPr="008974D4">
              <w:rPr>
                <w:rFonts w:asciiTheme="minorHAnsi" w:hAnsiTheme="minorHAnsi"/>
                <w:szCs w:val="22"/>
              </w:rPr>
              <w:t>The Delivery Program be amended to reflect this SRV</w:t>
            </w:r>
          </w:p>
          <w:p w:rsidR="00E71F8D" w:rsidRPr="008974D4" w:rsidRDefault="00E71F8D" w:rsidP="00E71F8D">
            <w:pPr>
              <w:numPr>
                <w:ilvl w:val="0"/>
                <w:numId w:val="54"/>
              </w:numPr>
              <w:contextualSpacing/>
              <w:rPr>
                <w:rFonts w:asciiTheme="minorHAnsi" w:hAnsiTheme="minorHAnsi"/>
                <w:szCs w:val="22"/>
              </w:rPr>
            </w:pPr>
            <w:r w:rsidRPr="008974D4">
              <w:rPr>
                <w:rFonts w:asciiTheme="minorHAnsi" w:hAnsiTheme="minorHAnsi"/>
                <w:szCs w:val="22"/>
              </w:rPr>
              <w:t>The Hardship Policy be endorsed</w:t>
            </w:r>
          </w:p>
        </w:tc>
      </w:tr>
    </w:tbl>
    <w:p w:rsidR="00E71F8D" w:rsidRPr="008974D4" w:rsidRDefault="00E71F8D" w:rsidP="00E71F8D">
      <w:pPr>
        <w:spacing w:line="276" w:lineRule="auto"/>
        <w:ind w:left="66"/>
        <w:rPr>
          <w:rFonts w:asciiTheme="minorHAnsi" w:eastAsiaTheme="minorHAnsi" w:hAnsiTheme="minorHAnsi" w:cstheme="minorBidi"/>
          <w:szCs w:val="22"/>
          <w:lang w:eastAsia="en-US"/>
        </w:rPr>
      </w:pPr>
    </w:p>
    <w:p w:rsidR="00E71F8D"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2014/15 Annual Report</w:t>
      </w:r>
      <w:r>
        <w:rPr>
          <w:rFonts w:asciiTheme="minorHAnsi" w:eastAsiaTheme="minorHAnsi" w:hAnsiTheme="minorHAnsi" w:cstheme="minorBidi"/>
          <w:szCs w:val="22"/>
          <w:lang w:eastAsia="en-US"/>
        </w:rPr>
        <w:t xml:space="preserve"> – on display and also direct mail out with comments to contact list.</w:t>
      </w: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p>
    <w:p w:rsidR="00E71F8D" w:rsidRPr="008974D4" w:rsidRDefault="00E71F8D" w:rsidP="00E71F8D">
      <w:pPr>
        <w:spacing w:after="20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b/>
          <w:szCs w:val="22"/>
          <w:lang w:eastAsia="en-US"/>
        </w:rPr>
        <w:t>2015</w:t>
      </w: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E71F8D" w:rsidRPr="008974D4" w:rsidRDefault="00E71F8D" w:rsidP="00E71F8D">
      <w:pPr>
        <w:spacing w:line="276" w:lineRule="auto"/>
        <w:ind w:left="360"/>
        <w:rPr>
          <w:rFonts w:asciiTheme="minorHAnsi" w:eastAsiaTheme="minorHAnsi" w:hAnsiTheme="minorHAnsi" w:cstheme="minorBidi"/>
          <w:szCs w:val="22"/>
          <w:lang w:eastAsia="en-US"/>
        </w:rPr>
      </w:pPr>
    </w:p>
    <w:p w:rsidR="00E71F8D" w:rsidRPr="008974D4" w:rsidRDefault="00E71F8D" w:rsidP="00E71F8D">
      <w:pPr>
        <w:numPr>
          <w:ilvl w:val="0"/>
          <w:numId w:val="50"/>
        </w:numPr>
        <w:spacing w:after="200" w:line="276" w:lineRule="auto"/>
        <w:ind w:left="993" w:firstLine="0"/>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21 January</w:t>
      </w:r>
    </w:p>
    <w:p w:rsidR="00E71F8D" w:rsidRDefault="00E71F8D" w:rsidP="00E71F8D">
      <w:pPr>
        <w:numPr>
          <w:ilvl w:val="0"/>
          <w:numId w:val="50"/>
        </w:numPr>
        <w:spacing w:after="200" w:line="276" w:lineRule="auto"/>
        <w:ind w:left="993" w:firstLine="0"/>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11 February</w:t>
      </w:r>
    </w:p>
    <w:p w:rsidR="00E71F8D" w:rsidRPr="008974D4" w:rsidRDefault="00E71F8D" w:rsidP="00E71F8D">
      <w:pPr>
        <w:spacing w:after="200" w:line="276" w:lineRule="auto"/>
        <w:ind w:left="993"/>
        <w:contextualSpacing/>
        <w:rPr>
          <w:rFonts w:asciiTheme="minorHAnsi" w:eastAsiaTheme="minorHAnsi" w:hAnsiTheme="minorHAnsi" w:cstheme="minorBidi"/>
          <w:szCs w:val="22"/>
          <w:lang w:eastAsia="en-US"/>
        </w:rPr>
      </w:pPr>
    </w:p>
    <w:p w:rsidR="00E71F8D" w:rsidRPr="008974D4" w:rsidRDefault="00E71F8D" w:rsidP="00E71F8D">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E71F8D" w:rsidRPr="008974D4" w:rsidRDefault="00E71F8D" w:rsidP="00E71F8D">
      <w:pPr>
        <w:spacing w:line="276" w:lineRule="auto"/>
        <w:rPr>
          <w:rFonts w:asciiTheme="minorHAnsi" w:eastAsiaTheme="minorHAnsi" w:hAnsiTheme="minorHAnsi" w:cstheme="minorBidi"/>
          <w:szCs w:val="22"/>
          <w:lang w:eastAsia="en-US"/>
        </w:rPr>
      </w:pPr>
    </w:p>
    <w:tbl>
      <w:tblPr>
        <w:tblStyle w:val="TableGrid2"/>
        <w:tblW w:w="0" w:type="auto"/>
        <w:tblInd w:w="66" w:type="dxa"/>
        <w:tblLook w:val="04A0" w:firstRow="1" w:lastRow="0" w:firstColumn="1" w:lastColumn="0" w:noHBand="0" w:noVBand="1"/>
      </w:tblPr>
      <w:tblGrid>
        <w:gridCol w:w="2081"/>
        <w:gridCol w:w="6574"/>
      </w:tblGrid>
      <w:tr w:rsidR="00E71F8D" w:rsidRPr="008974D4" w:rsidTr="00E71F8D">
        <w:tc>
          <w:tcPr>
            <w:tcW w:w="2081" w:type="dxa"/>
          </w:tcPr>
          <w:p w:rsidR="00E71F8D" w:rsidRPr="004A6772" w:rsidRDefault="00E71F8D" w:rsidP="00E71F8D">
            <w:pPr>
              <w:rPr>
                <w:rFonts w:asciiTheme="minorHAnsi" w:hAnsiTheme="minorHAnsi"/>
                <w:b/>
                <w:szCs w:val="22"/>
              </w:rPr>
            </w:pPr>
            <w:r w:rsidRPr="004A6772">
              <w:rPr>
                <w:rFonts w:asciiTheme="minorHAnsi" w:hAnsiTheme="minorHAnsi"/>
                <w:b/>
                <w:szCs w:val="22"/>
              </w:rPr>
              <w:t>Meeting Date</w:t>
            </w:r>
          </w:p>
        </w:tc>
        <w:tc>
          <w:tcPr>
            <w:tcW w:w="6574" w:type="dxa"/>
          </w:tcPr>
          <w:p w:rsidR="00E71F8D" w:rsidRPr="004A6772" w:rsidRDefault="00E71F8D" w:rsidP="00E71F8D">
            <w:pPr>
              <w:rPr>
                <w:rFonts w:asciiTheme="minorHAnsi" w:hAnsiTheme="minorHAnsi"/>
                <w:b/>
                <w:szCs w:val="22"/>
              </w:rPr>
            </w:pPr>
            <w:r w:rsidRPr="004A6772">
              <w:rPr>
                <w:rFonts w:asciiTheme="minorHAnsi" w:hAnsiTheme="minorHAnsi"/>
                <w:b/>
                <w:szCs w:val="22"/>
              </w:rPr>
              <w:t>Details</w:t>
            </w:r>
          </w:p>
        </w:tc>
      </w:tr>
      <w:tr w:rsidR="00E71F8D" w:rsidRPr="008974D4" w:rsidTr="00E71F8D">
        <w:tc>
          <w:tcPr>
            <w:tcW w:w="2081" w:type="dxa"/>
          </w:tcPr>
          <w:p w:rsidR="00E71F8D" w:rsidRPr="008974D4" w:rsidRDefault="00E71F8D" w:rsidP="00E71F8D">
            <w:pPr>
              <w:rPr>
                <w:rFonts w:asciiTheme="minorHAnsi" w:hAnsiTheme="minorHAnsi"/>
                <w:szCs w:val="22"/>
              </w:rPr>
            </w:pPr>
            <w:r>
              <w:rPr>
                <w:rFonts w:asciiTheme="minorHAnsi" w:hAnsiTheme="minorHAnsi"/>
                <w:szCs w:val="22"/>
              </w:rPr>
              <w:t>14</w:t>
            </w:r>
            <w:r w:rsidRPr="008974D4">
              <w:rPr>
                <w:rFonts w:asciiTheme="minorHAnsi" w:hAnsiTheme="minorHAnsi"/>
                <w:szCs w:val="22"/>
              </w:rPr>
              <w:t xml:space="preserve"> </w:t>
            </w:r>
            <w:r>
              <w:rPr>
                <w:rFonts w:asciiTheme="minorHAnsi" w:hAnsiTheme="minorHAnsi"/>
                <w:szCs w:val="22"/>
              </w:rPr>
              <w:t>Jan</w:t>
            </w:r>
            <w:r w:rsidRPr="008974D4">
              <w:rPr>
                <w:rFonts w:asciiTheme="minorHAnsi" w:hAnsiTheme="minorHAnsi"/>
                <w:szCs w:val="22"/>
              </w:rPr>
              <w:t>uary</w:t>
            </w:r>
          </w:p>
        </w:tc>
        <w:tc>
          <w:tcPr>
            <w:tcW w:w="6574" w:type="dxa"/>
          </w:tcPr>
          <w:p w:rsidR="00E71F8D" w:rsidRPr="008974D4" w:rsidRDefault="00E71F8D" w:rsidP="00E71F8D">
            <w:pPr>
              <w:rPr>
                <w:rFonts w:asciiTheme="minorHAnsi" w:hAnsiTheme="minorHAnsi"/>
                <w:szCs w:val="22"/>
              </w:rPr>
            </w:pPr>
            <w:r>
              <w:rPr>
                <w:rFonts w:asciiTheme="minorHAnsi" w:hAnsiTheme="minorHAnsi"/>
                <w:szCs w:val="22"/>
              </w:rPr>
              <w:t xml:space="preserve">Resolution to adopt allocation </w:t>
            </w:r>
          </w:p>
        </w:tc>
      </w:tr>
    </w:tbl>
    <w:p w:rsidR="00E71F8D" w:rsidRDefault="00E71F8D" w:rsidP="00E71F8D">
      <w:pPr>
        <w:spacing w:after="200" w:line="276" w:lineRule="auto"/>
        <w:rPr>
          <w:rFonts w:asciiTheme="minorHAnsi" w:eastAsiaTheme="minorHAnsi" w:hAnsiTheme="minorHAnsi" w:cstheme="minorBidi"/>
          <w:b/>
          <w:szCs w:val="22"/>
          <w:lang w:eastAsia="en-US"/>
        </w:rPr>
      </w:pPr>
    </w:p>
    <w:p w:rsidR="00E71F8D" w:rsidRPr="008974D4" w:rsidRDefault="00E71F8D" w:rsidP="00E71F8D">
      <w:pPr>
        <w:spacing w:after="20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b/>
          <w:szCs w:val="22"/>
          <w:lang w:eastAsia="en-US"/>
        </w:rPr>
        <w:t>General</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Community Strategic Plan 2014-2024</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Delivery Program – 2012-2016</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Challenges May 2014 - Key Messages for Councillors </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lastRenderedPageBreak/>
        <w:t>Challenges May 2014 – A Message to all Council Staff</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Grow Gloucester – Community Information and Discussion Presentation</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Assets – Presentation</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Consideration of a Special Rate Variation (Affordability) Document – as presented to the Ordinary October Council Meeting</w:t>
      </w:r>
    </w:p>
    <w:p w:rsidR="00E71F8D" w:rsidRPr="008974D4"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Hardship Policy – adopted by Council at the Ordinary October Council Meeting</w:t>
      </w:r>
    </w:p>
    <w:p w:rsidR="00E71F8D"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Summary of public presentations regarding the proposed SRV</w:t>
      </w:r>
    </w:p>
    <w:p w:rsidR="00E71F8D" w:rsidRDefault="00E71F8D" w:rsidP="00E71F8D">
      <w:pPr>
        <w:numPr>
          <w:ilvl w:val="0"/>
          <w:numId w:val="43"/>
        </w:numPr>
        <w:spacing w:after="200" w:line="276" w:lineRule="auto"/>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Direct advice to email contact list on amended documents and information for feedback</w:t>
      </w:r>
    </w:p>
    <w:p w:rsidR="00E71F8D" w:rsidRDefault="00E71F8D" w:rsidP="00E71F8D">
      <w:pPr>
        <w:pStyle w:val="Heading2"/>
        <w:numPr>
          <w:ilvl w:val="0"/>
          <w:numId w:val="0"/>
        </w:numPr>
        <w:pBdr>
          <w:bottom w:val="single" w:sz="4" w:space="1" w:color="auto"/>
        </w:pBdr>
        <w:ind w:left="709" w:right="-141"/>
        <w:rPr>
          <w:bCs/>
        </w:rPr>
      </w:pPr>
    </w:p>
    <w:p w:rsidR="00E71F8D" w:rsidRDefault="00E71F8D" w:rsidP="00D60EA5">
      <w:pPr>
        <w:pStyle w:val="BodyText"/>
      </w:pPr>
    </w:p>
    <w:p w:rsidR="000F359C" w:rsidRDefault="000F359C" w:rsidP="000F359C">
      <w:pPr>
        <w:pStyle w:val="Heading1"/>
      </w:pPr>
      <w:bookmarkStart w:id="33" w:name="_Toc401138374"/>
      <w:r>
        <w:t>Assessment criterion</w:t>
      </w:r>
      <w:r w:rsidR="00D60EA5">
        <w:t xml:space="preserve"> 3: Impact on ratepayers</w:t>
      </w:r>
      <w:bookmarkEnd w:id="33"/>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r w:rsidRPr="0071760B">
        <w:rPr>
          <w:rFonts w:ascii="Arial" w:hAnsi="Arial" w:cs="Arial"/>
          <w:i/>
        </w:rPr>
        <w:t>establish that the proposed rate increases are affordable having regard to the local community’s capacity to pay.</w:t>
      </w:r>
    </w:p>
    <w:p w:rsidR="00B21D8F" w:rsidRDefault="00B21D8F" w:rsidP="00B21D8F">
      <w:pPr>
        <w:pStyle w:val="BodyText"/>
        <w:pBdr>
          <w:bottom w:val="single" w:sz="4" w:space="1" w:color="auto"/>
        </w:pBdr>
        <w:ind w:left="-567"/>
        <w:rPr>
          <w:rFonts w:asciiTheme="minorHAnsi" w:hAnsiTheme="minorHAnsi"/>
        </w:rPr>
      </w:pPr>
    </w:p>
    <w:p w:rsidR="00734F82" w:rsidRPr="00E5475A" w:rsidRDefault="00E5475A" w:rsidP="00546232">
      <w:pPr>
        <w:pStyle w:val="BodyText"/>
        <w:ind w:left="-567"/>
        <w:rPr>
          <w:rFonts w:asciiTheme="minorHAnsi" w:hAnsiTheme="minorHAnsi"/>
        </w:rPr>
      </w:pPr>
      <w:r>
        <w:rPr>
          <w:rFonts w:asciiTheme="minorHAnsi" w:hAnsiTheme="minorHAnsi"/>
        </w:rPr>
        <w:t xml:space="preserve">The affordability issue has been the underlying concern for Council. Internal analysis was conducted and the </w:t>
      </w:r>
      <w:r w:rsidR="00734F82" w:rsidRPr="00E5475A">
        <w:rPr>
          <w:rFonts w:asciiTheme="minorHAnsi" w:hAnsiTheme="minorHAnsi"/>
        </w:rPr>
        <w:t xml:space="preserve">Hunter Research Foundation </w:t>
      </w:r>
      <w:r>
        <w:rPr>
          <w:rFonts w:asciiTheme="minorHAnsi" w:hAnsiTheme="minorHAnsi"/>
        </w:rPr>
        <w:t xml:space="preserve">was engaged </w:t>
      </w:r>
      <w:r w:rsidR="00734F82" w:rsidRPr="00E5475A">
        <w:rPr>
          <w:rFonts w:asciiTheme="minorHAnsi" w:hAnsiTheme="minorHAnsi"/>
        </w:rPr>
        <w:t>to conduct an affordability analysis of the community.</w:t>
      </w:r>
      <w:r>
        <w:rPr>
          <w:rFonts w:asciiTheme="minorHAnsi" w:hAnsiTheme="minorHAnsi"/>
        </w:rPr>
        <w:t xml:space="preserve"> A report on affordability was considered as part of the final determination by Council.</w:t>
      </w:r>
    </w:p>
    <w:p w:rsidR="00E5475A" w:rsidRPr="00E5475A" w:rsidRDefault="00E5475A" w:rsidP="00B21D8F">
      <w:pPr>
        <w:pStyle w:val="BodyText"/>
        <w:ind w:hanging="567"/>
        <w:rPr>
          <w:rFonts w:asciiTheme="minorHAnsi" w:hAnsiTheme="minorHAnsi"/>
          <w:szCs w:val="22"/>
        </w:rPr>
      </w:pPr>
      <w:r>
        <w:rPr>
          <w:rFonts w:asciiTheme="minorHAnsi" w:hAnsiTheme="minorHAnsi"/>
          <w:szCs w:val="22"/>
        </w:rPr>
        <w:t>The proposed SV will</w:t>
      </w:r>
      <w:r w:rsidR="00A17554" w:rsidRPr="00E5475A">
        <w:rPr>
          <w:rFonts w:asciiTheme="minorHAnsi" w:hAnsiTheme="minorHAnsi"/>
          <w:szCs w:val="22"/>
        </w:rPr>
        <w:t xml:space="preserve"> significantly increase </w:t>
      </w:r>
      <w:r>
        <w:rPr>
          <w:rFonts w:asciiTheme="minorHAnsi" w:hAnsiTheme="minorHAnsi"/>
          <w:szCs w:val="22"/>
        </w:rPr>
        <w:t>our</w:t>
      </w:r>
      <w:r w:rsidR="00A17554" w:rsidRPr="00E5475A">
        <w:rPr>
          <w:rFonts w:asciiTheme="minorHAnsi" w:hAnsiTheme="minorHAnsi"/>
          <w:szCs w:val="22"/>
        </w:rPr>
        <w:t xml:space="preserve"> rating base </w:t>
      </w:r>
      <w:r>
        <w:rPr>
          <w:rFonts w:asciiTheme="minorHAnsi" w:hAnsiTheme="minorHAnsi"/>
          <w:szCs w:val="22"/>
        </w:rPr>
        <w:t>and was</w:t>
      </w:r>
      <w:r w:rsidR="00A17554" w:rsidRPr="00E5475A">
        <w:rPr>
          <w:rFonts w:asciiTheme="minorHAnsi" w:hAnsiTheme="minorHAnsi"/>
          <w:szCs w:val="22"/>
        </w:rPr>
        <w:t xml:space="preserve"> considered in terms of the Shire ratepayers’ ability to meet the cost of such increases.  Gloucester Shire Council has reviewed a number of SV scenarios ranging from 5.5% to 18%</w:t>
      </w:r>
      <w:r w:rsidR="007504CF">
        <w:rPr>
          <w:rFonts w:asciiTheme="minorHAnsi" w:hAnsiTheme="minorHAnsi"/>
          <w:szCs w:val="22"/>
        </w:rPr>
        <w:t xml:space="preserve"> </w:t>
      </w:r>
      <w:r w:rsidR="00A17554" w:rsidRPr="00E5475A">
        <w:rPr>
          <w:rFonts w:asciiTheme="minorHAnsi" w:hAnsiTheme="minorHAnsi"/>
          <w:szCs w:val="22"/>
        </w:rPr>
        <w:t xml:space="preserve">pa.  These increases include 2.5% as the estimated CPI annual routine rate lift. </w:t>
      </w:r>
    </w:p>
    <w:p w:rsidR="00A17554" w:rsidRDefault="00A17554" w:rsidP="00D94E3C">
      <w:pPr>
        <w:pStyle w:val="BodyText"/>
        <w:rPr>
          <w:rFonts w:asciiTheme="minorHAnsi" w:hAnsiTheme="minorHAnsi"/>
          <w:szCs w:val="22"/>
        </w:rPr>
      </w:pPr>
      <w:r w:rsidRPr="00E5475A">
        <w:rPr>
          <w:rFonts w:asciiTheme="minorHAnsi" w:hAnsiTheme="minorHAnsi"/>
          <w:szCs w:val="22"/>
        </w:rPr>
        <w:t>The financial outcome of various SV options on additional funding generated toward this backlog is shown in the chart, below</w:t>
      </w:r>
      <w:r w:rsidR="00BC3F70">
        <w:rPr>
          <w:rFonts w:asciiTheme="minorHAnsi" w:hAnsiTheme="minorHAnsi"/>
          <w:szCs w:val="22"/>
        </w:rPr>
        <w:t>. It is clear that to achieve depreciation (the blue line in the graph below) as a measure of asset deterioration, a significant SV is required.</w:t>
      </w:r>
    </w:p>
    <w:p w:rsidR="00717A33" w:rsidRPr="00E5475A" w:rsidRDefault="00717A33" w:rsidP="00D94E3C">
      <w:pPr>
        <w:pStyle w:val="BodyText"/>
        <w:rPr>
          <w:rFonts w:asciiTheme="minorHAnsi" w:hAnsiTheme="minorHAnsi"/>
          <w:szCs w:val="22"/>
        </w:rPr>
      </w:pPr>
    </w:p>
    <w:p w:rsidR="00A17554" w:rsidRPr="00A17554" w:rsidRDefault="00717A33" w:rsidP="00A17554">
      <w:pPr>
        <w:jc w:val="center"/>
        <w:rPr>
          <w:rFonts w:asciiTheme="minorHAnsi" w:hAnsiTheme="minorHAnsi"/>
          <w:szCs w:val="22"/>
        </w:rPr>
      </w:pPr>
      <w:r>
        <w:rPr>
          <w:noProof/>
        </w:rPr>
        <w:lastRenderedPageBreak/>
        <w:drawing>
          <wp:inline distT="0" distB="0" distL="0" distR="0" wp14:anchorId="7643CC5B" wp14:editId="2203C28F">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A17554" w:rsidRPr="00A17554">
        <w:rPr>
          <w:rFonts w:asciiTheme="minorHAnsi" w:hAnsiTheme="minorHAnsi"/>
          <w:szCs w:val="22"/>
        </w:rPr>
        <w:br/>
      </w:r>
    </w:p>
    <w:p w:rsidR="00A17554" w:rsidRPr="00A17554" w:rsidRDefault="00E5475A" w:rsidP="00D94E3C">
      <w:pPr>
        <w:rPr>
          <w:rFonts w:asciiTheme="minorHAnsi" w:hAnsiTheme="minorHAnsi"/>
          <w:szCs w:val="22"/>
        </w:rPr>
      </w:pPr>
      <w:r>
        <w:rPr>
          <w:rFonts w:asciiTheme="minorHAnsi" w:hAnsiTheme="minorHAnsi"/>
          <w:szCs w:val="22"/>
        </w:rPr>
        <w:t>Overlaying the issue of affordability, Council wanted the community to understand that as can be seen i</w:t>
      </w:r>
      <w:r w:rsidR="00A17554" w:rsidRPr="00A17554">
        <w:rPr>
          <w:rFonts w:asciiTheme="minorHAnsi" w:hAnsiTheme="minorHAnsi"/>
          <w:szCs w:val="22"/>
        </w:rPr>
        <w:t xml:space="preserve">n the above chart, only an 18% cumulative SV for 5 years will lift rates sufficiently toward achieving the necessary funding to bring the asset backlog to a desired condition. </w:t>
      </w:r>
    </w:p>
    <w:p w:rsidR="00A17554" w:rsidRPr="00E5475A" w:rsidRDefault="00A17554" w:rsidP="00D94E3C">
      <w:pPr>
        <w:pStyle w:val="BodyText"/>
        <w:rPr>
          <w:rFonts w:asciiTheme="minorHAnsi" w:hAnsiTheme="minorHAnsi"/>
          <w:b/>
        </w:rPr>
      </w:pPr>
      <w:r w:rsidRPr="00E5475A">
        <w:rPr>
          <w:rFonts w:asciiTheme="minorHAnsi" w:hAnsiTheme="minorHAnsi"/>
          <w:b/>
        </w:rPr>
        <w:t>Magnitude of Rate Increases</w:t>
      </w:r>
    </w:p>
    <w:p w:rsidR="00A17554" w:rsidRPr="007504CF" w:rsidRDefault="00A17554" w:rsidP="00D94E3C">
      <w:pPr>
        <w:pStyle w:val="BodyText"/>
        <w:rPr>
          <w:rFonts w:asciiTheme="minorHAnsi" w:hAnsiTheme="minorHAnsi"/>
        </w:rPr>
      </w:pPr>
      <w:r w:rsidRPr="00E5475A">
        <w:t xml:space="preserve"> </w:t>
      </w:r>
      <w:r w:rsidR="00E5475A" w:rsidRPr="007504CF">
        <w:rPr>
          <w:rFonts w:asciiTheme="minorHAnsi" w:hAnsiTheme="minorHAnsi"/>
        </w:rPr>
        <w:t>In assessing</w:t>
      </w:r>
      <w:r w:rsidRPr="007504CF">
        <w:rPr>
          <w:rFonts w:asciiTheme="minorHAnsi" w:hAnsiTheme="minorHAnsi"/>
        </w:rPr>
        <w:t xml:space="preserve"> affordability, </w:t>
      </w:r>
      <w:r w:rsidR="00E5475A" w:rsidRPr="007504CF">
        <w:rPr>
          <w:rFonts w:asciiTheme="minorHAnsi" w:hAnsiTheme="minorHAnsi"/>
        </w:rPr>
        <w:t>Council</w:t>
      </w:r>
      <w:r w:rsidRPr="007504CF">
        <w:rPr>
          <w:rFonts w:asciiTheme="minorHAnsi" w:hAnsiTheme="minorHAnsi"/>
        </w:rPr>
        <w:t xml:space="preserve"> determine</w:t>
      </w:r>
      <w:r w:rsidR="00E5475A" w:rsidRPr="007504CF">
        <w:rPr>
          <w:rFonts w:asciiTheme="minorHAnsi" w:hAnsiTheme="minorHAnsi"/>
        </w:rPr>
        <w:t>d</w:t>
      </w:r>
      <w:r w:rsidRPr="007504CF">
        <w:rPr>
          <w:rFonts w:asciiTheme="minorHAnsi" w:hAnsiTheme="minorHAnsi"/>
        </w:rPr>
        <w:t xml:space="preserve"> the magnitude of the annual rate increase for each of</w:t>
      </w:r>
      <w:r w:rsidR="00B21D8F">
        <w:rPr>
          <w:rFonts w:asciiTheme="minorHAnsi" w:hAnsiTheme="minorHAnsi"/>
        </w:rPr>
        <w:t xml:space="preserve"> the Shires 6 rating categories and</w:t>
      </w:r>
      <w:r w:rsidRPr="007504CF">
        <w:rPr>
          <w:rFonts w:asciiTheme="minorHAnsi" w:hAnsiTheme="minorHAnsi"/>
        </w:rPr>
        <w:t xml:space="preserve"> </w:t>
      </w:r>
      <w:r w:rsidR="00127990" w:rsidRPr="007504CF">
        <w:rPr>
          <w:rFonts w:asciiTheme="minorHAnsi" w:hAnsiTheme="minorHAnsi"/>
        </w:rPr>
        <w:t xml:space="preserve">the impact over the period, </w:t>
      </w:r>
      <w:r w:rsidR="00B21D8F">
        <w:rPr>
          <w:rFonts w:asciiTheme="minorHAnsi" w:hAnsiTheme="minorHAnsi"/>
        </w:rPr>
        <w:t xml:space="preserve">from </w:t>
      </w:r>
      <w:r w:rsidRPr="007504CF">
        <w:rPr>
          <w:rFonts w:asciiTheme="minorHAnsi" w:hAnsiTheme="minorHAnsi"/>
        </w:rPr>
        <w:t>2014/2015.</w:t>
      </w:r>
    </w:p>
    <w:p w:rsidR="00A17554" w:rsidRDefault="00A17554" w:rsidP="00D94E3C">
      <w:pPr>
        <w:pStyle w:val="BodyText"/>
      </w:pPr>
      <w:r w:rsidRPr="007504CF">
        <w:rPr>
          <w:rFonts w:asciiTheme="minorHAnsi" w:hAnsiTheme="minorHAnsi"/>
        </w:rPr>
        <w:t xml:space="preserve">The chart below is for the year 2014/2015 which shows the current rates by Rating Categories, the number of Assessment in each Category, the average Rate Assessment Value and the Rate Revenue per Category. Note that Council also imposes rates on various mining categories. However as there are only a total of 4 assessments and as the rate revenue is very high they are deleted from the graph to avoid confusing the presentation. </w:t>
      </w:r>
      <w:r w:rsidR="00B21D8F">
        <w:rPr>
          <w:rFonts w:asciiTheme="minorHAnsi" w:hAnsiTheme="minorHAnsi"/>
        </w:rPr>
        <w:t>T</w:t>
      </w:r>
      <w:r w:rsidRPr="007504CF">
        <w:rPr>
          <w:rFonts w:asciiTheme="minorHAnsi" w:hAnsiTheme="minorHAnsi"/>
        </w:rPr>
        <w:t>hese categories will also be</w:t>
      </w:r>
      <w:r w:rsidR="00127990" w:rsidRPr="007504CF">
        <w:rPr>
          <w:rFonts w:asciiTheme="minorHAnsi" w:hAnsiTheme="minorHAnsi"/>
        </w:rPr>
        <w:t xml:space="preserve"> </w:t>
      </w:r>
      <w:r w:rsidRPr="007504CF">
        <w:rPr>
          <w:rFonts w:asciiTheme="minorHAnsi" w:hAnsiTheme="minorHAnsi"/>
        </w:rPr>
        <w:t>impacted by any rate increase.</w:t>
      </w:r>
      <w:r w:rsidRPr="00E5475A">
        <w:br/>
      </w:r>
    </w:p>
    <w:p w:rsidR="00A17554" w:rsidRPr="00A17554" w:rsidRDefault="00A17554" w:rsidP="00A17554">
      <w:pPr>
        <w:rPr>
          <w:rFonts w:asciiTheme="minorHAnsi" w:hAnsiTheme="minorHAnsi"/>
          <w:szCs w:val="22"/>
        </w:rPr>
      </w:pPr>
      <w:r w:rsidRPr="00A17554">
        <w:rPr>
          <w:rFonts w:asciiTheme="minorHAnsi" w:hAnsiTheme="minorHAnsi"/>
          <w:noProof/>
          <w:szCs w:val="22"/>
        </w:rPr>
        <w:lastRenderedPageBreak/>
        <w:drawing>
          <wp:inline distT="0" distB="0" distL="0" distR="0" wp14:anchorId="054BB966" wp14:editId="4514428A">
            <wp:extent cx="5241851" cy="3211033"/>
            <wp:effectExtent l="0" t="0" r="16510" b="2794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A17554">
        <w:rPr>
          <w:rFonts w:asciiTheme="minorHAnsi" w:hAnsiTheme="minorHAnsi"/>
          <w:szCs w:val="22"/>
        </w:rPr>
        <w:br/>
      </w:r>
    </w:p>
    <w:p w:rsidR="00127990" w:rsidRDefault="00127990" w:rsidP="00A17554">
      <w:pPr>
        <w:jc w:val="center"/>
        <w:rPr>
          <w:rFonts w:asciiTheme="minorHAnsi" w:hAnsiTheme="minorHAnsi"/>
          <w:b/>
          <w:szCs w:val="22"/>
        </w:rPr>
      </w:pPr>
    </w:p>
    <w:p w:rsidR="00A17554" w:rsidRDefault="00A17554" w:rsidP="00D94E3C">
      <w:pPr>
        <w:ind w:left="-567"/>
        <w:rPr>
          <w:rFonts w:asciiTheme="minorHAnsi" w:hAnsiTheme="minorHAnsi"/>
          <w:szCs w:val="22"/>
        </w:rPr>
      </w:pPr>
      <w:r w:rsidRPr="00A17554">
        <w:rPr>
          <w:rFonts w:asciiTheme="minorHAnsi" w:hAnsiTheme="minorHAnsi"/>
          <w:szCs w:val="22"/>
        </w:rPr>
        <w:t>The following chart shows the revenue, number and average assessment for each rating categories for the year 2023/24 after a 13% SRV is applied for 3 years cumulative.</w:t>
      </w:r>
    </w:p>
    <w:p w:rsidR="007504CF" w:rsidRPr="00A17554" w:rsidRDefault="007504CF" w:rsidP="00A17554">
      <w:pPr>
        <w:rPr>
          <w:rFonts w:asciiTheme="minorHAnsi" w:hAnsiTheme="minorHAnsi"/>
          <w:szCs w:val="22"/>
        </w:rPr>
      </w:pPr>
    </w:p>
    <w:p w:rsidR="00A17554" w:rsidRPr="00A17554" w:rsidRDefault="00A17554" w:rsidP="00A17554">
      <w:pPr>
        <w:rPr>
          <w:rFonts w:asciiTheme="minorHAnsi" w:hAnsiTheme="minorHAnsi"/>
          <w:szCs w:val="22"/>
        </w:rPr>
      </w:pPr>
      <w:r w:rsidRPr="00A17554">
        <w:rPr>
          <w:rFonts w:asciiTheme="minorHAnsi" w:hAnsiTheme="minorHAnsi"/>
          <w:noProof/>
          <w:szCs w:val="22"/>
        </w:rPr>
        <w:drawing>
          <wp:inline distT="0" distB="0" distL="0" distR="0" wp14:anchorId="354982B9" wp14:editId="6028BDD5">
            <wp:extent cx="5248275" cy="3048000"/>
            <wp:effectExtent l="0" t="0" r="9525"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27990" w:rsidRDefault="00127990" w:rsidP="00A17554">
      <w:pPr>
        <w:rPr>
          <w:rFonts w:asciiTheme="minorHAnsi" w:hAnsiTheme="minorHAnsi"/>
          <w:szCs w:val="22"/>
        </w:rPr>
      </w:pPr>
    </w:p>
    <w:p w:rsidR="00A17554" w:rsidRPr="00B21D8F" w:rsidRDefault="00A17554" w:rsidP="00127990">
      <w:pPr>
        <w:ind w:left="-567"/>
        <w:rPr>
          <w:rFonts w:asciiTheme="minorHAnsi" w:hAnsiTheme="minorHAnsi"/>
          <w:szCs w:val="22"/>
        </w:rPr>
      </w:pPr>
      <w:r w:rsidRPr="00A17554">
        <w:rPr>
          <w:rFonts w:asciiTheme="minorHAnsi" w:hAnsiTheme="minorHAnsi"/>
          <w:szCs w:val="22"/>
        </w:rPr>
        <w:t xml:space="preserve">It should be noted that in order to gauge affordability, the </w:t>
      </w:r>
      <w:r w:rsidR="00B21D8F">
        <w:rPr>
          <w:rFonts w:asciiTheme="minorHAnsi" w:hAnsiTheme="minorHAnsi"/>
          <w:szCs w:val="22"/>
        </w:rPr>
        <w:t>averages shown in</w:t>
      </w:r>
      <w:r w:rsidRPr="00A17554">
        <w:rPr>
          <w:rFonts w:asciiTheme="minorHAnsi" w:hAnsiTheme="minorHAnsi"/>
          <w:szCs w:val="22"/>
        </w:rPr>
        <w:t xml:space="preserve"> the subsequent 2 charts refer </w:t>
      </w:r>
      <w:r w:rsidRPr="00B21D8F">
        <w:rPr>
          <w:rFonts w:asciiTheme="minorHAnsi" w:hAnsiTheme="minorHAnsi"/>
          <w:szCs w:val="22"/>
        </w:rPr>
        <w:t>only to the SV component of the rate increase and exclude the annual CPI increase.</w:t>
      </w:r>
    </w:p>
    <w:p w:rsidR="00127990" w:rsidRDefault="00BC3F70" w:rsidP="00127990">
      <w:pPr>
        <w:ind w:left="-567"/>
        <w:rPr>
          <w:rFonts w:asciiTheme="minorHAnsi" w:hAnsiTheme="minorHAnsi"/>
          <w:szCs w:val="22"/>
        </w:rPr>
      </w:pPr>
      <w:r w:rsidRPr="00B21D8F">
        <w:rPr>
          <w:rFonts w:asciiTheme="minorHAnsi" w:hAnsiTheme="minorHAnsi"/>
          <w:szCs w:val="22"/>
        </w:rPr>
        <w:t>At the time of the affordability analysis,</w:t>
      </w:r>
      <w:r w:rsidR="00A17554" w:rsidRPr="00B21D8F">
        <w:rPr>
          <w:rFonts w:asciiTheme="minorHAnsi" w:hAnsiTheme="minorHAnsi"/>
          <w:szCs w:val="22"/>
        </w:rPr>
        <w:t xml:space="preserve"> the SV amount </w:t>
      </w:r>
      <w:r w:rsidRPr="00B21D8F">
        <w:rPr>
          <w:rFonts w:asciiTheme="minorHAnsi" w:hAnsiTheme="minorHAnsi"/>
          <w:szCs w:val="22"/>
        </w:rPr>
        <w:t>w</w:t>
      </w:r>
      <w:r w:rsidR="00A17554" w:rsidRPr="00B21D8F">
        <w:rPr>
          <w:rFonts w:asciiTheme="minorHAnsi" w:hAnsiTheme="minorHAnsi"/>
          <w:szCs w:val="22"/>
        </w:rPr>
        <w:t>as applied equally to each of the rating categories (except mining).  This assumption is based</w:t>
      </w:r>
      <w:r w:rsidR="00A17554" w:rsidRPr="00A17554">
        <w:rPr>
          <w:rFonts w:asciiTheme="minorHAnsi" w:hAnsiTheme="minorHAnsi"/>
          <w:szCs w:val="22"/>
        </w:rPr>
        <w:t xml:space="preserve"> on all ratepayer groups contributing equally to the Shire’s financial needs and is subject to discussion and review.  </w:t>
      </w:r>
    </w:p>
    <w:p w:rsidR="00127990" w:rsidRDefault="00127990" w:rsidP="00127990">
      <w:pPr>
        <w:ind w:left="-567"/>
        <w:rPr>
          <w:rFonts w:asciiTheme="minorHAnsi" w:hAnsiTheme="minorHAnsi"/>
          <w:szCs w:val="22"/>
        </w:rPr>
      </w:pPr>
    </w:p>
    <w:p w:rsidR="00A17554" w:rsidRDefault="00A17554" w:rsidP="00127990">
      <w:pPr>
        <w:ind w:left="-567"/>
        <w:rPr>
          <w:rFonts w:asciiTheme="minorHAnsi" w:hAnsiTheme="minorHAnsi"/>
          <w:szCs w:val="22"/>
        </w:rPr>
      </w:pPr>
      <w:r w:rsidRPr="00A17554">
        <w:rPr>
          <w:rFonts w:asciiTheme="minorHAnsi" w:hAnsiTheme="minorHAnsi"/>
          <w:szCs w:val="22"/>
        </w:rPr>
        <w:t>The proposal of a 13% (10.5% SRV plus CPI 2.5%) will see total rates increase by 44% over 3 years with the SV impact at 35%.</w:t>
      </w:r>
    </w:p>
    <w:p w:rsidR="00127990" w:rsidRPr="00A17554" w:rsidRDefault="00127990" w:rsidP="00A17554">
      <w:pPr>
        <w:rPr>
          <w:rFonts w:asciiTheme="minorHAnsi" w:hAnsiTheme="minorHAnsi"/>
          <w:szCs w:val="22"/>
        </w:rPr>
      </w:pPr>
    </w:p>
    <w:tbl>
      <w:tblPr>
        <w:tblW w:w="8268" w:type="dxa"/>
        <w:jc w:val="center"/>
        <w:tblInd w:w="-758" w:type="dxa"/>
        <w:tblLook w:val="04A0" w:firstRow="1" w:lastRow="0" w:firstColumn="1" w:lastColumn="0" w:noHBand="0" w:noVBand="1"/>
      </w:tblPr>
      <w:tblGrid>
        <w:gridCol w:w="3316"/>
        <w:gridCol w:w="266"/>
        <w:gridCol w:w="266"/>
        <w:gridCol w:w="580"/>
        <w:gridCol w:w="960"/>
        <w:gridCol w:w="960"/>
        <w:gridCol w:w="960"/>
        <w:gridCol w:w="960"/>
      </w:tblGrid>
      <w:tr w:rsidR="00A17554" w:rsidRPr="00A17554" w:rsidTr="00127990">
        <w:trPr>
          <w:trHeight w:val="300"/>
          <w:jc w:val="center"/>
        </w:trPr>
        <w:tc>
          <w:tcPr>
            <w:tcW w:w="3848" w:type="dxa"/>
            <w:gridSpan w:val="3"/>
            <w:tcBorders>
              <w:top w:val="single" w:sz="8" w:space="0" w:color="auto"/>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b/>
                <w:bCs/>
                <w:szCs w:val="22"/>
              </w:rPr>
            </w:pPr>
            <w:r w:rsidRPr="00A17554">
              <w:rPr>
                <w:rFonts w:asciiTheme="minorHAnsi" w:hAnsiTheme="minorHAnsi" w:cs="Arial"/>
                <w:b/>
                <w:bCs/>
                <w:szCs w:val="22"/>
              </w:rPr>
              <w:lastRenderedPageBreak/>
              <w:t>Total increase CPI + SRV</w:t>
            </w:r>
          </w:p>
        </w:tc>
        <w:tc>
          <w:tcPr>
            <w:tcW w:w="580" w:type="dxa"/>
            <w:tcBorders>
              <w:top w:val="single" w:sz="8" w:space="0" w:color="auto"/>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960" w:type="dxa"/>
            <w:tcBorders>
              <w:top w:val="single" w:sz="8" w:space="0" w:color="auto"/>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18</w:t>
            </w:r>
          </w:p>
        </w:tc>
        <w:tc>
          <w:tcPr>
            <w:tcW w:w="960" w:type="dxa"/>
            <w:tcBorders>
              <w:top w:val="single" w:sz="8" w:space="0" w:color="auto"/>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15</w:t>
            </w:r>
          </w:p>
        </w:tc>
        <w:tc>
          <w:tcPr>
            <w:tcW w:w="960" w:type="dxa"/>
            <w:tcBorders>
              <w:top w:val="single" w:sz="8" w:space="0" w:color="auto"/>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13</w:t>
            </w:r>
          </w:p>
        </w:tc>
        <w:tc>
          <w:tcPr>
            <w:tcW w:w="960" w:type="dxa"/>
            <w:tcBorders>
              <w:top w:val="single" w:sz="8" w:space="0" w:color="auto"/>
              <w:left w:val="nil"/>
              <w:bottom w:val="nil"/>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5.5</w:t>
            </w:r>
          </w:p>
        </w:tc>
      </w:tr>
      <w:tr w:rsidR="00A17554" w:rsidRPr="00A17554" w:rsidTr="00127990">
        <w:trPr>
          <w:trHeight w:val="300"/>
          <w:jc w:val="center"/>
        </w:trPr>
        <w:tc>
          <w:tcPr>
            <w:tcW w:w="3582" w:type="dxa"/>
            <w:gridSpan w:val="2"/>
            <w:tcBorders>
              <w:top w:val="nil"/>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Total at year 3</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580" w:type="dxa"/>
            <w:tcBorders>
              <w:top w:val="nil"/>
              <w:left w:val="nil"/>
              <w:bottom w:val="nil"/>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3,746</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3,468</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3,290</w:t>
            </w:r>
          </w:p>
        </w:tc>
        <w:tc>
          <w:tcPr>
            <w:tcW w:w="960" w:type="dxa"/>
            <w:tcBorders>
              <w:top w:val="nil"/>
              <w:left w:val="nil"/>
              <w:bottom w:val="nil"/>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2,677</w:t>
            </w:r>
          </w:p>
        </w:tc>
      </w:tr>
      <w:tr w:rsidR="00A17554" w:rsidRPr="00A17554" w:rsidTr="00127990">
        <w:trPr>
          <w:trHeight w:val="300"/>
          <w:jc w:val="center"/>
        </w:trPr>
        <w:tc>
          <w:tcPr>
            <w:tcW w:w="3316" w:type="dxa"/>
            <w:tcBorders>
              <w:top w:val="nil"/>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Increase $</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580" w:type="dxa"/>
            <w:tcBorders>
              <w:top w:val="nil"/>
              <w:left w:val="nil"/>
              <w:bottom w:val="nil"/>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1,466</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1,188</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1,010</w:t>
            </w:r>
          </w:p>
        </w:tc>
        <w:tc>
          <w:tcPr>
            <w:tcW w:w="960" w:type="dxa"/>
            <w:tcBorders>
              <w:top w:val="nil"/>
              <w:left w:val="nil"/>
              <w:bottom w:val="nil"/>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397</w:t>
            </w:r>
          </w:p>
        </w:tc>
      </w:tr>
      <w:tr w:rsidR="00A17554" w:rsidRPr="00A17554" w:rsidTr="00127990">
        <w:trPr>
          <w:trHeight w:val="300"/>
          <w:jc w:val="center"/>
        </w:trPr>
        <w:tc>
          <w:tcPr>
            <w:tcW w:w="3848" w:type="dxa"/>
            <w:gridSpan w:val="3"/>
            <w:tcBorders>
              <w:top w:val="nil"/>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Total % Increase at 3 years cumulative</w:t>
            </w:r>
          </w:p>
        </w:tc>
        <w:tc>
          <w:tcPr>
            <w:tcW w:w="580" w:type="dxa"/>
            <w:tcBorders>
              <w:top w:val="nil"/>
              <w:left w:val="nil"/>
              <w:bottom w:val="nil"/>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64</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52</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44</w:t>
            </w:r>
          </w:p>
        </w:tc>
        <w:tc>
          <w:tcPr>
            <w:tcW w:w="960" w:type="dxa"/>
            <w:tcBorders>
              <w:top w:val="nil"/>
              <w:left w:val="nil"/>
              <w:bottom w:val="nil"/>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17</w:t>
            </w:r>
          </w:p>
        </w:tc>
      </w:tr>
      <w:tr w:rsidR="00A17554" w:rsidRPr="00A17554" w:rsidTr="00127990">
        <w:trPr>
          <w:trHeight w:val="300"/>
          <w:jc w:val="center"/>
        </w:trPr>
        <w:tc>
          <w:tcPr>
            <w:tcW w:w="3316" w:type="dxa"/>
            <w:tcBorders>
              <w:top w:val="nil"/>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580" w:type="dxa"/>
            <w:tcBorders>
              <w:top w:val="nil"/>
              <w:left w:val="nil"/>
              <w:bottom w:val="nil"/>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 </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960" w:type="dxa"/>
            <w:tcBorders>
              <w:top w:val="nil"/>
              <w:left w:val="nil"/>
              <w:bottom w:val="nil"/>
              <w:right w:val="single" w:sz="8" w:space="0" w:color="auto"/>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r>
      <w:tr w:rsidR="00A17554" w:rsidRPr="00A17554" w:rsidTr="00127990">
        <w:trPr>
          <w:trHeight w:val="300"/>
          <w:jc w:val="center"/>
        </w:trPr>
        <w:tc>
          <w:tcPr>
            <w:tcW w:w="3848" w:type="dxa"/>
            <w:gridSpan w:val="3"/>
            <w:tcBorders>
              <w:top w:val="nil"/>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b/>
                <w:bCs/>
                <w:szCs w:val="22"/>
              </w:rPr>
            </w:pPr>
            <w:r w:rsidRPr="00A17554">
              <w:rPr>
                <w:rFonts w:asciiTheme="minorHAnsi" w:hAnsiTheme="minorHAnsi" w:cs="Arial"/>
                <w:b/>
                <w:bCs/>
                <w:szCs w:val="22"/>
              </w:rPr>
              <w:t>Total increase due to SRV</w:t>
            </w:r>
          </w:p>
        </w:tc>
        <w:tc>
          <w:tcPr>
            <w:tcW w:w="580" w:type="dxa"/>
            <w:tcBorders>
              <w:top w:val="nil"/>
              <w:left w:val="nil"/>
              <w:bottom w:val="nil"/>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 </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15.5</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12.5</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10.5</w:t>
            </w:r>
          </w:p>
        </w:tc>
        <w:tc>
          <w:tcPr>
            <w:tcW w:w="960" w:type="dxa"/>
            <w:tcBorders>
              <w:top w:val="nil"/>
              <w:left w:val="nil"/>
              <w:bottom w:val="nil"/>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3.0</w:t>
            </w:r>
          </w:p>
        </w:tc>
      </w:tr>
      <w:tr w:rsidR="00A17554" w:rsidRPr="00A17554" w:rsidTr="00127990">
        <w:trPr>
          <w:trHeight w:val="300"/>
          <w:jc w:val="center"/>
        </w:trPr>
        <w:tc>
          <w:tcPr>
            <w:tcW w:w="3582" w:type="dxa"/>
            <w:gridSpan w:val="2"/>
            <w:tcBorders>
              <w:top w:val="nil"/>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Total at year 3</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580" w:type="dxa"/>
            <w:tcBorders>
              <w:top w:val="nil"/>
              <w:left w:val="nil"/>
              <w:bottom w:val="nil"/>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3,513</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3,246</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3,076</w:t>
            </w:r>
          </w:p>
        </w:tc>
        <w:tc>
          <w:tcPr>
            <w:tcW w:w="960" w:type="dxa"/>
            <w:tcBorders>
              <w:top w:val="nil"/>
              <w:left w:val="nil"/>
              <w:bottom w:val="nil"/>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2,491</w:t>
            </w:r>
          </w:p>
        </w:tc>
      </w:tr>
      <w:tr w:rsidR="00A17554" w:rsidRPr="00A17554" w:rsidTr="00127990">
        <w:trPr>
          <w:trHeight w:val="300"/>
          <w:jc w:val="center"/>
        </w:trPr>
        <w:tc>
          <w:tcPr>
            <w:tcW w:w="3316" w:type="dxa"/>
            <w:tcBorders>
              <w:top w:val="nil"/>
              <w:left w:val="single" w:sz="8" w:space="0" w:color="auto"/>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Increase $</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266" w:type="dxa"/>
            <w:tcBorders>
              <w:top w:val="nil"/>
              <w:left w:val="nil"/>
              <w:bottom w:val="nil"/>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 </w:t>
            </w:r>
          </w:p>
        </w:tc>
        <w:tc>
          <w:tcPr>
            <w:tcW w:w="580" w:type="dxa"/>
            <w:tcBorders>
              <w:top w:val="nil"/>
              <w:left w:val="nil"/>
              <w:bottom w:val="nil"/>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1,233</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966</w:t>
            </w:r>
          </w:p>
        </w:tc>
        <w:tc>
          <w:tcPr>
            <w:tcW w:w="960" w:type="dxa"/>
            <w:tcBorders>
              <w:top w:val="nil"/>
              <w:left w:val="nil"/>
              <w:bottom w:val="nil"/>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796</w:t>
            </w:r>
          </w:p>
        </w:tc>
        <w:tc>
          <w:tcPr>
            <w:tcW w:w="960" w:type="dxa"/>
            <w:tcBorders>
              <w:top w:val="nil"/>
              <w:left w:val="nil"/>
              <w:bottom w:val="nil"/>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211</w:t>
            </w:r>
          </w:p>
        </w:tc>
      </w:tr>
      <w:tr w:rsidR="00A17554" w:rsidRPr="00A17554" w:rsidTr="00127990">
        <w:trPr>
          <w:trHeight w:val="315"/>
          <w:jc w:val="center"/>
        </w:trPr>
        <w:tc>
          <w:tcPr>
            <w:tcW w:w="3848" w:type="dxa"/>
            <w:gridSpan w:val="3"/>
            <w:tcBorders>
              <w:top w:val="nil"/>
              <w:left w:val="single" w:sz="8" w:space="0" w:color="auto"/>
              <w:bottom w:val="single" w:sz="8" w:space="0" w:color="auto"/>
              <w:right w:val="nil"/>
            </w:tcBorders>
            <w:shd w:val="clear" w:color="000000" w:fill="B8CCE4"/>
            <w:noWrap/>
            <w:vAlign w:val="bottom"/>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SRV % Increase at 3 years cumulative</w:t>
            </w:r>
          </w:p>
        </w:tc>
        <w:tc>
          <w:tcPr>
            <w:tcW w:w="580" w:type="dxa"/>
            <w:tcBorders>
              <w:top w:val="nil"/>
              <w:left w:val="nil"/>
              <w:bottom w:val="single" w:sz="8" w:space="0" w:color="auto"/>
              <w:right w:val="nil"/>
            </w:tcBorders>
            <w:shd w:val="clear" w:color="000000" w:fill="B8CCE4"/>
            <w:noWrap/>
            <w:vAlign w:val="bottom"/>
            <w:hideMark/>
          </w:tcPr>
          <w:p w:rsidR="00A17554" w:rsidRPr="00A17554" w:rsidRDefault="00A17554" w:rsidP="004318AE">
            <w:pPr>
              <w:jc w:val="center"/>
              <w:rPr>
                <w:rFonts w:asciiTheme="minorHAnsi" w:hAnsiTheme="minorHAnsi" w:cs="Arial"/>
                <w:b/>
                <w:bCs/>
                <w:szCs w:val="22"/>
              </w:rPr>
            </w:pPr>
            <w:r w:rsidRPr="00A17554">
              <w:rPr>
                <w:rFonts w:asciiTheme="minorHAnsi" w:hAnsiTheme="minorHAnsi" w:cs="Arial"/>
                <w:b/>
                <w:bCs/>
                <w:szCs w:val="22"/>
              </w:rPr>
              <w:t>%</w:t>
            </w:r>
          </w:p>
        </w:tc>
        <w:tc>
          <w:tcPr>
            <w:tcW w:w="960" w:type="dxa"/>
            <w:tcBorders>
              <w:top w:val="nil"/>
              <w:left w:val="nil"/>
              <w:bottom w:val="single" w:sz="8" w:space="0" w:color="auto"/>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54</w:t>
            </w:r>
          </w:p>
        </w:tc>
        <w:tc>
          <w:tcPr>
            <w:tcW w:w="960" w:type="dxa"/>
            <w:tcBorders>
              <w:top w:val="nil"/>
              <w:left w:val="nil"/>
              <w:bottom w:val="single" w:sz="8" w:space="0" w:color="auto"/>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42</w:t>
            </w:r>
          </w:p>
        </w:tc>
        <w:tc>
          <w:tcPr>
            <w:tcW w:w="960" w:type="dxa"/>
            <w:tcBorders>
              <w:top w:val="nil"/>
              <w:left w:val="nil"/>
              <w:bottom w:val="single" w:sz="8" w:space="0" w:color="auto"/>
              <w:right w:val="nil"/>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35</w:t>
            </w:r>
          </w:p>
        </w:tc>
        <w:tc>
          <w:tcPr>
            <w:tcW w:w="960" w:type="dxa"/>
            <w:tcBorders>
              <w:top w:val="nil"/>
              <w:left w:val="nil"/>
              <w:bottom w:val="single" w:sz="8" w:space="0" w:color="auto"/>
              <w:right w:val="single" w:sz="8" w:space="0" w:color="auto"/>
            </w:tcBorders>
            <w:shd w:val="clear" w:color="000000" w:fill="B8CCE4"/>
            <w:noWrap/>
            <w:vAlign w:val="bottom"/>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9</w:t>
            </w:r>
          </w:p>
        </w:tc>
      </w:tr>
    </w:tbl>
    <w:p w:rsidR="00A17554" w:rsidRPr="00A17554" w:rsidRDefault="00A17554" w:rsidP="00D94E3C">
      <w:pPr>
        <w:pStyle w:val="Heading3"/>
        <w:numPr>
          <w:ilvl w:val="0"/>
          <w:numId w:val="0"/>
        </w:numPr>
        <w:rPr>
          <w:rFonts w:asciiTheme="minorHAnsi" w:hAnsiTheme="minorHAnsi"/>
          <w:sz w:val="22"/>
          <w:szCs w:val="22"/>
        </w:rPr>
      </w:pPr>
      <w:r w:rsidRPr="00127990">
        <w:rPr>
          <w:rFonts w:asciiTheme="minorHAnsi" w:hAnsiTheme="minorHAnsi"/>
          <w:color w:val="auto"/>
          <w:sz w:val="22"/>
          <w:szCs w:val="22"/>
        </w:rPr>
        <w:t xml:space="preserve">Gloucester Household Income </w:t>
      </w:r>
      <w:r w:rsidRPr="00A17554">
        <w:rPr>
          <w:rFonts w:asciiTheme="minorHAnsi" w:hAnsiTheme="minorHAnsi"/>
          <w:sz w:val="22"/>
          <w:szCs w:val="22"/>
        </w:rPr>
        <w:br/>
      </w:r>
    </w:p>
    <w:p w:rsidR="00A17554" w:rsidRDefault="00A17554" w:rsidP="00D94E3C">
      <w:pPr>
        <w:rPr>
          <w:rFonts w:asciiTheme="minorHAnsi" w:hAnsiTheme="minorHAnsi"/>
          <w:szCs w:val="22"/>
        </w:rPr>
      </w:pPr>
      <w:r w:rsidRPr="00A17554">
        <w:rPr>
          <w:rFonts w:asciiTheme="minorHAnsi" w:hAnsiTheme="minorHAnsi"/>
          <w:szCs w:val="22"/>
        </w:rPr>
        <w:t xml:space="preserve">The following table sets-out the household income for residents in the Gloucester LGA </w:t>
      </w:r>
      <w:r w:rsidR="00127990">
        <w:rPr>
          <w:rFonts w:asciiTheme="minorHAnsi" w:hAnsiTheme="minorHAnsi"/>
          <w:szCs w:val="22"/>
        </w:rPr>
        <w:t>as per the 2011 ABS Census.</w:t>
      </w:r>
    </w:p>
    <w:p w:rsidR="00127990" w:rsidRPr="00A17554" w:rsidRDefault="00127990" w:rsidP="00127990">
      <w:pPr>
        <w:ind w:left="-567"/>
        <w:rPr>
          <w:rFonts w:asciiTheme="minorHAnsi" w:hAnsiTheme="minorHAnsi"/>
          <w:szCs w:val="22"/>
        </w:rPr>
      </w:pPr>
    </w:p>
    <w:tbl>
      <w:tblPr>
        <w:tblW w:w="8237" w:type="dxa"/>
        <w:jc w:val="center"/>
        <w:tblInd w:w="93" w:type="dxa"/>
        <w:tblLook w:val="04A0" w:firstRow="1" w:lastRow="0" w:firstColumn="1" w:lastColumn="0" w:noHBand="0" w:noVBand="1"/>
      </w:tblPr>
      <w:tblGrid>
        <w:gridCol w:w="2500"/>
        <w:gridCol w:w="1910"/>
        <w:gridCol w:w="1842"/>
        <w:gridCol w:w="1985"/>
      </w:tblGrid>
      <w:tr w:rsidR="00A17554" w:rsidRPr="00A17554" w:rsidTr="004318AE">
        <w:trPr>
          <w:trHeight w:val="255"/>
          <w:jc w:val="center"/>
        </w:trPr>
        <w:tc>
          <w:tcPr>
            <w:tcW w:w="2500" w:type="dxa"/>
            <w:tcBorders>
              <w:top w:val="nil"/>
              <w:left w:val="nil"/>
              <w:bottom w:val="nil"/>
              <w:right w:val="nil"/>
            </w:tcBorders>
            <w:shd w:val="clear" w:color="auto" w:fill="auto"/>
            <w:noWrap/>
            <w:vAlign w:val="bottom"/>
            <w:hideMark/>
          </w:tcPr>
          <w:p w:rsidR="00A17554" w:rsidRPr="00A17554" w:rsidRDefault="00A17554" w:rsidP="004318AE">
            <w:pPr>
              <w:rPr>
                <w:rFonts w:asciiTheme="minorHAnsi" w:hAnsiTheme="minorHAnsi" w:cs="Arial"/>
                <w:b/>
                <w:szCs w:val="22"/>
              </w:rPr>
            </w:pP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i/>
                <w:iCs/>
                <w:szCs w:val="22"/>
              </w:rPr>
            </w:pPr>
            <w:r w:rsidRPr="00A17554">
              <w:rPr>
                <w:rFonts w:asciiTheme="minorHAnsi" w:hAnsiTheme="minorHAnsi" w:cs="Arial"/>
                <w:b/>
                <w:i/>
                <w:iCs/>
                <w:szCs w:val="22"/>
              </w:rPr>
              <w:t>Family</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i/>
                <w:iCs/>
                <w:szCs w:val="22"/>
              </w:rPr>
            </w:pPr>
            <w:r w:rsidRPr="00A17554">
              <w:rPr>
                <w:rFonts w:asciiTheme="minorHAnsi" w:hAnsiTheme="minorHAnsi" w:cs="Arial"/>
                <w:b/>
                <w:i/>
                <w:iCs/>
                <w:szCs w:val="22"/>
              </w:rPr>
              <w:t>Non-family</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i/>
                <w:iCs/>
                <w:szCs w:val="22"/>
              </w:rPr>
            </w:pPr>
          </w:p>
        </w:tc>
      </w:tr>
      <w:tr w:rsidR="00A17554" w:rsidRPr="00A17554" w:rsidTr="004318AE">
        <w:trPr>
          <w:trHeight w:val="255"/>
          <w:jc w:val="center"/>
        </w:trPr>
        <w:tc>
          <w:tcPr>
            <w:tcW w:w="2500" w:type="dxa"/>
            <w:tcBorders>
              <w:top w:val="nil"/>
              <w:left w:val="nil"/>
              <w:bottom w:val="single" w:sz="4" w:space="0" w:color="auto"/>
              <w:right w:val="nil"/>
            </w:tcBorders>
            <w:shd w:val="clear" w:color="auto" w:fill="auto"/>
            <w:noWrap/>
            <w:vAlign w:val="center"/>
            <w:hideMark/>
          </w:tcPr>
          <w:p w:rsidR="00A17554" w:rsidRPr="00A17554" w:rsidRDefault="00A17554" w:rsidP="004318AE">
            <w:pPr>
              <w:rPr>
                <w:rFonts w:asciiTheme="minorHAnsi" w:hAnsiTheme="minorHAnsi" w:cs="Arial"/>
                <w:b/>
                <w:i/>
                <w:iCs/>
                <w:szCs w:val="22"/>
              </w:rPr>
            </w:pPr>
            <w:r w:rsidRPr="00A17554">
              <w:rPr>
                <w:rFonts w:asciiTheme="minorHAnsi" w:hAnsiTheme="minorHAnsi" w:cs="Arial"/>
                <w:b/>
                <w:i/>
                <w:iCs/>
                <w:szCs w:val="22"/>
              </w:rPr>
              <w:t>Annual Income</w:t>
            </w:r>
          </w:p>
        </w:tc>
        <w:tc>
          <w:tcPr>
            <w:tcW w:w="1910" w:type="dxa"/>
            <w:tcBorders>
              <w:top w:val="nil"/>
              <w:left w:val="nil"/>
              <w:bottom w:val="single" w:sz="4" w:space="0" w:color="auto"/>
              <w:right w:val="nil"/>
            </w:tcBorders>
            <w:shd w:val="clear" w:color="auto" w:fill="auto"/>
            <w:noWrap/>
            <w:vAlign w:val="center"/>
            <w:hideMark/>
          </w:tcPr>
          <w:p w:rsidR="00A17554" w:rsidRPr="00A17554" w:rsidRDefault="00A17554" w:rsidP="004318AE">
            <w:pPr>
              <w:jc w:val="right"/>
              <w:rPr>
                <w:rFonts w:asciiTheme="minorHAnsi" w:hAnsiTheme="minorHAnsi" w:cs="Arial"/>
                <w:b/>
                <w:i/>
                <w:iCs/>
                <w:szCs w:val="22"/>
              </w:rPr>
            </w:pPr>
            <w:r w:rsidRPr="00A17554">
              <w:rPr>
                <w:rFonts w:asciiTheme="minorHAnsi" w:hAnsiTheme="minorHAnsi" w:cs="Arial"/>
                <w:b/>
                <w:i/>
                <w:iCs/>
                <w:szCs w:val="22"/>
              </w:rPr>
              <w:t>households</w:t>
            </w:r>
          </w:p>
        </w:tc>
        <w:tc>
          <w:tcPr>
            <w:tcW w:w="1842" w:type="dxa"/>
            <w:tcBorders>
              <w:top w:val="nil"/>
              <w:left w:val="nil"/>
              <w:bottom w:val="single" w:sz="4" w:space="0" w:color="auto"/>
              <w:right w:val="nil"/>
            </w:tcBorders>
            <w:shd w:val="clear" w:color="auto" w:fill="auto"/>
            <w:noWrap/>
            <w:vAlign w:val="center"/>
            <w:hideMark/>
          </w:tcPr>
          <w:p w:rsidR="00A17554" w:rsidRPr="00A17554" w:rsidRDefault="00A17554" w:rsidP="004318AE">
            <w:pPr>
              <w:jc w:val="right"/>
              <w:rPr>
                <w:rFonts w:asciiTheme="minorHAnsi" w:hAnsiTheme="minorHAnsi" w:cs="Arial"/>
                <w:b/>
                <w:i/>
                <w:iCs/>
                <w:szCs w:val="22"/>
              </w:rPr>
            </w:pPr>
            <w:r w:rsidRPr="00A17554">
              <w:rPr>
                <w:rFonts w:asciiTheme="minorHAnsi" w:hAnsiTheme="minorHAnsi" w:cs="Arial"/>
                <w:b/>
                <w:i/>
                <w:iCs/>
                <w:szCs w:val="22"/>
              </w:rPr>
              <w:t>households(b)</w:t>
            </w:r>
          </w:p>
        </w:tc>
        <w:tc>
          <w:tcPr>
            <w:tcW w:w="1985" w:type="dxa"/>
            <w:tcBorders>
              <w:top w:val="nil"/>
              <w:left w:val="nil"/>
              <w:bottom w:val="single" w:sz="4" w:space="0" w:color="auto"/>
              <w:right w:val="nil"/>
            </w:tcBorders>
            <w:shd w:val="clear" w:color="auto" w:fill="auto"/>
            <w:noWrap/>
            <w:vAlign w:val="center"/>
            <w:hideMark/>
          </w:tcPr>
          <w:p w:rsidR="00A17554" w:rsidRPr="00A17554" w:rsidRDefault="00A17554" w:rsidP="004318AE">
            <w:pPr>
              <w:jc w:val="right"/>
              <w:rPr>
                <w:rFonts w:asciiTheme="minorHAnsi" w:hAnsiTheme="minorHAnsi" w:cs="Arial"/>
                <w:b/>
                <w:i/>
                <w:iCs/>
                <w:szCs w:val="22"/>
              </w:rPr>
            </w:pPr>
            <w:r w:rsidRPr="00A17554">
              <w:rPr>
                <w:rFonts w:asciiTheme="minorHAnsi" w:hAnsiTheme="minorHAnsi" w:cs="Arial"/>
                <w:b/>
                <w:i/>
                <w:iCs/>
                <w:szCs w:val="22"/>
              </w:rPr>
              <w:t>Total</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bCs/>
                <w:szCs w:val="22"/>
              </w:rPr>
            </w:pP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bCs/>
                <w:szCs w:val="22"/>
              </w:rPr>
            </w:pP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bCs/>
                <w:szCs w:val="22"/>
              </w:rPr>
            </w:pP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Nil/Negative income</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14</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15</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29</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$52 - $10,349</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34</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12</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46</w:t>
            </w:r>
          </w:p>
        </w:tc>
      </w:tr>
      <w:tr w:rsidR="00A17554" w:rsidRPr="00A17554" w:rsidTr="007504CF">
        <w:trPr>
          <w:trHeight w:val="255"/>
          <w:jc w:val="center"/>
        </w:trPr>
        <w:tc>
          <w:tcPr>
            <w:tcW w:w="2500" w:type="dxa"/>
            <w:tcBorders>
              <w:top w:val="nil"/>
              <w:left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$10,400 - $15,548</w:t>
            </w:r>
          </w:p>
        </w:tc>
        <w:tc>
          <w:tcPr>
            <w:tcW w:w="1910" w:type="dxa"/>
            <w:tcBorders>
              <w:top w:val="nil"/>
              <w:left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12</w:t>
            </w:r>
          </w:p>
        </w:tc>
        <w:tc>
          <w:tcPr>
            <w:tcW w:w="1842" w:type="dxa"/>
            <w:tcBorders>
              <w:top w:val="nil"/>
              <w:left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66</w:t>
            </w:r>
          </w:p>
        </w:tc>
        <w:tc>
          <w:tcPr>
            <w:tcW w:w="1985" w:type="dxa"/>
            <w:tcBorders>
              <w:top w:val="nil"/>
              <w:left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78</w:t>
            </w:r>
          </w:p>
        </w:tc>
      </w:tr>
      <w:tr w:rsidR="00A17554" w:rsidRPr="00A17554" w:rsidTr="007504CF">
        <w:trPr>
          <w:trHeight w:val="255"/>
          <w:jc w:val="center"/>
        </w:trPr>
        <w:tc>
          <w:tcPr>
            <w:tcW w:w="2500" w:type="dxa"/>
            <w:tcBorders>
              <w:top w:val="nil"/>
              <w:left w:val="nil"/>
              <w:bottom w:val="nil"/>
              <w:right w:val="nil"/>
            </w:tcBorders>
            <w:shd w:val="clear" w:color="auto" w:fill="FFFFFF" w:themeFill="background1"/>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$15,600 - $20,748</w:t>
            </w:r>
          </w:p>
        </w:tc>
        <w:tc>
          <w:tcPr>
            <w:tcW w:w="1910"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28</w:t>
            </w:r>
          </w:p>
        </w:tc>
        <w:tc>
          <w:tcPr>
            <w:tcW w:w="1842"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186</w:t>
            </w:r>
          </w:p>
        </w:tc>
        <w:tc>
          <w:tcPr>
            <w:tcW w:w="1985"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214</w:t>
            </w:r>
          </w:p>
        </w:tc>
      </w:tr>
      <w:tr w:rsidR="00A17554" w:rsidRPr="00A17554" w:rsidTr="007504CF">
        <w:trPr>
          <w:trHeight w:val="255"/>
          <w:jc w:val="center"/>
        </w:trPr>
        <w:tc>
          <w:tcPr>
            <w:tcW w:w="2500" w:type="dxa"/>
            <w:tcBorders>
              <w:top w:val="nil"/>
              <w:left w:val="nil"/>
              <w:bottom w:val="nil"/>
              <w:right w:val="nil"/>
            </w:tcBorders>
            <w:shd w:val="clear" w:color="auto" w:fill="FFFFFF" w:themeFill="background1"/>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$20,800 - $31,148</w:t>
            </w:r>
          </w:p>
        </w:tc>
        <w:tc>
          <w:tcPr>
            <w:tcW w:w="1910"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188</w:t>
            </w:r>
          </w:p>
        </w:tc>
        <w:tc>
          <w:tcPr>
            <w:tcW w:w="1842"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106</w:t>
            </w:r>
          </w:p>
        </w:tc>
        <w:tc>
          <w:tcPr>
            <w:tcW w:w="1985"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294</w:t>
            </w:r>
          </w:p>
        </w:tc>
      </w:tr>
      <w:tr w:rsidR="00A17554" w:rsidRPr="00A17554" w:rsidTr="007504CF">
        <w:trPr>
          <w:trHeight w:val="255"/>
          <w:jc w:val="center"/>
        </w:trPr>
        <w:tc>
          <w:tcPr>
            <w:tcW w:w="2500" w:type="dxa"/>
            <w:tcBorders>
              <w:top w:val="nil"/>
              <w:left w:val="nil"/>
              <w:bottom w:val="nil"/>
              <w:right w:val="nil"/>
            </w:tcBorders>
            <w:shd w:val="clear" w:color="auto" w:fill="FFFFFF" w:themeFill="background1"/>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$31,200 - $41,548</w:t>
            </w:r>
          </w:p>
        </w:tc>
        <w:tc>
          <w:tcPr>
            <w:tcW w:w="1910"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160</w:t>
            </w:r>
          </w:p>
        </w:tc>
        <w:tc>
          <w:tcPr>
            <w:tcW w:w="1842"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66</w:t>
            </w:r>
          </w:p>
        </w:tc>
        <w:tc>
          <w:tcPr>
            <w:tcW w:w="1985"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226</w:t>
            </w:r>
          </w:p>
        </w:tc>
      </w:tr>
      <w:tr w:rsidR="00A17554" w:rsidRPr="00A17554" w:rsidTr="007504CF">
        <w:trPr>
          <w:trHeight w:val="255"/>
          <w:jc w:val="center"/>
        </w:trPr>
        <w:tc>
          <w:tcPr>
            <w:tcW w:w="2500" w:type="dxa"/>
            <w:tcBorders>
              <w:top w:val="nil"/>
              <w:left w:val="nil"/>
              <w:bottom w:val="nil"/>
              <w:right w:val="nil"/>
            </w:tcBorders>
            <w:shd w:val="clear" w:color="auto" w:fill="FFFFFF" w:themeFill="background1"/>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$41,600 - $51,948</w:t>
            </w:r>
          </w:p>
        </w:tc>
        <w:tc>
          <w:tcPr>
            <w:tcW w:w="1910"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171</w:t>
            </w:r>
          </w:p>
        </w:tc>
        <w:tc>
          <w:tcPr>
            <w:tcW w:w="1842"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46</w:t>
            </w:r>
          </w:p>
        </w:tc>
        <w:tc>
          <w:tcPr>
            <w:tcW w:w="1985"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217</w:t>
            </w:r>
          </w:p>
        </w:tc>
      </w:tr>
      <w:tr w:rsidR="00A17554" w:rsidRPr="00A17554" w:rsidTr="007504CF">
        <w:trPr>
          <w:trHeight w:val="255"/>
          <w:jc w:val="center"/>
        </w:trPr>
        <w:tc>
          <w:tcPr>
            <w:tcW w:w="2500" w:type="dxa"/>
            <w:tcBorders>
              <w:top w:val="nil"/>
              <w:left w:val="nil"/>
              <w:bottom w:val="nil"/>
              <w:right w:val="nil"/>
            </w:tcBorders>
            <w:shd w:val="clear" w:color="auto" w:fill="FFFFFF" w:themeFill="background1"/>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$52,000 - $64,948</w:t>
            </w:r>
          </w:p>
        </w:tc>
        <w:tc>
          <w:tcPr>
            <w:tcW w:w="1910"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121</w:t>
            </w:r>
          </w:p>
        </w:tc>
        <w:tc>
          <w:tcPr>
            <w:tcW w:w="1842"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28</w:t>
            </w:r>
          </w:p>
        </w:tc>
        <w:tc>
          <w:tcPr>
            <w:tcW w:w="1985"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149</w:t>
            </w:r>
          </w:p>
        </w:tc>
      </w:tr>
      <w:tr w:rsidR="00A17554" w:rsidRPr="00A17554" w:rsidTr="007504CF">
        <w:trPr>
          <w:trHeight w:val="255"/>
          <w:jc w:val="center"/>
        </w:trPr>
        <w:tc>
          <w:tcPr>
            <w:tcW w:w="2500" w:type="dxa"/>
            <w:tcBorders>
              <w:top w:val="nil"/>
              <w:left w:val="nil"/>
              <w:bottom w:val="nil"/>
              <w:right w:val="nil"/>
            </w:tcBorders>
            <w:shd w:val="clear" w:color="auto" w:fill="FFFFFF" w:themeFill="background1"/>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$65,000 - $77,948</w:t>
            </w:r>
          </w:p>
        </w:tc>
        <w:tc>
          <w:tcPr>
            <w:tcW w:w="1910"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115</w:t>
            </w:r>
          </w:p>
        </w:tc>
        <w:tc>
          <w:tcPr>
            <w:tcW w:w="1842"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10</w:t>
            </w:r>
          </w:p>
        </w:tc>
        <w:tc>
          <w:tcPr>
            <w:tcW w:w="1985"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125</w:t>
            </w:r>
          </w:p>
        </w:tc>
      </w:tr>
      <w:tr w:rsidR="00A17554" w:rsidRPr="00A17554" w:rsidTr="007504CF">
        <w:trPr>
          <w:trHeight w:val="255"/>
          <w:jc w:val="center"/>
        </w:trPr>
        <w:tc>
          <w:tcPr>
            <w:tcW w:w="2500" w:type="dxa"/>
            <w:tcBorders>
              <w:top w:val="nil"/>
              <w:left w:val="nil"/>
              <w:bottom w:val="nil"/>
              <w:right w:val="nil"/>
            </w:tcBorders>
            <w:shd w:val="clear" w:color="auto" w:fill="FFFFFF" w:themeFill="background1"/>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$78,000 - $103,948</w:t>
            </w:r>
          </w:p>
        </w:tc>
        <w:tc>
          <w:tcPr>
            <w:tcW w:w="1910"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152</w:t>
            </w:r>
          </w:p>
        </w:tc>
        <w:tc>
          <w:tcPr>
            <w:tcW w:w="1842"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19</w:t>
            </w:r>
          </w:p>
        </w:tc>
        <w:tc>
          <w:tcPr>
            <w:tcW w:w="1985" w:type="dxa"/>
            <w:tcBorders>
              <w:top w:val="nil"/>
              <w:left w:val="nil"/>
              <w:bottom w:val="nil"/>
              <w:right w:val="nil"/>
            </w:tcBorders>
            <w:shd w:val="clear" w:color="auto" w:fill="FFFFFF" w:themeFill="background1"/>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171</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$104,000 - $129,948</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78</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5</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83</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$130,000 - $155,948</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66</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24</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90</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$156,000 - $181,948</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30</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0</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30</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$182,000 - $207,948</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20</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0</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20</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$208,000 or more</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18</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0</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18</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Partial income stated(c)</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130</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10</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140</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r w:rsidRPr="00A17554">
              <w:rPr>
                <w:rFonts w:asciiTheme="minorHAnsi" w:hAnsiTheme="minorHAnsi" w:cs="Arial"/>
                <w:szCs w:val="22"/>
              </w:rPr>
              <w:t>All incomes not stated(d)</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36</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35</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szCs w:val="22"/>
              </w:rPr>
            </w:pPr>
            <w:r w:rsidRPr="00A17554">
              <w:rPr>
                <w:rFonts w:asciiTheme="minorHAnsi" w:hAnsiTheme="minorHAnsi" w:cs="Arial"/>
                <w:szCs w:val="22"/>
              </w:rPr>
              <w:t>71</w:t>
            </w: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p>
        </w:tc>
        <w:tc>
          <w:tcPr>
            <w:tcW w:w="191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p>
        </w:tc>
        <w:tc>
          <w:tcPr>
            <w:tcW w:w="1842"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p>
        </w:tc>
        <w:tc>
          <w:tcPr>
            <w:tcW w:w="1985"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szCs w:val="22"/>
              </w:rPr>
            </w:pPr>
          </w:p>
        </w:tc>
      </w:tr>
      <w:tr w:rsidR="00A17554" w:rsidRPr="00A17554" w:rsidTr="004318AE">
        <w:trPr>
          <w:trHeight w:val="255"/>
          <w:jc w:val="center"/>
        </w:trPr>
        <w:tc>
          <w:tcPr>
            <w:tcW w:w="2500" w:type="dxa"/>
            <w:tcBorders>
              <w:top w:val="nil"/>
              <w:left w:val="nil"/>
              <w:bottom w:val="nil"/>
              <w:right w:val="nil"/>
            </w:tcBorders>
            <w:shd w:val="clear" w:color="auto" w:fill="auto"/>
            <w:noWrap/>
            <w:vAlign w:val="center"/>
            <w:hideMark/>
          </w:tcPr>
          <w:p w:rsidR="00A17554" w:rsidRPr="00A17554" w:rsidRDefault="00A17554" w:rsidP="004318AE">
            <w:pPr>
              <w:rPr>
                <w:rFonts w:asciiTheme="minorHAnsi" w:hAnsiTheme="minorHAnsi" w:cs="Arial"/>
                <w:b/>
                <w:bCs/>
                <w:szCs w:val="22"/>
              </w:rPr>
            </w:pPr>
            <w:r w:rsidRPr="00A17554">
              <w:rPr>
                <w:rFonts w:asciiTheme="minorHAnsi" w:hAnsiTheme="minorHAnsi" w:cs="Arial"/>
                <w:b/>
                <w:bCs/>
                <w:szCs w:val="22"/>
              </w:rPr>
              <w:t>Total</w:t>
            </w:r>
          </w:p>
        </w:tc>
        <w:tc>
          <w:tcPr>
            <w:tcW w:w="1910"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1,373</w:t>
            </w:r>
          </w:p>
        </w:tc>
        <w:tc>
          <w:tcPr>
            <w:tcW w:w="1842"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628</w:t>
            </w:r>
          </w:p>
        </w:tc>
        <w:tc>
          <w:tcPr>
            <w:tcW w:w="1985" w:type="dxa"/>
            <w:tcBorders>
              <w:top w:val="nil"/>
              <w:left w:val="nil"/>
              <w:bottom w:val="nil"/>
              <w:right w:val="nil"/>
            </w:tcBorders>
            <w:shd w:val="clear" w:color="auto" w:fill="auto"/>
            <w:noWrap/>
            <w:vAlign w:val="center"/>
            <w:hideMark/>
          </w:tcPr>
          <w:p w:rsidR="00A17554" w:rsidRPr="00A17554" w:rsidRDefault="00A17554" w:rsidP="004318AE">
            <w:pPr>
              <w:jc w:val="right"/>
              <w:rPr>
                <w:rFonts w:asciiTheme="minorHAnsi" w:hAnsiTheme="minorHAnsi" w:cs="Arial"/>
                <w:b/>
                <w:bCs/>
                <w:szCs w:val="22"/>
              </w:rPr>
            </w:pPr>
            <w:r w:rsidRPr="00A17554">
              <w:rPr>
                <w:rFonts w:asciiTheme="minorHAnsi" w:hAnsiTheme="minorHAnsi" w:cs="Arial"/>
                <w:b/>
                <w:bCs/>
                <w:szCs w:val="22"/>
              </w:rPr>
              <w:t>2,001</w:t>
            </w:r>
          </w:p>
        </w:tc>
      </w:tr>
    </w:tbl>
    <w:p w:rsidR="00A17554" w:rsidRPr="00A17554" w:rsidRDefault="00A17554" w:rsidP="00A17554">
      <w:pPr>
        <w:jc w:val="center"/>
        <w:rPr>
          <w:rFonts w:asciiTheme="minorHAnsi" w:hAnsiTheme="minorHAnsi"/>
          <w:szCs w:val="22"/>
        </w:rPr>
      </w:pPr>
    </w:p>
    <w:p w:rsidR="00127990" w:rsidRPr="00A17554" w:rsidRDefault="00127990" w:rsidP="00A17554">
      <w:pPr>
        <w:jc w:val="center"/>
        <w:rPr>
          <w:rFonts w:asciiTheme="minorHAnsi" w:hAnsiTheme="minorHAnsi"/>
          <w:b/>
          <w:szCs w:val="22"/>
        </w:rPr>
      </w:pPr>
    </w:p>
    <w:p w:rsidR="00A17554" w:rsidRDefault="00A17554" w:rsidP="00546232">
      <w:pPr>
        <w:spacing w:before="240" w:line="280" w:lineRule="atLeast"/>
        <w:rPr>
          <w:rFonts w:asciiTheme="minorHAnsi" w:hAnsiTheme="minorHAnsi"/>
          <w:szCs w:val="22"/>
        </w:rPr>
      </w:pPr>
      <w:r w:rsidRPr="00A17554">
        <w:rPr>
          <w:rFonts w:asciiTheme="minorHAnsi" w:hAnsiTheme="minorHAnsi"/>
          <w:szCs w:val="22"/>
        </w:rPr>
        <w:t xml:space="preserve">Generally, the majority of household incomes within the Gloucester Shire fall within the range between $20,000pa and $100,000pa, particularly for residents owning rateable property.   At the maximum annual rate-increase amounts, this increase would represent between </w:t>
      </w:r>
      <w:r w:rsidRPr="005E6DCA">
        <w:rPr>
          <w:rFonts w:asciiTheme="minorHAnsi" w:hAnsiTheme="minorHAnsi"/>
          <w:szCs w:val="22"/>
        </w:rPr>
        <w:t xml:space="preserve">0.3% and 1.5% </w:t>
      </w:r>
      <w:r w:rsidRPr="00A17554">
        <w:rPr>
          <w:rFonts w:asciiTheme="minorHAnsi" w:hAnsiTheme="minorHAnsi"/>
          <w:szCs w:val="22"/>
        </w:rPr>
        <w:t>of gross household income which is considered both affordable and significantly below annual increases experienced by ratepayers in terms of day-to-day items such as fuel, electricity, supermarket prices and the like.</w:t>
      </w:r>
    </w:p>
    <w:p w:rsidR="00A17554" w:rsidRPr="00A17554" w:rsidRDefault="005E6DCA" w:rsidP="00546232">
      <w:pPr>
        <w:spacing w:before="240" w:line="280" w:lineRule="atLeast"/>
        <w:rPr>
          <w:rFonts w:asciiTheme="minorHAnsi" w:hAnsiTheme="minorHAnsi"/>
          <w:szCs w:val="22"/>
        </w:rPr>
      </w:pPr>
      <w:r>
        <w:rPr>
          <w:rFonts w:asciiTheme="minorHAnsi" w:hAnsiTheme="minorHAnsi"/>
          <w:szCs w:val="22"/>
        </w:rPr>
        <w:t>The analysis also considered d</w:t>
      </w:r>
      <w:r w:rsidR="00A17554" w:rsidRPr="00A17554">
        <w:rPr>
          <w:rFonts w:asciiTheme="minorHAnsi" w:hAnsiTheme="minorHAnsi"/>
          <w:szCs w:val="22"/>
        </w:rPr>
        <w:t xml:space="preserve">ata provided by the Hunter Research Foundation </w:t>
      </w:r>
      <w:r>
        <w:rPr>
          <w:rFonts w:asciiTheme="minorHAnsi" w:hAnsiTheme="minorHAnsi"/>
          <w:szCs w:val="22"/>
        </w:rPr>
        <w:t xml:space="preserve">which </w:t>
      </w:r>
      <w:r w:rsidR="00A17554" w:rsidRPr="00A17554">
        <w:rPr>
          <w:rFonts w:asciiTheme="minorHAnsi" w:hAnsiTheme="minorHAnsi"/>
          <w:szCs w:val="22"/>
        </w:rPr>
        <w:t>shows for the year 2011:</w:t>
      </w:r>
    </w:p>
    <w:p w:rsidR="00A17554" w:rsidRPr="00127990" w:rsidRDefault="00A17554" w:rsidP="00546232">
      <w:pPr>
        <w:spacing w:before="240" w:line="280" w:lineRule="atLeast"/>
        <w:rPr>
          <w:rFonts w:asciiTheme="minorHAnsi" w:hAnsiTheme="minorHAnsi"/>
          <w:b/>
        </w:rPr>
      </w:pPr>
      <w:r w:rsidRPr="00127990">
        <w:rPr>
          <w:rFonts w:asciiTheme="minorHAnsi" w:hAnsiTheme="minorHAnsi"/>
          <w:b/>
        </w:rPr>
        <w:lastRenderedPageBreak/>
        <w:t>Age and Income Profile</w:t>
      </w:r>
    </w:p>
    <w:p w:rsidR="00A17554" w:rsidRPr="00A17554" w:rsidRDefault="00A17554" w:rsidP="0060639F">
      <w:pPr>
        <w:pStyle w:val="ListParagraph"/>
        <w:numPr>
          <w:ilvl w:val="0"/>
          <w:numId w:val="29"/>
        </w:numPr>
        <w:spacing w:before="240" w:after="0" w:line="280" w:lineRule="atLeast"/>
      </w:pPr>
      <w:r w:rsidRPr="00A17554">
        <w:t>Median weekly individual income in Gloucester is $422 per week compared to $561 per week in NSW</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Gloucester is marked by an older age profile and lower incomes in older age groups compared to NSW.</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Younger people in Gloucester (10-29 years) are slightly less likely to be earning no income than in NSW as a whole, but also less likely to be earning incomes above the median income band ‘$20,800- $31,199’ per year. One in four (25%) Gloucester residents aged 10-29 years earn over $31,199 per year compared to 36% of NSW residents.</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In Gloucester LGA less 30-49 year olds are earning over $31,199 a year compared to NSW, with 49% of Gloucester residents aged 30-49 years in this category compared to 65% of NSW residents for the same age-group. Gloucester’s share of this age group earning above median incomes, is also lower than Liverpool Plains (53%) and Dungog (60%) LGAs.</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Significantly less 50-69 year olds within Gloucester earn over $31,199 a year compared to 50-69 year olds across the state. Only 38% of Gloucester residents aged 50-69 years earn more than $31,199 per year compared t0 50% of persons aged 50-69 years within NSW. In Liverpool Plains the share of this age group with above median incomes is also 38%, while in Dungog the figure is higher at 43%.</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This trend is similar for those aged 70-79 years (14% in Gloucester versus 17%in NSW) and residents aged 80 years and over (10% in Gloucester compared to 15%in NSW), although less pronounced.</w:t>
      </w:r>
    </w:p>
    <w:p w:rsidR="00A17554" w:rsidRPr="00127990" w:rsidRDefault="00A17554" w:rsidP="00546232">
      <w:pPr>
        <w:spacing w:before="240" w:line="280" w:lineRule="atLeast"/>
        <w:rPr>
          <w:rFonts w:asciiTheme="minorHAnsi" w:hAnsiTheme="minorHAnsi"/>
          <w:b/>
        </w:rPr>
      </w:pPr>
      <w:r w:rsidRPr="00127990">
        <w:rPr>
          <w:rFonts w:asciiTheme="minorHAnsi" w:hAnsiTheme="minorHAnsi"/>
          <w:b/>
        </w:rPr>
        <w:t>Occupation and Income Profile</w:t>
      </w:r>
    </w:p>
    <w:p w:rsidR="00A17554" w:rsidRPr="00A17554" w:rsidRDefault="00A17554" w:rsidP="00546232">
      <w:pPr>
        <w:pStyle w:val="ListParagraph"/>
        <w:spacing w:before="240" w:line="280" w:lineRule="atLeast"/>
        <w:rPr>
          <w:b/>
        </w:rPr>
      </w:pPr>
    </w:p>
    <w:p w:rsidR="00A17554" w:rsidRPr="00A17554" w:rsidRDefault="00A17554" w:rsidP="0060639F">
      <w:pPr>
        <w:pStyle w:val="ListParagraph"/>
        <w:numPr>
          <w:ilvl w:val="0"/>
          <w:numId w:val="29"/>
        </w:numPr>
        <w:spacing w:before="240" w:after="0" w:line="280" w:lineRule="atLeast"/>
      </w:pPr>
      <w:r w:rsidRPr="00A17554">
        <w:t>Looking at Table A2 Gloucester LGA has a higher share of ‘Managers’, ‘Community and Personal Service Workers’,‘Labourers’ and ‘Machinery operators and drivers’ than NSW as a whole. It has a much higher share of ‘Farmers and farm managers’ (a sub-group of the Managers category), 13% in Gloucester versus 2% in NSW.</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 xml:space="preserve">Generally the share of each occupational group within Gloucester earning personal incomes above the median personal income band of ‘$20,800- $31,199 per year’ is lower than that for the state with the exception of ‘Machinery operators and drivers’ and ‘Labourers’. </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 xml:space="preserve">‘Farmers and Farm Managers’ are more likely to be earning under the median personal income band than many other occupational groups (with the exception of sales workers and community and personal service workers), both within Gloucester and across the state. </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The share of ‘Farmers and Farm Managers’ earning over $31,199 per year is particularly low with Gloucester, 43% compared to 50% for NSW as a whole. The proportion of Gloucester’s Farmers and Farm Mangers earning over $41,600 per year is 28.6%. The share of this occupational sub-group earning above median personal income of over $31,199 per year is 55% in Dungog and 58% in Liverpool Plains.</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lastRenderedPageBreak/>
        <w:t xml:space="preserve">The proportion of ‘Managers’ earning above $31,199 per year is only 53% in Gloucester compared to 84% of ‘Managers’ across the state in 2011. The share of Managers earning above median incomes is 50% in Dungog and Liverpool Plains LGAs. </w:t>
      </w:r>
    </w:p>
    <w:p w:rsidR="00A17554" w:rsidRPr="00A17554" w:rsidRDefault="00A17554" w:rsidP="00546232">
      <w:pPr>
        <w:pStyle w:val="ListParagraph"/>
        <w:spacing w:before="240" w:line="280" w:lineRule="atLeast"/>
      </w:pPr>
    </w:p>
    <w:p w:rsidR="00A17554" w:rsidRPr="00127990" w:rsidRDefault="00A17554" w:rsidP="00546232">
      <w:pPr>
        <w:spacing w:before="240" w:line="280" w:lineRule="atLeast"/>
        <w:rPr>
          <w:rFonts w:asciiTheme="minorHAnsi" w:hAnsiTheme="minorHAnsi"/>
          <w:b/>
        </w:rPr>
      </w:pPr>
      <w:r w:rsidRPr="00127990">
        <w:rPr>
          <w:rFonts w:asciiTheme="minorHAnsi" w:hAnsiTheme="minorHAnsi"/>
          <w:b/>
        </w:rPr>
        <w:t>Income and Mortgage/Rental Payments</w:t>
      </w:r>
    </w:p>
    <w:p w:rsidR="00A17554" w:rsidRPr="00A17554" w:rsidRDefault="00A17554" w:rsidP="0060639F">
      <w:pPr>
        <w:pStyle w:val="ListParagraph"/>
        <w:numPr>
          <w:ilvl w:val="0"/>
          <w:numId w:val="29"/>
        </w:numPr>
        <w:spacing w:before="240" w:after="0" w:line="280" w:lineRule="atLeast"/>
      </w:pPr>
      <w:r w:rsidRPr="00A17554">
        <w:t>In 2011 Gloucester had a higher proportion of dwellings owned outright than the state overall (48.7% compared to 33.3% in NSW). Gloucester had a smaller share of dwellings owned with a mortgage (23% compared to 33.4% for NSW) and a smaller share of dwellings rented (24.8% compared to 30% for NSW) compared to the state.</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Median weekly household income in Gloucester was $971 per week compared to $1,477 per week in NSW as a whole.</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 xml:space="preserve">Rental stress is defined as the proportion of households who are renting, who spend 30% or more of their household income on rent. Gloucester 36.9% of households in rented dwellings are spending 30% or more of their household income on rent. </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This is below the share of households in ‘rental stress’ for NSW as a whole, 41.1%. The share of households in ‘rental stress’ is approximately on par with the figure in Dungog LGA 36.4%, but higher than the figure in Liverpool Plains LGA 27.2%.</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 xml:space="preserve">Mortgage stress is similarly defined as the proportion of mortgage holding households who spend 30% or more of their household income on their mortgage. Gloucester 37.9% of households in dwellings purchased via a mortgage are spending 30% or more of their weekly household income on their mortgage. </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This is again below the share of mortgage holding households within NSW who spend 30% or more of their household income on their mortgage, a figure of 42.9%. In Dungog LGA the share of mortgage holders in ‘mortgage stress’ is slightly higher than Gloucester at 39.7% and in Liverpool LGA the figure is lower at 31.9%.</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Looking at low income households, within Gloucester 19% of mortgage holding households are households whose income is in the median income band for the LGA or below and are in mortgage stress. This figure compares to 15% in Dungog, 16% in Liverpool Plains and 13% in NSW.</w:t>
      </w:r>
    </w:p>
    <w:p w:rsidR="00A17554" w:rsidRPr="00A17554" w:rsidRDefault="00A17554" w:rsidP="00546232">
      <w:pPr>
        <w:pStyle w:val="ListParagraph"/>
        <w:spacing w:before="240" w:line="280" w:lineRule="atLeast"/>
        <w:rPr>
          <w:b/>
        </w:rPr>
      </w:pPr>
    </w:p>
    <w:p w:rsidR="00A17554" w:rsidRPr="005E6DCA" w:rsidRDefault="00A17554" w:rsidP="005E6DCA">
      <w:pPr>
        <w:spacing w:before="240" w:line="280" w:lineRule="atLeast"/>
        <w:rPr>
          <w:rFonts w:asciiTheme="minorHAnsi" w:hAnsiTheme="minorHAnsi"/>
        </w:rPr>
      </w:pPr>
      <w:r w:rsidRPr="005E6DCA">
        <w:rPr>
          <w:rFonts w:asciiTheme="minorHAnsi" w:hAnsiTheme="minorHAnsi"/>
        </w:rPr>
        <w:t>The Australian Tax Office provides postcode level statistics based on a summary of information taxpayers report to the ATO. The main source of information is income tax returns. However, data is also sourced from annual returns for fringe benefits tax (FBT) and goods and services tax (GST), business activity statements (BAS) and instalment activity statements (IAS), and capital gains tax (CGT) schedules.</w:t>
      </w:r>
    </w:p>
    <w:p w:rsidR="00A17554" w:rsidRPr="00A17554" w:rsidRDefault="00A17554" w:rsidP="0060639F">
      <w:pPr>
        <w:pStyle w:val="ListParagraph"/>
        <w:numPr>
          <w:ilvl w:val="0"/>
          <w:numId w:val="29"/>
        </w:numPr>
        <w:spacing w:before="240" w:after="0" w:line="280" w:lineRule="atLeast"/>
      </w:pPr>
      <w:r w:rsidRPr="00A17554">
        <w:t xml:space="preserve">The latest ATO data for 2011-12 available at the postcode level indicate that the average income from Gloucester is $53,984 based on reported taxable income, and a slightly higher sum of $54,090 less total deductions. This compares to a slightly higher average income of $59,216 in Dungog and an average of $59,266 less total deductions, and a roughly comparable figure of $54,698 average taxable income or loss ($54,787 less total deductions). </w:t>
      </w:r>
    </w:p>
    <w:p w:rsidR="00A17554" w:rsidRPr="00A17554" w:rsidRDefault="00A17554" w:rsidP="00546232">
      <w:pPr>
        <w:pStyle w:val="ListParagraph"/>
        <w:spacing w:before="240" w:line="280" w:lineRule="atLeast"/>
      </w:pPr>
    </w:p>
    <w:p w:rsidR="00A17554" w:rsidRPr="00A17554" w:rsidRDefault="00A17554" w:rsidP="0060639F">
      <w:pPr>
        <w:pStyle w:val="ListParagraph"/>
        <w:numPr>
          <w:ilvl w:val="0"/>
          <w:numId w:val="29"/>
        </w:numPr>
        <w:spacing w:before="240" w:after="0" w:line="280" w:lineRule="atLeast"/>
      </w:pPr>
      <w:r w:rsidRPr="00A17554">
        <w:t>Looking at net income or loss from a business the average figure is $19,374 in Gloucester compared to $12,572 in Dungog and $24,092 in Liverpool Plains.</w:t>
      </w:r>
    </w:p>
    <w:p w:rsidR="00A17554" w:rsidRPr="00127990" w:rsidRDefault="00A17554" w:rsidP="00127990">
      <w:pPr>
        <w:pStyle w:val="Heading3"/>
        <w:keepLines/>
        <w:numPr>
          <w:ilvl w:val="0"/>
          <w:numId w:val="0"/>
        </w:numPr>
        <w:spacing w:before="200" w:line="276" w:lineRule="auto"/>
        <w:ind w:left="-567"/>
        <w:rPr>
          <w:rFonts w:asciiTheme="minorHAnsi" w:hAnsiTheme="minorHAnsi"/>
          <w:color w:val="auto"/>
          <w:sz w:val="22"/>
          <w:szCs w:val="22"/>
        </w:rPr>
      </w:pPr>
      <w:r w:rsidRPr="00127990">
        <w:rPr>
          <w:rFonts w:asciiTheme="minorHAnsi" w:hAnsiTheme="minorHAnsi"/>
          <w:color w:val="auto"/>
          <w:sz w:val="22"/>
          <w:szCs w:val="22"/>
        </w:rPr>
        <w:t>Comparative Regional Rating-Categories</w:t>
      </w:r>
    </w:p>
    <w:p w:rsidR="00A17554" w:rsidRDefault="00A17554" w:rsidP="00A17554">
      <w:pPr>
        <w:rPr>
          <w:rFonts w:asciiTheme="minorHAnsi" w:hAnsiTheme="minorHAnsi"/>
          <w:szCs w:val="22"/>
        </w:rPr>
      </w:pPr>
      <w:r w:rsidRPr="00A17554">
        <w:rPr>
          <w:rFonts w:asciiTheme="minorHAnsi" w:hAnsiTheme="minorHAnsi"/>
          <w:szCs w:val="22"/>
        </w:rPr>
        <w:br/>
        <w:t>The following chart shows ad-valorem rate charges for neighbouring regional councils:</w:t>
      </w:r>
    </w:p>
    <w:p w:rsidR="007504CF" w:rsidRPr="00A17554" w:rsidRDefault="007504CF" w:rsidP="00A17554">
      <w:pPr>
        <w:rPr>
          <w:rFonts w:asciiTheme="minorHAnsi" w:hAnsiTheme="minorHAnsi"/>
          <w:szCs w:val="22"/>
        </w:rPr>
      </w:pPr>
    </w:p>
    <w:tbl>
      <w:tblPr>
        <w:tblStyle w:val="TableGrid"/>
        <w:tblW w:w="0" w:type="auto"/>
        <w:tblLook w:val="04A0" w:firstRow="1" w:lastRow="0" w:firstColumn="1" w:lastColumn="0" w:noHBand="0" w:noVBand="1"/>
      </w:tblPr>
      <w:tblGrid>
        <w:gridCol w:w="2394"/>
        <w:gridCol w:w="1744"/>
        <w:gridCol w:w="1686"/>
        <w:gridCol w:w="1783"/>
        <w:gridCol w:w="1681"/>
      </w:tblGrid>
      <w:tr w:rsidR="00A17554" w:rsidRPr="00A17554" w:rsidTr="004318AE">
        <w:tc>
          <w:tcPr>
            <w:tcW w:w="2642" w:type="dxa"/>
            <w:vMerge w:val="restart"/>
            <w:tcBorders>
              <w:top w:val="single" w:sz="4" w:space="0" w:color="auto"/>
              <w:left w:val="single" w:sz="4" w:space="0" w:color="auto"/>
            </w:tcBorders>
            <w:shd w:val="clear" w:color="auto" w:fill="EEECE1" w:themeFill="background2"/>
            <w:vAlign w:val="center"/>
          </w:tcPr>
          <w:p w:rsidR="00A17554" w:rsidRPr="00A17554" w:rsidRDefault="00A17554" w:rsidP="004318AE">
            <w:pPr>
              <w:jc w:val="center"/>
              <w:rPr>
                <w:rFonts w:asciiTheme="minorHAnsi" w:hAnsiTheme="minorHAnsi"/>
                <w:szCs w:val="22"/>
              </w:rPr>
            </w:pPr>
            <w:r w:rsidRPr="00A17554">
              <w:rPr>
                <w:rFonts w:asciiTheme="minorHAnsi" w:hAnsiTheme="minorHAnsi"/>
                <w:szCs w:val="22"/>
              </w:rPr>
              <w:t>Rating</w:t>
            </w:r>
          </w:p>
          <w:p w:rsidR="00A17554" w:rsidRPr="00A17554" w:rsidRDefault="00A17554" w:rsidP="004318AE">
            <w:pPr>
              <w:jc w:val="center"/>
              <w:rPr>
                <w:rFonts w:asciiTheme="minorHAnsi" w:hAnsiTheme="minorHAnsi"/>
                <w:szCs w:val="22"/>
              </w:rPr>
            </w:pPr>
            <w:r w:rsidRPr="00A17554">
              <w:rPr>
                <w:rFonts w:asciiTheme="minorHAnsi" w:hAnsiTheme="minorHAnsi"/>
                <w:szCs w:val="22"/>
              </w:rPr>
              <w:t>Category</w:t>
            </w:r>
          </w:p>
        </w:tc>
        <w:tc>
          <w:tcPr>
            <w:tcW w:w="7389" w:type="dxa"/>
            <w:gridSpan w:val="4"/>
            <w:shd w:val="clear" w:color="auto" w:fill="EEECE1" w:themeFill="background2"/>
            <w:vAlign w:val="center"/>
          </w:tcPr>
          <w:p w:rsidR="00A17554" w:rsidRPr="00A17554" w:rsidRDefault="00A17554" w:rsidP="004318AE">
            <w:pPr>
              <w:jc w:val="center"/>
              <w:rPr>
                <w:rFonts w:asciiTheme="minorHAnsi" w:hAnsiTheme="minorHAnsi"/>
                <w:color w:val="000000"/>
                <w:szCs w:val="22"/>
              </w:rPr>
            </w:pPr>
            <w:r w:rsidRPr="00A17554">
              <w:rPr>
                <w:rFonts w:asciiTheme="minorHAnsi" w:hAnsiTheme="minorHAnsi"/>
                <w:color w:val="000000"/>
                <w:szCs w:val="22"/>
              </w:rPr>
              <w:t>Ad-Valorem Rate (cents/$)</w:t>
            </w:r>
          </w:p>
        </w:tc>
      </w:tr>
      <w:tr w:rsidR="0072653A" w:rsidRPr="00A17554" w:rsidTr="004318AE">
        <w:tc>
          <w:tcPr>
            <w:tcW w:w="2642" w:type="dxa"/>
            <w:vMerge/>
            <w:shd w:val="clear" w:color="auto" w:fill="EEECE1" w:themeFill="background2"/>
            <w:vAlign w:val="center"/>
          </w:tcPr>
          <w:p w:rsidR="00A17554" w:rsidRPr="00A17554" w:rsidRDefault="00A17554" w:rsidP="004318AE">
            <w:pPr>
              <w:jc w:val="center"/>
              <w:rPr>
                <w:rFonts w:asciiTheme="minorHAnsi" w:hAnsiTheme="minorHAnsi"/>
                <w:szCs w:val="22"/>
              </w:rPr>
            </w:pPr>
          </w:p>
        </w:tc>
        <w:tc>
          <w:tcPr>
            <w:tcW w:w="1861" w:type="dxa"/>
            <w:shd w:val="clear" w:color="auto" w:fill="EEECE1" w:themeFill="background2"/>
            <w:vAlign w:val="center"/>
          </w:tcPr>
          <w:p w:rsidR="00A17554" w:rsidRPr="00A17554" w:rsidRDefault="00A17554" w:rsidP="004318AE">
            <w:pPr>
              <w:jc w:val="center"/>
              <w:rPr>
                <w:rFonts w:asciiTheme="minorHAnsi" w:hAnsiTheme="minorHAnsi"/>
                <w:szCs w:val="22"/>
              </w:rPr>
            </w:pPr>
            <w:r w:rsidRPr="00A17554">
              <w:rPr>
                <w:rFonts w:asciiTheme="minorHAnsi" w:hAnsiTheme="minorHAnsi"/>
                <w:color w:val="000000"/>
                <w:szCs w:val="22"/>
              </w:rPr>
              <w:t>Gloucester</w:t>
            </w:r>
            <w:r w:rsidRPr="00A17554">
              <w:rPr>
                <w:rFonts w:asciiTheme="minorHAnsi" w:hAnsiTheme="minorHAnsi"/>
                <w:color w:val="000000"/>
                <w:szCs w:val="22"/>
              </w:rPr>
              <w:br/>
              <w:t>Shire</w:t>
            </w:r>
          </w:p>
        </w:tc>
        <w:tc>
          <w:tcPr>
            <w:tcW w:w="1842" w:type="dxa"/>
            <w:shd w:val="clear" w:color="auto" w:fill="EEECE1" w:themeFill="background2"/>
            <w:vAlign w:val="center"/>
          </w:tcPr>
          <w:p w:rsidR="00A17554" w:rsidRPr="00A17554" w:rsidRDefault="00A17554" w:rsidP="004318AE">
            <w:pPr>
              <w:jc w:val="center"/>
              <w:rPr>
                <w:rFonts w:asciiTheme="minorHAnsi" w:hAnsiTheme="minorHAnsi"/>
                <w:szCs w:val="22"/>
              </w:rPr>
            </w:pPr>
            <w:r w:rsidRPr="00A17554">
              <w:rPr>
                <w:rFonts w:asciiTheme="minorHAnsi" w:hAnsiTheme="minorHAnsi"/>
                <w:color w:val="000000"/>
                <w:szCs w:val="22"/>
              </w:rPr>
              <w:t>Upper Hunter</w:t>
            </w:r>
            <w:r w:rsidRPr="00A17554">
              <w:rPr>
                <w:rFonts w:asciiTheme="minorHAnsi" w:hAnsiTheme="minorHAnsi"/>
                <w:color w:val="000000"/>
                <w:szCs w:val="22"/>
              </w:rPr>
              <w:br/>
              <w:t>Shire</w:t>
            </w:r>
          </w:p>
        </w:tc>
        <w:tc>
          <w:tcPr>
            <w:tcW w:w="1843" w:type="dxa"/>
            <w:shd w:val="clear" w:color="auto" w:fill="EEECE1" w:themeFill="background2"/>
            <w:vAlign w:val="center"/>
          </w:tcPr>
          <w:p w:rsidR="00A17554" w:rsidRPr="00A17554" w:rsidRDefault="00A17554" w:rsidP="004318AE">
            <w:pPr>
              <w:jc w:val="center"/>
              <w:rPr>
                <w:rFonts w:asciiTheme="minorHAnsi" w:hAnsiTheme="minorHAnsi"/>
                <w:szCs w:val="22"/>
              </w:rPr>
            </w:pPr>
            <w:r w:rsidRPr="00A17554">
              <w:rPr>
                <w:rFonts w:asciiTheme="minorHAnsi" w:hAnsiTheme="minorHAnsi" w:cs="Arial"/>
                <w:color w:val="000000"/>
                <w:szCs w:val="22"/>
              </w:rPr>
              <w:t>Muswellbrook</w:t>
            </w:r>
          </w:p>
        </w:tc>
        <w:tc>
          <w:tcPr>
            <w:tcW w:w="1843" w:type="dxa"/>
            <w:shd w:val="clear" w:color="auto" w:fill="EEECE1" w:themeFill="background2"/>
            <w:vAlign w:val="center"/>
          </w:tcPr>
          <w:p w:rsidR="00A17554" w:rsidRPr="00A17554" w:rsidRDefault="00A17554" w:rsidP="004318AE">
            <w:pPr>
              <w:jc w:val="center"/>
              <w:rPr>
                <w:rFonts w:asciiTheme="minorHAnsi" w:hAnsiTheme="minorHAnsi"/>
                <w:color w:val="000000"/>
                <w:szCs w:val="22"/>
              </w:rPr>
            </w:pPr>
            <w:r w:rsidRPr="00A17554">
              <w:rPr>
                <w:rFonts w:asciiTheme="minorHAnsi" w:hAnsiTheme="minorHAnsi"/>
                <w:color w:val="000000"/>
                <w:szCs w:val="22"/>
              </w:rPr>
              <w:t>Dungog</w:t>
            </w:r>
          </w:p>
        </w:tc>
      </w:tr>
      <w:tr w:rsidR="0072653A" w:rsidRPr="00A17554" w:rsidTr="004318AE">
        <w:tc>
          <w:tcPr>
            <w:tcW w:w="2642"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Township </w:t>
            </w:r>
          </w:p>
        </w:tc>
        <w:tc>
          <w:tcPr>
            <w:tcW w:w="1861"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0.5075 </w:t>
            </w:r>
          </w:p>
        </w:tc>
        <w:tc>
          <w:tcPr>
            <w:tcW w:w="1842" w:type="dxa"/>
            <w:vAlign w:val="center"/>
          </w:tcPr>
          <w:p w:rsidR="00A17554" w:rsidRPr="00A17554" w:rsidRDefault="00A17554" w:rsidP="004318AE">
            <w:pPr>
              <w:jc w:val="center"/>
              <w:rPr>
                <w:rFonts w:asciiTheme="minorHAnsi" w:hAnsiTheme="minorHAnsi"/>
                <w:color w:val="000000"/>
                <w:szCs w:val="22"/>
              </w:rPr>
            </w:pPr>
            <w:r w:rsidRPr="00A17554">
              <w:rPr>
                <w:rFonts w:asciiTheme="minorHAnsi" w:hAnsiTheme="minorHAnsi"/>
                <w:color w:val="000000"/>
                <w:szCs w:val="22"/>
              </w:rPr>
              <w:t>0.6760</w:t>
            </w:r>
          </w:p>
        </w:tc>
        <w:tc>
          <w:tcPr>
            <w:tcW w:w="1843" w:type="dxa"/>
          </w:tcPr>
          <w:p w:rsidR="00A17554" w:rsidRPr="00A17554" w:rsidRDefault="00A17554" w:rsidP="004318AE">
            <w:pPr>
              <w:rPr>
                <w:rFonts w:asciiTheme="minorHAnsi" w:hAnsiTheme="minorHAnsi"/>
                <w:szCs w:val="22"/>
              </w:rPr>
            </w:pPr>
          </w:p>
        </w:tc>
        <w:tc>
          <w:tcPr>
            <w:tcW w:w="1843" w:type="dxa"/>
            <w:vAlign w:val="bottom"/>
          </w:tcPr>
          <w:p w:rsidR="00A17554" w:rsidRPr="00A17554" w:rsidRDefault="00A17554" w:rsidP="004318AE">
            <w:pPr>
              <w:jc w:val="center"/>
              <w:rPr>
                <w:rFonts w:asciiTheme="minorHAnsi" w:hAnsiTheme="minorHAnsi" w:cs="Calibri"/>
                <w:color w:val="000000"/>
                <w:szCs w:val="22"/>
              </w:rPr>
            </w:pPr>
            <w:r w:rsidRPr="00A17554">
              <w:rPr>
                <w:rFonts w:asciiTheme="minorHAnsi" w:hAnsiTheme="minorHAnsi" w:cs="Calibri"/>
                <w:color w:val="000000"/>
                <w:szCs w:val="22"/>
              </w:rPr>
              <w:t>0.4641</w:t>
            </w:r>
          </w:p>
        </w:tc>
      </w:tr>
      <w:tr w:rsidR="0072653A" w:rsidRPr="00A17554" w:rsidTr="004318AE">
        <w:tc>
          <w:tcPr>
            <w:tcW w:w="2642"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Villages </w:t>
            </w:r>
          </w:p>
        </w:tc>
        <w:tc>
          <w:tcPr>
            <w:tcW w:w="1861"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0.3885 </w:t>
            </w:r>
          </w:p>
        </w:tc>
        <w:tc>
          <w:tcPr>
            <w:tcW w:w="1842" w:type="dxa"/>
            <w:vAlign w:val="center"/>
          </w:tcPr>
          <w:p w:rsidR="00A17554" w:rsidRPr="00A17554" w:rsidRDefault="00A17554" w:rsidP="004318AE">
            <w:pPr>
              <w:jc w:val="center"/>
              <w:rPr>
                <w:rFonts w:asciiTheme="minorHAnsi" w:hAnsiTheme="minorHAnsi"/>
                <w:color w:val="000000"/>
                <w:szCs w:val="22"/>
              </w:rPr>
            </w:pPr>
            <w:r w:rsidRPr="00A17554">
              <w:rPr>
                <w:rFonts w:asciiTheme="minorHAnsi" w:hAnsiTheme="minorHAnsi"/>
                <w:color w:val="000000"/>
                <w:szCs w:val="22"/>
              </w:rPr>
              <w:t>0.4755</w:t>
            </w:r>
          </w:p>
        </w:tc>
        <w:tc>
          <w:tcPr>
            <w:tcW w:w="1843" w:type="dxa"/>
          </w:tcPr>
          <w:p w:rsidR="00A17554" w:rsidRPr="00A17554" w:rsidRDefault="00A17554" w:rsidP="004318AE">
            <w:pPr>
              <w:rPr>
                <w:rFonts w:asciiTheme="minorHAnsi" w:hAnsiTheme="minorHAnsi"/>
                <w:szCs w:val="22"/>
              </w:rPr>
            </w:pPr>
          </w:p>
        </w:tc>
        <w:tc>
          <w:tcPr>
            <w:tcW w:w="1843" w:type="dxa"/>
            <w:vAlign w:val="bottom"/>
          </w:tcPr>
          <w:p w:rsidR="00A17554" w:rsidRPr="00A17554" w:rsidRDefault="00A17554" w:rsidP="004318AE">
            <w:pPr>
              <w:jc w:val="center"/>
              <w:rPr>
                <w:rFonts w:asciiTheme="minorHAnsi" w:hAnsiTheme="minorHAnsi" w:cs="Calibri"/>
                <w:color w:val="000000"/>
                <w:szCs w:val="22"/>
              </w:rPr>
            </w:pPr>
            <w:r w:rsidRPr="00A17554">
              <w:rPr>
                <w:rFonts w:asciiTheme="minorHAnsi" w:hAnsiTheme="minorHAnsi" w:cs="Calibri"/>
                <w:color w:val="000000"/>
                <w:szCs w:val="22"/>
              </w:rPr>
              <w:t>0.2287</w:t>
            </w:r>
          </w:p>
        </w:tc>
      </w:tr>
      <w:tr w:rsidR="0072653A" w:rsidRPr="00A17554" w:rsidTr="004318AE">
        <w:tc>
          <w:tcPr>
            <w:tcW w:w="2642"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Rural Residential </w:t>
            </w:r>
          </w:p>
        </w:tc>
        <w:tc>
          <w:tcPr>
            <w:tcW w:w="1861"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0.3920 </w:t>
            </w:r>
          </w:p>
        </w:tc>
        <w:tc>
          <w:tcPr>
            <w:tcW w:w="1842" w:type="dxa"/>
            <w:vMerge w:val="restart"/>
            <w:vAlign w:val="center"/>
          </w:tcPr>
          <w:p w:rsidR="00A17554" w:rsidRPr="00A17554" w:rsidRDefault="00A17554" w:rsidP="004318AE">
            <w:pPr>
              <w:jc w:val="center"/>
              <w:rPr>
                <w:rFonts w:asciiTheme="minorHAnsi" w:hAnsiTheme="minorHAnsi"/>
                <w:color w:val="000000"/>
                <w:szCs w:val="22"/>
              </w:rPr>
            </w:pPr>
            <w:r w:rsidRPr="00A17554">
              <w:rPr>
                <w:rFonts w:asciiTheme="minorHAnsi" w:hAnsiTheme="minorHAnsi"/>
                <w:color w:val="000000"/>
                <w:szCs w:val="22"/>
              </w:rPr>
              <w:t>0.3636</w:t>
            </w:r>
          </w:p>
        </w:tc>
        <w:tc>
          <w:tcPr>
            <w:tcW w:w="1843" w:type="dxa"/>
          </w:tcPr>
          <w:p w:rsidR="00A17554" w:rsidRPr="00A17554" w:rsidRDefault="00A17554" w:rsidP="004318AE">
            <w:pPr>
              <w:rPr>
                <w:rFonts w:asciiTheme="minorHAnsi" w:hAnsiTheme="minorHAnsi"/>
                <w:szCs w:val="22"/>
              </w:rPr>
            </w:pPr>
          </w:p>
        </w:tc>
        <w:tc>
          <w:tcPr>
            <w:tcW w:w="1843" w:type="dxa"/>
            <w:vMerge w:val="restart"/>
            <w:vAlign w:val="center"/>
          </w:tcPr>
          <w:p w:rsidR="00A17554" w:rsidRPr="00A17554" w:rsidRDefault="00A17554" w:rsidP="004318AE">
            <w:pPr>
              <w:jc w:val="center"/>
              <w:rPr>
                <w:rFonts w:asciiTheme="minorHAnsi" w:hAnsiTheme="minorHAnsi" w:cs="Calibri"/>
                <w:color w:val="000000"/>
                <w:szCs w:val="22"/>
              </w:rPr>
            </w:pPr>
            <w:r w:rsidRPr="00A17554">
              <w:rPr>
                <w:rFonts w:asciiTheme="minorHAnsi" w:hAnsiTheme="minorHAnsi" w:cs="Calibri"/>
                <w:color w:val="000000"/>
                <w:szCs w:val="22"/>
              </w:rPr>
              <w:t>0.2375</w:t>
            </w:r>
          </w:p>
        </w:tc>
      </w:tr>
      <w:tr w:rsidR="0072653A" w:rsidRPr="00A17554" w:rsidTr="004318AE">
        <w:tc>
          <w:tcPr>
            <w:tcW w:w="2642"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Farmland </w:t>
            </w:r>
          </w:p>
        </w:tc>
        <w:tc>
          <w:tcPr>
            <w:tcW w:w="1861"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0.4145 </w:t>
            </w:r>
          </w:p>
        </w:tc>
        <w:tc>
          <w:tcPr>
            <w:tcW w:w="1842" w:type="dxa"/>
            <w:vMerge/>
            <w:vAlign w:val="center"/>
          </w:tcPr>
          <w:p w:rsidR="00A17554" w:rsidRPr="00A17554" w:rsidRDefault="00A17554" w:rsidP="004318AE">
            <w:pPr>
              <w:jc w:val="center"/>
              <w:rPr>
                <w:rFonts w:asciiTheme="minorHAnsi" w:hAnsiTheme="minorHAnsi"/>
                <w:color w:val="000000"/>
                <w:szCs w:val="22"/>
              </w:rPr>
            </w:pPr>
          </w:p>
        </w:tc>
        <w:tc>
          <w:tcPr>
            <w:tcW w:w="1843" w:type="dxa"/>
          </w:tcPr>
          <w:p w:rsidR="00A17554" w:rsidRPr="00A17554" w:rsidRDefault="00A17554" w:rsidP="004318AE">
            <w:pPr>
              <w:rPr>
                <w:rFonts w:asciiTheme="minorHAnsi" w:hAnsiTheme="minorHAnsi"/>
                <w:szCs w:val="22"/>
              </w:rPr>
            </w:pPr>
          </w:p>
        </w:tc>
        <w:tc>
          <w:tcPr>
            <w:tcW w:w="1843" w:type="dxa"/>
            <w:vMerge/>
            <w:vAlign w:val="center"/>
          </w:tcPr>
          <w:p w:rsidR="00A17554" w:rsidRPr="00A17554" w:rsidRDefault="00A17554" w:rsidP="004318AE">
            <w:pPr>
              <w:jc w:val="center"/>
              <w:rPr>
                <w:rFonts w:asciiTheme="minorHAnsi" w:hAnsiTheme="minorHAnsi" w:cs="Calibri"/>
                <w:color w:val="000000"/>
                <w:szCs w:val="22"/>
              </w:rPr>
            </w:pPr>
          </w:p>
        </w:tc>
      </w:tr>
      <w:tr w:rsidR="0072653A" w:rsidRPr="00A17554" w:rsidTr="004318AE">
        <w:tc>
          <w:tcPr>
            <w:tcW w:w="2642"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Business (Urban) </w:t>
            </w:r>
          </w:p>
        </w:tc>
        <w:tc>
          <w:tcPr>
            <w:tcW w:w="1861"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0.8540 </w:t>
            </w:r>
          </w:p>
        </w:tc>
        <w:tc>
          <w:tcPr>
            <w:tcW w:w="1842" w:type="dxa"/>
            <w:vAlign w:val="center"/>
          </w:tcPr>
          <w:p w:rsidR="00A17554" w:rsidRPr="00A17554" w:rsidRDefault="00A17554" w:rsidP="004318AE">
            <w:pPr>
              <w:jc w:val="center"/>
              <w:rPr>
                <w:rFonts w:asciiTheme="minorHAnsi" w:hAnsiTheme="minorHAnsi"/>
                <w:color w:val="000000"/>
                <w:szCs w:val="22"/>
              </w:rPr>
            </w:pPr>
            <w:r w:rsidRPr="00A17554">
              <w:rPr>
                <w:rFonts w:asciiTheme="minorHAnsi" w:hAnsiTheme="minorHAnsi"/>
                <w:color w:val="000000"/>
                <w:szCs w:val="22"/>
              </w:rPr>
              <w:t>0.9248</w:t>
            </w:r>
          </w:p>
        </w:tc>
        <w:tc>
          <w:tcPr>
            <w:tcW w:w="1843" w:type="dxa"/>
          </w:tcPr>
          <w:p w:rsidR="00A17554" w:rsidRPr="00A17554" w:rsidRDefault="00A17554" w:rsidP="004318AE">
            <w:pPr>
              <w:rPr>
                <w:rFonts w:asciiTheme="minorHAnsi" w:hAnsiTheme="minorHAnsi"/>
                <w:szCs w:val="22"/>
              </w:rPr>
            </w:pPr>
          </w:p>
        </w:tc>
        <w:tc>
          <w:tcPr>
            <w:tcW w:w="1843" w:type="dxa"/>
            <w:vAlign w:val="bottom"/>
          </w:tcPr>
          <w:p w:rsidR="00A17554" w:rsidRPr="00A17554" w:rsidRDefault="00A17554" w:rsidP="004318AE">
            <w:pPr>
              <w:jc w:val="center"/>
              <w:rPr>
                <w:rFonts w:asciiTheme="minorHAnsi" w:hAnsiTheme="minorHAnsi" w:cs="Calibri"/>
                <w:color w:val="000000"/>
                <w:szCs w:val="22"/>
              </w:rPr>
            </w:pPr>
            <w:r w:rsidRPr="00A17554">
              <w:rPr>
                <w:rFonts w:asciiTheme="minorHAnsi" w:hAnsiTheme="minorHAnsi" w:cs="Calibri"/>
                <w:color w:val="000000"/>
                <w:szCs w:val="22"/>
              </w:rPr>
              <w:t>0.4220</w:t>
            </w:r>
          </w:p>
        </w:tc>
      </w:tr>
      <w:tr w:rsidR="0072653A" w:rsidRPr="00A17554" w:rsidTr="004318AE">
        <w:tc>
          <w:tcPr>
            <w:tcW w:w="2642"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Mining </w:t>
            </w:r>
          </w:p>
        </w:tc>
        <w:tc>
          <w:tcPr>
            <w:tcW w:w="1861" w:type="dxa"/>
            <w:vAlign w:val="bottom"/>
          </w:tcPr>
          <w:p w:rsidR="00A17554" w:rsidRPr="00A17554" w:rsidRDefault="00A17554" w:rsidP="004318AE">
            <w:pPr>
              <w:rPr>
                <w:rFonts w:asciiTheme="minorHAnsi" w:hAnsiTheme="minorHAnsi"/>
                <w:color w:val="000000"/>
                <w:szCs w:val="22"/>
              </w:rPr>
            </w:pPr>
            <w:r w:rsidRPr="00A17554">
              <w:rPr>
                <w:rFonts w:asciiTheme="minorHAnsi" w:hAnsiTheme="minorHAnsi"/>
                <w:color w:val="000000"/>
                <w:szCs w:val="22"/>
              </w:rPr>
              <w:t xml:space="preserve">                 3.5550 </w:t>
            </w:r>
          </w:p>
        </w:tc>
        <w:tc>
          <w:tcPr>
            <w:tcW w:w="1842" w:type="dxa"/>
            <w:vAlign w:val="center"/>
          </w:tcPr>
          <w:p w:rsidR="00A17554" w:rsidRPr="00A17554" w:rsidRDefault="00A17554" w:rsidP="004318AE">
            <w:pPr>
              <w:jc w:val="center"/>
              <w:rPr>
                <w:rFonts w:asciiTheme="minorHAnsi" w:hAnsiTheme="minorHAnsi"/>
                <w:color w:val="000000"/>
                <w:szCs w:val="22"/>
              </w:rPr>
            </w:pPr>
            <w:r w:rsidRPr="00A17554">
              <w:rPr>
                <w:rFonts w:asciiTheme="minorHAnsi" w:hAnsiTheme="minorHAnsi"/>
                <w:color w:val="000000"/>
                <w:szCs w:val="22"/>
              </w:rPr>
              <w:t>37.1119</w:t>
            </w:r>
          </w:p>
        </w:tc>
        <w:tc>
          <w:tcPr>
            <w:tcW w:w="1843" w:type="dxa"/>
          </w:tcPr>
          <w:p w:rsidR="00A17554" w:rsidRPr="00A17554" w:rsidRDefault="00A17554" w:rsidP="004318AE">
            <w:pPr>
              <w:rPr>
                <w:rFonts w:asciiTheme="minorHAnsi" w:hAnsiTheme="minorHAnsi"/>
                <w:szCs w:val="22"/>
              </w:rPr>
            </w:pPr>
          </w:p>
        </w:tc>
        <w:tc>
          <w:tcPr>
            <w:tcW w:w="1843" w:type="dxa"/>
            <w:vAlign w:val="center"/>
          </w:tcPr>
          <w:p w:rsidR="00A17554" w:rsidRPr="00A17554" w:rsidRDefault="00A17554" w:rsidP="004318AE">
            <w:pPr>
              <w:jc w:val="center"/>
              <w:rPr>
                <w:rFonts w:asciiTheme="minorHAnsi" w:hAnsiTheme="minorHAnsi" w:cs="Calibri"/>
                <w:color w:val="000000"/>
                <w:szCs w:val="22"/>
              </w:rPr>
            </w:pPr>
            <w:r w:rsidRPr="00A17554">
              <w:rPr>
                <w:rFonts w:asciiTheme="minorHAnsi" w:hAnsiTheme="minorHAnsi" w:cs="Calibri"/>
                <w:color w:val="000000"/>
                <w:szCs w:val="22"/>
              </w:rPr>
              <w:t>N/A</w:t>
            </w:r>
          </w:p>
        </w:tc>
      </w:tr>
    </w:tbl>
    <w:p w:rsidR="00A17554" w:rsidRPr="00A17554" w:rsidRDefault="00A17554" w:rsidP="00A17554">
      <w:pPr>
        <w:rPr>
          <w:rFonts w:asciiTheme="minorHAnsi" w:hAnsiTheme="minorHAnsi"/>
          <w:szCs w:val="22"/>
        </w:rPr>
      </w:pPr>
    </w:p>
    <w:p w:rsidR="00127990" w:rsidRPr="00A17554" w:rsidRDefault="00127990" w:rsidP="00A17554">
      <w:pPr>
        <w:rPr>
          <w:rFonts w:asciiTheme="minorHAnsi" w:hAnsiTheme="minorHAnsi"/>
          <w:szCs w:val="22"/>
        </w:rPr>
      </w:pPr>
    </w:p>
    <w:p w:rsidR="00A17554" w:rsidRDefault="00A17554" w:rsidP="00A17554">
      <w:pPr>
        <w:rPr>
          <w:rFonts w:asciiTheme="minorHAnsi" w:hAnsiTheme="minorHAnsi"/>
          <w:szCs w:val="22"/>
        </w:rPr>
      </w:pPr>
      <w:r w:rsidRPr="00A17554">
        <w:rPr>
          <w:rFonts w:asciiTheme="minorHAnsi" w:hAnsiTheme="minorHAnsi"/>
          <w:szCs w:val="22"/>
        </w:rPr>
        <w:t xml:space="preserve">Information </w:t>
      </w:r>
      <w:r w:rsidR="007504CF">
        <w:rPr>
          <w:rFonts w:asciiTheme="minorHAnsi" w:hAnsiTheme="minorHAnsi"/>
          <w:szCs w:val="22"/>
        </w:rPr>
        <w:t>below is</w:t>
      </w:r>
      <w:r w:rsidRPr="00A17554">
        <w:rPr>
          <w:rFonts w:asciiTheme="minorHAnsi" w:hAnsiTheme="minorHAnsi"/>
          <w:szCs w:val="22"/>
        </w:rPr>
        <w:t xml:space="preserve"> for the year </w:t>
      </w:r>
      <w:r w:rsidRPr="005E6DCA">
        <w:rPr>
          <w:rFonts w:asciiTheme="minorHAnsi" w:hAnsiTheme="minorHAnsi"/>
          <w:szCs w:val="22"/>
        </w:rPr>
        <w:t xml:space="preserve">2012/13 </w:t>
      </w:r>
      <w:r w:rsidRPr="00A17554">
        <w:rPr>
          <w:rFonts w:asciiTheme="minorHAnsi" w:hAnsiTheme="minorHAnsi"/>
          <w:szCs w:val="22"/>
        </w:rPr>
        <w:t xml:space="preserve">and </w:t>
      </w:r>
      <w:r w:rsidR="007504CF">
        <w:rPr>
          <w:rFonts w:asciiTheme="minorHAnsi" w:hAnsiTheme="minorHAnsi"/>
          <w:szCs w:val="22"/>
        </w:rPr>
        <w:t xml:space="preserve">does </w:t>
      </w:r>
      <w:r w:rsidRPr="00A17554">
        <w:rPr>
          <w:rFonts w:asciiTheme="minorHAnsi" w:hAnsiTheme="minorHAnsi"/>
          <w:szCs w:val="22"/>
        </w:rPr>
        <w:t>not reflect any recent changes. For example Gloucester introduced base rates to all categories</w:t>
      </w:r>
      <w:r w:rsidR="005E6DCA">
        <w:rPr>
          <w:rFonts w:asciiTheme="minorHAnsi" w:hAnsiTheme="minorHAnsi"/>
          <w:szCs w:val="22"/>
        </w:rPr>
        <w:t xml:space="preserve"> in </w:t>
      </w:r>
      <w:r w:rsidRPr="00A17554">
        <w:rPr>
          <w:rFonts w:asciiTheme="minorHAnsi" w:hAnsiTheme="minorHAnsi"/>
          <w:szCs w:val="22"/>
        </w:rPr>
        <w:t xml:space="preserve">this year. </w:t>
      </w:r>
    </w:p>
    <w:p w:rsidR="00127990" w:rsidRPr="00A17554" w:rsidRDefault="00127990" w:rsidP="00A17554">
      <w:pPr>
        <w:rPr>
          <w:rFonts w:asciiTheme="minorHAnsi" w:hAnsiTheme="minorHAnsi"/>
          <w:szCs w:val="22"/>
        </w:rPr>
      </w:pPr>
    </w:p>
    <w:p w:rsidR="00A17554" w:rsidRPr="00A17554" w:rsidRDefault="00A17554" w:rsidP="00A17554">
      <w:pPr>
        <w:rPr>
          <w:rFonts w:asciiTheme="minorHAnsi" w:hAnsiTheme="minorHAnsi"/>
          <w:b/>
          <w:szCs w:val="22"/>
        </w:rPr>
      </w:pPr>
      <w:r w:rsidRPr="00A17554">
        <w:rPr>
          <w:rFonts w:asciiTheme="minorHAnsi" w:hAnsiTheme="minorHAnsi"/>
          <w:b/>
          <w:szCs w:val="22"/>
        </w:rPr>
        <w:t>Average Rates:</w:t>
      </w:r>
    </w:p>
    <w:tbl>
      <w:tblPr>
        <w:tblStyle w:val="TableGrid"/>
        <w:tblW w:w="0" w:type="auto"/>
        <w:tblLook w:val="04A0" w:firstRow="1" w:lastRow="0" w:firstColumn="1" w:lastColumn="0" w:noHBand="0" w:noVBand="1"/>
      </w:tblPr>
      <w:tblGrid>
        <w:gridCol w:w="2123"/>
        <w:gridCol w:w="1649"/>
        <w:gridCol w:w="1776"/>
        <w:gridCol w:w="1761"/>
        <w:gridCol w:w="1554"/>
      </w:tblGrid>
      <w:tr w:rsidR="00A17554" w:rsidRPr="00A17554" w:rsidTr="005E6DCA">
        <w:tc>
          <w:tcPr>
            <w:tcW w:w="2123" w:type="dxa"/>
          </w:tcPr>
          <w:p w:rsidR="00A17554" w:rsidRPr="00A17554" w:rsidRDefault="00A17554" w:rsidP="004318AE">
            <w:pPr>
              <w:spacing w:after="200"/>
              <w:rPr>
                <w:rFonts w:asciiTheme="minorHAnsi" w:hAnsiTheme="minorHAnsi"/>
                <w:b/>
                <w:szCs w:val="22"/>
              </w:rPr>
            </w:pPr>
            <w:r w:rsidRPr="00A17554">
              <w:rPr>
                <w:rFonts w:asciiTheme="minorHAnsi" w:hAnsiTheme="minorHAnsi"/>
                <w:b/>
                <w:szCs w:val="22"/>
              </w:rPr>
              <w:t>Council</w:t>
            </w:r>
          </w:p>
        </w:tc>
        <w:tc>
          <w:tcPr>
            <w:tcW w:w="1649" w:type="dxa"/>
          </w:tcPr>
          <w:p w:rsidR="00A17554" w:rsidRPr="00A17554" w:rsidRDefault="00A17554" w:rsidP="004318AE">
            <w:pPr>
              <w:spacing w:after="200"/>
              <w:jc w:val="right"/>
              <w:rPr>
                <w:rFonts w:asciiTheme="minorHAnsi" w:hAnsiTheme="minorHAnsi"/>
                <w:b/>
                <w:szCs w:val="22"/>
              </w:rPr>
            </w:pPr>
            <w:r w:rsidRPr="00A17554">
              <w:rPr>
                <w:rFonts w:asciiTheme="minorHAnsi" w:hAnsiTheme="minorHAnsi"/>
                <w:b/>
                <w:szCs w:val="22"/>
              </w:rPr>
              <w:t>Population</w:t>
            </w:r>
          </w:p>
        </w:tc>
        <w:tc>
          <w:tcPr>
            <w:tcW w:w="1776" w:type="dxa"/>
          </w:tcPr>
          <w:p w:rsidR="00A17554" w:rsidRPr="00A17554" w:rsidRDefault="00A17554" w:rsidP="004318AE">
            <w:pPr>
              <w:spacing w:after="200"/>
              <w:jc w:val="right"/>
              <w:rPr>
                <w:rFonts w:asciiTheme="minorHAnsi" w:hAnsiTheme="minorHAnsi"/>
                <w:b/>
                <w:szCs w:val="22"/>
              </w:rPr>
            </w:pPr>
            <w:r w:rsidRPr="00A17554">
              <w:rPr>
                <w:rFonts w:asciiTheme="minorHAnsi" w:hAnsiTheme="minorHAnsi"/>
                <w:b/>
                <w:szCs w:val="22"/>
              </w:rPr>
              <w:t>Residential</w:t>
            </w:r>
          </w:p>
        </w:tc>
        <w:tc>
          <w:tcPr>
            <w:tcW w:w="1761" w:type="dxa"/>
          </w:tcPr>
          <w:p w:rsidR="00A17554" w:rsidRPr="00A17554" w:rsidRDefault="00A17554" w:rsidP="004318AE">
            <w:pPr>
              <w:spacing w:after="200"/>
              <w:jc w:val="right"/>
              <w:rPr>
                <w:rFonts w:asciiTheme="minorHAnsi" w:hAnsiTheme="minorHAnsi"/>
                <w:b/>
                <w:szCs w:val="22"/>
              </w:rPr>
            </w:pPr>
            <w:r w:rsidRPr="00A17554">
              <w:rPr>
                <w:rFonts w:asciiTheme="minorHAnsi" w:hAnsiTheme="minorHAnsi"/>
                <w:b/>
                <w:szCs w:val="22"/>
              </w:rPr>
              <w:t>Farmland</w:t>
            </w:r>
          </w:p>
        </w:tc>
        <w:tc>
          <w:tcPr>
            <w:tcW w:w="1554" w:type="dxa"/>
          </w:tcPr>
          <w:p w:rsidR="00A17554" w:rsidRPr="00A17554" w:rsidRDefault="00A17554" w:rsidP="004318AE">
            <w:pPr>
              <w:spacing w:after="200"/>
              <w:jc w:val="right"/>
              <w:rPr>
                <w:rFonts w:asciiTheme="minorHAnsi" w:hAnsiTheme="minorHAnsi"/>
                <w:b/>
                <w:szCs w:val="22"/>
              </w:rPr>
            </w:pPr>
            <w:r w:rsidRPr="00A17554">
              <w:rPr>
                <w:rFonts w:asciiTheme="minorHAnsi" w:hAnsiTheme="minorHAnsi"/>
                <w:b/>
                <w:szCs w:val="22"/>
              </w:rPr>
              <w:t>Business</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Dungog</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8673</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672</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1901</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749</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Uralla</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6287</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458</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3338</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474</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Liverpool Plains</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7965</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525</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3519</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1138</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Ave Group 10</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7268</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487</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2124</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1112</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Position in Group 10</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Second lowest</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middle</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middle</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middle</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Greater Taree</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48955</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726</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1158</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2364</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Great Lakes</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35924</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862</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547</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2331</w:t>
            </w:r>
          </w:p>
        </w:tc>
      </w:tr>
      <w:tr w:rsidR="00A17554" w:rsidRPr="00A17554" w:rsidTr="005E6DCA">
        <w:tc>
          <w:tcPr>
            <w:tcW w:w="2123" w:type="dxa"/>
          </w:tcPr>
          <w:p w:rsidR="00A17554" w:rsidRPr="00A17554" w:rsidRDefault="00A17554" w:rsidP="004318AE">
            <w:pPr>
              <w:spacing w:after="200"/>
              <w:rPr>
                <w:rFonts w:asciiTheme="minorHAnsi" w:hAnsiTheme="minorHAnsi"/>
                <w:szCs w:val="22"/>
              </w:rPr>
            </w:pPr>
            <w:r w:rsidRPr="00A17554">
              <w:rPr>
                <w:rFonts w:asciiTheme="minorHAnsi" w:hAnsiTheme="minorHAnsi"/>
                <w:szCs w:val="22"/>
              </w:rPr>
              <w:t>Port Stephens</w:t>
            </w:r>
          </w:p>
        </w:tc>
        <w:tc>
          <w:tcPr>
            <w:tcW w:w="1649"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67825</w:t>
            </w:r>
          </w:p>
        </w:tc>
        <w:tc>
          <w:tcPr>
            <w:tcW w:w="1776"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822</w:t>
            </w:r>
          </w:p>
        </w:tc>
        <w:tc>
          <w:tcPr>
            <w:tcW w:w="1761"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1400</w:t>
            </w:r>
          </w:p>
        </w:tc>
        <w:tc>
          <w:tcPr>
            <w:tcW w:w="1554" w:type="dxa"/>
          </w:tcPr>
          <w:p w:rsidR="00A17554" w:rsidRPr="00A17554" w:rsidRDefault="00A17554" w:rsidP="004318AE">
            <w:pPr>
              <w:spacing w:after="200"/>
              <w:jc w:val="right"/>
              <w:rPr>
                <w:rFonts w:asciiTheme="minorHAnsi" w:hAnsiTheme="minorHAnsi"/>
                <w:szCs w:val="22"/>
              </w:rPr>
            </w:pPr>
            <w:r w:rsidRPr="00A17554">
              <w:rPr>
                <w:rFonts w:asciiTheme="minorHAnsi" w:hAnsiTheme="minorHAnsi"/>
                <w:szCs w:val="22"/>
              </w:rPr>
              <w:t>3323</w:t>
            </w:r>
          </w:p>
        </w:tc>
      </w:tr>
      <w:tr w:rsidR="00A17554" w:rsidRPr="00A17554" w:rsidTr="005E6DCA">
        <w:tc>
          <w:tcPr>
            <w:tcW w:w="2123" w:type="dxa"/>
          </w:tcPr>
          <w:p w:rsidR="00A17554" w:rsidRPr="005E6DCA" w:rsidRDefault="00A17554" w:rsidP="004318AE">
            <w:pPr>
              <w:spacing w:after="200"/>
              <w:rPr>
                <w:rFonts w:asciiTheme="minorHAnsi" w:hAnsiTheme="minorHAnsi"/>
                <w:b/>
                <w:szCs w:val="22"/>
              </w:rPr>
            </w:pPr>
            <w:r w:rsidRPr="005E6DCA">
              <w:rPr>
                <w:rFonts w:asciiTheme="minorHAnsi" w:hAnsiTheme="minorHAnsi"/>
                <w:b/>
                <w:szCs w:val="22"/>
              </w:rPr>
              <w:t>Gloucester</w:t>
            </w:r>
          </w:p>
        </w:tc>
        <w:tc>
          <w:tcPr>
            <w:tcW w:w="1649" w:type="dxa"/>
          </w:tcPr>
          <w:p w:rsidR="00A17554" w:rsidRPr="005E6DCA" w:rsidRDefault="00A17554" w:rsidP="004318AE">
            <w:pPr>
              <w:spacing w:after="200"/>
              <w:jc w:val="right"/>
              <w:rPr>
                <w:rFonts w:asciiTheme="minorHAnsi" w:hAnsiTheme="minorHAnsi"/>
                <w:b/>
                <w:szCs w:val="22"/>
              </w:rPr>
            </w:pPr>
            <w:r w:rsidRPr="005E6DCA">
              <w:rPr>
                <w:rFonts w:asciiTheme="minorHAnsi" w:hAnsiTheme="minorHAnsi"/>
                <w:b/>
                <w:szCs w:val="22"/>
              </w:rPr>
              <w:t>5181</w:t>
            </w:r>
          </w:p>
        </w:tc>
        <w:tc>
          <w:tcPr>
            <w:tcW w:w="1776" w:type="dxa"/>
          </w:tcPr>
          <w:p w:rsidR="00A17554" w:rsidRPr="005E6DCA" w:rsidRDefault="00A17554" w:rsidP="004318AE">
            <w:pPr>
              <w:spacing w:after="200"/>
              <w:jc w:val="right"/>
              <w:rPr>
                <w:rFonts w:asciiTheme="minorHAnsi" w:hAnsiTheme="minorHAnsi"/>
                <w:b/>
                <w:szCs w:val="22"/>
              </w:rPr>
            </w:pPr>
            <w:r w:rsidRPr="005E6DCA">
              <w:rPr>
                <w:rFonts w:asciiTheme="minorHAnsi" w:hAnsiTheme="minorHAnsi"/>
                <w:b/>
                <w:szCs w:val="22"/>
              </w:rPr>
              <w:t>557</w:t>
            </w:r>
          </w:p>
        </w:tc>
        <w:tc>
          <w:tcPr>
            <w:tcW w:w="1761" w:type="dxa"/>
          </w:tcPr>
          <w:p w:rsidR="00A17554" w:rsidRPr="005E6DCA" w:rsidRDefault="00A17554" w:rsidP="004318AE">
            <w:pPr>
              <w:spacing w:after="200"/>
              <w:jc w:val="right"/>
              <w:rPr>
                <w:rFonts w:asciiTheme="minorHAnsi" w:hAnsiTheme="minorHAnsi"/>
                <w:b/>
                <w:szCs w:val="22"/>
              </w:rPr>
            </w:pPr>
            <w:r w:rsidRPr="005E6DCA">
              <w:rPr>
                <w:rFonts w:asciiTheme="minorHAnsi" w:hAnsiTheme="minorHAnsi"/>
                <w:b/>
                <w:szCs w:val="22"/>
              </w:rPr>
              <w:t>2554</w:t>
            </w:r>
          </w:p>
        </w:tc>
        <w:tc>
          <w:tcPr>
            <w:tcW w:w="1554" w:type="dxa"/>
          </w:tcPr>
          <w:p w:rsidR="00A17554" w:rsidRPr="005E6DCA" w:rsidRDefault="00A17554" w:rsidP="004318AE">
            <w:pPr>
              <w:spacing w:after="200"/>
              <w:jc w:val="right"/>
              <w:rPr>
                <w:rFonts w:asciiTheme="minorHAnsi" w:hAnsiTheme="minorHAnsi"/>
                <w:b/>
                <w:szCs w:val="22"/>
              </w:rPr>
            </w:pPr>
            <w:r w:rsidRPr="005E6DCA">
              <w:rPr>
                <w:rFonts w:asciiTheme="minorHAnsi" w:hAnsiTheme="minorHAnsi"/>
                <w:b/>
                <w:szCs w:val="22"/>
              </w:rPr>
              <w:t>1033</w:t>
            </w:r>
          </w:p>
        </w:tc>
      </w:tr>
    </w:tbl>
    <w:p w:rsidR="00A17554" w:rsidRPr="00A17554" w:rsidRDefault="00A17554" w:rsidP="00A17554">
      <w:pPr>
        <w:jc w:val="center"/>
        <w:rPr>
          <w:rFonts w:asciiTheme="minorHAnsi" w:hAnsiTheme="minorHAnsi"/>
          <w:b/>
          <w:szCs w:val="22"/>
        </w:rPr>
      </w:pPr>
    </w:p>
    <w:p w:rsidR="00A17554" w:rsidRPr="00A17554" w:rsidRDefault="00A17554" w:rsidP="00A17554">
      <w:pPr>
        <w:rPr>
          <w:rFonts w:asciiTheme="minorHAnsi" w:hAnsiTheme="minorHAnsi"/>
          <w:szCs w:val="22"/>
        </w:rPr>
      </w:pPr>
    </w:p>
    <w:p w:rsidR="00A17554" w:rsidRDefault="00A17554" w:rsidP="00D94E3C">
      <w:pPr>
        <w:spacing w:before="240" w:line="280" w:lineRule="atLeast"/>
        <w:ind w:right="-567"/>
        <w:rPr>
          <w:rFonts w:asciiTheme="minorHAnsi" w:hAnsiTheme="minorHAnsi"/>
          <w:szCs w:val="22"/>
        </w:rPr>
      </w:pPr>
      <w:r w:rsidRPr="00A17554">
        <w:rPr>
          <w:rFonts w:asciiTheme="minorHAnsi" w:hAnsiTheme="minorHAnsi"/>
          <w:szCs w:val="22"/>
        </w:rPr>
        <w:t>Reference to the above tables suggest</w:t>
      </w:r>
      <w:r w:rsidR="005E6DCA">
        <w:rPr>
          <w:rFonts w:asciiTheme="minorHAnsi" w:hAnsiTheme="minorHAnsi"/>
          <w:szCs w:val="22"/>
        </w:rPr>
        <w:t>ed</w:t>
      </w:r>
      <w:r w:rsidRPr="00A17554">
        <w:rPr>
          <w:rFonts w:asciiTheme="minorHAnsi" w:hAnsiTheme="minorHAnsi"/>
          <w:szCs w:val="22"/>
        </w:rPr>
        <w:t xml:space="preserve"> that a review of Rating Category levels </w:t>
      </w:r>
      <w:r w:rsidR="005E6DCA">
        <w:rPr>
          <w:rFonts w:asciiTheme="minorHAnsi" w:hAnsiTheme="minorHAnsi"/>
          <w:szCs w:val="22"/>
        </w:rPr>
        <w:t>wa</w:t>
      </w:r>
      <w:r w:rsidRPr="00A17554">
        <w:rPr>
          <w:rFonts w:asciiTheme="minorHAnsi" w:hAnsiTheme="minorHAnsi"/>
          <w:szCs w:val="22"/>
        </w:rPr>
        <w:t>s warranted particularly in the case of Farmland Rating which is significantly higher than other rating categories and comparatively higher than regional LGA’s. This require</w:t>
      </w:r>
      <w:r w:rsidR="005E6DCA">
        <w:rPr>
          <w:rFonts w:asciiTheme="minorHAnsi" w:hAnsiTheme="minorHAnsi"/>
          <w:szCs w:val="22"/>
        </w:rPr>
        <w:t>d</w:t>
      </w:r>
      <w:r w:rsidRPr="00A17554">
        <w:rPr>
          <w:rFonts w:asciiTheme="minorHAnsi" w:hAnsiTheme="minorHAnsi"/>
          <w:szCs w:val="22"/>
        </w:rPr>
        <w:t xml:space="preserve"> the impact of any review on affordability across the rating categories to be reassessed. </w:t>
      </w:r>
      <w:r w:rsidR="005E6DCA">
        <w:rPr>
          <w:rFonts w:asciiTheme="minorHAnsi" w:hAnsiTheme="minorHAnsi"/>
          <w:szCs w:val="22"/>
        </w:rPr>
        <w:t xml:space="preserve">A review of rating categories was adopted by Council on 14 January 2015.  </w:t>
      </w:r>
    </w:p>
    <w:p w:rsidR="00B455F4" w:rsidRDefault="00B455F4" w:rsidP="00B21D8F">
      <w:pPr>
        <w:pStyle w:val="BodyText"/>
        <w:ind w:right="-567"/>
        <w:rPr>
          <w:rFonts w:asciiTheme="minorHAnsi" w:hAnsiTheme="minorHAnsi"/>
        </w:rPr>
      </w:pPr>
      <w:r>
        <w:rPr>
          <w:rFonts w:asciiTheme="minorHAnsi" w:hAnsiTheme="minorHAnsi"/>
        </w:rPr>
        <w:t>C</w:t>
      </w:r>
      <w:r w:rsidRPr="00E5475A">
        <w:rPr>
          <w:rFonts w:asciiTheme="minorHAnsi" w:hAnsiTheme="minorHAnsi"/>
        </w:rPr>
        <w:t>ouncil</w:t>
      </w:r>
      <w:r>
        <w:rPr>
          <w:rFonts w:asciiTheme="minorHAnsi" w:hAnsiTheme="minorHAnsi"/>
        </w:rPr>
        <w:t xml:space="preserve"> considers that the</w:t>
      </w:r>
      <w:r w:rsidRPr="00E5475A">
        <w:rPr>
          <w:rFonts w:asciiTheme="minorHAnsi" w:hAnsiTheme="minorHAnsi"/>
        </w:rPr>
        <w:t xml:space="preserve"> proposed special variation on ratepayers </w:t>
      </w:r>
      <w:r>
        <w:rPr>
          <w:rFonts w:asciiTheme="minorHAnsi" w:hAnsiTheme="minorHAnsi"/>
        </w:rPr>
        <w:t>is</w:t>
      </w:r>
      <w:r w:rsidRPr="00E5475A">
        <w:rPr>
          <w:rFonts w:asciiTheme="minorHAnsi" w:hAnsiTheme="minorHAnsi"/>
        </w:rPr>
        <w:t xml:space="preserve"> reasonable.  </w:t>
      </w:r>
      <w:r>
        <w:rPr>
          <w:rFonts w:asciiTheme="minorHAnsi" w:hAnsiTheme="minorHAnsi"/>
        </w:rPr>
        <w:t>Council considered</w:t>
      </w:r>
      <w:r w:rsidRPr="00E5475A">
        <w:rPr>
          <w:rFonts w:asciiTheme="minorHAnsi" w:hAnsiTheme="minorHAnsi"/>
        </w:rPr>
        <w:t xml:space="preserve"> current rate levels, the existing ratepayer base and the purpose of the special variation.  We </w:t>
      </w:r>
      <w:r>
        <w:rPr>
          <w:rFonts w:asciiTheme="minorHAnsi" w:hAnsiTheme="minorHAnsi"/>
        </w:rPr>
        <w:t xml:space="preserve">have </w:t>
      </w:r>
      <w:r w:rsidRPr="00E5475A">
        <w:rPr>
          <w:rFonts w:asciiTheme="minorHAnsi" w:hAnsiTheme="minorHAnsi"/>
        </w:rPr>
        <w:t xml:space="preserve">also </w:t>
      </w:r>
      <w:r w:rsidRPr="00E5475A">
        <w:rPr>
          <w:rFonts w:asciiTheme="minorHAnsi" w:hAnsiTheme="minorHAnsi"/>
        </w:rPr>
        <w:lastRenderedPageBreak/>
        <w:t>review</w:t>
      </w:r>
      <w:r>
        <w:rPr>
          <w:rFonts w:asciiTheme="minorHAnsi" w:hAnsiTheme="minorHAnsi"/>
        </w:rPr>
        <w:t>ed</w:t>
      </w:r>
      <w:r w:rsidRPr="00E5475A">
        <w:rPr>
          <w:rFonts w:asciiTheme="minorHAnsi" w:hAnsiTheme="minorHAnsi"/>
        </w:rPr>
        <w:t xml:space="preserve"> how the council’s IP&amp;R </w:t>
      </w:r>
      <w:r>
        <w:rPr>
          <w:rFonts w:asciiTheme="minorHAnsi" w:hAnsiTheme="minorHAnsi"/>
        </w:rPr>
        <w:t xml:space="preserve">and SV consultation </w:t>
      </w:r>
      <w:r w:rsidRPr="00E5475A">
        <w:rPr>
          <w:rFonts w:asciiTheme="minorHAnsi" w:hAnsiTheme="minorHAnsi"/>
        </w:rPr>
        <w:t>processes</w:t>
      </w:r>
      <w:r>
        <w:rPr>
          <w:rFonts w:asciiTheme="minorHAnsi" w:hAnsiTheme="minorHAnsi"/>
        </w:rPr>
        <w:t xml:space="preserve"> </w:t>
      </w:r>
      <w:r w:rsidRPr="00E5475A">
        <w:rPr>
          <w:rFonts w:asciiTheme="minorHAnsi" w:hAnsiTheme="minorHAnsi"/>
        </w:rPr>
        <w:t xml:space="preserve">have </w:t>
      </w:r>
      <w:r>
        <w:rPr>
          <w:rFonts w:asciiTheme="minorHAnsi" w:hAnsiTheme="minorHAnsi"/>
        </w:rPr>
        <w:t xml:space="preserve">informed the community and enabled appropriate feedback. The community consultation presented a range of scenarios that aligned rates revenue to standards or levels of service. The feedback was agreement to a significant increase but not to the </w:t>
      </w:r>
      <w:r w:rsidR="005E6DCA">
        <w:rPr>
          <w:rFonts w:asciiTheme="minorHAnsi" w:hAnsiTheme="minorHAnsi"/>
        </w:rPr>
        <w:t>level</w:t>
      </w:r>
      <w:r>
        <w:rPr>
          <w:rFonts w:asciiTheme="minorHAnsi" w:hAnsiTheme="minorHAnsi"/>
        </w:rPr>
        <w:t xml:space="preserve"> recommend</w:t>
      </w:r>
      <w:r w:rsidR="005E6DCA">
        <w:rPr>
          <w:rFonts w:asciiTheme="minorHAnsi" w:hAnsiTheme="minorHAnsi"/>
        </w:rPr>
        <w:t>ed</w:t>
      </w:r>
      <w:r>
        <w:rPr>
          <w:rFonts w:asciiTheme="minorHAnsi" w:hAnsiTheme="minorHAnsi"/>
        </w:rPr>
        <w:t>. It is considered that</w:t>
      </w:r>
      <w:r w:rsidRPr="00E5475A">
        <w:rPr>
          <w:rFonts w:asciiTheme="minorHAnsi" w:hAnsiTheme="minorHAnsi"/>
        </w:rPr>
        <w:t xml:space="preserve"> the proposed rate rises are affordable having regard to the community’s capacity and willingness to pay.</w:t>
      </w:r>
    </w:p>
    <w:p w:rsidR="00B21D8F" w:rsidRPr="00E5475A" w:rsidRDefault="00B21D8F" w:rsidP="00B21D8F">
      <w:pPr>
        <w:pStyle w:val="BodyText"/>
        <w:pBdr>
          <w:bottom w:val="single" w:sz="4" w:space="1" w:color="auto"/>
        </w:pBdr>
        <w:ind w:right="-567"/>
        <w:rPr>
          <w:rFonts w:asciiTheme="minorHAnsi" w:hAnsiTheme="minorHAnsi"/>
        </w:rPr>
      </w:pPr>
    </w:p>
    <w:p w:rsidR="00B455F4" w:rsidRPr="00A17554" w:rsidRDefault="00B455F4" w:rsidP="00127990">
      <w:pPr>
        <w:ind w:left="-567"/>
        <w:rPr>
          <w:rFonts w:asciiTheme="minorHAnsi" w:hAnsiTheme="minorHAnsi"/>
          <w:szCs w:val="22"/>
        </w:rPr>
      </w:pPr>
    </w:p>
    <w:p w:rsidR="00D60EA5" w:rsidRPr="00681F80" w:rsidRDefault="00681F80" w:rsidP="00127990">
      <w:pPr>
        <w:pStyle w:val="Heading2"/>
        <w:numPr>
          <w:ilvl w:val="0"/>
          <w:numId w:val="0"/>
        </w:numPr>
        <w:ind w:left="-567"/>
        <w:rPr>
          <w:rFonts w:ascii="Book Antiqua" w:hAnsi="Book Antiqua"/>
          <w:color w:val="auto"/>
          <w:sz w:val="22"/>
          <w:szCs w:val="22"/>
        </w:rPr>
      </w:pPr>
      <w:bookmarkStart w:id="34" w:name="_Toc366160417"/>
      <w:bookmarkStart w:id="35" w:name="_Toc401138375"/>
      <w:r w:rsidRPr="00681F80">
        <w:rPr>
          <w:rFonts w:ascii="Book Antiqua" w:hAnsi="Book Antiqua"/>
          <w:color w:val="548DD4" w:themeColor="text2" w:themeTint="99"/>
          <w:sz w:val="22"/>
          <w:szCs w:val="22"/>
        </w:rPr>
        <w:t xml:space="preserve">5.1 </w:t>
      </w:r>
      <w:r w:rsidR="00D60EA5" w:rsidRPr="00681F80">
        <w:rPr>
          <w:rFonts w:ascii="Book Antiqua" w:hAnsi="Book Antiqua"/>
          <w:color w:val="548DD4" w:themeColor="text2" w:themeTint="99"/>
          <w:sz w:val="22"/>
          <w:szCs w:val="22"/>
        </w:rPr>
        <w:t>Impact on rates</w:t>
      </w:r>
      <w:bookmarkEnd w:id="34"/>
      <w:bookmarkEnd w:id="35"/>
    </w:p>
    <w:p w:rsidR="00D60EA5" w:rsidRPr="00681F80" w:rsidRDefault="00D60EA5" w:rsidP="00D60EA5">
      <w:pPr>
        <w:pStyle w:val="BodyText"/>
        <w:rPr>
          <w:szCs w:val="22"/>
        </w:rPr>
      </w:pPr>
      <w:r w:rsidRPr="00681F80">
        <w:rPr>
          <w:szCs w:val="22"/>
        </w:rPr>
        <w:t xml:space="preserve">Much of the quantitative information we need on the impact of the special variation on </w:t>
      </w:r>
      <w:r w:rsidR="00510428" w:rsidRPr="00681F80">
        <w:rPr>
          <w:szCs w:val="22"/>
        </w:rPr>
        <w:t xml:space="preserve">(General Fund) </w:t>
      </w:r>
      <w:r w:rsidRPr="00681F80">
        <w:rPr>
          <w:szCs w:val="22"/>
        </w:rPr>
        <w:t xml:space="preserve">rate levels will already be contained in Worksheet </w:t>
      </w:r>
      <w:r w:rsidR="00B84AA8" w:rsidRPr="00681F80">
        <w:rPr>
          <w:szCs w:val="22"/>
        </w:rPr>
        <w:t>5</w:t>
      </w:r>
      <w:r w:rsidR="001F1E22" w:rsidRPr="00681F80">
        <w:rPr>
          <w:szCs w:val="22"/>
        </w:rPr>
        <w:t>a and 5b</w:t>
      </w:r>
      <w:r w:rsidR="00B84AA8" w:rsidRPr="00681F80">
        <w:rPr>
          <w:szCs w:val="22"/>
        </w:rPr>
        <w:t xml:space="preserve"> of Part A of the application.</w:t>
      </w:r>
    </w:p>
    <w:p w:rsidR="00D60EA5" w:rsidRPr="00681F80" w:rsidRDefault="00D60EA5" w:rsidP="00D60EA5">
      <w:pPr>
        <w:pStyle w:val="BodyText"/>
        <w:rPr>
          <w:szCs w:val="22"/>
        </w:rPr>
      </w:pPr>
      <w:r w:rsidRPr="00681F80">
        <w:rPr>
          <w:szCs w:val="22"/>
        </w:rPr>
        <w:t>To assist us further, the application should set out the rating structure under the proposed special variation, and how this</w:t>
      </w:r>
      <w:r w:rsidR="006A1B80" w:rsidRPr="00681F80">
        <w:rPr>
          <w:szCs w:val="22"/>
        </w:rPr>
        <w:t xml:space="preserve"> may differ</w:t>
      </w:r>
      <w:r w:rsidRPr="00681F80">
        <w:rPr>
          <w:szCs w:val="22"/>
        </w:rPr>
        <w:t xml:space="preserve"> from the current rating structure, </w:t>
      </w:r>
      <w:r w:rsidR="006A1B80" w:rsidRPr="00681F80">
        <w:rPr>
          <w:szCs w:val="22"/>
        </w:rPr>
        <w:t xml:space="preserve">or that </w:t>
      </w:r>
      <w:r w:rsidRPr="00681F80">
        <w:rPr>
          <w:szCs w:val="22"/>
        </w:rPr>
        <w:t>which would apply if the spec</w:t>
      </w:r>
      <w:r w:rsidR="00B84AA8" w:rsidRPr="00681F80">
        <w:rPr>
          <w:szCs w:val="22"/>
        </w:rPr>
        <w:t>ial variation is not approved.</w:t>
      </w:r>
    </w:p>
    <w:p w:rsidR="00D60EA5" w:rsidRPr="00681F80" w:rsidRDefault="00D60EA5" w:rsidP="00B84AA8">
      <w:pPr>
        <w:pStyle w:val="BodyText"/>
        <w:keepNext/>
        <w:keepLines/>
        <w:rPr>
          <w:szCs w:val="22"/>
        </w:rPr>
      </w:pPr>
      <w:r w:rsidRPr="00681F80">
        <w:rPr>
          <w:szCs w:val="22"/>
        </w:rPr>
        <w:t xml:space="preserve">We recognise that a council may choose to apply an increase differentially among categories of ratepayers.  </w:t>
      </w:r>
      <w:r w:rsidR="00A52804" w:rsidRPr="00681F80">
        <w:rPr>
          <w:szCs w:val="22"/>
        </w:rPr>
        <w:t>If so</w:t>
      </w:r>
      <w:r w:rsidRPr="00681F80">
        <w:rPr>
          <w:szCs w:val="22"/>
        </w:rPr>
        <w:t>, you should explain the rationale for applying the increase differentially among different categories and/or subcategories of ratepayers.  This will be relevant to our assessment of the reasonableness of the impact on ratepayers.</w:t>
      </w:r>
    </w:p>
    <w:p w:rsidR="006A1B80" w:rsidRPr="00681F80" w:rsidRDefault="006A1B80" w:rsidP="00B84AA8">
      <w:pPr>
        <w:pStyle w:val="BodyText"/>
        <w:keepNext/>
        <w:keepLines/>
        <w:rPr>
          <w:szCs w:val="22"/>
        </w:rPr>
      </w:pPr>
      <w:r w:rsidRPr="00681F80">
        <w:rPr>
          <w:szCs w:val="22"/>
        </w:rPr>
        <w:t xml:space="preserve">Councils should also indicate the impact of any </w:t>
      </w:r>
      <w:r w:rsidR="00883F6E" w:rsidRPr="00681F80">
        <w:rPr>
          <w:szCs w:val="22"/>
        </w:rPr>
        <w:t xml:space="preserve">other </w:t>
      </w:r>
      <w:r w:rsidR="00F834EE" w:rsidRPr="00681F80">
        <w:rPr>
          <w:szCs w:val="22"/>
        </w:rPr>
        <w:t xml:space="preserve">anticipated </w:t>
      </w:r>
      <w:r w:rsidRPr="00681F80">
        <w:rPr>
          <w:szCs w:val="22"/>
        </w:rPr>
        <w:t xml:space="preserve">changes </w:t>
      </w:r>
      <w:r w:rsidR="00C774B5" w:rsidRPr="00681F80">
        <w:rPr>
          <w:szCs w:val="22"/>
        </w:rPr>
        <w:t xml:space="preserve">in </w:t>
      </w:r>
      <w:r w:rsidR="00F834EE" w:rsidRPr="00681F80">
        <w:rPr>
          <w:szCs w:val="22"/>
        </w:rPr>
        <w:t xml:space="preserve">the </w:t>
      </w:r>
      <w:r w:rsidR="00C774B5" w:rsidRPr="00681F80">
        <w:rPr>
          <w:szCs w:val="22"/>
        </w:rPr>
        <w:t>rating structure</w:t>
      </w:r>
      <w:r w:rsidRPr="00681F80">
        <w:rPr>
          <w:szCs w:val="22"/>
        </w:rPr>
        <w:t>.</w:t>
      </w:r>
    </w:p>
    <w:p w:rsidR="00681F80" w:rsidRDefault="00681F80" w:rsidP="009C34E6">
      <w:pPr>
        <w:pBdr>
          <w:bottom w:val="single" w:sz="4" w:space="1" w:color="auto"/>
        </w:pBdr>
        <w:rPr>
          <w:rFonts w:asciiTheme="minorHAnsi" w:eastAsiaTheme="minorHAnsi" w:hAnsiTheme="minorHAnsi" w:cstheme="minorBidi"/>
          <w:b/>
          <w:szCs w:val="22"/>
          <w:lang w:eastAsia="en-US"/>
        </w:rPr>
      </w:pPr>
    </w:p>
    <w:p w:rsidR="00734F82" w:rsidRDefault="00681F80" w:rsidP="00B21D8F">
      <w:pPr>
        <w:spacing w:before="240" w:after="200" w:line="280" w:lineRule="atLeast"/>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Council’s</w:t>
      </w:r>
      <w:r w:rsidR="00734F82" w:rsidRPr="00734F82">
        <w:rPr>
          <w:rFonts w:asciiTheme="minorHAnsi" w:eastAsiaTheme="minorHAnsi" w:hAnsiTheme="minorHAnsi" w:cstheme="minorBidi"/>
          <w:b/>
          <w:szCs w:val="22"/>
          <w:lang w:eastAsia="en-US"/>
        </w:rPr>
        <w:t xml:space="preserve"> Rates </w:t>
      </w:r>
      <w:proofErr w:type="spellStart"/>
      <w:proofErr w:type="gramStart"/>
      <w:r w:rsidR="00734F82" w:rsidRPr="00734F82">
        <w:rPr>
          <w:rFonts w:asciiTheme="minorHAnsi" w:eastAsiaTheme="minorHAnsi" w:hAnsiTheme="minorHAnsi" w:cstheme="minorBidi"/>
          <w:b/>
          <w:szCs w:val="22"/>
          <w:lang w:eastAsia="en-US"/>
        </w:rPr>
        <w:t>Modeling</w:t>
      </w:r>
      <w:proofErr w:type="spellEnd"/>
      <w:proofErr w:type="gramEnd"/>
      <w:r w:rsidR="00734F82" w:rsidRPr="00734F82">
        <w:rPr>
          <w:rFonts w:asciiTheme="minorHAnsi" w:eastAsiaTheme="minorHAnsi" w:hAnsiTheme="minorHAnsi" w:cstheme="minorBidi"/>
          <w:b/>
          <w:szCs w:val="22"/>
          <w:lang w:eastAsia="en-US"/>
        </w:rPr>
        <w:t xml:space="preserve"> process</w:t>
      </w:r>
    </w:p>
    <w:p w:rsidR="005E6DCA" w:rsidRPr="005E6DCA" w:rsidRDefault="00B21D8F" w:rsidP="00B21D8F">
      <w:pPr>
        <w:spacing w:before="240" w:after="200" w:line="280" w:lineRule="atLeast"/>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impact of an SV on Gloucester ratepayers was considered as to equitable outcomes and recent categorisation changes. </w:t>
      </w:r>
      <w:r w:rsidR="005E6DCA" w:rsidRPr="005E6DCA">
        <w:rPr>
          <w:rFonts w:asciiTheme="minorHAnsi" w:eastAsiaTheme="minorHAnsi" w:hAnsiTheme="minorHAnsi" w:cstheme="minorBidi"/>
          <w:szCs w:val="22"/>
          <w:lang w:eastAsia="en-US"/>
        </w:rPr>
        <w:t>Background issues</w:t>
      </w:r>
      <w:r>
        <w:rPr>
          <w:rFonts w:asciiTheme="minorHAnsi" w:eastAsiaTheme="minorHAnsi" w:hAnsiTheme="minorHAnsi" w:cstheme="minorBidi"/>
          <w:szCs w:val="22"/>
          <w:lang w:eastAsia="en-US"/>
        </w:rPr>
        <w:t xml:space="preserve"> included</w:t>
      </w:r>
      <w:r w:rsidR="005E6DCA" w:rsidRPr="005E6DCA">
        <w:rPr>
          <w:rFonts w:asciiTheme="minorHAnsi" w:eastAsiaTheme="minorHAnsi" w:hAnsiTheme="minorHAnsi" w:cstheme="minorBidi"/>
          <w:szCs w:val="22"/>
          <w:lang w:eastAsia="en-US"/>
        </w:rPr>
        <w:t>:</w:t>
      </w:r>
    </w:p>
    <w:p w:rsidR="00734F82" w:rsidRPr="00734F82" w:rsidRDefault="00734F82" w:rsidP="0060639F">
      <w:pPr>
        <w:numPr>
          <w:ilvl w:val="0"/>
          <w:numId w:val="27"/>
        </w:numPr>
        <w:spacing w:before="240" w:after="200" w:line="280" w:lineRule="atLeast"/>
        <w:ind w:left="0" w:firstLine="0"/>
        <w:contextualSpacing/>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 xml:space="preserve">The Rate peg for the 2015/16 year has been set at 2.4% by IPART. </w:t>
      </w:r>
    </w:p>
    <w:p w:rsidR="00734F82" w:rsidRPr="00734F82" w:rsidRDefault="00734F82" w:rsidP="0060639F">
      <w:pPr>
        <w:numPr>
          <w:ilvl w:val="0"/>
          <w:numId w:val="27"/>
        </w:numPr>
        <w:spacing w:before="240" w:after="200" w:line="280" w:lineRule="atLeast"/>
        <w:ind w:left="284" w:hanging="284"/>
        <w:contextualSpacing/>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Council has resolved to apply for a special variation of 13% (including the Rate Peg) for 3 years starting in the 2015/16 year.</w:t>
      </w:r>
    </w:p>
    <w:p w:rsidR="00734F82" w:rsidRPr="00734F82" w:rsidRDefault="00734F82" w:rsidP="0060639F">
      <w:pPr>
        <w:numPr>
          <w:ilvl w:val="0"/>
          <w:numId w:val="27"/>
        </w:numPr>
        <w:spacing w:before="240" w:after="200" w:line="280" w:lineRule="atLeast"/>
        <w:ind w:left="284" w:hanging="284"/>
        <w:contextualSpacing/>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 xml:space="preserve"> The Valuer</w:t>
      </w:r>
      <w:r w:rsidR="007504CF">
        <w:rPr>
          <w:rFonts w:asciiTheme="minorHAnsi" w:eastAsiaTheme="minorHAnsi" w:hAnsiTheme="minorHAnsi" w:cstheme="minorBidi"/>
          <w:szCs w:val="22"/>
          <w:lang w:eastAsia="en-US"/>
        </w:rPr>
        <w:t>-</w:t>
      </w:r>
      <w:r w:rsidRPr="00734F82">
        <w:rPr>
          <w:rFonts w:asciiTheme="minorHAnsi" w:eastAsiaTheme="minorHAnsi" w:hAnsiTheme="minorHAnsi" w:cstheme="minorBidi"/>
          <w:szCs w:val="22"/>
          <w:lang w:eastAsia="en-US"/>
        </w:rPr>
        <w:t>General ha</w:t>
      </w:r>
      <w:r w:rsidR="007504CF">
        <w:rPr>
          <w:rFonts w:asciiTheme="minorHAnsi" w:eastAsiaTheme="minorHAnsi" w:hAnsiTheme="minorHAnsi" w:cstheme="minorBidi"/>
          <w:szCs w:val="22"/>
          <w:lang w:eastAsia="en-US"/>
        </w:rPr>
        <w:t>s</w:t>
      </w:r>
      <w:r w:rsidRPr="00734F82">
        <w:rPr>
          <w:rFonts w:asciiTheme="minorHAnsi" w:eastAsiaTheme="minorHAnsi" w:hAnsiTheme="minorHAnsi" w:cstheme="minorBidi"/>
          <w:szCs w:val="22"/>
          <w:lang w:eastAsia="en-US"/>
        </w:rPr>
        <w:t xml:space="preserve"> completed a revaluation of all land in the Gloucester Shire which will come into effect in the 2015/16 year.</w:t>
      </w:r>
    </w:p>
    <w:p w:rsidR="005E6DCA" w:rsidRDefault="005E6DCA" w:rsidP="00B21D8F">
      <w:pPr>
        <w:spacing w:before="240" w:line="280" w:lineRule="atLeast"/>
        <w:rPr>
          <w:rFonts w:asciiTheme="minorHAnsi" w:eastAsiaTheme="minorHAnsi" w:hAnsiTheme="minorHAnsi" w:cstheme="minorBidi"/>
          <w:b/>
          <w:szCs w:val="22"/>
          <w:lang w:eastAsia="en-US"/>
        </w:rPr>
      </w:pPr>
    </w:p>
    <w:p w:rsidR="00734F82" w:rsidRPr="00734F82" w:rsidRDefault="00734F82" w:rsidP="00B21D8F">
      <w:pPr>
        <w:spacing w:before="240" w:line="280" w:lineRule="atLeast"/>
        <w:rPr>
          <w:rFonts w:asciiTheme="minorHAnsi" w:eastAsiaTheme="minorHAnsi" w:hAnsiTheme="minorHAnsi" w:cstheme="minorBidi"/>
          <w:b/>
          <w:szCs w:val="22"/>
          <w:lang w:eastAsia="en-US"/>
        </w:rPr>
      </w:pPr>
      <w:r w:rsidRPr="00734F82">
        <w:rPr>
          <w:rFonts w:asciiTheme="minorHAnsi" w:eastAsiaTheme="minorHAnsi" w:hAnsiTheme="minorHAnsi" w:cstheme="minorBidi"/>
          <w:b/>
          <w:szCs w:val="22"/>
          <w:lang w:eastAsia="en-US"/>
        </w:rPr>
        <w:t>The Revaluation process</w:t>
      </w:r>
    </w:p>
    <w:p w:rsidR="00734F82" w:rsidRPr="00734F82" w:rsidRDefault="00734F82" w:rsidP="00B21D8F">
      <w:pPr>
        <w:spacing w:before="240" w:line="280" w:lineRule="atLeast"/>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 xml:space="preserve">The VG land valuation completed in 2015 financial year saw land values remain similar in all categories except for: </w:t>
      </w:r>
    </w:p>
    <w:p w:rsidR="00734F82" w:rsidRPr="00734F82" w:rsidRDefault="00734F82" w:rsidP="00B21D8F">
      <w:pPr>
        <w:spacing w:before="240" w:line="280" w:lineRule="atLeast"/>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 xml:space="preserve"> - Farmland which saw a 3% drop in overall values</w:t>
      </w:r>
    </w:p>
    <w:p w:rsidR="00734F82" w:rsidRPr="00734F82" w:rsidRDefault="00734F82" w:rsidP="00B21D8F">
      <w:pPr>
        <w:spacing w:before="240" w:line="280" w:lineRule="atLeast"/>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 xml:space="preserve"> - Residential Gloucester which saw an 8% decrease in overall value and </w:t>
      </w:r>
    </w:p>
    <w:p w:rsidR="00734F82" w:rsidRPr="00734F82" w:rsidRDefault="00734F82" w:rsidP="00B21D8F">
      <w:pPr>
        <w:spacing w:before="240" w:line="280" w:lineRule="atLeast"/>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 xml:space="preserve"> - Business commercial/Industrial which saw a 7% decrease in overall value</w:t>
      </w:r>
    </w:p>
    <w:p w:rsidR="001B0189" w:rsidRDefault="00734F82" w:rsidP="001B0189">
      <w:pPr>
        <w:spacing w:before="240" w:line="280" w:lineRule="atLeast"/>
        <w:ind w:left="-567"/>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lastRenderedPageBreak/>
        <w:t>In total the revaluation has seen land values decrease by 3%, mainly fuelled by farmland and residential Gloucester categories which make up 62.6% (42.4% and 20.2% respectively) of overall rates income,  and 70% (57% and 14% respectively) of total land value in the Shire.</w:t>
      </w:r>
    </w:p>
    <w:p w:rsidR="00734F82" w:rsidRPr="00734F82" w:rsidRDefault="00734F82" w:rsidP="001B0189">
      <w:pPr>
        <w:spacing w:before="240" w:line="280" w:lineRule="atLeast"/>
        <w:ind w:left="-567"/>
        <w:rPr>
          <w:rFonts w:asciiTheme="minorHAnsi" w:eastAsiaTheme="minorHAnsi" w:hAnsiTheme="minorHAnsi" w:cstheme="minorBidi"/>
          <w:szCs w:val="22"/>
          <w:lang w:eastAsia="en-US"/>
        </w:rPr>
      </w:pPr>
      <w:proofErr w:type="spellStart"/>
      <w:r w:rsidRPr="00734F82">
        <w:rPr>
          <w:rFonts w:asciiTheme="minorHAnsi" w:eastAsiaTheme="minorHAnsi" w:hAnsiTheme="minorHAnsi" w:cstheme="minorBidi"/>
          <w:b/>
          <w:szCs w:val="22"/>
          <w:lang w:eastAsia="en-US"/>
        </w:rPr>
        <w:t>Modeling</w:t>
      </w:r>
      <w:proofErr w:type="spellEnd"/>
      <w:r w:rsidRPr="00734F82">
        <w:rPr>
          <w:rFonts w:asciiTheme="minorHAnsi" w:eastAsiaTheme="minorHAnsi" w:hAnsiTheme="minorHAnsi" w:cstheme="minorBidi"/>
          <w:b/>
          <w:szCs w:val="22"/>
          <w:lang w:eastAsia="en-US"/>
        </w:rPr>
        <w:t xml:space="preserve"> the new rates for 2015/16</w:t>
      </w:r>
      <w:r w:rsidRPr="00734F82">
        <w:rPr>
          <w:rFonts w:asciiTheme="minorHAnsi" w:eastAsiaTheme="minorHAnsi" w:hAnsiTheme="minorHAnsi" w:cstheme="minorBidi"/>
          <w:szCs w:val="22"/>
          <w:lang w:eastAsia="en-US"/>
        </w:rPr>
        <w:t xml:space="preserve"> </w:t>
      </w:r>
    </w:p>
    <w:p w:rsidR="00734F82" w:rsidRPr="00734F82" w:rsidRDefault="00734F82" w:rsidP="00546232">
      <w:pPr>
        <w:spacing w:before="240" w:line="280" w:lineRule="atLeast"/>
        <w:ind w:left="-567"/>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The following factors have been taken into consideration when modelling the new rate structure:</w:t>
      </w:r>
    </w:p>
    <w:p w:rsidR="00734F82" w:rsidRPr="00734F82" w:rsidRDefault="00734F82" w:rsidP="0060639F">
      <w:pPr>
        <w:numPr>
          <w:ilvl w:val="0"/>
          <w:numId w:val="28"/>
        </w:numPr>
        <w:spacing w:before="240" w:after="200" w:line="280" w:lineRule="atLeast"/>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Average per assessment compared to prior year rates</w:t>
      </w:r>
    </w:p>
    <w:p w:rsidR="00734F82" w:rsidRPr="00734F82" w:rsidRDefault="00734F82" w:rsidP="0060639F">
      <w:pPr>
        <w:numPr>
          <w:ilvl w:val="0"/>
          <w:numId w:val="28"/>
        </w:numPr>
        <w:spacing w:before="240" w:after="200" w:line="280" w:lineRule="atLeast"/>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Percentage make up per rates category (compared to prior year)</w:t>
      </w:r>
    </w:p>
    <w:p w:rsidR="00734F82" w:rsidRPr="00734F82" w:rsidRDefault="00734F82" w:rsidP="0060639F">
      <w:pPr>
        <w:numPr>
          <w:ilvl w:val="0"/>
          <w:numId w:val="28"/>
        </w:numPr>
        <w:spacing w:before="240" w:after="200" w:line="280" w:lineRule="atLeast"/>
        <w:contextualSpacing/>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Percentage land value make up per category (compared to prior year)</w:t>
      </w:r>
    </w:p>
    <w:p w:rsidR="00734F82" w:rsidRPr="00734F82" w:rsidRDefault="00734F82" w:rsidP="0060639F">
      <w:pPr>
        <w:numPr>
          <w:ilvl w:val="0"/>
          <w:numId w:val="28"/>
        </w:numPr>
        <w:spacing w:before="240" w:after="200" w:line="280" w:lineRule="atLeast"/>
        <w:contextualSpacing/>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Average rates paid by all neighbouring councils</w:t>
      </w:r>
    </w:p>
    <w:p w:rsidR="00734F82" w:rsidRPr="00734F82" w:rsidRDefault="00734F82" w:rsidP="00546232">
      <w:pPr>
        <w:spacing w:before="240" w:after="200" w:line="280" w:lineRule="atLeast"/>
        <w:ind w:left="720"/>
        <w:contextualSpacing/>
        <w:rPr>
          <w:rFonts w:asciiTheme="minorHAnsi" w:eastAsiaTheme="minorHAnsi" w:hAnsiTheme="minorHAnsi" w:cstheme="minorBidi"/>
          <w:szCs w:val="22"/>
          <w:lang w:eastAsia="en-US"/>
        </w:rPr>
      </w:pPr>
    </w:p>
    <w:p w:rsidR="00734F82" w:rsidRDefault="00734F82" w:rsidP="00546232">
      <w:pPr>
        <w:spacing w:before="240" w:after="200" w:line="280" w:lineRule="atLeast"/>
        <w:ind w:left="-567"/>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t xml:space="preserve">The following tables show current rates complete with the current % contribution and land values and the structure at a straight 13% increase. It includes an increase in the base of 52% which is also included in the proposed structure. </w:t>
      </w:r>
      <w:r w:rsidR="0019208C">
        <w:rPr>
          <w:rFonts w:asciiTheme="minorHAnsi" w:eastAsiaTheme="minorHAnsi" w:hAnsiTheme="minorHAnsi" w:cstheme="minorBidi"/>
          <w:szCs w:val="22"/>
          <w:lang w:eastAsia="en-US"/>
        </w:rPr>
        <w:t>T</w:t>
      </w:r>
      <w:r w:rsidRPr="00734F82">
        <w:rPr>
          <w:rFonts w:asciiTheme="minorHAnsi" w:eastAsiaTheme="minorHAnsi" w:hAnsiTheme="minorHAnsi" w:cstheme="minorBidi"/>
          <w:szCs w:val="22"/>
          <w:lang w:eastAsia="en-US"/>
        </w:rPr>
        <w:t>he number of assessments and Land values have changed due to the revaluation process.</w:t>
      </w:r>
      <w:bookmarkStart w:id="36" w:name="_MON_1482305528"/>
      <w:bookmarkEnd w:id="36"/>
      <w:r w:rsidR="0019208C">
        <w:rPr>
          <w:rFonts w:asciiTheme="minorHAnsi" w:eastAsiaTheme="minorHAnsi" w:hAnsiTheme="minorHAnsi" w:cstheme="minorBidi"/>
          <w:szCs w:val="22"/>
          <w:lang w:eastAsia="en-US"/>
        </w:rPr>
        <w:t xml:space="preserve"> </w:t>
      </w:r>
    </w:p>
    <w:p w:rsidR="0019208C" w:rsidRDefault="0019208C" w:rsidP="0019208C">
      <w:pPr>
        <w:spacing w:after="200" w:line="276" w:lineRule="auto"/>
        <w:ind w:left="-1701"/>
        <w:jc w:val="center"/>
        <w:sectPr w:rsidR="0019208C" w:rsidSect="0072653A">
          <w:headerReference w:type="even" r:id="rId34"/>
          <w:headerReference w:type="default" r:id="rId35"/>
          <w:footerReference w:type="even" r:id="rId36"/>
          <w:footerReference w:type="default" r:id="rId37"/>
          <w:pgSz w:w="11907" w:h="16840" w:code="9"/>
          <w:pgMar w:top="1134" w:right="992" w:bottom="1418" w:left="1276" w:header="1134" w:footer="284" w:gutter="567"/>
          <w:pgNumType w:start="1"/>
          <w:cols w:space="708"/>
          <w:docGrid w:linePitch="360"/>
        </w:sectPr>
      </w:pPr>
    </w:p>
    <w:p w:rsidR="0019208C" w:rsidRPr="00734F82" w:rsidRDefault="0019208C" w:rsidP="0019208C">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lastRenderedPageBreak/>
        <w:t>Current Rate Structure 2014/15</w:t>
      </w:r>
    </w:p>
    <w:p w:rsidR="0019208C" w:rsidRDefault="0019208C" w:rsidP="0019208C">
      <w:pPr>
        <w:spacing w:after="200" w:line="276" w:lineRule="auto"/>
      </w:pPr>
      <w:r>
        <w:object w:dxaOrig="14871" w:dyaOrig="3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5pt;height:182.6pt" o:ole="">
            <v:imagedata r:id="rId38" o:title=""/>
          </v:shape>
          <o:OLEObject Type="Embed" ProgID="Excel.Sheet.12" ShapeID="_x0000_i1025" DrawAspect="Content" ObjectID="_1485232220" r:id="rId39"/>
        </w:object>
      </w:r>
    </w:p>
    <w:p w:rsidR="0019208C" w:rsidRPr="0019208C" w:rsidRDefault="0019208C" w:rsidP="0019208C">
      <w:pPr>
        <w:spacing w:after="200" w:line="276" w:lineRule="auto"/>
        <w:rPr>
          <w:rFonts w:asciiTheme="minorHAnsi" w:eastAsiaTheme="minorHAnsi" w:hAnsiTheme="minorHAnsi" w:cstheme="minorBidi"/>
          <w:szCs w:val="22"/>
          <w:lang w:eastAsia="en-US"/>
        </w:rPr>
      </w:pPr>
      <w:r w:rsidRPr="0019208C">
        <w:rPr>
          <w:rFonts w:asciiTheme="minorHAnsi" w:eastAsiaTheme="minorHAnsi" w:hAnsiTheme="minorHAnsi" w:cstheme="minorBidi"/>
          <w:szCs w:val="22"/>
          <w:lang w:eastAsia="en-US"/>
        </w:rPr>
        <w:t xml:space="preserve"> Comparison to Neighbouring/Similar Councils (2014/15 rates)</w:t>
      </w:r>
    </w:p>
    <w:p w:rsidR="0019208C" w:rsidRDefault="0019208C" w:rsidP="0019208C">
      <w:pPr>
        <w:spacing w:after="200" w:line="276" w:lineRule="auto"/>
        <w:ind w:left="-1701"/>
        <w:jc w:val="center"/>
        <w:rPr>
          <w:rFonts w:asciiTheme="minorHAnsi" w:eastAsiaTheme="minorHAnsi" w:hAnsiTheme="minorHAnsi" w:cstheme="minorBidi"/>
          <w:szCs w:val="22"/>
          <w:lang w:eastAsia="en-US"/>
        </w:rPr>
      </w:pPr>
    </w:p>
    <w:p w:rsidR="0019208C" w:rsidRDefault="004A6772" w:rsidP="0019208C">
      <w:pPr>
        <w:spacing w:after="200" w:line="276" w:lineRule="auto"/>
        <w:rPr>
          <w:rFonts w:asciiTheme="minorHAnsi" w:eastAsiaTheme="minorHAnsi" w:hAnsiTheme="minorHAnsi" w:cstheme="minorBidi"/>
          <w:szCs w:val="22"/>
          <w:lang w:eastAsia="en-US"/>
        </w:rPr>
      </w:pPr>
      <w:r w:rsidRPr="00734F82">
        <w:rPr>
          <w:rFonts w:asciiTheme="minorHAnsi" w:eastAsiaTheme="minorHAnsi" w:hAnsiTheme="minorHAnsi" w:cstheme="minorBidi"/>
          <w:szCs w:val="22"/>
          <w:lang w:eastAsia="en-US"/>
        </w:rPr>
        <w:object w:dxaOrig="12829" w:dyaOrig="2361">
          <v:shape id="_x0000_i1026" type="#_x0000_t75" style="width:641.45pt;height:118.05pt" o:ole="" o:bordertopcolor="this" o:borderleftcolor="this" o:borderbottomcolor="this" o:borderrightcolor="this">
            <v:imagedata r:id="rId40" o:title=""/>
            <w10:bordertop type="single" width="4"/>
            <w10:borderleft type="single" width="4"/>
            <w10:borderbottom type="single" width="4"/>
            <w10:borderright type="single" width="4"/>
          </v:shape>
          <o:OLEObject Type="Embed" ProgID="Excel.Sheet.12" ShapeID="_x0000_i1026" DrawAspect="Content" ObjectID="_1485232221" r:id="rId41"/>
        </w:object>
      </w:r>
    </w:p>
    <w:p w:rsidR="0019208C" w:rsidRPr="00A17554" w:rsidRDefault="0019208C" w:rsidP="0019208C">
      <w:pPr>
        <w:spacing w:after="200" w:line="276" w:lineRule="auto"/>
        <w:ind w:left="-1701"/>
        <w:jc w:val="center"/>
        <w:rPr>
          <w:rFonts w:asciiTheme="minorHAnsi" w:eastAsiaTheme="minorHAnsi" w:hAnsiTheme="minorHAnsi" w:cstheme="minorBidi"/>
          <w:szCs w:val="22"/>
          <w:lang w:eastAsia="en-US"/>
        </w:rPr>
        <w:sectPr w:rsidR="0019208C" w:rsidRPr="00A17554" w:rsidSect="0019208C">
          <w:pgSz w:w="16840" w:h="11907" w:orient="landscape" w:code="9"/>
          <w:pgMar w:top="992" w:right="1418" w:bottom="1701" w:left="2268" w:header="1134" w:footer="284" w:gutter="567"/>
          <w:pgNumType w:start="1"/>
          <w:cols w:space="708"/>
          <w:docGrid w:linePitch="360"/>
        </w:sectPr>
      </w:pPr>
    </w:p>
    <w:p w:rsidR="004A6772" w:rsidRDefault="004A6772" w:rsidP="00D94E3C">
      <w:pPr>
        <w:pStyle w:val="BodyText"/>
        <w:ind w:left="-567"/>
        <w:jc w:val="left"/>
        <w:rPr>
          <w:rFonts w:asciiTheme="minorHAnsi" w:eastAsiaTheme="minorHAnsi" w:hAnsiTheme="minorHAnsi"/>
          <w:lang w:eastAsia="en-US"/>
        </w:rPr>
      </w:pPr>
      <w:r>
        <w:rPr>
          <w:rFonts w:asciiTheme="minorHAnsi" w:eastAsiaTheme="minorHAnsi" w:hAnsiTheme="minorHAnsi"/>
          <w:lang w:eastAsia="en-US"/>
        </w:rPr>
        <w:lastRenderedPageBreak/>
        <w:t>In commenting on the above comparative data, a</w:t>
      </w:r>
      <w:r w:rsidR="00734F82" w:rsidRPr="00681F80">
        <w:rPr>
          <w:rFonts w:asciiTheme="minorHAnsi" w:eastAsiaTheme="minorHAnsi" w:hAnsiTheme="minorHAnsi"/>
          <w:lang w:eastAsia="en-US"/>
        </w:rPr>
        <w:t xml:space="preserve">verage rates were assessed against Taree, Dungog, Great Lakes, </w:t>
      </w:r>
      <w:proofErr w:type="gramStart"/>
      <w:r w:rsidR="00734F82" w:rsidRPr="00681F80">
        <w:rPr>
          <w:rFonts w:asciiTheme="minorHAnsi" w:eastAsiaTheme="minorHAnsi" w:hAnsiTheme="minorHAnsi"/>
          <w:lang w:eastAsia="en-US"/>
        </w:rPr>
        <w:t>Uralla</w:t>
      </w:r>
      <w:proofErr w:type="gramEnd"/>
      <w:r w:rsidR="00734F82" w:rsidRPr="00681F80">
        <w:rPr>
          <w:rFonts w:asciiTheme="minorHAnsi" w:eastAsiaTheme="minorHAnsi" w:hAnsiTheme="minorHAnsi"/>
          <w:lang w:eastAsia="en-US"/>
        </w:rPr>
        <w:t xml:space="preserve"> &amp; Walcha. </w:t>
      </w:r>
      <w:r w:rsidR="001B0189">
        <w:rPr>
          <w:rFonts w:asciiTheme="minorHAnsi" w:eastAsiaTheme="minorHAnsi" w:hAnsiTheme="minorHAnsi"/>
          <w:lang w:eastAsia="en-US"/>
        </w:rPr>
        <w:t>(</w:t>
      </w:r>
      <w:r w:rsidR="00734F82" w:rsidRPr="00681F80">
        <w:rPr>
          <w:rFonts w:asciiTheme="minorHAnsi" w:eastAsiaTheme="minorHAnsi" w:hAnsiTheme="minorHAnsi"/>
          <w:lang w:eastAsia="en-US"/>
        </w:rPr>
        <w:t>Information from Upper Hunter was not accessible at the time of the assessment</w:t>
      </w:r>
      <w:r w:rsidR="001B0189">
        <w:rPr>
          <w:rFonts w:asciiTheme="minorHAnsi" w:eastAsiaTheme="minorHAnsi" w:hAnsiTheme="minorHAnsi"/>
          <w:lang w:eastAsia="en-US"/>
        </w:rPr>
        <w:t>)</w:t>
      </w:r>
      <w:r w:rsidR="00734F82" w:rsidRPr="00681F80">
        <w:rPr>
          <w:rFonts w:asciiTheme="minorHAnsi" w:eastAsiaTheme="minorHAnsi" w:hAnsiTheme="minorHAnsi"/>
          <w:lang w:eastAsia="en-US"/>
        </w:rPr>
        <w:t xml:space="preserve">. </w:t>
      </w:r>
    </w:p>
    <w:p w:rsidR="004A6772" w:rsidRDefault="00734F82" w:rsidP="00D94E3C">
      <w:pPr>
        <w:pStyle w:val="BodyText"/>
        <w:ind w:left="-567"/>
        <w:jc w:val="left"/>
        <w:rPr>
          <w:rFonts w:asciiTheme="minorHAnsi" w:eastAsiaTheme="minorHAnsi" w:hAnsiTheme="minorHAnsi"/>
          <w:lang w:eastAsia="en-US"/>
        </w:rPr>
      </w:pPr>
      <w:r w:rsidRPr="00681F80">
        <w:rPr>
          <w:rFonts w:asciiTheme="minorHAnsi" w:eastAsiaTheme="minorHAnsi" w:hAnsiTheme="minorHAnsi"/>
          <w:lang w:eastAsia="en-US"/>
        </w:rPr>
        <w:t xml:space="preserve">Average rates were taken for farmland, town, residential rural, village &amp; business. It is noted that exact comparisons are not possible due to the differences in rates structures Councils have in place to deal with different areas of their shires. However it should be noted that for Great Lakes the town rate was taken as the Stroud rate and the village rate was the Nabiac rate as it was seen these urban areas were of best comparison to the Gloucester area. </w:t>
      </w:r>
    </w:p>
    <w:p w:rsidR="00734F82" w:rsidRPr="00681F80" w:rsidRDefault="00734F82" w:rsidP="00D94E3C">
      <w:pPr>
        <w:pStyle w:val="BodyText"/>
        <w:ind w:left="-567"/>
        <w:jc w:val="left"/>
        <w:rPr>
          <w:rFonts w:asciiTheme="minorHAnsi" w:eastAsiaTheme="minorHAnsi" w:hAnsiTheme="minorHAnsi"/>
          <w:lang w:eastAsia="en-US"/>
        </w:rPr>
      </w:pPr>
      <w:r w:rsidRPr="00681F80">
        <w:rPr>
          <w:rFonts w:asciiTheme="minorHAnsi" w:eastAsiaTheme="minorHAnsi" w:hAnsiTheme="minorHAnsi"/>
          <w:lang w:eastAsia="en-US"/>
        </w:rPr>
        <w:t xml:space="preserve">Gloucester generally rated as the 3rd most expensive out of the 6 Council areas, which shows the suspected correlation to the land values of the different shires. Gloucester’s rates for each category were below the average rate for the other 5 shires except for the farmland, business, and residential rural rates (although the residential rural rate was very close to the average). Therefore attention </w:t>
      </w:r>
      <w:r w:rsidR="001B0189">
        <w:rPr>
          <w:rFonts w:asciiTheme="minorHAnsi" w:eastAsiaTheme="minorHAnsi" w:hAnsiTheme="minorHAnsi"/>
          <w:lang w:eastAsia="en-US"/>
        </w:rPr>
        <w:t>was</w:t>
      </w:r>
      <w:r w:rsidRPr="00681F80">
        <w:rPr>
          <w:rFonts w:asciiTheme="minorHAnsi" w:eastAsiaTheme="minorHAnsi" w:hAnsiTheme="minorHAnsi"/>
          <w:lang w:eastAsia="en-US"/>
        </w:rPr>
        <w:t xml:space="preserve"> given to both farmland and business categories when setting the new rates.</w:t>
      </w:r>
    </w:p>
    <w:p w:rsidR="00734F82" w:rsidRPr="00681F80" w:rsidRDefault="00734F82" w:rsidP="00D94E3C">
      <w:pPr>
        <w:pStyle w:val="BodyText"/>
        <w:ind w:left="-567"/>
        <w:jc w:val="left"/>
        <w:rPr>
          <w:rFonts w:asciiTheme="minorHAnsi" w:eastAsiaTheme="minorHAnsi" w:hAnsiTheme="minorHAnsi"/>
          <w:lang w:eastAsia="en-US"/>
        </w:rPr>
      </w:pPr>
      <w:r w:rsidRPr="00681F80">
        <w:rPr>
          <w:rFonts w:asciiTheme="minorHAnsi" w:eastAsiaTheme="minorHAnsi" w:hAnsiTheme="minorHAnsi"/>
          <w:lang w:eastAsia="en-US"/>
        </w:rPr>
        <w:t>The difference in strategy is apparent when comparing different councils side by side, for example Great Lakes put's a higher levy on their residential rates, and lifts the burden from its farmland, but Walcha goes the opposite way and puts the burden on the farmland, leaving the average residential rate much lower. Therefore when setting rates it is apparent that the process must follow the Shires strategic plan, but also take into consideration the average rates set for farmland and business, especially bearing in mind that the land values for both farmland and business have decreased.</w:t>
      </w:r>
    </w:p>
    <w:p w:rsidR="00734F82" w:rsidRPr="00734F82" w:rsidRDefault="00734F82" w:rsidP="00D94E3C">
      <w:pPr>
        <w:spacing w:after="200" w:line="276" w:lineRule="auto"/>
        <w:rPr>
          <w:rFonts w:asciiTheme="minorHAnsi" w:eastAsiaTheme="minorHAnsi" w:hAnsiTheme="minorHAnsi" w:cstheme="minorBidi"/>
          <w:szCs w:val="22"/>
          <w:lang w:eastAsia="en-US"/>
        </w:rPr>
      </w:pPr>
    </w:p>
    <w:p w:rsidR="00734F82" w:rsidRPr="00A17554" w:rsidRDefault="00734F82" w:rsidP="00734F82">
      <w:pPr>
        <w:spacing w:after="200" w:line="276" w:lineRule="auto"/>
        <w:rPr>
          <w:rFonts w:asciiTheme="minorHAnsi" w:eastAsiaTheme="minorHAnsi" w:hAnsiTheme="minorHAnsi" w:cstheme="minorBidi"/>
          <w:szCs w:val="22"/>
          <w:lang w:eastAsia="en-US"/>
        </w:rPr>
        <w:sectPr w:rsidR="00734F82" w:rsidRPr="00A17554" w:rsidSect="005C4769">
          <w:pgSz w:w="11907" w:h="16840" w:code="9"/>
          <w:pgMar w:top="2268" w:right="1701" w:bottom="1418" w:left="1701" w:header="1134" w:footer="284" w:gutter="567"/>
          <w:pgNumType w:start="1"/>
          <w:cols w:space="708"/>
          <w:docGrid w:linePitch="360"/>
        </w:sectPr>
      </w:pPr>
      <w:bookmarkStart w:id="38" w:name="_MON_1482306011"/>
      <w:bookmarkEnd w:id="38"/>
    </w:p>
    <w:p w:rsidR="0019208C" w:rsidRPr="00734F82" w:rsidRDefault="0019208C" w:rsidP="0019208C">
      <w:pPr>
        <w:spacing w:after="200" w:line="276" w:lineRule="auto"/>
        <w:rPr>
          <w:rFonts w:asciiTheme="minorHAnsi" w:eastAsiaTheme="minorHAnsi" w:hAnsiTheme="minorHAnsi" w:cstheme="minorBidi"/>
          <w:b/>
          <w:szCs w:val="22"/>
          <w:lang w:eastAsia="en-US"/>
        </w:rPr>
      </w:pPr>
      <w:r w:rsidRPr="00734F82">
        <w:rPr>
          <w:rFonts w:asciiTheme="minorHAnsi" w:eastAsiaTheme="minorHAnsi" w:hAnsiTheme="minorHAnsi" w:cstheme="minorBidi"/>
          <w:b/>
          <w:szCs w:val="22"/>
          <w:lang w:eastAsia="en-US"/>
        </w:rPr>
        <w:lastRenderedPageBreak/>
        <w:t>P</w:t>
      </w:r>
      <w:r>
        <w:rPr>
          <w:rFonts w:asciiTheme="minorHAnsi" w:eastAsiaTheme="minorHAnsi" w:hAnsiTheme="minorHAnsi" w:cstheme="minorBidi"/>
          <w:b/>
          <w:szCs w:val="22"/>
          <w:lang w:eastAsia="en-US"/>
        </w:rPr>
        <w:t>roposed</w:t>
      </w:r>
      <w:r w:rsidRPr="00734F82">
        <w:rPr>
          <w:rFonts w:asciiTheme="minorHAnsi" w:eastAsiaTheme="minorHAnsi" w:hAnsiTheme="minorHAnsi" w:cstheme="minorBidi"/>
          <w:b/>
          <w:szCs w:val="22"/>
          <w:lang w:eastAsia="en-US"/>
        </w:rPr>
        <w:t xml:space="preserve"> R</w:t>
      </w:r>
      <w:r>
        <w:rPr>
          <w:rFonts w:asciiTheme="minorHAnsi" w:eastAsiaTheme="minorHAnsi" w:hAnsiTheme="minorHAnsi" w:cstheme="minorBidi"/>
          <w:b/>
          <w:szCs w:val="22"/>
          <w:lang w:eastAsia="en-US"/>
        </w:rPr>
        <w:t>ate</w:t>
      </w:r>
      <w:r w:rsidRPr="00734F82">
        <w:rPr>
          <w:rFonts w:asciiTheme="minorHAnsi" w:eastAsiaTheme="minorHAnsi" w:hAnsiTheme="minorHAnsi" w:cstheme="minorBidi"/>
          <w:b/>
          <w:szCs w:val="22"/>
          <w:lang w:eastAsia="en-US"/>
        </w:rPr>
        <w:t xml:space="preserve"> S</w:t>
      </w:r>
      <w:r>
        <w:rPr>
          <w:rFonts w:asciiTheme="minorHAnsi" w:eastAsiaTheme="minorHAnsi" w:hAnsiTheme="minorHAnsi" w:cstheme="minorBidi"/>
          <w:b/>
          <w:szCs w:val="22"/>
          <w:lang w:eastAsia="en-US"/>
        </w:rPr>
        <w:t>tructure for</w:t>
      </w:r>
      <w:r w:rsidRPr="00734F82">
        <w:rPr>
          <w:rFonts w:asciiTheme="minorHAnsi" w:eastAsiaTheme="minorHAnsi" w:hAnsiTheme="minorHAnsi" w:cstheme="minorBidi"/>
          <w:b/>
          <w:szCs w:val="22"/>
          <w:lang w:eastAsia="en-US"/>
        </w:rPr>
        <w:t xml:space="preserve"> 2015/16 </w:t>
      </w:r>
      <w:r w:rsidR="000C1577">
        <w:rPr>
          <w:rFonts w:asciiTheme="minorHAnsi" w:eastAsiaTheme="minorHAnsi" w:hAnsiTheme="minorHAnsi" w:cstheme="minorBidi"/>
          <w:b/>
          <w:szCs w:val="22"/>
          <w:lang w:eastAsia="en-US"/>
        </w:rPr>
        <w:t>including SV of</w:t>
      </w:r>
      <w:r w:rsidRPr="00734F82">
        <w:rPr>
          <w:rFonts w:asciiTheme="minorHAnsi" w:eastAsiaTheme="minorHAnsi" w:hAnsiTheme="minorHAnsi" w:cstheme="minorBidi"/>
          <w:b/>
          <w:szCs w:val="22"/>
          <w:lang w:eastAsia="en-US"/>
        </w:rPr>
        <w:t xml:space="preserve"> 13% (including 2.4% Rate peg) </w:t>
      </w:r>
    </w:p>
    <w:p w:rsidR="00734F82" w:rsidRPr="00A17554" w:rsidRDefault="00734F82" w:rsidP="00734F82">
      <w:pPr>
        <w:spacing w:after="200" w:line="276" w:lineRule="auto"/>
        <w:rPr>
          <w:rFonts w:asciiTheme="minorHAnsi" w:eastAsiaTheme="minorHAnsi" w:hAnsiTheme="minorHAnsi" w:cstheme="minorBidi"/>
          <w:szCs w:val="22"/>
          <w:lang w:eastAsia="en-US"/>
        </w:rPr>
        <w:sectPr w:rsidR="00734F82" w:rsidRPr="00A17554" w:rsidSect="00734F82">
          <w:pgSz w:w="16840" w:h="11907" w:orient="landscape" w:code="9"/>
          <w:pgMar w:top="1701" w:right="1418" w:bottom="1701" w:left="2268" w:header="1134" w:footer="284" w:gutter="567"/>
          <w:pgNumType w:start="1"/>
          <w:cols w:space="708"/>
          <w:docGrid w:linePitch="360"/>
        </w:sectPr>
      </w:pPr>
      <w:r w:rsidRPr="00734F82">
        <w:rPr>
          <w:rFonts w:asciiTheme="minorHAnsi" w:eastAsiaTheme="minorHAnsi" w:hAnsiTheme="minorHAnsi" w:cstheme="minorBidi"/>
          <w:szCs w:val="22"/>
          <w:lang w:eastAsia="en-US"/>
        </w:rPr>
        <w:object w:dxaOrig="15863" w:dyaOrig="4193">
          <v:shape id="_x0000_i1027" type="#_x0000_t75" style="width:680.5pt;height:179.25pt" o:ole="">
            <v:imagedata r:id="rId42" o:title=""/>
          </v:shape>
          <o:OLEObject Type="Embed" ProgID="Excel.Sheet.12" ShapeID="_x0000_i1027" DrawAspect="Content" ObjectID="_1485232222" r:id="rId43"/>
        </w:object>
      </w:r>
    </w:p>
    <w:p w:rsidR="00734F82" w:rsidRPr="00681F80" w:rsidRDefault="00734F82" w:rsidP="00546232">
      <w:pPr>
        <w:pStyle w:val="BodyText"/>
        <w:rPr>
          <w:rFonts w:asciiTheme="minorHAnsi" w:eastAsiaTheme="minorHAnsi" w:hAnsiTheme="minorHAnsi"/>
          <w:lang w:eastAsia="en-US"/>
        </w:rPr>
      </w:pPr>
      <w:r w:rsidRPr="00681F80">
        <w:rPr>
          <w:rFonts w:asciiTheme="minorHAnsi" w:eastAsiaTheme="minorHAnsi" w:hAnsiTheme="minorHAnsi"/>
          <w:lang w:eastAsia="en-US"/>
        </w:rPr>
        <w:lastRenderedPageBreak/>
        <w:t>A 13% increase in rates will substantially increase all rates assessments. To ease the burden on properties with higher values (and those who have seen an increase in land value) the base amount introduced in the prior year at a value of $230 has been increased by 52% to $350. The percentage of base to ad-valorum remains within the 50% limit, the closest being the residential rates which come to 45%. The remaining increase has been added to the ad valorum amount.</w:t>
      </w:r>
    </w:p>
    <w:p w:rsidR="00734F82" w:rsidRPr="00681F80" w:rsidRDefault="00734F82" w:rsidP="00546232">
      <w:pPr>
        <w:pStyle w:val="BodyText"/>
        <w:rPr>
          <w:rFonts w:asciiTheme="minorHAnsi" w:eastAsiaTheme="minorHAnsi" w:hAnsiTheme="minorHAnsi"/>
          <w:lang w:eastAsia="en-US"/>
        </w:rPr>
      </w:pPr>
      <w:r w:rsidRPr="00681F80">
        <w:rPr>
          <w:rFonts w:asciiTheme="minorHAnsi" w:eastAsiaTheme="minorHAnsi" w:hAnsiTheme="minorHAnsi"/>
          <w:lang w:eastAsia="en-US"/>
        </w:rPr>
        <w:t>Over all</w:t>
      </w:r>
      <w:r w:rsidR="001B0189">
        <w:rPr>
          <w:rFonts w:asciiTheme="minorHAnsi" w:eastAsiaTheme="minorHAnsi" w:hAnsiTheme="minorHAnsi"/>
          <w:lang w:eastAsia="en-US"/>
        </w:rPr>
        <w:t>,</w:t>
      </w:r>
      <w:r w:rsidRPr="00681F80">
        <w:rPr>
          <w:rFonts w:asciiTheme="minorHAnsi" w:eastAsiaTheme="minorHAnsi" w:hAnsiTheme="minorHAnsi"/>
          <w:lang w:eastAsia="en-US"/>
        </w:rPr>
        <w:t xml:space="preserve"> increases see most rates increase by 13% except residential village which rise by 15%. This is to equa</w:t>
      </w:r>
      <w:r w:rsidR="001B0189">
        <w:rPr>
          <w:rFonts w:asciiTheme="minorHAnsi" w:eastAsiaTheme="minorHAnsi" w:hAnsiTheme="minorHAnsi"/>
          <w:lang w:eastAsia="en-US"/>
        </w:rPr>
        <w:t>te</w:t>
      </w:r>
      <w:r w:rsidRPr="00681F80">
        <w:rPr>
          <w:rFonts w:asciiTheme="minorHAnsi" w:eastAsiaTheme="minorHAnsi" w:hAnsiTheme="minorHAnsi"/>
          <w:lang w:eastAsia="en-US"/>
        </w:rPr>
        <w:t xml:space="preserve"> the village rates to the town rates</w:t>
      </w:r>
      <w:r w:rsidR="001B0189">
        <w:rPr>
          <w:rFonts w:asciiTheme="minorHAnsi" w:eastAsiaTheme="minorHAnsi" w:hAnsiTheme="minorHAnsi"/>
          <w:lang w:eastAsia="en-US"/>
        </w:rPr>
        <w:t xml:space="preserve"> and access to services</w:t>
      </w:r>
      <w:r w:rsidRPr="00681F80">
        <w:rPr>
          <w:rFonts w:asciiTheme="minorHAnsi" w:eastAsiaTheme="minorHAnsi" w:hAnsiTheme="minorHAnsi"/>
          <w:lang w:eastAsia="en-US"/>
        </w:rPr>
        <w:t xml:space="preserve"> such as library and pool</w:t>
      </w:r>
      <w:r w:rsidR="001B0189">
        <w:rPr>
          <w:rFonts w:asciiTheme="minorHAnsi" w:eastAsiaTheme="minorHAnsi" w:hAnsiTheme="minorHAnsi"/>
          <w:lang w:eastAsia="en-US"/>
        </w:rPr>
        <w:t>. This</w:t>
      </w:r>
      <w:r w:rsidRPr="00681F80">
        <w:rPr>
          <w:rFonts w:asciiTheme="minorHAnsi" w:eastAsiaTheme="minorHAnsi" w:hAnsiTheme="minorHAnsi"/>
          <w:lang w:eastAsia="en-US"/>
        </w:rPr>
        <w:t xml:space="preserve"> strategy </w:t>
      </w:r>
      <w:r w:rsidR="001B0189">
        <w:rPr>
          <w:rFonts w:asciiTheme="minorHAnsi" w:eastAsiaTheme="minorHAnsi" w:hAnsiTheme="minorHAnsi"/>
          <w:lang w:eastAsia="en-US"/>
        </w:rPr>
        <w:t xml:space="preserve">is </w:t>
      </w:r>
      <w:r w:rsidRPr="00681F80">
        <w:rPr>
          <w:rFonts w:asciiTheme="minorHAnsi" w:eastAsiaTheme="minorHAnsi" w:hAnsiTheme="minorHAnsi"/>
          <w:lang w:eastAsia="en-US"/>
        </w:rPr>
        <w:t>used in other Councils.</w:t>
      </w:r>
    </w:p>
    <w:p w:rsidR="00734F82" w:rsidRPr="00681F80" w:rsidRDefault="00734F82" w:rsidP="00546232">
      <w:pPr>
        <w:pStyle w:val="BodyText"/>
        <w:rPr>
          <w:rFonts w:asciiTheme="minorHAnsi" w:eastAsiaTheme="minorHAnsi" w:hAnsiTheme="minorHAnsi"/>
          <w:lang w:eastAsia="en-US"/>
        </w:rPr>
      </w:pPr>
      <w:r w:rsidRPr="00681F80">
        <w:rPr>
          <w:rFonts w:asciiTheme="minorHAnsi" w:eastAsiaTheme="minorHAnsi" w:hAnsiTheme="minorHAnsi"/>
          <w:lang w:eastAsia="en-US"/>
        </w:rPr>
        <w:t xml:space="preserve">Mining (Gold) </w:t>
      </w:r>
      <w:proofErr w:type="gramStart"/>
      <w:r w:rsidRPr="00681F80">
        <w:rPr>
          <w:rFonts w:asciiTheme="minorHAnsi" w:eastAsiaTheme="minorHAnsi" w:hAnsiTheme="minorHAnsi"/>
          <w:lang w:eastAsia="en-US"/>
        </w:rPr>
        <w:t>have</w:t>
      </w:r>
      <w:proofErr w:type="gramEnd"/>
      <w:r w:rsidRPr="00681F80">
        <w:rPr>
          <w:rFonts w:asciiTheme="minorHAnsi" w:eastAsiaTheme="minorHAnsi" w:hAnsiTheme="minorHAnsi"/>
          <w:lang w:eastAsia="en-US"/>
        </w:rPr>
        <w:t xml:space="preserve"> risen by 31% </w:t>
      </w:r>
      <w:r w:rsidR="001B0189">
        <w:rPr>
          <w:rFonts w:asciiTheme="minorHAnsi" w:eastAsiaTheme="minorHAnsi" w:hAnsiTheme="minorHAnsi"/>
          <w:lang w:eastAsia="en-US"/>
        </w:rPr>
        <w:t>which is in line with changes to the base rate.</w:t>
      </w:r>
    </w:p>
    <w:p w:rsidR="00734F82" w:rsidRPr="00681F80" w:rsidRDefault="00734F82" w:rsidP="00546232">
      <w:pPr>
        <w:pStyle w:val="BodyText"/>
        <w:rPr>
          <w:rFonts w:asciiTheme="minorHAnsi" w:eastAsiaTheme="minorHAnsi" w:hAnsiTheme="minorHAnsi"/>
          <w:lang w:eastAsia="en-US"/>
        </w:rPr>
      </w:pPr>
      <w:r w:rsidRPr="00681F80">
        <w:rPr>
          <w:rFonts w:asciiTheme="minorHAnsi" w:eastAsiaTheme="minorHAnsi" w:hAnsiTheme="minorHAnsi"/>
          <w:lang w:eastAsia="en-US"/>
        </w:rPr>
        <w:t>Business and Farmland categories all have a reduced increase of 10% which takes into account the average rates paid compared to surrounding councils</w:t>
      </w:r>
      <w:r w:rsidR="001B0189">
        <w:rPr>
          <w:rFonts w:asciiTheme="minorHAnsi" w:eastAsiaTheme="minorHAnsi" w:hAnsiTheme="minorHAnsi"/>
          <w:lang w:eastAsia="en-US"/>
        </w:rPr>
        <w:t xml:space="preserve"> and recognises</w:t>
      </w:r>
      <w:r w:rsidRPr="00681F80">
        <w:rPr>
          <w:rFonts w:asciiTheme="minorHAnsi" w:eastAsiaTheme="minorHAnsi" w:hAnsiTheme="minorHAnsi"/>
          <w:lang w:eastAsia="en-US"/>
        </w:rPr>
        <w:t xml:space="preserve"> the burden placed on farmers</w:t>
      </w:r>
      <w:r w:rsidR="001B0189">
        <w:rPr>
          <w:rFonts w:asciiTheme="minorHAnsi" w:eastAsiaTheme="minorHAnsi" w:hAnsiTheme="minorHAnsi"/>
          <w:lang w:eastAsia="en-US"/>
        </w:rPr>
        <w:t xml:space="preserve">. This </w:t>
      </w:r>
      <w:r w:rsidRPr="00681F80">
        <w:rPr>
          <w:rFonts w:asciiTheme="minorHAnsi" w:eastAsiaTheme="minorHAnsi" w:hAnsiTheme="minorHAnsi"/>
          <w:lang w:eastAsia="en-US"/>
        </w:rPr>
        <w:t>also counteracts some of the increase borne by Businesses in the prior year, bearing in mind the decrease in land values both these categories have seen in the VG revaluation.</w:t>
      </w:r>
    </w:p>
    <w:p w:rsidR="00734F82" w:rsidRDefault="00734F82" w:rsidP="004A6772">
      <w:pPr>
        <w:pStyle w:val="BodyText"/>
        <w:keepNext/>
        <w:keepLines/>
        <w:pBdr>
          <w:bottom w:val="single" w:sz="4" w:space="1" w:color="auto"/>
        </w:pBdr>
      </w:pPr>
    </w:p>
    <w:p w:rsidR="00D60EA5" w:rsidRPr="00B17EC1" w:rsidRDefault="00D60EA5" w:rsidP="00D60EA5">
      <w:pPr>
        <w:pStyle w:val="Heading3"/>
      </w:pPr>
      <w:r w:rsidRPr="00B17EC1">
        <w:t>Minimum Rates</w:t>
      </w:r>
    </w:p>
    <w:p w:rsidR="00D60EA5" w:rsidRPr="00916FAE" w:rsidRDefault="00D60EA5" w:rsidP="00D60EA5">
      <w:pPr>
        <w:pStyle w:val="BodyText"/>
      </w:pPr>
      <w:r w:rsidRPr="005F72FF">
        <w:t xml:space="preserve">The special variation may </w:t>
      </w:r>
      <w:r w:rsidRPr="00916FAE">
        <w:t>affect ordinary rates, special rates and</w:t>
      </w:r>
      <w:r w:rsidR="00F834EE" w:rsidRPr="00916FAE">
        <w:t>/or</w:t>
      </w:r>
      <w:r w:rsidRPr="00916FAE">
        <w:t xml:space="preserve"> minimum rates.</w:t>
      </w:r>
    </w:p>
    <w:p w:rsidR="00B84AA8" w:rsidRPr="00916FAE"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916FAE" w:rsidTr="00B84AA8">
        <w:tc>
          <w:tcPr>
            <w:tcW w:w="5211" w:type="dxa"/>
          </w:tcPr>
          <w:p w:rsidR="00B84AA8" w:rsidRPr="00916FAE" w:rsidRDefault="00B84AA8" w:rsidP="00B84AA8">
            <w:pPr>
              <w:pStyle w:val="TableTextEntries"/>
            </w:pPr>
            <w:r w:rsidRPr="00916FAE">
              <w:t xml:space="preserve">Does the council have </w:t>
            </w:r>
            <w:r w:rsidR="00F834EE" w:rsidRPr="00916FAE">
              <w:t xml:space="preserve">residential </w:t>
            </w:r>
            <w:r w:rsidRPr="00916FAE">
              <w:t>minimum rates?</w:t>
            </w:r>
          </w:p>
        </w:tc>
        <w:tc>
          <w:tcPr>
            <w:tcW w:w="1701" w:type="dxa"/>
          </w:tcPr>
          <w:p w:rsidR="00B84AA8" w:rsidRPr="00916FAE" w:rsidRDefault="00B84AA8" w:rsidP="00B84AA8">
            <w:pPr>
              <w:pStyle w:val="TableTextEntries"/>
            </w:pPr>
            <w:r w:rsidRPr="00916FAE">
              <w:t xml:space="preserve">Yes </w:t>
            </w:r>
            <w:r w:rsidRPr="00916FAE">
              <w:fldChar w:fldCharType="begin">
                <w:ffData>
                  <w:name w:val="Check6"/>
                  <w:enabled/>
                  <w:calcOnExit w:val="0"/>
                  <w:checkBox>
                    <w:sizeAuto/>
                    <w:default w:val="0"/>
                  </w:checkBox>
                </w:ffData>
              </w:fldChar>
            </w:r>
            <w:r w:rsidRPr="00916FAE">
              <w:instrText xml:space="preserve"> FORMCHECKBOX </w:instrText>
            </w:r>
            <w:r w:rsidR="00E71F8D">
              <w:fldChar w:fldCharType="separate"/>
            </w:r>
            <w:r w:rsidRPr="00916FAE">
              <w:fldChar w:fldCharType="end"/>
            </w:r>
            <w:r w:rsidRPr="00916FAE">
              <w:t xml:space="preserve"> </w:t>
            </w:r>
          </w:p>
        </w:tc>
        <w:tc>
          <w:tcPr>
            <w:tcW w:w="1242" w:type="dxa"/>
          </w:tcPr>
          <w:p w:rsidR="00B84AA8" w:rsidRPr="00916FAE" w:rsidRDefault="00B84AA8" w:rsidP="00B84AA8">
            <w:pPr>
              <w:pStyle w:val="TableTextEntries"/>
              <w:rPr>
                <w:rFonts w:ascii="Myriad Pro" w:hAnsi="Myriad Pro"/>
                <w:sz w:val="24"/>
              </w:rPr>
            </w:pPr>
            <w:r w:rsidRPr="00916FAE">
              <w:t xml:space="preserve">No </w:t>
            </w:r>
            <w:r w:rsidR="004A6772" w:rsidRPr="004A6772">
              <w:rPr>
                <w:b/>
              </w:rPr>
              <w:t>X</w:t>
            </w:r>
            <w:r w:rsidRPr="00916FAE">
              <w:fldChar w:fldCharType="begin">
                <w:ffData>
                  <w:name w:val="Check7"/>
                  <w:enabled/>
                  <w:calcOnExit w:val="0"/>
                  <w:checkBox>
                    <w:sizeAuto/>
                    <w:default w:val="0"/>
                  </w:checkBox>
                </w:ffData>
              </w:fldChar>
            </w:r>
            <w:r w:rsidRPr="00916FAE">
              <w:instrText xml:space="preserve"> FORMCHECKBOX </w:instrText>
            </w:r>
            <w:r w:rsidR="00E71F8D">
              <w:fldChar w:fldCharType="separate"/>
            </w:r>
            <w:r w:rsidRPr="00916FAE">
              <w:fldChar w:fldCharType="end"/>
            </w:r>
          </w:p>
        </w:tc>
      </w:tr>
    </w:tbl>
    <w:p w:rsidR="009B31B5" w:rsidRPr="00916FAE" w:rsidRDefault="009B31B5" w:rsidP="009B31B5">
      <w:pPr>
        <w:pStyle w:val="TableTextEntries"/>
      </w:pPr>
    </w:p>
    <w:p w:rsidR="002C26DA" w:rsidRPr="00916FAE" w:rsidRDefault="00D60EA5" w:rsidP="009B31B5">
      <w:pPr>
        <w:pStyle w:val="TableTextEntries"/>
      </w:pPr>
      <w:r w:rsidRPr="00916FAE">
        <w:t xml:space="preserve">If </w:t>
      </w:r>
      <w:r w:rsidRPr="00916FAE">
        <w:rPr>
          <w:i/>
        </w:rPr>
        <w:t>Yes</w:t>
      </w:r>
      <w:r w:rsidRPr="00916FAE">
        <w:t xml:space="preserve">, </w:t>
      </w:r>
      <w:r w:rsidR="002C26DA" w:rsidRPr="00916FAE">
        <w:t xml:space="preserve">Does the council propose to increase the minimum </w:t>
      </w:r>
      <w:r w:rsidR="00F834EE" w:rsidRPr="00916FAE">
        <w:t xml:space="preserve">residential </w:t>
      </w:r>
      <w:r w:rsidR="002C26DA" w:rsidRPr="00916FAE">
        <w:t>rate by:</w:t>
      </w:r>
    </w:p>
    <w:p w:rsidR="009B31B5" w:rsidRPr="00916FAE" w:rsidRDefault="009B31B5" w:rsidP="009B31B5">
      <w:pPr>
        <w:pStyle w:val="TableTextEntries"/>
      </w:pPr>
    </w:p>
    <w:p w:rsidR="002C26DA" w:rsidRPr="00916FAE" w:rsidRDefault="002C26DA" w:rsidP="00A76C55">
      <w:pPr>
        <w:pStyle w:val="TableTextEntries"/>
        <w:ind w:firstLine="284"/>
      </w:pPr>
      <w:r w:rsidRPr="00916FAE">
        <w:t xml:space="preserve">The rate peg </w:t>
      </w:r>
      <w:r w:rsidR="00F834EE" w:rsidRPr="00916FAE">
        <w:t>percentage</w:t>
      </w:r>
      <w:r w:rsidR="00DF532D" w:rsidRPr="00916FAE">
        <w:t xml:space="preserve"> </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E71F8D">
        <w:fldChar w:fldCharType="separate"/>
      </w:r>
      <w:r w:rsidRPr="00916FAE">
        <w:fldChar w:fldCharType="end"/>
      </w:r>
    </w:p>
    <w:p w:rsidR="002C26DA" w:rsidRPr="00916FAE" w:rsidRDefault="002C26DA" w:rsidP="00A76C55">
      <w:pPr>
        <w:pStyle w:val="TableTextEntries"/>
        <w:ind w:firstLine="284"/>
      </w:pPr>
      <w:r w:rsidRPr="00916FAE">
        <w:t xml:space="preserve">The special variation </w:t>
      </w:r>
      <w:r w:rsidR="00F834EE" w:rsidRPr="00916FAE">
        <w:t>percentage</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E71F8D">
        <w:fldChar w:fldCharType="separate"/>
      </w:r>
      <w:r w:rsidRPr="00916FAE">
        <w:fldChar w:fldCharType="end"/>
      </w:r>
    </w:p>
    <w:p w:rsidR="002C26DA" w:rsidRPr="00916FAE" w:rsidRDefault="00DF532D" w:rsidP="00A76C55">
      <w:pPr>
        <w:pStyle w:val="TableTextEntries"/>
        <w:ind w:firstLine="284"/>
      </w:pPr>
      <w:r w:rsidRPr="00916FAE">
        <w:t xml:space="preserve">Another amount </w:t>
      </w:r>
      <w:r w:rsidR="002C26DA" w:rsidRPr="00916FAE">
        <w:t xml:space="preserve"> </w:t>
      </w:r>
      <w:r w:rsidR="002C26DA" w:rsidRPr="00916FAE">
        <w:fldChar w:fldCharType="begin">
          <w:ffData>
            <w:name w:val="Check6"/>
            <w:enabled/>
            <w:calcOnExit w:val="0"/>
            <w:checkBox>
              <w:sizeAuto/>
              <w:default w:val="0"/>
            </w:checkBox>
          </w:ffData>
        </w:fldChar>
      </w:r>
      <w:r w:rsidR="002C26DA" w:rsidRPr="00916FAE">
        <w:instrText xml:space="preserve"> FORMCHECKBOX </w:instrText>
      </w:r>
      <w:r w:rsidR="00E71F8D">
        <w:fldChar w:fldCharType="separate"/>
      </w:r>
      <w:r w:rsidR="002C26DA" w:rsidRPr="00916FAE">
        <w:fldChar w:fldCharType="end"/>
      </w:r>
      <w:r w:rsidR="00ED5959" w:rsidRPr="00916FAE">
        <w:t xml:space="preserve">   Indicate this amount _____________</w:t>
      </w:r>
    </w:p>
    <w:p w:rsidR="009B31B5" w:rsidRPr="00916FAE" w:rsidRDefault="009B31B5" w:rsidP="009B31B5">
      <w:pPr>
        <w:pStyle w:val="TableTextEntries"/>
      </w:pPr>
    </w:p>
    <w:p w:rsidR="00C774B5" w:rsidRDefault="00C774B5" w:rsidP="00A76C55">
      <w:pPr>
        <w:pStyle w:val="TableTextEntries"/>
      </w:pPr>
      <w:r w:rsidRPr="00916FAE">
        <w:t xml:space="preserve">What will the </w:t>
      </w:r>
      <w:r w:rsidR="00F834EE" w:rsidRPr="00916FAE">
        <w:t xml:space="preserve">residential </w:t>
      </w:r>
      <w:r w:rsidRPr="00916FAE">
        <w:t>minimum rate be after the increase? _________</w:t>
      </w:r>
    </w:p>
    <w:p w:rsidR="002C26DA" w:rsidRDefault="00916FAE" w:rsidP="00D60EA5">
      <w:pPr>
        <w:pStyle w:val="BodyText"/>
      </w:pPr>
      <w:r>
        <w:t>The council must e</w:t>
      </w:r>
      <w:r w:rsidR="00DF532D">
        <w:t xml:space="preserve">xplain how the proposed special variation will apply to the minimum rate of any ordinary and special rate, and any change to the proportion of ratepayers on the minimum rate for all relevant </w:t>
      </w:r>
      <w:r w:rsidR="00BB67E7">
        <w:t xml:space="preserve">rating </w:t>
      </w:r>
      <w:r w:rsidR="00DF532D" w:rsidRPr="00525B8C">
        <w:t>categories that will occur as a result.</w:t>
      </w:r>
    </w:p>
    <w:p w:rsidR="00D60EA5" w:rsidRDefault="00916FAE" w:rsidP="00D60EA5">
      <w:pPr>
        <w:pStyle w:val="BodyText"/>
      </w:pPr>
      <w:r w:rsidRPr="00916FAE">
        <w:t>You should also e</w:t>
      </w:r>
      <w:r w:rsidR="00D60EA5" w:rsidRPr="00916FAE">
        <w:t>xplain the types of ratepayers</w:t>
      </w:r>
      <w:r w:rsidR="009B31B5" w:rsidRPr="00916FAE">
        <w:t xml:space="preserve"> or properties</w:t>
      </w:r>
      <w:r w:rsidR="00D60EA5" w:rsidRPr="00916FAE">
        <w:t xml:space="preserve"> </w:t>
      </w:r>
      <w:r w:rsidR="009B31B5" w:rsidRPr="00916FAE">
        <w:t xml:space="preserve">currently paying </w:t>
      </w:r>
      <w:r w:rsidR="00D60EA5" w:rsidRPr="00916FAE">
        <w:t xml:space="preserve">minimum rates, and the rationale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Pr="00B17EC1" w:rsidRDefault="001C6AB3" w:rsidP="00D60EA5">
      <w:pPr>
        <w:pStyle w:val="Heading2"/>
      </w:pPr>
      <w:bookmarkStart w:id="39" w:name="_Toc366160418"/>
      <w:bookmarkStart w:id="40" w:name="_Toc401138376"/>
      <w:r>
        <w:lastRenderedPageBreak/>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9"/>
      <w:bookmarkEnd w:id="40"/>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factors that could better explain the impact on ratepayers affected by the proposed rate increases, particularly if the impact varies across different categories of ratepayers.</w:t>
      </w:r>
    </w:p>
    <w:p w:rsidR="006A1B80" w:rsidRDefault="006A1B80" w:rsidP="00747C60">
      <w:pPr>
        <w:pStyle w:val="BodyText"/>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9C34E6" w:rsidRDefault="009C34E6" w:rsidP="00747C60">
      <w:pPr>
        <w:pStyle w:val="BodyText"/>
      </w:pPr>
    </w:p>
    <w:p w:rsidR="009C34E6" w:rsidRDefault="009C34E6" w:rsidP="009C34E6">
      <w:pPr>
        <w:pStyle w:val="BodyText"/>
      </w:pPr>
      <w:r>
        <w:rPr>
          <w:noProof/>
        </w:rPr>
        <mc:AlternateContent>
          <mc:Choice Requires="wps">
            <w:drawing>
              <wp:anchor distT="0" distB="0" distL="114300" distR="114300" simplePos="0" relativeHeight="251672576" behindDoc="0" locked="0" layoutInCell="1" allowOverlap="1" wp14:anchorId="328935BA" wp14:editId="54DEF5B1">
                <wp:simplePos x="0" y="0"/>
                <wp:positionH relativeFrom="column">
                  <wp:align>center</wp:align>
                </wp:positionH>
                <wp:positionV relativeFrom="paragraph">
                  <wp:posOffset>0</wp:posOffset>
                </wp:positionV>
                <wp:extent cx="5420079" cy="350874"/>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079" cy="350874"/>
                        </a:xfrm>
                        <a:prstGeom prst="rect">
                          <a:avLst/>
                        </a:prstGeom>
                        <a:solidFill>
                          <a:srgbClr val="FFFFFF"/>
                        </a:solidFill>
                        <a:ln w="9525">
                          <a:solidFill>
                            <a:srgbClr val="000000"/>
                          </a:solidFill>
                          <a:miter lim="800000"/>
                          <a:headEnd/>
                          <a:tailEnd/>
                        </a:ln>
                      </wps:spPr>
                      <wps:txbx>
                        <w:txbxContent>
                          <w:p w:rsidR="009C34E6" w:rsidRPr="009C34E6" w:rsidRDefault="009C34E6">
                            <w:pPr>
                              <w:rPr>
                                <w:rFonts w:asciiTheme="minorHAnsi" w:hAnsiTheme="minorHAnsi"/>
                              </w:rPr>
                            </w:pPr>
                            <w:r w:rsidRPr="009C34E6">
                              <w:rPr>
                                <w:rFonts w:asciiTheme="minorHAnsi" w:hAnsiTheme="minorHAnsi"/>
                              </w:rPr>
                              <w:t>See section 5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6.8pt;height:27.6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">
                <v:textbox>
                  <w:txbxContent>
                    <w:p w:rsidR="009C34E6" w:rsidRPr="009C34E6" w:rsidRDefault="009C34E6">
                      <w:pPr>
                        <w:rPr>
                          <w:rFonts w:asciiTheme="minorHAnsi" w:hAnsiTheme="minorHAnsi"/>
                        </w:rPr>
                      </w:pPr>
                      <w:r w:rsidRPr="009C34E6">
                        <w:rPr>
                          <w:rFonts w:asciiTheme="minorHAnsi" w:hAnsiTheme="minorHAnsi"/>
                        </w:rPr>
                        <w:t>See section 5 above</w:t>
                      </w:r>
                    </w:p>
                  </w:txbxContent>
                </v:textbox>
              </v:shape>
            </w:pict>
          </mc:Fallback>
        </mc:AlternateContent>
      </w:r>
    </w:p>
    <w:p w:rsidR="009C34E6" w:rsidRDefault="009C34E6" w:rsidP="009C34E6">
      <w:pPr>
        <w:pStyle w:val="BodyText"/>
      </w:pPr>
    </w:p>
    <w:p w:rsidR="009C34E6" w:rsidRDefault="009C34E6" w:rsidP="009C34E6">
      <w:pPr>
        <w:pStyle w:val="BodyText"/>
      </w:pPr>
    </w:p>
    <w:p w:rsidR="00D60EA5" w:rsidRDefault="00D60EA5" w:rsidP="006A1B80">
      <w:pPr>
        <w:pStyle w:val="Heading2"/>
      </w:pPr>
      <w:bookmarkStart w:id="41" w:name="_Toc401138377"/>
      <w:r w:rsidRPr="00B17EC1">
        <w:t>Addressing hardship</w:t>
      </w:r>
      <w:bookmarkEnd w:id="41"/>
    </w:p>
    <w:p w:rsidR="00D60EA5" w:rsidRDefault="00D60EA5" w:rsidP="00D60EA5">
      <w:pPr>
        <w:pStyle w:val="BodyText"/>
      </w:pPr>
      <w:r w:rsidRPr="005F72FF">
        <w:t>In addition to the statutory requirement for p</w:t>
      </w:r>
      <w:r w:rsidR="00FC2116">
        <w:t xml:space="preserve">ensioner rebates, most councils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tblLook w:val="01E0" w:firstRow="1" w:lastRow="1" w:firstColumn="1" w:lastColumn="1" w:noHBand="0" w:noVBand="0"/>
      </w:tblPr>
      <w:tblGrid>
        <w:gridCol w:w="6487"/>
        <w:gridCol w:w="851"/>
        <w:gridCol w:w="816"/>
      </w:tblGrid>
      <w:tr w:rsidR="00B84AA8" w:rsidTr="00EA2EEF">
        <w:tc>
          <w:tcPr>
            <w:tcW w:w="6487" w:type="dxa"/>
          </w:tcPr>
          <w:p w:rsidR="00B84AA8" w:rsidRPr="00B84AA8" w:rsidRDefault="00B84AA8" w:rsidP="00B84AA8">
            <w:pPr>
              <w:pStyle w:val="TableTextEntries"/>
            </w:pPr>
            <w:r w:rsidRPr="00B84AA8">
              <w:t>Doe</w:t>
            </w:r>
            <w:r>
              <w:t>s</w:t>
            </w:r>
            <w:r w:rsidRPr="00B84AA8">
              <w:t xml:space="preserve"> the council have a Hardship Policy?</w:t>
            </w:r>
          </w:p>
        </w:tc>
        <w:tc>
          <w:tcPr>
            <w:tcW w:w="851" w:type="dxa"/>
          </w:tcPr>
          <w:p w:rsidR="00B84AA8" w:rsidRPr="00B84AA8" w:rsidRDefault="00B84AA8" w:rsidP="004A6772">
            <w:pPr>
              <w:pStyle w:val="TableTextEntries"/>
              <w:rPr>
                <w:rFonts w:cs="Arial"/>
              </w:rPr>
            </w:pPr>
            <w:r w:rsidRPr="00B84AA8">
              <w:rPr>
                <w:rFonts w:cs="Arial"/>
              </w:rPr>
              <w:t xml:space="preserve">Yes </w:t>
            </w:r>
            <w:r w:rsidR="004A6772" w:rsidRPr="004A6772">
              <w:rPr>
                <w:rFonts w:cs="Arial"/>
                <w:b/>
              </w:rPr>
              <w:t>X</w:t>
            </w:r>
            <w:r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E71F8D">
              <w:rPr>
                <w:rFonts w:cs="Arial"/>
              </w:rPr>
            </w:r>
            <w:r w:rsidR="00E71F8D">
              <w:rPr>
                <w:rFonts w:cs="Arial"/>
              </w:rPr>
              <w:fldChar w:fldCharType="separate"/>
            </w:r>
            <w:r w:rsidRPr="00B84AA8">
              <w:rPr>
                <w:rFonts w:cs="Arial"/>
              </w:rPr>
              <w:fldChar w:fldCharType="end"/>
            </w:r>
          </w:p>
        </w:tc>
        <w:tc>
          <w:tcPr>
            <w:tcW w:w="816" w:type="dxa"/>
            <w:vAlign w:val="bottom"/>
          </w:tcPr>
          <w:p w:rsidR="00B84AA8" w:rsidRPr="00B84AA8" w:rsidRDefault="00B84AA8"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E71F8D">
              <w:rPr>
                <w:rFonts w:cs="Arial"/>
              </w:rPr>
            </w:r>
            <w:r w:rsidR="00E71F8D">
              <w:rPr>
                <w:rFonts w:cs="Arial"/>
              </w:rPr>
              <w:fldChar w:fldCharType="separate"/>
            </w:r>
            <w:r w:rsidRPr="00B84AA8">
              <w:rPr>
                <w:rFonts w:cs="Arial"/>
              </w:rPr>
              <w:fldChar w:fldCharType="end"/>
            </w:r>
          </w:p>
        </w:tc>
      </w:tr>
      <w:tr w:rsidR="00284554" w:rsidTr="00651445">
        <w:tc>
          <w:tcPr>
            <w:tcW w:w="6487"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51" w:type="dxa"/>
          </w:tcPr>
          <w:p w:rsidR="00284554" w:rsidRPr="00B84AA8" w:rsidRDefault="00284554" w:rsidP="00651445">
            <w:pPr>
              <w:pStyle w:val="TableTextEntries"/>
              <w:rPr>
                <w:rFonts w:cs="Arial"/>
              </w:rPr>
            </w:pPr>
            <w:r w:rsidRPr="00B84AA8">
              <w:rPr>
                <w:rFonts w:cs="Arial"/>
              </w:rPr>
              <w:t xml:space="preserve">Yes </w:t>
            </w:r>
            <w:r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E71F8D">
              <w:rPr>
                <w:rFonts w:cs="Arial"/>
              </w:rPr>
            </w:r>
            <w:r w:rsidR="00E71F8D">
              <w:rPr>
                <w:rFonts w:cs="Arial"/>
              </w:rPr>
              <w:fldChar w:fldCharType="separate"/>
            </w:r>
            <w:r w:rsidRPr="00B84AA8">
              <w:rPr>
                <w:rFonts w:cs="Arial"/>
              </w:rPr>
              <w:fldChar w:fldCharType="end"/>
            </w:r>
          </w:p>
        </w:tc>
        <w:tc>
          <w:tcPr>
            <w:tcW w:w="816" w:type="dxa"/>
            <w:vAlign w:val="bottom"/>
          </w:tcPr>
          <w:p w:rsidR="00284554" w:rsidRPr="00B84AA8" w:rsidRDefault="00284554" w:rsidP="00651445">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E71F8D">
              <w:rPr>
                <w:rFonts w:cs="Arial"/>
              </w:rPr>
            </w:r>
            <w:r w:rsidR="00E71F8D">
              <w:rPr>
                <w:rFonts w:cs="Arial"/>
              </w:rPr>
              <w:fldChar w:fldCharType="separate"/>
            </w:r>
            <w:r w:rsidRPr="00B84AA8">
              <w:rPr>
                <w:rFonts w:cs="Arial"/>
              </w:rPr>
              <w:fldChar w:fldCharType="end"/>
            </w:r>
          </w:p>
        </w:tc>
      </w:tr>
      <w:tr w:rsidR="00284554" w:rsidTr="00EA2EEF">
        <w:tc>
          <w:tcPr>
            <w:tcW w:w="6487" w:type="dxa"/>
          </w:tcPr>
          <w:p w:rsidR="00284554" w:rsidRPr="00B84AA8" w:rsidRDefault="00284554" w:rsidP="00B84AA8">
            <w:pPr>
              <w:pStyle w:val="TableTextEntries"/>
            </w:pPr>
            <w:r w:rsidRPr="00B84AA8">
              <w:t>Does the council propose to introduce any measures to limit the impact of the propo</w:t>
            </w:r>
            <w:r w:rsidR="009B31B5">
              <w:t>sed special variation on specific</w:t>
            </w:r>
            <w:r>
              <w:t xml:space="preserve"> groups</w:t>
            </w:r>
            <w:r w:rsidR="00827C5F">
              <w:t xml:space="preserve"> in the community</w:t>
            </w:r>
            <w:r>
              <w:t>?</w:t>
            </w:r>
          </w:p>
        </w:tc>
        <w:tc>
          <w:tcPr>
            <w:tcW w:w="851" w:type="dxa"/>
          </w:tcPr>
          <w:p w:rsidR="00284554" w:rsidRPr="00B84AA8" w:rsidRDefault="00284554" w:rsidP="00B84AA8">
            <w:pPr>
              <w:pStyle w:val="TableTextEntries"/>
            </w:pPr>
            <w:r w:rsidRPr="00B84AA8">
              <w:rPr>
                <w:rFonts w:cs="Arial"/>
              </w:rPr>
              <w:t xml:space="preserve">Yes </w:t>
            </w:r>
            <w:r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E71F8D">
              <w:rPr>
                <w:rFonts w:cs="Arial"/>
              </w:rPr>
            </w:r>
            <w:r w:rsidR="00E71F8D">
              <w:rPr>
                <w:rFonts w:cs="Arial"/>
              </w:rPr>
              <w:fldChar w:fldCharType="separate"/>
            </w:r>
            <w:r w:rsidRPr="00B84AA8">
              <w:rPr>
                <w:rFonts w:cs="Arial"/>
              </w:rPr>
              <w:fldChar w:fldCharType="end"/>
            </w:r>
          </w:p>
        </w:tc>
        <w:tc>
          <w:tcPr>
            <w:tcW w:w="816" w:type="dxa"/>
          </w:tcPr>
          <w:p w:rsidR="00284554" w:rsidRPr="00B84AA8" w:rsidRDefault="00284554"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E71F8D">
              <w:rPr>
                <w:rFonts w:cs="Arial"/>
              </w:rPr>
            </w:r>
            <w:r w:rsidR="00E71F8D">
              <w:rPr>
                <w:rFonts w:cs="Arial"/>
              </w:rPr>
              <w:fldChar w:fldCharType="separate"/>
            </w:r>
            <w:r w:rsidRPr="00B84AA8">
              <w:rPr>
                <w:rFonts w:cs="Arial"/>
              </w:rPr>
              <w:fldChar w:fldCharType="end"/>
            </w:r>
          </w:p>
        </w:tc>
      </w:tr>
    </w:tbl>
    <w:p w:rsidR="00CA35DF" w:rsidRPr="00B17EC1" w:rsidRDefault="00916FAE" w:rsidP="00CA35DF">
      <w:pPr>
        <w:pStyle w:val="BodyText"/>
      </w:pPr>
      <w:r w:rsidRPr="00916FAE">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D60EA5">
      <w:pPr>
        <w:pStyle w:val="BodyText"/>
      </w:pPr>
      <w:r>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D60EA5">
      <w:pPr>
        <w:pStyle w:val="BodyText"/>
      </w:pPr>
      <w:r w:rsidRPr="00303275">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4A6772" w:rsidRDefault="004A6772" w:rsidP="004A6772">
      <w:pPr>
        <w:pStyle w:val="BodyText"/>
        <w:pBdr>
          <w:bottom w:val="single" w:sz="4" w:space="1" w:color="auto"/>
        </w:pBdr>
      </w:pPr>
    </w:p>
    <w:p w:rsidR="00E05E2D" w:rsidRDefault="009C34E6" w:rsidP="004A6772">
      <w:pPr>
        <w:spacing w:after="200" w:line="360" w:lineRule="auto"/>
        <w:rPr>
          <w:rFonts w:asciiTheme="minorHAnsi" w:hAnsiTheme="minorHAnsi"/>
          <w:szCs w:val="22"/>
        </w:rPr>
      </w:pPr>
      <w:r>
        <w:rPr>
          <w:rFonts w:asciiTheme="minorHAnsi" w:hAnsiTheme="minorHAnsi"/>
          <w:szCs w:val="22"/>
        </w:rPr>
        <w:t>Council’s</w:t>
      </w:r>
      <w:r w:rsidR="00E05E2D" w:rsidRPr="00E05E2D">
        <w:rPr>
          <w:rFonts w:asciiTheme="minorHAnsi" w:hAnsiTheme="minorHAnsi"/>
          <w:szCs w:val="22"/>
        </w:rPr>
        <w:t xml:space="preserve"> Hardship Policy is designed to provide a decision making framework to assess financial assistance requests from ratepayers who may experience genuine financial hardship with payment of rates and charges.</w:t>
      </w:r>
    </w:p>
    <w:p w:rsidR="009C34E6" w:rsidRDefault="009C34E6" w:rsidP="009C34E6">
      <w:pPr>
        <w:pBdr>
          <w:bottom w:val="single" w:sz="4" w:space="1" w:color="auto"/>
        </w:pBdr>
        <w:spacing w:after="200" w:line="360" w:lineRule="auto"/>
        <w:rPr>
          <w:rFonts w:asciiTheme="minorHAnsi" w:hAnsiTheme="minorHAnsi"/>
          <w:szCs w:val="22"/>
        </w:rPr>
      </w:pPr>
    </w:p>
    <w:p w:rsidR="00D60EA5" w:rsidRDefault="00D60EA5" w:rsidP="00D60EA5">
      <w:pPr>
        <w:pStyle w:val="Heading1"/>
      </w:pPr>
      <w:bookmarkStart w:id="42" w:name="_Toc401138378"/>
      <w:r>
        <w:t xml:space="preserve">Assessment criterion 4: </w:t>
      </w:r>
      <w:r w:rsidR="00CA35DF">
        <w:t>Public exhibition of relevant IP&amp;R documents</w:t>
      </w:r>
      <w:bookmarkEnd w:id="42"/>
    </w:p>
    <w:p w:rsidR="00D60EA5" w:rsidRPr="00303275"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9F6444">
      <w:pPr>
        <w:pStyle w:val="Quote"/>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F91583">
      <w:pPr>
        <w:pStyle w:val="BodyText"/>
      </w:pPr>
      <w:r w:rsidRPr="00303275">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7F0257">
      <w:pPr>
        <w:pStyle w:val="BodyText"/>
        <w:rPr>
          <w:rFonts w:cs="Arial"/>
          <w:color w:val="000000"/>
        </w:rPr>
      </w:pPr>
      <w:r w:rsidRPr="00303275">
        <w:rPr>
          <w:rFonts w:cs="Arial"/>
          <w:color w:val="000000"/>
        </w:rPr>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DC1309" w:rsidRDefault="00B73C72" w:rsidP="00040713">
      <w:pPr>
        <w:pStyle w:val="BodyText"/>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while amendments to </w:t>
      </w:r>
      <w:r w:rsidR="00DC1309" w:rsidRPr="00303275">
        <w:rPr>
          <w:rFonts w:cs="Arial"/>
          <w:color w:val="000000"/>
        </w:rPr>
        <w:t xml:space="preserve">the Long Term Financial Plan and Asset Management Plan/s do not require </w:t>
      </w:r>
      <w:r w:rsidRPr="00303275">
        <w:rPr>
          <w:rFonts w:cs="Arial"/>
          <w:color w:val="000000"/>
        </w:rPr>
        <w:t xml:space="preserve">public </w:t>
      </w:r>
      <w:r w:rsidR="007970EE" w:rsidRPr="00303275">
        <w:rPr>
          <w:rFonts w:cs="Arial"/>
          <w:color w:val="000000"/>
        </w:rPr>
        <w:t>exhibit</w:t>
      </w:r>
      <w:r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E05E2D" w:rsidRDefault="00E05E2D" w:rsidP="004A6772">
      <w:pPr>
        <w:pBdr>
          <w:bottom w:val="single" w:sz="4" w:space="1" w:color="auto"/>
        </w:pBdr>
        <w:rPr>
          <w:rFonts w:asciiTheme="minorHAnsi" w:hAnsiTheme="minorHAnsi"/>
        </w:rPr>
      </w:pPr>
    </w:p>
    <w:p w:rsidR="004A6772" w:rsidRDefault="004A6772" w:rsidP="00D94E3C">
      <w:pPr>
        <w:tabs>
          <w:tab w:val="left" w:pos="-567"/>
        </w:tabs>
        <w:ind w:left="-567"/>
        <w:rPr>
          <w:rFonts w:asciiTheme="minorHAnsi" w:hAnsiTheme="minorHAnsi"/>
        </w:rPr>
      </w:pPr>
    </w:p>
    <w:p w:rsidR="00BB2473" w:rsidRPr="00E05E2D" w:rsidRDefault="00BB2473" w:rsidP="00D94E3C">
      <w:pPr>
        <w:tabs>
          <w:tab w:val="left" w:pos="-567"/>
        </w:tabs>
        <w:ind w:left="-567"/>
        <w:rPr>
          <w:rFonts w:asciiTheme="minorHAnsi" w:hAnsiTheme="minorHAnsi"/>
        </w:rPr>
      </w:pPr>
      <w:r w:rsidRPr="00E05E2D">
        <w:rPr>
          <w:rFonts w:asciiTheme="minorHAnsi" w:hAnsiTheme="minorHAnsi"/>
        </w:rPr>
        <w:t xml:space="preserve">The </w:t>
      </w:r>
      <w:r w:rsidR="00E05E2D">
        <w:rPr>
          <w:rFonts w:asciiTheme="minorHAnsi" w:hAnsiTheme="minorHAnsi"/>
        </w:rPr>
        <w:t>inaugural</w:t>
      </w:r>
      <w:r w:rsidRPr="00E05E2D">
        <w:rPr>
          <w:rFonts w:asciiTheme="minorHAnsi" w:hAnsiTheme="minorHAnsi"/>
        </w:rPr>
        <w:t xml:space="preserve"> Community Strategic Plan was developed through a wide consultative process and adopted by Council in July 2012. This documented the condition of Council’s assets and the need for additional revenues. The supporting Delivery Program and Operational Plan further detailed the situation and need for action. The associated resource plans detailed the backlog and presented SV scenarios.</w:t>
      </w:r>
    </w:p>
    <w:p w:rsidR="00BB2473" w:rsidRPr="00546232" w:rsidRDefault="00BB2473" w:rsidP="009C34E6">
      <w:pPr>
        <w:tabs>
          <w:tab w:val="left" w:pos="0"/>
        </w:tabs>
        <w:spacing w:before="240" w:line="280" w:lineRule="atLeast"/>
        <w:rPr>
          <w:rFonts w:asciiTheme="minorHAnsi" w:hAnsiTheme="minorHAnsi"/>
        </w:rPr>
      </w:pPr>
      <w:r w:rsidRPr="00546232">
        <w:rPr>
          <w:rFonts w:asciiTheme="minorHAnsi" w:hAnsiTheme="minorHAnsi"/>
        </w:rPr>
        <w:lastRenderedPageBreak/>
        <w:t xml:space="preserve">Following the election of a new council in September 2012, a revised Delivery Program was adopted by Council </w:t>
      </w:r>
      <w:r w:rsidR="005E3401" w:rsidRPr="00E05E2D">
        <w:rPr>
          <w:rFonts w:asciiTheme="minorHAnsi" w:hAnsiTheme="minorHAnsi"/>
        </w:rPr>
        <w:t xml:space="preserve">on </w:t>
      </w:r>
      <w:r w:rsidR="00E05E2D" w:rsidRPr="00E05E2D">
        <w:rPr>
          <w:rFonts w:asciiTheme="minorHAnsi" w:hAnsiTheme="minorHAnsi"/>
        </w:rPr>
        <w:t>15 May 2013</w:t>
      </w:r>
      <w:r w:rsidR="00E05E2D" w:rsidRPr="00E05E2D">
        <w:rPr>
          <w:rFonts w:asciiTheme="minorHAnsi" w:hAnsiTheme="minorHAnsi"/>
          <w:b/>
        </w:rPr>
        <w:t xml:space="preserve"> </w:t>
      </w:r>
      <w:r w:rsidRPr="00546232">
        <w:rPr>
          <w:rFonts w:asciiTheme="minorHAnsi" w:hAnsiTheme="minorHAnsi"/>
        </w:rPr>
        <w:t>that built on the backlog and financial position and included specific objectives to achieve a special variation.</w:t>
      </w:r>
    </w:p>
    <w:p w:rsidR="00DD5715" w:rsidRPr="00546232" w:rsidRDefault="00DD5715" w:rsidP="009C34E6">
      <w:pPr>
        <w:tabs>
          <w:tab w:val="left" w:pos="0"/>
        </w:tabs>
        <w:spacing w:before="240" w:line="280" w:lineRule="atLeast"/>
        <w:rPr>
          <w:rFonts w:asciiTheme="minorHAnsi" w:hAnsiTheme="minorHAnsi"/>
        </w:rPr>
      </w:pPr>
      <w:r w:rsidRPr="00546232">
        <w:rPr>
          <w:rFonts w:asciiTheme="minorHAnsi" w:hAnsiTheme="minorHAnsi"/>
        </w:rPr>
        <w:t>These revised plans and strategies were publicly exhibited as required.</w:t>
      </w:r>
    </w:p>
    <w:p w:rsidR="00752DC0" w:rsidRPr="00546232" w:rsidRDefault="00752DC0" w:rsidP="009C34E6">
      <w:pPr>
        <w:tabs>
          <w:tab w:val="left" w:pos="0"/>
        </w:tabs>
        <w:spacing w:before="240" w:line="280" w:lineRule="atLeast"/>
        <w:rPr>
          <w:rFonts w:asciiTheme="minorHAnsi" w:hAnsiTheme="minorHAnsi"/>
        </w:rPr>
      </w:pPr>
      <w:r w:rsidRPr="00546232">
        <w:rPr>
          <w:rFonts w:asciiTheme="minorHAnsi" w:hAnsiTheme="minorHAnsi"/>
        </w:rPr>
        <w:t xml:space="preserve">A Community Engagement Strategy </w:t>
      </w:r>
      <w:r w:rsidR="00776CA4">
        <w:rPr>
          <w:rFonts w:asciiTheme="minorHAnsi" w:hAnsiTheme="minorHAnsi"/>
        </w:rPr>
        <w:t>was adopted in August 2013</w:t>
      </w:r>
      <w:r w:rsidR="004A6772">
        <w:rPr>
          <w:rFonts w:asciiTheme="minorHAnsi" w:hAnsiTheme="minorHAnsi"/>
        </w:rPr>
        <w:t xml:space="preserve"> and exhibited accordingly</w:t>
      </w:r>
    </w:p>
    <w:p w:rsidR="00DD5715" w:rsidRPr="00546232" w:rsidRDefault="00752DC0" w:rsidP="009C34E6">
      <w:pPr>
        <w:tabs>
          <w:tab w:val="left" w:pos="0"/>
        </w:tabs>
        <w:spacing w:before="240" w:line="280" w:lineRule="atLeast"/>
        <w:rPr>
          <w:rFonts w:asciiTheme="minorHAnsi" w:hAnsiTheme="minorHAnsi"/>
        </w:rPr>
      </w:pPr>
      <w:r w:rsidRPr="00546232">
        <w:rPr>
          <w:rFonts w:asciiTheme="minorHAnsi" w:hAnsiTheme="minorHAnsi"/>
        </w:rPr>
        <w:t xml:space="preserve">Throughout the year, status reports on Council’s </w:t>
      </w:r>
      <w:r w:rsidR="00DD5715" w:rsidRPr="00546232">
        <w:rPr>
          <w:rFonts w:asciiTheme="minorHAnsi" w:hAnsiTheme="minorHAnsi"/>
        </w:rPr>
        <w:t xml:space="preserve">Operational Plan and Delivery Program performance and achievement </w:t>
      </w:r>
      <w:r w:rsidRPr="00546232">
        <w:rPr>
          <w:rFonts w:asciiTheme="minorHAnsi" w:hAnsiTheme="minorHAnsi"/>
        </w:rPr>
        <w:t>are presented to Council and made publicly available.</w:t>
      </w:r>
    </w:p>
    <w:p w:rsidR="00752DC0" w:rsidRPr="00546232" w:rsidRDefault="00E05E2D" w:rsidP="009C34E6">
      <w:pPr>
        <w:tabs>
          <w:tab w:val="left" w:pos="0"/>
        </w:tabs>
        <w:spacing w:before="240" w:line="280" w:lineRule="atLeast"/>
        <w:rPr>
          <w:rFonts w:asciiTheme="minorHAnsi" w:hAnsiTheme="minorHAnsi"/>
        </w:rPr>
      </w:pPr>
      <w:r>
        <w:rPr>
          <w:rFonts w:asciiTheme="minorHAnsi" w:hAnsiTheme="minorHAnsi"/>
        </w:rPr>
        <w:t xml:space="preserve">The following is a list of various community engagement events and </w:t>
      </w:r>
      <w:r w:rsidR="008974D4">
        <w:rPr>
          <w:rFonts w:asciiTheme="minorHAnsi" w:hAnsiTheme="minorHAnsi"/>
        </w:rPr>
        <w:t xml:space="preserve">information </w:t>
      </w:r>
      <w:r>
        <w:rPr>
          <w:rFonts w:asciiTheme="minorHAnsi" w:hAnsiTheme="minorHAnsi"/>
        </w:rPr>
        <w:t>documents</w:t>
      </w:r>
      <w:r w:rsidR="004A6772">
        <w:rPr>
          <w:rFonts w:asciiTheme="minorHAnsi" w:hAnsiTheme="minorHAnsi"/>
        </w:rPr>
        <w:t xml:space="preserve"> all of which were included on our web site</w:t>
      </w:r>
      <w:r>
        <w:rPr>
          <w:rFonts w:asciiTheme="minorHAnsi" w:hAnsiTheme="minorHAnsi"/>
        </w:rPr>
        <w:t>.</w:t>
      </w:r>
    </w:p>
    <w:p w:rsidR="00776CA4" w:rsidRPr="008974D4" w:rsidRDefault="00776CA4" w:rsidP="00776CA4">
      <w:pPr>
        <w:spacing w:after="20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b/>
          <w:szCs w:val="22"/>
          <w:lang w:eastAsia="en-US"/>
        </w:rPr>
        <w:t>2012</w:t>
      </w:r>
    </w:p>
    <w:p w:rsidR="00776CA4" w:rsidRDefault="00776CA4" w:rsidP="00776CA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Community Newsletter </w:t>
      </w:r>
      <w:proofErr w:type="gramStart"/>
      <w:r w:rsidRPr="008974D4">
        <w:rPr>
          <w:rFonts w:asciiTheme="minorHAnsi" w:eastAsiaTheme="minorHAnsi" w:hAnsiTheme="minorHAnsi" w:cstheme="minorBidi"/>
          <w:szCs w:val="22"/>
          <w:lang w:eastAsia="en-US"/>
        </w:rPr>
        <w:t xml:space="preserve">-  </w:t>
      </w:r>
      <w:r w:rsidRPr="008974D4">
        <w:rPr>
          <w:rFonts w:asciiTheme="minorHAnsi" w:eastAsiaTheme="minorHAnsi" w:hAnsiTheme="minorHAnsi" w:cstheme="minorBidi"/>
          <w:i/>
          <w:szCs w:val="22"/>
          <w:lang w:eastAsia="en-US"/>
        </w:rPr>
        <w:t>Gloucester</w:t>
      </w:r>
      <w:proofErr w:type="gramEnd"/>
      <w:r w:rsidRPr="008974D4">
        <w:rPr>
          <w:rFonts w:asciiTheme="minorHAnsi" w:eastAsiaTheme="minorHAnsi" w:hAnsiTheme="minorHAnsi" w:cstheme="minorBidi"/>
          <w:i/>
          <w:szCs w:val="22"/>
          <w:lang w:eastAsia="en-US"/>
        </w:rPr>
        <w:t xml:space="preserve"> Community Strategic Plan</w:t>
      </w:r>
      <w:r w:rsidR="008974D4">
        <w:rPr>
          <w:rFonts w:asciiTheme="minorHAnsi" w:eastAsiaTheme="minorHAnsi" w:hAnsiTheme="minorHAnsi" w:cstheme="minorBidi"/>
          <w:i/>
          <w:szCs w:val="22"/>
          <w:lang w:eastAsia="en-US"/>
        </w:rPr>
        <w:t xml:space="preserve"> </w:t>
      </w:r>
      <w:r w:rsidRPr="008974D4">
        <w:rPr>
          <w:rFonts w:asciiTheme="minorHAnsi" w:eastAsiaTheme="minorHAnsi" w:hAnsiTheme="minorHAnsi" w:cstheme="minorBidi"/>
          <w:szCs w:val="22"/>
          <w:lang w:eastAsia="en-US"/>
        </w:rPr>
        <w:t xml:space="preserve">issued to all community members via post and also available on website following adoption </w:t>
      </w:r>
      <w:r w:rsidR="008974D4">
        <w:rPr>
          <w:rFonts w:asciiTheme="minorHAnsi" w:eastAsiaTheme="minorHAnsi" w:hAnsiTheme="minorHAnsi" w:cstheme="minorBidi"/>
          <w:szCs w:val="22"/>
          <w:lang w:eastAsia="en-US"/>
        </w:rPr>
        <w:t>of the Community Strategic Plan.</w:t>
      </w:r>
    </w:p>
    <w:p w:rsidR="008974D4" w:rsidRPr="008974D4" w:rsidRDefault="008974D4" w:rsidP="00776CA4">
      <w:pPr>
        <w:spacing w:after="200" w:line="276" w:lineRule="auto"/>
        <w:contextualSpacing/>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60639F">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16 May </w:t>
      </w:r>
    </w:p>
    <w:p w:rsidR="00776CA4" w:rsidRPr="008974D4" w:rsidRDefault="00776CA4" w:rsidP="0060639F">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23 May </w:t>
      </w:r>
    </w:p>
    <w:p w:rsidR="00776CA4" w:rsidRPr="008974D4" w:rsidRDefault="00776CA4" w:rsidP="0060639F">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July</w:t>
      </w:r>
    </w:p>
    <w:p w:rsidR="00776CA4" w:rsidRPr="008974D4" w:rsidRDefault="00776CA4" w:rsidP="0060639F">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8 August</w:t>
      </w:r>
    </w:p>
    <w:p w:rsidR="00776CA4" w:rsidRPr="008974D4" w:rsidRDefault="00776CA4" w:rsidP="0060639F">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10 October</w:t>
      </w:r>
    </w:p>
    <w:p w:rsidR="00776CA4" w:rsidRPr="008974D4" w:rsidRDefault="00776CA4" w:rsidP="0060639F">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24 October</w:t>
      </w:r>
    </w:p>
    <w:p w:rsidR="00776CA4" w:rsidRPr="008974D4" w:rsidRDefault="00776CA4" w:rsidP="0060639F">
      <w:pPr>
        <w:numPr>
          <w:ilvl w:val="0"/>
          <w:numId w:val="52"/>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5 December</w:t>
      </w:r>
    </w:p>
    <w:p w:rsidR="00776CA4" w:rsidRPr="008974D4" w:rsidRDefault="00776CA4" w:rsidP="00776CA4">
      <w:pPr>
        <w:spacing w:line="276" w:lineRule="auto"/>
        <w:rPr>
          <w:rFonts w:asciiTheme="minorHAnsi" w:eastAsiaTheme="minorHAnsi" w:hAnsiTheme="minorHAnsi" w:cstheme="minorBidi"/>
          <w:szCs w:val="22"/>
          <w:lang w:eastAsia="en-US"/>
        </w:rPr>
      </w:pPr>
    </w:p>
    <w:p w:rsidR="00776CA4" w:rsidRPr="008974D4" w:rsidRDefault="00776CA4" w:rsidP="004A6772">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776CA4" w:rsidRPr="008974D4" w:rsidRDefault="00776CA4" w:rsidP="00776CA4">
      <w:pPr>
        <w:spacing w:line="276" w:lineRule="auto"/>
        <w:rPr>
          <w:rFonts w:asciiTheme="minorHAnsi" w:eastAsiaTheme="minorHAnsi" w:hAnsiTheme="minorHAnsi" w:cstheme="minorBidi"/>
          <w:szCs w:val="22"/>
          <w:lang w:eastAsia="en-US"/>
        </w:rPr>
      </w:pPr>
    </w:p>
    <w:tbl>
      <w:tblPr>
        <w:tblStyle w:val="TableGrid2"/>
        <w:tblW w:w="0" w:type="auto"/>
        <w:tblLook w:val="04A0" w:firstRow="1" w:lastRow="0" w:firstColumn="1" w:lastColumn="0" w:noHBand="0" w:noVBand="1"/>
      </w:tblPr>
      <w:tblGrid>
        <w:gridCol w:w="2009"/>
        <w:gridCol w:w="6712"/>
      </w:tblGrid>
      <w:tr w:rsidR="00776CA4" w:rsidRPr="008974D4" w:rsidTr="00F7372D">
        <w:tc>
          <w:tcPr>
            <w:tcW w:w="2093" w:type="dxa"/>
          </w:tcPr>
          <w:p w:rsidR="00776CA4" w:rsidRPr="008974D4" w:rsidRDefault="00776CA4" w:rsidP="00776CA4">
            <w:pPr>
              <w:jc w:val="center"/>
              <w:rPr>
                <w:rFonts w:asciiTheme="minorHAnsi" w:hAnsiTheme="minorHAnsi"/>
                <w:szCs w:val="22"/>
              </w:rPr>
            </w:pPr>
            <w:r w:rsidRPr="008974D4">
              <w:rPr>
                <w:rFonts w:asciiTheme="minorHAnsi" w:hAnsiTheme="minorHAnsi"/>
                <w:szCs w:val="22"/>
              </w:rPr>
              <w:t>Meeting Date</w:t>
            </w:r>
          </w:p>
        </w:tc>
        <w:tc>
          <w:tcPr>
            <w:tcW w:w="7149" w:type="dxa"/>
          </w:tcPr>
          <w:p w:rsidR="00776CA4" w:rsidRPr="008974D4" w:rsidRDefault="00776CA4" w:rsidP="00776CA4">
            <w:pPr>
              <w:jc w:val="center"/>
              <w:rPr>
                <w:rFonts w:asciiTheme="minorHAnsi" w:hAnsiTheme="minorHAnsi"/>
                <w:szCs w:val="22"/>
              </w:rPr>
            </w:pPr>
            <w:r w:rsidRPr="008974D4">
              <w:rPr>
                <w:rFonts w:asciiTheme="minorHAnsi" w:hAnsiTheme="minorHAnsi"/>
                <w:szCs w:val="22"/>
              </w:rPr>
              <w:t>Details of Resolution</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t>16 May</w:t>
            </w:r>
          </w:p>
        </w:tc>
        <w:tc>
          <w:tcPr>
            <w:tcW w:w="7149" w:type="dxa"/>
          </w:tcPr>
          <w:p w:rsidR="00776CA4" w:rsidRPr="008974D4" w:rsidRDefault="00776CA4" w:rsidP="00776CA4">
            <w:pPr>
              <w:rPr>
                <w:rFonts w:asciiTheme="minorHAnsi" w:hAnsiTheme="minorHAnsi"/>
                <w:szCs w:val="22"/>
              </w:rPr>
            </w:pPr>
            <w:r w:rsidRPr="008974D4">
              <w:rPr>
                <w:rFonts w:asciiTheme="minorHAnsi" w:hAnsiTheme="minorHAnsi"/>
                <w:szCs w:val="22"/>
              </w:rPr>
              <w:t>Adoption of Community Strategic Plan, Delivery Program and Operational Plan for public exhibition until 15 June 2012</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t>27 June</w:t>
            </w:r>
          </w:p>
        </w:tc>
        <w:tc>
          <w:tcPr>
            <w:tcW w:w="7149" w:type="dxa"/>
          </w:tcPr>
          <w:p w:rsidR="00776CA4" w:rsidRPr="008974D4" w:rsidRDefault="00776CA4" w:rsidP="00776CA4">
            <w:pPr>
              <w:rPr>
                <w:rFonts w:asciiTheme="minorHAnsi" w:hAnsiTheme="minorHAnsi"/>
                <w:szCs w:val="22"/>
              </w:rPr>
            </w:pPr>
            <w:r w:rsidRPr="008974D4">
              <w:rPr>
                <w:rFonts w:asciiTheme="minorHAnsi" w:hAnsiTheme="minorHAnsi"/>
                <w:szCs w:val="22"/>
              </w:rPr>
              <w:t xml:space="preserve">Adoption of Community Strategic Plan, Delivery Program, Operational Plan and Resourcing Strategy </w:t>
            </w:r>
          </w:p>
        </w:tc>
      </w:tr>
    </w:tbl>
    <w:p w:rsidR="00776CA4" w:rsidRPr="008974D4" w:rsidRDefault="00776CA4" w:rsidP="00776CA4">
      <w:pPr>
        <w:spacing w:line="276" w:lineRule="auto"/>
        <w:rPr>
          <w:rFonts w:asciiTheme="minorHAnsi" w:eastAsiaTheme="minorHAnsi" w:hAnsiTheme="minorHAnsi" w:cstheme="minorBidi"/>
          <w:szCs w:val="22"/>
          <w:lang w:eastAsia="en-US"/>
        </w:rPr>
      </w:pPr>
    </w:p>
    <w:p w:rsidR="00776CA4" w:rsidRPr="008974D4" w:rsidRDefault="00776CA4" w:rsidP="00776CA4">
      <w:pPr>
        <w:spacing w:after="20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b/>
          <w:szCs w:val="22"/>
          <w:lang w:eastAsia="en-US"/>
        </w:rPr>
        <w:t>2013</w:t>
      </w: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Community Consultation Newsletters issued to all community members via post and also available from Council’s Administration Centre, Library and website:</w:t>
      </w:r>
    </w:p>
    <w:p w:rsidR="00776CA4" w:rsidRPr="008974D4" w:rsidRDefault="00776CA4" w:rsidP="0060639F">
      <w:pPr>
        <w:numPr>
          <w:ilvl w:val="0"/>
          <w:numId w:val="44"/>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March - </w:t>
      </w:r>
      <w:r w:rsidRPr="008974D4">
        <w:rPr>
          <w:rFonts w:asciiTheme="minorHAnsi" w:eastAsiaTheme="minorHAnsi" w:hAnsiTheme="minorHAnsi" w:cstheme="minorBidi"/>
          <w:i/>
          <w:szCs w:val="22"/>
          <w:lang w:eastAsia="en-US"/>
        </w:rPr>
        <w:t>Community Assets</w:t>
      </w:r>
      <w:r w:rsidRPr="008974D4">
        <w:rPr>
          <w:rFonts w:asciiTheme="minorHAnsi" w:eastAsiaTheme="minorHAnsi" w:hAnsiTheme="minorHAnsi" w:cstheme="minorBidi"/>
          <w:szCs w:val="22"/>
          <w:lang w:eastAsia="en-US"/>
        </w:rPr>
        <w:t xml:space="preserve"> </w:t>
      </w:r>
    </w:p>
    <w:p w:rsidR="00776CA4" w:rsidRPr="008974D4" w:rsidRDefault="00776CA4" w:rsidP="0060639F">
      <w:pPr>
        <w:numPr>
          <w:ilvl w:val="0"/>
          <w:numId w:val="44"/>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July – </w:t>
      </w:r>
      <w:r w:rsidRPr="008974D4">
        <w:rPr>
          <w:rFonts w:asciiTheme="minorHAnsi" w:eastAsiaTheme="minorHAnsi" w:hAnsiTheme="minorHAnsi" w:cstheme="minorBidi"/>
          <w:i/>
          <w:szCs w:val="22"/>
          <w:lang w:eastAsia="en-US"/>
        </w:rPr>
        <w:t>The Condition of our Assets – Where are we now?</w:t>
      </w:r>
    </w:p>
    <w:p w:rsidR="004A6772" w:rsidRDefault="004A6772" w:rsidP="008974D4">
      <w:pPr>
        <w:spacing w:after="200" w:line="276" w:lineRule="auto"/>
        <w:contextualSpacing/>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lastRenderedPageBreak/>
        <w:t>Request for community feedback regarding the contents of the Newsletters was contained within each newsletter and advertised in the local paper and on Council’s website</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Public Meetings held across the Shire – advertised in the local newspaper and individual invitations forwarded to all residents:-</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Stratford Hall Meeting – 15 April</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Stratford Hall Meeting – 20 June</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Barrington Hall Meeting – 27 June</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Business Proprietors/Operators Meeting – 16 July</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Waukivory</w:t>
      </w:r>
      <w:proofErr w:type="spellEnd"/>
      <w:r w:rsidRPr="008974D4">
        <w:rPr>
          <w:rFonts w:asciiTheme="minorHAnsi" w:eastAsiaTheme="minorHAnsi" w:hAnsiTheme="minorHAnsi" w:cstheme="minorBidi"/>
          <w:szCs w:val="22"/>
          <w:lang w:eastAsia="en-US"/>
        </w:rPr>
        <w:t xml:space="preserve"> Hall Meeting – 15 July</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Graziers &amp; Primary Producers – NSW Farmers (Gloucester Branch) – 25 July</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Rawdon Vale Meeting – 3 September</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Bundook Meeting – 31 October</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Rookhurst</w:t>
      </w:r>
      <w:proofErr w:type="spellEnd"/>
      <w:r w:rsidRPr="008974D4">
        <w:rPr>
          <w:rFonts w:asciiTheme="minorHAnsi" w:eastAsiaTheme="minorHAnsi" w:hAnsiTheme="minorHAnsi" w:cstheme="minorBidi"/>
          <w:szCs w:val="22"/>
          <w:lang w:eastAsia="en-US"/>
        </w:rPr>
        <w:t xml:space="preserve"> Meeting – 19 November</w:t>
      </w:r>
    </w:p>
    <w:p w:rsidR="00776CA4" w:rsidRPr="008974D4" w:rsidRDefault="00776CA4" w:rsidP="0060639F">
      <w:pPr>
        <w:numPr>
          <w:ilvl w:val="0"/>
          <w:numId w:val="45"/>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Rawdon Vale Meeting – 16 December</w:t>
      </w:r>
    </w:p>
    <w:p w:rsidR="00776CA4" w:rsidRPr="008974D4" w:rsidRDefault="00776CA4" w:rsidP="00776CA4">
      <w:pPr>
        <w:spacing w:line="276" w:lineRule="auto"/>
        <w:ind w:left="726"/>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Response letters were forwarded to those unable to attend any of the public meetings and enquired as to the outcome of the meeting</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60639F">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17 July</w:t>
      </w:r>
    </w:p>
    <w:p w:rsidR="00776CA4" w:rsidRPr="008974D4" w:rsidRDefault="00776CA4" w:rsidP="0060639F">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31 July</w:t>
      </w:r>
    </w:p>
    <w:p w:rsidR="00776CA4" w:rsidRPr="008974D4" w:rsidRDefault="00776CA4" w:rsidP="0060639F">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14 August</w:t>
      </w:r>
    </w:p>
    <w:p w:rsidR="00776CA4" w:rsidRPr="008974D4" w:rsidRDefault="00776CA4" w:rsidP="0060639F">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28 August </w:t>
      </w:r>
    </w:p>
    <w:p w:rsidR="00776CA4" w:rsidRPr="008974D4" w:rsidRDefault="00776CA4" w:rsidP="0060639F">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23 October</w:t>
      </w:r>
    </w:p>
    <w:p w:rsidR="00776CA4" w:rsidRPr="008974D4" w:rsidRDefault="00776CA4" w:rsidP="0060639F">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30 October</w:t>
      </w:r>
    </w:p>
    <w:p w:rsidR="00776CA4" w:rsidRPr="008974D4" w:rsidRDefault="00776CA4" w:rsidP="0060639F">
      <w:pPr>
        <w:numPr>
          <w:ilvl w:val="0"/>
          <w:numId w:val="46"/>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December</w:t>
      </w:r>
    </w:p>
    <w:p w:rsidR="00776CA4" w:rsidRPr="00776CA4" w:rsidRDefault="00776CA4" w:rsidP="00776CA4">
      <w:pPr>
        <w:spacing w:line="276" w:lineRule="auto"/>
        <w:ind w:left="774"/>
        <w:rPr>
          <w:rFonts w:ascii="Arial" w:eastAsiaTheme="minorHAnsi" w:hAnsi="Arial" w:cstheme="minorBidi"/>
          <w:sz w:val="24"/>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i/>
          <w:szCs w:val="22"/>
          <w:lang w:eastAsia="en-US"/>
        </w:rPr>
        <w:t xml:space="preserve">“From the Mayor’s Desk” </w:t>
      </w:r>
      <w:r w:rsidRPr="008974D4">
        <w:rPr>
          <w:rFonts w:asciiTheme="minorHAnsi" w:eastAsiaTheme="minorHAnsi" w:hAnsiTheme="minorHAnsi" w:cstheme="minorBidi"/>
          <w:szCs w:val="22"/>
          <w:lang w:eastAsia="en-US"/>
        </w:rPr>
        <w:t>appearing in the Gloucester Advocate:</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60639F">
      <w:pPr>
        <w:numPr>
          <w:ilvl w:val="0"/>
          <w:numId w:val="47"/>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7 August</w:t>
      </w:r>
    </w:p>
    <w:p w:rsidR="00776CA4" w:rsidRPr="008974D4" w:rsidRDefault="00776CA4" w:rsidP="0060639F">
      <w:pPr>
        <w:numPr>
          <w:ilvl w:val="0"/>
          <w:numId w:val="47"/>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 October</w:t>
      </w:r>
    </w:p>
    <w:p w:rsidR="00776CA4" w:rsidRPr="008974D4" w:rsidRDefault="00776CA4" w:rsidP="0060639F">
      <w:pPr>
        <w:numPr>
          <w:ilvl w:val="0"/>
          <w:numId w:val="47"/>
        </w:numPr>
        <w:spacing w:after="200" w:line="276" w:lineRule="auto"/>
        <w:ind w:firstLine="414"/>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13 November</w:t>
      </w:r>
    </w:p>
    <w:p w:rsidR="00776CA4" w:rsidRPr="008974D4" w:rsidRDefault="00776CA4" w:rsidP="00776CA4">
      <w:pPr>
        <w:spacing w:line="276" w:lineRule="auto"/>
        <w:ind w:left="774"/>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776CA4" w:rsidRPr="008974D4" w:rsidRDefault="00776CA4" w:rsidP="00776CA4">
      <w:pPr>
        <w:spacing w:line="276" w:lineRule="auto"/>
        <w:ind w:left="360"/>
        <w:rPr>
          <w:rFonts w:asciiTheme="minorHAnsi" w:eastAsiaTheme="minorHAnsi" w:hAnsiTheme="minorHAnsi" w:cstheme="minorBidi"/>
          <w:szCs w:val="22"/>
          <w:lang w:eastAsia="en-US"/>
        </w:rPr>
      </w:pPr>
    </w:p>
    <w:tbl>
      <w:tblPr>
        <w:tblStyle w:val="TableGrid2"/>
        <w:tblW w:w="0" w:type="auto"/>
        <w:tblLook w:val="04A0" w:firstRow="1" w:lastRow="0" w:firstColumn="1" w:lastColumn="0" w:noHBand="0" w:noVBand="1"/>
      </w:tblPr>
      <w:tblGrid>
        <w:gridCol w:w="2004"/>
        <w:gridCol w:w="6717"/>
      </w:tblGrid>
      <w:tr w:rsidR="00776CA4" w:rsidRPr="008974D4" w:rsidTr="00F7372D">
        <w:tc>
          <w:tcPr>
            <w:tcW w:w="2093" w:type="dxa"/>
          </w:tcPr>
          <w:p w:rsidR="00776CA4" w:rsidRPr="004A6772" w:rsidRDefault="00776CA4" w:rsidP="00776CA4">
            <w:pPr>
              <w:jc w:val="center"/>
              <w:rPr>
                <w:rFonts w:asciiTheme="minorHAnsi" w:hAnsiTheme="minorHAnsi"/>
                <w:b/>
                <w:szCs w:val="22"/>
              </w:rPr>
            </w:pPr>
            <w:r w:rsidRPr="004A6772">
              <w:rPr>
                <w:rFonts w:asciiTheme="minorHAnsi" w:hAnsiTheme="minorHAnsi"/>
                <w:b/>
                <w:szCs w:val="22"/>
              </w:rPr>
              <w:t>Meeting Date</w:t>
            </w:r>
          </w:p>
        </w:tc>
        <w:tc>
          <w:tcPr>
            <w:tcW w:w="7149" w:type="dxa"/>
          </w:tcPr>
          <w:p w:rsidR="00776CA4" w:rsidRPr="004A6772" w:rsidRDefault="00776CA4" w:rsidP="00776CA4">
            <w:pPr>
              <w:jc w:val="center"/>
              <w:rPr>
                <w:rFonts w:asciiTheme="minorHAnsi" w:hAnsiTheme="minorHAnsi"/>
                <w:b/>
                <w:szCs w:val="22"/>
              </w:rPr>
            </w:pPr>
            <w:r w:rsidRPr="004A6772">
              <w:rPr>
                <w:rFonts w:asciiTheme="minorHAnsi" w:hAnsiTheme="minorHAnsi"/>
                <w:b/>
                <w:szCs w:val="22"/>
              </w:rPr>
              <w:t>Details of Resolution</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t>20 February</w:t>
            </w:r>
          </w:p>
        </w:tc>
        <w:tc>
          <w:tcPr>
            <w:tcW w:w="7149" w:type="dxa"/>
          </w:tcPr>
          <w:p w:rsidR="00776CA4" w:rsidRPr="008974D4" w:rsidRDefault="00776CA4" w:rsidP="00776CA4">
            <w:pPr>
              <w:rPr>
                <w:rFonts w:asciiTheme="minorHAnsi" w:hAnsiTheme="minorHAnsi"/>
                <w:szCs w:val="22"/>
              </w:rPr>
            </w:pPr>
            <w:r w:rsidRPr="008974D4">
              <w:rPr>
                <w:rFonts w:asciiTheme="minorHAnsi" w:hAnsiTheme="minorHAnsi"/>
                <w:szCs w:val="22"/>
              </w:rPr>
              <w:t>Review of Delivery Program for period 1 July to 31 December 2012</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t>15 May</w:t>
            </w:r>
          </w:p>
        </w:tc>
        <w:tc>
          <w:tcPr>
            <w:tcW w:w="7149" w:type="dxa"/>
          </w:tcPr>
          <w:p w:rsidR="00776CA4" w:rsidRPr="008974D4" w:rsidRDefault="00776CA4" w:rsidP="00776CA4">
            <w:pPr>
              <w:rPr>
                <w:rFonts w:asciiTheme="minorHAnsi" w:hAnsiTheme="minorHAnsi"/>
                <w:szCs w:val="22"/>
              </w:rPr>
            </w:pPr>
            <w:r w:rsidRPr="008974D4">
              <w:rPr>
                <w:rFonts w:asciiTheme="minorHAnsi" w:hAnsiTheme="minorHAnsi"/>
                <w:szCs w:val="22"/>
              </w:rPr>
              <w:t>Adoption for public exhibition of Delivery Program 2013-14 and Operational Plan 2013-14</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lastRenderedPageBreak/>
              <w:t>26 June</w:t>
            </w:r>
          </w:p>
        </w:tc>
        <w:tc>
          <w:tcPr>
            <w:tcW w:w="7149" w:type="dxa"/>
          </w:tcPr>
          <w:p w:rsidR="00776CA4" w:rsidRPr="008974D4" w:rsidRDefault="00776CA4" w:rsidP="00776CA4">
            <w:pPr>
              <w:rPr>
                <w:rFonts w:asciiTheme="minorHAnsi" w:hAnsiTheme="minorHAnsi"/>
                <w:szCs w:val="22"/>
              </w:rPr>
            </w:pPr>
            <w:r w:rsidRPr="008974D4">
              <w:rPr>
                <w:rFonts w:asciiTheme="minorHAnsi" w:hAnsiTheme="minorHAnsi"/>
                <w:szCs w:val="22"/>
              </w:rPr>
              <w:t>Adoption of 2012-2011 Community Strategic Plan, 2013-2017 Delivery Program and 2013-2014 Operational Plan, adoption of general rates for the 2013-14 financial year.</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t>21 August</w:t>
            </w:r>
          </w:p>
        </w:tc>
        <w:tc>
          <w:tcPr>
            <w:tcW w:w="7149" w:type="dxa"/>
          </w:tcPr>
          <w:p w:rsidR="00776CA4" w:rsidRPr="008974D4" w:rsidRDefault="00776CA4" w:rsidP="0060639F">
            <w:pPr>
              <w:numPr>
                <w:ilvl w:val="0"/>
                <w:numId w:val="42"/>
              </w:numPr>
              <w:contextualSpacing/>
              <w:rPr>
                <w:rFonts w:asciiTheme="minorHAnsi" w:hAnsiTheme="minorHAnsi"/>
                <w:szCs w:val="22"/>
              </w:rPr>
            </w:pPr>
            <w:r w:rsidRPr="008974D4">
              <w:rPr>
                <w:rFonts w:asciiTheme="minorHAnsi" w:hAnsiTheme="minorHAnsi"/>
                <w:szCs w:val="22"/>
              </w:rPr>
              <w:t>Review of Delivery Program 2013-2017</w:t>
            </w:r>
          </w:p>
          <w:p w:rsidR="00776CA4" w:rsidRPr="008974D4" w:rsidRDefault="00776CA4" w:rsidP="0060639F">
            <w:pPr>
              <w:numPr>
                <w:ilvl w:val="0"/>
                <w:numId w:val="42"/>
              </w:numPr>
              <w:contextualSpacing/>
              <w:rPr>
                <w:rFonts w:asciiTheme="minorHAnsi" w:hAnsiTheme="minorHAnsi"/>
                <w:szCs w:val="22"/>
              </w:rPr>
            </w:pPr>
            <w:r w:rsidRPr="008974D4">
              <w:rPr>
                <w:rFonts w:asciiTheme="minorHAnsi" w:hAnsiTheme="minorHAnsi"/>
                <w:szCs w:val="22"/>
              </w:rPr>
              <w:t>Endorsement of Community Engagement Action Plan re: SRV</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t>16 October</w:t>
            </w:r>
          </w:p>
        </w:tc>
        <w:tc>
          <w:tcPr>
            <w:tcW w:w="7149" w:type="dxa"/>
          </w:tcPr>
          <w:p w:rsidR="00776CA4" w:rsidRPr="008974D4" w:rsidRDefault="00776CA4" w:rsidP="00776CA4">
            <w:pPr>
              <w:rPr>
                <w:rFonts w:asciiTheme="minorHAnsi" w:hAnsiTheme="minorHAnsi"/>
                <w:szCs w:val="22"/>
              </w:rPr>
            </w:pPr>
            <w:r w:rsidRPr="008974D4">
              <w:rPr>
                <w:rFonts w:asciiTheme="minorHAnsi" w:hAnsiTheme="minorHAnsi"/>
                <w:szCs w:val="22"/>
              </w:rPr>
              <w:t>Resolution to make a submission to IPART for a SRV for implementation July 2015</w:t>
            </w:r>
          </w:p>
        </w:tc>
      </w:tr>
      <w:tr w:rsidR="00776CA4" w:rsidRPr="008974D4" w:rsidTr="00F7372D">
        <w:tc>
          <w:tcPr>
            <w:tcW w:w="2093" w:type="dxa"/>
          </w:tcPr>
          <w:p w:rsidR="00776CA4" w:rsidRPr="008974D4" w:rsidRDefault="00776CA4" w:rsidP="00776CA4">
            <w:pPr>
              <w:rPr>
                <w:rFonts w:asciiTheme="minorHAnsi" w:hAnsiTheme="minorHAnsi"/>
                <w:szCs w:val="22"/>
              </w:rPr>
            </w:pPr>
            <w:r w:rsidRPr="008974D4">
              <w:rPr>
                <w:rFonts w:asciiTheme="minorHAnsi" w:hAnsiTheme="minorHAnsi"/>
                <w:szCs w:val="22"/>
              </w:rPr>
              <w:t>18 December</w:t>
            </w:r>
          </w:p>
        </w:tc>
        <w:tc>
          <w:tcPr>
            <w:tcW w:w="7149" w:type="dxa"/>
          </w:tcPr>
          <w:p w:rsidR="00776CA4" w:rsidRPr="008974D4" w:rsidRDefault="00776CA4" w:rsidP="00776CA4">
            <w:pPr>
              <w:rPr>
                <w:rFonts w:asciiTheme="minorHAnsi" w:hAnsiTheme="minorHAnsi"/>
                <w:szCs w:val="22"/>
              </w:rPr>
            </w:pPr>
            <w:r w:rsidRPr="008974D4">
              <w:rPr>
                <w:rFonts w:asciiTheme="minorHAnsi" w:hAnsiTheme="minorHAnsi"/>
                <w:szCs w:val="22"/>
              </w:rPr>
              <w:t>Detailing the following items for consideration at Council’s Ordinary Meeting to be held in February 2014:</w:t>
            </w:r>
          </w:p>
          <w:p w:rsidR="00776CA4" w:rsidRPr="008974D4" w:rsidRDefault="00776CA4" w:rsidP="0060639F">
            <w:pPr>
              <w:numPr>
                <w:ilvl w:val="0"/>
                <w:numId w:val="53"/>
              </w:numPr>
              <w:contextualSpacing/>
              <w:rPr>
                <w:rFonts w:asciiTheme="minorHAnsi" w:hAnsiTheme="minorHAnsi"/>
                <w:szCs w:val="22"/>
              </w:rPr>
            </w:pPr>
            <w:r w:rsidRPr="008974D4">
              <w:rPr>
                <w:rFonts w:asciiTheme="minorHAnsi" w:hAnsiTheme="minorHAnsi"/>
                <w:szCs w:val="22"/>
              </w:rPr>
              <w:t>Financial Sustainability</w:t>
            </w:r>
          </w:p>
          <w:p w:rsidR="00776CA4" w:rsidRPr="008974D4" w:rsidRDefault="00776CA4" w:rsidP="0060639F">
            <w:pPr>
              <w:numPr>
                <w:ilvl w:val="0"/>
                <w:numId w:val="53"/>
              </w:numPr>
              <w:contextualSpacing/>
              <w:rPr>
                <w:rFonts w:asciiTheme="minorHAnsi" w:hAnsiTheme="minorHAnsi"/>
                <w:szCs w:val="22"/>
              </w:rPr>
            </w:pPr>
            <w:r w:rsidRPr="008974D4">
              <w:rPr>
                <w:rFonts w:asciiTheme="minorHAnsi" w:hAnsiTheme="minorHAnsi"/>
                <w:szCs w:val="22"/>
              </w:rPr>
              <w:t>SRV Action Plan</w:t>
            </w:r>
          </w:p>
          <w:p w:rsidR="00776CA4" w:rsidRPr="008974D4" w:rsidRDefault="00776CA4" w:rsidP="0060639F">
            <w:pPr>
              <w:numPr>
                <w:ilvl w:val="0"/>
                <w:numId w:val="53"/>
              </w:numPr>
              <w:contextualSpacing/>
              <w:rPr>
                <w:rFonts w:asciiTheme="minorHAnsi" w:hAnsiTheme="minorHAnsi"/>
                <w:szCs w:val="22"/>
              </w:rPr>
            </w:pPr>
            <w:r w:rsidRPr="008974D4">
              <w:rPr>
                <w:rFonts w:asciiTheme="minorHAnsi" w:hAnsiTheme="minorHAnsi"/>
                <w:szCs w:val="22"/>
              </w:rPr>
              <w:t>Review of the CSP</w:t>
            </w:r>
          </w:p>
        </w:tc>
      </w:tr>
    </w:tbl>
    <w:p w:rsidR="00776CA4" w:rsidRPr="008974D4" w:rsidRDefault="00776CA4" w:rsidP="00776CA4">
      <w:pPr>
        <w:spacing w:line="276" w:lineRule="auto"/>
        <w:rPr>
          <w:rFonts w:asciiTheme="minorHAnsi" w:eastAsiaTheme="minorHAnsi" w:hAnsiTheme="minorHAnsi" w:cstheme="minorBidi"/>
          <w:szCs w:val="22"/>
          <w:lang w:eastAsia="en-US"/>
        </w:rPr>
      </w:pPr>
    </w:p>
    <w:p w:rsidR="00776CA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2012/13 Annual Report</w:t>
      </w:r>
      <w:r w:rsidR="004A6772">
        <w:rPr>
          <w:rFonts w:asciiTheme="minorHAnsi" w:eastAsiaTheme="minorHAnsi" w:hAnsiTheme="minorHAnsi" w:cstheme="minorBidi"/>
          <w:szCs w:val="22"/>
          <w:lang w:eastAsia="en-US"/>
        </w:rPr>
        <w:t xml:space="preserve"> – on display and also direct mail out with comments to contact list.</w:t>
      </w:r>
    </w:p>
    <w:p w:rsidR="00776CA4" w:rsidRPr="008974D4" w:rsidRDefault="00776CA4" w:rsidP="00776CA4">
      <w:pPr>
        <w:spacing w:after="120" w:line="276" w:lineRule="auto"/>
        <w:rPr>
          <w:rFonts w:asciiTheme="minorHAnsi" w:eastAsiaTheme="minorHAnsi" w:hAnsiTheme="minorHAnsi" w:cstheme="minorBidi"/>
          <w:b/>
          <w:szCs w:val="22"/>
          <w:lang w:eastAsia="en-US"/>
        </w:rPr>
      </w:pPr>
      <w:r w:rsidRPr="008974D4">
        <w:rPr>
          <w:rFonts w:asciiTheme="minorHAnsi" w:eastAsiaTheme="minorHAnsi" w:hAnsiTheme="minorHAnsi" w:cstheme="minorBidi"/>
          <w:b/>
          <w:szCs w:val="22"/>
          <w:lang w:eastAsia="en-US"/>
        </w:rPr>
        <w:t>2014</w:t>
      </w: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Community Consultation Newsletter issued to all community members via post and also available from Council’s Administration Centre, Library and website:</w:t>
      </w:r>
    </w:p>
    <w:p w:rsidR="00776CA4" w:rsidRPr="008974D4" w:rsidRDefault="00776CA4" w:rsidP="00776CA4">
      <w:pPr>
        <w:ind w:left="360"/>
        <w:rPr>
          <w:rFonts w:asciiTheme="minorHAnsi" w:eastAsiaTheme="minorHAnsi" w:hAnsiTheme="minorHAnsi" w:cstheme="minorBidi"/>
          <w:szCs w:val="22"/>
          <w:lang w:eastAsia="en-US"/>
        </w:rPr>
      </w:pPr>
    </w:p>
    <w:p w:rsidR="00776CA4" w:rsidRPr="008974D4" w:rsidRDefault="00776CA4" w:rsidP="0060639F">
      <w:pPr>
        <w:numPr>
          <w:ilvl w:val="0"/>
          <w:numId w:val="44"/>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July – </w:t>
      </w:r>
      <w:r w:rsidRPr="008974D4">
        <w:rPr>
          <w:rFonts w:asciiTheme="minorHAnsi" w:eastAsiaTheme="minorHAnsi" w:hAnsiTheme="minorHAnsi" w:cstheme="minorBidi"/>
          <w:i/>
          <w:szCs w:val="22"/>
          <w:lang w:eastAsia="en-US"/>
        </w:rPr>
        <w:t>The Need to Increase rates</w:t>
      </w:r>
    </w:p>
    <w:p w:rsidR="00776CA4" w:rsidRPr="008974D4" w:rsidRDefault="00776CA4" w:rsidP="008974D4">
      <w:pPr>
        <w:spacing w:after="12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The Newsletter was also forwarded to key community groups via email.</w:t>
      </w: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Request for community feedback regarding the contents of the Newsletter was contained within the newsletter and advertised in the local paper and on Council’s website</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Public Meetings held across the Shire – advertised in the local newspaper and individual invitations forwarded to all residents:-</w:t>
      </w:r>
    </w:p>
    <w:p w:rsidR="00776CA4" w:rsidRPr="008974D4" w:rsidRDefault="00776CA4" w:rsidP="00776CA4">
      <w:pPr>
        <w:spacing w:line="276" w:lineRule="auto"/>
        <w:ind w:left="66"/>
        <w:rPr>
          <w:rFonts w:asciiTheme="minorHAnsi" w:eastAsiaTheme="minorHAnsi" w:hAnsiTheme="minorHAnsi" w:cstheme="minorBidi"/>
          <w:szCs w:val="22"/>
          <w:lang w:eastAsia="en-US"/>
        </w:rPr>
      </w:pPr>
    </w:p>
    <w:p w:rsidR="00776CA4" w:rsidRPr="008974D4" w:rsidRDefault="00776CA4" w:rsidP="0060639F">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Rawdon Vale – 11 June</w:t>
      </w:r>
    </w:p>
    <w:p w:rsidR="00776CA4" w:rsidRPr="008974D4" w:rsidRDefault="00776CA4" w:rsidP="0060639F">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Barrington Hall – 26 June</w:t>
      </w:r>
    </w:p>
    <w:p w:rsidR="00776CA4" w:rsidRPr="008974D4" w:rsidRDefault="00776CA4" w:rsidP="0060639F">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Stratford Hall – 1 July</w:t>
      </w:r>
    </w:p>
    <w:p w:rsidR="00776CA4" w:rsidRPr="008974D4" w:rsidRDefault="00776CA4" w:rsidP="0060639F">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Bundook – 10 July</w:t>
      </w:r>
    </w:p>
    <w:p w:rsidR="00776CA4" w:rsidRPr="008974D4" w:rsidRDefault="00776CA4" w:rsidP="0060639F">
      <w:pPr>
        <w:numPr>
          <w:ilvl w:val="0"/>
          <w:numId w:val="48"/>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Rookhurst</w:t>
      </w:r>
      <w:proofErr w:type="spellEnd"/>
      <w:r w:rsidRPr="008974D4">
        <w:rPr>
          <w:rFonts w:asciiTheme="minorHAnsi" w:eastAsiaTheme="minorHAnsi" w:hAnsiTheme="minorHAnsi" w:cstheme="minorBidi"/>
          <w:szCs w:val="22"/>
          <w:lang w:eastAsia="en-US"/>
        </w:rPr>
        <w:t xml:space="preserve"> – 14 July</w:t>
      </w:r>
    </w:p>
    <w:p w:rsidR="00776CA4" w:rsidRPr="008974D4" w:rsidRDefault="00776CA4" w:rsidP="0060639F">
      <w:pPr>
        <w:numPr>
          <w:ilvl w:val="0"/>
          <w:numId w:val="48"/>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Senior Citizens Centre Gloucester – 15 July</w:t>
      </w:r>
    </w:p>
    <w:p w:rsidR="00776CA4" w:rsidRPr="008974D4" w:rsidRDefault="00776CA4" w:rsidP="0060639F">
      <w:pPr>
        <w:numPr>
          <w:ilvl w:val="0"/>
          <w:numId w:val="48"/>
        </w:numPr>
        <w:spacing w:after="200" w:line="276" w:lineRule="auto"/>
        <w:contextualSpacing/>
        <w:rPr>
          <w:rFonts w:asciiTheme="minorHAnsi" w:eastAsiaTheme="minorHAnsi" w:hAnsiTheme="minorHAnsi" w:cstheme="minorBidi"/>
          <w:szCs w:val="22"/>
          <w:lang w:eastAsia="en-US"/>
        </w:rPr>
      </w:pPr>
      <w:proofErr w:type="spellStart"/>
      <w:r w:rsidRPr="008974D4">
        <w:rPr>
          <w:rFonts w:asciiTheme="minorHAnsi" w:eastAsiaTheme="minorHAnsi" w:hAnsiTheme="minorHAnsi" w:cstheme="minorBidi"/>
          <w:szCs w:val="22"/>
          <w:lang w:eastAsia="en-US"/>
        </w:rPr>
        <w:t>Waukivory</w:t>
      </w:r>
      <w:proofErr w:type="spellEnd"/>
      <w:r w:rsidRPr="008974D4">
        <w:rPr>
          <w:rFonts w:asciiTheme="minorHAnsi" w:eastAsiaTheme="minorHAnsi" w:hAnsiTheme="minorHAnsi" w:cstheme="minorBidi"/>
          <w:szCs w:val="22"/>
          <w:lang w:eastAsia="en-US"/>
        </w:rPr>
        <w:t xml:space="preserve"> – 11 August</w:t>
      </w:r>
    </w:p>
    <w:p w:rsidR="00776CA4" w:rsidRPr="008974D4" w:rsidRDefault="00776CA4" w:rsidP="00776CA4">
      <w:pPr>
        <w:spacing w:line="276" w:lineRule="auto"/>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776CA4" w:rsidRPr="008974D4" w:rsidRDefault="00776CA4" w:rsidP="00776CA4">
      <w:pPr>
        <w:spacing w:line="276" w:lineRule="auto"/>
        <w:ind w:left="66"/>
        <w:rPr>
          <w:rFonts w:asciiTheme="minorHAnsi" w:eastAsiaTheme="minorHAnsi" w:hAnsiTheme="minorHAnsi" w:cstheme="minorBidi"/>
          <w:szCs w:val="22"/>
          <w:lang w:eastAsia="en-US"/>
        </w:rPr>
      </w:pP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5 March</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12 March</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19 March</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26 March</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 April</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30 April</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June</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lastRenderedPageBreak/>
        <w:t>7 July</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16 July</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7 August</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14 August</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13 August</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20 August</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27 August</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17 September</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15 October</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22 October</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19 November</w:t>
      </w:r>
    </w:p>
    <w:p w:rsidR="00776CA4" w:rsidRPr="008974D4" w:rsidRDefault="00776CA4" w:rsidP="0060639F">
      <w:pPr>
        <w:numPr>
          <w:ilvl w:val="0"/>
          <w:numId w:val="49"/>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29 November</w:t>
      </w:r>
    </w:p>
    <w:p w:rsidR="008974D4" w:rsidRDefault="008974D4" w:rsidP="008974D4">
      <w:pPr>
        <w:spacing w:after="200" w:line="276" w:lineRule="auto"/>
        <w:contextualSpacing/>
        <w:rPr>
          <w:rFonts w:ascii="Arial" w:eastAsiaTheme="minorHAnsi" w:hAnsi="Arial" w:cstheme="minorBidi"/>
          <w:sz w:val="24"/>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i/>
          <w:szCs w:val="22"/>
          <w:lang w:eastAsia="en-US"/>
        </w:rPr>
        <w:t xml:space="preserve">“From the Mayor’s Desk” </w:t>
      </w:r>
      <w:r w:rsidRPr="008974D4">
        <w:rPr>
          <w:rFonts w:asciiTheme="minorHAnsi" w:eastAsiaTheme="minorHAnsi" w:hAnsiTheme="minorHAnsi" w:cstheme="minorBidi"/>
          <w:szCs w:val="22"/>
          <w:lang w:eastAsia="en-US"/>
        </w:rPr>
        <w:t>appearing in the Gloucester Advocate:</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60639F">
      <w:pPr>
        <w:numPr>
          <w:ilvl w:val="0"/>
          <w:numId w:val="51"/>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4 June</w:t>
      </w:r>
    </w:p>
    <w:p w:rsidR="00776CA4" w:rsidRPr="008974D4" w:rsidRDefault="00776CA4" w:rsidP="0060639F">
      <w:pPr>
        <w:numPr>
          <w:ilvl w:val="0"/>
          <w:numId w:val="51"/>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 July</w:t>
      </w:r>
    </w:p>
    <w:p w:rsidR="00776CA4" w:rsidRPr="008974D4" w:rsidRDefault="00776CA4" w:rsidP="00776CA4">
      <w:pPr>
        <w:spacing w:line="276" w:lineRule="auto"/>
        <w:ind w:left="720"/>
        <w:contextualSpacing/>
        <w:rPr>
          <w:rFonts w:asciiTheme="minorHAnsi" w:eastAsiaTheme="minorHAnsi" w:hAnsiTheme="minorHAnsi" w:cstheme="minorBidi"/>
          <w:szCs w:val="22"/>
          <w:lang w:eastAsia="en-US"/>
        </w:rPr>
      </w:pP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776CA4" w:rsidRPr="008974D4" w:rsidRDefault="00776CA4" w:rsidP="00776CA4">
      <w:pPr>
        <w:spacing w:line="276" w:lineRule="auto"/>
        <w:rPr>
          <w:rFonts w:asciiTheme="minorHAnsi" w:eastAsiaTheme="minorHAnsi" w:hAnsiTheme="minorHAnsi" w:cstheme="minorBidi"/>
          <w:szCs w:val="22"/>
          <w:lang w:eastAsia="en-US"/>
        </w:rPr>
      </w:pPr>
    </w:p>
    <w:tbl>
      <w:tblPr>
        <w:tblStyle w:val="TableGrid2"/>
        <w:tblW w:w="0" w:type="auto"/>
        <w:tblInd w:w="66" w:type="dxa"/>
        <w:tblLook w:val="04A0" w:firstRow="1" w:lastRow="0" w:firstColumn="1" w:lastColumn="0" w:noHBand="0" w:noVBand="1"/>
      </w:tblPr>
      <w:tblGrid>
        <w:gridCol w:w="2081"/>
        <w:gridCol w:w="6574"/>
      </w:tblGrid>
      <w:tr w:rsidR="00776CA4" w:rsidRPr="008974D4" w:rsidTr="004A6772">
        <w:tc>
          <w:tcPr>
            <w:tcW w:w="2081" w:type="dxa"/>
          </w:tcPr>
          <w:p w:rsidR="00776CA4" w:rsidRPr="004A6772" w:rsidRDefault="00776CA4" w:rsidP="00776CA4">
            <w:pPr>
              <w:rPr>
                <w:rFonts w:asciiTheme="minorHAnsi" w:hAnsiTheme="minorHAnsi"/>
                <w:b/>
                <w:szCs w:val="22"/>
              </w:rPr>
            </w:pPr>
            <w:r w:rsidRPr="004A6772">
              <w:rPr>
                <w:rFonts w:asciiTheme="minorHAnsi" w:hAnsiTheme="minorHAnsi"/>
                <w:b/>
                <w:szCs w:val="22"/>
              </w:rPr>
              <w:t>Meeting Date</w:t>
            </w:r>
          </w:p>
        </w:tc>
        <w:tc>
          <w:tcPr>
            <w:tcW w:w="6574" w:type="dxa"/>
          </w:tcPr>
          <w:p w:rsidR="00776CA4" w:rsidRPr="004A6772" w:rsidRDefault="00776CA4" w:rsidP="00776CA4">
            <w:pPr>
              <w:rPr>
                <w:rFonts w:asciiTheme="minorHAnsi" w:hAnsiTheme="minorHAnsi"/>
                <w:b/>
                <w:szCs w:val="22"/>
              </w:rPr>
            </w:pPr>
            <w:r w:rsidRPr="004A6772">
              <w:rPr>
                <w:rFonts w:asciiTheme="minorHAnsi" w:hAnsiTheme="minorHAnsi"/>
                <w:b/>
                <w:szCs w:val="22"/>
              </w:rPr>
              <w:t>Details</w:t>
            </w:r>
          </w:p>
        </w:tc>
      </w:tr>
      <w:tr w:rsidR="00776CA4" w:rsidRPr="008974D4" w:rsidTr="004A6772">
        <w:tc>
          <w:tcPr>
            <w:tcW w:w="2081" w:type="dxa"/>
          </w:tcPr>
          <w:p w:rsidR="00776CA4" w:rsidRPr="008974D4" w:rsidRDefault="00776CA4" w:rsidP="00776CA4">
            <w:pPr>
              <w:rPr>
                <w:rFonts w:asciiTheme="minorHAnsi" w:hAnsiTheme="minorHAnsi"/>
                <w:szCs w:val="22"/>
              </w:rPr>
            </w:pPr>
            <w:r w:rsidRPr="008974D4">
              <w:rPr>
                <w:rFonts w:asciiTheme="minorHAnsi" w:hAnsiTheme="minorHAnsi"/>
                <w:szCs w:val="22"/>
              </w:rPr>
              <w:t>20 February</w:t>
            </w:r>
          </w:p>
        </w:tc>
        <w:tc>
          <w:tcPr>
            <w:tcW w:w="6574" w:type="dxa"/>
          </w:tcPr>
          <w:p w:rsidR="00776CA4" w:rsidRPr="008974D4" w:rsidRDefault="00776CA4" w:rsidP="00776CA4">
            <w:pPr>
              <w:rPr>
                <w:rFonts w:asciiTheme="minorHAnsi" w:hAnsiTheme="minorHAnsi"/>
                <w:szCs w:val="22"/>
              </w:rPr>
            </w:pPr>
            <w:r w:rsidRPr="008974D4">
              <w:rPr>
                <w:rFonts w:asciiTheme="minorHAnsi" w:hAnsiTheme="minorHAnsi"/>
                <w:szCs w:val="22"/>
              </w:rPr>
              <w:t>Adoption of Review of Delivery Program 2013-2017</w:t>
            </w:r>
          </w:p>
        </w:tc>
      </w:tr>
      <w:tr w:rsidR="00776CA4" w:rsidRPr="008974D4" w:rsidTr="004A6772">
        <w:tc>
          <w:tcPr>
            <w:tcW w:w="2081" w:type="dxa"/>
          </w:tcPr>
          <w:p w:rsidR="00776CA4" w:rsidRPr="008974D4" w:rsidRDefault="00776CA4" w:rsidP="00776CA4">
            <w:pPr>
              <w:rPr>
                <w:rFonts w:asciiTheme="minorHAnsi" w:hAnsiTheme="minorHAnsi"/>
                <w:szCs w:val="22"/>
              </w:rPr>
            </w:pPr>
            <w:r w:rsidRPr="008974D4">
              <w:rPr>
                <w:rFonts w:asciiTheme="minorHAnsi" w:hAnsiTheme="minorHAnsi"/>
                <w:szCs w:val="22"/>
              </w:rPr>
              <w:t>19 March</w:t>
            </w:r>
          </w:p>
        </w:tc>
        <w:tc>
          <w:tcPr>
            <w:tcW w:w="6574" w:type="dxa"/>
          </w:tcPr>
          <w:p w:rsidR="00776CA4" w:rsidRPr="008974D4" w:rsidRDefault="00776CA4" w:rsidP="00776CA4">
            <w:pPr>
              <w:rPr>
                <w:rFonts w:asciiTheme="minorHAnsi" w:hAnsiTheme="minorHAnsi"/>
                <w:szCs w:val="22"/>
              </w:rPr>
            </w:pPr>
            <w:r w:rsidRPr="008974D4">
              <w:rPr>
                <w:rFonts w:asciiTheme="minorHAnsi" w:hAnsiTheme="minorHAnsi"/>
                <w:szCs w:val="22"/>
              </w:rPr>
              <w:t>Question from Public Gallery as to progress of SRV</w:t>
            </w:r>
          </w:p>
        </w:tc>
      </w:tr>
      <w:tr w:rsidR="00776CA4" w:rsidRPr="008974D4" w:rsidTr="004A6772">
        <w:tc>
          <w:tcPr>
            <w:tcW w:w="2081" w:type="dxa"/>
          </w:tcPr>
          <w:p w:rsidR="00776CA4" w:rsidRPr="008974D4" w:rsidRDefault="00776CA4" w:rsidP="00776CA4">
            <w:pPr>
              <w:rPr>
                <w:rFonts w:asciiTheme="minorHAnsi" w:hAnsiTheme="minorHAnsi"/>
                <w:szCs w:val="22"/>
              </w:rPr>
            </w:pPr>
            <w:r w:rsidRPr="008974D4">
              <w:rPr>
                <w:rFonts w:asciiTheme="minorHAnsi" w:hAnsiTheme="minorHAnsi"/>
                <w:szCs w:val="22"/>
              </w:rPr>
              <w:t>21 May</w:t>
            </w:r>
          </w:p>
        </w:tc>
        <w:tc>
          <w:tcPr>
            <w:tcW w:w="6574" w:type="dxa"/>
          </w:tcPr>
          <w:p w:rsidR="00776CA4" w:rsidRPr="008974D4" w:rsidRDefault="00776CA4" w:rsidP="0060639F">
            <w:pPr>
              <w:numPr>
                <w:ilvl w:val="0"/>
                <w:numId w:val="42"/>
              </w:numPr>
              <w:contextualSpacing/>
              <w:rPr>
                <w:rFonts w:asciiTheme="minorHAnsi" w:hAnsiTheme="minorHAnsi"/>
                <w:szCs w:val="22"/>
              </w:rPr>
            </w:pPr>
            <w:r w:rsidRPr="008974D4">
              <w:rPr>
                <w:rFonts w:asciiTheme="minorHAnsi" w:hAnsiTheme="minorHAnsi"/>
                <w:szCs w:val="22"/>
              </w:rPr>
              <w:t>Amended Delivery Program for public exhibition</w:t>
            </w:r>
          </w:p>
          <w:p w:rsidR="00776CA4" w:rsidRPr="008974D4" w:rsidRDefault="00776CA4" w:rsidP="0060639F">
            <w:pPr>
              <w:numPr>
                <w:ilvl w:val="0"/>
                <w:numId w:val="42"/>
              </w:numPr>
              <w:contextualSpacing/>
              <w:rPr>
                <w:rFonts w:asciiTheme="minorHAnsi" w:hAnsiTheme="minorHAnsi"/>
                <w:szCs w:val="22"/>
              </w:rPr>
            </w:pPr>
            <w:r w:rsidRPr="008974D4">
              <w:rPr>
                <w:rFonts w:asciiTheme="minorHAnsi" w:hAnsiTheme="minorHAnsi"/>
                <w:szCs w:val="22"/>
              </w:rPr>
              <w:t>SRV of 18%, cumulative over 5 years</w:t>
            </w:r>
          </w:p>
        </w:tc>
      </w:tr>
      <w:tr w:rsidR="00776CA4" w:rsidRPr="008974D4" w:rsidTr="004A6772">
        <w:tc>
          <w:tcPr>
            <w:tcW w:w="2081" w:type="dxa"/>
          </w:tcPr>
          <w:p w:rsidR="00776CA4" w:rsidRPr="008974D4" w:rsidRDefault="00776CA4" w:rsidP="00776CA4">
            <w:pPr>
              <w:rPr>
                <w:rFonts w:asciiTheme="minorHAnsi" w:hAnsiTheme="minorHAnsi"/>
                <w:szCs w:val="22"/>
              </w:rPr>
            </w:pPr>
            <w:r w:rsidRPr="008974D4">
              <w:rPr>
                <w:rFonts w:asciiTheme="minorHAnsi" w:hAnsiTheme="minorHAnsi"/>
                <w:szCs w:val="22"/>
              </w:rPr>
              <w:t>17 September</w:t>
            </w:r>
          </w:p>
        </w:tc>
        <w:tc>
          <w:tcPr>
            <w:tcW w:w="6574" w:type="dxa"/>
          </w:tcPr>
          <w:p w:rsidR="00776CA4" w:rsidRPr="008974D4" w:rsidRDefault="00776CA4" w:rsidP="00776CA4">
            <w:pPr>
              <w:rPr>
                <w:rFonts w:asciiTheme="minorHAnsi" w:hAnsiTheme="minorHAnsi"/>
                <w:szCs w:val="22"/>
              </w:rPr>
            </w:pPr>
            <w:r w:rsidRPr="008974D4">
              <w:rPr>
                <w:rFonts w:asciiTheme="minorHAnsi" w:hAnsiTheme="minorHAnsi"/>
                <w:szCs w:val="22"/>
              </w:rPr>
              <w:t>Review of Delivery Program 2012-2016</w:t>
            </w:r>
          </w:p>
        </w:tc>
      </w:tr>
      <w:tr w:rsidR="00776CA4" w:rsidRPr="008974D4" w:rsidTr="004A6772">
        <w:tc>
          <w:tcPr>
            <w:tcW w:w="2081" w:type="dxa"/>
          </w:tcPr>
          <w:p w:rsidR="00776CA4" w:rsidRPr="008974D4" w:rsidRDefault="00776CA4" w:rsidP="00776CA4">
            <w:pPr>
              <w:rPr>
                <w:rFonts w:asciiTheme="minorHAnsi" w:hAnsiTheme="minorHAnsi"/>
                <w:szCs w:val="22"/>
              </w:rPr>
            </w:pPr>
            <w:r w:rsidRPr="008974D4">
              <w:rPr>
                <w:rFonts w:asciiTheme="minorHAnsi" w:hAnsiTheme="minorHAnsi"/>
                <w:szCs w:val="22"/>
              </w:rPr>
              <w:t>15 October</w:t>
            </w:r>
          </w:p>
        </w:tc>
        <w:tc>
          <w:tcPr>
            <w:tcW w:w="6574" w:type="dxa"/>
          </w:tcPr>
          <w:p w:rsidR="00776CA4" w:rsidRPr="008974D4" w:rsidRDefault="00776CA4" w:rsidP="0060639F">
            <w:pPr>
              <w:numPr>
                <w:ilvl w:val="0"/>
                <w:numId w:val="54"/>
              </w:numPr>
              <w:contextualSpacing/>
              <w:rPr>
                <w:rFonts w:asciiTheme="minorHAnsi" w:hAnsiTheme="minorHAnsi"/>
                <w:szCs w:val="22"/>
              </w:rPr>
            </w:pPr>
            <w:r w:rsidRPr="008974D4">
              <w:rPr>
                <w:rFonts w:asciiTheme="minorHAnsi" w:hAnsiTheme="minorHAnsi"/>
                <w:szCs w:val="22"/>
              </w:rPr>
              <w:t>Resolution that Council make application for a SRV OF 10.5%  above the standard 2.5% CPI increase to commence 1 July 2015 and to compound for the following 2 years</w:t>
            </w:r>
          </w:p>
          <w:p w:rsidR="00776CA4" w:rsidRPr="008974D4" w:rsidRDefault="00776CA4" w:rsidP="0060639F">
            <w:pPr>
              <w:numPr>
                <w:ilvl w:val="0"/>
                <w:numId w:val="54"/>
              </w:numPr>
              <w:contextualSpacing/>
              <w:rPr>
                <w:rFonts w:asciiTheme="minorHAnsi" w:hAnsiTheme="minorHAnsi"/>
                <w:szCs w:val="22"/>
              </w:rPr>
            </w:pPr>
            <w:r w:rsidRPr="008974D4">
              <w:rPr>
                <w:rFonts w:asciiTheme="minorHAnsi" w:hAnsiTheme="minorHAnsi"/>
                <w:szCs w:val="22"/>
              </w:rPr>
              <w:t>The allocation among the individual rate categories be reviewed</w:t>
            </w:r>
          </w:p>
          <w:p w:rsidR="00776CA4" w:rsidRPr="008974D4" w:rsidRDefault="00776CA4" w:rsidP="0060639F">
            <w:pPr>
              <w:numPr>
                <w:ilvl w:val="0"/>
                <w:numId w:val="54"/>
              </w:numPr>
              <w:contextualSpacing/>
              <w:rPr>
                <w:rFonts w:asciiTheme="minorHAnsi" w:hAnsiTheme="minorHAnsi"/>
                <w:szCs w:val="22"/>
              </w:rPr>
            </w:pPr>
            <w:r w:rsidRPr="008974D4">
              <w:rPr>
                <w:rFonts w:asciiTheme="minorHAnsi" w:hAnsiTheme="minorHAnsi"/>
                <w:szCs w:val="22"/>
              </w:rPr>
              <w:t>Six months prior to the expiration of this SRV (</w:t>
            </w:r>
            <w:proofErr w:type="spellStart"/>
            <w:r w:rsidRPr="008974D4">
              <w:rPr>
                <w:rFonts w:asciiTheme="minorHAnsi" w:hAnsiTheme="minorHAnsi"/>
                <w:szCs w:val="22"/>
              </w:rPr>
              <w:t>ie</w:t>
            </w:r>
            <w:proofErr w:type="spellEnd"/>
            <w:r w:rsidRPr="008974D4">
              <w:rPr>
                <w:rFonts w:asciiTheme="minorHAnsi" w:hAnsiTheme="minorHAnsi"/>
                <w:szCs w:val="22"/>
              </w:rPr>
              <w:t xml:space="preserve"> December 2017) the situation be assessed with the view to making a new application</w:t>
            </w:r>
          </w:p>
          <w:p w:rsidR="00776CA4" w:rsidRPr="008974D4" w:rsidRDefault="00776CA4" w:rsidP="0060639F">
            <w:pPr>
              <w:numPr>
                <w:ilvl w:val="0"/>
                <w:numId w:val="54"/>
              </w:numPr>
              <w:contextualSpacing/>
              <w:rPr>
                <w:rFonts w:asciiTheme="minorHAnsi" w:hAnsiTheme="minorHAnsi"/>
                <w:szCs w:val="22"/>
              </w:rPr>
            </w:pPr>
            <w:r w:rsidRPr="008974D4">
              <w:rPr>
                <w:rFonts w:asciiTheme="minorHAnsi" w:hAnsiTheme="minorHAnsi"/>
                <w:szCs w:val="22"/>
              </w:rPr>
              <w:t>The Delivery Program be amended to reflect this SRV</w:t>
            </w:r>
          </w:p>
          <w:p w:rsidR="00776CA4" w:rsidRPr="008974D4" w:rsidRDefault="00776CA4" w:rsidP="0060639F">
            <w:pPr>
              <w:numPr>
                <w:ilvl w:val="0"/>
                <w:numId w:val="54"/>
              </w:numPr>
              <w:contextualSpacing/>
              <w:rPr>
                <w:rFonts w:asciiTheme="minorHAnsi" w:hAnsiTheme="minorHAnsi"/>
                <w:szCs w:val="22"/>
              </w:rPr>
            </w:pPr>
            <w:r w:rsidRPr="008974D4">
              <w:rPr>
                <w:rFonts w:asciiTheme="minorHAnsi" w:hAnsiTheme="minorHAnsi"/>
                <w:szCs w:val="22"/>
              </w:rPr>
              <w:t>The Hardship Policy be endorsed</w:t>
            </w:r>
          </w:p>
        </w:tc>
      </w:tr>
    </w:tbl>
    <w:p w:rsidR="00776CA4" w:rsidRPr="008974D4" w:rsidRDefault="00776CA4" w:rsidP="00776CA4">
      <w:pPr>
        <w:spacing w:line="276" w:lineRule="auto"/>
        <w:ind w:left="66"/>
        <w:rPr>
          <w:rFonts w:asciiTheme="minorHAnsi" w:eastAsiaTheme="minorHAnsi" w:hAnsiTheme="minorHAnsi" w:cstheme="minorBidi"/>
          <w:szCs w:val="22"/>
          <w:lang w:eastAsia="en-US"/>
        </w:rPr>
      </w:pPr>
    </w:p>
    <w:p w:rsidR="004A6772" w:rsidRDefault="00776CA4" w:rsidP="004A6772">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2014/15 Annual Report</w:t>
      </w:r>
      <w:r w:rsidR="004A6772">
        <w:rPr>
          <w:rFonts w:asciiTheme="minorHAnsi" w:eastAsiaTheme="minorHAnsi" w:hAnsiTheme="minorHAnsi" w:cstheme="minorBidi"/>
          <w:szCs w:val="22"/>
          <w:lang w:eastAsia="en-US"/>
        </w:rPr>
        <w:t xml:space="preserve"> – on display and also direct mail out with comments to contact list.</w:t>
      </w: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p>
    <w:p w:rsidR="00776CA4" w:rsidRPr="008974D4" w:rsidRDefault="00776CA4" w:rsidP="00776CA4">
      <w:pPr>
        <w:spacing w:after="20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b/>
          <w:szCs w:val="22"/>
          <w:lang w:eastAsia="en-US"/>
        </w:rPr>
        <w:t>2015</w:t>
      </w:r>
    </w:p>
    <w:p w:rsidR="00776CA4" w:rsidRPr="008974D4" w:rsidRDefault="00776CA4" w:rsidP="008974D4">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Media articles appearing in the Gloucester Advocate:</w:t>
      </w:r>
    </w:p>
    <w:p w:rsidR="00776CA4" w:rsidRPr="008974D4" w:rsidRDefault="00776CA4" w:rsidP="00776CA4">
      <w:pPr>
        <w:spacing w:line="276" w:lineRule="auto"/>
        <w:ind w:left="360"/>
        <w:rPr>
          <w:rFonts w:asciiTheme="minorHAnsi" w:eastAsiaTheme="minorHAnsi" w:hAnsiTheme="minorHAnsi" w:cstheme="minorBidi"/>
          <w:szCs w:val="22"/>
          <w:lang w:eastAsia="en-US"/>
        </w:rPr>
      </w:pPr>
    </w:p>
    <w:p w:rsidR="00776CA4" w:rsidRPr="008974D4" w:rsidRDefault="00776CA4" w:rsidP="0060639F">
      <w:pPr>
        <w:numPr>
          <w:ilvl w:val="0"/>
          <w:numId w:val="50"/>
        </w:numPr>
        <w:spacing w:after="200" w:line="276" w:lineRule="auto"/>
        <w:ind w:left="993" w:firstLine="0"/>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21 January</w:t>
      </w:r>
    </w:p>
    <w:p w:rsidR="00776CA4" w:rsidRDefault="00776CA4" w:rsidP="0060639F">
      <w:pPr>
        <w:numPr>
          <w:ilvl w:val="0"/>
          <w:numId w:val="50"/>
        </w:numPr>
        <w:spacing w:after="200" w:line="276" w:lineRule="auto"/>
        <w:ind w:left="993" w:firstLine="0"/>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lastRenderedPageBreak/>
        <w:t>11 February</w:t>
      </w:r>
    </w:p>
    <w:p w:rsidR="001D7496" w:rsidRPr="008974D4" w:rsidRDefault="001D7496" w:rsidP="001D7496">
      <w:pPr>
        <w:spacing w:after="200" w:line="276" w:lineRule="auto"/>
        <w:ind w:left="993"/>
        <w:contextualSpacing/>
        <w:rPr>
          <w:rFonts w:asciiTheme="minorHAnsi" w:eastAsiaTheme="minorHAnsi" w:hAnsiTheme="minorHAnsi" w:cstheme="minorBidi"/>
          <w:szCs w:val="22"/>
          <w:lang w:eastAsia="en-US"/>
        </w:rPr>
      </w:pPr>
    </w:p>
    <w:p w:rsidR="001D7496" w:rsidRPr="008974D4" w:rsidRDefault="001D7496" w:rsidP="001D7496">
      <w:p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Council Reports and Resolutions</w:t>
      </w:r>
    </w:p>
    <w:p w:rsidR="001D7496" w:rsidRPr="008974D4" w:rsidRDefault="001D7496" w:rsidP="001D7496">
      <w:pPr>
        <w:spacing w:line="276" w:lineRule="auto"/>
        <w:rPr>
          <w:rFonts w:asciiTheme="minorHAnsi" w:eastAsiaTheme="minorHAnsi" w:hAnsiTheme="minorHAnsi" w:cstheme="minorBidi"/>
          <w:szCs w:val="22"/>
          <w:lang w:eastAsia="en-US"/>
        </w:rPr>
      </w:pPr>
    </w:p>
    <w:tbl>
      <w:tblPr>
        <w:tblStyle w:val="TableGrid2"/>
        <w:tblW w:w="0" w:type="auto"/>
        <w:tblInd w:w="66" w:type="dxa"/>
        <w:tblLook w:val="04A0" w:firstRow="1" w:lastRow="0" w:firstColumn="1" w:lastColumn="0" w:noHBand="0" w:noVBand="1"/>
      </w:tblPr>
      <w:tblGrid>
        <w:gridCol w:w="2081"/>
        <w:gridCol w:w="6574"/>
      </w:tblGrid>
      <w:tr w:rsidR="001D7496" w:rsidRPr="008974D4" w:rsidTr="00E71F8D">
        <w:tc>
          <w:tcPr>
            <w:tcW w:w="2081" w:type="dxa"/>
          </w:tcPr>
          <w:p w:rsidR="001D7496" w:rsidRPr="004A6772" w:rsidRDefault="001D7496" w:rsidP="00E71F8D">
            <w:pPr>
              <w:rPr>
                <w:rFonts w:asciiTheme="minorHAnsi" w:hAnsiTheme="minorHAnsi"/>
                <w:b/>
                <w:szCs w:val="22"/>
              </w:rPr>
            </w:pPr>
            <w:r w:rsidRPr="004A6772">
              <w:rPr>
                <w:rFonts w:asciiTheme="minorHAnsi" w:hAnsiTheme="minorHAnsi"/>
                <w:b/>
                <w:szCs w:val="22"/>
              </w:rPr>
              <w:t>Meeting Date</w:t>
            </w:r>
          </w:p>
        </w:tc>
        <w:tc>
          <w:tcPr>
            <w:tcW w:w="6574" w:type="dxa"/>
          </w:tcPr>
          <w:p w:rsidR="001D7496" w:rsidRPr="004A6772" w:rsidRDefault="001D7496" w:rsidP="00E71F8D">
            <w:pPr>
              <w:rPr>
                <w:rFonts w:asciiTheme="minorHAnsi" w:hAnsiTheme="minorHAnsi"/>
                <w:b/>
                <w:szCs w:val="22"/>
              </w:rPr>
            </w:pPr>
            <w:r w:rsidRPr="004A6772">
              <w:rPr>
                <w:rFonts w:asciiTheme="minorHAnsi" w:hAnsiTheme="minorHAnsi"/>
                <w:b/>
                <w:szCs w:val="22"/>
              </w:rPr>
              <w:t>Details</w:t>
            </w:r>
          </w:p>
        </w:tc>
      </w:tr>
      <w:tr w:rsidR="001D7496" w:rsidRPr="008974D4" w:rsidTr="00E71F8D">
        <w:tc>
          <w:tcPr>
            <w:tcW w:w="2081" w:type="dxa"/>
          </w:tcPr>
          <w:p w:rsidR="001D7496" w:rsidRPr="008974D4" w:rsidRDefault="001D7496" w:rsidP="001D7496">
            <w:pPr>
              <w:rPr>
                <w:rFonts w:asciiTheme="minorHAnsi" w:hAnsiTheme="minorHAnsi"/>
                <w:szCs w:val="22"/>
              </w:rPr>
            </w:pPr>
            <w:r>
              <w:rPr>
                <w:rFonts w:asciiTheme="minorHAnsi" w:hAnsiTheme="minorHAnsi"/>
                <w:szCs w:val="22"/>
              </w:rPr>
              <w:t>14</w:t>
            </w:r>
            <w:r w:rsidRPr="008974D4">
              <w:rPr>
                <w:rFonts w:asciiTheme="minorHAnsi" w:hAnsiTheme="minorHAnsi"/>
                <w:szCs w:val="22"/>
              </w:rPr>
              <w:t xml:space="preserve"> </w:t>
            </w:r>
            <w:r>
              <w:rPr>
                <w:rFonts w:asciiTheme="minorHAnsi" w:hAnsiTheme="minorHAnsi"/>
                <w:szCs w:val="22"/>
              </w:rPr>
              <w:t>Jan</w:t>
            </w:r>
            <w:r w:rsidRPr="008974D4">
              <w:rPr>
                <w:rFonts w:asciiTheme="minorHAnsi" w:hAnsiTheme="minorHAnsi"/>
                <w:szCs w:val="22"/>
              </w:rPr>
              <w:t>uary</w:t>
            </w:r>
          </w:p>
        </w:tc>
        <w:tc>
          <w:tcPr>
            <w:tcW w:w="6574" w:type="dxa"/>
          </w:tcPr>
          <w:p w:rsidR="001D7496" w:rsidRPr="008974D4" w:rsidRDefault="001D7496" w:rsidP="00E71F8D">
            <w:pPr>
              <w:rPr>
                <w:rFonts w:asciiTheme="minorHAnsi" w:hAnsiTheme="minorHAnsi"/>
                <w:szCs w:val="22"/>
              </w:rPr>
            </w:pPr>
            <w:r>
              <w:rPr>
                <w:rFonts w:asciiTheme="minorHAnsi" w:hAnsiTheme="minorHAnsi"/>
                <w:szCs w:val="22"/>
              </w:rPr>
              <w:t xml:space="preserve">Resolution to adopt allocation </w:t>
            </w:r>
          </w:p>
        </w:tc>
      </w:tr>
    </w:tbl>
    <w:p w:rsidR="001D7496" w:rsidRDefault="001D7496" w:rsidP="00776CA4">
      <w:pPr>
        <w:spacing w:after="200" w:line="276" w:lineRule="auto"/>
        <w:rPr>
          <w:rFonts w:asciiTheme="minorHAnsi" w:eastAsiaTheme="minorHAnsi" w:hAnsiTheme="minorHAnsi" w:cstheme="minorBidi"/>
          <w:b/>
          <w:szCs w:val="22"/>
          <w:lang w:eastAsia="en-US"/>
        </w:rPr>
      </w:pPr>
    </w:p>
    <w:p w:rsidR="00776CA4" w:rsidRPr="008974D4" w:rsidRDefault="00776CA4" w:rsidP="00776CA4">
      <w:pPr>
        <w:spacing w:after="200" w:line="276" w:lineRule="auto"/>
        <w:rPr>
          <w:rFonts w:asciiTheme="minorHAnsi" w:eastAsiaTheme="minorHAnsi" w:hAnsiTheme="minorHAnsi" w:cstheme="minorBidi"/>
          <w:szCs w:val="22"/>
          <w:lang w:eastAsia="en-US"/>
        </w:rPr>
      </w:pPr>
      <w:r w:rsidRPr="008974D4">
        <w:rPr>
          <w:rFonts w:asciiTheme="minorHAnsi" w:eastAsiaTheme="minorHAnsi" w:hAnsiTheme="minorHAnsi" w:cstheme="minorBidi"/>
          <w:b/>
          <w:szCs w:val="22"/>
          <w:lang w:eastAsia="en-US"/>
        </w:rPr>
        <w:t>General</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Community Strategic Plan 2014-2024</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Delivery Program – 2012-2016</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 xml:space="preserve">Challenges May 2014 - Key Messages for Councillors </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Challenges May 2014 – A Message to all Council Staff</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Grow Gloucester – Community Information and Discussion Presentation</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Assets – Presentation</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Consideration of a Special Rate Variation (Affordability) Document – as presented to the Ordinary October Council Meeting</w:t>
      </w:r>
    </w:p>
    <w:p w:rsidR="00776CA4" w:rsidRPr="008974D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Hardship Policy – adopted by Council at the Ordinary October Council Meeting</w:t>
      </w:r>
    </w:p>
    <w:p w:rsidR="00776CA4" w:rsidRDefault="00776CA4" w:rsidP="0060639F">
      <w:pPr>
        <w:numPr>
          <w:ilvl w:val="0"/>
          <w:numId w:val="43"/>
        </w:numPr>
        <w:spacing w:after="200" w:line="276" w:lineRule="auto"/>
        <w:contextualSpacing/>
        <w:rPr>
          <w:rFonts w:asciiTheme="minorHAnsi" w:eastAsiaTheme="minorHAnsi" w:hAnsiTheme="minorHAnsi" w:cstheme="minorBidi"/>
          <w:szCs w:val="22"/>
          <w:lang w:eastAsia="en-US"/>
        </w:rPr>
      </w:pPr>
      <w:r w:rsidRPr="008974D4">
        <w:rPr>
          <w:rFonts w:asciiTheme="minorHAnsi" w:eastAsiaTheme="minorHAnsi" w:hAnsiTheme="minorHAnsi" w:cstheme="minorBidi"/>
          <w:szCs w:val="22"/>
          <w:lang w:eastAsia="en-US"/>
        </w:rPr>
        <w:t>Summary of public presentations regarding the proposed SRV</w:t>
      </w:r>
    </w:p>
    <w:p w:rsidR="004A6772" w:rsidRDefault="004A6772" w:rsidP="0060639F">
      <w:pPr>
        <w:numPr>
          <w:ilvl w:val="0"/>
          <w:numId w:val="43"/>
        </w:numPr>
        <w:spacing w:after="200" w:line="276" w:lineRule="auto"/>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Direct advice to email contact list on amended documents and information for feedback</w:t>
      </w:r>
    </w:p>
    <w:p w:rsidR="001D7496" w:rsidRPr="008974D4" w:rsidRDefault="001D7496" w:rsidP="001D7496">
      <w:pPr>
        <w:spacing w:after="200" w:line="276" w:lineRule="auto"/>
        <w:ind w:left="360"/>
        <w:contextualSpacing/>
        <w:rPr>
          <w:rFonts w:asciiTheme="minorHAnsi" w:eastAsiaTheme="minorHAnsi" w:hAnsiTheme="minorHAnsi" w:cstheme="minorBidi"/>
          <w:szCs w:val="22"/>
          <w:lang w:eastAsia="en-US"/>
        </w:rPr>
      </w:pPr>
    </w:p>
    <w:p w:rsidR="00BB2473" w:rsidRDefault="00BB2473" w:rsidP="004A6772">
      <w:pPr>
        <w:pBdr>
          <w:bottom w:val="single" w:sz="4" w:space="1" w:color="auto"/>
        </w:pBdr>
      </w:pPr>
    </w:p>
    <w:p w:rsidR="00D60EA5" w:rsidRDefault="00D60EA5" w:rsidP="00D60EA5">
      <w:pPr>
        <w:pStyle w:val="Heading1"/>
      </w:pPr>
      <w:bookmarkStart w:id="43" w:name="_Toc401138379"/>
      <w:r>
        <w:t>Assessment criterion 5: Productivity improvements and cost containment strategies</w:t>
      </w:r>
      <w:bookmarkEnd w:id="43"/>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D60EA5">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eg, user charges.  Identify </w:t>
      </w:r>
      <w:r w:rsidR="00A52804" w:rsidRPr="00303275">
        <w:t xml:space="preserve">if the </w:t>
      </w:r>
      <w:r w:rsidRPr="00303275">
        <w:t>proposed initiatives</w:t>
      </w:r>
      <w:r w:rsidR="003035AF" w:rsidRPr="00303275">
        <w:t xml:space="preserve"> (ie, cost savings),</w:t>
      </w:r>
      <w:r w:rsidRPr="00303275">
        <w:t xml:space="preserve"> have been factored into the council’s resourcing strategy (eg, LTFP and AMP).</w:t>
      </w:r>
    </w:p>
    <w:p w:rsidR="00D60EA5" w:rsidRPr="00303275" w:rsidRDefault="00D60EA5" w:rsidP="00D60EA5">
      <w:pPr>
        <w:pStyle w:val="BodyText"/>
      </w:pPr>
      <w:r w:rsidRPr="00303275">
        <w:lastRenderedPageBreak/>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Default="00D83471" w:rsidP="00D60EA5">
      <w:pPr>
        <w:pStyle w:val="BodyText"/>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4A6772" w:rsidRPr="00353E2F" w:rsidRDefault="004A6772" w:rsidP="004A6772">
      <w:pPr>
        <w:pStyle w:val="BodyText"/>
        <w:pBdr>
          <w:bottom w:val="single" w:sz="4" w:space="1" w:color="auto"/>
        </w:pBdr>
        <w:rPr>
          <w:bCs/>
        </w:rPr>
      </w:pPr>
    </w:p>
    <w:p w:rsidR="00A17554" w:rsidRDefault="00A17554" w:rsidP="00862343"/>
    <w:p w:rsidR="00A04773" w:rsidRDefault="00B82820" w:rsidP="004A6772">
      <w:pPr>
        <w:pStyle w:val="BodyText"/>
        <w:rPr>
          <w:rFonts w:asciiTheme="minorHAnsi" w:hAnsiTheme="minorHAnsi"/>
          <w:szCs w:val="22"/>
        </w:rPr>
      </w:pPr>
      <w:r w:rsidRPr="00125169">
        <w:rPr>
          <w:rFonts w:asciiTheme="minorHAnsi" w:hAnsiTheme="minorHAnsi"/>
          <w:szCs w:val="22"/>
        </w:rPr>
        <w:t xml:space="preserve">Council has been on the journey of financial sustainability for several years with some efficiency measures already in process and others at various stages of implementation. </w:t>
      </w:r>
    </w:p>
    <w:p w:rsidR="00A04773" w:rsidRPr="00A04773" w:rsidRDefault="00A04773" w:rsidP="004A6772">
      <w:pPr>
        <w:pStyle w:val="BodyText"/>
        <w:rPr>
          <w:rFonts w:asciiTheme="minorHAnsi" w:hAnsiTheme="minorHAnsi"/>
          <w:szCs w:val="22"/>
          <w:u w:val="single"/>
        </w:rPr>
      </w:pPr>
      <w:r w:rsidRPr="00A04773">
        <w:rPr>
          <w:rFonts w:asciiTheme="minorHAnsi" w:hAnsiTheme="minorHAnsi"/>
          <w:szCs w:val="22"/>
          <w:u w:val="single"/>
        </w:rPr>
        <w:t>Employee costs</w:t>
      </w:r>
    </w:p>
    <w:p w:rsidR="00F533AA" w:rsidRDefault="00B82820" w:rsidP="00F533AA">
      <w:pPr>
        <w:pStyle w:val="BodyText"/>
        <w:rPr>
          <w:rFonts w:asciiTheme="minorHAnsi" w:hAnsiTheme="minorHAnsi"/>
          <w:szCs w:val="22"/>
        </w:rPr>
      </w:pPr>
      <w:r w:rsidRPr="00125169">
        <w:rPr>
          <w:rFonts w:asciiTheme="minorHAnsi" w:hAnsiTheme="minorHAnsi"/>
          <w:szCs w:val="22"/>
        </w:rPr>
        <w:t>On a staffing level, we have</w:t>
      </w:r>
      <w:r w:rsidR="00862343" w:rsidRPr="00125169">
        <w:rPr>
          <w:rFonts w:asciiTheme="minorHAnsi" w:hAnsiTheme="minorHAnsi"/>
          <w:szCs w:val="22"/>
        </w:rPr>
        <w:t xml:space="preserve"> implemented structural reform of the organisation that has resulted in </w:t>
      </w:r>
      <w:r w:rsidR="003F4CFE" w:rsidRPr="00125169">
        <w:rPr>
          <w:rFonts w:asciiTheme="minorHAnsi" w:hAnsiTheme="minorHAnsi"/>
          <w:szCs w:val="22"/>
        </w:rPr>
        <w:t xml:space="preserve">a reduction of 4 senior staff </w:t>
      </w:r>
      <w:r w:rsidR="00862343" w:rsidRPr="00125169">
        <w:rPr>
          <w:rFonts w:asciiTheme="minorHAnsi" w:hAnsiTheme="minorHAnsi"/>
          <w:szCs w:val="22"/>
        </w:rPr>
        <w:t>a</w:t>
      </w:r>
      <w:r w:rsidR="003F4CFE" w:rsidRPr="00125169">
        <w:rPr>
          <w:rFonts w:asciiTheme="minorHAnsi" w:hAnsiTheme="minorHAnsi"/>
          <w:szCs w:val="22"/>
        </w:rPr>
        <w:t>nd a moratorium on replacement of others.</w:t>
      </w:r>
      <w:r w:rsidR="00862343" w:rsidRPr="00125169">
        <w:rPr>
          <w:rFonts w:asciiTheme="minorHAnsi" w:hAnsiTheme="minorHAnsi"/>
          <w:szCs w:val="22"/>
        </w:rPr>
        <w:t xml:space="preserve"> </w:t>
      </w:r>
      <w:r w:rsidR="003F4CFE" w:rsidRPr="00125169">
        <w:rPr>
          <w:rFonts w:asciiTheme="minorHAnsi" w:hAnsiTheme="minorHAnsi"/>
          <w:szCs w:val="22"/>
        </w:rPr>
        <w:t xml:space="preserve"> This has achieved a </w:t>
      </w:r>
      <w:r w:rsidR="003F4CFE" w:rsidRPr="00797317">
        <w:rPr>
          <w:rFonts w:asciiTheme="minorHAnsi" w:hAnsiTheme="minorHAnsi"/>
          <w:szCs w:val="22"/>
        </w:rPr>
        <w:t>10</w:t>
      </w:r>
      <w:r w:rsidR="00862343" w:rsidRPr="00797317">
        <w:rPr>
          <w:rFonts w:asciiTheme="minorHAnsi" w:hAnsiTheme="minorHAnsi"/>
          <w:szCs w:val="22"/>
        </w:rPr>
        <w:t>%</w:t>
      </w:r>
      <w:r w:rsidR="00862343" w:rsidRPr="00125169">
        <w:rPr>
          <w:rFonts w:asciiTheme="minorHAnsi" w:hAnsiTheme="minorHAnsi"/>
          <w:szCs w:val="22"/>
        </w:rPr>
        <w:t xml:space="preserve"> reduction in salaries, a flatter more responsive management team and enhanced performance management and measurement. </w:t>
      </w:r>
      <w:r w:rsidR="00797317">
        <w:rPr>
          <w:rFonts w:asciiTheme="minorHAnsi" w:hAnsiTheme="minorHAnsi"/>
          <w:szCs w:val="22"/>
        </w:rPr>
        <w:t xml:space="preserve">In addition, another senior officer </w:t>
      </w:r>
      <w:r w:rsidR="00F533AA">
        <w:rPr>
          <w:rFonts w:asciiTheme="minorHAnsi" w:hAnsiTheme="minorHAnsi"/>
          <w:szCs w:val="22"/>
        </w:rPr>
        <w:t>will not be replaced on retirement</w:t>
      </w:r>
      <w:r w:rsidR="00797317">
        <w:rPr>
          <w:rFonts w:asciiTheme="minorHAnsi" w:hAnsiTheme="minorHAnsi"/>
          <w:szCs w:val="22"/>
        </w:rPr>
        <w:t xml:space="preserve">. </w:t>
      </w:r>
      <w:r w:rsidR="00862343" w:rsidRPr="00125169">
        <w:rPr>
          <w:rFonts w:asciiTheme="minorHAnsi" w:hAnsiTheme="minorHAnsi"/>
          <w:szCs w:val="22"/>
        </w:rPr>
        <w:t xml:space="preserve"> </w:t>
      </w:r>
    </w:p>
    <w:p w:rsidR="001B0DEB" w:rsidRPr="00125169" w:rsidRDefault="00862343" w:rsidP="00F533AA">
      <w:pPr>
        <w:pStyle w:val="BodyText"/>
        <w:ind w:left="-567"/>
        <w:rPr>
          <w:rFonts w:asciiTheme="minorHAnsi" w:hAnsiTheme="minorHAnsi"/>
          <w:szCs w:val="22"/>
        </w:rPr>
      </w:pPr>
      <w:bookmarkStart w:id="44" w:name="_GoBack"/>
      <w:r w:rsidRPr="00125169">
        <w:rPr>
          <w:rFonts w:asciiTheme="minorHAnsi" w:hAnsiTheme="minorHAnsi"/>
          <w:szCs w:val="22"/>
        </w:rPr>
        <w:t xml:space="preserve">Also Council has replaced </w:t>
      </w:r>
      <w:r w:rsidR="00797317">
        <w:rPr>
          <w:rFonts w:asciiTheme="minorHAnsi" w:hAnsiTheme="minorHAnsi"/>
          <w:szCs w:val="22"/>
        </w:rPr>
        <w:t xml:space="preserve">some key </w:t>
      </w:r>
      <w:r w:rsidRPr="00125169">
        <w:rPr>
          <w:rFonts w:asciiTheme="minorHAnsi" w:hAnsiTheme="minorHAnsi"/>
          <w:szCs w:val="22"/>
        </w:rPr>
        <w:t>staff with better qualified and progressive employees.</w:t>
      </w:r>
      <w:r w:rsidR="001B0DEB" w:rsidRPr="00125169">
        <w:rPr>
          <w:rFonts w:asciiTheme="minorHAnsi" w:hAnsiTheme="minorHAnsi"/>
          <w:szCs w:val="22"/>
        </w:rPr>
        <w:t xml:space="preserve"> For example we have employed a qualified and experienced Finance Manager who along with enhancing our budget reporting </w:t>
      </w:r>
      <w:r w:rsidR="00125169" w:rsidRPr="00125169">
        <w:rPr>
          <w:rFonts w:asciiTheme="minorHAnsi" w:hAnsiTheme="minorHAnsi"/>
          <w:szCs w:val="22"/>
        </w:rPr>
        <w:t>has minimized our insurance costs, introduced</w:t>
      </w:r>
      <w:r w:rsidR="001B0DEB" w:rsidRPr="00125169">
        <w:rPr>
          <w:rFonts w:asciiTheme="minorHAnsi" w:hAnsiTheme="minorHAnsi"/>
          <w:szCs w:val="22"/>
        </w:rPr>
        <w:t xml:space="preserve"> process </w:t>
      </w:r>
      <w:r w:rsidR="009C5515" w:rsidRPr="00125169">
        <w:rPr>
          <w:rFonts w:asciiTheme="minorHAnsi" w:hAnsiTheme="minorHAnsi"/>
          <w:szCs w:val="22"/>
        </w:rPr>
        <w:t>review of</w:t>
      </w:r>
      <w:r w:rsidR="00125169" w:rsidRPr="00125169">
        <w:rPr>
          <w:rFonts w:asciiTheme="minorHAnsi" w:hAnsiTheme="minorHAnsi"/>
          <w:szCs w:val="22"/>
        </w:rPr>
        <w:t xml:space="preserve"> expense lines such as grants, </w:t>
      </w:r>
      <w:r w:rsidR="001B0DEB" w:rsidRPr="00125169">
        <w:rPr>
          <w:rFonts w:asciiTheme="minorHAnsi" w:hAnsiTheme="minorHAnsi"/>
          <w:szCs w:val="22"/>
        </w:rPr>
        <w:t xml:space="preserve">fuel, credit cards, stock issue, and cash </w:t>
      </w:r>
      <w:r w:rsidR="009C5515" w:rsidRPr="00125169">
        <w:rPr>
          <w:rFonts w:asciiTheme="minorHAnsi" w:hAnsiTheme="minorHAnsi"/>
          <w:szCs w:val="22"/>
        </w:rPr>
        <w:t xml:space="preserve">handling. </w:t>
      </w:r>
      <w:r w:rsidR="001B0DEB" w:rsidRPr="00125169">
        <w:rPr>
          <w:rFonts w:asciiTheme="minorHAnsi" w:hAnsiTheme="minorHAnsi"/>
          <w:szCs w:val="22"/>
        </w:rPr>
        <w:t>The review in property insurance saw the bill decrease by $18k from the 2014 to the 2015 year.</w:t>
      </w:r>
    </w:p>
    <w:p w:rsidR="00797317" w:rsidRDefault="004C387D" w:rsidP="00A04773">
      <w:pPr>
        <w:pStyle w:val="BodyText"/>
        <w:ind w:left="-567"/>
        <w:rPr>
          <w:rFonts w:asciiTheme="minorHAnsi" w:hAnsiTheme="minorHAnsi"/>
          <w:szCs w:val="22"/>
        </w:rPr>
      </w:pPr>
      <w:r w:rsidRPr="00125169">
        <w:rPr>
          <w:rFonts w:asciiTheme="minorHAnsi" w:hAnsiTheme="minorHAnsi"/>
          <w:szCs w:val="22"/>
        </w:rPr>
        <w:t>T</w:t>
      </w:r>
      <w:r w:rsidR="00DF2F3D">
        <w:rPr>
          <w:rFonts w:asciiTheme="minorHAnsi" w:hAnsiTheme="minorHAnsi"/>
          <w:szCs w:val="22"/>
        </w:rPr>
        <w:t>h</w:t>
      </w:r>
      <w:r w:rsidRPr="00125169">
        <w:rPr>
          <w:rFonts w:asciiTheme="minorHAnsi" w:hAnsiTheme="minorHAnsi"/>
          <w:szCs w:val="22"/>
        </w:rPr>
        <w:t xml:space="preserve">ese </w:t>
      </w:r>
      <w:r w:rsidR="00125169" w:rsidRPr="00125169">
        <w:rPr>
          <w:rFonts w:asciiTheme="minorHAnsi" w:hAnsiTheme="minorHAnsi"/>
          <w:szCs w:val="22"/>
        </w:rPr>
        <w:t xml:space="preserve">staffing </w:t>
      </w:r>
      <w:r w:rsidRPr="00125169">
        <w:rPr>
          <w:rFonts w:asciiTheme="minorHAnsi" w:hAnsiTheme="minorHAnsi"/>
          <w:szCs w:val="22"/>
        </w:rPr>
        <w:t>reductions ha</w:t>
      </w:r>
      <w:r w:rsidR="00DF2F3D">
        <w:rPr>
          <w:rFonts w:asciiTheme="minorHAnsi" w:hAnsiTheme="minorHAnsi"/>
          <w:szCs w:val="22"/>
        </w:rPr>
        <w:t>ve</w:t>
      </w:r>
      <w:r w:rsidRPr="00125169">
        <w:rPr>
          <w:rFonts w:asciiTheme="minorHAnsi" w:hAnsiTheme="minorHAnsi"/>
          <w:szCs w:val="22"/>
        </w:rPr>
        <w:t xml:space="preserve"> resulted in many staff </w:t>
      </w:r>
      <w:r w:rsidR="00125169" w:rsidRPr="00125169">
        <w:rPr>
          <w:rFonts w:asciiTheme="minorHAnsi" w:hAnsiTheme="minorHAnsi"/>
          <w:szCs w:val="22"/>
        </w:rPr>
        <w:t xml:space="preserve">roles being reconfigured to now </w:t>
      </w:r>
      <w:r w:rsidRPr="00125169">
        <w:rPr>
          <w:rFonts w:asciiTheme="minorHAnsi" w:hAnsiTheme="minorHAnsi"/>
          <w:szCs w:val="22"/>
        </w:rPr>
        <w:t>perform more than one key role. For example</w:t>
      </w:r>
      <w:r w:rsidR="00797317">
        <w:rPr>
          <w:rFonts w:asciiTheme="minorHAnsi" w:hAnsiTheme="minorHAnsi"/>
          <w:szCs w:val="22"/>
        </w:rPr>
        <w:t>:</w:t>
      </w:r>
    </w:p>
    <w:bookmarkEnd w:id="44"/>
    <w:p w:rsidR="00F533AA" w:rsidRDefault="004C387D" w:rsidP="0060639F">
      <w:pPr>
        <w:pStyle w:val="BodyText"/>
        <w:numPr>
          <w:ilvl w:val="0"/>
          <w:numId w:val="56"/>
        </w:numPr>
        <w:ind w:left="0" w:hanging="426"/>
        <w:rPr>
          <w:rFonts w:asciiTheme="minorHAnsi" w:hAnsiTheme="minorHAnsi"/>
          <w:szCs w:val="22"/>
        </w:rPr>
      </w:pPr>
      <w:r w:rsidRPr="00125169">
        <w:rPr>
          <w:rFonts w:asciiTheme="minorHAnsi" w:hAnsiTheme="minorHAnsi"/>
          <w:szCs w:val="22"/>
        </w:rPr>
        <w:t xml:space="preserve">Manager Technical Services also carries out the roles of Operations Engineer, Strategic Engineer, Grants Officer, Design Engineer, Tech Services Office Manager, Engineering cost clerk and Construction/Maintenance oversight. </w:t>
      </w:r>
    </w:p>
    <w:p w:rsidR="004C387D" w:rsidRPr="00125169" w:rsidRDefault="004C387D" w:rsidP="0060639F">
      <w:pPr>
        <w:pStyle w:val="BodyText"/>
        <w:numPr>
          <w:ilvl w:val="0"/>
          <w:numId w:val="56"/>
        </w:numPr>
        <w:ind w:left="0" w:hanging="426"/>
        <w:rPr>
          <w:rFonts w:asciiTheme="minorHAnsi" w:hAnsiTheme="minorHAnsi"/>
          <w:szCs w:val="22"/>
        </w:rPr>
      </w:pPr>
      <w:r w:rsidRPr="00125169">
        <w:rPr>
          <w:rFonts w:asciiTheme="minorHAnsi" w:hAnsiTheme="minorHAnsi"/>
          <w:szCs w:val="22"/>
        </w:rPr>
        <w:t xml:space="preserve">Our Operation staff </w:t>
      </w:r>
      <w:r w:rsidR="00F533AA">
        <w:rPr>
          <w:rFonts w:asciiTheme="minorHAnsi" w:hAnsiTheme="minorHAnsi"/>
          <w:szCs w:val="22"/>
        </w:rPr>
        <w:t>multi-function to cover vacancies in</w:t>
      </w:r>
      <w:r w:rsidRPr="00125169">
        <w:rPr>
          <w:rFonts w:asciiTheme="minorHAnsi" w:hAnsiTheme="minorHAnsi"/>
          <w:szCs w:val="22"/>
        </w:rPr>
        <w:t xml:space="preserve"> areas such as Mechanic, plant operators and skilled concrete and timber </w:t>
      </w:r>
      <w:proofErr w:type="gramStart"/>
      <w:r w:rsidRPr="00125169">
        <w:rPr>
          <w:rFonts w:asciiTheme="minorHAnsi" w:hAnsiTheme="minorHAnsi"/>
          <w:szCs w:val="22"/>
        </w:rPr>
        <w:t>trades</w:t>
      </w:r>
      <w:proofErr w:type="gramEnd"/>
      <w:r w:rsidRPr="00125169">
        <w:rPr>
          <w:rFonts w:asciiTheme="minorHAnsi" w:hAnsiTheme="minorHAnsi"/>
          <w:szCs w:val="22"/>
        </w:rPr>
        <w:t xml:space="preserve"> persons.</w:t>
      </w:r>
    </w:p>
    <w:p w:rsidR="004C387D" w:rsidRPr="00125169" w:rsidRDefault="004C387D" w:rsidP="0060639F">
      <w:pPr>
        <w:pStyle w:val="BodyText"/>
        <w:numPr>
          <w:ilvl w:val="0"/>
          <w:numId w:val="56"/>
        </w:numPr>
        <w:ind w:left="0" w:hanging="426"/>
        <w:rPr>
          <w:rFonts w:asciiTheme="minorHAnsi" w:hAnsiTheme="minorHAnsi"/>
          <w:szCs w:val="22"/>
        </w:rPr>
      </w:pPr>
      <w:r w:rsidRPr="00125169">
        <w:rPr>
          <w:rFonts w:asciiTheme="minorHAnsi" w:hAnsiTheme="minorHAnsi"/>
          <w:szCs w:val="22"/>
        </w:rPr>
        <w:t>Risk inspections (e.g. of council facilities and roads) are conducted on a wider basis and management and recruitment of volunteers is conducted as part of a wider role.</w:t>
      </w:r>
    </w:p>
    <w:p w:rsidR="004C387D" w:rsidRPr="00125169" w:rsidRDefault="004C387D" w:rsidP="0060639F">
      <w:pPr>
        <w:pStyle w:val="BodyText"/>
        <w:numPr>
          <w:ilvl w:val="0"/>
          <w:numId w:val="56"/>
        </w:numPr>
        <w:ind w:left="0" w:hanging="426"/>
        <w:rPr>
          <w:rFonts w:asciiTheme="minorHAnsi" w:hAnsiTheme="minorHAnsi"/>
          <w:szCs w:val="22"/>
        </w:rPr>
      </w:pPr>
      <w:r w:rsidRPr="00125169">
        <w:rPr>
          <w:rFonts w:asciiTheme="minorHAnsi" w:hAnsiTheme="minorHAnsi"/>
          <w:szCs w:val="22"/>
        </w:rPr>
        <w:t xml:space="preserve">The General Manager </w:t>
      </w:r>
      <w:r w:rsidR="00125169" w:rsidRPr="00125169">
        <w:rPr>
          <w:rFonts w:asciiTheme="minorHAnsi" w:hAnsiTheme="minorHAnsi"/>
          <w:szCs w:val="22"/>
        </w:rPr>
        <w:t xml:space="preserve">has </w:t>
      </w:r>
      <w:r w:rsidR="00797317">
        <w:rPr>
          <w:rFonts w:asciiTheme="minorHAnsi" w:hAnsiTheme="minorHAnsi"/>
          <w:szCs w:val="22"/>
        </w:rPr>
        <w:t>taken on</w:t>
      </w:r>
      <w:r w:rsidR="00125169" w:rsidRPr="00125169">
        <w:rPr>
          <w:rFonts w:asciiTheme="minorHAnsi" w:hAnsiTheme="minorHAnsi"/>
          <w:szCs w:val="22"/>
        </w:rPr>
        <w:t xml:space="preserve"> </w:t>
      </w:r>
      <w:r w:rsidRPr="00125169">
        <w:rPr>
          <w:rFonts w:asciiTheme="minorHAnsi" w:hAnsiTheme="minorHAnsi"/>
          <w:szCs w:val="22"/>
        </w:rPr>
        <w:t>the role</w:t>
      </w:r>
      <w:r w:rsidR="00125169" w:rsidRPr="00125169">
        <w:rPr>
          <w:rFonts w:asciiTheme="minorHAnsi" w:hAnsiTheme="minorHAnsi"/>
          <w:szCs w:val="22"/>
        </w:rPr>
        <w:t>s</w:t>
      </w:r>
      <w:r w:rsidRPr="00125169">
        <w:rPr>
          <w:rFonts w:asciiTheme="minorHAnsi" w:hAnsiTheme="minorHAnsi"/>
          <w:szCs w:val="22"/>
        </w:rPr>
        <w:t xml:space="preserve"> of economic development and community development together with IP&amp;R, Governance, HR Management and strategy development.</w:t>
      </w:r>
    </w:p>
    <w:p w:rsidR="00125169" w:rsidRPr="00125169" w:rsidRDefault="001622B6" w:rsidP="00A04773">
      <w:pPr>
        <w:pStyle w:val="BodyText"/>
        <w:ind w:left="-567"/>
        <w:rPr>
          <w:rFonts w:asciiTheme="minorHAnsi" w:hAnsiTheme="minorHAnsi"/>
          <w:szCs w:val="22"/>
        </w:rPr>
      </w:pPr>
      <w:r>
        <w:rPr>
          <w:rFonts w:asciiTheme="minorHAnsi" w:hAnsiTheme="minorHAnsi"/>
          <w:szCs w:val="22"/>
        </w:rPr>
        <w:t>The restructure enabled a reallocation that has seen an internal promotion to create a dedic</w:t>
      </w:r>
      <w:r w:rsidR="009C5515" w:rsidRPr="00125169">
        <w:rPr>
          <w:rFonts w:asciiTheme="minorHAnsi" w:hAnsiTheme="minorHAnsi"/>
          <w:szCs w:val="22"/>
        </w:rPr>
        <w:t>ated</w:t>
      </w:r>
      <w:r w:rsidR="00125169" w:rsidRPr="00125169">
        <w:rPr>
          <w:rFonts w:asciiTheme="minorHAnsi" w:hAnsiTheme="minorHAnsi"/>
          <w:szCs w:val="22"/>
        </w:rPr>
        <w:t xml:space="preserve"> HR Officer </w:t>
      </w:r>
      <w:r w:rsidR="00F533AA">
        <w:rPr>
          <w:rFonts w:asciiTheme="minorHAnsi" w:hAnsiTheme="minorHAnsi"/>
          <w:szCs w:val="22"/>
        </w:rPr>
        <w:t>whereby</w:t>
      </w:r>
      <w:r>
        <w:rPr>
          <w:rFonts w:asciiTheme="minorHAnsi" w:hAnsiTheme="minorHAnsi"/>
          <w:szCs w:val="22"/>
        </w:rPr>
        <w:t xml:space="preserve"> a</w:t>
      </w:r>
      <w:r w:rsidR="00125169" w:rsidRPr="00125169">
        <w:rPr>
          <w:rFonts w:asciiTheme="minorHAnsi" w:hAnsiTheme="minorHAnsi"/>
          <w:szCs w:val="22"/>
        </w:rPr>
        <w:t xml:space="preserve"> formal employee performance management system</w:t>
      </w:r>
      <w:r w:rsidR="00F533AA">
        <w:rPr>
          <w:rFonts w:asciiTheme="minorHAnsi" w:hAnsiTheme="minorHAnsi"/>
          <w:szCs w:val="22"/>
        </w:rPr>
        <w:t>,</w:t>
      </w:r>
      <w:r w:rsidR="00125169" w:rsidRPr="00125169">
        <w:rPr>
          <w:rFonts w:asciiTheme="minorHAnsi" w:hAnsiTheme="minorHAnsi"/>
          <w:szCs w:val="22"/>
        </w:rPr>
        <w:t xml:space="preserve"> aligning all staff to the long term goals of the community</w:t>
      </w:r>
      <w:r w:rsidR="00F533AA">
        <w:rPr>
          <w:rFonts w:asciiTheme="minorHAnsi" w:hAnsiTheme="minorHAnsi"/>
          <w:szCs w:val="22"/>
        </w:rPr>
        <w:t>, can now be introduced</w:t>
      </w:r>
      <w:r w:rsidR="00125169" w:rsidRPr="00125169">
        <w:rPr>
          <w:rFonts w:asciiTheme="minorHAnsi" w:hAnsiTheme="minorHAnsi"/>
          <w:szCs w:val="22"/>
        </w:rPr>
        <w:t xml:space="preserve">. The staff bonus has been reallocated to a wider motivational rewards and recognition system. </w:t>
      </w:r>
    </w:p>
    <w:p w:rsidR="00A04773" w:rsidRPr="00A04773" w:rsidRDefault="00A04773" w:rsidP="00F533AA">
      <w:pPr>
        <w:pStyle w:val="BodyText"/>
        <w:ind w:left="-567" w:right="-567"/>
        <w:rPr>
          <w:rFonts w:asciiTheme="minorHAnsi" w:hAnsiTheme="minorHAnsi"/>
          <w:szCs w:val="22"/>
          <w:u w:val="single"/>
        </w:rPr>
      </w:pPr>
      <w:proofErr w:type="spellStart"/>
      <w:r w:rsidRPr="00A04773">
        <w:rPr>
          <w:rFonts w:asciiTheme="minorHAnsi" w:hAnsiTheme="minorHAnsi"/>
          <w:szCs w:val="22"/>
          <w:u w:val="single"/>
        </w:rPr>
        <w:lastRenderedPageBreak/>
        <w:t>Efficiencys</w:t>
      </w:r>
      <w:proofErr w:type="spellEnd"/>
    </w:p>
    <w:p w:rsidR="00862343" w:rsidRPr="00125169" w:rsidRDefault="00862343" w:rsidP="00F533AA">
      <w:pPr>
        <w:pStyle w:val="BodyText"/>
        <w:ind w:left="-567" w:right="-567"/>
        <w:rPr>
          <w:rFonts w:asciiTheme="minorHAnsi" w:hAnsiTheme="minorHAnsi"/>
          <w:szCs w:val="22"/>
        </w:rPr>
      </w:pPr>
      <w:r w:rsidRPr="00125169">
        <w:rPr>
          <w:rFonts w:asciiTheme="minorHAnsi" w:hAnsiTheme="minorHAnsi"/>
          <w:szCs w:val="22"/>
        </w:rPr>
        <w:t>Council has identified the organisational discrete service units to enable KPIs to be defined, for authority levels to be appropriately applied and specific costs for that service delivery function to be quantified.</w:t>
      </w:r>
    </w:p>
    <w:p w:rsidR="00862343" w:rsidRPr="00125169" w:rsidRDefault="00862343" w:rsidP="00F533AA">
      <w:pPr>
        <w:pStyle w:val="BodyText"/>
        <w:ind w:left="-567" w:right="-567"/>
        <w:rPr>
          <w:rFonts w:asciiTheme="minorHAnsi" w:hAnsiTheme="minorHAnsi"/>
          <w:szCs w:val="22"/>
        </w:rPr>
      </w:pPr>
      <w:r w:rsidRPr="00125169">
        <w:rPr>
          <w:rFonts w:asciiTheme="minorHAnsi" w:hAnsiTheme="minorHAnsi"/>
          <w:szCs w:val="22"/>
        </w:rPr>
        <w:t>An efficiency working group has been formed from a cross section of council staff to take an objective perspective on certain aspects and systems. An early gain has been the introduction of the CRM customer response system that saves senior staff time by enabling more immediate and direct attention to customer queries and a process for follow up and analysis.</w:t>
      </w:r>
    </w:p>
    <w:p w:rsidR="001B0DEB" w:rsidRDefault="00862343" w:rsidP="00F533AA">
      <w:pPr>
        <w:pStyle w:val="BodyText"/>
        <w:ind w:left="-567" w:right="-567"/>
        <w:rPr>
          <w:rFonts w:asciiTheme="minorHAnsi" w:hAnsiTheme="minorHAnsi"/>
          <w:szCs w:val="22"/>
        </w:rPr>
      </w:pPr>
      <w:r w:rsidRPr="00125169">
        <w:rPr>
          <w:rFonts w:asciiTheme="minorHAnsi" w:hAnsiTheme="minorHAnsi"/>
          <w:szCs w:val="22"/>
        </w:rPr>
        <w:t xml:space="preserve">Formal Project Management has been </w:t>
      </w:r>
      <w:r w:rsidR="001B0DEB" w:rsidRPr="00125169">
        <w:rPr>
          <w:rFonts w:asciiTheme="minorHAnsi" w:hAnsiTheme="minorHAnsi"/>
          <w:szCs w:val="22"/>
        </w:rPr>
        <w:t>implemente</w:t>
      </w:r>
      <w:r w:rsidRPr="00125169">
        <w:rPr>
          <w:rFonts w:asciiTheme="minorHAnsi" w:hAnsiTheme="minorHAnsi"/>
          <w:szCs w:val="22"/>
        </w:rPr>
        <w:t>d to improve preplanning and progressive monitoring of budget and outcomes.</w:t>
      </w:r>
      <w:r w:rsidR="001B0DEB" w:rsidRPr="00125169">
        <w:rPr>
          <w:rFonts w:asciiTheme="minorHAnsi" w:hAnsiTheme="minorHAnsi"/>
          <w:szCs w:val="22"/>
        </w:rPr>
        <w:t xml:space="preserve"> This includes implementation of Quality Assurance systems on all major and complex projects including construction and maintenance projects</w:t>
      </w:r>
      <w:r w:rsidR="009C5515" w:rsidRPr="00125169">
        <w:rPr>
          <w:rFonts w:asciiTheme="minorHAnsi" w:hAnsiTheme="minorHAnsi"/>
          <w:szCs w:val="22"/>
        </w:rPr>
        <w:t>, quality</w:t>
      </w:r>
      <w:r w:rsidR="001B0DEB" w:rsidRPr="00125169">
        <w:rPr>
          <w:rFonts w:asciiTheme="minorHAnsi" w:hAnsiTheme="minorHAnsi"/>
          <w:szCs w:val="22"/>
        </w:rPr>
        <w:t xml:space="preserve"> engineering plans produced in </w:t>
      </w:r>
      <w:r w:rsidR="009C5515" w:rsidRPr="00125169">
        <w:rPr>
          <w:rFonts w:asciiTheme="minorHAnsi" w:hAnsiTheme="minorHAnsi"/>
          <w:szCs w:val="22"/>
        </w:rPr>
        <w:t>house and</w:t>
      </w:r>
      <w:r w:rsidR="001B0DEB" w:rsidRPr="00125169">
        <w:rPr>
          <w:rFonts w:asciiTheme="minorHAnsi" w:hAnsiTheme="minorHAnsi"/>
          <w:szCs w:val="22"/>
        </w:rPr>
        <w:t xml:space="preserve"> the introduction of a corporate Risk Management system.</w:t>
      </w:r>
    </w:p>
    <w:p w:rsidR="00A04773" w:rsidRPr="00125169" w:rsidRDefault="00A04773" w:rsidP="00F533AA">
      <w:pPr>
        <w:pStyle w:val="BodyText"/>
        <w:ind w:left="-567" w:right="-567"/>
        <w:rPr>
          <w:rFonts w:asciiTheme="minorHAnsi" w:hAnsiTheme="minorHAnsi"/>
          <w:szCs w:val="22"/>
        </w:rPr>
      </w:pPr>
      <w:r>
        <w:rPr>
          <w:rFonts w:asciiTheme="minorHAnsi" w:hAnsiTheme="minorHAnsi"/>
          <w:szCs w:val="22"/>
        </w:rPr>
        <w:t>Demonstrated e</w:t>
      </w:r>
      <w:r w:rsidRPr="00125169">
        <w:rPr>
          <w:rFonts w:asciiTheme="minorHAnsi" w:hAnsiTheme="minorHAnsi"/>
          <w:szCs w:val="22"/>
        </w:rPr>
        <w:t xml:space="preserve">fficiencies achieved in areas of construction and maintenance </w:t>
      </w:r>
      <w:proofErr w:type="gramStart"/>
      <w:r w:rsidRPr="00125169">
        <w:rPr>
          <w:rFonts w:asciiTheme="minorHAnsi" w:hAnsiTheme="minorHAnsi"/>
          <w:szCs w:val="22"/>
        </w:rPr>
        <w:t>include</w:t>
      </w:r>
      <w:proofErr w:type="gramEnd"/>
      <w:r w:rsidRPr="00125169">
        <w:rPr>
          <w:rFonts w:asciiTheme="minorHAnsi" w:hAnsiTheme="minorHAnsi"/>
          <w:szCs w:val="22"/>
        </w:rPr>
        <w:t>:</w:t>
      </w:r>
    </w:p>
    <w:p w:rsidR="00A04773" w:rsidRPr="00125169" w:rsidRDefault="00A04773" w:rsidP="0060639F">
      <w:pPr>
        <w:pStyle w:val="BodyText"/>
        <w:numPr>
          <w:ilvl w:val="0"/>
          <w:numId w:val="59"/>
        </w:numPr>
        <w:ind w:right="-567"/>
        <w:rPr>
          <w:rFonts w:asciiTheme="minorHAnsi" w:hAnsiTheme="minorHAnsi"/>
          <w:szCs w:val="22"/>
        </w:rPr>
      </w:pPr>
      <w:r w:rsidRPr="00125169">
        <w:rPr>
          <w:rFonts w:asciiTheme="minorHAnsi" w:hAnsiTheme="minorHAnsi"/>
          <w:szCs w:val="22"/>
        </w:rPr>
        <w:t xml:space="preserve">Replacement of bridges on shire roads using skilled day labour has proven cost effective compared to the private sector. For example </w:t>
      </w:r>
      <w:proofErr w:type="gramStart"/>
      <w:r w:rsidRPr="00125169">
        <w:rPr>
          <w:rFonts w:asciiTheme="minorHAnsi" w:hAnsiTheme="minorHAnsi"/>
          <w:szCs w:val="22"/>
        </w:rPr>
        <w:t>replacement</w:t>
      </w:r>
      <w:proofErr w:type="gramEnd"/>
      <w:r w:rsidRPr="00125169">
        <w:rPr>
          <w:rFonts w:asciiTheme="minorHAnsi" w:hAnsiTheme="minorHAnsi"/>
          <w:szCs w:val="22"/>
        </w:rPr>
        <w:t xml:space="preserve"> bridges on the </w:t>
      </w:r>
      <w:proofErr w:type="spellStart"/>
      <w:r w:rsidRPr="00125169">
        <w:rPr>
          <w:rFonts w:asciiTheme="minorHAnsi" w:hAnsiTheme="minorHAnsi"/>
          <w:szCs w:val="22"/>
        </w:rPr>
        <w:t>Bucketts</w:t>
      </w:r>
      <w:proofErr w:type="spellEnd"/>
      <w:r w:rsidRPr="00125169">
        <w:rPr>
          <w:rFonts w:asciiTheme="minorHAnsi" w:hAnsiTheme="minorHAnsi"/>
          <w:szCs w:val="22"/>
        </w:rPr>
        <w:t xml:space="preserve"> Way, designed and constructed via tender have cost $3,000 to $4,000 per m2 of deck area. Council designed and constructed bridges on local roads have cost between $1000 and $2,000 per m2 of deck area.</w:t>
      </w:r>
    </w:p>
    <w:p w:rsidR="00A04773" w:rsidRPr="00125169" w:rsidRDefault="00A04773" w:rsidP="0060639F">
      <w:pPr>
        <w:pStyle w:val="BodyText"/>
        <w:numPr>
          <w:ilvl w:val="0"/>
          <w:numId w:val="59"/>
        </w:numPr>
        <w:ind w:right="-567"/>
        <w:rPr>
          <w:rFonts w:asciiTheme="minorHAnsi" w:hAnsiTheme="minorHAnsi"/>
          <w:szCs w:val="22"/>
        </w:rPr>
      </w:pPr>
      <w:r w:rsidRPr="00125169">
        <w:rPr>
          <w:rFonts w:asciiTheme="minorHAnsi" w:hAnsiTheme="minorHAnsi"/>
          <w:szCs w:val="22"/>
        </w:rPr>
        <w:t xml:space="preserve">Refurbishment of many bridges rather than full replacement has resulted in significant savings (refurbishment costs of $500 to $1500 per m2 of deck area </w:t>
      </w:r>
      <w:r>
        <w:rPr>
          <w:rFonts w:asciiTheme="minorHAnsi" w:hAnsiTheme="minorHAnsi"/>
          <w:szCs w:val="22"/>
        </w:rPr>
        <w:t xml:space="preserve">compared to </w:t>
      </w:r>
      <w:r w:rsidRPr="00125169">
        <w:rPr>
          <w:rFonts w:asciiTheme="minorHAnsi" w:hAnsiTheme="minorHAnsi"/>
          <w:szCs w:val="22"/>
        </w:rPr>
        <w:t xml:space="preserve"> $1000 to $4,000 for full replacements)</w:t>
      </w:r>
    </w:p>
    <w:p w:rsidR="00A04773" w:rsidRPr="00125169" w:rsidRDefault="00A04773" w:rsidP="0060639F">
      <w:pPr>
        <w:pStyle w:val="BodyText"/>
        <w:numPr>
          <w:ilvl w:val="0"/>
          <w:numId w:val="59"/>
        </w:numPr>
        <w:ind w:right="-567"/>
        <w:rPr>
          <w:rFonts w:asciiTheme="minorHAnsi" w:hAnsiTheme="minorHAnsi"/>
          <w:szCs w:val="22"/>
        </w:rPr>
      </w:pPr>
      <w:r w:rsidRPr="00125169">
        <w:rPr>
          <w:rFonts w:asciiTheme="minorHAnsi" w:hAnsiTheme="minorHAnsi"/>
          <w:szCs w:val="22"/>
        </w:rPr>
        <w:t xml:space="preserve">Seal extensions (approx. 100km over last 15 </w:t>
      </w:r>
      <w:proofErr w:type="spellStart"/>
      <w:r w:rsidRPr="00125169">
        <w:rPr>
          <w:rFonts w:asciiTheme="minorHAnsi" w:hAnsiTheme="minorHAnsi"/>
          <w:szCs w:val="22"/>
        </w:rPr>
        <w:t>yrs</w:t>
      </w:r>
      <w:proofErr w:type="spellEnd"/>
      <w:r w:rsidRPr="00125169">
        <w:rPr>
          <w:rFonts w:asciiTheme="minorHAnsi" w:hAnsiTheme="minorHAnsi"/>
          <w:szCs w:val="22"/>
        </w:rPr>
        <w:t>) have reduced high maintenance cost of gravel pavements and dramatically improved level of service to users. This also results in improved levels of safety and reduced environmental impacts (i.e. reduced environmental pollution of air and waterways, and reduced demand on scarce gravel resources).</w:t>
      </w:r>
    </w:p>
    <w:p w:rsidR="00A04773" w:rsidRPr="00125169" w:rsidRDefault="00A04773" w:rsidP="0060639F">
      <w:pPr>
        <w:pStyle w:val="BodyText"/>
        <w:numPr>
          <w:ilvl w:val="0"/>
          <w:numId w:val="59"/>
        </w:numPr>
        <w:ind w:right="-567"/>
        <w:rPr>
          <w:rFonts w:asciiTheme="minorHAnsi" w:hAnsiTheme="minorHAnsi"/>
          <w:szCs w:val="22"/>
        </w:rPr>
      </w:pPr>
      <w:r w:rsidRPr="00125169">
        <w:rPr>
          <w:rFonts w:asciiTheme="minorHAnsi" w:hAnsiTheme="minorHAnsi"/>
          <w:szCs w:val="22"/>
        </w:rPr>
        <w:t>Seal extensions have also been used to eliminate high cost “nuisance” locations e.g. isolated gravel locations or “last mile” locations.</w:t>
      </w:r>
    </w:p>
    <w:p w:rsidR="00A04773" w:rsidRPr="00125169" w:rsidRDefault="00A04773" w:rsidP="0060639F">
      <w:pPr>
        <w:pStyle w:val="BodyText"/>
        <w:numPr>
          <w:ilvl w:val="0"/>
          <w:numId w:val="59"/>
        </w:numPr>
        <w:ind w:right="-567"/>
        <w:rPr>
          <w:rFonts w:asciiTheme="minorHAnsi" w:hAnsiTheme="minorHAnsi"/>
          <w:szCs w:val="22"/>
        </w:rPr>
      </w:pPr>
      <w:r w:rsidRPr="00125169">
        <w:rPr>
          <w:rFonts w:asciiTheme="minorHAnsi" w:hAnsiTheme="minorHAnsi"/>
          <w:szCs w:val="22"/>
        </w:rPr>
        <w:t>Gravel maintenance system and techniques that maximise surface longevity and minimise costs i.e. condition maintenance adopted for gravel roads, with grading techniques of utilising quality gravel with high levels of compaction at optimum moisture to prolong pavement life and reduce gravel loss.</w:t>
      </w:r>
    </w:p>
    <w:p w:rsidR="00A04773" w:rsidRPr="00125169" w:rsidRDefault="00A04773" w:rsidP="0060639F">
      <w:pPr>
        <w:pStyle w:val="BodyText"/>
        <w:numPr>
          <w:ilvl w:val="0"/>
          <w:numId w:val="59"/>
        </w:numPr>
        <w:ind w:right="-567"/>
        <w:rPr>
          <w:rFonts w:asciiTheme="minorHAnsi" w:hAnsiTheme="minorHAnsi"/>
          <w:szCs w:val="22"/>
        </w:rPr>
      </w:pPr>
      <w:r w:rsidRPr="00125169">
        <w:rPr>
          <w:rFonts w:asciiTheme="minorHAnsi" w:hAnsiTheme="minorHAnsi"/>
          <w:szCs w:val="22"/>
        </w:rPr>
        <w:t>Use of gravel potholing to extend life of gravel pavement and reduce grading frequencies.</w:t>
      </w:r>
    </w:p>
    <w:p w:rsidR="00A04773" w:rsidRPr="00125169" w:rsidRDefault="00A04773" w:rsidP="0060639F">
      <w:pPr>
        <w:pStyle w:val="BodyText"/>
        <w:numPr>
          <w:ilvl w:val="0"/>
          <w:numId w:val="59"/>
        </w:numPr>
        <w:ind w:right="-567"/>
        <w:rPr>
          <w:rFonts w:asciiTheme="minorHAnsi" w:hAnsiTheme="minorHAnsi"/>
          <w:szCs w:val="22"/>
        </w:rPr>
      </w:pPr>
      <w:r w:rsidRPr="00125169">
        <w:rPr>
          <w:rFonts w:asciiTheme="minorHAnsi" w:hAnsiTheme="minorHAnsi"/>
          <w:szCs w:val="22"/>
        </w:rPr>
        <w:t>In house bitumen sealing of new and/or refurbished works not only results in reduced project costs but has the added benefits of retaining expenditure locally and allows projects to be sealed when they are ready (not when contractor can do, which means roads must be held at ready position until contractor arrives, resulting in increased costs).</w:t>
      </w:r>
    </w:p>
    <w:p w:rsidR="00A04773" w:rsidRPr="00125169" w:rsidRDefault="00A04773" w:rsidP="00A04773">
      <w:pPr>
        <w:pStyle w:val="BodyText"/>
        <w:ind w:right="-567"/>
        <w:rPr>
          <w:rFonts w:asciiTheme="minorHAnsi" w:hAnsiTheme="minorHAnsi"/>
          <w:szCs w:val="22"/>
        </w:rPr>
      </w:pPr>
      <w:r w:rsidRPr="00125169">
        <w:rPr>
          <w:rFonts w:asciiTheme="minorHAnsi" w:hAnsiTheme="minorHAnsi"/>
          <w:szCs w:val="22"/>
        </w:rPr>
        <w:t xml:space="preserve">Council has reconfigured its accounting monitoring and reporting, with enhanced budget development and analysis </w:t>
      </w:r>
      <w:r w:rsidR="00F533AA">
        <w:rPr>
          <w:rFonts w:asciiTheme="minorHAnsi" w:hAnsiTheme="minorHAnsi"/>
          <w:szCs w:val="22"/>
        </w:rPr>
        <w:t>aligned to enhanced</w:t>
      </w:r>
      <w:r w:rsidRPr="00125169">
        <w:rPr>
          <w:rFonts w:asciiTheme="minorHAnsi" w:hAnsiTheme="minorHAnsi"/>
          <w:szCs w:val="22"/>
        </w:rPr>
        <w:t xml:space="preserve"> delegation and responsibility. A new Financial </w:t>
      </w:r>
      <w:r w:rsidRPr="00125169">
        <w:rPr>
          <w:rFonts w:asciiTheme="minorHAnsi" w:hAnsiTheme="minorHAnsi"/>
          <w:szCs w:val="22"/>
        </w:rPr>
        <w:lastRenderedPageBreak/>
        <w:t xml:space="preserve">Statements template is now used that reduces the risk of not complying with legislation </w:t>
      </w:r>
      <w:proofErr w:type="gramStart"/>
      <w:r w:rsidRPr="00125169">
        <w:rPr>
          <w:rFonts w:asciiTheme="minorHAnsi" w:hAnsiTheme="minorHAnsi"/>
          <w:szCs w:val="22"/>
        </w:rPr>
        <w:t>or  allowing</w:t>
      </w:r>
      <w:proofErr w:type="gramEnd"/>
      <w:r w:rsidRPr="00125169">
        <w:rPr>
          <w:rFonts w:asciiTheme="minorHAnsi" w:hAnsiTheme="minorHAnsi"/>
          <w:szCs w:val="22"/>
        </w:rPr>
        <w:t xml:space="preserve"> addition errors in the statements, and </w:t>
      </w:r>
      <w:r w:rsidR="00F533AA">
        <w:rPr>
          <w:rFonts w:asciiTheme="minorHAnsi" w:hAnsiTheme="minorHAnsi"/>
          <w:szCs w:val="22"/>
        </w:rPr>
        <w:t>standardisation to most</w:t>
      </w:r>
      <w:r w:rsidRPr="00125169">
        <w:rPr>
          <w:rFonts w:asciiTheme="minorHAnsi" w:hAnsiTheme="minorHAnsi"/>
          <w:szCs w:val="22"/>
        </w:rPr>
        <w:t xml:space="preserve"> other councils. </w:t>
      </w:r>
    </w:p>
    <w:p w:rsidR="00A04773" w:rsidRPr="00A04773" w:rsidRDefault="00A04773" w:rsidP="00A04773">
      <w:pPr>
        <w:pStyle w:val="BodyText"/>
        <w:ind w:right="-567"/>
        <w:rPr>
          <w:rFonts w:asciiTheme="minorHAnsi" w:hAnsiTheme="minorHAnsi"/>
          <w:szCs w:val="22"/>
          <w:u w:val="single"/>
        </w:rPr>
      </w:pPr>
      <w:r w:rsidRPr="00A04773">
        <w:rPr>
          <w:rFonts w:asciiTheme="minorHAnsi" w:hAnsiTheme="minorHAnsi"/>
          <w:szCs w:val="22"/>
          <w:u w:val="single"/>
        </w:rPr>
        <w:t>Fees and Charges</w:t>
      </w:r>
    </w:p>
    <w:p w:rsidR="00A04773" w:rsidRPr="00A04773" w:rsidRDefault="00862343" w:rsidP="00A04773">
      <w:pPr>
        <w:pStyle w:val="BodyText"/>
        <w:ind w:right="-567"/>
        <w:rPr>
          <w:rFonts w:asciiTheme="minorHAnsi" w:hAnsiTheme="minorHAnsi"/>
          <w:szCs w:val="22"/>
        </w:rPr>
      </w:pPr>
      <w:r w:rsidRPr="00125169">
        <w:rPr>
          <w:rFonts w:asciiTheme="minorHAnsi" w:hAnsiTheme="minorHAnsi"/>
          <w:szCs w:val="22"/>
        </w:rPr>
        <w:t xml:space="preserve">Our fees and charges have been reviewed in line with our service unit analysis. </w:t>
      </w:r>
      <w:r w:rsidR="00A04773" w:rsidRPr="00125169">
        <w:rPr>
          <w:rFonts w:asciiTheme="minorHAnsi" w:hAnsiTheme="minorHAnsi" w:cs="Arial"/>
          <w:szCs w:val="22"/>
        </w:rPr>
        <w:t>Council’s fees and charges are regularly reviewed with a view to introducing user pays principles for key activities to increase revenue for community projects and understand the true cross subsidy effect</w:t>
      </w:r>
    </w:p>
    <w:p w:rsidR="00A04773" w:rsidRPr="00A04773" w:rsidRDefault="00A04773" w:rsidP="00A04773">
      <w:pPr>
        <w:pStyle w:val="BodyText"/>
        <w:ind w:right="-567"/>
        <w:rPr>
          <w:rFonts w:asciiTheme="minorHAnsi" w:hAnsiTheme="minorHAnsi"/>
          <w:szCs w:val="22"/>
          <w:u w:val="single"/>
        </w:rPr>
      </w:pPr>
      <w:r w:rsidRPr="00A04773">
        <w:rPr>
          <w:rFonts w:asciiTheme="minorHAnsi" w:hAnsiTheme="minorHAnsi"/>
          <w:szCs w:val="22"/>
          <w:u w:val="single"/>
        </w:rPr>
        <w:t>Assets</w:t>
      </w:r>
    </w:p>
    <w:p w:rsidR="001B0DEB" w:rsidRPr="00125169" w:rsidRDefault="00026307" w:rsidP="00A04773">
      <w:pPr>
        <w:pStyle w:val="BodyText"/>
        <w:ind w:right="-567"/>
        <w:rPr>
          <w:rFonts w:asciiTheme="minorHAnsi" w:hAnsiTheme="minorHAnsi"/>
          <w:szCs w:val="22"/>
        </w:rPr>
      </w:pPr>
      <w:r w:rsidRPr="00125169">
        <w:rPr>
          <w:rFonts w:asciiTheme="minorHAnsi" w:hAnsiTheme="minorHAnsi" w:cs="Arial"/>
          <w:szCs w:val="22"/>
        </w:rPr>
        <w:t xml:space="preserve">As part of its efficiency review, Council </w:t>
      </w:r>
      <w:r w:rsidR="001B0DEB" w:rsidRPr="00125169">
        <w:rPr>
          <w:rFonts w:asciiTheme="minorHAnsi" w:hAnsiTheme="minorHAnsi" w:cs="Arial"/>
          <w:szCs w:val="22"/>
        </w:rPr>
        <w:t>has revised how it</w:t>
      </w:r>
      <w:r w:rsidRPr="00125169">
        <w:rPr>
          <w:rFonts w:asciiTheme="minorHAnsi" w:hAnsiTheme="minorHAnsi" w:cs="Arial"/>
          <w:szCs w:val="22"/>
        </w:rPr>
        <w:t xml:space="preserve"> assesses the condition of its assets, develops maintenance schedules and undertakes construction work, with a view to increasing the serviceable life of its assets.</w:t>
      </w:r>
      <w:r w:rsidR="001B0DEB" w:rsidRPr="00125169">
        <w:rPr>
          <w:rFonts w:asciiTheme="minorHAnsi" w:hAnsiTheme="minorHAnsi" w:cs="Arial"/>
          <w:szCs w:val="22"/>
        </w:rPr>
        <w:t xml:space="preserve"> This includes i</w:t>
      </w:r>
      <w:r w:rsidR="001B0DEB" w:rsidRPr="00125169">
        <w:rPr>
          <w:rFonts w:asciiTheme="minorHAnsi" w:hAnsiTheme="minorHAnsi"/>
          <w:szCs w:val="22"/>
        </w:rPr>
        <w:t>mplementation of stringent and accountable road assets condition assessment processes.</w:t>
      </w:r>
    </w:p>
    <w:p w:rsidR="001B0DEB" w:rsidRPr="00125169" w:rsidRDefault="001B0DEB" w:rsidP="00A04773">
      <w:pPr>
        <w:pStyle w:val="BodyText"/>
        <w:ind w:right="-567"/>
        <w:rPr>
          <w:rFonts w:asciiTheme="minorHAnsi" w:hAnsiTheme="minorHAnsi"/>
          <w:szCs w:val="22"/>
        </w:rPr>
      </w:pPr>
      <w:r w:rsidRPr="00125169">
        <w:rPr>
          <w:rFonts w:asciiTheme="minorHAnsi" w:hAnsiTheme="minorHAnsi"/>
          <w:szCs w:val="22"/>
        </w:rPr>
        <w:t>Detailed level of asset condition data allows for improved asset management programming and financial planning.</w:t>
      </w:r>
    </w:p>
    <w:p w:rsidR="00026307" w:rsidRPr="00125169" w:rsidRDefault="001B0DEB" w:rsidP="00A04773">
      <w:pPr>
        <w:pStyle w:val="BodyText"/>
        <w:ind w:right="-567"/>
        <w:rPr>
          <w:rFonts w:asciiTheme="minorHAnsi" w:hAnsiTheme="minorHAnsi" w:cs="Arial"/>
          <w:szCs w:val="22"/>
        </w:rPr>
      </w:pPr>
      <w:r w:rsidRPr="00125169">
        <w:rPr>
          <w:rFonts w:asciiTheme="minorHAnsi" w:hAnsiTheme="minorHAnsi"/>
          <w:szCs w:val="22"/>
        </w:rPr>
        <w:t xml:space="preserve">In our accounts the Fixed Asset Register is now correctly implemented to ensure the Asset register agrees to the </w:t>
      </w:r>
      <w:r w:rsidR="009C5515" w:rsidRPr="00125169">
        <w:rPr>
          <w:rFonts w:asciiTheme="minorHAnsi" w:hAnsiTheme="minorHAnsi"/>
          <w:szCs w:val="22"/>
        </w:rPr>
        <w:t>financial</w:t>
      </w:r>
      <w:r w:rsidRPr="00125169">
        <w:rPr>
          <w:rFonts w:asciiTheme="minorHAnsi" w:hAnsiTheme="minorHAnsi"/>
          <w:szCs w:val="22"/>
        </w:rPr>
        <w:t xml:space="preserve"> statements, and that engineering staff are adequately resourced to use the financial system, rather than individual spreadsheets. </w:t>
      </w:r>
    </w:p>
    <w:p w:rsidR="00A04773" w:rsidRDefault="00026307" w:rsidP="00A04773">
      <w:pPr>
        <w:pStyle w:val="BodyText"/>
        <w:ind w:right="-567"/>
        <w:rPr>
          <w:rFonts w:asciiTheme="minorHAnsi" w:hAnsiTheme="minorHAnsi" w:cs="Arial"/>
          <w:szCs w:val="22"/>
        </w:rPr>
      </w:pPr>
      <w:r w:rsidRPr="00125169">
        <w:rPr>
          <w:rFonts w:asciiTheme="minorHAnsi" w:hAnsiTheme="minorHAnsi" w:cs="Arial"/>
          <w:szCs w:val="22"/>
        </w:rPr>
        <w:t xml:space="preserve">Council currently manages a number of assets, including open space reserves, which may be surplus to community needs. </w:t>
      </w:r>
      <w:r w:rsidR="001809A2" w:rsidRPr="00125169">
        <w:rPr>
          <w:rFonts w:asciiTheme="minorHAnsi" w:hAnsiTheme="minorHAnsi" w:cs="Arial"/>
          <w:szCs w:val="22"/>
        </w:rPr>
        <w:t xml:space="preserve">Council has developed a property portfolio and promoted saleable land to local estate agents. Several parcels have been sold </w:t>
      </w:r>
      <w:r w:rsidR="00770D30">
        <w:rPr>
          <w:rFonts w:asciiTheme="minorHAnsi" w:hAnsiTheme="minorHAnsi" w:cs="Arial"/>
          <w:szCs w:val="22"/>
        </w:rPr>
        <w:t xml:space="preserve">such as for subdivision and a medical practice </w:t>
      </w:r>
      <w:r w:rsidR="001809A2" w:rsidRPr="00125169">
        <w:rPr>
          <w:rFonts w:asciiTheme="minorHAnsi" w:hAnsiTheme="minorHAnsi" w:cs="Arial"/>
          <w:szCs w:val="22"/>
        </w:rPr>
        <w:t xml:space="preserve">with projects for an aged care facility and child care facility planned </w:t>
      </w:r>
      <w:r w:rsidR="00770D30">
        <w:rPr>
          <w:rFonts w:asciiTheme="minorHAnsi" w:hAnsiTheme="minorHAnsi" w:cs="Arial"/>
          <w:szCs w:val="22"/>
        </w:rPr>
        <w:t>on</w:t>
      </w:r>
      <w:r w:rsidR="001809A2" w:rsidRPr="00125169">
        <w:rPr>
          <w:rFonts w:asciiTheme="minorHAnsi" w:hAnsiTheme="minorHAnsi" w:cs="Arial"/>
          <w:szCs w:val="22"/>
        </w:rPr>
        <w:t xml:space="preserve"> council owned land. </w:t>
      </w:r>
    </w:p>
    <w:p w:rsidR="00A04773" w:rsidRPr="00A04773" w:rsidRDefault="00A04773" w:rsidP="00A04773">
      <w:pPr>
        <w:pStyle w:val="BodyText"/>
        <w:ind w:right="-567"/>
        <w:rPr>
          <w:rFonts w:asciiTheme="minorHAnsi" w:hAnsiTheme="minorHAnsi" w:cs="Arial"/>
          <w:szCs w:val="22"/>
          <w:u w:val="single"/>
        </w:rPr>
      </w:pPr>
      <w:r w:rsidRPr="00A04773">
        <w:rPr>
          <w:rFonts w:asciiTheme="minorHAnsi" w:hAnsiTheme="minorHAnsi" w:cs="Arial"/>
          <w:szCs w:val="22"/>
          <w:u w:val="single"/>
        </w:rPr>
        <w:t>Resource Sharing</w:t>
      </w:r>
    </w:p>
    <w:p w:rsidR="00026307" w:rsidRDefault="001809A2" w:rsidP="00A04773">
      <w:pPr>
        <w:pStyle w:val="BodyText"/>
        <w:ind w:right="-567"/>
        <w:rPr>
          <w:rFonts w:asciiTheme="minorHAnsi" w:hAnsiTheme="minorHAnsi" w:cs="Arial"/>
          <w:szCs w:val="22"/>
        </w:rPr>
      </w:pPr>
      <w:r w:rsidRPr="00125169">
        <w:rPr>
          <w:rFonts w:asciiTheme="minorHAnsi" w:hAnsiTheme="minorHAnsi" w:cs="Arial"/>
          <w:szCs w:val="22"/>
        </w:rPr>
        <w:t xml:space="preserve">Council has been an active participant in regional organisations of councils including the development of a KPMG project led study into resource sharing opportunities. </w:t>
      </w:r>
      <w:r w:rsidR="00026307" w:rsidRPr="00125169">
        <w:rPr>
          <w:rFonts w:asciiTheme="minorHAnsi" w:hAnsiTheme="minorHAnsi" w:cs="Arial"/>
          <w:szCs w:val="22"/>
        </w:rPr>
        <w:t xml:space="preserve">There </w:t>
      </w:r>
      <w:r w:rsidRPr="00125169">
        <w:rPr>
          <w:rFonts w:asciiTheme="minorHAnsi" w:hAnsiTheme="minorHAnsi" w:cs="Arial"/>
          <w:szCs w:val="22"/>
        </w:rPr>
        <w:t xml:space="preserve">will </w:t>
      </w:r>
      <w:r w:rsidR="00026307" w:rsidRPr="00125169">
        <w:rPr>
          <w:rFonts w:asciiTheme="minorHAnsi" w:hAnsiTheme="minorHAnsi" w:cs="Arial"/>
          <w:szCs w:val="22"/>
        </w:rPr>
        <w:t>be opportunities for Gloucester to work in co-operation with neighbouring councils to share service provision or administrative responsibilities in a cost effective manner. There may also be</w:t>
      </w:r>
      <w:r w:rsidR="000C1577" w:rsidRPr="00125169">
        <w:rPr>
          <w:rFonts w:asciiTheme="minorHAnsi" w:hAnsiTheme="minorHAnsi" w:cs="Arial"/>
          <w:szCs w:val="22"/>
        </w:rPr>
        <w:t xml:space="preserve"> </w:t>
      </w:r>
      <w:r w:rsidR="00026307" w:rsidRPr="00125169">
        <w:rPr>
          <w:rFonts w:asciiTheme="minorHAnsi" w:hAnsiTheme="minorHAnsi" w:cs="Arial"/>
          <w:szCs w:val="22"/>
        </w:rPr>
        <w:t>opportunities for partnerships with community organisations or State and Federal government agencies to deliver services. This is an ongoing aim.</w:t>
      </w:r>
    </w:p>
    <w:p w:rsidR="00770D30" w:rsidRPr="00125169" w:rsidRDefault="00770D30" w:rsidP="00A04773">
      <w:pPr>
        <w:pStyle w:val="BodyText"/>
        <w:ind w:right="-567"/>
        <w:rPr>
          <w:rFonts w:asciiTheme="minorHAnsi" w:hAnsiTheme="minorHAnsi"/>
          <w:szCs w:val="22"/>
        </w:rPr>
      </w:pPr>
      <w:r w:rsidRPr="00125169">
        <w:rPr>
          <w:rFonts w:asciiTheme="minorHAnsi" w:hAnsiTheme="minorHAnsi"/>
          <w:szCs w:val="22"/>
        </w:rPr>
        <w:t>Joint purchasing through MIDROC and HROC for most of Councils high value commodities has resulted in many thousands of $ savings and negated the need for a dedicated purchasing officer. This includes Bitumen Emulsion, Ready Mixed Concrete, tyres, stationary, hardware, Signs and posts, pool chemicals, electricity, bulk fuel and lubricants, Traffic control services, contract labour hire, road safety barrier systems, Road Resurfacing (including resealing) etc.</w:t>
      </w:r>
    </w:p>
    <w:p w:rsidR="00026307" w:rsidRDefault="00026307" w:rsidP="00F533AA">
      <w:pPr>
        <w:pStyle w:val="BodyText"/>
        <w:tabs>
          <w:tab w:val="left" w:pos="0"/>
        </w:tabs>
        <w:ind w:right="-1134"/>
        <w:rPr>
          <w:rFonts w:asciiTheme="minorHAnsi" w:hAnsiTheme="minorHAnsi" w:cs="Arial"/>
          <w:szCs w:val="22"/>
        </w:rPr>
      </w:pPr>
      <w:r w:rsidRPr="00125169">
        <w:rPr>
          <w:rFonts w:asciiTheme="minorHAnsi" w:hAnsiTheme="minorHAnsi" w:cs="Arial"/>
          <w:szCs w:val="22"/>
        </w:rPr>
        <w:t xml:space="preserve">Council </w:t>
      </w:r>
      <w:r w:rsidR="001809A2" w:rsidRPr="00125169">
        <w:rPr>
          <w:rFonts w:asciiTheme="minorHAnsi" w:hAnsiTheme="minorHAnsi" w:cs="Arial"/>
          <w:szCs w:val="22"/>
        </w:rPr>
        <w:t>will</w:t>
      </w:r>
      <w:r w:rsidRPr="00125169">
        <w:rPr>
          <w:rFonts w:asciiTheme="minorHAnsi" w:hAnsiTheme="minorHAnsi" w:cs="Arial"/>
          <w:szCs w:val="22"/>
        </w:rPr>
        <w:t xml:space="preserve"> explore the possibilities for entrepreneurial activities and partnerships with private enterprise to deliver services.</w:t>
      </w:r>
      <w:r w:rsidR="001809A2" w:rsidRPr="00125169">
        <w:rPr>
          <w:rFonts w:asciiTheme="minorHAnsi" w:hAnsiTheme="minorHAnsi" w:cs="Arial"/>
          <w:szCs w:val="22"/>
        </w:rPr>
        <w:t xml:space="preserve"> We have almost completed a significant </w:t>
      </w:r>
      <w:r w:rsidR="009C5515" w:rsidRPr="00125169">
        <w:rPr>
          <w:rFonts w:asciiTheme="minorHAnsi" w:hAnsiTheme="minorHAnsi" w:cs="Arial"/>
          <w:szCs w:val="22"/>
        </w:rPr>
        <w:t>water and</w:t>
      </w:r>
      <w:r w:rsidR="001809A2" w:rsidRPr="00125169">
        <w:rPr>
          <w:rFonts w:asciiTheme="minorHAnsi" w:hAnsiTheme="minorHAnsi" w:cs="Arial"/>
          <w:szCs w:val="22"/>
        </w:rPr>
        <w:t xml:space="preserve"> flood study project with a resource extractor and are looking to arrange for a similar project regarding economic development.</w:t>
      </w:r>
    </w:p>
    <w:p w:rsidR="00A04773" w:rsidRPr="00A04773" w:rsidRDefault="00A04773" w:rsidP="00F533AA">
      <w:pPr>
        <w:pStyle w:val="BodyText"/>
        <w:tabs>
          <w:tab w:val="left" w:pos="567"/>
        </w:tabs>
        <w:ind w:right="-1134"/>
        <w:rPr>
          <w:rFonts w:asciiTheme="minorHAnsi" w:hAnsiTheme="minorHAnsi" w:cs="Arial"/>
          <w:szCs w:val="22"/>
          <w:u w:val="single"/>
        </w:rPr>
      </w:pPr>
      <w:r w:rsidRPr="00A04773">
        <w:rPr>
          <w:rFonts w:asciiTheme="minorHAnsi" w:hAnsiTheme="minorHAnsi" w:cs="Arial"/>
          <w:szCs w:val="22"/>
          <w:u w:val="single"/>
        </w:rPr>
        <w:t>Other Funding</w:t>
      </w:r>
    </w:p>
    <w:p w:rsidR="00F533AA" w:rsidRDefault="00026307" w:rsidP="00F533AA">
      <w:pPr>
        <w:pStyle w:val="BodyText"/>
        <w:tabs>
          <w:tab w:val="left" w:pos="567"/>
        </w:tabs>
        <w:ind w:right="-1134"/>
        <w:rPr>
          <w:rFonts w:asciiTheme="minorHAnsi" w:hAnsiTheme="minorHAnsi" w:cs="Arial"/>
          <w:szCs w:val="22"/>
        </w:rPr>
      </w:pPr>
      <w:r w:rsidRPr="00125169">
        <w:rPr>
          <w:rFonts w:asciiTheme="minorHAnsi" w:hAnsiTheme="minorHAnsi" w:cs="Arial"/>
          <w:szCs w:val="22"/>
        </w:rPr>
        <w:lastRenderedPageBreak/>
        <w:t xml:space="preserve">Council </w:t>
      </w:r>
      <w:r w:rsidR="001809A2" w:rsidRPr="00125169">
        <w:rPr>
          <w:rFonts w:asciiTheme="minorHAnsi" w:hAnsiTheme="minorHAnsi" w:cs="Arial"/>
          <w:szCs w:val="22"/>
        </w:rPr>
        <w:t>will</w:t>
      </w:r>
      <w:r w:rsidRPr="00125169">
        <w:rPr>
          <w:rFonts w:asciiTheme="minorHAnsi" w:hAnsiTheme="minorHAnsi" w:cs="Arial"/>
          <w:szCs w:val="22"/>
        </w:rPr>
        <w:t xml:space="preserve"> continue to aggressively pursue all avenues for state and federal grants which may improve its position. </w:t>
      </w:r>
      <w:r w:rsidR="00F533AA">
        <w:rPr>
          <w:rFonts w:asciiTheme="minorHAnsi" w:hAnsiTheme="minorHAnsi" w:cs="Arial"/>
          <w:szCs w:val="22"/>
        </w:rPr>
        <w:t>To support this endeavour a cross functional grants working group has been introduced. We will lobby</w:t>
      </w:r>
      <w:r w:rsidRPr="00125169">
        <w:rPr>
          <w:rFonts w:asciiTheme="minorHAnsi" w:hAnsiTheme="minorHAnsi" w:cs="Arial"/>
          <w:szCs w:val="22"/>
        </w:rPr>
        <w:t xml:space="preserve"> local members and government Ministers for additional</w:t>
      </w:r>
      <w:r w:rsidR="000C1577" w:rsidRPr="00125169">
        <w:rPr>
          <w:rFonts w:asciiTheme="minorHAnsi" w:hAnsiTheme="minorHAnsi" w:cs="Arial"/>
          <w:szCs w:val="22"/>
        </w:rPr>
        <w:t xml:space="preserve"> </w:t>
      </w:r>
      <w:r w:rsidRPr="00125169">
        <w:rPr>
          <w:rFonts w:asciiTheme="minorHAnsi" w:hAnsiTheme="minorHAnsi" w:cs="Arial"/>
          <w:szCs w:val="22"/>
        </w:rPr>
        <w:t>infrastructure funding.</w:t>
      </w:r>
      <w:r w:rsidR="001809A2" w:rsidRPr="00125169">
        <w:rPr>
          <w:rFonts w:asciiTheme="minorHAnsi" w:hAnsiTheme="minorHAnsi" w:cs="Arial"/>
          <w:szCs w:val="22"/>
        </w:rPr>
        <w:t xml:space="preserve"> </w:t>
      </w:r>
    </w:p>
    <w:p w:rsidR="00026307" w:rsidRPr="00125169" w:rsidRDefault="001809A2" w:rsidP="00F533AA">
      <w:pPr>
        <w:pStyle w:val="BodyText"/>
        <w:tabs>
          <w:tab w:val="left" w:pos="567"/>
        </w:tabs>
        <w:ind w:right="-1134"/>
        <w:rPr>
          <w:rFonts w:asciiTheme="minorHAnsi" w:hAnsiTheme="minorHAnsi" w:cs="Arial"/>
          <w:szCs w:val="22"/>
        </w:rPr>
      </w:pPr>
      <w:r w:rsidRPr="00125169">
        <w:rPr>
          <w:rFonts w:asciiTheme="minorHAnsi" w:hAnsiTheme="minorHAnsi" w:cs="Arial"/>
          <w:szCs w:val="22"/>
        </w:rPr>
        <w:t>Currently we are in negotiations regarding a direct share of resource royalties.</w:t>
      </w:r>
    </w:p>
    <w:p w:rsidR="00A04773" w:rsidRPr="00125169" w:rsidRDefault="00A04773" w:rsidP="00F533AA">
      <w:pPr>
        <w:pStyle w:val="BodyText"/>
        <w:tabs>
          <w:tab w:val="left" w:pos="567"/>
        </w:tabs>
        <w:ind w:right="-1134"/>
        <w:rPr>
          <w:rFonts w:asciiTheme="minorHAnsi" w:hAnsiTheme="minorHAnsi" w:cs="Arial"/>
          <w:szCs w:val="22"/>
        </w:rPr>
      </w:pPr>
      <w:r w:rsidRPr="00125169">
        <w:rPr>
          <w:rFonts w:asciiTheme="minorHAnsi" w:hAnsiTheme="minorHAnsi" w:cs="Arial"/>
          <w:szCs w:val="22"/>
        </w:rPr>
        <w:t>Council has commenced a review of our Section 94 plan to ensure that developer funding is appropriate and directed towards achievable community infrastructure programs.</w:t>
      </w:r>
    </w:p>
    <w:p w:rsidR="00A04773" w:rsidRPr="00A04773" w:rsidRDefault="00A04773" w:rsidP="00F533AA">
      <w:pPr>
        <w:pStyle w:val="BodyText"/>
        <w:tabs>
          <w:tab w:val="left" w:pos="567"/>
        </w:tabs>
        <w:ind w:right="-1134"/>
        <w:rPr>
          <w:rFonts w:asciiTheme="minorHAnsi" w:hAnsiTheme="minorHAnsi" w:cs="Arial"/>
          <w:szCs w:val="22"/>
          <w:u w:val="single"/>
        </w:rPr>
      </w:pPr>
      <w:r w:rsidRPr="00A04773">
        <w:rPr>
          <w:rFonts w:asciiTheme="minorHAnsi" w:hAnsiTheme="minorHAnsi" w:cs="Arial"/>
          <w:szCs w:val="22"/>
          <w:u w:val="single"/>
        </w:rPr>
        <w:t>Borrowings</w:t>
      </w:r>
    </w:p>
    <w:p w:rsidR="00026307" w:rsidRDefault="00026307" w:rsidP="00F533AA">
      <w:pPr>
        <w:pStyle w:val="BodyText"/>
        <w:tabs>
          <w:tab w:val="left" w:pos="567"/>
        </w:tabs>
        <w:ind w:right="-1134"/>
        <w:rPr>
          <w:rFonts w:asciiTheme="minorHAnsi" w:hAnsiTheme="minorHAnsi" w:cs="Arial"/>
          <w:szCs w:val="22"/>
        </w:rPr>
      </w:pPr>
      <w:r w:rsidRPr="00125169">
        <w:rPr>
          <w:rFonts w:asciiTheme="minorHAnsi" w:hAnsiTheme="minorHAnsi" w:cs="Arial"/>
          <w:szCs w:val="22"/>
        </w:rPr>
        <w:t>Council’s current borrowing regime is conservative and there is scope for a limited increase in borrowing activity to fund specific capital works projects. Council’s capacity to borrow is limited by the debt service ratios prescribed by the State regulator, as well as its capacity to service the loan repayments.</w:t>
      </w:r>
      <w:r w:rsidR="001809A2" w:rsidRPr="00125169">
        <w:rPr>
          <w:rFonts w:asciiTheme="minorHAnsi" w:hAnsiTheme="minorHAnsi" w:cs="Arial"/>
          <w:szCs w:val="22"/>
        </w:rPr>
        <w:t xml:space="preserve"> It may be that </w:t>
      </w:r>
      <w:r w:rsidR="00770D30">
        <w:rPr>
          <w:rFonts w:asciiTheme="minorHAnsi" w:hAnsiTheme="minorHAnsi" w:cs="Arial"/>
          <w:szCs w:val="22"/>
        </w:rPr>
        <w:t>increased</w:t>
      </w:r>
      <w:r w:rsidR="001809A2" w:rsidRPr="00125169">
        <w:rPr>
          <w:rFonts w:asciiTheme="minorHAnsi" w:hAnsiTheme="minorHAnsi" w:cs="Arial"/>
          <w:szCs w:val="22"/>
        </w:rPr>
        <w:t xml:space="preserve"> long term fixed revenues will enable forward borrowings that will achieve up front savings.</w:t>
      </w:r>
    </w:p>
    <w:p w:rsidR="00A04773" w:rsidRPr="00A04773" w:rsidRDefault="00A04773" w:rsidP="00F533AA">
      <w:pPr>
        <w:pStyle w:val="BodyText"/>
        <w:tabs>
          <w:tab w:val="left" w:pos="567"/>
        </w:tabs>
        <w:ind w:right="-1134"/>
        <w:rPr>
          <w:rFonts w:asciiTheme="minorHAnsi" w:hAnsiTheme="minorHAnsi" w:cs="Arial"/>
          <w:szCs w:val="22"/>
          <w:u w:val="single"/>
        </w:rPr>
      </w:pPr>
      <w:r w:rsidRPr="00A04773">
        <w:rPr>
          <w:rFonts w:asciiTheme="minorHAnsi" w:hAnsiTheme="minorHAnsi" w:cs="Arial"/>
          <w:szCs w:val="22"/>
          <w:u w:val="single"/>
        </w:rPr>
        <w:t>Rates Review</w:t>
      </w:r>
    </w:p>
    <w:p w:rsidR="00026307" w:rsidRPr="00125169" w:rsidRDefault="00026307" w:rsidP="00F533AA">
      <w:pPr>
        <w:pStyle w:val="BodyText"/>
        <w:tabs>
          <w:tab w:val="left" w:pos="567"/>
        </w:tabs>
        <w:ind w:right="-1134"/>
        <w:rPr>
          <w:rFonts w:asciiTheme="minorHAnsi" w:hAnsiTheme="minorHAnsi" w:cs="Arial"/>
          <w:szCs w:val="22"/>
        </w:rPr>
      </w:pPr>
      <w:r w:rsidRPr="00125169">
        <w:rPr>
          <w:rFonts w:asciiTheme="minorHAnsi" w:hAnsiTheme="minorHAnsi" w:cs="Arial"/>
          <w:szCs w:val="22"/>
        </w:rPr>
        <w:t xml:space="preserve">Gloucester Council has not increased rates above the standard </w:t>
      </w:r>
      <w:r w:rsidR="001809A2" w:rsidRPr="00125169">
        <w:rPr>
          <w:rFonts w:asciiTheme="minorHAnsi" w:hAnsiTheme="minorHAnsi" w:cs="Arial"/>
          <w:szCs w:val="22"/>
        </w:rPr>
        <w:t xml:space="preserve">rate peg (CPI) </w:t>
      </w:r>
      <w:r w:rsidRPr="00125169">
        <w:rPr>
          <w:rFonts w:asciiTheme="minorHAnsi" w:hAnsiTheme="minorHAnsi" w:cs="Arial"/>
          <w:szCs w:val="22"/>
        </w:rPr>
        <w:t xml:space="preserve">% annual increase </w:t>
      </w:r>
      <w:r w:rsidR="00F533AA">
        <w:rPr>
          <w:rFonts w:asciiTheme="minorHAnsi" w:hAnsiTheme="minorHAnsi" w:cs="Arial"/>
          <w:szCs w:val="22"/>
        </w:rPr>
        <w:t>in the 37 years since inception</w:t>
      </w:r>
      <w:r w:rsidRPr="00125169">
        <w:rPr>
          <w:rFonts w:asciiTheme="minorHAnsi" w:hAnsiTheme="minorHAnsi" w:cs="Arial"/>
          <w:szCs w:val="22"/>
        </w:rPr>
        <w:t xml:space="preserve">. This has resulted in consistent under-spending on asset maintenance and renewal due to lack of funds. A program of incremental rate increases would provide significant funding for community infrastructure. However, this program should reflect the general capacity of the community to meet the additional charges. </w:t>
      </w:r>
    </w:p>
    <w:p w:rsidR="00026307" w:rsidRPr="00125169" w:rsidRDefault="001809A2" w:rsidP="00A04773">
      <w:pPr>
        <w:pStyle w:val="BodyText"/>
        <w:tabs>
          <w:tab w:val="left" w:pos="567"/>
        </w:tabs>
        <w:ind w:left="567" w:right="-1134"/>
        <w:rPr>
          <w:rFonts w:asciiTheme="minorHAnsi" w:hAnsiTheme="minorHAnsi" w:cs="Arial"/>
          <w:szCs w:val="22"/>
        </w:rPr>
      </w:pPr>
      <w:r w:rsidRPr="00125169">
        <w:rPr>
          <w:rFonts w:asciiTheme="minorHAnsi" w:hAnsiTheme="minorHAnsi" w:cs="Arial"/>
          <w:szCs w:val="22"/>
        </w:rPr>
        <w:t xml:space="preserve">In line with the SV </w:t>
      </w:r>
      <w:r w:rsidR="009C5515" w:rsidRPr="00125169">
        <w:rPr>
          <w:rFonts w:asciiTheme="minorHAnsi" w:hAnsiTheme="minorHAnsi" w:cs="Arial"/>
          <w:szCs w:val="22"/>
        </w:rPr>
        <w:t>application the</w:t>
      </w:r>
      <w:r w:rsidR="00026307" w:rsidRPr="00125169">
        <w:rPr>
          <w:rFonts w:asciiTheme="minorHAnsi" w:hAnsiTheme="minorHAnsi" w:cs="Arial"/>
          <w:szCs w:val="22"/>
        </w:rPr>
        <w:t xml:space="preserve"> existing rating structure </w:t>
      </w:r>
      <w:r w:rsidRPr="00125169">
        <w:rPr>
          <w:rFonts w:asciiTheme="minorHAnsi" w:hAnsiTheme="minorHAnsi" w:cs="Arial"/>
          <w:szCs w:val="22"/>
        </w:rPr>
        <w:t>has been reviewed</w:t>
      </w:r>
      <w:r w:rsidR="00026307" w:rsidRPr="00125169">
        <w:rPr>
          <w:rFonts w:asciiTheme="minorHAnsi" w:hAnsiTheme="minorHAnsi" w:cs="Arial"/>
          <w:szCs w:val="22"/>
        </w:rPr>
        <w:t xml:space="preserve">. </w:t>
      </w:r>
      <w:r w:rsidRPr="00125169">
        <w:rPr>
          <w:rFonts w:asciiTheme="minorHAnsi" w:hAnsiTheme="minorHAnsi" w:cs="Arial"/>
          <w:szCs w:val="22"/>
        </w:rPr>
        <w:t>Regular reviews will be conducted to ensure equity and adequacy.</w:t>
      </w:r>
    </w:p>
    <w:p w:rsidR="004C387D" w:rsidRPr="00125169" w:rsidRDefault="00125169" w:rsidP="00A04773">
      <w:pPr>
        <w:pStyle w:val="BodyText"/>
        <w:tabs>
          <w:tab w:val="left" w:pos="567"/>
        </w:tabs>
        <w:ind w:left="567" w:right="-1134"/>
        <w:rPr>
          <w:rFonts w:asciiTheme="minorHAnsi" w:hAnsiTheme="minorHAnsi"/>
          <w:szCs w:val="22"/>
        </w:rPr>
      </w:pPr>
      <w:r w:rsidRPr="00125169">
        <w:rPr>
          <w:rFonts w:asciiTheme="minorHAnsi" w:hAnsiTheme="minorHAnsi"/>
          <w:szCs w:val="22"/>
        </w:rPr>
        <w:t xml:space="preserve">The above list demonstrates that much has been achieved and much is currently in train. However </w:t>
      </w:r>
      <w:r w:rsidR="004C387D" w:rsidRPr="00125169">
        <w:rPr>
          <w:rFonts w:asciiTheme="minorHAnsi" w:hAnsiTheme="minorHAnsi"/>
          <w:szCs w:val="22"/>
        </w:rPr>
        <w:t xml:space="preserve">Council will be continuing to: </w:t>
      </w:r>
    </w:p>
    <w:p w:rsidR="004C387D" w:rsidRPr="00125169" w:rsidRDefault="004C387D" w:rsidP="0060639F">
      <w:pPr>
        <w:pStyle w:val="BodyText"/>
        <w:numPr>
          <w:ilvl w:val="0"/>
          <w:numId w:val="41"/>
        </w:numPr>
        <w:tabs>
          <w:tab w:val="left" w:pos="567"/>
        </w:tabs>
        <w:ind w:left="567" w:right="-1134" w:firstLine="0"/>
        <w:rPr>
          <w:rFonts w:asciiTheme="minorHAnsi" w:hAnsiTheme="minorHAnsi"/>
          <w:szCs w:val="22"/>
        </w:rPr>
      </w:pPr>
      <w:r w:rsidRPr="00125169">
        <w:rPr>
          <w:rFonts w:asciiTheme="minorHAnsi" w:hAnsiTheme="minorHAnsi"/>
          <w:szCs w:val="22"/>
        </w:rPr>
        <w:t xml:space="preserve">respond to changing customer priorities and needs </w:t>
      </w:r>
    </w:p>
    <w:p w:rsidR="004C387D" w:rsidRPr="00125169" w:rsidRDefault="004C387D" w:rsidP="0060639F">
      <w:pPr>
        <w:pStyle w:val="BodyText"/>
        <w:numPr>
          <w:ilvl w:val="0"/>
          <w:numId w:val="41"/>
        </w:numPr>
        <w:tabs>
          <w:tab w:val="left" w:pos="567"/>
        </w:tabs>
        <w:ind w:left="567" w:right="-1134" w:firstLine="0"/>
        <w:rPr>
          <w:rFonts w:asciiTheme="minorHAnsi" w:hAnsiTheme="minorHAnsi"/>
          <w:szCs w:val="22"/>
        </w:rPr>
      </w:pPr>
      <w:r w:rsidRPr="00125169">
        <w:rPr>
          <w:rFonts w:asciiTheme="minorHAnsi" w:hAnsiTheme="minorHAnsi"/>
          <w:szCs w:val="22"/>
        </w:rPr>
        <w:t xml:space="preserve">determine the right mix of services </w:t>
      </w:r>
    </w:p>
    <w:p w:rsidR="004C387D" w:rsidRPr="00125169" w:rsidRDefault="004C387D" w:rsidP="0060639F">
      <w:pPr>
        <w:pStyle w:val="BodyText"/>
        <w:numPr>
          <w:ilvl w:val="0"/>
          <w:numId w:val="41"/>
        </w:numPr>
        <w:tabs>
          <w:tab w:val="left" w:pos="567"/>
        </w:tabs>
        <w:ind w:left="567" w:right="-1134" w:firstLine="0"/>
        <w:rPr>
          <w:rFonts w:asciiTheme="minorHAnsi" w:hAnsiTheme="minorHAnsi"/>
          <w:szCs w:val="22"/>
        </w:rPr>
      </w:pPr>
      <w:r w:rsidRPr="00125169">
        <w:rPr>
          <w:rFonts w:asciiTheme="minorHAnsi" w:hAnsiTheme="minorHAnsi"/>
          <w:szCs w:val="22"/>
        </w:rPr>
        <w:t>assess plant, land and other assets to optimize usage including consideration of disposal</w:t>
      </w:r>
    </w:p>
    <w:p w:rsidR="004C387D" w:rsidRPr="00125169" w:rsidRDefault="004C387D" w:rsidP="0060639F">
      <w:pPr>
        <w:pStyle w:val="BodyText"/>
        <w:numPr>
          <w:ilvl w:val="0"/>
          <w:numId w:val="41"/>
        </w:numPr>
        <w:tabs>
          <w:tab w:val="left" w:pos="567"/>
        </w:tabs>
        <w:ind w:left="567" w:right="-1134" w:firstLine="0"/>
        <w:rPr>
          <w:rFonts w:asciiTheme="minorHAnsi" w:hAnsiTheme="minorHAnsi"/>
          <w:szCs w:val="22"/>
        </w:rPr>
      </w:pPr>
      <w:r w:rsidRPr="00125169">
        <w:rPr>
          <w:rFonts w:asciiTheme="minorHAnsi" w:hAnsiTheme="minorHAnsi"/>
          <w:szCs w:val="22"/>
        </w:rPr>
        <w:t xml:space="preserve">align </w:t>
      </w:r>
      <w:r w:rsidR="00125169" w:rsidRPr="00125169">
        <w:rPr>
          <w:rFonts w:asciiTheme="minorHAnsi" w:hAnsiTheme="minorHAnsi"/>
          <w:szCs w:val="22"/>
        </w:rPr>
        <w:t>Council’s ability to provide</w:t>
      </w:r>
      <w:r w:rsidRPr="00125169">
        <w:rPr>
          <w:rFonts w:asciiTheme="minorHAnsi" w:hAnsiTheme="minorHAnsi"/>
          <w:szCs w:val="22"/>
        </w:rPr>
        <w:t xml:space="preserve"> services with the community’s vision </w:t>
      </w:r>
    </w:p>
    <w:p w:rsidR="004C387D" w:rsidRPr="00125169" w:rsidRDefault="004C387D" w:rsidP="0060639F">
      <w:pPr>
        <w:pStyle w:val="BodyText"/>
        <w:numPr>
          <w:ilvl w:val="0"/>
          <w:numId w:val="41"/>
        </w:numPr>
        <w:tabs>
          <w:tab w:val="left" w:pos="567"/>
        </w:tabs>
        <w:ind w:left="567" w:right="-1134" w:firstLine="0"/>
        <w:rPr>
          <w:rFonts w:asciiTheme="minorHAnsi" w:hAnsiTheme="minorHAnsi"/>
          <w:szCs w:val="22"/>
        </w:rPr>
      </w:pPr>
      <w:r w:rsidRPr="00125169">
        <w:rPr>
          <w:rFonts w:asciiTheme="minorHAnsi" w:hAnsiTheme="minorHAnsi"/>
          <w:szCs w:val="22"/>
        </w:rPr>
        <w:t xml:space="preserve">review and optimise service levels </w:t>
      </w:r>
    </w:p>
    <w:p w:rsidR="004C387D" w:rsidRPr="00125169" w:rsidRDefault="004C387D" w:rsidP="0060639F">
      <w:pPr>
        <w:pStyle w:val="BodyText"/>
        <w:numPr>
          <w:ilvl w:val="0"/>
          <w:numId w:val="40"/>
        </w:numPr>
        <w:tabs>
          <w:tab w:val="left" w:pos="567"/>
        </w:tabs>
        <w:ind w:left="567" w:right="-1134" w:firstLine="0"/>
        <w:rPr>
          <w:rFonts w:asciiTheme="minorHAnsi" w:hAnsiTheme="minorHAnsi"/>
          <w:szCs w:val="22"/>
        </w:rPr>
      </w:pPr>
      <w:r w:rsidRPr="00125169">
        <w:rPr>
          <w:rFonts w:asciiTheme="minorHAnsi" w:hAnsiTheme="minorHAnsi"/>
          <w:szCs w:val="22"/>
        </w:rPr>
        <w:t xml:space="preserve">build staff capacity and skills </w:t>
      </w:r>
    </w:p>
    <w:p w:rsidR="004C387D" w:rsidRPr="00125169" w:rsidRDefault="004C387D" w:rsidP="0060639F">
      <w:pPr>
        <w:pStyle w:val="BodyText"/>
        <w:numPr>
          <w:ilvl w:val="0"/>
          <w:numId w:val="40"/>
        </w:numPr>
        <w:tabs>
          <w:tab w:val="left" w:pos="567"/>
        </w:tabs>
        <w:ind w:left="567" w:firstLine="0"/>
        <w:rPr>
          <w:rFonts w:asciiTheme="minorHAnsi" w:hAnsiTheme="minorHAnsi"/>
          <w:szCs w:val="22"/>
        </w:rPr>
      </w:pPr>
      <w:r w:rsidRPr="00125169">
        <w:rPr>
          <w:rFonts w:asciiTheme="minorHAnsi" w:hAnsiTheme="minorHAnsi"/>
          <w:szCs w:val="22"/>
        </w:rPr>
        <w:t xml:space="preserve">help in determining the role of local government and what is core business </w:t>
      </w:r>
    </w:p>
    <w:p w:rsidR="004C387D" w:rsidRPr="00125169" w:rsidRDefault="004C387D" w:rsidP="0060639F">
      <w:pPr>
        <w:pStyle w:val="BodyText"/>
        <w:numPr>
          <w:ilvl w:val="0"/>
          <w:numId w:val="40"/>
        </w:numPr>
        <w:ind w:left="142" w:hanging="142"/>
        <w:rPr>
          <w:rFonts w:asciiTheme="minorHAnsi" w:hAnsiTheme="minorHAnsi"/>
          <w:szCs w:val="22"/>
        </w:rPr>
      </w:pPr>
      <w:r w:rsidRPr="00125169">
        <w:rPr>
          <w:rFonts w:asciiTheme="minorHAnsi" w:hAnsiTheme="minorHAnsi"/>
          <w:szCs w:val="22"/>
        </w:rPr>
        <w:t xml:space="preserve">define statutory and non-statutory services, and to assess need for the non-statutory services </w:t>
      </w:r>
    </w:p>
    <w:p w:rsidR="004C387D" w:rsidRPr="00125169" w:rsidRDefault="004C387D" w:rsidP="0060639F">
      <w:pPr>
        <w:pStyle w:val="BodyText"/>
        <w:numPr>
          <w:ilvl w:val="0"/>
          <w:numId w:val="40"/>
        </w:numPr>
        <w:ind w:left="142" w:hanging="142"/>
        <w:rPr>
          <w:rFonts w:asciiTheme="minorHAnsi" w:hAnsiTheme="minorHAnsi"/>
          <w:szCs w:val="22"/>
        </w:rPr>
      </w:pPr>
      <w:r w:rsidRPr="00125169">
        <w:rPr>
          <w:rFonts w:asciiTheme="minorHAnsi" w:hAnsiTheme="minorHAnsi"/>
          <w:szCs w:val="22"/>
        </w:rPr>
        <w:t xml:space="preserve">consider alternative service delivery mechanisms </w:t>
      </w:r>
    </w:p>
    <w:p w:rsidR="004C387D" w:rsidRPr="00125169" w:rsidRDefault="004C387D" w:rsidP="0060639F">
      <w:pPr>
        <w:pStyle w:val="BodyText"/>
        <w:numPr>
          <w:ilvl w:val="0"/>
          <w:numId w:val="40"/>
        </w:numPr>
        <w:ind w:left="142" w:hanging="142"/>
        <w:rPr>
          <w:rFonts w:asciiTheme="minorHAnsi" w:hAnsiTheme="minorHAnsi"/>
          <w:szCs w:val="22"/>
        </w:rPr>
      </w:pPr>
      <w:r w:rsidRPr="00125169">
        <w:rPr>
          <w:rFonts w:asciiTheme="minorHAnsi" w:hAnsiTheme="minorHAnsi"/>
          <w:szCs w:val="22"/>
        </w:rPr>
        <w:t xml:space="preserve">consider the potential for divestment of services </w:t>
      </w:r>
    </w:p>
    <w:p w:rsidR="004C387D" w:rsidRPr="00125169" w:rsidRDefault="004C387D" w:rsidP="0060639F">
      <w:pPr>
        <w:pStyle w:val="BodyText"/>
        <w:numPr>
          <w:ilvl w:val="0"/>
          <w:numId w:val="40"/>
        </w:numPr>
        <w:ind w:left="142" w:hanging="142"/>
        <w:rPr>
          <w:rFonts w:asciiTheme="minorHAnsi" w:hAnsiTheme="minorHAnsi"/>
          <w:szCs w:val="22"/>
        </w:rPr>
      </w:pPr>
      <w:r w:rsidRPr="00125169">
        <w:rPr>
          <w:rFonts w:asciiTheme="minorHAnsi" w:hAnsiTheme="minorHAnsi"/>
          <w:szCs w:val="22"/>
        </w:rPr>
        <w:lastRenderedPageBreak/>
        <w:t xml:space="preserve">identify new business opportunities </w:t>
      </w:r>
    </w:p>
    <w:p w:rsidR="004C387D" w:rsidRPr="00125169" w:rsidRDefault="004C387D" w:rsidP="0060639F">
      <w:pPr>
        <w:pStyle w:val="BodyText"/>
        <w:numPr>
          <w:ilvl w:val="0"/>
          <w:numId w:val="40"/>
        </w:numPr>
        <w:ind w:left="142" w:hanging="142"/>
        <w:rPr>
          <w:rFonts w:asciiTheme="minorHAnsi" w:hAnsiTheme="minorHAnsi"/>
          <w:szCs w:val="22"/>
        </w:rPr>
      </w:pPr>
      <w:r w:rsidRPr="00125169">
        <w:rPr>
          <w:rFonts w:asciiTheme="minorHAnsi" w:hAnsiTheme="minorHAnsi"/>
          <w:szCs w:val="22"/>
        </w:rPr>
        <w:t xml:space="preserve">share the provision of services with other organisations </w:t>
      </w:r>
    </w:p>
    <w:p w:rsidR="004C387D" w:rsidRPr="00125169" w:rsidRDefault="004C387D" w:rsidP="0060639F">
      <w:pPr>
        <w:pStyle w:val="BodyText"/>
        <w:numPr>
          <w:ilvl w:val="0"/>
          <w:numId w:val="40"/>
        </w:numPr>
        <w:ind w:left="142" w:hanging="142"/>
        <w:rPr>
          <w:rFonts w:asciiTheme="minorHAnsi" w:hAnsiTheme="minorHAnsi"/>
          <w:szCs w:val="22"/>
        </w:rPr>
      </w:pPr>
      <w:r w:rsidRPr="00125169">
        <w:rPr>
          <w:rFonts w:asciiTheme="minorHAnsi" w:hAnsiTheme="minorHAnsi"/>
          <w:szCs w:val="22"/>
        </w:rPr>
        <w:t>to assess the potential for borrowing funds to bring forward asset renewals; current loans are reassessed to ensure minimal rates of interest accrue</w:t>
      </w:r>
    </w:p>
    <w:p w:rsidR="004C387D" w:rsidRDefault="00125169" w:rsidP="0060639F">
      <w:pPr>
        <w:pStyle w:val="BodyText"/>
        <w:numPr>
          <w:ilvl w:val="0"/>
          <w:numId w:val="40"/>
        </w:numPr>
        <w:ind w:left="142" w:hanging="142"/>
        <w:rPr>
          <w:rFonts w:asciiTheme="minorHAnsi" w:hAnsiTheme="minorHAnsi"/>
          <w:szCs w:val="22"/>
        </w:rPr>
      </w:pPr>
      <w:r w:rsidRPr="00125169">
        <w:rPr>
          <w:rFonts w:asciiTheme="minorHAnsi" w:hAnsiTheme="minorHAnsi"/>
          <w:szCs w:val="22"/>
        </w:rPr>
        <w:t xml:space="preserve">continue </w:t>
      </w:r>
      <w:r w:rsidR="004C387D" w:rsidRPr="00125169">
        <w:rPr>
          <w:rFonts w:asciiTheme="minorHAnsi" w:hAnsiTheme="minorHAnsi"/>
          <w:szCs w:val="22"/>
        </w:rPr>
        <w:t>service unit analysis to enable a greater understanding of the cost drivers and user profiles that will enable maximisation of any user pay options for services</w:t>
      </w:r>
    </w:p>
    <w:p w:rsidR="0081063A" w:rsidRPr="00125169" w:rsidRDefault="0081063A" w:rsidP="0060639F">
      <w:pPr>
        <w:pStyle w:val="BodyText"/>
        <w:numPr>
          <w:ilvl w:val="0"/>
          <w:numId w:val="40"/>
        </w:numPr>
        <w:ind w:left="142" w:hanging="142"/>
        <w:rPr>
          <w:rFonts w:asciiTheme="minorHAnsi" w:hAnsiTheme="minorHAnsi"/>
          <w:szCs w:val="22"/>
        </w:rPr>
      </w:pPr>
      <w:r>
        <w:rPr>
          <w:rFonts w:asciiTheme="minorHAnsi" w:hAnsiTheme="minorHAnsi"/>
          <w:szCs w:val="22"/>
        </w:rPr>
        <w:t>Continue to investigate alternative or resource sharing arrangements for service delivery.</w:t>
      </w:r>
    </w:p>
    <w:p w:rsidR="001B3222" w:rsidRDefault="001B3222" w:rsidP="00546232">
      <w:pPr>
        <w:autoSpaceDE w:val="0"/>
        <w:autoSpaceDN w:val="0"/>
        <w:adjustRightInd w:val="0"/>
        <w:spacing w:before="240" w:line="280" w:lineRule="atLeast"/>
        <w:rPr>
          <w:rFonts w:ascii="Arial" w:hAnsi="Arial" w:cs="Arial"/>
          <w:sz w:val="20"/>
          <w:szCs w:val="20"/>
        </w:rPr>
      </w:pPr>
    </w:p>
    <w:p w:rsidR="001B3222" w:rsidRDefault="001B3222" w:rsidP="000C1577">
      <w:pPr>
        <w:autoSpaceDE w:val="0"/>
        <w:autoSpaceDN w:val="0"/>
        <w:adjustRightInd w:val="0"/>
        <w:spacing w:line="360" w:lineRule="auto"/>
        <w:rPr>
          <w:rFonts w:ascii="Arial" w:hAnsi="Arial" w:cs="Arial"/>
          <w:sz w:val="20"/>
          <w:szCs w:val="20"/>
        </w:rPr>
      </w:pPr>
    </w:p>
    <w:p w:rsidR="001B3222" w:rsidRPr="000C1577" w:rsidRDefault="001B3222" w:rsidP="000C1577">
      <w:pPr>
        <w:autoSpaceDE w:val="0"/>
        <w:autoSpaceDN w:val="0"/>
        <w:adjustRightInd w:val="0"/>
        <w:spacing w:line="360" w:lineRule="auto"/>
        <w:rPr>
          <w:rFonts w:ascii="Arial" w:hAnsi="Arial" w:cs="Arial"/>
          <w:sz w:val="20"/>
          <w:szCs w:val="20"/>
        </w:rPr>
      </w:pPr>
      <w:r>
        <w:rPr>
          <w:noProof/>
        </w:rPr>
        <w:drawing>
          <wp:inline distT="0" distB="0" distL="0" distR="0" wp14:anchorId="1D7AF362" wp14:editId="10D7B1E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52400" cy="152400"/>
                    </a:xfrm>
                    <a:prstGeom prst="rect">
                      <a:avLst/>
                    </a:prstGeom>
                  </pic:spPr>
                </pic:pic>
              </a:graphicData>
            </a:graphic>
          </wp:inline>
        </w:drawing>
      </w:r>
    </w:p>
    <w:p w:rsidR="00266497" w:rsidRDefault="00266497" w:rsidP="00266497">
      <w:pPr>
        <w:pStyle w:val="BodyText"/>
        <w:pBdr>
          <w:top w:val="single" w:sz="4" w:space="1" w:color="auto"/>
          <w:left w:val="single" w:sz="4" w:space="4" w:color="auto"/>
          <w:bottom w:val="single" w:sz="4" w:space="1" w:color="auto"/>
          <w:right w:val="single" w:sz="4" w:space="4" w:color="auto"/>
        </w:pBdr>
      </w:pPr>
    </w:p>
    <w:p w:rsidR="00D60EA5" w:rsidRDefault="007304A8" w:rsidP="006607B9">
      <w:pPr>
        <w:pStyle w:val="Heading1"/>
      </w:pPr>
      <w:bookmarkStart w:id="45" w:name="_Toc401138380"/>
      <w:r>
        <w:t>List of attachments</w:t>
      </w:r>
      <w:bookmarkEnd w:id="45"/>
    </w:p>
    <w:p w:rsidR="006C0DA7" w:rsidRDefault="005C4769" w:rsidP="005C4769">
      <w:pPr>
        <w:pStyle w:val="BodyText"/>
      </w:pPr>
      <w:r w:rsidRPr="00303275">
        <w:t>The following is a list of the supporting documents to include with your  application</w:t>
      </w:r>
      <w:r w:rsidR="003F0F2B" w:rsidRPr="00303275">
        <w:t xml:space="preserve">.  </w:t>
      </w:r>
      <w:r w:rsidR="00D83471" w:rsidRPr="00303275">
        <w:t>Some of these attachments will be mandatory to all special variation applications</w:t>
      </w:r>
      <w:r w:rsidR="00E70AC8" w:rsidRPr="00303275">
        <w:t xml:space="preserve"> </w:t>
      </w:r>
      <w:r w:rsidR="009C5515" w:rsidRPr="00303275">
        <w:t>e.g.</w:t>
      </w:r>
      <w:r w:rsidR="00E70AC8" w:rsidRPr="00303275">
        <w:t>,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2550E3">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2550E3">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5"/>
                  <w:enabled/>
                  <w:calcOnExit w:val="0"/>
                  <w:checkBox>
                    <w:sizeAuto/>
                    <w:default w:val="0"/>
                  </w:checkBox>
                </w:ffData>
              </w:fldChar>
            </w:r>
            <w:bookmarkStart w:id="46" w:name="Check15"/>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bookmarkEnd w:id="46"/>
          </w:p>
        </w:tc>
      </w:tr>
      <w:tr w:rsidR="00FF1230" w:rsidRPr="006D3A62" w:rsidTr="002550E3">
        <w:tc>
          <w:tcPr>
            <w:tcW w:w="7040" w:type="dxa"/>
            <w:vAlign w:val="center"/>
          </w:tcPr>
          <w:p w:rsidR="00FF1230" w:rsidRPr="00303275" w:rsidRDefault="00FF1230" w:rsidP="008B7ECB">
            <w:pPr>
              <w:pStyle w:val="TableTextEntries"/>
              <w:rPr>
                <w:b/>
              </w:rPr>
            </w:pPr>
            <w:r w:rsidRPr="00303275">
              <w:t>Attachment 4: TCorp report on financial sustainability</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t>Attachment 5: Media releases, public meeting notices, newspaper articles, fact sheets relating to the rate increase and special variation</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13"/>
                  <w:enabled/>
                  <w:calcOnExit w:val="0"/>
                  <w:checkBox>
                    <w:sizeAuto/>
                    <w:default w:val="0"/>
                  </w:checkBox>
                </w:ffData>
              </w:fldChar>
            </w:r>
            <w:bookmarkStart w:id="47" w:name="Check13"/>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bookmarkEnd w:id="47"/>
          </w:p>
        </w:tc>
      </w:tr>
      <w:tr w:rsidR="00FF1230" w:rsidRPr="006D3A62" w:rsidTr="002550E3">
        <w:tc>
          <w:tcPr>
            <w:tcW w:w="7040" w:type="dxa"/>
            <w:vAlign w:val="center"/>
          </w:tcPr>
          <w:p w:rsidR="00FF1230" w:rsidRPr="00303275" w:rsidRDefault="00FF1230" w:rsidP="008B7ECB">
            <w:pPr>
              <w:pStyle w:val="TableTextEntries"/>
            </w:pPr>
            <w:r w:rsidRPr="00303275">
              <w:t>Attachment 6: Community feedback (including surveys and results if applicable)</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303275" w:rsidRDefault="00FF1230" w:rsidP="000705E4">
            <w:pPr>
              <w:pStyle w:val="TableTextEntries"/>
            </w:pPr>
            <w:r w:rsidRPr="00303275">
              <w:t>Attachment 7: Hardship Policy</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10"/>
                  <w:enabled/>
                  <w:calcOnExit w:val="0"/>
                  <w:checkBox>
                    <w:sizeAuto/>
                    <w:default w:val="0"/>
                  </w:checkBox>
                </w:ffData>
              </w:fldChar>
            </w:r>
            <w:bookmarkStart w:id="48" w:name="Check10"/>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bookmarkEnd w:id="48"/>
          </w:p>
        </w:tc>
      </w:tr>
      <w:tr w:rsidR="00FF1230" w:rsidRPr="006D3A62" w:rsidTr="002550E3">
        <w:tc>
          <w:tcPr>
            <w:tcW w:w="7040" w:type="dxa"/>
            <w:vAlign w:val="center"/>
          </w:tcPr>
          <w:p w:rsidR="00FF1230" w:rsidRPr="00303275" w:rsidRDefault="00FF1230" w:rsidP="008B7ECB">
            <w:pPr>
              <w:pStyle w:val="TableTextEntries"/>
            </w:pPr>
            <w:r w:rsidRPr="00303275">
              <w:t>Attachment 8: Resolution to apply for the special variation</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t>Attachment 9: Certification</w:t>
            </w:r>
          </w:p>
        </w:tc>
        <w:tc>
          <w:tcPr>
            <w:tcW w:w="1114" w:type="dxa"/>
            <w:vAlign w:val="center"/>
          </w:tcPr>
          <w:p w:rsidR="00FF1230" w:rsidRPr="006D3A62" w:rsidRDefault="00FF1230" w:rsidP="000705E4">
            <w:pPr>
              <w:pStyle w:val="TableTextEntries"/>
              <w:jc w:val="center"/>
              <w:rPr>
                <w:sz w:val="24"/>
                <w:szCs w:val="24"/>
              </w:rPr>
            </w:pPr>
            <w:r w:rsidRPr="006D3A62">
              <w:rPr>
                <w:sz w:val="24"/>
                <w:szCs w:val="24"/>
              </w:rPr>
              <w:fldChar w:fldCharType="begin">
                <w:ffData>
                  <w:name w:val="Check8"/>
                  <w:enabled/>
                  <w:calcOnExit w:val="0"/>
                  <w:checkBox>
                    <w:sizeAuto/>
                    <w:default w:val="0"/>
                    <w:checked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rPr>
                <w:b/>
              </w:rPr>
              <w:t xml:space="preserve">Other </w:t>
            </w:r>
            <w:r w:rsidR="00303275" w:rsidRPr="00303275">
              <w:rPr>
                <w:b/>
              </w:rPr>
              <w:t>Attachments</w:t>
            </w:r>
          </w:p>
        </w:tc>
        <w:tc>
          <w:tcPr>
            <w:tcW w:w="1114" w:type="dxa"/>
            <w:vAlign w:val="center"/>
          </w:tcPr>
          <w:p w:rsidR="00FF1230" w:rsidRPr="006D3A62" w:rsidRDefault="00FF1230" w:rsidP="006D3A62">
            <w:pPr>
              <w:pStyle w:val="TableTextEntries"/>
              <w:jc w:val="center"/>
              <w:rPr>
                <w:sz w:val="24"/>
                <w:szCs w:val="24"/>
              </w:rPr>
            </w:pPr>
          </w:p>
        </w:tc>
      </w:tr>
      <w:tr w:rsidR="00FF1230" w:rsidRPr="006D3A62" w:rsidTr="002550E3">
        <w:tc>
          <w:tcPr>
            <w:tcW w:w="7040" w:type="dxa"/>
            <w:vAlign w:val="center"/>
          </w:tcPr>
          <w:p w:rsidR="00FF1230" w:rsidRPr="00303275" w:rsidRDefault="00FF1230" w:rsidP="008B7ECB">
            <w:pPr>
              <w:pStyle w:val="TableTextEntries"/>
            </w:pPr>
            <w:r w:rsidRPr="00303275">
              <w:t xml:space="preserve">Attachment 10: Relevant extracts from the Asset Management Plan </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6"/>
                  <w:enabled/>
                  <w:calcOnExit w:val="0"/>
                  <w:checkBox>
                    <w:sizeAuto/>
                    <w:default w:val="0"/>
                  </w:checkBox>
                </w:ffData>
              </w:fldChar>
            </w:r>
            <w:bookmarkStart w:id="49" w:name="Check16"/>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bookmarkEnd w:id="49"/>
          </w:p>
        </w:tc>
      </w:tr>
      <w:tr w:rsidR="00FF1230" w:rsidRPr="006D3A62" w:rsidTr="002550E3">
        <w:tc>
          <w:tcPr>
            <w:tcW w:w="7040" w:type="dxa"/>
            <w:vAlign w:val="center"/>
          </w:tcPr>
          <w:p w:rsidR="00FF1230" w:rsidRPr="00303275" w:rsidRDefault="00FF1230" w:rsidP="002550E3">
            <w:pPr>
              <w:pStyle w:val="TableTextEntries"/>
            </w:pPr>
            <w:r w:rsidRPr="00303275">
              <w:t>Attachment 11: Past Instruments of Approval (if applicable)</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bookmarkStart w:id="50" w:name="Check12"/>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bookmarkEnd w:id="50"/>
          </w:p>
        </w:tc>
      </w:tr>
      <w:tr w:rsidR="00FF1230" w:rsidRPr="006D3A62" w:rsidTr="002550E3">
        <w:tc>
          <w:tcPr>
            <w:tcW w:w="7040" w:type="dxa"/>
            <w:vAlign w:val="center"/>
          </w:tcPr>
          <w:p w:rsidR="00FF1230" w:rsidRPr="00303275" w:rsidRDefault="00FF1230" w:rsidP="00343EAD">
            <w:pPr>
              <w:pStyle w:val="TableTextEntries"/>
            </w:pPr>
            <w:r w:rsidRPr="00303275">
              <w:t>Attachment 12: Resolution to adopt the revised Community Strategic Plan (if necessary) and/or Delivery Program</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8"/>
                  <w:enabled/>
                  <w:calcOnExit w:val="0"/>
                  <w:checkBox>
                    <w:sizeAuto/>
                    <w:default w:val="0"/>
                    <w:checked w:val="0"/>
                  </w:checkBox>
                </w:ffData>
              </w:fldChar>
            </w:r>
            <w:bookmarkStart w:id="51" w:name="Check8"/>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bookmarkEnd w:id="51"/>
          </w:p>
        </w:tc>
      </w:tr>
      <w:tr w:rsidR="00FF1230" w:rsidRPr="006D3A62" w:rsidTr="002550E3">
        <w:tc>
          <w:tcPr>
            <w:tcW w:w="7040" w:type="dxa"/>
            <w:vAlign w:val="center"/>
          </w:tcPr>
          <w:p w:rsidR="00FF1230" w:rsidRPr="00303275" w:rsidRDefault="00FF1230" w:rsidP="002550E3">
            <w:pPr>
              <w:pStyle w:val="TableTextEntries"/>
            </w:pPr>
            <w:r w:rsidRPr="00303275">
              <w:t>Attachment 13: Other (please specify)</w:t>
            </w:r>
          </w:p>
        </w:tc>
        <w:tc>
          <w:tcPr>
            <w:tcW w:w="1114" w:type="dxa"/>
            <w:vAlign w:val="center"/>
          </w:tcPr>
          <w:p w:rsidR="00FF1230" w:rsidRPr="006D3A62" w:rsidRDefault="00FF1230" w:rsidP="00651445">
            <w:pPr>
              <w:pStyle w:val="TableTextEntries"/>
              <w:jc w:val="center"/>
              <w:rPr>
                <w:sz w:val="24"/>
                <w:szCs w:val="24"/>
              </w:rPr>
            </w:pPr>
            <w:r w:rsidRPr="006D3A62">
              <w:rPr>
                <w:sz w:val="24"/>
                <w:szCs w:val="24"/>
              </w:rPr>
              <w:fldChar w:fldCharType="begin">
                <w:ffData>
                  <w:name w:val="Check8"/>
                  <w:enabled/>
                  <w:calcOnExit w:val="0"/>
                  <w:checkBox>
                    <w:sizeAuto/>
                    <w:default w:val="0"/>
                    <w:checked w:val="0"/>
                  </w:checkBox>
                </w:ffData>
              </w:fldChar>
            </w:r>
            <w:r w:rsidRPr="006D3A62">
              <w:rPr>
                <w:sz w:val="24"/>
                <w:szCs w:val="24"/>
              </w:rPr>
              <w:instrText xml:space="preserve"> FORMCHECKBOX </w:instrText>
            </w:r>
            <w:r w:rsidR="00E71F8D">
              <w:rPr>
                <w:sz w:val="24"/>
                <w:szCs w:val="24"/>
              </w:rPr>
            </w:r>
            <w:r w:rsidR="00E71F8D">
              <w:rPr>
                <w:sz w:val="24"/>
                <w:szCs w:val="24"/>
              </w:rPr>
              <w:fldChar w:fldCharType="separate"/>
            </w:r>
            <w:r w:rsidRPr="006D3A62">
              <w:rPr>
                <w:sz w:val="24"/>
                <w:szCs w:val="24"/>
              </w:rPr>
              <w:fldChar w:fldCharType="end"/>
            </w:r>
          </w:p>
        </w:tc>
      </w:tr>
    </w:tbl>
    <w:p w:rsidR="007D46AE" w:rsidRPr="002550E3" w:rsidRDefault="007D46AE" w:rsidP="002550E3">
      <w:pPr>
        <w:pStyle w:val="BodyText"/>
      </w:pPr>
    </w:p>
    <w:p w:rsidR="00D60EA5" w:rsidRPr="00303275" w:rsidRDefault="004340DD" w:rsidP="006607B9">
      <w:pPr>
        <w:pStyle w:val="Heading1"/>
      </w:pPr>
      <w:r>
        <w:br w:type="column"/>
      </w:r>
      <w:bookmarkStart w:id="52" w:name="_Toc401138381"/>
      <w:r w:rsidR="00D60EA5" w:rsidRPr="00303275">
        <w:lastRenderedPageBreak/>
        <w:t>Certification</w:t>
      </w:r>
      <w:bookmarkEnd w:id="52"/>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5F175B">
        <w:t>Gloucester Shire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005F175B">
        <w:t>Danny Green</w:t>
      </w:r>
    </w:p>
    <w:p w:rsidR="005C4769" w:rsidRPr="00303275" w:rsidRDefault="005C4769" w:rsidP="005C4769">
      <w:pPr>
        <w:pStyle w:val="BodyText"/>
      </w:pPr>
      <w:r w:rsidRPr="00303275">
        <w:t xml:space="preserve">Signature and Date: </w:t>
      </w:r>
      <w:r w:rsidRPr="00303275">
        <w:fldChar w:fldCharType="begin">
          <w:ffData>
            <w:name w:val="Text25"/>
            <w:enabled/>
            <w:calcOnExit w:val="0"/>
            <w:textInput/>
          </w:ffData>
        </w:fldChar>
      </w:r>
      <w:bookmarkStart w:id="53" w:name="Text25"/>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3"/>
    </w:p>
    <w:p w:rsidR="005C4769" w:rsidRPr="00303275" w:rsidRDefault="005C4769" w:rsidP="005C4769">
      <w:pPr>
        <w:pStyle w:val="BodyText"/>
      </w:pPr>
      <w:r w:rsidRPr="00303275">
        <w:t xml:space="preserve">Responsible Accounting Officer (name): </w:t>
      </w:r>
      <w:r w:rsidR="005F175B">
        <w:t>Susie Jones</w:t>
      </w:r>
    </w:p>
    <w:p w:rsidR="005C4769" w:rsidRPr="00303275" w:rsidRDefault="005C4769" w:rsidP="005C4769">
      <w:pPr>
        <w:pStyle w:val="BodyText"/>
      </w:pPr>
      <w:r w:rsidRPr="00303275">
        <w:t xml:space="preserve">Signature and Date: </w:t>
      </w:r>
      <w:r w:rsidRPr="00303275">
        <w:fldChar w:fldCharType="begin">
          <w:ffData>
            <w:name w:val="Text27"/>
            <w:enabled/>
            <w:calcOnExit w:val="0"/>
            <w:textInput/>
          </w:ffData>
        </w:fldChar>
      </w:r>
      <w:bookmarkStart w:id="54" w:name="Text27"/>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4"/>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A04773">
      <w:pgSz w:w="11907" w:h="16840" w:code="9"/>
      <w:pgMar w:top="2268" w:right="1701" w:bottom="1418" w:left="1134"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E7" w:rsidRDefault="00B660E7" w:rsidP="00856DDC">
      <w:r>
        <w:separator/>
      </w:r>
    </w:p>
    <w:p w:rsidR="00B660E7" w:rsidRDefault="00B660E7"/>
  </w:endnote>
  <w:endnote w:type="continuationSeparator" w:id="0">
    <w:p w:rsidR="00B660E7" w:rsidRDefault="00B660E7" w:rsidP="00856DDC">
      <w:r>
        <w:continuationSeparator/>
      </w:r>
    </w:p>
    <w:p w:rsidR="00B660E7" w:rsidRDefault="00B66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vantGarde-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E71F8D">
      <w:trPr>
        <w:cantSplit/>
      </w:trPr>
      <w:tc>
        <w:tcPr>
          <w:tcW w:w="567" w:type="dxa"/>
          <w:vAlign w:val="bottom"/>
        </w:tcPr>
        <w:p w:rsidR="00E71F8D" w:rsidRDefault="00E71F8D"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9C34E6">
            <w:rPr>
              <w:rStyle w:val="PageNumber"/>
              <w:noProof/>
            </w:rPr>
            <w:t>ii</w:t>
          </w:r>
          <w:r>
            <w:rPr>
              <w:rStyle w:val="PageNumber"/>
            </w:rPr>
            <w:fldChar w:fldCharType="end"/>
          </w:r>
        </w:p>
      </w:tc>
      <w:tc>
        <w:tcPr>
          <w:tcW w:w="142" w:type="dxa"/>
          <w:tcBorders>
            <w:right w:val="single" w:sz="8" w:space="0" w:color="7C7C7C"/>
          </w:tcBorders>
          <w:vAlign w:val="bottom"/>
        </w:tcPr>
        <w:p w:rsidR="00E71F8D" w:rsidRDefault="00E71F8D" w:rsidP="00321AF3">
          <w:pPr>
            <w:pStyle w:val="Footer"/>
          </w:pPr>
        </w:p>
      </w:tc>
      <w:tc>
        <w:tcPr>
          <w:tcW w:w="142" w:type="dxa"/>
          <w:tcBorders>
            <w:left w:val="single" w:sz="8" w:space="0" w:color="7C7C7C"/>
          </w:tcBorders>
          <w:vAlign w:val="bottom"/>
        </w:tcPr>
        <w:p w:rsidR="00E71F8D" w:rsidRDefault="00E71F8D" w:rsidP="00321AF3">
          <w:pPr>
            <w:pStyle w:val="Footer"/>
          </w:pPr>
        </w:p>
      </w:tc>
      <w:tc>
        <w:tcPr>
          <w:tcW w:w="7938" w:type="dxa"/>
          <w:vAlign w:val="bottom"/>
        </w:tcPr>
        <w:p w:rsidR="00E71F8D" w:rsidRDefault="00E71F8D" w:rsidP="00321AF3">
          <w:pPr>
            <w:pStyle w:val="Footer"/>
          </w:pPr>
          <w:r w:rsidRPr="00D661A7">
            <w:rPr>
              <w:b/>
            </w:rPr>
            <w:t>IPART</w:t>
          </w:r>
          <w:r w:rsidRPr="00CF179E">
            <w:rPr>
              <w:rFonts w:eastAsia="Arial Unicode MS" w:hAnsi="Arial Unicode MS" w:cs="Arial"/>
            </w:rPr>
            <w:t> </w:t>
          </w:r>
          <w:fldSimple w:instr=" STYLEREF  Title ">
            <w:r w:rsidR="009C34E6">
              <w:rPr>
                <w:noProof/>
              </w:rPr>
              <w:t>Special Variation Application Form – Part B</w:t>
            </w:r>
          </w:fldSimple>
        </w:p>
      </w:tc>
    </w:tr>
  </w:tbl>
  <w:p w:rsidR="00E71F8D" w:rsidRPr="00D661A7" w:rsidRDefault="00E71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E71F8D">
      <w:trPr>
        <w:cantSplit/>
      </w:trPr>
      <w:tc>
        <w:tcPr>
          <w:tcW w:w="7938" w:type="dxa"/>
          <w:vAlign w:val="bottom"/>
        </w:tcPr>
        <w:p w:rsidR="00E71F8D" w:rsidRDefault="00E71F8D" w:rsidP="00321AF3">
          <w:pPr>
            <w:pStyle w:val="Footer"/>
            <w:jc w:val="right"/>
          </w:pPr>
          <w:fldSimple w:instr=" STYLEREF  Title ">
            <w:r w:rsidR="009C34E6">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E71F8D" w:rsidRDefault="00E71F8D" w:rsidP="00321AF3">
          <w:pPr>
            <w:pStyle w:val="Footer"/>
          </w:pPr>
        </w:p>
      </w:tc>
      <w:tc>
        <w:tcPr>
          <w:tcW w:w="142" w:type="dxa"/>
          <w:tcBorders>
            <w:left w:val="single" w:sz="8" w:space="0" w:color="7C7C7C"/>
          </w:tcBorders>
          <w:vAlign w:val="bottom"/>
        </w:tcPr>
        <w:p w:rsidR="00E71F8D" w:rsidRDefault="00E71F8D" w:rsidP="00321AF3">
          <w:pPr>
            <w:pStyle w:val="Footer"/>
          </w:pPr>
        </w:p>
      </w:tc>
      <w:tc>
        <w:tcPr>
          <w:tcW w:w="567" w:type="dxa"/>
          <w:vAlign w:val="bottom"/>
        </w:tcPr>
        <w:p w:rsidR="00E71F8D" w:rsidRDefault="00E71F8D" w:rsidP="00321AF3">
          <w:pPr>
            <w:pStyle w:val="Footer"/>
          </w:pPr>
          <w:r>
            <w:rPr>
              <w:rStyle w:val="PageNumber"/>
            </w:rPr>
            <w:fldChar w:fldCharType="begin"/>
          </w:r>
          <w:r>
            <w:rPr>
              <w:rStyle w:val="PageNumber"/>
            </w:rPr>
            <w:instrText xml:space="preserve"> PAGE </w:instrText>
          </w:r>
          <w:r>
            <w:rPr>
              <w:rStyle w:val="PageNumber"/>
            </w:rPr>
            <w:fldChar w:fldCharType="separate"/>
          </w:r>
          <w:r w:rsidR="009C34E6">
            <w:rPr>
              <w:rStyle w:val="PageNumber"/>
              <w:noProof/>
            </w:rPr>
            <w:t>iii</w:t>
          </w:r>
          <w:r>
            <w:rPr>
              <w:rStyle w:val="PageNumber"/>
            </w:rPr>
            <w:fldChar w:fldCharType="end"/>
          </w:r>
        </w:p>
      </w:tc>
    </w:tr>
  </w:tbl>
  <w:p w:rsidR="00E71F8D" w:rsidRPr="00BB2D33" w:rsidRDefault="00E71F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Pr="002231EC" w:rsidRDefault="00E71F8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E71F8D">
      <w:trPr>
        <w:cantSplit/>
      </w:trPr>
      <w:tc>
        <w:tcPr>
          <w:tcW w:w="567" w:type="dxa"/>
          <w:vAlign w:val="bottom"/>
        </w:tcPr>
        <w:p w:rsidR="00E71F8D" w:rsidRDefault="00E71F8D"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9C34E6">
            <w:rPr>
              <w:rStyle w:val="PageNumber"/>
              <w:noProof/>
            </w:rPr>
            <w:t>14</w:t>
          </w:r>
          <w:r>
            <w:rPr>
              <w:rStyle w:val="PageNumber"/>
            </w:rPr>
            <w:fldChar w:fldCharType="end"/>
          </w:r>
        </w:p>
      </w:tc>
      <w:tc>
        <w:tcPr>
          <w:tcW w:w="142" w:type="dxa"/>
          <w:tcBorders>
            <w:right w:val="single" w:sz="8" w:space="0" w:color="7C7C7C"/>
          </w:tcBorders>
          <w:vAlign w:val="bottom"/>
        </w:tcPr>
        <w:p w:rsidR="00E71F8D" w:rsidRDefault="00E71F8D" w:rsidP="00BB7D2D">
          <w:pPr>
            <w:pStyle w:val="Footer"/>
          </w:pPr>
        </w:p>
      </w:tc>
      <w:tc>
        <w:tcPr>
          <w:tcW w:w="142" w:type="dxa"/>
          <w:tcBorders>
            <w:left w:val="single" w:sz="8" w:space="0" w:color="7C7C7C"/>
          </w:tcBorders>
          <w:vAlign w:val="bottom"/>
        </w:tcPr>
        <w:p w:rsidR="00E71F8D" w:rsidRDefault="00E71F8D" w:rsidP="00BB7D2D">
          <w:pPr>
            <w:pStyle w:val="Footer"/>
          </w:pPr>
        </w:p>
      </w:tc>
      <w:tc>
        <w:tcPr>
          <w:tcW w:w="7938" w:type="dxa"/>
          <w:vAlign w:val="bottom"/>
        </w:tcPr>
        <w:p w:rsidR="00E71F8D" w:rsidRDefault="00E71F8D" w:rsidP="00BB7D2D">
          <w:pPr>
            <w:pStyle w:val="Footer"/>
          </w:pPr>
          <w:r w:rsidRPr="00D661A7">
            <w:rPr>
              <w:b/>
            </w:rPr>
            <w:t>IPART</w:t>
          </w:r>
          <w:r w:rsidRPr="00CF179E">
            <w:rPr>
              <w:rFonts w:eastAsia="Arial Unicode MS" w:hAnsi="Arial Unicode MS" w:cs="Arial"/>
            </w:rPr>
            <w:t> </w:t>
          </w:r>
          <w:fldSimple w:instr=" STYLEREF  Title ">
            <w:r w:rsidR="009C34E6">
              <w:rPr>
                <w:noProof/>
              </w:rPr>
              <w:t>Special Variation Application Form – Part B</w:t>
            </w:r>
          </w:fldSimple>
        </w:p>
      </w:tc>
    </w:tr>
  </w:tbl>
  <w:p w:rsidR="00E71F8D" w:rsidRDefault="00E71F8D"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E71F8D">
      <w:trPr>
        <w:cantSplit/>
      </w:trPr>
      <w:tc>
        <w:tcPr>
          <w:tcW w:w="7938" w:type="dxa"/>
          <w:vAlign w:val="bottom"/>
        </w:tcPr>
        <w:p w:rsidR="00E71F8D" w:rsidRDefault="00E71F8D" w:rsidP="00BB7D2D">
          <w:pPr>
            <w:pStyle w:val="Footer"/>
            <w:jc w:val="right"/>
          </w:pPr>
          <w:fldSimple w:instr=" STYLEREF  Title ">
            <w:r w:rsidR="009C34E6">
              <w:rPr>
                <w:noProof/>
              </w:rPr>
              <w:t>Special Variation Application Form – Part B</w:t>
            </w:r>
          </w:fldSimple>
          <w:bookmarkStart w:id="37"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E71F8D" w:rsidRDefault="00E71F8D" w:rsidP="00BB7D2D">
          <w:pPr>
            <w:pStyle w:val="Footer"/>
          </w:pPr>
        </w:p>
      </w:tc>
      <w:tc>
        <w:tcPr>
          <w:tcW w:w="142" w:type="dxa"/>
          <w:tcBorders>
            <w:left w:val="single" w:sz="8" w:space="0" w:color="7C7C7C"/>
          </w:tcBorders>
          <w:vAlign w:val="bottom"/>
        </w:tcPr>
        <w:p w:rsidR="00E71F8D" w:rsidRDefault="00E71F8D" w:rsidP="00BB7D2D">
          <w:pPr>
            <w:pStyle w:val="Footer"/>
          </w:pPr>
        </w:p>
      </w:tc>
      <w:tc>
        <w:tcPr>
          <w:tcW w:w="567" w:type="dxa"/>
          <w:vAlign w:val="bottom"/>
        </w:tcPr>
        <w:p w:rsidR="00E71F8D" w:rsidRDefault="00E71F8D" w:rsidP="00BB7D2D">
          <w:pPr>
            <w:pStyle w:val="Footer"/>
          </w:pPr>
          <w:r>
            <w:rPr>
              <w:rStyle w:val="PageNumber"/>
            </w:rPr>
            <w:fldChar w:fldCharType="begin"/>
          </w:r>
          <w:r>
            <w:rPr>
              <w:rStyle w:val="PageNumber"/>
            </w:rPr>
            <w:instrText xml:space="preserve"> PAGE </w:instrText>
          </w:r>
          <w:r>
            <w:rPr>
              <w:rStyle w:val="PageNumber"/>
            </w:rPr>
            <w:fldChar w:fldCharType="separate"/>
          </w:r>
          <w:r w:rsidR="009C34E6">
            <w:rPr>
              <w:rStyle w:val="PageNumber"/>
              <w:noProof/>
            </w:rPr>
            <w:t>15</w:t>
          </w:r>
          <w:r>
            <w:rPr>
              <w:rStyle w:val="PageNumber"/>
            </w:rPr>
            <w:fldChar w:fldCharType="end"/>
          </w:r>
        </w:p>
      </w:tc>
    </w:tr>
    <w:bookmarkEnd w:id="37"/>
  </w:tbl>
  <w:p w:rsidR="00E71F8D" w:rsidRDefault="00E71F8D"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E7" w:rsidRDefault="00B660E7" w:rsidP="00856DDC">
      <w:r>
        <w:separator/>
      </w:r>
    </w:p>
  </w:footnote>
  <w:footnote w:type="continuationSeparator" w:id="0">
    <w:p w:rsidR="00B660E7" w:rsidRDefault="00B660E7" w:rsidP="00856DDC">
      <w:r>
        <w:continuationSeparator/>
      </w:r>
    </w:p>
    <w:p w:rsidR="00B660E7" w:rsidRDefault="00B660E7"/>
  </w:footnote>
  <w:footnote w:id="1">
    <w:p w:rsidR="00E71F8D" w:rsidRPr="00952245" w:rsidRDefault="00E71F8D"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E71F8D" w:rsidRPr="00952245" w:rsidRDefault="00E71F8D"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E71F8D" w:rsidRPr="00452CBD" w:rsidRDefault="00E71F8D"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E71F8D" w:rsidRPr="0035428F" w:rsidRDefault="00E71F8D"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E71F8D" w:rsidRPr="00CA35DF" w:rsidRDefault="00E71F8D" w:rsidP="001F1E22">
      <w:pPr>
        <w:pStyle w:val="FootnoteText"/>
        <w:rPr>
          <w:lang w:val="en-US"/>
        </w:rPr>
      </w:pPr>
      <w:r>
        <w:rPr>
          <w:rStyle w:val="FootnoteReference"/>
        </w:rPr>
        <w:footnoteRef/>
      </w:r>
      <w:r>
        <w:t xml:space="preserve"> </w:t>
      </w:r>
      <w:r>
        <w:rPr>
          <w:lang w:val="en-US"/>
        </w:rPr>
        <w:tab/>
        <w:t>Relevant documents are the Community Strategic Plan, Delivery Program, Long Term Financial Plan and where applicable, the Asset Management Plan.</w:t>
      </w:r>
    </w:p>
  </w:footnote>
  <w:footnote w:id="6">
    <w:p w:rsidR="00E71F8D" w:rsidRPr="00AF2242" w:rsidRDefault="00E71F8D">
      <w:pPr>
        <w:pStyle w:val="FootnoteText"/>
        <w:rPr>
          <w:lang w:val="en-US"/>
        </w:rPr>
      </w:pPr>
      <w:r w:rsidRPr="00303275">
        <w:rPr>
          <w:rStyle w:val="FootnoteReference"/>
        </w:rPr>
        <w:footnoteRef/>
      </w:r>
      <w:r w:rsidRPr="00303275">
        <w:t xml:space="preserve"> </w:t>
      </w:r>
      <w:r w:rsidRPr="00303275">
        <w:rPr>
          <w:lang w:val="en-US"/>
        </w:rPr>
        <w:tab/>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 See http://www.olg.nsw.gov.au/sites/default/files/Intergrated-Planning-and-Reporting-Manual-March-2013.pdf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Default="00E71F8D"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Default="00E71F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Pr="00BB2D33" w:rsidRDefault="00E71F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Pr="0026621F" w:rsidRDefault="00E71F8D"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Pr="0026621F" w:rsidRDefault="00E71F8D"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Pr="00083981" w:rsidRDefault="00E71F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Default="00E71F8D">
    <w:pPr>
      <w:pStyle w:val="Header"/>
    </w:pPr>
    <w:r>
      <w:rPr>
        <w:noProof/>
      </w:rPr>
      <mc:AlternateContent>
        <mc:Choice Requires="wps">
          <w:drawing>
            <wp:anchor distT="0" distB="0" distL="114300" distR="114300" simplePos="0" relativeHeight="251664384" behindDoc="0" locked="0" layoutInCell="0" allowOverlap="0" wp14:anchorId="0E8071C4" wp14:editId="70991530">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F8D" w:rsidRDefault="00E71F8D"/>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7"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E71F8D" w:rsidRDefault="00E71F8D"/>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D" w:rsidRPr="004401AD" w:rsidRDefault="00E71F8D">
    <w:pPr>
      <w:pStyle w:val="Header"/>
      <w:rPr>
        <w:lang w:val="en-US"/>
      </w:rPr>
    </w:pPr>
    <w:r>
      <w:rPr>
        <w:noProof/>
      </w:rPr>
      <mc:AlternateContent>
        <mc:Choice Requires="wps">
          <w:drawing>
            <wp:anchor distT="0" distB="0" distL="114300" distR="114300" simplePos="0" relativeHeight="251665408" behindDoc="0" locked="0" layoutInCell="0" allowOverlap="0" wp14:anchorId="3BCEB9FD" wp14:editId="04C1F9CD">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F8D" w:rsidRDefault="00E71F8D"/>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8"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E71F8D" w:rsidRDefault="00E71F8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0267055"/>
    <w:multiLevelType w:val="hybridMultilevel"/>
    <w:tmpl w:val="82C64EE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6F3432"/>
    <w:multiLevelType w:val="hybridMultilevel"/>
    <w:tmpl w:val="227A0794"/>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A21324"/>
    <w:multiLevelType w:val="hybridMultilevel"/>
    <w:tmpl w:val="0F161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3940ED"/>
    <w:multiLevelType w:val="hybridMultilevel"/>
    <w:tmpl w:val="0F50D7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861564"/>
    <w:multiLevelType w:val="hybridMultilevel"/>
    <w:tmpl w:val="C104307C"/>
    <w:lvl w:ilvl="0" w:tplc="0F28C904">
      <w:numFmt w:val="bullet"/>
      <w:lvlText w:val="•"/>
      <w:lvlJc w:val="left"/>
      <w:pPr>
        <w:ind w:left="153" w:hanging="360"/>
      </w:pPr>
      <w:rPr>
        <w:rFonts w:ascii="Calibri" w:eastAsia="Times New Roman"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704FEC"/>
    <w:multiLevelType w:val="hybridMultilevel"/>
    <w:tmpl w:val="EC3EB2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B07650"/>
    <w:multiLevelType w:val="hybridMultilevel"/>
    <w:tmpl w:val="572A7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C341E20"/>
    <w:multiLevelType w:val="hybridMultilevel"/>
    <w:tmpl w:val="C2CED0B0"/>
    <w:lvl w:ilvl="0" w:tplc="6FB4D9FC">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4">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5">
    <w:nsid w:val="21ED3B43"/>
    <w:multiLevelType w:val="hybridMultilevel"/>
    <w:tmpl w:val="57F4AE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7F5144"/>
    <w:multiLevelType w:val="hybridMultilevel"/>
    <w:tmpl w:val="B590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C7960C7"/>
    <w:multiLevelType w:val="hybridMultilevel"/>
    <w:tmpl w:val="07A8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F31FD3"/>
    <w:multiLevelType w:val="hybridMultilevel"/>
    <w:tmpl w:val="2DA2F3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05F64B3"/>
    <w:multiLevelType w:val="hybridMultilevel"/>
    <w:tmpl w:val="EB20D1AE"/>
    <w:lvl w:ilvl="0" w:tplc="0C090003">
      <w:start w:val="1"/>
      <w:numFmt w:val="bullet"/>
      <w:lvlText w:val="o"/>
      <w:lvlJc w:val="left"/>
      <w:pPr>
        <w:ind w:left="1450" w:hanging="360"/>
      </w:pPr>
      <w:rPr>
        <w:rFonts w:ascii="Courier New" w:hAnsi="Courier New" w:cs="Courier New" w:hint="default"/>
      </w:rPr>
    </w:lvl>
    <w:lvl w:ilvl="1" w:tplc="0C090003" w:tentative="1">
      <w:start w:val="1"/>
      <w:numFmt w:val="bullet"/>
      <w:lvlText w:val="o"/>
      <w:lvlJc w:val="left"/>
      <w:pPr>
        <w:ind w:left="2170" w:hanging="360"/>
      </w:pPr>
      <w:rPr>
        <w:rFonts w:ascii="Courier New" w:hAnsi="Courier New" w:cs="Courier New" w:hint="default"/>
      </w:rPr>
    </w:lvl>
    <w:lvl w:ilvl="2" w:tplc="0C090005" w:tentative="1">
      <w:start w:val="1"/>
      <w:numFmt w:val="bullet"/>
      <w:lvlText w:val=""/>
      <w:lvlJc w:val="left"/>
      <w:pPr>
        <w:ind w:left="2890" w:hanging="360"/>
      </w:pPr>
      <w:rPr>
        <w:rFonts w:ascii="Wingdings" w:hAnsi="Wingdings" w:hint="default"/>
      </w:rPr>
    </w:lvl>
    <w:lvl w:ilvl="3" w:tplc="0C090001" w:tentative="1">
      <w:start w:val="1"/>
      <w:numFmt w:val="bullet"/>
      <w:lvlText w:val=""/>
      <w:lvlJc w:val="left"/>
      <w:pPr>
        <w:ind w:left="3610" w:hanging="360"/>
      </w:pPr>
      <w:rPr>
        <w:rFonts w:ascii="Symbol" w:hAnsi="Symbol" w:hint="default"/>
      </w:rPr>
    </w:lvl>
    <w:lvl w:ilvl="4" w:tplc="0C090003" w:tentative="1">
      <w:start w:val="1"/>
      <w:numFmt w:val="bullet"/>
      <w:lvlText w:val="o"/>
      <w:lvlJc w:val="left"/>
      <w:pPr>
        <w:ind w:left="4330" w:hanging="360"/>
      </w:pPr>
      <w:rPr>
        <w:rFonts w:ascii="Courier New" w:hAnsi="Courier New" w:cs="Courier New" w:hint="default"/>
      </w:rPr>
    </w:lvl>
    <w:lvl w:ilvl="5" w:tplc="0C090005" w:tentative="1">
      <w:start w:val="1"/>
      <w:numFmt w:val="bullet"/>
      <w:lvlText w:val=""/>
      <w:lvlJc w:val="left"/>
      <w:pPr>
        <w:ind w:left="5050" w:hanging="360"/>
      </w:pPr>
      <w:rPr>
        <w:rFonts w:ascii="Wingdings" w:hAnsi="Wingdings" w:hint="default"/>
      </w:rPr>
    </w:lvl>
    <w:lvl w:ilvl="6" w:tplc="0C090001" w:tentative="1">
      <w:start w:val="1"/>
      <w:numFmt w:val="bullet"/>
      <w:lvlText w:val=""/>
      <w:lvlJc w:val="left"/>
      <w:pPr>
        <w:ind w:left="5770" w:hanging="360"/>
      </w:pPr>
      <w:rPr>
        <w:rFonts w:ascii="Symbol" w:hAnsi="Symbol" w:hint="default"/>
      </w:rPr>
    </w:lvl>
    <w:lvl w:ilvl="7" w:tplc="0C090003" w:tentative="1">
      <w:start w:val="1"/>
      <w:numFmt w:val="bullet"/>
      <w:lvlText w:val="o"/>
      <w:lvlJc w:val="left"/>
      <w:pPr>
        <w:ind w:left="6490" w:hanging="360"/>
      </w:pPr>
      <w:rPr>
        <w:rFonts w:ascii="Courier New" w:hAnsi="Courier New" w:cs="Courier New" w:hint="default"/>
      </w:rPr>
    </w:lvl>
    <w:lvl w:ilvl="8" w:tplc="0C090005" w:tentative="1">
      <w:start w:val="1"/>
      <w:numFmt w:val="bullet"/>
      <w:lvlText w:val=""/>
      <w:lvlJc w:val="left"/>
      <w:pPr>
        <w:ind w:left="7210" w:hanging="360"/>
      </w:pPr>
      <w:rPr>
        <w:rFonts w:ascii="Wingdings" w:hAnsi="Wingdings" w:hint="default"/>
      </w:rPr>
    </w:lvl>
  </w:abstractNum>
  <w:abstractNum w:abstractNumId="23">
    <w:nsid w:val="30A32A15"/>
    <w:multiLevelType w:val="hybridMultilevel"/>
    <w:tmpl w:val="34643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C77BAA"/>
    <w:multiLevelType w:val="hybridMultilevel"/>
    <w:tmpl w:val="E87ED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6">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7">
    <w:nsid w:val="3ABB5A56"/>
    <w:multiLevelType w:val="hybridMultilevel"/>
    <w:tmpl w:val="B484B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B850B3"/>
    <w:multiLevelType w:val="hybridMultilevel"/>
    <w:tmpl w:val="5416379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nsid w:val="3F392A27"/>
    <w:multiLevelType w:val="hybridMultilevel"/>
    <w:tmpl w:val="C368152C"/>
    <w:lvl w:ilvl="0" w:tplc="0C09000F">
      <w:start w:val="1"/>
      <w:numFmt w:val="decimal"/>
      <w:lvlText w:val="%1."/>
      <w:lvlJc w:val="left"/>
      <w:pPr>
        <w:ind w:left="1446" w:hanging="360"/>
      </w:pPr>
      <w:rPr>
        <w:rFont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0">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31">
    <w:nsid w:val="461731EB"/>
    <w:multiLevelType w:val="hybridMultilevel"/>
    <w:tmpl w:val="DF66D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9197DC1"/>
    <w:multiLevelType w:val="hybridMultilevel"/>
    <w:tmpl w:val="65CCA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34">
    <w:nsid w:val="541444EC"/>
    <w:multiLevelType w:val="hybridMultilevel"/>
    <w:tmpl w:val="9FD0875A"/>
    <w:lvl w:ilvl="0" w:tplc="0C090003">
      <w:start w:val="1"/>
      <w:numFmt w:val="bullet"/>
      <w:lvlText w:val="o"/>
      <w:lvlJc w:val="left"/>
      <w:pPr>
        <w:ind w:left="1446" w:hanging="360"/>
      </w:pPr>
      <w:rPr>
        <w:rFonts w:ascii="Courier New" w:hAnsi="Courier New" w:cs="Courier New"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5">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36">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7">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8">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9">
    <w:nsid w:val="61EA14B0"/>
    <w:multiLevelType w:val="hybridMultilevel"/>
    <w:tmpl w:val="D316AB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1FC5ABE"/>
    <w:multiLevelType w:val="hybridMultilevel"/>
    <w:tmpl w:val="C426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42">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43">
    <w:nsid w:val="672716B9"/>
    <w:multiLevelType w:val="hybridMultilevel"/>
    <w:tmpl w:val="CDC0E13E"/>
    <w:lvl w:ilvl="0" w:tplc="0F28C904">
      <w:numFmt w:val="bullet"/>
      <w:lvlText w:val="•"/>
      <w:lvlJc w:val="left"/>
      <w:pPr>
        <w:ind w:left="579" w:hanging="360"/>
      </w:pPr>
      <w:rPr>
        <w:rFonts w:ascii="Calibri" w:eastAsia="Times New Roman" w:hAnsi="Calibri" w:cs="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4">
    <w:nsid w:val="673C24C9"/>
    <w:multiLevelType w:val="hybridMultilevel"/>
    <w:tmpl w:val="1C1A8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8957169"/>
    <w:multiLevelType w:val="hybridMultilevel"/>
    <w:tmpl w:val="128CD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47">
    <w:nsid w:val="6AF92A1E"/>
    <w:multiLevelType w:val="hybridMultilevel"/>
    <w:tmpl w:val="F85474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B0D146C"/>
    <w:multiLevelType w:val="hybridMultilevel"/>
    <w:tmpl w:val="71A2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C792091"/>
    <w:multiLevelType w:val="hybridMultilevel"/>
    <w:tmpl w:val="4044E4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52">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53">
    <w:nsid w:val="749E121D"/>
    <w:multiLevelType w:val="hybridMultilevel"/>
    <w:tmpl w:val="432A2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55">
    <w:nsid w:val="74D90771"/>
    <w:multiLevelType w:val="hybridMultilevel"/>
    <w:tmpl w:val="1930A41C"/>
    <w:lvl w:ilvl="0" w:tplc="0F28C904">
      <w:numFmt w:val="bullet"/>
      <w:lvlText w:val="•"/>
      <w:lvlJc w:val="left"/>
      <w:pPr>
        <w:ind w:left="153" w:hanging="360"/>
      </w:pPr>
      <w:rPr>
        <w:rFonts w:ascii="Calibri" w:eastAsia="Times New Roman" w:hAnsi="Calibri" w:cs="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6">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57">
    <w:nsid w:val="76F1404A"/>
    <w:multiLevelType w:val="hybridMultilevel"/>
    <w:tmpl w:val="4ADE8ABA"/>
    <w:lvl w:ilvl="0" w:tplc="0C090003">
      <w:start w:val="1"/>
      <w:numFmt w:val="bullet"/>
      <w:lvlText w:val="o"/>
      <w:lvlJc w:val="left"/>
      <w:pPr>
        <w:ind w:left="1446" w:hanging="360"/>
      </w:pPr>
      <w:rPr>
        <w:rFonts w:ascii="Courier New" w:hAnsi="Courier New" w:cs="Courier New"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58">
    <w:nsid w:val="782E6128"/>
    <w:multiLevelType w:val="hybridMultilevel"/>
    <w:tmpl w:val="1D7C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54"/>
  </w:num>
  <w:num w:numId="4">
    <w:abstractNumId w:val="25"/>
  </w:num>
  <w:num w:numId="5">
    <w:abstractNumId w:val="36"/>
  </w:num>
  <w:num w:numId="6">
    <w:abstractNumId w:val="37"/>
  </w:num>
  <w:num w:numId="7">
    <w:abstractNumId w:val="33"/>
  </w:num>
  <w:num w:numId="8">
    <w:abstractNumId w:val="10"/>
  </w:num>
  <w:num w:numId="9">
    <w:abstractNumId w:val="0"/>
  </w:num>
  <w:num w:numId="10">
    <w:abstractNumId w:val="11"/>
  </w:num>
  <w:num w:numId="11">
    <w:abstractNumId w:val="26"/>
  </w:num>
  <w:num w:numId="12">
    <w:abstractNumId w:val="42"/>
  </w:num>
  <w:num w:numId="13">
    <w:abstractNumId w:val="18"/>
  </w:num>
  <w:num w:numId="14">
    <w:abstractNumId w:val="52"/>
  </w:num>
  <w:num w:numId="15">
    <w:abstractNumId w:val="35"/>
  </w:num>
  <w:num w:numId="16">
    <w:abstractNumId w:val="46"/>
  </w:num>
  <w:num w:numId="17">
    <w:abstractNumId w:val="51"/>
  </w:num>
  <w:num w:numId="18">
    <w:abstractNumId w:val="38"/>
  </w:num>
  <w:num w:numId="19">
    <w:abstractNumId w:val="30"/>
  </w:num>
  <w:num w:numId="20">
    <w:abstractNumId w:val="17"/>
  </w:num>
  <w:num w:numId="21">
    <w:abstractNumId w:val="4"/>
  </w:num>
  <w:num w:numId="22">
    <w:abstractNumId w:val="56"/>
  </w:num>
  <w:num w:numId="23">
    <w:abstractNumId w:val="21"/>
  </w:num>
  <w:num w:numId="24">
    <w:abstractNumId w:val="50"/>
  </w:num>
  <w:num w:numId="25">
    <w:abstractNumId w:val="2"/>
  </w:num>
  <w:num w:numId="26">
    <w:abstractNumId w:val="12"/>
  </w:num>
  <w:num w:numId="27">
    <w:abstractNumId w:val="23"/>
  </w:num>
  <w:num w:numId="28">
    <w:abstractNumId w:val="44"/>
  </w:num>
  <w:num w:numId="29">
    <w:abstractNumId w:val="16"/>
  </w:num>
  <w:num w:numId="30">
    <w:abstractNumId w:val="19"/>
  </w:num>
  <w:num w:numId="31">
    <w:abstractNumId w:val="32"/>
  </w:num>
  <w:num w:numId="32">
    <w:abstractNumId w:val="53"/>
  </w:num>
  <w:num w:numId="33">
    <w:abstractNumId w:val="27"/>
  </w:num>
  <w:num w:numId="34">
    <w:abstractNumId w:val="13"/>
  </w:num>
  <w:num w:numId="35">
    <w:abstractNumId w:val="45"/>
  </w:num>
  <w:num w:numId="36">
    <w:abstractNumId w:val="1"/>
  </w:num>
  <w:num w:numId="37">
    <w:abstractNumId w:val="5"/>
  </w:num>
  <w:num w:numId="38">
    <w:abstractNumId w:val="58"/>
  </w:num>
  <w:num w:numId="39">
    <w:abstractNumId w:val="40"/>
  </w:num>
  <w:num w:numId="40">
    <w:abstractNumId w:val="28"/>
  </w:num>
  <w:num w:numId="41">
    <w:abstractNumId w:val="24"/>
  </w:num>
  <w:num w:numId="42">
    <w:abstractNumId w:val="8"/>
  </w:num>
  <w:num w:numId="43">
    <w:abstractNumId w:val="9"/>
  </w:num>
  <w:num w:numId="44">
    <w:abstractNumId w:val="29"/>
  </w:num>
  <w:num w:numId="45">
    <w:abstractNumId w:val="34"/>
  </w:num>
  <w:num w:numId="46">
    <w:abstractNumId w:val="47"/>
  </w:num>
  <w:num w:numId="47">
    <w:abstractNumId w:val="31"/>
  </w:num>
  <w:num w:numId="48">
    <w:abstractNumId w:val="57"/>
  </w:num>
  <w:num w:numId="49">
    <w:abstractNumId w:val="6"/>
  </w:num>
  <w:num w:numId="50">
    <w:abstractNumId w:val="3"/>
  </w:num>
  <w:num w:numId="51">
    <w:abstractNumId w:val="15"/>
  </w:num>
  <w:num w:numId="52">
    <w:abstractNumId w:val="22"/>
  </w:num>
  <w:num w:numId="53">
    <w:abstractNumId w:val="39"/>
  </w:num>
  <w:num w:numId="54">
    <w:abstractNumId w:val="20"/>
  </w:num>
  <w:num w:numId="55">
    <w:abstractNumId w:val="49"/>
  </w:num>
  <w:num w:numId="56">
    <w:abstractNumId w:val="48"/>
  </w:num>
  <w:num w:numId="57">
    <w:abstractNumId w:val="55"/>
  </w:num>
  <w:num w:numId="58">
    <w:abstractNumId w:val="43"/>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1029"/>
    <w:rsid w:val="00002BF5"/>
    <w:rsid w:val="00005641"/>
    <w:rsid w:val="00006FE5"/>
    <w:rsid w:val="00007AFB"/>
    <w:rsid w:val="00010037"/>
    <w:rsid w:val="00010DFB"/>
    <w:rsid w:val="000111B5"/>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307"/>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D9D"/>
    <w:rsid w:val="00045034"/>
    <w:rsid w:val="00045940"/>
    <w:rsid w:val="00045E55"/>
    <w:rsid w:val="0004651B"/>
    <w:rsid w:val="00046603"/>
    <w:rsid w:val="00050AED"/>
    <w:rsid w:val="00050D51"/>
    <w:rsid w:val="0005255C"/>
    <w:rsid w:val="00052573"/>
    <w:rsid w:val="00052705"/>
    <w:rsid w:val="00052E3D"/>
    <w:rsid w:val="000531EE"/>
    <w:rsid w:val="0005432C"/>
    <w:rsid w:val="000545B7"/>
    <w:rsid w:val="00054E84"/>
    <w:rsid w:val="00056E9F"/>
    <w:rsid w:val="0005753A"/>
    <w:rsid w:val="00061640"/>
    <w:rsid w:val="00062F94"/>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C0C"/>
    <w:rsid w:val="00080FAA"/>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2865"/>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24"/>
    <w:rsid w:val="000B42C6"/>
    <w:rsid w:val="000B4BA3"/>
    <w:rsid w:val="000B625B"/>
    <w:rsid w:val="000B7275"/>
    <w:rsid w:val="000C0040"/>
    <w:rsid w:val="000C149B"/>
    <w:rsid w:val="000C1577"/>
    <w:rsid w:val="000C160F"/>
    <w:rsid w:val="000C173E"/>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393"/>
    <w:rsid w:val="000D43A0"/>
    <w:rsid w:val="000D7E8C"/>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578C"/>
    <w:rsid w:val="000F6371"/>
    <w:rsid w:val="000F6734"/>
    <w:rsid w:val="000F7B56"/>
    <w:rsid w:val="000F7E79"/>
    <w:rsid w:val="00102095"/>
    <w:rsid w:val="001022D7"/>
    <w:rsid w:val="00102ED1"/>
    <w:rsid w:val="0010395A"/>
    <w:rsid w:val="00103BDC"/>
    <w:rsid w:val="00103C41"/>
    <w:rsid w:val="001040E8"/>
    <w:rsid w:val="00104FFB"/>
    <w:rsid w:val="00105263"/>
    <w:rsid w:val="00106E58"/>
    <w:rsid w:val="0010742B"/>
    <w:rsid w:val="0010773E"/>
    <w:rsid w:val="00107A47"/>
    <w:rsid w:val="001112A9"/>
    <w:rsid w:val="00111CE6"/>
    <w:rsid w:val="0011235F"/>
    <w:rsid w:val="00112435"/>
    <w:rsid w:val="00112F1D"/>
    <w:rsid w:val="001136B7"/>
    <w:rsid w:val="00113C3F"/>
    <w:rsid w:val="0012034E"/>
    <w:rsid w:val="00120768"/>
    <w:rsid w:val="00120B80"/>
    <w:rsid w:val="001217D5"/>
    <w:rsid w:val="001227FE"/>
    <w:rsid w:val="00122DB2"/>
    <w:rsid w:val="00123634"/>
    <w:rsid w:val="0012373D"/>
    <w:rsid w:val="00125169"/>
    <w:rsid w:val="001254DC"/>
    <w:rsid w:val="0012560C"/>
    <w:rsid w:val="0012731C"/>
    <w:rsid w:val="0012750E"/>
    <w:rsid w:val="00127883"/>
    <w:rsid w:val="00127990"/>
    <w:rsid w:val="001313D8"/>
    <w:rsid w:val="00131AFC"/>
    <w:rsid w:val="00134738"/>
    <w:rsid w:val="00135E94"/>
    <w:rsid w:val="0013634A"/>
    <w:rsid w:val="0013770D"/>
    <w:rsid w:val="0014176A"/>
    <w:rsid w:val="001428F5"/>
    <w:rsid w:val="001433B9"/>
    <w:rsid w:val="00144C80"/>
    <w:rsid w:val="00146479"/>
    <w:rsid w:val="0014764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0C3E"/>
    <w:rsid w:val="0016108D"/>
    <w:rsid w:val="001610FE"/>
    <w:rsid w:val="0016175D"/>
    <w:rsid w:val="00161C30"/>
    <w:rsid w:val="001622B6"/>
    <w:rsid w:val="00162D76"/>
    <w:rsid w:val="001649C2"/>
    <w:rsid w:val="00164B84"/>
    <w:rsid w:val="00164F96"/>
    <w:rsid w:val="00165820"/>
    <w:rsid w:val="00167056"/>
    <w:rsid w:val="00167E12"/>
    <w:rsid w:val="00167F49"/>
    <w:rsid w:val="00170669"/>
    <w:rsid w:val="00171A1B"/>
    <w:rsid w:val="001732F3"/>
    <w:rsid w:val="00173FE7"/>
    <w:rsid w:val="001746C8"/>
    <w:rsid w:val="00174DF4"/>
    <w:rsid w:val="00175BDF"/>
    <w:rsid w:val="0017654B"/>
    <w:rsid w:val="001774EA"/>
    <w:rsid w:val="00180294"/>
    <w:rsid w:val="001802CA"/>
    <w:rsid w:val="001809A2"/>
    <w:rsid w:val="00180ACE"/>
    <w:rsid w:val="001810C8"/>
    <w:rsid w:val="001814D4"/>
    <w:rsid w:val="00181E1B"/>
    <w:rsid w:val="00182C9D"/>
    <w:rsid w:val="00183983"/>
    <w:rsid w:val="00184062"/>
    <w:rsid w:val="00184129"/>
    <w:rsid w:val="00185737"/>
    <w:rsid w:val="00185ED6"/>
    <w:rsid w:val="00185FA7"/>
    <w:rsid w:val="001864B6"/>
    <w:rsid w:val="00187D9F"/>
    <w:rsid w:val="0019002E"/>
    <w:rsid w:val="001912B7"/>
    <w:rsid w:val="0019137C"/>
    <w:rsid w:val="00191F92"/>
    <w:rsid w:val="0019208C"/>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C01"/>
    <w:rsid w:val="001A722F"/>
    <w:rsid w:val="001B0189"/>
    <w:rsid w:val="001B031F"/>
    <w:rsid w:val="001B0DEB"/>
    <w:rsid w:val="001B106B"/>
    <w:rsid w:val="001B172F"/>
    <w:rsid w:val="001B3222"/>
    <w:rsid w:val="001B4B35"/>
    <w:rsid w:val="001B4CEF"/>
    <w:rsid w:val="001B5050"/>
    <w:rsid w:val="001B5EE9"/>
    <w:rsid w:val="001B67FE"/>
    <w:rsid w:val="001B6961"/>
    <w:rsid w:val="001B74AF"/>
    <w:rsid w:val="001C0F16"/>
    <w:rsid w:val="001C2502"/>
    <w:rsid w:val="001C2864"/>
    <w:rsid w:val="001C643A"/>
    <w:rsid w:val="001C6AB3"/>
    <w:rsid w:val="001C7153"/>
    <w:rsid w:val="001C7906"/>
    <w:rsid w:val="001C7929"/>
    <w:rsid w:val="001C7FDC"/>
    <w:rsid w:val="001D30AC"/>
    <w:rsid w:val="001D3113"/>
    <w:rsid w:val="001D4118"/>
    <w:rsid w:val="001D4F88"/>
    <w:rsid w:val="001D61EA"/>
    <w:rsid w:val="001D7496"/>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65A"/>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07423"/>
    <w:rsid w:val="00210F2B"/>
    <w:rsid w:val="00211568"/>
    <w:rsid w:val="00212233"/>
    <w:rsid w:val="002127CE"/>
    <w:rsid w:val="002138F6"/>
    <w:rsid w:val="00214201"/>
    <w:rsid w:val="00215940"/>
    <w:rsid w:val="00216728"/>
    <w:rsid w:val="00216DCF"/>
    <w:rsid w:val="002179F2"/>
    <w:rsid w:val="00220A51"/>
    <w:rsid w:val="002225E8"/>
    <w:rsid w:val="002229F1"/>
    <w:rsid w:val="002231EC"/>
    <w:rsid w:val="00223221"/>
    <w:rsid w:val="002245AF"/>
    <w:rsid w:val="002255E4"/>
    <w:rsid w:val="002262C3"/>
    <w:rsid w:val="00226B51"/>
    <w:rsid w:val="00230F45"/>
    <w:rsid w:val="00231BC8"/>
    <w:rsid w:val="002323F0"/>
    <w:rsid w:val="00232E0E"/>
    <w:rsid w:val="00234241"/>
    <w:rsid w:val="00234D6B"/>
    <w:rsid w:val="00235528"/>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1982"/>
    <w:rsid w:val="002727B6"/>
    <w:rsid w:val="002729A6"/>
    <w:rsid w:val="00273A77"/>
    <w:rsid w:val="00273A86"/>
    <w:rsid w:val="00276859"/>
    <w:rsid w:val="00277548"/>
    <w:rsid w:val="00280232"/>
    <w:rsid w:val="00280844"/>
    <w:rsid w:val="00282166"/>
    <w:rsid w:val="0028219B"/>
    <w:rsid w:val="002823FB"/>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2F6"/>
    <w:rsid w:val="00294530"/>
    <w:rsid w:val="00294951"/>
    <w:rsid w:val="00294C01"/>
    <w:rsid w:val="00295B2C"/>
    <w:rsid w:val="00296792"/>
    <w:rsid w:val="00296C8C"/>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409"/>
    <w:rsid w:val="002C7DF3"/>
    <w:rsid w:val="002D00DA"/>
    <w:rsid w:val="002D10E0"/>
    <w:rsid w:val="002D219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34B"/>
    <w:rsid w:val="002F6AC0"/>
    <w:rsid w:val="002F7488"/>
    <w:rsid w:val="00301EFD"/>
    <w:rsid w:val="00301F9E"/>
    <w:rsid w:val="00302715"/>
    <w:rsid w:val="00303275"/>
    <w:rsid w:val="00303306"/>
    <w:rsid w:val="003034D6"/>
    <w:rsid w:val="003035AF"/>
    <w:rsid w:val="003039F2"/>
    <w:rsid w:val="0030466C"/>
    <w:rsid w:val="00304A7F"/>
    <w:rsid w:val="00305232"/>
    <w:rsid w:val="003058D3"/>
    <w:rsid w:val="0031129C"/>
    <w:rsid w:val="00311344"/>
    <w:rsid w:val="00311A55"/>
    <w:rsid w:val="00312625"/>
    <w:rsid w:val="003129FB"/>
    <w:rsid w:val="003142E5"/>
    <w:rsid w:val="00315699"/>
    <w:rsid w:val="00315CBB"/>
    <w:rsid w:val="003174ED"/>
    <w:rsid w:val="0032025B"/>
    <w:rsid w:val="003202F0"/>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0A5F"/>
    <w:rsid w:val="00342A57"/>
    <w:rsid w:val="00343268"/>
    <w:rsid w:val="003438E6"/>
    <w:rsid w:val="00343907"/>
    <w:rsid w:val="00343EAD"/>
    <w:rsid w:val="0034461D"/>
    <w:rsid w:val="0034496D"/>
    <w:rsid w:val="00344A38"/>
    <w:rsid w:val="003459F4"/>
    <w:rsid w:val="00345C90"/>
    <w:rsid w:val="0034744B"/>
    <w:rsid w:val="0035304E"/>
    <w:rsid w:val="00353364"/>
    <w:rsid w:val="00354710"/>
    <w:rsid w:val="00354717"/>
    <w:rsid w:val="00356AF6"/>
    <w:rsid w:val="00356BC4"/>
    <w:rsid w:val="003572DF"/>
    <w:rsid w:val="00357986"/>
    <w:rsid w:val="00360B62"/>
    <w:rsid w:val="00361591"/>
    <w:rsid w:val="0036222D"/>
    <w:rsid w:val="0036277A"/>
    <w:rsid w:val="00363FD4"/>
    <w:rsid w:val="0036450A"/>
    <w:rsid w:val="00364AC8"/>
    <w:rsid w:val="003653CD"/>
    <w:rsid w:val="0036603C"/>
    <w:rsid w:val="00366CB7"/>
    <w:rsid w:val="00370907"/>
    <w:rsid w:val="0037161B"/>
    <w:rsid w:val="003737A3"/>
    <w:rsid w:val="00373D3D"/>
    <w:rsid w:val="00375A33"/>
    <w:rsid w:val="00375D6E"/>
    <w:rsid w:val="00376738"/>
    <w:rsid w:val="00376C25"/>
    <w:rsid w:val="00376EB4"/>
    <w:rsid w:val="00377948"/>
    <w:rsid w:val="00377ADB"/>
    <w:rsid w:val="0038003B"/>
    <w:rsid w:val="0038056C"/>
    <w:rsid w:val="00381FBC"/>
    <w:rsid w:val="003831DC"/>
    <w:rsid w:val="0038397D"/>
    <w:rsid w:val="003849E4"/>
    <w:rsid w:val="00385E19"/>
    <w:rsid w:val="003866CD"/>
    <w:rsid w:val="00386EF7"/>
    <w:rsid w:val="003904A3"/>
    <w:rsid w:val="003906BB"/>
    <w:rsid w:val="00390FA2"/>
    <w:rsid w:val="0039252C"/>
    <w:rsid w:val="003927AE"/>
    <w:rsid w:val="003941AB"/>
    <w:rsid w:val="00394341"/>
    <w:rsid w:val="003943C9"/>
    <w:rsid w:val="003947D3"/>
    <w:rsid w:val="00394B01"/>
    <w:rsid w:val="00395783"/>
    <w:rsid w:val="00395871"/>
    <w:rsid w:val="003A086B"/>
    <w:rsid w:val="003A09A2"/>
    <w:rsid w:val="003A0ED6"/>
    <w:rsid w:val="003A10F1"/>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002E"/>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38B3"/>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4CFE"/>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12EA4"/>
    <w:rsid w:val="00420365"/>
    <w:rsid w:val="00420943"/>
    <w:rsid w:val="00421133"/>
    <w:rsid w:val="004225E0"/>
    <w:rsid w:val="004226DB"/>
    <w:rsid w:val="00423F03"/>
    <w:rsid w:val="0042406C"/>
    <w:rsid w:val="00424796"/>
    <w:rsid w:val="004252E9"/>
    <w:rsid w:val="00425C6E"/>
    <w:rsid w:val="004266BD"/>
    <w:rsid w:val="00426981"/>
    <w:rsid w:val="0042760D"/>
    <w:rsid w:val="004318AE"/>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23D"/>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1E27"/>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4428"/>
    <w:rsid w:val="004A5187"/>
    <w:rsid w:val="004A5434"/>
    <w:rsid w:val="004A56B1"/>
    <w:rsid w:val="004A5883"/>
    <w:rsid w:val="004A61AF"/>
    <w:rsid w:val="004A6772"/>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87D"/>
    <w:rsid w:val="004C3AD8"/>
    <w:rsid w:val="004C3F7C"/>
    <w:rsid w:val="004C409E"/>
    <w:rsid w:val="004C54D4"/>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B82"/>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23AD"/>
    <w:rsid w:val="004F3067"/>
    <w:rsid w:val="004F54ED"/>
    <w:rsid w:val="004F5CD2"/>
    <w:rsid w:val="004F6630"/>
    <w:rsid w:val="004F6B20"/>
    <w:rsid w:val="004F6B57"/>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1E85"/>
    <w:rsid w:val="005131BB"/>
    <w:rsid w:val="005151E5"/>
    <w:rsid w:val="00517377"/>
    <w:rsid w:val="005173A7"/>
    <w:rsid w:val="00517DE2"/>
    <w:rsid w:val="0052071C"/>
    <w:rsid w:val="00520D87"/>
    <w:rsid w:val="005212DB"/>
    <w:rsid w:val="00521411"/>
    <w:rsid w:val="00521DCF"/>
    <w:rsid w:val="00522539"/>
    <w:rsid w:val="005233F4"/>
    <w:rsid w:val="00523CAB"/>
    <w:rsid w:val="00526567"/>
    <w:rsid w:val="00526A90"/>
    <w:rsid w:val="00526E73"/>
    <w:rsid w:val="00527426"/>
    <w:rsid w:val="005318FC"/>
    <w:rsid w:val="005319D9"/>
    <w:rsid w:val="00532374"/>
    <w:rsid w:val="00533B0A"/>
    <w:rsid w:val="00533E29"/>
    <w:rsid w:val="00533F7A"/>
    <w:rsid w:val="00534710"/>
    <w:rsid w:val="005351F4"/>
    <w:rsid w:val="0053575F"/>
    <w:rsid w:val="00537D42"/>
    <w:rsid w:val="00540000"/>
    <w:rsid w:val="005409B5"/>
    <w:rsid w:val="00542154"/>
    <w:rsid w:val="0054274D"/>
    <w:rsid w:val="00542A7C"/>
    <w:rsid w:val="005430CC"/>
    <w:rsid w:val="00543638"/>
    <w:rsid w:val="00544012"/>
    <w:rsid w:val="0054429B"/>
    <w:rsid w:val="005449C0"/>
    <w:rsid w:val="00544D2E"/>
    <w:rsid w:val="00545DDF"/>
    <w:rsid w:val="00545FD5"/>
    <w:rsid w:val="005461F8"/>
    <w:rsid w:val="00546232"/>
    <w:rsid w:val="005463BB"/>
    <w:rsid w:val="005466B3"/>
    <w:rsid w:val="005475C2"/>
    <w:rsid w:val="0054766F"/>
    <w:rsid w:val="00547A5C"/>
    <w:rsid w:val="00547B70"/>
    <w:rsid w:val="00550CB7"/>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1905"/>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6D2"/>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B5CDA"/>
    <w:rsid w:val="005B6991"/>
    <w:rsid w:val="005C159D"/>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F39"/>
    <w:rsid w:val="005D30F6"/>
    <w:rsid w:val="005D3512"/>
    <w:rsid w:val="005D53DF"/>
    <w:rsid w:val="005D5575"/>
    <w:rsid w:val="005D5A0C"/>
    <w:rsid w:val="005D6F1C"/>
    <w:rsid w:val="005D7159"/>
    <w:rsid w:val="005D7488"/>
    <w:rsid w:val="005E0A62"/>
    <w:rsid w:val="005E12A5"/>
    <w:rsid w:val="005E16D0"/>
    <w:rsid w:val="005E1DC1"/>
    <w:rsid w:val="005E2D3A"/>
    <w:rsid w:val="005E3401"/>
    <w:rsid w:val="005E38A6"/>
    <w:rsid w:val="005E5082"/>
    <w:rsid w:val="005E646C"/>
    <w:rsid w:val="005E678C"/>
    <w:rsid w:val="005E6DCA"/>
    <w:rsid w:val="005E70CB"/>
    <w:rsid w:val="005E75AE"/>
    <w:rsid w:val="005F0786"/>
    <w:rsid w:val="005F175B"/>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39F"/>
    <w:rsid w:val="006064F5"/>
    <w:rsid w:val="006074F5"/>
    <w:rsid w:val="0061001C"/>
    <w:rsid w:val="0061083E"/>
    <w:rsid w:val="00610CCA"/>
    <w:rsid w:val="00611FDB"/>
    <w:rsid w:val="00612248"/>
    <w:rsid w:val="00613898"/>
    <w:rsid w:val="00613BBF"/>
    <w:rsid w:val="00614461"/>
    <w:rsid w:val="00614779"/>
    <w:rsid w:val="00614796"/>
    <w:rsid w:val="00614C0A"/>
    <w:rsid w:val="00615E00"/>
    <w:rsid w:val="00616931"/>
    <w:rsid w:val="006170A3"/>
    <w:rsid w:val="00617D4E"/>
    <w:rsid w:val="006208B9"/>
    <w:rsid w:val="00620C0F"/>
    <w:rsid w:val="006214F4"/>
    <w:rsid w:val="0062244E"/>
    <w:rsid w:val="00623592"/>
    <w:rsid w:val="00626DF5"/>
    <w:rsid w:val="006318F4"/>
    <w:rsid w:val="0063232C"/>
    <w:rsid w:val="00634155"/>
    <w:rsid w:val="00634312"/>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7F0"/>
    <w:rsid w:val="006449E2"/>
    <w:rsid w:val="00644B4B"/>
    <w:rsid w:val="00646493"/>
    <w:rsid w:val="0064711B"/>
    <w:rsid w:val="00647D1B"/>
    <w:rsid w:val="0065063C"/>
    <w:rsid w:val="00650742"/>
    <w:rsid w:val="00651445"/>
    <w:rsid w:val="00651C4C"/>
    <w:rsid w:val="00651CD6"/>
    <w:rsid w:val="00651EA8"/>
    <w:rsid w:val="00652AA7"/>
    <w:rsid w:val="00652F8C"/>
    <w:rsid w:val="006533D3"/>
    <w:rsid w:val="00653564"/>
    <w:rsid w:val="006537EF"/>
    <w:rsid w:val="00654FEE"/>
    <w:rsid w:val="006550AB"/>
    <w:rsid w:val="00655987"/>
    <w:rsid w:val="0065662A"/>
    <w:rsid w:val="006570C3"/>
    <w:rsid w:val="006607B9"/>
    <w:rsid w:val="00660B0A"/>
    <w:rsid w:val="006612F9"/>
    <w:rsid w:val="00661752"/>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0DE"/>
    <w:rsid w:val="00681201"/>
    <w:rsid w:val="006816E3"/>
    <w:rsid w:val="00681F80"/>
    <w:rsid w:val="0068280D"/>
    <w:rsid w:val="006852F6"/>
    <w:rsid w:val="006857CF"/>
    <w:rsid w:val="0068609A"/>
    <w:rsid w:val="006867C5"/>
    <w:rsid w:val="00686F5D"/>
    <w:rsid w:val="0069016A"/>
    <w:rsid w:val="00691B8E"/>
    <w:rsid w:val="00692CF5"/>
    <w:rsid w:val="006941B1"/>
    <w:rsid w:val="006950D4"/>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01C"/>
    <w:rsid w:val="006A5E21"/>
    <w:rsid w:val="006A6F2B"/>
    <w:rsid w:val="006A760C"/>
    <w:rsid w:val="006B0666"/>
    <w:rsid w:val="006B30D8"/>
    <w:rsid w:val="006B35EB"/>
    <w:rsid w:val="006B3BD3"/>
    <w:rsid w:val="006B56C5"/>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9CB"/>
    <w:rsid w:val="006C4E05"/>
    <w:rsid w:val="006C6534"/>
    <w:rsid w:val="006D1DFA"/>
    <w:rsid w:val="006D212F"/>
    <w:rsid w:val="006D2C16"/>
    <w:rsid w:val="006D3018"/>
    <w:rsid w:val="006D365F"/>
    <w:rsid w:val="006D3815"/>
    <w:rsid w:val="006D3A62"/>
    <w:rsid w:val="006D3EFD"/>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357"/>
    <w:rsid w:val="006E67A4"/>
    <w:rsid w:val="006E70A3"/>
    <w:rsid w:val="006E714D"/>
    <w:rsid w:val="006E72E1"/>
    <w:rsid w:val="006F0042"/>
    <w:rsid w:val="006F0382"/>
    <w:rsid w:val="006F1129"/>
    <w:rsid w:val="006F2256"/>
    <w:rsid w:val="006F23A3"/>
    <w:rsid w:val="006F451B"/>
    <w:rsid w:val="006F53DF"/>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61F3"/>
    <w:rsid w:val="0070764D"/>
    <w:rsid w:val="00707AE5"/>
    <w:rsid w:val="00711315"/>
    <w:rsid w:val="0071404C"/>
    <w:rsid w:val="007148D9"/>
    <w:rsid w:val="00714CB8"/>
    <w:rsid w:val="0071637E"/>
    <w:rsid w:val="00716430"/>
    <w:rsid w:val="0071760B"/>
    <w:rsid w:val="00717639"/>
    <w:rsid w:val="00717A33"/>
    <w:rsid w:val="00717F8C"/>
    <w:rsid w:val="00720449"/>
    <w:rsid w:val="00721229"/>
    <w:rsid w:val="00721561"/>
    <w:rsid w:val="007220A2"/>
    <w:rsid w:val="0072299D"/>
    <w:rsid w:val="0072334E"/>
    <w:rsid w:val="0072383C"/>
    <w:rsid w:val="0072653A"/>
    <w:rsid w:val="00726B71"/>
    <w:rsid w:val="007300A2"/>
    <w:rsid w:val="007304A8"/>
    <w:rsid w:val="007330F6"/>
    <w:rsid w:val="00733F64"/>
    <w:rsid w:val="00734CEC"/>
    <w:rsid w:val="00734F82"/>
    <w:rsid w:val="007369E2"/>
    <w:rsid w:val="00736FA9"/>
    <w:rsid w:val="0073702F"/>
    <w:rsid w:val="0074149C"/>
    <w:rsid w:val="00743069"/>
    <w:rsid w:val="00743161"/>
    <w:rsid w:val="00743CDA"/>
    <w:rsid w:val="00744571"/>
    <w:rsid w:val="007455E1"/>
    <w:rsid w:val="0074636E"/>
    <w:rsid w:val="00746B24"/>
    <w:rsid w:val="00747B9A"/>
    <w:rsid w:val="00747C60"/>
    <w:rsid w:val="00750432"/>
    <w:rsid w:val="007504CF"/>
    <w:rsid w:val="00751312"/>
    <w:rsid w:val="00751384"/>
    <w:rsid w:val="00752DC0"/>
    <w:rsid w:val="007541E6"/>
    <w:rsid w:val="00755266"/>
    <w:rsid w:val="00755808"/>
    <w:rsid w:val="00755A85"/>
    <w:rsid w:val="007560C0"/>
    <w:rsid w:val="00756ACA"/>
    <w:rsid w:val="00756F65"/>
    <w:rsid w:val="0075734A"/>
    <w:rsid w:val="007601FA"/>
    <w:rsid w:val="007606CB"/>
    <w:rsid w:val="00761EC0"/>
    <w:rsid w:val="00763058"/>
    <w:rsid w:val="00763644"/>
    <w:rsid w:val="00764596"/>
    <w:rsid w:val="00764D89"/>
    <w:rsid w:val="00765302"/>
    <w:rsid w:val="007653A3"/>
    <w:rsid w:val="0076571E"/>
    <w:rsid w:val="00765BF4"/>
    <w:rsid w:val="00766985"/>
    <w:rsid w:val="00770D30"/>
    <w:rsid w:val="00771EFF"/>
    <w:rsid w:val="0077212B"/>
    <w:rsid w:val="007724A4"/>
    <w:rsid w:val="007730A7"/>
    <w:rsid w:val="0077323B"/>
    <w:rsid w:val="007742F2"/>
    <w:rsid w:val="00775B04"/>
    <w:rsid w:val="00775D06"/>
    <w:rsid w:val="00776322"/>
    <w:rsid w:val="00776347"/>
    <w:rsid w:val="00776CA4"/>
    <w:rsid w:val="00776EF1"/>
    <w:rsid w:val="007779DC"/>
    <w:rsid w:val="00777BAE"/>
    <w:rsid w:val="00780286"/>
    <w:rsid w:val="007806E0"/>
    <w:rsid w:val="00780FE9"/>
    <w:rsid w:val="0078506E"/>
    <w:rsid w:val="00786C06"/>
    <w:rsid w:val="0078774B"/>
    <w:rsid w:val="00787972"/>
    <w:rsid w:val="00787993"/>
    <w:rsid w:val="00790875"/>
    <w:rsid w:val="0079119B"/>
    <w:rsid w:val="00791E32"/>
    <w:rsid w:val="00792DD0"/>
    <w:rsid w:val="007933E0"/>
    <w:rsid w:val="00793450"/>
    <w:rsid w:val="007939B4"/>
    <w:rsid w:val="00794A63"/>
    <w:rsid w:val="00795AE0"/>
    <w:rsid w:val="00795F48"/>
    <w:rsid w:val="007970EE"/>
    <w:rsid w:val="00797317"/>
    <w:rsid w:val="00797FB6"/>
    <w:rsid w:val="007A1D4B"/>
    <w:rsid w:val="007A42B5"/>
    <w:rsid w:val="007A4B45"/>
    <w:rsid w:val="007A6751"/>
    <w:rsid w:val="007A6CD0"/>
    <w:rsid w:val="007B05DD"/>
    <w:rsid w:val="007B0D22"/>
    <w:rsid w:val="007B0FFE"/>
    <w:rsid w:val="007B1568"/>
    <w:rsid w:val="007B2BCF"/>
    <w:rsid w:val="007B2E71"/>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69FE"/>
    <w:rsid w:val="00807198"/>
    <w:rsid w:val="008071F9"/>
    <w:rsid w:val="00807967"/>
    <w:rsid w:val="00807C09"/>
    <w:rsid w:val="0081005D"/>
    <w:rsid w:val="0081063A"/>
    <w:rsid w:val="00810F17"/>
    <w:rsid w:val="00811A56"/>
    <w:rsid w:val="00813194"/>
    <w:rsid w:val="00813DBB"/>
    <w:rsid w:val="00814E59"/>
    <w:rsid w:val="00814F91"/>
    <w:rsid w:val="00815631"/>
    <w:rsid w:val="00816159"/>
    <w:rsid w:val="0081624C"/>
    <w:rsid w:val="008165C2"/>
    <w:rsid w:val="00816789"/>
    <w:rsid w:val="00816BF5"/>
    <w:rsid w:val="00817E89"/>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4504"/>
    <w:rsid w:val="00834837"/>
    <w:rsid w:val="00834E38"/>
    <w:rsid w:val="008350D3"/>
    <w:rsid w:val="0083587B"/>
    <w:rsid w:val="00840627"/>
    <w:rsid w:val="00840D18"/>
    <w:rsid w:val="00840EA9"/>
    <w:rsid w:val="00841021"/>
    <w:rsid w:val="00841855"/>
    <w:rsid w:val="00843371"/>
    <w:rsid w:val="0084340A"/>
    <w:rsid w:val="0084488D"/>
    <w:rsid w:val="00845204"/>
    <w:rsid w:val="00845A23"/>
    <w:rsid w:val="00846501"/>
    <w:rsid w:val="00847C14"/>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6034B"/>
    <w:rsid w:val="00860563"/>
    <w:rsid w:val="008619A4"/>
    <w:rsid w:val="008622CF"/>
    <w:rsid w:val="00862343"/>
    <w:rsid w:val="00862B00"/>
    <w:rsid w:val="00863302"/>
    <w:rsid w:val="00863321"/>
    <w:rsid w:val="0086338F"/>
    <w:rsid w:val="00864159"/>
    <w:rsid w:val="00864CCF"/>
    <w:rsid w:val="0086528B"/>
    <w:rsid w:val="00866144"/>
    <w:rsid w:val="00866755"/>
    <w:rsid w:val="0087102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5586"/>
    <w:rsid w:val="00885C64"/>
    <w:rsid w:val="008862B3"/>
    <w:rsid w:val="00887372"/>
    <w:rsid w:val="00891C78"/>
    <w:rsid w:val="0089285F"/>
    <w:rsid w:val="008932B5"/>
    <w:rsid w:val="008974D4"/>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D0396"/>
    <w:rsid w:val="008D043E"/>
    <w:rsid w:val="008D3937"/>
    <w:rsid w:val="008D3E7B"/>
    <w:rsid w:val="008D48ED"/>
    <w:rsid w:val="008D58F0"/>
    <w:rsid w:val="008D62AE"/>
    <w:rsid w:val="008D7235"/>
    <w:rsid w:val="008E05E3"/>
    <w:rsid w:val="008E1F7C"/>
    <w:rsid w:val="008E29DA"/>
    <w:rsid w:val="008E3BB8"/>
    <w:rsid w:val="008E3D6D"/>
    <w:rsid w:val="008E4AE7"/>
    <w:rsid w:val="008E4CFD"/>
    <w:rsid w:val="008E53F8"/>
    <w:rsid w:val="008E5AAB"/>
    <w:rsid w:val="008E6C67"/>
    <w:rsid w:val="008E74C9"/>
    <w:rsid w:val="008E7B33"/>
    <w:rsid w:val="008F1C6A"/>
    <w:rsid w:val="008F201C"/>
    <w:rsid w:val="008F499E"/>
    <w:rsid w:val="008F5C91"/>
    <w:rsid w:val="008F6489"/>
    <w:rsid w:val="008F6D16"/>
    <w:rsid w:val="008F6DF7"/>
    <w:rsid w:val="0090044D"/>
    <w:rsid w:val="00900DB5"/>
    <w:rsid w:val="00901623"/>
    <w:rsid w:val="00901685"/>
    <w:rsid w:val="00902D9C"/>
    <w:rsid w:val="00902DDD"/>
    <w:rsid w:val="00903ED0"/>
    <w:rsid w:val="009072A6"/>
    <w:rsid w:val="00907D32"/>
    <w:rsid w:val="0091004C"/>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205A"/>
    <w:rsid w:val="00923C18"/>
    <w:rsid w:val="0092568E"/>
    <w:rsid w:val="009257CF"/>
    <w:rsid w:val="00926C52"/>
    <w:rsid w:val="00927F98"/>
    <w:rsid w:val="00930143"/>
    <w:rsid w:val="00930361"/>
    <w:rsid w:val="00930532"/>
    <w:rsid w:val="00931C21"/>
    <w:rsid w:val="00931D16"/>
    <w:rsid w:val="00932232"/>
    <w:rsid w:val="00932960"/>
    <w:rsid w:val="00933897"/>
    <w:rsid w:val="00933E82"/>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149E"/>
    <w:rsid w:val="00952245"/>
    <w:rsid w:val="009536DC"/>
    <w:rsid w:val="00955043"/>
    <w:rsid w:val="00955C72"/>
    <w:rsid w:val="0095678F"/>
    <w:rsid w:val="00957863"/>
    <w:rsid w:val="00957D1C"/>
    <w:rsid w:val="00960637"/>
    <w:rsid w:val="00961EA3"/>
    <w:rsid w:val="00962D2F"/>
    <w:rsid w:val="00963057"/>
    <w:rsid w:val="00963D6F"/>
    <w:rsid w:val="009655C5"/>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31D5"/>
    <w:rsid w:val="009A4733"/>
    <w:rsid w:val="009A4F9C"/>
    <w:rsid w:val="009A7227"/>
    <w:rsid w:val="009A74FC"/>
    <w:rsid w:val="009B0525"/>
    <w:rsid w:val="009B31B5"/>
    <w:rsid w:val="009B56E7"/>
    <w:rsid w:val="009B5B91"/>
    <w:rsid w:val="009B6F27"/>
    <w:rsid w:val="009B7D9A"/>
    <w:rsid w:val="009C13FE"/>
    <w:rsid w:val="009C1DAF"/>
    <w:rsid w:val="009C276F"/>
    <w:rsid w:val="009C3030"/>
    <w:rsid w:val="009C314B"/>
    <w:rsid w:val="009C34E6"/>
    <w:rsid w:val="009C3C19"/>
    <w:rsid w:val="009C452B"/>
    <w:rsid w:val="009C4D7E"/>
    <w:rsid w:val="009C4FF7"/>
    <w:rsid w:val="009C5515"/>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772"/>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F22"/>
    <w:rsid w:val="00A01F5A"/>
    <w:rsid w:val="00A021AA"/>
    <w:rsid w:val="00A02920"/>
    <w:rsid w:val="00A0417D"/>
    <w:rsid w:val="00A041EB"/>
    <w:rsid w:val="00A04773"/>
    <w:rsid w:val="00A0500F"/>
    <w:rsid w:val="00A06821"/>
    <w:rsid w:val="00A06FC1"/>
    <w:rsid w:val="00A104EC"/>
    <w:rsid w:val="00A10AEF"/>
    <w:rsid w:val="00A1149B"/>
    <w:rsid w:val="00A11FFC"/>
    <w:rsid w:val="00A12553"/>
    <w:rsid w:val="00A12B7E"/>
    <w:rsid w:val="00A14622"/>
    <w:rsid w:val="00A14A25"/>
    <w:rsid w:val="00A1580F"/>
    <w:rsid w:val="00A15832"/>
    <w:rsid w:val="00A16363"/>
    <w:rsid w:val="00A1666A"/>
    <w:rsid w:val="00A1717E"/>
    <w:rsid w:val="00A17554"/>
    <w:rsid w:val="00A1785C"/>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4E63"/>
    <w:rsid w:val="00A55498"/>
    <w:rsid w:val="00A5615B"/>
    <w:rsid w:val="00A56512"/>
    <w:rsid w:val="00A56B00"/>
    <w:rsid w:val="00A57258"/>
    <w:rsid w:val="00A57779"/>
    <w:rsid w:val="00A60BBD"/>
    <w:rsid w:val="00A60EC1"/>
    <w:rsid w:val="00A62B33"/>
    <w:rsid w:val="00A6358D"/>
    <w:rsid w:val="00A655A5"/>
    <w:rsid w:val="00A65DFC"/>
    <w:rsid w:val="00A66E35"/>
    <w:rsid w:val="00A66E66"/>
    <w:rsid w:val="00A67434"/>
    <w:rsid w:val="00A70107"/>
    <w:rsid w:val="00A72353"/>
    <w:rsid w:val="00A73F42"/>
    <w:rsid w:val="00A76397"/>
    <w:rsid w:val="00A76C55"/>
    <w:rsid w:val="00A76D2E"/>
    <w:rsid w:val="00A8019D"/>
    <w:rsid w:val="00A80201"/>
    <w:rsid w:val="00A80628"/>
    <w:rsid w:val="00A808A9"/>
    <w:rsid w:val="00A8288C"/>
    <w:rsid w:val="00A840F7"/>
    <w:rsid w:val="00A84575"/>
    <w:rsid w:val="00A8473C"/>
    <w:rsid w:val="00A855A2"/>
    <w:rsid w:val="00A87CDC"/>
    <w:rsid w:val="00A9087A"/>
    <w:rsid w:val="00A916AA"/>
    <w:rsid w:val="00A91DDE"/>
    <w:rsid w:val="00A92B4F"/>
    <w:rsid w:val="00A92EA2"/>
    <w:rsid w:val="00A9349F"/>
    <w:rsid w:val="00A93A69"/>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8DB"/>
    <w:rsid w:val="00AB5B5F"/>
    <w:rsid w:val="00AC0D85"/>
    <w:rsid w:val="00AC25E2"/>
    <w:rsid w:val="00AC2A13"/>
    <w:rsid w:val="00AC435E"/>
    <w:rsid w:val="00AC44CE"/>
    <w:rsid w:val="00AC4F0D"/>
    <w:rsid w:val="00AC6917"/>
    <w:rsid w:val="00AC741F"/>
    <w:rsid w:val="00AD07E6"/>
    <w:rsid w:val="00AD0ABB"/>
    <w:rsid w:val="00AD25CC"/>
    <w:rsid w:val="00AD2787"/>
    <w:rsid w:val="00AD2F81"/>
    <w:rsid w:val="00AD3082"/>
    <w:rsid w:val="00AD45F0"/>
    <w:rsid w:val="00AD4AC4"/>
    <w:rsid w:val="00AD60EE"/>
    <w:rsid w:val="00AE0180"/>
    <w:rsid w:val="00AE22CA"/>
    <w:rsid w:val="00AE38E8"/>
    <w:rsid w:val="00AE3A57"/>
    <w:rsid w:val="00AE45CF"/>
    <w:rsid w:val="00AE493B"/>
    <w:rsid w:val="00AE7DBB"/>
    <w:rsid w:val="00AF005C"/>
    <w:rsid w:val="00AF144E"/>
    <w:rsid w:val="00AF2242"/>
    <w:rsid w:val="00AF33E3"/>
    <w:rsid w:val="00AF4B98"/>
    <w:rsid w:val="00AF5DD9"/>
    <w:rsid w:val="00AF6EEA"/>
    <w:rsid w:val="00B00877"/>
    <w:rsid w:val="00B00CEC"/>
    <w:rsid w:val="00B03382"/>
    <w:rsid w:val="00B03BA9"/>
    <w:rsid w:val="00B0411A"/>
    <w:rsid w:val="00B04269"/>
    <w:rsid w:val="00B043B6"/>
    <w:rsid w:val="00B043CE"/>
    <w:rsid w:val="00B04ADB"/>
    <w:rsid w:val="00B05D53"/>
    <w:rsid w:val="00B06F0E"/>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1D8F"/>
    <w:rsid w:val="00B22212"/>
    <w:rsid w:val="00B230DF"/>
    <w:rsid w:val="00B23163"/>
    <w:rsid w:val="00B23948"/>
    <w:rsid w:val="00B23D6E"/>
    <w:rsid w:val="00B23D78"/>
    <w:rsid w:val="00B24421"/>
    <w:rsid w:val="00B249E9"/>
    <w:rsid w:val="00B24A0D"/>
    <w:rsid w:val="00B262DE"/>
    <w:rsid w:val="00B26947"/>
    <w:rsid w:val="00B26A9F"/>
    <w:rsid w:val="00B26B00"/>
    <w:rsid w:val="00B317A1"/>
    <w:rsid w:val="00B321A9"/>
    <w:rsid w:val="00B33E8C"/>
    <w:rsid w:val="00B34981"/>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5F4"/>
    <w:rsid w:val="00B456DA"/>
    <w:rsid w:val="00B478E8"/>
    <w:rsid w:val="00B50237"/>
    <w:rsid w:val="00B50307"/>
    <w:rsid w:val="00B50AEF"/>
    <w:rsid w:val="00B51175"/>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0E7"/>
    <w:rsid w:val="00B66B8F"/>
    <w:rsid w:val="00B67414"/>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2820"/>
    <w:rsid w:val="00B831DC"/>
    <w:rsid w:val="00B834FD"/>
    <w:rsid w:val="00B8411C"/>
    <w:rsid w:val="00B84AA8"/>
    <w:rsid w:val="00B8526C"/>
    <w:rsid w:val="00B8555B"/>
    <w:rsid w:val="00B85D2C"/>
    <w:rsid w:val="00B86575"/>
    <w:rsid w:val="00B86B82"/>
    <w:rsid w:val="00B86F58"/>
    <w:rsid w:val="00B901A3"/>
    <w:rsid w:val="00B906D5"/>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6293"/>
    <w:rsid w:val="00BA6D99"/>
    <w:rsid w:val="00BA6ED7"/>
    <w:rsid w:val="00BB186C"/>
    <w:rsid w:val="00BB1E43"/>
    <w:rsid w:val="00BB2374"/>
    <w:rsid w:val="00BB2473"/>
    <w:rsid w:val="00BB2D33"/>
    <w:rsid w:val="00BB358F"/>
    <w:rsid w:val="00BB3C37"/>
    <w:rsid w:val="00BB3FA9"/>
    <w:rsid w:val="00BB67E7"/>
    <w:rsid w:val="00BB73AF"/>
    <w:rsid w:val="00BB7D2D"/>
    <w:rsid w:val="00BC1489"/>
    <w:rsid w:val="00BC1EC6"/>
    <w:rsid w:val="00BC21AD"/>
    <w:rsid w:val="00BC3F70"/>
    <w:rsid w:val="00BC4353"/>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5B25"/>
    <w:rsid w:val="00BD61C9"/>
    <w:rsid w:val="00BD6C09"/>
    <w:rsid w:val="00BE091E"/>
    <w:rsid w:val="00BE0CD1"/>
    <w:rsid w:val="00BE1F52"/>
    <w:rsid w:val="00BE27B3"/>
    <w:rsid w:val="00BE27C1"/>
    <w:rsid w:val="00BE27D8"/>
    <w:rsid w:val="00BE2997"/>
    <w:rsid w:val="00BE33BA"/>
    <w:rsid w:val="00BE4076"/>
    <w:rsid w:val="00BE4412"/>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108DF"/>
    <w:rsid w:val="00C117F4"/>
    <w:rsid w:val="00C11BC4"/>
    <w:rsid w:val="00C11FA1"/>
    <w:rsid w:val="00C17FAB"/>
    <w:rsid w:val="00C20D30"/>
    <w:rsid w:val="00C21794"/>
    <w:rsid w:val="00C22271"/>
    <w:rsid w:val="00C22D34"/>
    <w:rsid w:val="00C22FD9"/>
    <w:rsid w:val="00C2309D"/>
    <w:rsid w:val="00C234BE"/>
    <w:rsid w:val="00C24EA4"/>
    <w:rsid w:val="00C24EC9"/>
    <w:rsid w:val="00C250D0"/>
    <w:rsid w:val="00C25529"/>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235"/>
    <w:rsid w:val="00C44582"/>
    <w:rsid w:val="00C44799"/>
    <w:rsid w:val="00C45A06"/>
    <w:rsid w:val="00C463B8"/>
    <w:rsid w:val="00C47107"/>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A4D"/>
    <w:rsid w:val="00C71E77"/>
    <w:rsid w:val="00C72D77"/>
    <w:rsid w:val="00C73987"/>
    <w:rsid w:val="00C743E0"/>
    <w:rsid w:val="00C7446D"/>
    <w:rsid w:val="00C76D71"/>
    <w:rsid w:val="00C774B5"/>
    <w:rsid w:val="00C77DD3"/>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6341"/>
    <w:rsid w:val="00CC69D1"/>
    <w:rsid w:val="00CC7686"/>
    <w:rsid w:val="00CD0946"/>
    <w:rsid w:val="00CD1CDC"/>
    <w:rsid w:val="00CD2CC9"/>
    <w:rsid w:val="00CD3B02"/>
    <w:rsid w:val="00CD3D96"/>
    <w:rsid w:val="00CD3F10"/>
    <w:rsid w:val="00CD4665"/>
    <w:rsid w:val="00CD4F77"/>
    <w:rsid w:val="00CD540C"/>
    <w:rsid w:val="00CD628C"/>
    <w:rsid w:val="00CD6EB7"/>
    <w:rsid w:val="00CE01BD"/>
    <w:rsid w:val="00CE04B4"/>
    <w:rsid w:val="00CE071C"/>
    <w:rsid w:val="00CE1E9B"/>
    <w:rsid w:val="00CE26B4"/>
    <w:rsid w:val="00CE26CD"/>
    <w:rsid w:val="00CE2AAA"/>
    <w:rsid w:val="00CE43C6"/>
    <w:rsid w:val="00CE4F10"/>
    <w:rsid w:val="00CE5F0D"/>
    <w:rsid w:val="00CE612F"/>
    <w:rsid w:val="00CE6AED"/>
    <w:rsid w:val="00CE6E5B"/>
    <w:rsid w:val="00CE7E91"/>
    <w:rsid w:val="00CF121B"/>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CE8"/>
    <w:rsid w:val="00D13354"/>
    <w:rsid w:val="00D154C4"/>
    <w:rsid w:val="00D1576C"/>
    <w:rsid w:val="00D174F9"/>
    <w:rsid w:val="00D17F46"/>
    <w:rsid w:val="00D2068C"/>
    <w:rsid w:val="00D20F82"/>
    <w:rsid w:val="00D21234"/>
    <w:rsid w:val="00D21963"/>
    <w:rsid w:val="00D21A73"/>
    <w:rsid w:val="00D22332"/>
    <w:rsid w:val="00D225EE"/>
    <w:rsid w:val="00D22F1F"/>
    <w:rsid w:val="00D23074"/>
    <w:rsid w:val="00D235FF"/>
    <w:rsid w:val="00D23EAE"/>
    <w:rsid w:val="00D255DA"/>
    <w:rsid w:val="00D2570C"/>
    <w:rsid w:val="00D263C8"/>
    <w:rsid w:val="00D3166E"/>
    <w:rsid w:val="00D32BBB"/>
    <w:rsid w:val="00D32F6A"/>
    <w:rsid w:val="00D377C4"/>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171"/>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6E7B"/>
    <w:rsid w:val="00D673EB"/>
    <w:rsid w:val="00D70847"/>
    <w:rsid w:val="00D71778"/>
    <w:rsid w:val="00D719E9"/>
    <w:rsid w:val="00D71B36"/>
    <w:rsid w:val="00D7267F"/>
    <w:rsid w:val="00D72AF9"/>
    <w:rsid w:val="00D73591"/>
    <w:rsid w:val="00D73BCC"/>
    <w:rsid w:val="00D7525D"/>
    <w:rsid w:val="00D76533"/>
    <w:rsid w:val="00D77B17"/>
    <w:rsid w:val="00D77BCD"/>
    <w:rsid w:val="00D81942"/>
    <w:rsid w:val="00D83471"/>
    <w:rsid w:val="00D836EC"/>
    <w:rsid w:val="00D8409D"/>
    <w:rsid w:val="00D87D0B"/>
    <w:rsid w:val="00D87EBD"/>
    <w:rsid w:val="00D90A48"/>
    <w:rsid w:val="00D914E6"/>
    <w:rsid w:val="00D91CC4"/>
    <w:rsid w:val="00D93423"/>
    <w:rsid w:val="00D9455C"/>
    <w:rsid w:val="00D946CB"/>
    <w:rsid w:val="00D94E3C"/>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1E83"/>
    <w:rsid w:val="00DB35A2"/>
    <w:rsid w:val="00DB4678"/>
    <w:rsid w:val="00DB53E7"/>
    <w:rsid w:val="00DB560E"/>
    <w:rsid w:val="00DB5A8E"/>
    <w:rsid w:val="00DB6668"/>
    <w:rsid w:val="00DB7C73"/>
    <w:rsid w:val="00DC1309"/>
    <w:rsid w:val="00DC222B"/>
    <w:rsid w:val="00DC2923"/>
    <w:rsid w:val="00DC3C40"/>
    <w:rsid w:val="00DC3DBA"/>
    <w:rsid w:val="00DC5E8E"/>
    <w:rsid w:val="00DC6156"/>
    <w:rsid w:val="00DC69D8"/>
    <w:rsid w:val="00DC6A24"/>
    <w:rsid w:val="00DC6F54"/>
    <w:rsid w:val="00DC74CE"/>
    <w:rsid w:val="00DD0132"/>
    <w:rsid w:val="00DD19F2"/>
    <w:rsid w:val="00DD1DDE"/>
    <w:rsid w:val="00DD31B6"/>
    <w:rsid w:val="00DD3C20"/>
    <w:rsid w:val="00DD514A"/>
    <w:rsid w:val="00DD5715"/>
    <w:rsid w:val="00DD5AFC"/>
    <w:rsid w:val="00DD63E7"/>
    <w:rsid w:val="00DD6568"/>
    <w:rsid w:val="00DD6C45"/>
    <w:rsid w:val="00DE0B83"/>
    <w:rsid w:val="00DE2C2E"/>
    <w:rsid w:val="00DE2FE3"/>
    <w:rsid w:val="00DE3186"/>
    <w:rsid w:val="00DE3893"/>
    <w:rsid w:val="00DE5A29"/>
    <w:rsid w:val="00DE62A5"/>
    <w:rsid w:val="00DE6F56"/>
    <w:rsid w:val="00DF0568"/>
    <w:rsid w:val="00DF1DB0"/>
    <w:rsid w:val="00DF2F3D"/>
    <w:rsid w:val="00DF3253"/>
    <w:rsid w:val="00DF3D5D"/>
    <w:rsid w:val="00DF3F01"/>
    <w:rsid w:val="00DF4C5B"/>
    <w:rsid w:val="00DF532D"/>
    <w:rsid w:val="00DF5BC2"/>
    <w:rsid w:val="00DF666C"/>
    <w:rsid w:val="00DF66C1"/>
    <w:rsid w:val="00DF73AB"/>
    <w:rsid w:val="00DF750C"/>
    <w:rsid w:val="00DF7955"/>
    <w:rsid w:val="00DF7DA8"/>
    <w:rsid w:val="00DF7EBB"/>
    <w:rsid w:val="00E00026"/>
    <w:rsid w:val="00E00E31"/>
    <w:rsid w:val="00E01EB1"/>
    <w:rsid w:val="00E01EB8"/>
    <w:rsid w:val="00E02C88"/>
    <w:rsid w:val="00E02EEC"/>
    <w:rsid w:val="00E03E9C"/>
    <w:rsid w:val="00E04319"/>
    <w:rsid w:val="00E05E2D"/>
    <w:rsid w:val="00E05E9A"/>
    <w:rsid w:val="00E06ACB"/>
    <w:rsid w:val="00E07212"/>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2576E"/>
    <w:rsid w:val="00E31FEE"/>
    <w:rsid w:val="00E3295D"/>
    <w:rsid w:val="00E32D60"/>
    <w:rsid w:val="00E33551"/>
    <w:rsid w:val="00E3468A"/>
    <w:rsid w:val="00E35516"/>
    <w:rsid w:val="00E35D3A"/>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475A"/>
    <w:rsid w:val="00E55A2A"/>
    <w:rsid w:val="00E56D18"/>
    <w:rsid w:val="00E57888"/>
    <w:rsid w:val="00E60F40"/>
    <w:rsid w:val="00E61B58"/>
    <w:rsid w:val="00E63CDA"/>
    <w:rsid w:val="00E65962"/>
    <w:rsid w:val="00E659AA"/>
    <w:rsid w:val="00E66D0E"/>
    <w:rsid w:val="00E66FB2"/>
    <w:rsid w:val="00E67050"/>
    <w:rsid w:val="00E67597"/>
    <w:rsid w:val="00E705FA"/>
    <w:rsid w:val="00E70AC8"/>
    <w:rsid w:val="00E717D7"/>
    <w:rsid w:val="00E71F8D"/>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61F3"/>
    <w:rsid w:val="00E86F86"/>
    <w:rsid w:val="00E8701E"/>
    <w:rsid w:val="00E87279"/>
    <w:rsid w:val="00E90B7C"/>
    <w:rsid w:val="00E9127F"/>
    <w:rsid w:val="00E920F9"/>
    <w:rsid w:val="00E92BDC"/>
    <w:rsid w:val="00E92C20"/>
    <w:rsid w:val="00E930FA"/>
    <w:rsid w:val="00E94746"/>
    <w:rsid w:val="00EA0497"/>
    <w:rsid w:val="00EA085B"/>
    <w:rsid w:val="00EA0ED7"/>
    <w:rsid w:val="00EA2EEF"/>
    <w:rsid w:val="00EA2F98"/>
    <w:rsid w:val="00EA37C1"/>
    <w:rsid w:val="00EA422F"/>
    <w:rsid w:val="00EA48B6"/>
    <w:rsid w:val="00EA74D5"/>
    <w:rsid w:val="00EA77A1"/>
    <w:rsid w:val="00EA7D9A"/>
    <w:rsid w:val="00EA7EB6"/>
    <w:rsid w:val="00EB1AC9"/>
    <w:rsid w:val="00EB260D"/>
    <w:rsid w:val="00EB386B"/>
    <w:rsid w:val="00EB39D1"/>
    <w:rsid w:val="00EB3B8A"/>
    <w:rsid w:val="00EB56DA"/>
    <w:rsid w:val="00EB5FD4"/>
    <w:rsid w:val="00EB7533"/>
    <w:rsid w:val="00EB79E1"/>
    <w:rsid w:val="00EC531A"/>
    <w:rsid w:val="00EC6F2E"/>
    <w:rsid w:val="00EC790B"/>
    <w:rsid w:val="00EC7CBC"/>
    <w:rsid w:val="00ED00D1"/>
    <w:rsid w:val="00ED0E6A"/>
    <w:rsid w:val="00ED1B1E"/>
    <w:rsid w:val="00ED1F42"/>
    <w:rsid w:val="00ED45DA"/>
    <w:rsid w:val="00ED4D92"/>
    <w:rsid w:val="00ED5959"/>
    <w:rsid w:val="00ED5B31"/>
    <w:rsid w:val="00ED6D49"/>
    <w:rsid w:val="00ED7973"/>
    <w:rsid w:val="00ED7E01"/>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58C2"/>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762C"/>
    <w:rsid w:val="00F07C7D"/>
    <w:rsid w:val="00F1075C"/>
    <w:rsid w:val="00F112CC"/>
    <w:rsid w:val="00F11A17"/>
    <w:rsid w:val="00F11EFF"/>
    <w:rsid w:val="00F12ADA"/>
    <w:rsid w:val="00F12C5E"/>
    <w:rsid w:val="00F12CE8"/>
    <w:rsid w:val="00F1412D"/>
    <w:rsid w:val="00F14409"/>
    <w:rsid w:val="00F1488E"/>
    <w:rsid w:val="00F14BA3"/>
    <w:rsid w:val="00F14C2C"/>
    <w:rsid w:val="00F169FD"/>
    <w:rsid w:val="00F17BA3"/>
    <w:rsid w:val="00F17F92"/>
    <w:rsid w:val="00F20F8B"/>
    <w:rsid w:val="00F2405E"/>
    <w:rsid w:val="00F25AE3"/>
    <w:rsid w:val="00F263A0"/>
    <w:rsid w:val="00F263F6"/>
    <w:rsid w:val="00F273C8"/>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D4C"/>
    <w:rsid w:val="00F44FB4"/>
    <w:rsid w:val="00F4538B"/>
    <w:rsid w:val="00F45612"/>
    <w:rsid w:val="00F45735"/>
    <w:rsid w:val="00F45870"/>
    <w:rsid w:val="00F45FFB"/>
    <w:rsid w:val="00F46DF9"/>
    <w:rsid w:val="00F473A1"/>
    <w:rsid w:val="00F51547"/>
    <w:rsid w:val="00F533AA"/>
    <w:rsid w:val="00F5353E"/>
    <w:rsid w:val="00F575BD"/>
    <w:rsid w:val="00F57C50"/>
    <w:rsid w:val="00F61344"/>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372D"/>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5AB"/>
    <w:rsid w:val="00FC7D59"/>
    <w:rsid w:val="00FD1180"/>
    <w:rsid w:val="00FD4DD0"/>
    <w:rsid w:val="00FD511C"/>
    <w:rsid w:val="00FD5212"/>
    <w:rsid w:val="00FD73A0"/>
    <w:rsid w:val="00FD796D"/>
    <w:rsid w:val="00FD79AD"/>
    <w:rsid w:val="00FD7D7C"/>
    <w:rsid w:val="00FE0290"/>
    <w:rsid w:val="00FE2452"/>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uiPriority="10" w:qFormat="1"/>
    <w:lsdException w:name="Body Text" w:qFormat="1"/>
    <w:lsdException w:name="Subtitle" w:uiPriority="11" w:qFormat="1"/>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aliases w:val="Bullet point"/>
    <w:basedOn w:val="Title"/>
    <w:link w:val="SubtitleChar"/>
    <w:uiPriority w:val="11"/>
    <w:qFormat/>
    <w:rsid w:val="00312625"/>
    <w:pPr>
      <w:spacing w:before="120" w:line="400" w:lineRule="atLeast"/>
    </w:pPr>
    <w:rPr>
      <w:sz w:val="30"/>
      <w:szCs w:val="30"/>
    </w:rPr>
  </w:style>
  <w:style w:type="paragraph" w:styleId="Title">
    <w:name w:val="Title"/>
    <w:aliases w:val="Underlined heading"/>
    <w:basedOn w:val="Normal"/>
    <w:next w:val="Subtitle"/>
    <w:link w:val="TitleChar"/>
    <w:uiPriority w:val="10"/>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uiPriority w:val="59"/>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styleId="ListParagraph">
    <w:name w:val="List Paragraph"/>
    <w:basedOn w:val="Normal"/>
    <w:uiPriority w:val="34"/>
    <w:qFormat/>
    <w:rsid w:val="00862343"/>
    <w:pPr>
      <w:spacing w:after="200" w:line="276" w:lineRule="auto"/>
      <w:ind w:left="720"/>
      <w:contextualSpacing/>
    </w:pPr>
    <w:rPr>
      <w:rFonts w:asciiTheme="minorHAnsi" w:eastAsiaTheme="minorHAnsi" w:hAnsiTheme="minorHAnsi" w:cstheme="minorBidi"/>
      <w:szCs w:val="22"/>
      <w:lang w:val="en-US" w:eastAsia="en-US"/>
    </w:rPr>
  </w:style>
  <w:style w:type="paragraph" w:customStyle="1" w:styleId="Default">
    <w:name w:val="Default"/>
    <w:rsid w:val="00862343"/>
    <w:pPr>
      <w:autoSpaceDE w:val="0"/>
      <w:autoSpaceDN w:val="0"/>
      <w:adjustRightInd w:val="0"/>
    </w:pPr>
    <w:rPr>
      <w:rFonts w:ascii="Calibri" w:eastAsiaTheme="minorHAnsi" w:hAnsi="Calibri" w:cs="Calibri"/>
      <w:color w:val="000000"/>
      <w:sz w:val="24"/>
      <w:szCs w:val="24"/>
      <w:lang w:val="en-US" w:eastAsia="en-US"/>
    </w:rPr>
  </w:style>
  <w:style w:type="table" w:customStyle="1" w:styleId="TableGrid1">
    <w:name w:val="Table Grid1"/>
    <w:basedOn w:val="TableNormal"/>
    <w:next w:val="TableGrid"/>
    <w:uiPriority w:val="1"/>
    <w:rsid w:val="0037161B"/>
    <w:rPr>
      <w:rFonts w:asciiTheme="minorHAnsi" w:eastAsiaTheme="minorHAnsi" w:hAnsiTheme="minorHAnsi" w:cstheme="minorHAns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26C52"/>
    <w:pPr>
      <w:spacing w:before="100" w:beforeAutospacing="1" w:after="100" w:afterAutospacing="1" w:line="173" w:lineRule="atLeast"/>
    </w:pPr>
    <w:rPr>
      <w:rFonts w:ascii="Arial" w:hAnsi="Arial" w:cs="Arial"/>
      <w:color w:val="616264"/>
      <w:sz w:val="14"/>
      <w:szCs w:val="14"/>
    </w:rPr>
  </w:style>
  <w:style w:type="character" w:customStyle="1" w:styleId="TitleChar">
    <w:name w:val="Title Char"/>
    <w:aliases w:val="Underlined heading Char"/>
    <w:basedOn w:val="DefaultParagraphFont"/>
    <w:link w:val="Title"/>
    <w:uiPriority w:val="10"/>
    <w:rsid w:val="0091004C"/>
    <w:rPr>
      <w:rFonts w:ascii="Arial" w:hAnsi="Arial" w:cs="Arial"/>
      <w:b/>
      <w:bCs/>
      <w:color w:val="00408A"/>
      <w:kern w:val="28"/>
      <w:sz w:val="44"/>
      <w:szCs w:val="44"/>
    </w:rPr>
  </w:style>
  <w:style w:type="character" w:customStyle="1" w:styleId="SubtitleChar">
    <w:name w:val="Subtitle Char"/>
    <w:aliases w:val="Bullet point Char"/>
    <w:basedOn w:val="DefaultParagraphFont"/>
    <w:link w:val="Subtitle"/>
    <w:uiPriority w:val="11"/>
    <w:rsid w:val="0091004C"/>
    <w:rPr>
      <w:rFonts w:ascii="Arial" w:hAnsi="Arial" w:cs="Arial"/>
      <w:b/>
      <w:bCs/>
      <w:color w:val="00408A"/>
      <w:kern w:val="28"/>
      <w:sz w:val="30"/>
      <w:szCs w:val="30"/>
    </w:rPr>
  </w:style>
  <w:style w:type="paragraph" w:styleId="NoSpacing">
    <w:name w:val="No Spacing"/>
    <w:link w:val="NoSpacingChar"/>
    <w:uiPriority w:val="1"/>
    <w:qFormat/>
    <w:rsid w:val="0086330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63302"/>
    <w:rPr>
      <w:rFonts w:asciiTheme="minorHAnsi" w:eastAsiaTheme="minorEastAsia" w:hAnsiTheme="minorHAnsi" w:cstheme="minorBidi"/>
      <w:sz w:val="22"/>
      <w:szCs w:val="22"/>
      <w:lang w:val="en-US" w:eastAsia="en-US"/>
    </w:rPr>
  </w:style>
  <w:style w:type="paragraph" w:customStyle="1" w:styleId="summary">
    <w:name w:val="summary"/>
    <w:basedOn w:val="Normal"/>
    <w:rsid w:val="00B34981"/>
    <w:pPr>
      <w:spacing w:before="100" w:beforeAutospacing="1" w:after="100" w:afterAutospacing="1"/>
    </w:pPr>
    <w:rPr>
      <w:rFonts w:ascii="Times New Roman" w:hAnsi="Times New Roman"/>
      <w:sz w:val="24"/>
    </w:rPr>
  </w:style>
  <w:style w:type="table" w:customStyle="1" w:styleId="TableGrid2">
    <w:name w:val="Table Grid2"/>
    <w:basedOn w:val="TableNormal"/>
    <w:next w:val="TableGrid"/>
    <w:uiPriority w:val="59"/>
    <w:rsid w:val="00776CA4"/>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1F8D"/>
    <w:rPr>
      <w:rFonts w:ascii="Arial" w:hAnsi="Arial"/>
      <w:b/>
      <w:color w:val="00408A"/>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uiPriority="10" w:qFormat="1"/>
    <w:lsdException w:name="Body Text" w:qFormat="1"/>
    <w:lsdException w:name="Subtitle" w:uiPriority="11" w:qFormat="1"/>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aliases w:val="Bullet point"/>
    <w:basedOn w:val="Title"/>
    <w:link w:val="SubtitleChar"/>
    <w:uiPriority w:val="11"/>
    <w:qFormat/>
    <w:rsid w:val="00312625"/>
    <w:pPr>
      <w:spacing w:before="120" w:line="400" w:lineRule="atLeast"/>
    </w:pPr>
    <w:rPr>
      <w:sz w:val="30"/>
      <w:szCs w:val="30"/>
    </w:rPr>
  </w:style>
  <w:style w:type="paragraph" w:styleId="Title">
    <w:name w:val="Title"/>
    <w:aliases w:val="Underlined heading"/>
    <w:basedOn w:val="Normal"/>
    <w:next w:val="Subtitle"/>
    <w:link w:val="TitleChar"/>
    <w:uiPriority w:val="10"/>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uiPriority w:val="59"/>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styleId="ListParagraph">
    <w:name w:val="List Paragraph"/>
    <w:basedOn w:val="Normal"/>
    <w:uiPriority w:val="34"/>
    <w:qFormat/>
    <w:rsid w:val="00862343"/>
    <w:pPr>
      <w:spacing w:after="200" w:line="276" w:lineRule="auto"/>
      <w:ind w:left="720"/>
      <w:contextualSpacing/>
    </w:pPr>
    <w:rPr>
      <w:rFonts w:asciiTheme="minorHAnsi" w:eastAsiaTheme="minorHAnsi" w:hAnsiTheme="minorHAnsi" w:cstheme="minorBidi"/>
      <w:szCs w:val="22"/>
      <w:lang w:val="en-US" w:eastAsia="en-US"/>
    </w:rPr>
  </w:style>
  <w:style w:type="paragraph" w:customStyle="1" w:styleId="Default">
    <w:name w:val="Default"/>
    <w:rsid w:val="00862343"/>
    <w:pPr>
      <w:autoSpaceDE w:val="0"/>
      <w:autoSpaceDN w:val="0"/>
      <w:adjustRightInd w:val="0"/>
    </w:pPr>
    <w:rPr>
      <w:rFonts w:ascii="Calibri" w:eastAsiaTheme="minorHAnsi" w:hAnsi="Calibri" w:cs="Calibri"/>
      <w:color w:val="000000"/>
      <w:sz w:val="24"/>
      <w:szCs w:val="24"/>
      <w:lang w:val="en-US" w:eastAsia="en-US"/>
    </w:rPr>
  </w:style>
  <w:style w:type="table" w:customStyle="1" w:styleId="TableGrid1">
    <w:name w:val="Table Grid1"/>
    <w:basedOn w:val="TableNormal"/>
    <w:next w:val="TableGrid"/>
    <w:uiPriority w:val="1"/>
    <w:rsid w:val="0037161B"/>
    <w:rPr>
      <w:rFonts w:asciiTheme="minorHAnsi" w:eastAsiaTheme="minorHAnsi" w:hAnsiTheme="minorHAnsi" w:cstheme="minorHAns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26C52"/>
    <w:pPr>
      <w:spacing w:before="100" w:beforeAutospacing="1" w:after="100" w:afterAutospacing="1" w:line="173" w:lineRule="atLeast"/>
    </w:pPr>
    <w:rPr>
      <w:rFonts w:ascii="Arial" w:hAnsi="Arial" w:cs="Arial"/>
      <w:color w:val="616264"/>
      <w:sz w:val="14"/>
      <w:szCs w:val="14"/>
    </w:rPr>
  </w:style>
  <w:style w:type="character" w:customStyle="1" w:styleId="TitleChar">
    <w:name w:val="Title Char"/>
    <w:aliases w:val="Underlined heading Char"/>
    <w:basedOn w:val="DefaultParagraphFont"/>
    <w:link w:val="Title"/>
    <w:uiPriority w:val="10"/>
    <w:rsid w:val="0091004C"/>
    <w:rPr>
      <w:rFonts w:ascii="Arial" w:hAnsi="Arial" w:cs="Arial"/>
      <w:b/>
      <w:bCs/>
      <w:color w:val="00408A"/>
      <w:kern w:val="28"/>
      <w:sz w:val="44"/>
      <w:szCs w:val="44"/>
    </w:rPr>
  </w:style>
  <w:style w:type="character" w:customStyle="1" w:styleId="SubtitleChar">
    <w:name w:val="Subtitle Char"/>
    <w:aliases w:val="Bullet point Char"/>
    <w:basedOn w:val="DefaultParagraphFont"/>
    <w:link w:val="Subtitle"/>
    <w:uiPriority w:val="11"/>
    <w:rsid w:val="0091004C"/>
    <w:rPr>
      <w:rFonts w:ascii="Arial" w:hAnsi="Arial" w:cs="Arial"/>
      <w:b/>
      <w:bCs/>
      <w:color w:val="00408A"/>
      <w:kern w:val="28"/>
      <w:sz w:val="30"/>
      <w:szCs w:val="30"/>
    </w:rPr>
  </w:style>
  <w:style w:type="paragraph" w:styleId="NoSpacing">
    <w:name w:val="No Spacing"/>
    <w:link w:val="NoSpacingChar"/>
    <w:uiPriority w:val="1"/>
    <w:qFormat/>
    <w:rsid w:val="0086330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63302"/>
    <w:rPr>
      <w:rFonts w:asciiTheme="minorHAnsi" w:eastAsiaTheme="minorEastAsia" w:hAnsiTheme="minorHAnsi" w:cstheme="minorBidi"/>
      <w:sz w:val="22"/>
      <w:szCs w:val="22"/>
      <w:lang w:val="en-US" w:eastAsia="en-US"/>
    </w:rPr>
  </w:style>
  <w:style w:type="paragraph" w:customStyle="1" w:styleId="summary">
    <w:name w:val="summary"/>
    <w:basedOn w:val="Normal"/>
    <w:rsid w:val="00B34981"/>
    <w:pPr>
      <w:spacing w:before="100" w:beforeAutospacing="1" w:after="100" w:afterAutospacing="1"/>
    </w:pPr>
    <w:rPr>
      <w:rFonts w:ascii="Times New Roman" w:hAnsi="Times New Roman"/>
      <w:sz w:val="24"/>
    </w:rPr>
  </w:style>
  <w:style w:type="table" w:customStyle="1" w:styleId="TableGrid2">
    <w:name w:val="Table Grid2"/>
    <w:basedOn w:val="TableNormal"/>
    <w:next w:val="TableGrid"/>
    <w:uiPriority w:val="59"/>
    <w:rsid w:val="00776CA4"/>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1F8D"/>
    <w:rPr>
      <w:rFonts w:ascii="Arial" w:hAnsi="Arial"/>
      <w:b/>
      <w:color w:val="00408A"/>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18044">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715008655">
      <w:bodyDiv w:val="1"/>
      <w:marLeft w:val="0"/>
      <w:marRight w:val="0"/>
      <w:marTop w:val="0"/>
      <w:marBottom w:val="0"/>
      <w:divBdr>
        <w:top w:val="none" w:sz="0" w:space="0" w:color="auto"/>
        <w:left w:val="none" w:sz="0" w:space="0" w:color="auto"/>
        <w:bottom w:val="none" w:sz="0" w:space="0" w:color="auto"/>
        <w:right w:val="none" w:sz="0" w:space="0" w:color="auto"/>
      </w:divBdr>
    </w:div>
    <w:div w:id="945036878">
      <w:bodyDiv w:val="1"/>
      <w:marLeft w:val="0"/>
      <w:marRight w:val="0"/>
      <w:marTop w:val="0"/>
      <w:marBottom w:val="0"/>
      <w:divBdr>
        <w:top w:val="none" w:sz="0" w:space="0" w:color="auto"/>
        <w:left w:val="none" w:sz="0" w:space="0" w:color="auto"/>
        <w:bottom w:val="none" w:sz="0" w:space="0" w:color="auto"/>
        <w:right w:val="none" w:sz="0" w:space="0" w:color="auto"/>
      </w:divBdr>
    </w:div>
    <w:div w:id="1632594152">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379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5.wmf"/><Relationship Id="rId39"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hyperlink" Target="mailto:himali_ranasinghe@ipart.nsw.gov.au" TargetMode="External"/><Relationship Id="rId34" Type="http://schemas.openxmlformats.org/officeDocument/2006/relationships/header" Target="header7.xml"/><Relationship Id="rId42"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4.wmf"/><Relationship Id="rId33" Type="http://schemas.openxmlformats.org/officeDocument/2006/relationships/chart" Target="charts/chart5.xml"/><Relationship Id="rId38" Type="http://schemas.openxmlformats.org/officeDocument/2006/relationships/image" Target="media/image8.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29" Type="http://schemas.microsoft.com/office/2007/relationships/hdphoto" Target="media/hdphoto1.wdp"/><Relationship Id="rId41"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chart" Target="charts/chart4.xml"/><Relationship Id="rId37" Type="http://schemas.openxmlformats.org/officeDocument/2006/relationships/footer" Target="footer5.xml"/><Relationship Id="rId40" Type="http://schemas.openxmlformats.org/officeDocument/2006/relationships/image" Target="media/image9.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image" Target="media/image7.jpeg"/><Relationship Id="rId36" Type="http://schemas.openxmlformats.org/officeDocument/2006/relationships/footer" Target="footer4.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31" Type="http://schemas.openxmlformats.org/officeDocument/2006/relationships/chart" Target="charts/chart3.xml"/><Relationship Id="rId44"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2.jpeg"/><Relationship Id="rId27" Type="http://schemas.openxmlformats.org/officeDocument/2006/relationships/image" Target="media/image6.wmf"/><Relationship Id="rId30" Type="http://schemas.openxmlformats.org/officeDocument/2006/relationships/chart" Target="charts/chart2.xml"/><Relationship Id="rId35" Type="http://schemas.openxmlformats.org/officeDocument/2006/relationships/header" Target="header8.xml"/><Relationship Id="rId43" Type="http://schemas.openxmlformats.org/officeDocument/2006/relationships/package" Target="embeddings/Microsoft_Excel_Worksheet5.xlsx"/></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Danny\Local%20Settings\Temporary%20Internet%20Files\Content.Outlook\U0BELKEJ\CPI%20comparisons%202003-20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Indices Change 2003 - 2012 </a:t>
            </a:r>
          </a:p>
        </c:rich>
      </c:tx>
      <c:layout>
        <c:manualLayout>
          <c:xMode val="edge"/>
          <c:yMode val="edge"/>
          <c:x val="0.15574849436648136"/>
          <c:y val="0.11396462101193913"/>
        </c:manualLayout>
      </c:layout>
      <c:overlay val="0"/>
    </c:title>
    <c:autoTitleDeleted val="0"/>
    <c:plotArea>
      <c:layout>
        <c:manualLayout>
          <c:layoutTarget val="inner"/>
          <c:xMode val="edge"/>
          <c:yMode val="edge"/>
          <c:x val="0.13435412239635969"/>
          <c:y val="4.451533528085292E-2"/>
          <c:w val="0.81795002758643309"/>
          <c:h val="0.58088256410904415"/>
        </c:manualLayout>
      </c:layout>
      <c:lineChart>
        <c:grouping val="standard"/>
        <c:varyColors val="0"/>
        <c:ser>
          <c:idx val="0"/>
          <c:order val="0"/>
          <c:tx>
            <c:strRef>
              <c:f>Sheet1!$B$1</c:f>
              <c:strCache>
                <c:ptCount val="1"/>
                <c:pt idx="0">
                  <c:v>Consumer Price Index</c:v>
                </c:pt>
              </c:strCache>
            </c:strRef>
          </c:tx>
          <c:marker>
            <c:symbol val="none"/>
          </c:marker>
          <c:cat>
            <c:numRef>
              <c:f>Sheet1!$A$2:$A$11</c:f>
              <c:numCache>
                <c:formatCode>0</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Sheet1!$B$2:$B$11</c:f>
              <c:numCache>
                <c:formatCode>General</c:formatCode>
                <c:ptCount val="10"/>
                <c:pt idx="0">
                  <c:v>79.5</c:v>
                </c:pt>
                <c:pt idx="1">
                  <c:v>80.599999999999994</c:v>
                </c:pt>
                <c:pt idx="2">
                  <c:v>82.6</c:v>
                </c:pt>
                <c:pt idx="3">
                  <c:v>85.9</c:v>
                </c:pt>
                <c:pt idx="4">
                  <c:v>87.7</c:v>
                </c:pt>
                <c:pt idx="5">
                  <c:v>91.6</c:v>
                </c:pt>
                <c:pt idx="6">
                  <c:v>92.9</c:v>
                </c:pt>
                <c:pt idx="7">
                  <c:v>95.8</c:v>
                </c:pt>
                <c:pt idx="8">
                  <c:v>99.2</c:v>
                </c:pt>
                <c:pt idx="9">
                  <c:v>100.4</c:v>
                </c:pt>
              </c:numCache>
            </c:numRef>
          </c:val>
          <c:smooth val="0"/>
        </c:ser>
        <c:ser>
          <c:idx val="1"/>
          <c:order val="1"/>
          <c:tx>
            <c:strRef>
              <c:f>Sheet1!$C$1</c:f>
              <c:strCache>
                <c:ptCount val="1"/>
                <c:pt idx="0">
                  <c:v>Construction Price Index</c:v>
                </c:pt>
              </c:strCache>
            </c:strRef>
          </c:tx>
          <c:spPr>
            <a:ln w="38100"/>
          </c:spPr>
          <c:marker>
            <c:symbol val="none"/>
          </c:marker>
          <c:cat>
            <c:numRef>
              <c:f>Sheet1!$A$2:$A$11</c:f>
              <c:numCache>
                <c:formatCode>0</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Sheet1!$D$2:$D$11</c:f>
              <c:numCache>
                <c:formatCode>General</c:formatCode>
                <c:ptCount val="10"/>
                <c:pt idx="0">
                  <c:v>79.5</c:v>
                </c:pt>
                <c:pt idx="1">
                  <c:v>83.399999999999991</c:v>
                </c:pt>
                <c:pt idx="2">
                  <c:v>88.899999999999991</c:v>
                </c:pt>
                <c:pt idx="3">
                  <c:v>97.6</c:v>
                </c:pt>
                <c:pt idx="4">
                  <c:v>102.4</c:v>
                </c:pt>
                <c:pt idx="5">
                  <c:v>112.69999999999999</c:v>
                </c:pt>
                <c:pt idx="6">
                  <c:v>117.5</c:v>
                </c:pt>
                <c:pt idx="7">
                  <c:v>121.6</c:v>
                </c:pt>
                <c:pt idx="8">
                  <c:v>130.19999999999999</c:v>
                </c:pt>
                <c:pt idx="9">
                  <c:v>136.69999999999999</c:v>
                </c:pt>
              </c:numCache>
            </c:numRef>
          </c:val>
          <c:smooth val="0"/>
        </c:ser>
        <c:dLbls>
          <c:showLegendKey val="0"/>
          <c:showVal val="0"/>
          <c:showCatName val="0"/>
          <c:showSerName val="0"/>
          <c:showPercent val="0"/>
          <c:showBubbleSize val="0"/>
        </c:dLbls>
        <c:marker val="1"/>
        <c:smooth val="0"/>
        <c:axId val="212520960"/>
        <c:axId val="212522496"/>
      </c:lineChart>
      <c:catAx>
        <c:axId val="212520960"/>
        <c:scaling>
          <c:orientation val="minMax"/>
          <c:max val="10"/>
          <c:min val="1"/>
        </c:scaling>
        <c:delete val="0"/>
        <c:axPos val="b"/>
        <c:numFmt formatCode="0" sourceLinked="1"/>
        <c:majorTickMark val="none"/>
        <c:minorTickMark val="none"/>
        <c:tickLblPos val="nextTo"/>
        <c:txPr>
          <a:bodyPr rot="-5400000" vert="horz"/>
          <a:lstStyle/>
          <a:p>
            <a:pPr>
              <a:defRPr sz="800"/>
            </a:pPr>
            <a:endParaRPr lang="en-US"/>
          </a:p>
        </c:txPr>
        <c:crossAx val="212522496"/>
        <c:crosses val="autoZero"/>
        <c:auto val="1"/>
        <c:lblAlgn val="ctr"/>
        <c:lblOffset val="100"/>
        <c:noMultiLvlLbl val="0"/>
      </c:catAx>
      <c:valAx>
        <c:axId val="212522496"/>
        <c:scaling>
          <c:orientation val="minMax"/>
          <c:max val="150"/>
          <c:min val="60"/>
        </c:scaling>
        <c:delete val="0"/>
        <c:axPos val="l"/>
        <c:majorGridlines/>
        <c:numFmt formatCode="General" sourceLinked="1"/>
        <c:majorTickMark val="none"/>
        <c:minorTickMark val="none"/>
        <c:tickLblPos val="nextTo"/>
        <c:spPr>
          <a:ln w="9525">
            <a:noFill/>
          </a:ln>
        </c:spPr>
        <c:crossAx val="212520960"/>
        <c:crosses val="autoZero"/>
        <c:crossBetween val="between"/>
      </c:valAx>
    </c:plotArea>
    <c:legend>
      <c:legendPos val="b"/>
      <c:layout>
        <c:manualLayout>
          <c:xMode val="edge"/>
          <c:yMode val="edge"/>
          <c:x val="5.0444933655994437E-2"/>
          <c:y val="0.80851547772624965"/>
          <c:w val="0.92946203724441578"/>
          <c:h val="0.14771702532656183"/>
        </c:manualLayout>
      </c:layout>
      <c:overlay val="0"/>
    </c:legend>
    <c:plotVisOnly val="1"/>
    <c:dispBlanksAs val="gap"/>
    <c:showDLblsOverMax val="0"/>
  </c:chart>
  <c:spPr>
    <a:ln cmpd="dbl">
      <a:solidFill>
        <a:schemeClr val="accent2">
          <a:lumMod val="75000"/>
        </a:schemeClr>
      </a:solidFill>
    </a:ln>
  </c:spPr>
  <c:txPr>
    <a:bodyPr/>
    <a:lstStyle/>
    <a:p>
      <a:pPr>
        <a:defRPr sz="9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801399825022007"/>
          <c:y val="5.5555555555555455E-2"/>
          <c:w val="0.6643888888888918"/>
          <c:h val="0.72159922717993585"/>
        </c:manualLayout>
      </c:layout>
      <c:barChart>
        <c:barDir val="bar"/>
        <c:grouping val="clustered"/>
        <c:varyColors val="0"/>
        <c:ser>
          <c:idx val="1"/>
          <c:order val="0"/>
          <c:tx>
            <c:strRef>
              <c:f>'Our places and spaces'!$D$1</c:f>
              <c:strCache>
                <c:ptCount val="1"/>
                <c:pt idx="0">
                  <c:v>Satisfaction</c:v>
                </c:pt>
              </c:strCache>
            </c:strRef>
          </c:tx>
          <c:spPr>
            <a:solidFill>
              <a:srgbClr val="00B050"/>
            </a:solidFill>
          </c:spPr>
          <c:invertIfNegative val="0"/>
          <c:cat>
            <c:strRef>
              <c:f>'Our places and spaces'!$B$2:$B$7</c:f>
              <c:strCache>
                <c:ptCount val="6"/>
                <c:pt idx="0">
                  <c:v>Town streets and lanes</c:v>
                </c:pt>
                <c:pt idx="1">
                  <c:v>Availability of car
parking</c:v>
                </c:pt>
                <c:pt idx="2">
                  <c:v>Road safety</c:v>
                </c:pt>
                <c:pt idx="3">
                  <c:v>Maintaining footpaths</c:v>
                </c:pt>
                <c:pt idx="4">
                  <c:v>Overall condition of the
local road network</c:v>
                </c:pt>
                <c:pt idx="5">
                  <c:v>Maintaining local roads</c:v>
                </c:pt>
              </c:strCache>
            </c:strRef>
          </c:cat>
          <c:val>
            <c:numRef>
              <c:f>'Our places and spaces'!$D$2:$D$7</c:f>
              <c:numCache>
                <c:formatCode>General</c:formatCode>
                <c:ptCount val="6"/>
                <c:pt idx="0">
                  <c:v>3.51</c:v>
                </c:pt>
                <c:pt idx="1">
                  <c:v>3.34</c:v>
                </c:pt>
                <c:pt idx="2">
                  <c:v>3.4499999999999997</c:v>
                </c:pt>
                <c:pt idx="3">
                  <c:v>3.17</c:v>
                </c:pt>
                <c:pt idx="4">
                  <c:v>2.8699999999999997</c:v>
                </c:pt>
                <c:pt idx="5">
                  <c:v>2.5299999999999998</c:v>
                </c:pt>
              </c:numCache>
            </c:numRef>
          </c:val>
        </c:ser>
        <c:ser>
          <c:idx val="0"/>
          <c:order val="1"/>
          <c:tx>
            <c:strRef>
              <c:f>'Our places and spaces'!$C$1</c:f>
              <c:strCache>
                <c:ptCount val="1"/>
                <c:pt idx="0">
                  <c:v>Importance</c:v>
                </c:pt>
              </c:strCache>
            </c:strRef>
          </c:tx>
          <c:spPr>
            <a:solidFill>
              <a:srgbClr val="C00000"/>
            </a:solidFill>
          </c:spPr>
          <c:invertIfNegative val="0"/>
          <c:cat>
            <c:strRef>
              <c:f>'Our places and spaces'!$B$2:$B$7</c:f>
              <c:strCache>
                <c:ptCount val="6"/>
                <c:pt idx="0">
                  <c:v>Town streets and lanes</c:v>
                </c:pt>
                <c:pt idx="1">
                  <c:v>Availability of car
parking</c:v>
                </c:pt>
                <c:pt idx="2">
                  <c:v>Road safety</c:v>
                </c:pt>
                <c:pt idx="3">
                  <c:v>Maintaining footpaths</c:v>
                </c:pt>
                <c:pt idx="4">
                  <c:v>Overall condition of the
local road network</c:v>
                </c:pt>
                <c:pt idx="5">
                  <c:v>Maintaining local roads</c:v>
                </c:pt>
              </c:strCache>
            </c:strRef>
          </c:cat>
          <c:val>
            <c:numRef>
              <c:f>'Our places and spaces'!$C$2:$C$7</c:f>
              <c:numCache>
                <c:formatCode>General</c:formatCode>
                <c:ptCount val="6"/>
                <c:pt idx="0">
                  <c:v>4.0999999999999996</c:v>
                </c:pt>
                <c:pt idx="1">
                  <c:v>4.3</c:v>
                </c:pt>
                <c:pt idx="2">
                  <c:v>4.4800000000000004</c:v>
                </c:pt>
                <c:pt idx="3">
                  <c:v>4.24</c:v>
                </c:pt>
                <c:pt idx="4">
                  <c:v>4.4700000000000024</c:v>
                </c:pt>
                <c:pt idx="5">
                  <c:v>4.63</c:v>
                </c:pt>
              </c:numCache>
            </c:numRef>
          </c:val>
        </c:ser>
        <c:dLbls>
          <c:showLegendKey val="0"/>
          <c:showVal val="0"/>
          <c:showCatName val="0"/>
          <c:showSerName val="0"/>
          <c:showPercent val="0"/>
          <c:showBubbleSize val="0"/>
        </c:dLbls>
        <c:gapWidth val="150"/>
        <c:axId val="212600704"/>
        <c:axId val="212602240"/>
      </c:barChart>
      <c:catAx>
        <c:axId val="212600704"/>
        <c:scaling>
          <c:orientation val="minMax"/>
        </c:scaling>
        <c:delete val="0"/>
        <c:axPos val="l"/>
        <c:majorTickMark val="out"/>
        <c:minorTickMark val="none"/>
        <c:tickLblPos val="nextTo"/>
        <c:spPr>
          <a:ln>
            <a:noFill/>
          </a:ln>
        </c:spPr>
        <c:txPr>
          <a:bodyPr/>
          <a:lstStyle/>
          <a:p>
            <a:pPr>
              <a:defRPr sz="1000" b="1" i="0" baseline="0">
                <a:latin typeface="Arial Narrow" pitchFamily="34" charset="0"/>
              </a:defRPr>
            </a:pPr>
            <a:endParaRPr lang="en-US"/>
          </a:p>
        </c:txPr>
        <c:crossAx val="212602240"/>
        <c:crosses val="autoZero"/>
        <c:auto val="1"/>
        <c:lblAlgn val="ctr"/>
        <c:lblOffset val="100"/>
        <c:noMultiLvlLbl val="0"/>
      </c:catAx>
      <c:valAx>
        <c:axId val="212602240"/>
        <c:scaling>
          <c:orientation val="minMax"/>
        </c:scaling>
        <c:delete val="0"/>
        <c:axPos val="b"/>
        <c:majorGridlines/>
        <c:title>
          <c:tx>
            <c:rich>
              <a:bodyPr/>
              <a:lstStyle/>
              <a:p>
                <a:pPr>
                  <a:defRPr sz="1100" baseline="0">
                    <a:latin typeface="Arial" pitchFamily="34" charset="0"/>
                  </a:defRPr>
                </a:pPr>
                <a:r>
                  <a:rPr lang="en-AU" sz="1000" b="0" i="0" baseline="0">
                    <a:latin typeface="+mn-lt"/>
                  </a:rPr>
                  <a:t>0=NOT  to 5=VERY</a:t>
                </a:r>
              </a:p>
            </c:rich>
          </c:tx>
          <c:layout>
            <c:manualLayout>
              <c:xMode val="edge"/>
              <c:yMode val="edge"/>
              <c:x val="0.74916167883973683"/>
              <c:y val="0.87402259500171176"/>
            </c:manualLayout>
          </c:layout>
          <c:overlay val="0"/>
        </c:title>
        <c:numFmt formatCode="General" sourceLinked="1"/>
        <c:majorTickMark val="out"/>
        <c:minorTickMark val="none"/>
        <c:tickLblPos val="nextTo"/>
        <c:crossAx val="212600704"/>
        <c:crosses val="autoZero"/>
        <c:crossBetween val="between"/>
      </c:valAx>
    </c:plotArea>
    <c:legend>
      <c:legendPos val="b"/>
      <c:overlay val="0"/>
      <c:txPr>
        <a:bodyPr/>
        <a:lstStyle/>
        <a:p>
          <a:pPr>
            <a:defRPr sz="1100" baseline="0">
              <a:latin typeface="Arial Black" pitchFamily="34" charset="0"/>
            </a:defRPr>
          </a:pPr>
          <a:endParaRPr lang="en-US"/>
        </a:p>
      </c:txPr>
    </c:legend>
    <c:plotVisOnly val="1"/>
    <c:dispBlanksAs val="gap"/>
    <c:showDLblsOverMax val="0"/>
  </c:chart>
  <c:spPr>
    <a:ln w="25400" cmpd="tri">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04396325459317"/>
          <c:y val="2.8252405949256341E-2"/>
          <c:w val="0.85726159230096233"/>
          <c:h val="0.73694918343540394"/>
        </c:manualLayout>
      </c:layout>
      <c:lineChart>
        <c:grouping val="standard"/>
        <c:varyColors val="0"/>
        <c:ser>
          <c:idx val="1"/>
          <c:order val="0"/>
          <c:tx>
            <c:strRef>
              <c:f>Sheet1!$E$11</c:f>
              <c:strCache>
                <c:ptCount val="1"/>
                <c:pt idx="0">
                  <c:v>5.50%</c:v>
                </c:pt>
              </c:strCache>
            </c:strRef>
          </c:tx>
          <c:marker>
            <c:symbol val="none"/>
          </c:marker>
          <c:cat>
            <c:strRef>
              <c:f>Sheet1!$H$5:$P$5</c:f>
              <c:strCache>
                <c:ptCount val="9"/>
                <c:pt idx="0">
                  <c:v>15/16</c:v>
                </c:pt>
                <c:pt idx="1">
                  <c:v>16/17</c:v>
                </c:pt>
                <c:pt idx="2">
                  <c:v>17/18</c:v>
                </c:pt>
                <c:pt idx="3">
                  <c:v>18/19</c:v>
                </c:pt>
                <c:pt idx="4">
                  <c:v>19/20</c:v>
                </c:pt>
                <c:pt idx="5">
                  <c:v>20/21</c:v>
                </c:pt>
                <c:pt idx="6">
                  <c:v>21/22</c:v>
                </c:pt>
                <c:pt idx="7">
                  <c:v>22/23</c:v>
                </c:pt>
                <c:pt idx="8">
                  <c:v>23/24</c:v>
                </c:pt>
              </c:strCache>
            </c:strRef>
          </c:cat>
          <c:val>
            <c:numRef>
              <c:f>Sheet1!$H$11:$P$11</c:f>
              <c:numCache>
                <c:formatCode>General</c:formatCode>
                <c:ptCount val="9"/>
                <c:pt idx="0">
                  <c:v>118</c:v>
                </c:pt>
                <c:pt idx="1">
                  <c:v>245</c:v>
                </c:pt>
                <c:pt idx="2">
                  <c:v>383</c:v>
                </c:pt>
                <c:pt idx="3">
                  <c:v>531</c:v>
                </c:pt>
                <c:pt idx="4">
                  <c:v>691</c:v>
                </c:pt>
                <c:pt idx="5">
                  <c:v>708</c:v>
                </c:pt>
                <c:pt idx="6">
                  <c:v>726</c:v>
                </c:pt>
                <c:pt idx="7">
                  <c:v>744</c:v>
                </c:pt>
                <c:pt idx="8">
                  <c:v>790</c:v>
                </c:pt>
              </c:numCache>
            </c:numRef>
          </c:val>
          <c:smooth val="0"/>
        </c:ser>
        <c:ser>
          <c:idx val="2"/>
          <c:order val="1"/>
          <c:tx>
            <c:strRef>
              <c:f>Sheet1!$E$12</c:f>
              <c:strCache>
                <c:ptCount val="1"/>
                <c:pt idx="0">
                  <c:v>13.00%</c:v>
                </c:pt>
              </c:strCache>
            </c:strRef>
          </c:tx>
          <c:marker>
            <c:symbol val="none"/>
          </c:marker>
          <c:cat>
            <c:strRef>
              <c:f>Sheet1!$H$5:$P$5</c:f>
              <c:strCache>
                <c:ptCount val="9"/>
                <c:pt idx="0">
                  <c:v>15/16</c:v>
                </c:pt>
                <c:pt idx="1">
                  <c:v>16/17</c:v>
                </c:pt>
                <c:pt idx="2">
                  <c:v>17/18</c:v>
                </c:pt>
                <c:pt idx="3">
                  <c:v>18/19</c:v>
                </c:pt>
                <c:pt idx="4">
                  <c:v>19/20</c:v>
                </c:pt>
                <c:pt idx="5">
                  <c:v>20/21</c:v>
                </c:pt>
                <c:pt idx="6">
                  <c:v>21/22</c:v>
                </c:pt>
                <c:pt idx="7">
                  <c:v>22/23</c:v>
                </c:pt>
                <c:pt idx="8">
                  <c:v>23/24</c:v>
                </c:pt>
              </c:strCache>
            </c:strRef>
          </c:cat>
          <c:val>
            <c:numRef>
              <c:f>Sheet1!$H$12:$P$12</c:f>
              <c:numCache>
                <c:formatCode>General</c:formatCode>
                <c:ptCount val="9"/>
                <c:pt idx="0">
                  <c:v>413</c:v>
                </c:pt>
                <c:pt idx="1">
                  <c:v>890</c:v>
                </c:pt>
                <c:pt idx="2">
                  <c:v>1440</c:v>
                </c:pt>
                <c:pt idx="3">
                  <c:v>2073</c:v>
                </c:pt>
                <c:pt idx="4">
                  <c:v>2799</c:v>
                </c:pt>
                <c:pt idx="5">
                  <c:v>2869</c:v>
                </c:pt>
                <c:pt idx="6">
                  <c:v>2940</c:v>
                </c:pt>
                <c:pt idx="7">
                  <c:v>3014</c:v>
                </c:pt>
                <c:pt idx="8">
                  <c:v>3117</c:v>
                </c:pt>
              </c:numCache>
            </c:numRef>
          </c:val>
          <c:smooth val="0"/>
        </c:ser>
        <c:ser>
          <c:idx val="3"/>
          <c:order val="2"/>
          <c:tx>
            <c:strRef>
              <c:f>Sheet1!$E$13</c:f>
              <c:strCache>
                <c:ptCount val="1"/>
                <c:pt idx="0">
                  <c:v>18.00%</c:v>
                </c:pt>
              </c:strCache>
            </c:strRef>
          </c:tx>
          <c:marker>
            <c:symbol val="none"/>
          </c:marker>
          <c:cat>
            <c:strRef>
              <c:f>Sheet1!$H$5:$P$5</c:f>
              <c:strCache>
                <c:ptCount val="9"/>
                <c:pt idx="0">
                  <c:v>15/16</c:v>
                </c:pt>
                <c:pt idx="1">
                  <c:v>16/17</c:v>
                </c:pt>
                <c:pt idx="2">
                  <c:v>17/18</c:v>
                </c:pt>
                <c:pt idx="3">
                  <c:v>18/19</c:v>
                </c:pt>
                <c:pt idx="4">
                  <c:v>19/20</c:v>
                </c:pt>
                <c:pt idx="5">
                  <c:v>20/21</c:v>
                </c:pt>
                <c:pt idx="6">
                  <c:v>21/22</c:v>
                </c:pt>
                <c:pt idx="7">
                  <c:v>22/23</c:v>
                </c:pt>
                <c:pt idx="8">
                  <c:v>23/24</c:v>
                </c:pt>
              </c:strCache>
            </c:strRef>
          </c:cat>
          <c:val>
            <c:numRef>
              <c:f>Sheet1!$H$13:$P$13</c:f>
              <c:numCache>
                <c:formatCode>General</c:formatCode>
                <c:ptCount val="9"/>
                <c:pt idx="0">
                  <c:v>610</c:v>
                </c:pt>
                <c:pt idx="1">
                  <c:v>1345</c:v>
                </c:pt>
                <c:pt idx="2">
                  <c:v>2228</c:v>
                </c:pt>
                <c:pt idx="3">
                  <c:v>3286</c:v>
                </c:pt>
                <c:pt idx="4">
                  <c:v>4552</c:v>
                </c:pt>
                <c:pt idx="5">
                  <c:v>4665</c:v>
                </c:pt>
                <c:pt idx="6">
                  <c:v>4782</c:v>
                </c:pt>
                <c:pt idx="7">
                  <c:v>4902</c:v>
                </c:pt>
                <c:pt idx="8">
                  <c:v>5052</c:v>
                </c:pt>
              </c:numCache>
            </c:numRef>
          </c:val>
          <c:smooth val="0"/>
        </c:ser>
        <c:ser>
          <c:idx val="0"/>
          <c:order val="3"/>
          <c:tx>
            <c:strRef>
              <c:f>Sheet1!$B$7</c:f>
              <c:strCache>
                <c:ptCount val="1"/>
                <c:pt idx="0">
                  <c:v>Depreciation</c:v>
                </c:pt>
              </c:strCache>
            </c:strRef>
          </c:tx>
          <c:marker>
            <c:symbol val="none"/>
          </c:marker>
          <c:val>
            <c:numRef>
              <c:f>Sheet1!$H$7:$P$7</c:f>
              <c:numCache>
                <c:formatCode>General</c:formatCode>
                <c:ptCount val="9"/>
                <c:pt idx="0">
                  <c:v>4778</c:v>
                </c:pt>
                <c:pt idx="1">
                  <c:v>4868</c:v>
                </c:pt>
                <c:pt idx="2">
                  <c:v>4986</c:v>
                </c:pt>
                <c:pt idx="3">
                  <c:v>5115</c:v>
                </c:pt>
                <c:pt idx="4">
                  <c:v>5247</c:v>
                </c:pt>
                <c:pt idx="5">
                  <c:v>5399</c:v>
                </c:pt>
                <c:pt idx="6">
                  <c:v>5541</c:v>
                </c:pt>
                <c:pt idx="7">
                  <c:v>5664</c:v>
                </c:pt>
                <c:pt idx="8">
                  <c:v>5780</c:v>
                </c:pt>
              </c:numCache>
            </c:numRef>
          </c:val>
          <c:smooth val="0"/>
        </c:ser>
        <c:dLbls>
          <c:showLegendKey val="0"/>
          <c:showVal val="0"/>
          <c:showCatName val="0"/>
          <c:showSerName val="0"/>
          <c:showPercent val="0"/>
          <c:showBubbleSize val="0"/>
        </c:dLbls>
        <c:marker val="1"/>
        <c:smooth val="0"/>
        <c:axId val="212469632"/>
        <c:axId val="212606976"/>
      </c:lineChart>
      <c:catAx>
        <c:axId val="212469632"/>
        <c:scaling>
          <c:orientation val="minMax"/>
        </c:scaling>
        <c:delete val="0"/>
        <c:axPos val="b"/>
        <c:title>
          <c:tx>
            <c:rich>
              <a:bodyPr/>
              <a:lstStyle/>
              <a:p>
                <a:pPr>
                  <a:defRPr/>
                </a:pPr>
                <a:r>
                  <a:rPr lang="en-AU"/>
                  <a:t>F/Year</a:t>
                </a:r>
              </a:p>
            </c:rich>
          </c:tx>
          <c:overlay val="0"/>
        </c:title>
        <c:majorTickMark val="out"/>
        <c:minorTickMark val="none"/>
        <c:tickLblPos val="nextTo"/>
        <c:txPr>
          <a:bodyPr/>
          <a:lstStyle/>
          <a:p>
            <a:pPr>
              <a:defRPr b="1" i="0" baseline="0"/>
            </a:pPr>
            <a:endParaRPr lang="en-US"/>
          </a:p>
        </c:txPr>
        <c:crossAx val="212606976"/>
        <c:crosses val="autoZero"/>
        <c:auto val="1"/>
        <c:lblAlgn val="ctr"/>
        <c:lblOffset val="100"/>
        <c:noMultiLvlLbl val="0"/>
      </c:catAx>
      <c:valAx>
        <c:axId val="212606976"/>
        <c:scaling>
          <c:orientation val="minMax"/>
        </c:scaling>
        <c:delete val="0"/>
        <c:axPos val="l"/>
        <c:majorGridlines/>
        <c:title>
          <c:tx>
            <c:rich>
              <a:bodyPr rot="-5400000" vert="horz"/>
              <a:lstStyle/>
              <a:p>
                <a:pPr>
                  <a:defRPr/>
                </a:pPr>
                <a:r>
                  <a:rPr lang="en-AU"/>
                  <a:t>$m Rate Revenue</a:t>
                </a:r>
              </a:p>
            </c:rich>
          </c:tx>
          <c:overlay val="0"/>
        </c:title>
        <c:numFmt formatCode="General" sourceLinked="1"/>
        <c:majorTickMark val="out"/>
        <c:minorTickMark val="none"/>
        <c:tickLblPos val="nextTo"/>
        <c:txPr>
          <a:bodyPr/>
          <a:lstStyle/>
          <a:p>
            <a:pPr>
              <a:defRPr b="1"/>
            </a:pPr>
            <a:endParaRPr lang="en-US"/>
          </a:p>
        </c:txPr>
        <c:crossAx val="212469632"/>
        <c:crosses val="autoZero"/>
        <c:crossBetween val="between"/>
        <c:dispUnits>
          <c:builtInUnit val="thousands"/>
        </c:dispUnits>
      </c:valAx>
      <c:spPr>
        <a:noFill/>
        <a:ln>
          <a:solidFill>
            <a:schemeClr val="accent1"/>
          </a:solidFill>
        </a:ln>
      </c:spPr>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Sheet1!$Q$4</c:f>
              <c:strCache>
                <c:ptCount val="1"/>
                <c:pt idx="0">
                  <c:v>Rate Revenue $000</c:v>
                </c:pt>
              </c:strCache>
            </c:strRef>
          </c:tx>
          <c:invertIfNegative val="0"/>
          <c:cat>
            <c:strRef>
              <c:f>Sheet1!$N$5:$N$10</c:f>
              <c:strCache>
                <c:ptCount val="6"/>
                <c:pt idx="0">
                  <c:v>Farmland</c:v>
                </c:pt>
                <c:pt idx="1">
                  <c:v>Residential Rural</c:v>
                </c:pt>
                <c:pt idx="2">
                  <c:v>Residential Gloucester</c:v>
                </c:pt>
                <c:pt idx="3">
                  <c:v>Residential Village</c:v>
                </c:pt>
                <c:pt idx="4">
                  <c:v>Commercial/Industrial</c:v>
                </c:pt>
                <c:pt idx="5">
                  <c:v>Business Other</c:v>
                </c:pt>
              </c:strCache>
            </c:strRef>
          </c:cat>
          <c:val>
            <c:numRef>
              <c:f>Sheet1!$Q$5:$Q$10</c:f>
              <c:numCache>
                <c:formatCode>General</c:formatCode>
                <c:ptCount val="6"/>
                <c:pt idx="0">
                  <c:v>1667</c:v>
                </c:pt>
                <c:pt idx="1">
                  <c:v>837</c:v>
                </c:pt>
                <c:pt idx="2">
                  <c:v>788</c:v>
                </c:pt>
                <c:pt idx="3">
                  <c:v>131</c:v>
                </c:pt>
                <c:pt idx="4">
                  <c:v>346</c:v>
                </c:pt>
                <c:pt idx="5">
                  <c:v>15</c:v>
                </c:pt>
              </c:numCache>
            </c:numRef>
          </c:val>
        </c:ser>
        <c:dLbls>
          <c:showLegendKey val="0"/>
          <c:showVal val="0"/>
          <c:showCatName val="0"/>
          <c:showSerName val="0"/>
          <c:showPercent val="0"/>
          <c:showBubbleSize val="0"/>
        </c:dLbls>
        <c:gapWidth val="150"/>
        <c:axId val="212829312"/>
        <c:axId val="212830848"/>
      </c:barChart>
      <c:lineChart>
        <c:grouping val="standard"/>
        <c:varyColors val="0"/>
        <c:ser>
          <c:idx val="2"/>
          <c:order val="2"/>
          <c:tx>
            <c:strRef>
              <c:f>Sheet1!$R$4</c:f>
              <c:strCache>
                <c:ptCount val="1"/>
                <c:pt idx="0">
                  <c:v>Average per Assessment $</c:v>
                </c:pt>
              </c:strCache>
            </c:strRef>
          </c:tx>
          <c:cat>
            <c:strRef>
              <c:f>Sheet1!$N$5:$N$10</c:f>
              <c:strCache>
                <c:ptCount val="6"/>
                <c:pt idx="0">
                  <c:v>Farmland</c:v>
                </c:pt>
                <c:pt idx="1">
                  <c:v>Residential Rural</c:v>
                </c:pt>
                <c:pt idx="2">
                  <c:v>Residential Gloucester</c:v>
                </c:pt>
                <c:pt idx="3">
                  <c:v>Residential Village</c:v>
                </c:pt>
                <c:pt idx="4">
                  <c:v>Commercial/Industrial</c:v>
                </c:pt>
                <c:pt idx="5">
                  <c:v>Business Other</c:v>
                </c:pt>
              </c:strCache>
            </c:strRef>
          </c:cat>
          <c:val>
            <c:numRef>
              <c:f>Sheet1!$R$5:$R$10</c:f>
              <c:numCache>
                <c:formatCode>0</c:formatCode>
                <c:ptCount val="6"/>
                <c:pt idx="0">
                  <c:v>2549</c:v>
                </c:pt>
                <c:pt idx="1">
                  <c:v>991</c:v>
                </c:pt>
                <c:pt idx="2">
                  <c:v>670</c:v>
                </c:pt>
                <c:pt idx="3">
                  <c:v>658</c:v>
                </c:pt>
                <c:pt idx="4">
                  <c:v>1412</c:v>
                </c:pt>
                <c:pt idx="5">
                  <c:v>959</c:v>
                </c:pt>
              </c:numCache>
            </c:numRef>
          </c:val>
          <c:smooth val="0"/>
        </c:ser>
        <c:dLbls>
          <c:showLegendKey val="0"/>
          <c:showVal val="0"/>
          <c:showCatName val="0"/>
          <c:showSerName val="0"/>
          <c:showPercent val="0"/>
          <c:showBubbleSize val="0"/>
        </c:dLbls>
        <c:marker val="1"/>
        <c:smooth val="0"/>
        <c:axId val="212829312"/>
        <c:axId val="212830848"/>
      </c:lineChart>
      <c:lineChart>
        <c:grouping val="stacked"/>
        <c:varyColors val="0"/>
        <c:ser>
          <c:idx val="0"/>
          <c:order val="0"/>
          <c:tx>
            <c:strRef>
              <c:f>Sheet1!$P$4</c:f>
              <c:strCache>
                <c:ptCount val="1"/>
                <c:pt idx="0">
                  <c:v>No. of Assessments</c:v>
                </c:pt>
              </c:strCache>
            </c:strRef>
          </c:tx>
          <c:cat>
            <c:strRef>
              <c:f>Sheet1!$N$5:$N$10</c:f>
              <c:strCache>
                <c:ptCount val="6"/>
                <c:pt idx="0">
                  <c:v>Farmland</c:v>
                </c:pt>
                <c:pt idx="1">
                  <c:v>Residential Rural</c:v>
                </c:pt>
                <c:pt idx="2">
                  <c:v>Residential Gloucester</c:v>
                </c:pt>
                <c:pt idx="3">
                  <c:v>Residential Village</c:v>
                </c:pt>
                <c:pt idx="4">
                  <c:v>Commercial/Industrial</c:v>
                </c:pt>
                <c:pt idx="5">
                  <c:v>Business Other</c:v>
                </c:pt>
              </c:strCache>
            </c:strRef>
          </c:cat>
          <c:val>
            <c:numRef>
              <c:f>Sheet1!$P$5:$P$10</c:f>
              <c:numCache>
                <c:formatCode>General</c:formatCode>
                <c:ptCount val="6"/>
                <c:pt idx="0">
                  <c:v>654</c:v>
                </c:pt>
                <c:pt idx="1">
                  <c:v>845</c:v>
                </c:pt>
                <c:pt idx="2">
                  <c:v>1176</c:v>
                </c:pt>
                <c:pt idx="3">
                  <c:v>199</c:v>
                </c:pt>
                <c:pt idx="4">
                  <c:v>245</c:v>
                </c:pt>
                <c:pt idx="5">
                  <c:v>16</c:v>
                </c:pt>
              </c:numCache>
            </c:numRef>
          </c:val>
          <c:smooth val="0"/>
        </c:ser>
        <c:dLbls>
          <c:showLegendKey val="0"/>
          <c:showVal val="0"/>
          <c:showCatName val="0"/>
          <c:showSerName val="0"/>
          <c:showPercent val="0"/>
          <c:showBubbleSize val="0"/>
        </c:dLbls>
        <c:marker val="1"/>
        <c:smooth val="0"/>
        <c:axId val="212834176"/>
        <c:axId val="212832640"/>
      </c:lineChart>
      <c:catAx>
        <c:axId val="212829312"/>
        <c:scaling>
          <c:orientation val="minMax"/>
        </c:scaling>
        <c:delete val="0"/>
        <c:axPos val="b"/>
        <c:majorTickMark val="out"/>
        <c:minorTickMark val="none"/>
        <c:tickLblPos val="nextTo"/>
        <c:txPr>
          <a:bodyPr rot="-1200000"/>
          <a:lstStyle/>
          <a:p>
            <a:pPr>
              <a:defRPr/>
            </a:pPr>
            <a:endParaRPr lang="en-US"/>
          </a:p>
        </c:txPr>
        <c:crossAx val="212830848"/>
        <c:crosses val="autoZero"/>
        <c:auto val="1"/>
        <c:lblAlgn val="ctr"/>
        <c:lblOffset val="100"/>
        <c:noMultiLvlLbl val="0"/>
      </c:catAx>
      <c:valAx>
        <c:axId val="212830848"/>
        <c:scaling>
          <c:orientation val="minMax"/>
        </c:scaling>
        <c:delete val="0"/>
        <c:axPos val="l"/>
        <c:majorGridlines/>
        <c:numFmt formatCode="General" sourceLinked="1"/>
        <c:majorTickMark val="out"/>
        <c:minorTickMark val="none"/>
        <c:tickLblPos val="nextTo"/>
        <c:crossAx val="212829312"/>
        <c:crosses val="autoZero"/>
        <c:crossBetween val="between"/>
      </c:valAx>
      <c:valAx>
        <c:axId val="212832640"/>
        <c:scaling>
          <c:orientation val="minMax"/>
        </c:scaling>
        <c:delete val="1"/>
        <c:axPos val="r"/>
        <c:numFmt formatCode="General" sourceLinked="1"/>
        <c:majorTickMark val="out"/>
        <c:minorTickMark val="none"/>
        <c:tickLblPos val="none"/>
        <c:crossAx val="212834176"/>
        <c:crosses val="max"/>
        <c:crossBetween val="between"/>
      </c:valAx>
      <c:catAx>
        <c:axId val="212834176"/>
        <c:scaling>
          <c:orientation val="minMax"/>
        </c:scaling>
        <c:delete val="1"/>
        <c:axPos val="b"/>
        <c:majorTickMark val="out"/>
        <c:minorTickMark val="none"/>
        <c:tickLblPos val="none"/>
        <c:crossAx val="212832640"/>
        <c:crosses val="autoZero"/>
        <c:auto val="1"/>
        <c:lblAlgn val="ctr"/>
        <c:lblOffset val="100"/>
        <c:noMultiLvlLbl val="0"/>
      </c:catAx>
      <c:spPr>
        <a:solidFill>
          <a:schemeClr val="bg2"/>
        </a:solidFill>
      </c:spPr>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Sheet1!$Q$4</c:f>
              <c:strCache>
                <c:ptCount val="1"/>
                <c:pt idx="0">
                  <c:v>Rate Revenue $000</c:v>
                </c:pt>
              </c:strCache>
            </c:strRef>
          </c:tx>
          <c:invertIfNegative val="0"/>
          <c:cat>
            <c:strRef>
              <c:f>Sheet1!$N$5:$N$10</c:f>
              <c:strCache>
                <c:ptCount val="6"/>
                <c:pt idx="0">
                  <c:v>Farmland</c:v>
                </c:pt>
                <c:pt idx="1">
                  <c:v>Residential Rural</c:v>
                </c:pt>
                <c:pt idx="2">
                  <c:v>Residential Gloucester</c:v>
                </c:pt>
                <c:pt idx="3">
                  <c:v>Residential Village</c:v>
                </c:pt>
                <c:pt idx="4">
                  <c:v>Commercial/Industrial</c:v>
                </c:pt>
                <c:pt idx="5">
                  <c:v>Business Other</c:v>
                </c:pt>
              </c:strCache>
            </c:strRef>
          </c:cat>
          <c:val>
            <c:numRef>
              <c:f>Sheet1!$Q$5:$Q$10</c:f>
              <c:numCache>
                <c:formatCode>General</c:formatCode>
                <c:ptCount val="6"/>
                <c:pt idx="0">
                  <c:v>2916</c:v>
                </c:pt>
                <c:pt idx="1">
                  <c:v>1383</c:v>
                </c:pt>
                <c:pt idx="2">
                  <c:v>1258</c:v>
                </c:pt>
                <c:pt idx="3">
                  <c:v>207</c:v>
                </c:pt>
                <c:pt idx="4">
                  <c:v>531</c:v>
                </c:pt>
                <c:pt idx="5">
                  <c:v>26</c:v>
                </c:pt>
              </c:numCache>
            </c:numRef>
          </c:val>
        </c:ser>
        <c:dLbls>
          <c:showLegendKey val="0"/>
          <c:showVal val="0"/>
          <c:showCatName val="0"/>
          <c:showSerName val="0"/>
          <c:showPercent val="0"/>
          <c:showBubbleSize val="0"/>
        </c:dLbls>
        <c:gapWidth val="150"/>
        <c:axId val="212701952"/>
        <c:axId val="212703488"/>
      </c:barChart>
      <c:lineChart>
        <c:grouping val="standard"/>
        <c:varyColors val="0"/>
        <c:ser>
          <c:idx val="2"/>
          <c:order val="2"/>
          <c:tx>
            <c:strRef>
              <c:f>Sheet1!$R$4</c:f>
              <c:strCache>
                <c:ptCount val="1"/>
                <c:pt idx="0">
                  <c:v>Average per Assessment $</c:v>
                </c:pt>
              </c:strCache>
            </c:strRef>
          </c:tx>
          <c:cat>
            <c:strRef>
              <c:f>Sheet1!$N$5:$N$10</c:f>
              <c:strCache>
                <c:ptCount val="6"/>
                <c:pt idx="0">
                  <c:v>Farmland</c:v>
                </c:pt>
                <c:pt idx="1">
                  <c:v>Residential Rural</c:v>
                </c:pt>
                <c:pt idx="2">
                  <c:v>Residential Gloucester</c:v>
                </c:pt>
                <c:pt idx="3">
                  <c:v>Residential Village</c:v>
                </c:pt>
                <c:pt idx="4">
                  <c:v>Commercial/Industrial</c:v>
                </c:pt>
                <c:pt idx="5">
                  <c:v>Business Other</c:v>
                </c:pt>
              </c:strCache>
            </c:strRef>
          </c:cat>
          <c:val>
            <c:numRef>
              <c:f>Sheet1!$R$5:$R$10</c:f>
              <c:numCache>
                <c:formatCode>0</c:formatCode>
                <c:ptCount val="6"/>
                <c:pt idx="0">
                  <c:v>4458</c:v>
                </c:pt>
                <c:pt idx="1">
                  <c:v>1637</c:v>
                </c:pt>
                <c:pt idx="2">
                  <c:v>1070</c:v>
                </c:pt>
                <c:pt idx="3">
                  <c:v>1041</c:v>
                </c:pt>
                <c:pt idx="4">
                  <c:v>2170</c:v>
                </c:pt>
                <c:pt idx="5">
                  <c:v>1615</c:v>
                </c:pt>
              </c:numCache>
            </c:numRef>
          </c:val>
          <c:smooth val="0"/>
        </c:ser>
        <c:dLbls>
          <c:showLegendKey val="0"/>
          <c:showVal val="0"/>
          <c:showCatName val="0"/>
          <c:showSerName val="0"/>
          <c:showPercent val="0"/>
          <c:showBubbleSize val="0"/>
        </c:dLbls>
        <c:marker val="1"/>
        <c:smooth val="0"/>
        <c:axId val="212701952"/>
        <c:axId val="212703488"/>
      </c:lineChart>
      <c:lineChart>
        <c:grouping val="stacked"/>
        <c:varyColors val="0"/>
        <c:ser>
          <c:idx val="0"/>
          <c:order val="0"/>
          <c:tx>
            <c:strRef>
              <c:f>Sheet1!$P$4</c:f>
              <c:strCache>
                <c:ptCount val="1"/>
                <c:pt idx="0">
                  <c:v>No. of Assessments</c:v>
                </c:pt>
              </c:strCache>
            </c:strRef>
          </c:tx>
          <c:cat>
            <c:strRef>
              <c:f>Sheet1!$N$5:$N$10</c:f>
              <c:strCache>
                <c:ptCount val="6"/>
                <c:pt idx="0">
                  <c:v>Farmland</c:v>
                </c:pt>
                <c:pt idx="1">
                  <c:v>Residential Rural</c:v>
                </c:pt>
                <c:pt idx="2">
                  <c:v>Residential Gloucester</c:v>
                </c:pt>
                <c:pt idx="3">
                  <c:v>Residential Village</c:v>
                </c:pt>
                <c:pt idx="4">
                  <c:v>Commercial/Industrial</c:v>
                </c:pt>
                <c:pt idx="5">
                  <c:v>Business Other</c:v>
                </c:pt>
              </c:strCache>
            </c:strRef>
          </c:cat>
          <c:val>
            <c:numRef>
              <c:f>Sheet1!$P$5:$P$10</c:f>
              <c:numCache>
                <c:formatCode>General</c:formatCode>
                <c:ptCount val="6"/>
                <c:pt idx="0">
                  <c:v>654</c:v>
                </c:pt>
                <c:pt idx="1">
                  <c:v>845</c:v>
                </c:pt>
                <c:pt idx="2">
                  <c:v>1176</c:v>
                </c:pt>
                <c:pt idx="3">
                  <c:v>199</c:v>
                </c:pt>
                <c:pt idx="4">
                  <c:v>245</c:v>
                </c:pt>
                <c:pt idx="5">
                  <c:v>16</c:v>
                </c:pt>
              </c:numCache>
            </c:numRef>
          </c:val>
          <c:smooth val="0"/>
        </c:ser>
        <c:dLbls>
          <c:showLegendKey val="0"/>
          <c:showVal val="0"/>
          <c:showCatName val="0"/>
          <c:showSerName val="0"/>
          <c:showPercent val="0"/>
          <c:showBubbleSize val="0"/>
        </c:dLbls>
        <c:marker val="1"/>
        <c:smooth val="0"/>
        <c:axId val="212710912"/>
        <c:axId val="212709376"/>
      </c:lineChart>
      <c:catAx>
        <c:axId val="212701952"/>
        <c:scaling>
          <c:orientation val="minMax"/>
        </c:scaling>
        <c:delete val="0"/>
        <c:axPos val="b"/>
        <c:majorTickMark val="out"/>
        <c:minorTickMark val="none"/>
        <c:tickLblPos val="nextTo"/>
        <c:txPr>
          <a:bodyPr rot="-1200000"/>
          <a:lstStyle/>
          <a:p>
            <a:pPr>
              <a:defRPr/>
            </a:pPr>
            <a:endParaRPr lang="en-US"/>
          </a:p>
        </c:txPr>
        <c:crossAx val="212703488"/>
        <c:crosses val="autoZero"/>
        <c:auto val="1"/>
        <c:lblAlgn val="ctr"/>
        <c:lblOffset val="100"/>
        <c:noMultiLvlLbl val="0"/>
      </c:catAx>
      <c:valAx>
        <c:axId val="212703488"/>
        <c:scaling>
          <c:orientation val="minMax"/>
        </c:scaling>
        <c:delete val="0"/>
        <c:axPos val="l"/>
        <c:majorGridlines/>
        <c:numFmt formatCode="General" sourceLinked="1"/>
        <c:majorTickMark val="out"/>
        <c:minorTickMark val="none"/>
        <c:tickLblPos val="nextTo"/>
        <c:crossAx val="212701952"/>
        <c:crosses val="autoZero"/>
        <c:crossBetween val="between"/>
      </c:valAx>
      <c:valAx>
        <c:axId val="212709376"/>
        <c:scaling>
          <c:orientation val="minMax"/>
        </c:scaling>
        <c:delete val="1"/>
        <c:axPos val="r"/>
        <c:numFmt formatCode="General" sourceLinked="1"/>
        <c:majorTickMark val="out"/>
        <c:minorTickMark val="none"/>
        <c:tickLblPos val="none"/>
        <c:crossAx val="212710912"/>
        <c:crosses val="max"/>
        <c:crossBetween val="between"/>
      </c:valAx>
      <c:catAx>
        <c:axId val="212710912"/>
        <c:scaling>
          <c:orientation val="minMax"/>
        </c:scaling>
        <c:delete val="1"/>
        <c:axPos val="b"/>
        <c:majorTickMark val="out"/>
        <c:minorTickMark val="none"/>
        <c:tickLblPos val="none"/>
        <c:crossAx val="212709376"/>
        <c:crosses val="autoZero"/>
        <c:auto val="1"/>
        <c:lblAlgn val="ctr"/>
        <c:lblOffset val="100"/>
        <c:noMultiLvlLbl val="0"/>
      </c:catAx>
      <c:spPr>
        <a:solidFill>
          <a:schemeClr val="bg2"/>
        </a:solidFill>
      </c:spPr>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0.75416</cdr:x>
      <cdr:y>0.30555</cdr:y>
    </cdr:from>
    <cdr:to>
      <cdr:x>0.91041</cdr:x>
      <cdr:y>0.38541</cdr:y>
    </cdr:to>
    <cdr:sp macro="" textlink="">
      <cdr:nvSpPr>
        <cdr:cNvPr id="3" name="TextBox 2"/>
        <cdr:cNvSpPr txBox="1"/>
      </cdr:nvSpPr>
      <cdr:spPr>
        <a:xfrm xmlns:a="http://schemas.openxmlformats.org/drawingml/2006/main">
          <a:off x="3448035" y="838194"/>
          <a:ext cx="714375" cy="219072"/>
        </a:xfrm>
        <a:prstGeom xmlns:a="http://schemas.openxmlformats.org/drawingml/2006/main" prst="rect">
          <a:avLst/>
        </a:prstGeom>
        <a:solidFill xmlns:a="http://schemas.openxmlformats.org/drawingml/2006/main">
          <a:schemeClr val="accent4">
            <a:lumMod val="60000"/>
            <a:lumOff val="40000"/>
          </a:schemeClr>
        </a:solidFill>
      </cdr:spPr>
      <cdr:txBody>
        <a:bodyPr xmlns:a="http://schemas.openxmlformats.org/drawingml/2006/main" vertOverflow="clip" wrap="square" rtlCol="0"/>
        <a:lstStyle xmlns:a="http://schemas.openxmlformats.org/drawingml/2006/main"/>
        <a:p xmlns:a="http://schemas.openxmlformats.org/drawingml/2006/main">
          <a:r>
            <a:rPr lang="en-AU" sz="1000" b="1"/>
            <a:t>18% SRV</a:t>
          </a:r>
        </a:p>
      </cdr:txBody>
    </cdr:sp>
  </cdr:relSizeAnchor>
  <cdr:relSizeAnchor xmlns:cdr="http://schemas.openxmlformats.org/drawingml/2006/chartDrawing">
    <cdr:from>
      <cdr:x>0.75208</cdr:x>
      <cdr:y>0.52431</cdr:y>
    </cdr:from>
    <cdr:to>
      <cdr:x>0.89375</cdr:x>
      <cdr:y>0.61111</cdr:y>
    </cdr:to>
    <cdr:sp macro="" textlink="">
      <cdr:nvSpPr>
        <cdr:cNvPr id="4" name="TextBox 3"/>
        <cdr:cNvSpPr txBox="1"/>
      </cdr:nvSpPr>
      <cdr:spPr>
        <a:xfrm xmlns:a="http://schemas.openxmlformats.org/drawingml/2006/main">
          <a:off x="3438510" y="1438281"/>
          <a:ext cx="647715" cy="238110"/>
        </a:xfrm>
        <a:prstGeom xmlns:a="http://schemas.openxmlformats.org/drawingml/2006/main" prst="rect">
          <a:avLst/>
        </a:prstGeom>
        <a:solidFill xmlns:a="http://schemas.openxmlformats.org/drawingml/2006/main">
          <a:schemeClr val="accent3">
            <a:lumMod val="60000"/>
            <a:lumOff val="40000"/>
          </a:schemeClr>
        </a:solidFill>
      </cdr:spPr>
      <cdr:txBody>
        <a:bodyPr xmlns:a="http://schemas.openxmlformats.org/drawingml/2006/main" vertOverflow="clip" wrap="square" rtlCol="0"/>
        <a:lstStyle xmlns:a="http://schemas.openxmlformats.org/drawingml/2006/main"/>
        <a:p xmlns:a="http://schemas.openxmlformats.org/drawingml/2006/main">
          <a:r>
            <a:rPr lang="en-AU" sz="1000" b="1"/>
            <a:t>13% SRV</a:t>
          </a:r>
        </a:p>
      </cdr:txBody>
    </cdr:sp>
  </cdr:relSizeAnchor>
  <cdr:relSizeAnchor xmlns:cdr="http://schemas.openxmlformats.org/drawingml/2006/chartDrawing">
    <cdr:from>
      <cdr:x>0.74792</cdr:x>
      <cdr:y>0.71181</cdr:y>
    </cdr:from>
    <cdr:to>
      <cdr:x>0.89792</cdr:x>
      <cdr:y>0.79167</cdr:y>
    </cdr:to>
    <cdr:sp macro="" textlink="">
      <cdr:nvSpPr>
        <cdr:cNvPr id="5" name="TextBox 4"/>
        <cdr:cNvSpPr txBox="1"/>
      </cdr:nvSpPr>
      <cdr:spPr>
        <a:xfrm xmlns:a="http://schemas.openxmlformats.org/drawingml/2006/main">
          <a:off x="3419490" y="1952640"/>
          <a:ext cx="685800" cy="219072"/>
        </a:xfrm>
        <a:prstGeom xmlns:a="http://schemas.openxmlformats.org/drawingml/2006/main" prst="rect">
          <a:avLst/>
        </a:prstGeom>
        <a:solidFill xmlns:a="http://schemas.openxmlformats.org/drawingml/2006/main">
          <a:schemeClr val="accent2">
            <a:lumMod val="75000"/>
          </a:schemeClr>
        </a:solidFill>
      </cdr:spPr>
      <cdr:txBody>
        <a:bodyPr xmlns:a="http://schemas.openxmlformats.org/drawingml/2006/main" vertOverflow="clip" wrap="square" rtlCol="0"/>
        <a:lstStyle xmlns:a="http://schemas.openxmlformats.org/drawingml/2006/main"/>
        <a:p xmlns:a="http://schemas.openxmlformats.org/drawingml/2006/main">
          <a:r>
            <a:rPr lang="en-AU" sz="1000" b="1"/>
            <a:t>5.5% SRV</a:t>
          </a:r>
        </a:p>
      </cdr:txBody>
    </cdr:sp>
  </cdr:relSizeAnchor>
  <cdr:relSizeAnchor xmlns:cdr="http://schemas.openxmlformats.org/drawingml/2006/chartDrawing">
    <cdr:from>
      <cdr:x>0.16458</cdr:x>
      <cdr:y>0.05903</cdr:y>
    </cdr:from>
    <cdr:to>
      <cdr:x>0.44375</cdr:x>
      <cdr:y>0.2118</cdr:y>
    </cdr:to>
    <cdr:sp macro="" textlink="">
      <cdr:nvSpPr>
        <cdr:cNvPr id="2" name="TextBox 1"/>
        <cdr:cNvSpPr txBox="1"/>
      </cdr:nvSpPr>
      <cdr:spPr>
        <a:xfrm xmlns:a="http://schemas.openxmlformats.org/drawingml/2006/main">
          <a:off x="752475" y="161937"/>
          <a:ext cx="1276365" cy="419079"/>
        </a:xfrm>
        <a:prstGeom xmlns:a="http://schemas.openxmlformats.org/drawingml/2006/main" prst="rect">
          <a:avLst/>
        </a:prstGeom>
        <a:solidFill xmlns:a="http://schemas.openxmlformats.org/drawingml/2006/main">
          <a:schemeClr val="bg2">
            <a:lumMod val="90000"/>
          </a:schemeClr>
        </a:solidFill>
      </cdr:spPr>
      <cdr:txBody>
        <a:bodyPr xmlns:a="http://schemas.openxmlformats.org/drawingml/2006/main" vertOverflow="clip" wrap="square" rtlCol="0"/>
        <a:lstStyle xmlns:a="http://schemas.openxmlformats.org/drawingml/2006/main"/>
        <a:p xmlns:a="http://schemas.openxmlformats.org/drawingml/2006/main">
          <a:r>
            <a:rPr lang="en-AU" sz="1000" b="1"/>
            <a:t>Additional revenue per SV scenarios</a:t>
          </a:r>
        </a:p>
      </cdr:txBody>
    </cdr:sp>
  </cdr:relSizeAnchor>
  <cdr:relSizeAnchor xmlns:cdr="http://schemas.openxmlformats.org/drawingml/2006/chartDrawing">
    <cdr:from>
      <cdr:x>0.75625</cdr:x>
      <cdr:y>0.06944</cdr:y>
    </cdr:from>
    <cdr:to>
      <cdr:x>0.89583</cdr:x>
      <cdr:y>0.15278</cdr:y>
    </cdr:to>
    <cdr:sp macro="" textlink="">
      <cdr:nvSpPr>
        <cdr:cNvPr id="7" name="TextBox 6"/>
        <cdr:cNvSpPr txBox="1"/>
      </cdr:nvSpPr>
      <cdr:spPr>
        <a:xfrm xmlns:a="http://schemas.openxmlformats.org/drawingml/2006/main">
          <a:off x="3457575" y="190500"/>
          <a:ext cx="638175" cy="228600"/>
        </a:xfrm>
        <a:prstGeom xmlns:a="http://schemas.openxmlformats.org/drawingml/2006/main" prst="rect">
          <a:avLst/>
        </a:prstGeom>
        <a:solidFill xmlns:a="http://schemas.openxmlformats.org/drawingml/2006/main">
          <a:schemeClr val="tx2">
            <a:lumMod val="60000"/>
            <a:lumOff val="40000"/>
          </a:schemeClr>
        </a:solidFill>
      </cdr:spPr>
      <cdr:txBody>
        <a:bodyPr xmlns:a="http://schemas.openxmlformats.org/drawingml/2006/main" vertOverflow="clip" wrap="square" rtlCol="0"/>
        <a:lstStyle xmlns:a="http://schemas.openxmlformats.org/drawingml/2006/main"/>
        <a:p xmlns:a="http://schemas.openxmlformats.org/drawingml/2006/main">
          <a:r>
            <a:rPr lang="en-AU" sz="1000" b="1"/>
            <a:t>Depn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AC64-657A-4A3D-A3A4-8C1F3E98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9712</TotalTime>
  <Pages>69</Pages>
  <Words>18405</Words>
  <Characters>104910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123069</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Linda Hoskings</dc:creator>
  <cp:keywords/>
  <dc:description/>
  <cp:lastModifiedBy>Danny Green</cp:lastModifiedBy>
  <cp:revision>22</cp:revision>
  <cp:lastPrinted>2015-02-11T02:50:00Z</cp:lastPrinted>
  <dcterms:created xsi:type="dcterms:W3CDTF">2014-12-03T22:14:00Z</dcterms:created>
  <dcterms:modified xsi:type="dcterms:W3CDTF">2015-02-11T20:44:00Z</dcterms:modified>
</cp:coreProperties>
</file>