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p>
          <w:p w:rsidR="000F359C" w:rsidRPr="000F359C" w:rsidRDefault="000F359C" w:rsidP="000F359C">
            <w:pPr>
              <w:pStyle w:val="Report"/>
              <w:rPr>
                <w:b w:val="0"/>
              </w:rPr>
            </w:pPr>
            <w:r w:rsidRPr="000F359C">
              <w:rPr>
                <w:b w:val="0"/>
              </w:rPr>
              <w:t>Council Contact Phone:</w:t>
            </w:r>
          </w:p>
          <w:p w:rsidR="000F359C" w:rsidRPr="000F359C" w:rsidRDefault="000F359C" w:rsidP="000F359C">
            <w:pPr>
              <w:pStyle w:val="Report"/>
              <w:rPr>
                <w:b w:val="0"/>
              </w:rPr>
            </w:pPr>
            <w:r w:rsidRPr="000F359C">
              <w:rPr>
                <w:b w:val="0"/>
              </w:rPr>
              <w:t>Council Contact Email:</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Michael Seery</w:t>
      </w:r>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r w:rsidRPr="000705E4">
        <w:t>Kumi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9F6784">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3F1ABB">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3F1ABB">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3F1ABB">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3F1ABB">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3F1ABB">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3F1ABB">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3F1ABB">
        <w:rPr>
          <w:noProof/>
        </w:rPr>
        <w:t>5</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3F1ABB">
        <w:rPr>
          <w:noProof/>
        </w:rPr>
        <w:t>5</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3F1ABB">
        <w:rPr>
          <w:noProof/>
        </w:rPr>
        <w:t>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3F1ABB">
        <w:rPr>
          <w:noProof/>
        </w:rPr>
        <w:t>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3F1ABB">
        <w:rPr>
          <w:noProof/>
        </w:rPr>
        <w:t>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3F1ABB">
        <w:rPr>
          <w:noProof/>
        </w:rPr>
        <w:t>11</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3F1ABB">
        <w:rPr>
          <w:noProof/>
        </w:rPr>
        <w:t>11</w:t>
      </w:r>
      <w:r>
        <w:rPr>
          <w:noProof/>
        </w:rPr>
        <w:fldChar w:fldCharType="end"/>
      </w:r>
    </w:p>
    <w:p w:rsidR="006958FA" w:rsidRDefault="006958FA">
      <w:pPr>
        <w:pStyle w:val="TOC2"/>
        <w:rPr>
          <w:rFonts w:asciiTheme="minorHAnsi" w:eastAsiaTheme="minorEastAsia" w:hAnsiTheme="minorHAnsi" w:cstheme="minorBidi"/>
          <w:noProof/>
          <w:sz w:val="22"/>
          <w:szCs w:val="22"/>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3F1ABB">
        <w:rPr>
          <w:noProof/>
        </w:rPr>
        <w:t>13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3F1ABB">
        <w:rPr>
          <w:noProof/>
        </w:rPr>
        <w:t>14</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3F1ABB">
        <w:rPr>
          <w:noProof/>
        </w:rPr>
        <w:t>17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3F1ABB">
        <w:rPr>
          <w:noProof/>
        </w:rPr>
        <w:t>17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3F1ABB">
        <w:rPr>
          <w:noProof/>
        </w:rPr>
        <w:t>18</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3F1ABB">
        <w:rPr>
          <w:noProof/>
        </w:rPr>
        <w:t>19</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3F1ABB">
        <w:rPr>
          <w:noProof/>
        </w:rPr>
        <w:t>20</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3F1ABB">
        <w:rPr>
          <w:noProof/>
        </w:rPr>
        <w:t>22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3F1ABB">
        <w:rPr>
          <w:noProof/>
        </w:rPr>
        <w:t>24</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3F1ABB">
        <w:rPr>
          <w:noProof/>
        </w:rPr>
        <w:t>26</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01138359"/>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01138360"/>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01138361"/>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950D4">
      <w:pPr>
        <w:pStyle w:val="BodyText"/>
        <w:ind w:left="720"/>
        <w:jc w:val="left"/>
      </w:pPr>
      <w:r w:rsidRPr="00282BE9">
        <w:t xml:space="preserve">Local Government </w:t>
      </w:r>
      <w:r>
        <w:t>T</w:t>
      </w:r>
      <w:r w:rsidRPr="00282BE9">
        <w:t>eam</w:t>
      </w:r>
      <w:r>
        <w:br/>
      </w:r>
      <w:r w:rsidRPr="00282BE9">
        <w:t>Independent Pricing and Regulatory Tribunal</w:t>
      </w:r>
      <w:r w:rsidR="006950D4">
        <w:br/>
        <w:t xml:space="preserve">PO Box K35, </w:t>
      </w:r>
      <w:r w:rsidR="00092865">
        <w:br/>
      </w:r>
      <w:r w:rsidR="006950D4">
        <w:t>Haymarket Post Shop</w:t>
      </w:r>
      <w:r w:rsidR="00127883">
        <w:t xml:space="preserve"> </w:t>
      </w:r>
      <w:r w:rsidR="00092865">
        <w:t>NSW</w:t>
      </w:r>
      <w:r w:rsidR="00127883">
        <w:t xml:space="preserve">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lastRenderedPageBreak/>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4" w:name="_Toc401138362"/>
      <w:r>
        <w:t>P</w:t>
      </w:r>
      <w:r w:rsidR="0020452B">
        <w:t>reliminaries</w:t>
      </w:r>
      <w:bookmarkEnd w:id="4"/>
    </w:p>
    <w:p w:rsidR="0020452B" w:rsidRPr="0020452B" w:rsidRDefault="0020452B" w:rsidP="0020452B">
      <w:pPr>
        <w:pStyle w:val="Heading2"/>
      </w:pPr>
      <w:bookmarkStart w:id="5" w:name="_Toc401138363"/>
      <w:r>
        <w:t>Focus on Integrated Planning and Reporting</w:t>
      </w:r>
      <w:bookmarkEnd w:id="5"/>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FE2452" w:rsidRDefault="00B157B7" w:rsidP="00B157B7">
      <w:pPr>
        <w:pStyle w:val="Heading2"/>
      </w:pPr>
      <w:bookmarkStart w:id="6" w:name="_Toc401138364"/>
      <w:r>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Pr="00B84AA8">
              <w:instrText xml:space="preserve"> FORMCHECKBOX </w:instrText>
            </w:r>
            <w:r w:rsidR="009F6784">
              <w:fldChar w:fldCharType="separate"/>
            </w:r>
            <w:r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5855F4" w:rsidP="00DA3D47">
            <w:pPr>
              <w:pStyle w:val="BodyText"/>
              <w:spacing w:before="60" w:after="60"/>
              <w:jc w:val="center"/>
            </w:pPr>
            <w:r>
              <w:fldChar w:fldCharType="begin">
                <w:ffData>
                  <w:name w:val=""/>
                  <w:enabled/>
                  <w:calcOnExit w:val="0"/>
                  <w:checkBox>
                    <w:sizeAuto/>
                    <w:default w:val="1"/>
                  </w:checkBox>
                </w:ffData>
              </w:fldChar>
            </w:r>
            <w:r>
              <w:instrText xml:space="preserve"> FORMCHECKBOX </w:instrText>
            </w:r>
            <w:r w:rsidR="009F6784">
              <w:fldChar w:fldCharType="separate"/>
            </w:r>
            <w:r>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9F6784">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5855F4" w:rsidP="00DA3D47">
            <w:pPr>
              <w:pStyle w:val="BodyText"/>
              <w:spacing w:before="60" w:after="60"/>
              <w:jc w:val="center"/>
            </w:pPr>
            <w:r>
              <w:fldChar w:fldCharType="begin">
                <w:ffData>
                  <w:name w:val="Check1"/>
                  <w:enabled/>
                  <w:calcOnExit w:val="0"/>
                  <w:checkBox>
                    <w:sizeAuto/>
                    <w:default w:val="1"/>
                  </w:checkBox>
                </w:ffData>
              </w:fldChar>
            </w:r>
            <w:bookmarkStart w:id="9" w:name="Check1"/>
            <w:r>
              <w:instrText xml:space="preserve"> FORMCHECKBOX </w:instrText>
            </w:r>
            <w:r w:rsidR="009F6784">
              <w:fldChar w:fldCharType="separate"/>
            </w:r>
            <w:r>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5855F4" w:rsidP="00DA3D47">
            <w:pPr>
              <w:pStyle w:val="BodyText"/>
              <w:spacing w:before="60" w:after="60"/>
              <w:jc w:val="center"/>
            </w:pPr>
            <w:r>
              <w:fldChar w:fldCharType="begin">
                <w:ffData>
                  <w:name w:val=""/>
                  <w:enabled/>
                  <w:calcOnExit w:val="0"/>
                  <w:checkBox>
                    <w:sizeAuto/>
                    <w:default w:val="1"/>
                  </w:checkBox>
                </w:ffData>
              </w:fldChar>
            </w:r>
            <w:r>
              <w:instrText xml:space="preserve"> FORMCHECKBOX </w:instrText>
            </w:r>
            <w:r w:rsidR="009F6784">
              <w:fldChar w:fldCharType="separate"/>
            </w:r>
            <w:r>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9F6784">
              <w:fldChar w:fldCharType="separate"/>
            </w:r>
            <w:r w:rsidRPr="00B84AA8">
              <w:fldChar w:fldCharType="end"/>
            </w:r>
            <w:bookmarkEnd w:id="10"/>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9F6784">
              <w:fldChar w:fldCharType="separate"/>
            </w:r>
            <w:r w:rsidRPr="00B84AA8">
              <w:fldChar w:fldCharType="end"/>
            </w:r>
            <w:bookmarkEnd w:id="11"/>
          </w:p>
        </w:tc>
      </w:tr>
    </w:tbl>
    <w:p w:rsidR="00835675" w:rsidRDefault="008B1F5A" w:rsidP="00835675">
      <w:pPr>
        <w:pStyle w:val="BodyText"/>
      </w:pPr>
      <w:r>
        <w:lastRenderedPageBreak/>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835675" w:rsidRDefault="00835675" w:rsidP="00ED1B38">
      <w:pPr>
        <w:pStyle w:val="BodyText"/>
        <w:pBdr>
          <w:top w:val="single" w:sz="4" w:space="1" w:color="auto"/>
          <w:left w:val="single" w:sz="4" w:space="1" w:color="auto"/>
          <w:bottom w:val="single" w:sz="4" w:space="1" w:color="auto"/>
          <w:right w:val="single" w:sz="4" w:space="1" w:color="auto"/>
        </w:pBdr>
        <w:spacing w:before="0" w:after="120"/>
      </w:pPr>
      <w:r>
        <w:t>Council is applying for a Special Rate Variation to address issues around long term financial sustainability, in particular the renewal of its roads, bridges, and stormwater infrastructure.</w:t>
      </w:r>
    </w:p>
    <w:p w:rsidR="00ED1B38" w:rsidRPr="00ED1B38" w:rsidRDefault="00ED1B38" w:rsidP="00ED1B3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szCs w:val="22"/>
        </w:rPr>
      </w:pPr>
      <w:r w:rsidRPr="00ED1B38">
        <w:rPr>
          <w:rFonts w:cs="Arial"/>
          <w:szCs w:val="22"/>
        </w:rPr>
        <w:t xml:space="preserve">Council is the custodian of </w:t>
      </w:r>
      <w:r>
        <w:rPr>
          <w:rFonts w:cs="Arial"/>
          <w:szCs w:val="22"/>
        </w:rPr>
        <w:t>approximately $45</w:t>
      </w:r>
      <w:r w:rsidRPr="00ED1B38">
        <w:rPr>
          <w:rFonts w:cs="Arial"/>
          <w:szCs w:val="22"/>
        </w:rPr>
        <w:t>0 million worth of public assets. Over the years, funding to maintain and renew this infrastructure has been reduced relative to the costs associated with the upkeep of the assets. This has resulted in a backlog of infrastructure renewals and has led to deterioration of assets, increased costs of maintenance and reduced levels of service.</w:t>
      </w:r>
    </w:p>
    <w:p w:rsidR="00ED1B38" w:rsidRPr="00ED1B38" w:rsidRDefault="00ED1B38" w:rsidP="00ED1B3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szCs w:val="22"/>
        </w:rPr>
      </w:pPr>
    </w:p>
    <w:p w:rsidR="00ED1B38" w:rsidRDefault="00ED1B38" w:rsidP="00835675">
      <w:pPr>
        <w:pStyle w:val="KCNORMAL"/>
        <w:pBdr>
          <w:top w:val="single" w:sz="4" w:space="1" w:color="auto"/>
          <w:left w:val="single" w:sz="4" w:space="1" w:color="auto"/>
          <w:bottom w:val="single" w:sz="4" w:space="1" w:color="auto"/>
          <w:right w:val="single" w:sz="4" w:space="1" w:color="auto"/>
        </w:pBdr>
        <w:rPr>
          <w:rFonts w:ascii="Book Antiqua" w:hAnsi="Book Antiqua"/>
          <w:sz w:val="22"/>
          <w:szCs w:val="22"/>
        </w:rPr>
      </w:pPr>
      <w:r w:rsidRPr="00ED1B38">
        <w:rPr>
          <w:rFonts w:ascii="Book Antiqua" w:hAnsi="Book Antiqua"/>
          <w:sz w:val="22"/>
          <w:szCs w:val="22"/>
        </w:rPr>
        <w:t>Based on the Asset Management Plans and Strategy adopted by Council in 2012, the current backlog is in the order of $4</w:t>
      </w:r>
      <w:r>
        <w:rPr>
          <w:rFonts w:ascii="Book Antiqua" w:hAnsi="Book Antiqua"/>
          <w:sz w:val="22"/>
          <w:szCs w:val="22"/>
        </w:rPr>
        <w:t>6</w:t>
      </w:r>
      <w:r w:rsidRPr="00ED1B38">
        <w:rPr>
          <w:rFonts w:ascii="Book Antiqua" w:hAnsi="Book Antiqua"/>
          <w:sz w:val="22"/>
          <w:szCs w:val="22"/>
        </w:rPr>
        <w:t xml:space="preserve"> million. Council’s Long Term Financial Plan </w:t>
      </w:r>
      <w:r>
        <w:rPr>
          <w:rFonts w:ascii="Book Antiqua" w:hAnsi="Book Antiqua"/>
          <w:sz w:val="22"/>
          <w:szCs w:val="22"/>
        </w:rPr>
        <w:t>at the time forecast this amount to</w:t>
      </w:r>
      <w:r w:rsidRPr="00ED1B38">
        <w:rPr>
          <w:rFonts w:ascii="Book Antiqua" w:hAnsi="Book Antiqua"/>
          <w:sz w:val="22"/>
          <w:szCs w:val="22"/>
        </w:rPr>
        <w:t xml:space="preserve"> grow by </w:t>
      </w:r>
      <w:r>
        <w:rPr>
          <w:rFonts w:ascii="Book Antiqua" w:hAnsi="Book Antiqua"/>
          <w:sz w:val="22"/>
          <w:szCs w:val="22"/>
        </w:rPr>
        <w:t xml:space="preserve">around </w:t>
      </w:r>
      <w:r w:rsidRPr="00ED1B38">
        <w:rPr>
          <w:rFonts w:ascii="Book Antiqua" w:hAnsi="Book Antiqua"/>
          <w:sz w:val="22"/>
          <w:szCs w:val="22"/>
        </w:rPr>
        <w:t xml:space="preserve">$4 million per year. These figures </w:t>
      </w:r>
      <w:r>
        <w:rPr>
          <w:rFonts w:ascii="Book Antiqua" w:hAnsi="Book Antiqua"/>
          <w:sz w:val="22"/>
          <w:szCs w:val="22"/>
        </w:rPr>
        <w:t>were then</w:t>
      </w:r>
      <w:r w:rsidRPr="00ED1B38">
        <w:rPr>
          <w:rFonts w:ascii="Book Antiqua" w:hAnsi="Book Antiqua"/>
          <w:sz w:val="22"/>
          <w:szCs w:val="22"/>
        </w:rPr>
        <w:t xml:space="preserve"> verified by independent reports from </w:t>
      </w:r>
      <w:proofErr w:type="spellStart"/>
      <w:r w:rsidRPr="00ED1B38">
        <w:rPr>
          <w:rFonts w:ascii="Book Antiqua" w:hAnsi="Book Antiqua"/>
          <w:sz w:val="22"/>
          <w:szCs w:val="22"/>
        </w:rPr>
        <w:t>TCorp</w:t>
      </w:r>
      <w:proofErr w:type="spellEnd"/>
      <w:r w:rsidRPr="00ED1B38">
        <w:rPr>
          <w:rFonts w:ascii="Book Antiqua" w:hAnsi="Book Antiqua"/>
          <w:sz w:val="22"/>
          <w:szCs w:val="22"/>
        </w:rPr>
        <w:t xml:space="preserve"> undertaken as part of the work of the NSW Independent Local Government Review Panel</w:t>
      </w:r>
      <w:r>
        <w:rPr>
          <w:rFonts w:ascii="Book Antiqua" w:hAnsi="Book Antiqua"/>
          <w:sz w:val="22"/>
          <w:szCs w:val="22"/>
        </w:rPr>
        <w:t>.</w:t>
      </w:r>
    </w:p>
    <w:p w:rsidR="00835675" w:rsidRPr="00835675" w:rsidRDefault="00ED1B38" w:rsidP="00835675">
      <w:pPr>
        <w:pStyle w:val="KCNORMAL"/>
        <w:pBdr>
          <w:top w:val="single" w:sz="4" w:space="1" w:color="auto"/>
          <w:left w:val="single" w:sz="4" w:space="1" w:color="auto"/>
          <w:bottom w:val="single" w:sz="4" w:space="1" w:color="auto"/>
          <w:right w:val="single" w:sz="4" w:space="1" w:color="auto"/>
        </w:pBdr>
        <w:rPr>
          <w:rFonts w:ascii="Book Antiqua" w:hAnsi="Book Antiqua"/>
          <w:sz w:val="22"/>
          <w:szCs w:val="22"/>
        </w:rPr>
      </w:pPr>
      <w:r>
        <w:rPr>
          <w:rFonts w:ascii="Book Antiqua" w:hAnsi="Book Antiqua"/>
          <w:sz w:val="22"/>
          <w:szCs w:val="22"/>
        </w:rPr>
        <w:t xml:space="preserve">Following the release of the </w:t>
      </w:r>
      <w:proofErr w:type="spellStart"/>
      <w:r>
        <w:rPr>
          <w:rFonts w:ascii="Book Antiqua" w:hAnsi="Book Antiqua"/>
          <w:sz w:val="22"/>
          <w:szCs w:val="22"/>
        </w:rPr>
        <w:t>TCorp</w:t>
      </w:r>
      <w:proofErr w:type="spellEnd"/>
      <w:r>
        <w:rPr>
          <w:rFonts w:ascii="Book Antiqua" w:hAnsi="Book Antiqua"/>
          <w:sz w:val="22"/>
          <w:szCs w:val="22"/>
        </w:rPr>
        <w:t xml:space="preserve"> reports, C</w:t>
      </w:r>
      <w:r w:rsidR="00835675" w:rsidRPr="00835675">
        <w:rPr>
          <w:rFonts w:ascii="Book Antiqua" w:hAnsi="Book Antiqua"/>
          <w:sz w:val="22"/>
          <w:szCs w:val="22"/>
        </w:rPr>
        <w:t>ouncil engaged an independent financial sustainability analysis to be undertaken by consultants Review Today in April 2014. This report concluded that, under continuation of existing policy, the Councils financial outlook is rated as financially unsustainable. While the Councils total debt ratio is comfortable, the outlook under continuation of existing policy conditions is for a burgeoning infrastructure backlog ratio and ongoing large annual operating deficits. The Review Today report recommended a series of long term financial sustainability indicators and targets for Council, including identification of a “Red Zone” for each indicator, where the resulting measure was considered unsuitable over the medium term.</w:t>
      </w:r>
    </w:p>
    <w:p w:rsidR="00835675" w:rsidRPr="00835675" w:rsidRDefault="00835675" w:rsidP="00ED1B38">
      <w:pPr>
        <w:pStyle w:val="KCNORMAL"/>
        <w:pBdr>
          <w:top w:val="single" w:sz="4" w:space="1" w:color="auto"/>
          <w:left w:val="single" w:sz="4" w:space="1" w:color="auto"/>
          <w:bottom w:val="single" w:sz="4" w:space="1" w:color="auto"/>
          <w:right w:val="single" w:sz="4" w:space="1" w:color="auto"/>
        </w:pBdr>
        <w:rPr>
          <w:rFonts w:ascii="Book Antiqua" w:hAnsi="Book Antiqua"/>
          <w:sz w:val="22"/>
          <w:szCs w:val="22"/>
        </w:rPr>
      </w:pPr>
      <w:r w:rsidRPr="00835675">
        <w:rPr>
          <w:rFonts w:ascii="Book Antiqua" w:hAnsi="Book Antiqua"/>
          <w:sz w:val="22"/>
          <w:szCs w:val="22"/>
        </w:rPr>
        <w:t>Following receipt of this report, Council undertook a review of its Financial Management Policy. The review of this policy led to a reduction in the minimum cash reserve levels previously included in the policy, as well as the inclusion of a series of financial sustainability indicators and targets, in line with those recommended in the Review Today analysis.</w:t>
      </w:r>
    </w:p>
    <w:p w:rsidR="00DC6F54" w:rsidRDefault="00835675" w:rsidP="00835675">
      <w:pPr>
        <w:pStyle w:val="BodyText"/>
        <w:pBdr>
          <w:top w:val="single" w:sz="4" w:space="1" w:color="auto"/>
          <w:left w:val="single" w:sz="4" w:space="1" w:color="auto"/>
          <w:bottom w:val="single" w:sz="4" w:space="1" w:color="auto"/>
          <w:right w:val="single" w:sz="4" w:space="1" w:color="auto"/>
        </w:pBdr>
        <w:rPr>
          <w:szCs w:val="22"/>
        </w:rPr>
      </w:pPr>
      <w:r w:rsidRPr="00835675">
        <w:rPr>
          <w:szCs w:val="22"/>
        </w:rPr>
        <w:t>In September 2014, the NSW Government released its response to the Independent Local Government Review Panel’s final report, with the NSW Government branding its reform package as “Fit for the Future: a modern system of local government”. In its reform package, the NSW Government have set additional criteria for the measurement of financial sustainability, or criteria and benchmarks for “Becoming Fit for the Future”. These generally align with the financial sustainability targets Council has adopted as part of its Financial Management Policy, but in some cases set higher targets.</w:t>
      </w:r>
    </w:p>
    <w:p w:rsidR="00ED1B38" w:rsidRDefault="00ED1B38" w:rsidP="00835675">
      <w:pPr>
        <w:pStyle w:val="BodyText"/>
        <w:pBdr>
          <w:top w:val="single" w:sz="4" w:space="1" w:color="auto"/>
          <w:left w:val="single" w:sz="4" w:space="1" w:color="auto"/>
          <w:bottom w:val="single" w:sz="4" w:space="1" w:color="auto"/>
          <w:right w:val="single" w:sz="4" w:space="1" w:color="auto"/>
        </w:pBdr>
        <w:rPr>
          <w:szCs w:val="22"/>
        </w:rPr>
      </w:pPr>
      <w:r>
        <w:rPr>
          <w:szCs w:val="22"/>
        </w:rPr>
        <w:t>Council then embarked on a process to review the Long Term Financial Plan in an attempt to address these issues, and to meet the financial sustainability targets set by Council and the NSW government.</w:t>
      </w:r>
    </w:p>
    <w:p w:rsidR="00ED1B38" w:rsidRPr="00835675" w:rsidRDefault="00ED1B38" w:rsidP="00835675">
      <w:pPr>
        <w:pStyle w:val="BodyText"/>
        <w:pBdr>
          <w:top w:val="single" w:sz="4" w:space="1" w:color="auto"/>
          <w:left w:val="single" w:sz="4" w:space="1" w:color="auto"/>
          <w:bottom w:val="single" w:sz="4" w:space="1" w:color="auto"/>
          <w:right w:val="single" w:sz="4" w:space="1" w:color="auto"/>
        </w:pBdr>
        <w:rPr>
          <w:szCs w:val="22"/>
        </w:rPr>
      </w:pPr>
      <w:r>
        <w:rPr>
          <w:szCs w:val="22"/>
        </w:rPr>
        <w:lastRenderedPageBreak/>
        <w:t xml:space="preserve">After extensive consultation with our community, Council adopted a revised Long Term Financial Plan in December 2014. This LTFP included above rate pegging increases that require a Special Rate Variation to be issued by </w:t>
      </w:r>
      <w:proofErr w:type="spellStart"/>
      <w:r>
        <w:rPr>
          <w:szCs w:val="22"/>
        </w:rPr>
        <w:t>IPart</w:t>
      </w:r>
      <w:proofErr w:type="spellEnd"/>
      <w:r>
        <w:rPr>
          <w:szCs w:val="22"/>
        </w:rPr>
        <w:t xml:space="preserve"> for them to be implemented. Following the adoption of the LTFP Council undertook a review of its Operation and Delivery Plan to reflect the adopted LTFP and ensure its IP&amp;R documentation was up to date and current to allow submission of an application to </w:t>
      </w:r>
      <w:proofErr w:type="spellStart"/>
      <w:r>
        <w:rPr>
          <w:szCs w:val="22"/>
        </w:rPr>
        <w:t>IPart</w:t>
      </w:r>
      <w:proofErr w:type="spellEnd"/>
      <w:r>
        <w:rPr>
          <w:szCs w:val="22"/>
        </w:rPr>
        <w:t xml:space="preserve"> for the Special Rate Variation.</w:t>
      </w:r>
    </w:p>
    <w:p w:rsidR="007F05F6" w:rsidRDefault="007F05F6" w:rsidP="007F05F6">
      <w:pPr>
        <w:pStyle w:val="Heading2"/>
        <w:spacing w:after="240"/>
      </w:pPr>
      <w:bookmarkStart w:id="12" w:name="_Toc304287283"/>
      <w:bookmarkStart w:id="13" w:name="_Toc366160409"/>
      <w:bookmarkStart w:id="14" w:name="_Toc401138365"/>
      <w:r>
        <w:t xml:space="preserve">Capital </w:t>
      </w:r>
      <w:r w:rsidRPr="005E5B1F">
        <w:t>e</w:t>
      </w:r>
      <w:r>
        <w:t>xpenditure</w:t>
      </w:r>
      <w:bookmarkEnd w:id="12"/>
      <w:r>
        <w:t xml:space="preserve"> review</w:t>
      </w:r>
      <w:bookmarkEnd w:id="13"/>
      <w:bookmarkEnd w:id="14"/>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9F6784">
              <w:rPr>
                <w:rFonts w:cs="Arial"/>
              </w:rPr>
            </w:r>
            <w:r w:rsidR="009F6784">
              <w:rPr>
                <w:rFonts w:cs="Arial"/>
              </w:rPr>
              <w:fldChar w:fldCharType="separate"/>
            </w:r>
            <w:r>
              <w:rPr>
                <w:rFonts w:cs="Arial"/>
              </w:rPr>
              <w:fldChar w:fldCharType="end"/>
            </w:r>
          </w:p>
        </w:tc>
        <w:tc>
          <w:tcPr>
            <w:tcW w:w="816" w:type="dxa"/>
          </w:tcPr>
          <w:p w:rsidR="007F05F6" w:rsidRDefault="007F05F6" w:rsidP="00835675">
            <w:pPr>
              <w:pStyle w:val="TableTextEntries"/>
            </w:pPr>
            <w:r>
              <w:rPr>
                <w:rFonts w:cs="Arial"/>
              </w:rPr>
              <w:t xml:space="preserve">No </w:t>
            </w:r>
            <w:r w:rsidR="00835675">
              <w:rPr>
                <w:rFonts w:cs="Arial"/>
              </w:rPr>
              <w:fldChar w:fldCharType="begin">
                <w:ffData>
                  <w:name w:val="Check7"/>
                  <w:enabled/>
                  <w:calcOnExit w:val="0"/>
                  <w:checkBox>
                    <w:sizeAuto/>
                    <w:default w:val="1"/>
                  </w:checkBox>
                </w:ffData>
              </w:fldChar>
            </w:r>
            <w:bookmarkStart w:id="15" w:name="Check7"/>
            <w:r w:rsidR="00835675">
              <w:rPr>
                <w:rFonts w:cs="Arial"/>
              </w:rPr>
              <w:instrText xml:space="preserve"> FORMCHECKBOX </w:instrText>
            </w:r>
            <w:r w:rsidR="009F6784">
              <w:rPr>
                <w:rFonts w:cs="Arial"/>
              </w:rPr>
            </w:r>
            <w:r w:rsidR="009F6784">
              <w:rPr>
                <w:rFonts w:cs="Arial"/>
              </w:rPr>
              <w:fldChar w:fldCharType="separate"/>
            </w:r>
            <w:r w:rsidR="00835675">
              <w:rPr>
                <w:rFonts w:cs="Arial"/>
              </w:rPr>
              <w:fldChar w:fldCharType="end"/>
            </w:r>
            <w:bookmarkEnd w:id="15"/>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9F6784">
              <w:rPr>
                <w:rFonts w:cs="Arial"/>
              </w:rPr>
            </w:r>
            <w:r w:rsidR="009F6784">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9F6784">
              <w:rPr>
                <w:rFonts w:cs="Arial"/>
              </w:rPr>
            </w:r>
            <w:r w:rsidR="009F6784">
              <w:rPr>
                <w:rFonts w:cs="Arial"/>
              </w:rPr>
              <w:fldChar w:fldCharType="separate"/>
            </w:r>
            <w:r>
              <w:rPr>
                <w:rFonts w:cs="Arial"/>
              </w:rPr>
              <w:fldChar w:fldCharType="end"/>
            </w:r>
          </w:p>
        </w:tc>
      </w:tr>
    </w:tbl>
    <w:p w:rsidR="000F359C" w:rsidRDefault="00E3295D" w:rsidP="006607B9">
      <w:pPr>
        <w:pStyle w:val="Heading1"/>
      </w:pPr>
      <w:bookmarkStart w:id="16" w:name="_Toc401138366"/>
      <w:r>
        <w:t xml:space="preserve">Assessment Criterion 1: </w:t>
      </w:r>
      <w:r w:rsidR="000F359C">
        <w:t>Need for the variation</w:t>
      </w:r>
      <w:bookmarkEnd w:id="16"/>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lastRenderedPageBreak/>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w:t>
      </w:r>
      <w:proofErr w:type="spellStart"/>
      <w:r w:rsidRPr="00266497">
        <w:t>TCorp</w:t>
      </w:r>
      <w:proofErr w:type="spellEnd"/>
      <w:r w:rsidRPr="00266497">
        <w:t>).</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7" w:name="_Toc366160406"/>
      <w:bookmarkStart w:id="18" w:name="_Toc401138367"/>
      <w:r>
        <w:t>Case for special variation</w:t>
      </w:r>
      <w:r w:rsidR="0057581B">
        <w:t xml:space="preserve"> - </w:t>
      </w:r>
      <w:r w:rsidR="00FE2452" w:rsidRPr="00FE2452">
        <w:t>c</w:t>
      </w:r>
      <w:r w:rsidR="00D60EA5" w:rsidRPr="00FE2452">
        <w:t>ommunity need</w:t>
      </w:r>
      <w:bookmarkEnd w:id="17"/>
      <w:bookmarkEnd w:id="18"/>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C36D67" w:rsidRDefault="00C36D67" w:rsidP="00DA06D8">
      <w:pPr>
        <w:pStyle w:val="BodyText"/>
        <w:pBdr>
          <w:top w:val="single" w:sz="4" w:space="1" w:color="auto"/>
          <w:left w:val="single" w:sz="4" w:space="4" w:color="auto"/>
          <w:bottom w:val="single" w:sz="4" w:space="1" w:color="auto"/>
          <w:right w:val="single" w:sz="4" w:space="4" w:color="auto"/>
        </w:pBdr>
      </w:pPr>
      <w:r>
        <w:t>The current Community Strategic Plan identified Improving the transportation and road network as one of Councils major issues and challenges (Section 3.3) and improving the quality of infrastructure to our residents as one of the major priorities (section 4). In the action tables a series of strategies and targets around this priority area were identified, including working towards an increased funding base, responsible asset management, continual review of construction and maintenance practices and the upgrading of bridges to improve service levels and lower annual maintenance costs.</w:t>
      </w:r>
    </w:p>
    <w:p w:rsidR="00C36D67" w:rsidRDefault="00C36D67" w:rsidP="00DA06D8">
      <w:pPr>
        <w:pStyle w:val="BodyText"/>
        <w:pBdr>
          <w:top w:val="single" w:sz="4" w:space="1" w:color="auto"/>
          <w:left w:val="single" w:sz="4" w:space="4" w:color="auto"/>
          <w:bottom w:val="single" w:sz="4" w:space="1" w:color="auto"/>
          <w:right w:val="single" w:sz="4" w:space="4" w:color="auto"/>
        </w:pBdr>
      </w:pPr>
    </w:p>
    <w:p w:rsidR="00C36D67" w:rsidRDefault="00C36D67" w:rsidP="00DA06D8">
      <w:pPr>
        <w:pStyle w:val="BodyText"/>
        <w:pBdr>
          <w:top w:val="single" w:sz="4" w:space="1" w:color="auto"/>
          <w:left w:val="single" w:sz="4" w:space="4" w:color="auto"/>
          <w:bottom w:val="single" w:sz="4" w:space="1" w:color="auto"/>
          <w:right w:val="single" w:sz="4" w:space="4" w:color="auto"/>
        </w:pBdr>
      </w:pPr>
      <w:r>
        <w:lastRenderedPageBreak/>
        <w:t xml:space="preserve">A series of community surveys have been undertaken with the consistent message that this is still the major priority for the community, with a majority of residents prepared to pay more to see things improve in these areas. </w:t>
      </w:r>
    </w:p>
    <w:p w:rsidR="00C36D67" w:rsidRDefault="00C36D67" w:rsidP="00DA06D8">
      <w:pPr>
        <w:pStyle w:val="BodyText"/>
        <w:pBdr>
          <w:top w:val="single" w:sz="4" w:space="1" w:color="auto"/>
          <w:left w:val="single" w:sz="4" w:space="4" w:color="auto"/>
          <w:bottom w:val="single" w:sz="4" w:space="1" w:color="auto"/>
          <w:right w:val="single" w:sz="4" w:space="4" w:color="auto"/>
        </w:pBdr>
      </w:pPr>
      <w:r>
        <w:t>The asset management plans and strategy completed in 2012 reinforced the issues around the renewals gap and backlog of capital works required in these areas, reinforcing the message that the existing financial practices were unsustainable in the medium and long term. This was particularly evident in the areas of transport and stormwater.</w:t>
      </w:r>
    </w:p>
    <w:p w:rsidR="00C36D67" w:rsidRDefault="00C36D67" w:rsidP="00DA06D8">
      <w:pPr>
        <w:pStyle w:val="BodyText"/>
        <w:pBdr>
          <w:top w:val="single" w:sz="4" w:space="1" w:color="auto"/>
          <w:left w:val="single" w:sz="4" w:space="4" w:color="auto"/>
          <w:bottom w:val="single" w:sz="4" w:space="1" w:color="auto"/>
          <w:right w:val="single" w:sz="4" w:space="4" w:color="auto"/>
        </w:pBdr>
      </w:pPr>
      <w:r>
        <w:t xml:space="preserve">The financial sustainability assessments prepared by </w:t>
      </w:r>
      <w:proofErr w:type="spellStart"/>
      <w:r>
        <w:t>TCorp</w:t>
      </w:r>
      <w:proofErr w:type="spellEnd"/>
      <w:r>
        <w:t xml:space="preserve"> and Review Today also served to reinforce these issues. Council then commenced a process to review its fi</w:t>
      </w:r>
      <w:r w:rsidR="00F51805">
        <w:t>nancial management practices and its long term financial plan.</w:t>
      </w:r>
    </w:p>
    <w:p w:rsidR="003F34EC" w:rsidRPr="003F34EC" w:rsidRDefault="003F34EC" w:rsidP="003F34EC">
      <w:pPr>
        <w:pStyle w:val="BodyText"/>
        <w:pBdr>
          <w:top w:val="single" w:sz="4" w:space="1" w:color="auto"/>
          <w:left w:val="single" w:sz="4" w:space="4" w:color="auto"/>
          <w:bottom w:val="single" w:sz="4" w:space="1" w:color="auto"/>
          <w:right w:val="single" w:sz="4" w:space="4" w:color="auto"/>
        </w:pBdr>
      </w:pPr>
      <w:r w:rsidRPr="003F34EC">
        <w:t>As part of the review of the LTFP, Council developed a series of scenarios based on the levels of service that could be achieved under various revenue and expenditure options. As part of the process of preparing the draft LTFP for consideration by the broader community, possible reductions in levels of services and expenditure across all functions of Council were identified and included within the strategies to improve the sustainability of Council. It was however evident from this process that increases to own source revenue were also necessary to achieve a satisfactory position.</w:t>
      </w:r>
    </w:p>
    <w:p w:rsidR="003F34EC" w:rsidRPr="003F34EC" w:rsidRDefault="003F34EC" w:rsidP="003F34EC">
      <w:pPr>
        <w:pStyle w:val="BodyText"/>
        <w:pBdr>
          <w:top w:val="single" w:sz="4" w:space="1" w:color="auto"/>
          <w:left w:val="single" w:sz="4" w:space="4" w:color="auto"/>
          <w:bottom w:val="single" w:sz="4" w:space="1" w:color="auto"/>
          <w:right w:val="single" w:sz="4" w:space="4" w:color="auto"/>
        </w:pBdr>
      </w:pPr>
      <w:r w:rsidRPr="003F34EC">
        <w:t xml:space="preserve">The scenario eventually adopted utilises increased user charges in other areas to try to bring these functions to as close as possible to a </w:t>
      </w:r>
      <w:proofErr w:type="spellStart"/>
      <w:r w:rsidRPr="003F34EC">
        <w:t>self funding</w:t>
      </w:r>
      <w:proofErr w:type="spellEnd"/>
      <w:r w:rsidRPr="003F34EC">
        <w:t xml:space="preserve"> user pays basis. This was aimed at avoiding any cross subsidies or additional strain on the general revenue stream obtained through ordinary rates.</w:t>
      </w:r>
    </w:p>
    <w:p w:rsidR="00C94EEF" w:rsidRDefault="00F51805" w:rsidP="00DA06D8">
      <w:pPr>
        <w:pStyle w:val="BodyText"/>
        <w:pBdr>
          <w:top w:val="single" w:sz="4" w:space="1" w:color="auto"/>
          <w:left w:val="single" w:sz="4" w:space="4" w:color="auto"/>
          <w:bottom w:val="single" w:sz="4" w:space="1" w:color="auto"/>
          <w:right w:val="single" w:sz="4" w:space="4" w:color="auto"/>
        </w:pBdr>
      </w:pPr>
      <w:r>
        <w:t xml:space="preserve">The adopted scenario will see the annual renewals gap </w:t>
      </w:r>
      <w:proofErr w:type="gramStart"/>
      <w:r>
        <w:t>closed,</w:t>
      </w:r>
      <w:proofErr w:type="gramEnd"/>
      <w:r>
        <w:t xml:space="preserve"> and a gradual reduction in the infrastructure backlog over time. This is to be achieved through an increased level of own source revenue, additional borrowings, and use of the existing cash reserves to leverage additional external funding wherever possible, as well as through asset disposals, reduced service levels in some areas, and other efficiency improvements designed to reduce costs and/or increase productivity.</w:t>
      </w:r>
    </w:p>
    <w:p w:rsidR="00AB1141" w:rsidRDefault="00AB1141">
      <w:pPr>
        <w:rPr>
          <w:rFonts w:ascii="Arial" w:hAnsi="Arial"/>
          <w:b/>
          <w:color w:val="00408A"/>
          <w:kern w:val="28"/>
          <w:sz w:val="24"/>
        </w:rPr>
      </w:pPr>
      <w:bookmarkStart w:id="19" w:name="_Toc366160408"/>
      <w:r>
        <w:br w:type="page"/>
      </w:r>
    </w:p>
    <w:p w:rsidR="00D60EA5" w:rsidRDefault="003B7983" w:rsidP="00D60EA5">
      <w:pPr>
        <w:pStyle w:val="Heading2"/>
      </w:pPr>
      <w:bookmarkStart w:id="20" w:name="_Toc401138368"/>
      <w:r>
        <w:lastRenderedPageBreak/>
        <w:t>F</w:t>
      </w:r>
      <w:r w:rsidR="00D60EA5">
        <w:t>inancial sustainability</w:t>
      </w:r>
      <w:bookmarkEnd w:id="19"/>
      <w:bookmarkEnd w:id="20"/>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t>You should e</w:t>
      </w:r>
      <w:r w:rsidR="00576F7F">
        <w:t>xplain below</w:t>
      </w:r>
      <w:r w:rsidR="00F93834" w:rsidRPr="00F93834">
        <w:t>:</w:t>
      </w:r>
    </w:p>
    <w:p w:rsidR="00330E5C" w:rsidRPr="008B1F5A" w:rsidRDefault="00330E5C" w:rsidP="0071760B">
      <w:pPr>
        <w:pStyle w:val="ListBullet"/>
      </w:pPr>
      <w:r>
        <w:t>T</w:t>
      </w:r>
      <w:r w:rsidR="005F7648" w:rsidRPr="00F93834">
        <w:t xml:space="preserve">he council’s </w:t>
      </w:r>
      <w:r w:rsidR="00D60EA5" w:rsidRPr="00F93834">
        <w:t xml:space="preserve">understanding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t>A</w:t>
      </w:r>
      <w:r w:rsidR="00D60EA5" w:rsidRPr="008B1F5A">
        <w:t>ny external assessment</w:t>
      </w:r>
      <w:r w:rsidR="00330E5C" w:rsidRPr="008B1F5A">
        <w:t xml:space="preserve"> of the council’s financial sustainability</w:t>
      </w:r>
      <w:r w:rsidR="00D60EA5" w:rsidRPr="008B1F5A">
        <w:t>, eg</w:t>
      </w:r>
      <w:r w:rsidR="00B84AA8" w:rsidRPr="008B1F5A">
        <w:t>,</w:t>
      </w:r>
      <w:r w:rsidR="00A452DF" w:rsidRPr="008B1F5A">
        <w:t xml:space="preserve"> by auditors or </w:t>
      </w:r>
      <w:proofErr w:type="spellStart"/>
      <w:r w:rsidR="00A452DF" w:rsidRPr="008B1F5A">
        <w:t>TCorp</w:t>
      </w:r>
      <w:proofErr w:type="spellEnd"/>
      <w:r w:rsidRPr="008B1F5A">
        <w:t xml:space="preserve">.  Indicate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D60EA5" w:rsidRDefault="00B22855" w:rsidP="00DA06D8">
      <w:pPr>
        <w:pStyle w:val="BodyText"/>
        <w:pBdr>
          <w:top w:val="single" w:sz="4" w:space="1" w:color="auto"/>
          <w:left w:val="single" w:sz="4" w:space="4" w:color="auto"/>
          <w:bottom w:val="single" w:sz="4" w:space="1" w:color="auto"/>
          <w:right w:val="single" w:sz="4" w:space="4" w:color="auto"/>
        </w:pBdr>
      </w:pPr>
      <w:r>
        <w:t xml:space="preserve">As mentioned in response to Item 2.2, Councils financial sustainability was assessed by </w:t>
      </w:r>
      <w:proofErr w:type="spellStart"/>
      <w:r>
        <w:t>TCorp</w:t>
      </w:r>
      <w:proofErr w:type="spellEnd"/>
      <w:r>
        <w:t>, and then again by Review Today, both of which concluded that Council was not financially sustainable with a continuation of current practice. The purpose of the Special Rate Variation is to improve the financial sustainability of Council, and to improve the projected performance when measured against the identified financial sustainability indicators. The main area of focus is around the renewal of existing infrastructure, and reducing the infrastructure backlog. The areas where this is of most concern are the sealed road network, the timber bridges, and the urban stormwater systems.</w:t>
      </w:r>
    </w:p>
    <w:p w:rsidR="00B22855" w:rsidRDefault="00B22855" w:rsidP="00DA06D8">
      <w:pPr>
        <w:pStyle w:val="BodyText"/>
        <w:pBdr>
          <w:top w:val="single" w:sz="4" w:space="1" w:color="auto"/>
          <w:left w:val="single" w:sz="4" w:space="4" w:color="auto"/>
          <w:bottom w:val="single" w:sz="4" w:space="1" w:color="auto"/>
          <w:right w:val="single" w:sz="4" w:space="4" w:color="auto"/>
        </w:pBdr>
      </w:pPr>
      <w:r>
        <w:t xml:space="preserve">As part of the process around the review of the LTFP a scenario was included where Council was able to meet the financial sustainability indicators adopted in its Financial Management Policy by the end of the 20 year planning horizon. However this scenario required an above rate pegging increase </w:t>
      </w:r>
      <w:r w:rsidR="006B30FD">
        <w:t>of 46%</w:t>
      </w:r>
      <w:r>
        <w:t xml:space="preserve"> over the first seven years of the plan. Council reached a compromised position after consultation with the broader community, with a reduced rate increase </w:t>
      </w:r>
      <w:r w:rsidR="006B30FD">
        <w:t xml:space="preserve">of 22% above rate pegging introduced </w:t>
      </w:r>
      <w:r>
        <w:t>over the first five years</w:t>
      </w:r>
      <w:r w:rsidR="00F51805">
        <w:t xml:space="preserve">. This still allows </w:t>
      </w:r>
      <w:r>
        <w:t xml:space="preserve">the financial sustainability targets </w:t>
      </w:r>
      <w:r w:rsidR="00F51805">
        <w:t xml:space="preserve">to be </w:t>
      </w:r>
      <w:r>
        <w:t xml:space="preserve">met within the 20 year planning horizon, </w:t>
      </w:r>
      <w:r w:rsidR="00F51805">
        <w:t>with the exception of the operating balance ratio, however this ratio is significantly improved and trending towards the target range.</w:t>
      </w:r>
      <w:r>
        <w:t xml:space="preserve"> This will allow Council to achieve financial sustainability over the longer term. </w:t>
      </w:r>
    </w:p>
    <w:p w:rsidR="00576F7F" w:rsidRDefault="00576F7F" w:rsidP="00576F7F">
      <w:pPr>
        <w:pStyle w:val="Heading2"/>
      </w:pPr>
      <w:bookmarkStart w:id="21" w:name="_Toc401138369"/>
      <w:r>
        <w:t>Financial indicators</w:t>
      </w:r>
      <w:bookmarkEnd w:id="21"/>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w:t>
      </w:r>
      <w:r w:rsidR="003B7983">
        <w:lastRenderedPageBreak/>
        <w:t>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excluding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F43F6F" w:rsidRDefault="00B22855" w:rsidP="00DA06D8">
      <w:pPr>
        <w:pStyle w:val="BodyText"/>
        <w:pBdr>
          <w:top w:val="single" w:sz="4" w:space="1" w:color="auto"/>
          <w:left w:val="single" w:sz="4" w:space="4" w:color="auto"/>
          <w:bottom w:val="single" w:sz="4" w:space="1" w:color="auto"/>
          <w:right w:val="single" w:sz="4" w:space="4" w:color="auto"/>
        </w:pBdr>
      </w:pPr>
      <w:r>
        <w:t xml:space="preserve">Council has adopted a series of financial indicators </w:t>
      </w:r>
      <w:r w:rsidR="00F43F6F">
        <w:t xml:space="preserve">and target values </w:t>
      </w:r>
      <w:r>
        <w:t xml:space="preserve">as part of </w:t>
      </w:r>
      <w:r w:rsidR="00F43F6F">
        <w:t>its Financial Management Policy, including some consistent with those listed above. The outputs from the LTFP model in relation to these indicators is summarised in the table below for the General Fund Only, both with the Special Rate Variation and without over the first ten years of the 20 year LTFP.</w:t>
      </w:r>
    </w:p>
    <w:p w:rsidR="00F43F6F" w:rsidRDefault="00F43F6F">
      <w:pPr>
        <w:rPr>
          <w:szCs w:val="21"/>
        </w:rPr>
      </w:pPr>
      <w:r>
        <w:br w:type="page"/>
      </w:r>
    </w:p>
    <w:p w:rsidR="00F43F6F" w:rsidRDefault="00F43F6F" w:rsidP="00DA06D8">
      <w:pPr>
        <w:pStyle w:val="BodyText"/>
        <w:pBdr>
          <w:top w:val="single" w:sz="4" w:space="1" w:color="auto"/>
          <w:left w:val="single" w:sz="4" w:space="4" w:color="auto"/>
          <w:bottom w:val="single" w:sz="4" w:space="1" w:color="auto"/>
          <w:right w:val="single" w:sz="4" w:space="4" w:color="auto"/>
        </w:pBdr>
      </w:pPr>
    </w:p>
    <w:tbl>
      <w:tblPr>
        <w:tblW w:w="9700" w:type="dxa"/>
        <w:jc w:val="center"/>
        <w:tblInd w:w="93" w:type="dxa"/>
        <w:tblLook w:val="04A0" w:firstRow="1" w:lastRow="0" w:firstColumn="1" w:lastColumn="0" w:noHBand="0" w:noVBand="1"/>
      </w:tblPr>
      <w:tblGrid>
        <w:gridCol w:w="4420"/>
        <w:gridCol w:w="1404"/>
        <w:gridCol w:w="1280"/>
        <w:gridCol w:w="1360"/>
        <w:gridCol w:w="1236"/>
      </w:tblGrid>
      <w:tr w:rsidR="00F43F6F" w:rsidRPr="00F43F6F" w:rsidTr="00F43F6F">
        <w:trPr>
          <w:cantSplit/>
          <w:trHeight w:val="2880"/>
          <w:jc w:val="center"/>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b/>
                <w:bCs/>
                <w:color w:val="000000"/>
                <w:sz w:val="20"/>
                <w:szCs w:val="20"/>
              </w:rPr>
            </w:pPr>
            <w:r w:rsidRPr="00F43F6F">
              <w:rPr>
                <w:rFonts w:ascii="Comic Sans MS" w:hAnsi="Comic Sans MS"/>
                <w:b/>
                <w:bCs/>
                <w:color w:val="000000"/>
                <w:sz w:val="20"/>
                <w:szCs w:val="20"/>
              </w:rPr>
              <w:t>Key Performance Indicator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b/>
                <w:bCs/>
                <w:color w:val="000000"/>
                <w:sz w:val="20"/>
                <w:szCs w:val="20"/>
              </w:rPr>
            </w:pPr>
            <w:r w:rsidRPr="00F43F6F">
              <w:rPr>
                <w:rFonts w:ascii="Comic Sans MS" w:hAnsi="Comic Sans MS"/>
                <w:b/>
                <w:bCs/>
                <w:color w:val="000000"/>
                <w:sz w:val="20"/>
                <w:szCs w:val="20"/>
              </w:rPr>
              <w:t>Target in Councils Financial Management Policy</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b/>
                <w:bCs/>
                <w:color w:val="000000"/>
                <w:szCs w:val="22"/>
              </w:rPr>
            </w:pPr>
            <w:r w:rsidRPr="00F43F6F">
              <w:rPr>
                <w:rFonts w:ascii="Comic Sans MS" w:hAnsi="Comic Sans MS"/>
                <w:b/>
                <w:bCs/>
                <w:color w:val="000000"/>
                <w:szCs w:val="22"/>
              </w:rPr>
              <w:t>Projected 2015 Result (General Fund Only)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b/>
                <w:bCs/>
                <w:color w:val="000000"/>
                <w:szCs w:val="22"/>
              </w:rPr>
            </w:pPr>
            <w:r w:rsidRPr="00F43F6F">
              <w:rPr>
                <w:rFonts w:ascii="Comic Sans MS" w:hAnsi="Comic Sans MS"/>
                <w:b/>
                <w:bCs/>
                <w:color w:val="000000"/>
                <w:szCs w:val="22"/>
              </w:rPr>
              <w:t>Projected 2025 Result With SRV (General Fund Only)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b/>
                <w:bCs/>
                <w:color w:val="000000"/>
                <w:szCs w:val="22"/>
              </w:rPr>
            </w:pPr>
            <w:r w:rsidRPr="00F43F6F">
              <w:rPr>
                <w:rFonts w:ascii="Comic Sans MS" w:hAnsi="Comic Sans MS"/>
                <w:b/>
                <w:bCs/>
                <w:color w:val="000000"/>
                <w:szCs w:val="22"/>
              </w:rPr>
              <w:t>Projected 2025 Result Without SRV (General Fund Only)</w:t>
            </w:r>
          </w:p>
        </w:tc>
      </w:tr>
      <w:tr w:rsidR="00F43F6F" w:rsidRPr="00F43F6F" w:rsidTr="00F43F6F">
        <w:trPr>
          <w:cantSplit/>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Total Debt Ratio = total debt as a % of operating revenue</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&lt;50%</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1.91%</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0%</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0%</w:t>
            </w:r>
          </w:p>
        </w:tc>
      </w:tr>
      <w:tr w:rsidR="00F43F6F" w:rsidRPr="00F43F6F" w:rsidTr="00F43F6F">
        <w:trPr>
          <w:cantSplit/>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Debt Service Ratio = net debt service cost as % of operating revenue</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&lt;10%</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0.06%</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6.07%</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0.11%</w:t>
            </w:r>
          </w:p>
        </w:tc>
      </w:tr>
      <w:tr w:rsidR="00F43F6F" w:rsidRPr="00F43F6F" w:rsidTr="00F43F6F">
        <w:trPr>
          <w:cantSplit/>
          <w:trHeight w:val="9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Infrastructure Backlog Ratio = infrastructure backlog as % of total replacement value of infrastructure assets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&lt;5%</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10.21%</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4.39%</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12%</w:t>
            </w:r>
          </w:p>
        </w:tc>
      </w:tr>
      <w:tr w:rsidR="00F43F6F" w:rsidRPr="00F43F6F" w:rsidTr="00F43F6F">
        <w:trPr>
          <w:cantSplit/>
          <w:trHeight w:val="9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Annual Renewals Gap = required annual renewals capex less actual annual renewals capex as a % of required annual renewals capex</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&lt;10%pa</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-44.71%</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-19.27%</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34.64%</w:t>
            </w:r>
          </w:p>
        </w:tc>
      </w:tr>
      <w:tr w:rsidR="00F43F6F" w:rsidRPr="00F43F6F" w:rsidTr="00F43F6F">
        <w:trPr>
          <w:cantSplit/>
          <w:trHeight w:val="9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Operating Balance Ratio = net operating result as % of operating revenue (both excluding capital items)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0 to 2½%</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-30.60%</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-19.26%</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-33.04%</w:t>
            </w:r>
          </w:p>
        </w:tc>
      </w:tr>
      <w:tr w:rsidR="00F43F6F" w:rsidRPr="00F43F6F" w:rsidTr="00F43F6F">
        <w:trPr>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 xml:space="preserve">Unrestricted Current Ratio (additional indicator from </w:t>
            </w:r>
            <w:proofErr w:type="spellStart"/>
            <w:r w:rsidRPr="00F43F6F">
              <w:rPr>
                <w:rFonts w:ascii="Comic Sans MS" w:hAnsi="Comic Sans MS"/>
                <w:color w:val="000000"/>
                <w:sz w:val="20"/>
                <w:szCs w:val="20"/>
              </w:rPr>
              <w:t>Ipart</w:t>
            </w:r>
            <w:proofErr w:type="spellEnd"/>
            <w:r w:rsidRPr="00F43F6F">
              <w:rPr>
                <w:rFonts w:ascii="Comic Sans MS" w:hAnsi="Comic Sans MS"/>
                <w:color w:val="000000"/>
                <w:sz w:val="20"/>
                <w:szCs w:val="20"/>
              </w:rPr>
              <w:t xml:space="preserve"> forms)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 xml:space="preserve">N/A </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4.41</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2.32</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4.75</w:t>
            </w:r>
          </w:p>
        </w:tc>
      </w:tr>
      <w:tr w:rsidR="00F43F6F" w:rsidRPr="00F43F6F" w:rsidTr="00F43F6F">
        <w:trPr>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 xml:space="preserve">Rates and Annual Charges Ratio (additional indicator from </w:t>
            </w:r>
            <w:proofErr w:type="spellStart"/>
            <w:r w:rsidRPr="00F43F6F">
              <w:rPr>
                <w:rFonts w:ascii="Comic Sans MS" w:hAnsi="Comic Sans MS"/>
                <w:color w:val="000000"/>
                <w:sz w:val="20"/>
                <w:szCs w:val="20"/>
              </w:rPr>
              <w:t>Ipart</w:t>
            </w:r>
            <w:proofErr w:type="spellEnd"/>
            <w:r w:rsidRPr="00F43F6F">
              <w:rPr>
                <w:rFonts w:ascii="Comic Sans MS" w:hAnsi="Comic Sans MS"/>
                <w:color w:val="000000"/>
                <w:sz w:val="20"/>
                <w:szCs w:val="20"/>
              </w:rPr>
              <w:t xml:space="preserve"> forms)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 xml:space="preserve">N/A </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26%</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30%</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27%</w:t>
            </w:r>
          </w:p>
        </w:tc>
      </w:tr>
      <w:tr w:rsidR="00F43F6F" w:rsidRPr="00F43F6F" w:rsidTr="00F43F6F">
        <w:trPr>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 xml:space="preserve">Broad Liabilities Ratio (additional indicator from </w:t>
            </w:r>
            <w:proofErr w:type="spellStart"/>
            <w:r w:rsidRPr="00F43F6F">
              <w:rPr>
                <w:rFonts w:ascii="Comic Sans MS" w:hAnsi="Comic Sans MS"/>
                <w:color w:val="000000"/>
                <w:sz w:val="20"/>
                <w:szCs w:val="20"/>
              </w:rPr>
              <w:t>Ipart</w:t>
            </w:r>
            <w:proofErr w:type="spellEnd"/>
            <w:r w:rsidRPr="00F43F6F">
              <w:rPr>
                <w:rFonts w:ascii="Comic Sans MS" w:hAnsi="Comic Sans MS"/>
                <w:color w:val="000000"/>
                <w:sz w:val="20"/>
                <w:szCs w:val="20"/>
              </w:rPr>
              <w:t xml:space="preserve"> forms)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 xml:space="preserve">N/A </w:t>
            </w:r>
          </w:p>
        </w:tc>
        <w:tc>
          <w:tcPr>
            <w:tcW w:w="12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203%</w:t>
            </w:r>
          </w:p>
        </w:tc>
        <w:tc>
          <w:tcPr>
            <w:tcW w:w="136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86%</w:t>
            </w:r>
          </w:p>
        </w:tc>
        <w:tc>
          <w:tcPr>
            <w:tcW w:w="108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248%</w:t>
            </w:r>
          </w:p>
        </w:tc>
      </w:tr>
      <w:tr w:rsidR="00F43F6F" w:rsidRPr="00F43F6F" w:rsidTr="00F43F6F">
        <w:trPr>
          <w:trHeight w:val="600"/>
          <w:jc w:val="center"/>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F43F6F" w:rsidRPr="00F43F6F" w:rsidRDefault="00F43F6F" w:rsidP="00F43F6F">
            <w:pPr>
              <w:jc w:val="both"/>
              <w:rPr>
                <w:rFonts w:ascii="Comic Sans MS" w:hAnsi="Comic Sans MS"/>
                <w:color w:val="000000"/>
                <w:sz w:val="20"/>
                <w:szCs w:val="20"/>
              </w:rPr>
            </w:pPr>
            <w:r w:rsidRPr="00F43F6F">
              <w:rPr>
                <w:rFonts w:ascii="Comic Sans MS" w:hAnsi="Comic Sans MS"/>
                <w:color w:val="000000"/>
                <w:sz w:val="20"/>
                <w:szCs w:val="20"/>
              </w:rPr>
              <w:t xml:space="preserve">Asset Renewal Ratio (additional indicator from </w:t>
            </w:r>
            <w:proofErr w:type="spellStart"/>
            <w:r w:rsidRPr="00F43F6F">
              <w:rPr>
                <w:rFonts w:ascii="Comic Sans MS" w:hAnsi="Comic Sans MS"/>
                <w:color w:val="000000"/>
                <w:sz w:val="20"/>
                <w:szCs w:val="20"/>
              </w:rPr>
              <w:t>Ipart</w:t>
            </w:r>
            <w:proofErr w:type="spellEnd"/>
            <w:r w:rsidRPr="00F43F6F">
              <w:rPr>
                <w:rFonts w:ascii="Comic Sans MS" w:hAnsi="Comic Sans MS"/>
                <w:color w:val="000000"/>
                <w:sz w:val="20"/>
                <w:szCs w:val="20"/>
              </w:rPr>
              <w:t xml:space="preserve"> forms)</w:t>
            </w:r>
          </w:p>
        </w:tc>
        <w:tc>
          <w:tcPr>
            <w:tcW w:w="1340" w:type="dxa"/>
            <w:tcBorders>
              <w:top w:val="nil"/>
              <w:left w:val="nil"/>
              <w:bottom w:val="single" w:sz="4" w:space="0" w:color="auto"/>
              <w:right w:val="single" w:sz="4" w:space="0" w:color="auto"/>
            </w:tcBorders>
            <w:shd w:val="clear" w:color="auto" w:fill="auto"/>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 xml:space="preserve">N/A </w:t>
            </w:r>
          </w:p>
        </w:tc>
        <w:tc>
          <w:tcPr>
            <w:tcW w:w="1280" w:type="dxa"/>
            <w:tcBorders>
              <w:top w:val="nil"/>
              <w:left w:val="nil"/>
              <w:bottom w:val="single" w:sz="4" w:space="0" w:color="auto"/>
              <w:right w:val="single" w:sz="4" w:space="0" w:color="auto"/>
            </w:tcBorders>
            <w:shd w:val="clear" w:color="auto" w:fill="auto"/>
            <w:noWrap/>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145%</w:t>
            </w:r>
          </w:p>
        </w:tc>
        <w:tc>
          <w:tcPr>
            <w:tcW w:w="1360" w:type="dxa"/>
            <w:tcBorders>
              <w:top w:val="nil"/>
              <w:left w:val="nil"/>
              <w:bottom w:val="single" w:sz="4" w:space="0" w:color="auto"/>
              <w:right w:val="single" w:sz="4" w:space="0" w:color="auto"/>
            </w:tcBorders>
            <w:shd w:val="clear" w:color="auto" w:fill="auto"/>
            <w:noWrap/>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119%</w:t>
            </w:r>
          </w:p>
        </w:tc>
        <w:tc>
          <w:tcPr>
            <w:tcW w:w="1080" w:type="dxa"/>
            <w:tcBorders>
              <w:top w:val="nil"/>
              <w:left w:val="nil"/>
              <w:bottom w:val="single" w:sz="4" w:space="0" w:color="auto"/>
              <w:right w:val="single" w:sz="4" w:space="0" w:color="auto"/>
            </w:tcBorders>
            <w:shd w:val="clear" w:color="auto" w:fill="auto"/>
            <w:noWrap/>
            <w:vAlign w:val="center"/>
            <w:hideMark/>
          </w:tcPr>
          <w:p w:rsidR="00F43F6F" w:rsidRPr="00F43F6F" w:rsidRDefault="00F43F6F" w:rsidP="00F43F6F">
            <w:pPr>
              <w:jc w:val="center"/>
              <w:rPr>
                <w:rFonts w:ascii="Comic Sans MS" w:hAnsi="Comic Sans MS"/>
                <w:color w:val="000000"/>
                <w:szCs w:val="22"/>
              </w:rPr>
            </w:pPr>
            <w:r w:rsidRPr="00F43F6F">
              <w:rPr>
                <w:rFonts w:ascii="Comic Sans MS" w:hAnsi="Comic Sans MS"/>
                <w:color w:val="000000"/>
                <w:szCs w:val="22"/>
              </w:rPr>
              <w:t>65%</w:t>
            </w:r>
          </w:p>
        </w:tc>
      </w:tr>
    </w:tbl>
    <w:p w:rsidR="00F43F6F" w:rsidRDefault="00F43F6F" w:rsidP="00DA06D8">
      <w:pPr>
        <w:pStyle w:val="BodyText"/>
        <w:pBdr>
          <w:top w:val="single" w:sz="4" w:space="1" w:color="auto"/>
          <w:left w:val="single" w:sz="4" w:space="4" w:color="auto"/>
          <w:bottom w:val="single" w:sz="4" w:space="1" w:color="auto"/>
          <w:right w:val="single" w:sz="4" w:space="4" w:color="auto"/>
        </w:pBdr>
      </w:pPr>
      <w:r>
        <w:t>As can be seen from this summary, whilst some targets are not met in the first ten years of the LTFP, there is an improvement in all indicators, and trend is towards these targets. The adopted LTFP with the Special Rate Variation provides improvements in all indicators when compared to the result without the Special Rate Variation over the first ten years of the LTFP. Of particular importance are those ratios around the annual renewal of infrastructure.</w:t>
      </w:r>
    </w:p>
    <w:p w:rsidR="004B58E6" w:rsidRDefault="004B58E6" w:rsidP="00261E25">
      <w:pPr>
        <w:pStyle w:val="Heading2"/>
      </w:pPr>
      <w:bookmarkStart w:id="22" w:name="_Toc401138370"/>
      <w:r>
        <w:lastRenderedPageBreak/>
        <w:t>Contribution plan costs above the cap</w:t>
      </w:r>
      <w:bookmarkEnd w:id="22"/>
    </w:p>
    <w:p w:rsidR="004B58E6" w:rsidRPr="008B1F5A" w:rsidRDefault="008B1F5A" w:rsidP="004B58E6">
      <w:pPr>
        <w:pStyle w:val="BodyText"/>
      </w:pPr>
      <w:r w:rsidRPr="008B1F5A">
        <w:t>You should c</w:t>
      </w:r>
      <w:r w:rsidR="00F413CE" w:rsidRPr="008B1F5A">
        <w:t>omplete this section i</w:t>
      </w:r>
      <w:r w:rsidR="004B58E6" w:rsidRPr="008B1F5A">
        <w:t>f the special variation seeks funding for contributions plan costs above the development contributions cap.</w:t>
      </w:r>
      <w:r w:rsidR="00F57C50" w:rsidRPr="008B1F5A">
        <w:t xml:space="preserve"> Otherwise, leave this section blank.</w:t>
      </w:r>
    </w:p>
    <w:p w:rsidR="00C774B5" w:rsidRDefault="008B1F5A" w:rsidP="004B58E6">
      <w:pPr>
        <w:pStyle w:val="BodyText"/>
      </w:pPr>
      <w:r w:rsidRPr="008B1F5A">
        <w:t>Please e</w:t>
      </w:r>
      <w:r w:rsidR="00C774B5" w:rsidRPr="008B1F5A">
        <w:t>xplain how the</w:t>
      </w:r>
      <w:r w:rsidR="00C774B5" w:rsidRPr="0003702A">
        <w:t xml:space="preserve"> council has established the need for a special variation to meet the shortfall in</w:t>
      </w:r>
      <w:r w:rsidR="00C774B5">
        <w:t xml:space="preserve"> development contributions</w:t>
      </w:r>
      <w:r w:rsidR="00C774B5" w:rsidRPr="0003702A">
        <w:t>.</w:t>
      </w:r>
    </w:p>
    <w:p w:rsidR="00D77B17" w:rsidRPr="00BD468D" w:rsidRDefault="00D77B17" w:rsidP="00D77B17">
      <w:pPr>
        <w:pStyle w:val="BoxText"/>
        <w:rPr>
          <w:bCs/>
        </w:rPr>
      </w:pPr>
      <w:r w:rsidRPr="00D77B17">
        <w:rPr>
          <w:rStyle w:val="BodyTextChar"/>
        </w:rPr>
        <w:t xml:space="preserve">For costs above </w:t>
      </w:r>
      <w:r w:rsidRPr="00BD468D">
        <w:rPr>
          <w:rStyle w:val="BodyTextChar"/>
        </w:rPr>
        <w:t>the cap in contributions plans, a council must provide</w:t>
      </w:r>
      <w:r w:rsidR="0086528B">
        <w:rPr>
          <w:rStyle w:val="BodyTextChar"/>
        </w:rPr>
        <w:t>:</w:t>
      </w:r>
      <w:r w:rsidRPr="00BD468D">
        <w:rPr>
          <w:rStyle w:val="FootnoteReference"/>
        </w:rPr>
        <w:footnoteReference w:id="4"/>
      </w:r>
    </w:p>
    <w:p w:rsidR="00D77B17" w:rsidRPr="00BD468D" w:rsidRDefault="00D77B17" w:rsidP="00D77B17">
      <w:pPr>
        <w:pStyle w:val="ListBullet"/>
      </w:pPr>
      <w:r w:rsidRPr="00BD468D">
        <w:t>a copy of the council’s section 94 contributions plan</w:t>
      </w:r>
    </w:p>
    <w:p w:rsidR="00D77B17" w:rsidRPr="008B1F5A" w:rsidRDefault="00D77B17" w:rsidP="00D77B17">
      <w:pPr>
        <w:pStyle w:val="ListBullet"/>
      </w:pPr>
      <w:r w:rsidRPr="00BD468D">
        <w:t>a co</w:t>
      </w:r>
      <w:r w:rsidR="00C774B5" w:rsidRPr="00BD468D">
        <w:t xml:space="preserve">py of the Minister for Planning’s </w:t>
      </w:r>
      <w:r w:rsidRPr="00BD468D">
        <w:t xml:space="preserve">response to IPART’s review and details of how the council has </w:t>
      </w:r>
      <w:r w:rsidRPr="008B1F5A">
        <w:t>subsequently amended the contributions plan</w:t>
      </w:r>
    </w:p>
    <w:p w:rsidR="00D77B17" w:rsidRPr="008B1F5A" w:rsidRDefault="00D77B17" w:rsidP="00D77B17">
      <w:pPr>
        <w:pStyle w:val="ListBullet"/>
      </w:pPr>
      <w:r w:rsidRPr="008B1F5A">
        <w:t>details of any other funding sources that the council is proposing to use</w:t>
      </w:r>
    </w:p>
    <w:p w:rsidR="00D77B17" w:rsidRPr="008B1F5A" w:rsidRDefault="00D77B17" w:rsidP="00D77B17">
      <w:pPr>
        <w:pStyle w:val="ListBullet"/>
      </w:pPr>
      <w:r w:rsidRPr="008B1F5A">
        <w:t>any reference to the proposed contributions (which were previously to be funded by developers) in the council’s planning documents (eg, LTFP and Asset Management Plan (AMP)</w:t>
      </w:r>
      <w:r w:rsidR="00BF47D1" w:rsidRPr="008B1F5A">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420577">
            <w:r>
              <w:t>N/A</w:t>
            </w:r>
          </w:p>
        </w:tc>
      </w:tr>
    </w:tbl>
    <w:p w:rsidR="000F359C" w:rsidRDefault="000F359C" w:rsidP="006607B9">
      <w:pPr>
        <w:pStyle w:val="Heading1"/>
      </w:pPr>
      <w:bookmarkStart w:id="23" w:name="_Toc401138371"/>
      <w:r>
        <w:t>Assessment criterion 2: Community awareness and engagement</w:t>
      </w:r>
      <w:bookmarkEnd w:id="23"/>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r w:rsidRPr="006D3A62">
        <w:rPr>
          <w:rFonts w:ascii="Arial" w:hAnsi="Arial"/>
          <w:i/>
        </w:rPr>
        <w:t xml:space="preserve">Evidence that the community is aware of the need for and extent of a rate rise.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r>
        <w:t>the IP&amp;R documents clearly set out the extent of the requested rate increases</w:t>
      </w:r>
      <w:r w:rsidR="0065063C">
        <w:t>.</w:t>
      </w:r>
    </w:p>
    <w:p w:rsidR="00901623" w:rsidRDefault="00D60EA5" w:rsidP="00901623">
      <w:pPr>
        <w:pStyle w:val="BodyText"/>
      </w:pPr>
      <w:r>
        <w:lastRenderedPageBreak/>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proofErr w:type="gramStart"/>
      <w:r w:rsidRPr="00266497">
        <w:t>proposed</w:t>
      </w:r>
      <w:proofErr w:type="gramEnd"/>
      <w:r w:rsidRPr="00266497">
        <w:t xml:space="preserve"> increases in any other council charges (eg,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fldChar w:fldCharType="begin"/>
            </w:r>
            <w:r>
              <w:instrText xml:space="preserve"> IF 1 = 1 "Box </w:instrText>
            </w:r>
            <w:r>
              <w:fldChar w:fldCharType="begin"/>
            </w:r>
            <w:r>
              <w:instrText xml:space="preserve"> IF </w:instrText>
            </w:r>
            <w:fldSimple w:instr=" STYLEREF &quot;Heading 6&quot; \l \n ">
              <w:r w:rsidR="003F1ABB">
                <w:rPr>
                  <w:noProof/>
                </w:rPr>
                <w:instrText>0</w:instrText>
              </w:r>
            </w:fldSimple>
            <w:r>
              <w:instrText xml:space="preserve"> = 0 "</w:instrText>
            </w:r>
            <w:r>
              <w:fldChar w:fldCharType="begin"/>
            </w:r>
            <w:r>
              <w:instrText xml:space="preserve"> IF </w:instrText>
            </w:r>
            <w:fldSimple w:instr=" STYLEREF &quot;Heading 1&quot; \l \n ">
              <w:r w:rsidR="003F1ABB">
                <w:rPr>
                  <w:noProof/>
                </w:rPr>
                <w:instrText>4</w:instrText>
              </w:r>
            </w:fldSimple>
            <w:r>
              <w:instrText xml:space="preserve"> = 0 "" "</w:instrText>
            </w:r>
            <w:fldSimple w:instr=" STYLEREF &quot;Heading 1&quot; \l \n ">
              <w:r w:rsidR="003F1ABB">
                <w:rPr>
                  <w:noProof/>
                </w:rPr>
                <w:instrText>4</w:instrText>
              </w:r>
            </w:fldSimple>
            <w:r>
              <w:instrText xml:space="preserve">." </w:instrText>
            </w:r>
            <w:r>
              <w:fldChar w:fldCharType="separate"/>
            </w:r>
            <w:r w:rsidR="003F1ABB">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3F1ABB">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3F1ABB">
                <w:rPr>
                  <w:noProof/>
                </w:rPr>
                <w:instrText>0</w:instrText>
              </w:r>
            </w:fldSimple>
            <w:r>
              <w:instrText xml:space="preserve"> = 0 "</w:instrText>
            </w:r>
            <w:r>
              <w:fldChar w:fldCharType="begin"/>
            </w:r>
            <w:r>
              <w:instrText xml:space="preserve"> IF </w:instrText>
            </w:r>
            <w:fldSimple w:instr=" STYLEREF &quot;Heading 1&quot; \l \n ">
              <w:r w:rsidR="003F1ABB">
                <w:rPr>
                  <w:noProof/>
                </w:rPr>
                <w:instrText>4</w:instrText>
              </w:r>
            </w:fldSimple>
            <w:r>
              <w:instrText xml:space="preserve"> = 0 "" "1" </w:instrText>
            </w:r>
            <w:r>
              <w:fldChar w:fldCharType="separate"/>
            </w:r>
            <w:r w:rsidR="003F1ABB">
              <w:rPr>
                <w:noProof/>
              </w:rPr>
              <w:instrText>1</w:instrText>
            </w:r>
            <w:r>
              <w:fldChar w:fldCharType="end"/>
            </w:r>
            <w:r>
              <w:instrText xml:space="preserve">" "6" </w:instrText>
            </w:r>
            <w:r>
              <w:fldChar w:fldCharType="separate"/>
            </w:r>
            <w:r w:rsidR="003F1ABB">
              <w:rPr>
                <w:noProof/>
              </w:rPr>
              <w:instrText>1</w:instrText>
            </w:r>
            <w:r>
              <w:fldChar w:fldCharType="end"/>
            </w:r>
            <w:r>
              <w:instrText xml:space="preserve"> </w:instrText>
            </w:r>
            <w:r>
              <w:fldChar w:fldCharType="separate"/>
            </w:r>
            <w:r w:rsidR="003F1ABB">
              <w:rPr>
                <w:noProof/>
              </w:rPr>
              <w:instrText>1</w:instrText>
            </w:r>
            <w:r>
              <w:fldChar w:fldCharType="end"/>
            </w:r>
            <w:r>
              <w:instrText xml:space="preserve">" "" </w:instrText>
            </w:r>
            <w:r>
              <w:fldChar w:fldCharType="separate"/>
            </w:r>
            <w:bookmarkStart w:id="24" w:name="_Box6820"/>
            <w:r w:rsidR="003F1ABB">
              <w:rPr>
                <w:noProof/>
              </w:rPr>
              <w:t>Box 4.1</w:t>
            </w:r>
            <w:bookmarkEnd w:id="24"/>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proofErr w:type="spellStart"/>
            <w:r w:rsidR="00270E9D">
              <w:t>ie</w:t>
            </w:r>
            <w:proofErr w:type="spellEnd"/>
            <w:r w:rsidR="00270E9D">
              <w:t xml:space="preserv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122DB2" w:rsidRDefault="00122DB2" w:rsidP="00122DB2">
      <w:pPr>
        <w:pStyle w:val="BodyText"/>
      </w:pPr>
      <w:bookmarkStart w:id="25" w:name="_Toc366160411"/>
      <w:bookmarkStart w:id="26" w:name="_Toc401138372"/>
    </w:p>
    <w:p w:rsidR="00122DB2" w:rsidRDefault="00122DB2" w:rsidP="00122DB2">
      <w:pPr>
        <w:pStyle w:val="Subtitle"/>
        <w:rPr>
          <w:sz w:val="24"/>
        </w:rPr>
      </w:pPr>
      <w:r>
        <w:br w:type="page"/>
      </w:r>
    </w:p>
    <w:p w:rsidR="00D60EA5" w:rsidRPr="00B17EC1" w:rsidRDefault="00D60EA5" w:rsidP="00D60EA5">
      <w:pPr>
        <w:pStyle w:val="Heading2"/>
        <w:ind w:right="-141"/>
        <w:rPr>
          <w:bCs/>
        </w:rPr>
      </w:pPr>
      <w:r w:rsidRPr="00B17EC1">
        <w:rPr>
          <w:bCs/>
        </w:rPr>
        <w:lastRenderedPageBreak/>
        <w:t>The consultation strategy</w:t>
      </w:r>
      <w:bookmarkEnd w:id="25"/>
      <w:bookmarkEnd w:id="26"/>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Pr="00B17EC1"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420F63" w:rsidRDefault="008E44AA" w:rsidP="00DA06D8">
      <w:pPr>
        <w:pStyle w:val="BodyText"/>
        <w:pBdr>
          <w:top w:val="single" w:sz="4" w:space="1" w:color="auto"/>
          <w:left w:val="single" w:sz="4" w:space="4" w:color="auto"/>
          <w:bottom w:val="single" w:sz="4" w:space="1" w:color="auto"/>
          <w:right w:val="single" w:sz="4" w:space="4" w:color="auto"/>
        </w:pBdr>
      </w:pPr>
      <w:r>
        <w:t xml:space="preserve">Council adopted its original Integrated Planning and Reporting Documentation </w:t>
      </w:r>
      <w:r w:rsidR="00420F63">
        <w:t xml:space="preserve">during the course of </w:t>
      </w:r>
      <w:r>
        <w:t>2012.</w:t>
      </w:r>
      <w:r w:rsidR="00420F63">
        <w:t xml:space="preserve"> The Asset Management Plans identified significant issues around the shortfall of funding around Councils major infrastructure assets, in particular Transport and Urban Stormwater. Council then presented this information to the community through a series of fact sheets leading up to the 2013 residents and </w:t>
      </w:r>
      <w:proofErr w:type="gramStart"/>
      <w:r w:rsidR="00420F63">
        <w:t>ratepayers</w:t>
      </w:r>
      <w:proofErr w:type="gramEnd"/>
      <w:r w:rsidR="00420F63">
        <w:t xml:space="preserve"> survey. These fact sheets and the survey report are included in the attachments to this application.</w:t>
      </w:r>
    </w:p>
    <w:p w:rsidR="00B02591" w:rsidRDefault="008E44AA" w:rsidP="00DA06D8">
      <w:pPr>
        <w:pStyle w:val="BodyText"/>
        <w:pBdr>
          <w:top w:val="single" w:sz="4" w:space="1" w:color="auto"/>
          <w:left w:val="single" w:sz="4" w:space="4" w:color="auto"/>
          <w:bottom w:val="single" w:sz="4" w:space="1" w:color="auto"/>
          <w:right w:val="single" w:sz="4" w:space="4" w:color="auto"/>
        </w:pBdr>
      </w:pPr>
      <w:r>
        <w:t xml:space="preserve">As part of the work of the Independent Local Government Review process, </w:t>
      </w:r>
      <w:proofErr w:type="spellStart"/>
      <w:r>
        <w:t>TCorp</w:t>
      </w:r>
      <w:proofErr w:type="spellEnd"/>
      <w:r>
        <w:t xml:space="preserve"> released a report on the financial sustainability of Kyogle Council in </w:t>
      </w:r>
      <w:r w:rsidR="00420F63">
        <w:t xml:space="preserve">March </w:t>
      </w:r>
      <w:r>
        <w:t xml:space="preserve">2013. </w:t>
      </w:r>
      <w:r w:rsidR="004E7D60">
        <w:t xml:space="preserve">The elected Council undertook a visioning exercise in January 2014 as the first step in developing a process around addressing the issues identified through the IP&amp;R process and the </w:t>
      </w:r>
      <w:proofErr w:type="spellStart"/>
      <w:r w:rsidR="004E7D60">
        <w:t>TCorp</w:t>
      </w:r>
      <w:proofErr w:type="spellEnd"/>
      <w:r w:rsidR="004E7D60">
        <w:t xml:space="preserve"> Report. </w:t>
      </w:r>
      <w:r>
        <w:t>Council commissioned an additional financial sustainability report through consultants Review Today, which was completed in April 2014.</w:t>
      </w:r>
    </w:p>
    <w:p w:rsidR="004E7D60" w:rsidRDefault="004E7D60" w:rsidP="004E7D60">
      <w:pPr>
        <w:pStyle w:val="BodyText"/>
        <w:pBdr>
          <w:top w:val="single" w:sz="4" w:space="1" w:color="auto"/>
          <w:left w:val="single" w:sz="4" w:space="4" w:color="auto"/>
          <w:bottom w:val="single" w:sz="4" w:space="1" w:color="auto"/>
          <w:right w:val="single" w:sz="4" w:space="4" w:color="auto"/>
        </w:pBdr>
      </w:pPr>
      <w:r>
        <w:t>In the lead up to the review of the LTFP and CSP, Council adopted a comprehensive Community Engagement Strategy in July 2014. A copy of this document is provided in the attachments to this application. The first stage of the process involved the review of the existing Financial Management Policy, with a draft revised document presented to the community for review in July 2014, before being adopted in August 2014.</w:t>
      </w:r>
    </w:p>
    <w:p w:rsidR="00B02591" w:rsidRDefault="004E7D60" w:rsidP="00DA06D8">
      <w:pPr>
        <w:pStyle w:val="BodyText"/>
        <w:pBdr>
          <w:top w:val="single" w:sz="4" w:space="1" w:color="auto"/>
          <w:left w:val="single" w:sz="4" w:space="4" w:color="auto"/>
          <w:bottom w:val="single" w:sz="4" w:space="1" w:color="auto"/>
          <w:right w:val="single" w:sz="4" w:space="4" w:color="auto"/>
        </w:pBdr>
      </w:pPr>
      <w:r>
        <w:t xml:space="preserve">As part of the adopted community engagement process, five </w:t>
      </w:r>
      <w:r w:rsidR="00B02591" w:rsidRPr="004E7D60">
        <w:t>Focus Groups</w:t>
      </w:r>
      <w:r>
        <w:t xml:space="preserve"> </w:t>
      </w:r>
      <w:r w:rsidR="00B9136C">
        <w:t xml:space="preserve">with community representation </w:t>
      </w:r>
      <w:r>
        <w:t>were established in August 2014 around the key areas for the Community Strategic Plan review process. These are;</w:t>
      </w:r>
    </w:p>
    <w:p w:rsidR="004E7D60" w:rsidRDefault="004E7D60" w:rsidP="004E7D60">
      <w:pPr>
        <w:pStyle w:val="BodyText"/>
        <w:pBdr>
          <w:top w:val="single" w:sz="4" w:space="1" w:color="auto"/>
          <w:left w:val="single" w:sz="4" w:space="4" w:color="auto"/>
          <w:bottom w:val="single" w:sz="4" w:space="1" w:color="auto"/>
          <w:right w:val="single" w:sz="4" w:space="4" w:color="auto"/>
        </w:pBdr>
        <w:spacing w:before="0"/>
      </w:pPr>
      <w:r>
        <w:tab/>
        <w:t>-Aging in Place, Disability and Respite Care</w:t>
      </w:r>
    </w:p>
    <w:p w:rsidR="004E7D60" w:rsidRDefault="004E7D60" w:rsidP="004E7D60">
      <w:pPr>
        <w:pStyle w:val="BodyText"/>
        <w:pBdr>
          <w:top w:val="single" w:sz="4" w:space="1" w:color="auto"/>
          <w:left w:val="single" w:sz="4" w:space="4" w:color="auto"/>
          <w:bottom w:val="single" w:sz="4" w:space="1" w:color="auto"/>
          <w:right w:val="single" w:sz="4" w:space="4" w:color="auto"/>
        </w:pBdr>
        <w:spacing w:before="0"/>
      </w:pPr>
      <w:r>
        <w:tab/>
        <w:t>-Village Life</w:t>
      </w:r>
    </w:p>
    <w:p w:rsidR="004E7D60" w:rsidRDefault="004E7D60" w:rsidP="004E7D60">
      <w:pPr>
        <w:pStyle w:val="BodyText"/>
        <w:pBdr>
          <w:top w:val="single" w:sz="4" w:space="1" w:color="auto"/>
          <w:left w:val="single" w:sz="4" w:space="4" w:color="auto"/>
          <w:bottom w:val="single" w:sz="4" w:space="1" w:color="auto"/>
          <w:right w:val="single" w:sz="4" w:space="4" w:color="auto"/>
        </w:pBdr>
        <w:spacing w:before="0"/>
      </w:pPr>
      <w:r>
        <w:tab/>
        <w:t>-Visitor Attraction</w:t>
      </w:r>
    </w:p>
    <w:p w:rsidR="004E7D60" w:rsidRDefault="004E7D60" w:rsidP="004E7D60">
      <w:pPr>
        <w:pStyle w:val="BodyText"/>
        <w:pBdr>
          <w:top w:val="single" w:sz="4" w:space="1" w:color="auto"/>
          <w:left w:val="single" w:sz="4" w:space="4" w:color="auto"/>
          <w:bottom w:val="single" w:sz="4" w:space="1" w:color="auto"/>
          <w:right w:val="single" w:sz="4" w:space="4" w:color="auto"/>
        </w:pBdr>
        <w:spacing w:before="0"/>
      </w:pPr>
      <w:r>
        <w:tab/>
        <w:t>-Agriculture</w:t>
      </w:r>
    </w:p>
    <w:p w:rsidR="004E7D60" w:rsidRDefault="004E7D60" w:rsidP="004E7D60">
      <w:pPr>
        <w:pStyle w:val="BodyText"/>
        <w:pBdr>
          <w:top w:val="single" w:sz="4" w:space="1" w:color="auto"/>
          <w:left w:val="single" w:sz="4" w:space="4" w:color="auto"/>
          <w:bottom w:val="single" w:sz="4" w:space="1" w:color="auto"/>
          <w:right w:val="single" w:sz="4" w:space="4" w:color="auto"/>
        </w:pBdr>
        <w:spacing w:before="0"/>
      </w:pPr>
      <w:r>
        <w:tab/>
        <w:t>-Governance and Community Services</w:t>
      </w:r>
    </w:p>
    <w:p w:rsidR="004E7D60" w:rsidRDefault="00B9136C" w:rsidP="00DA06D8">
      <w:pPr>
        <w:pStyle w:val="BodyText"/>
        <w:pBdr>
          <w:top w:val="single" w:sz="4" w:space="1" w:color="auto"/>
          <w:left w:val="single" w:sz="4" w:space="4" w:color="auto"/>
          <w:bottom w:val="single" w:sz="4" w:space="1" w:color="auto"/>
          <w:right w:val="single" w:sz="4" w:space="4" w:color="auto"/>
        </w:pBdr>
      </w:pPr>
      <w:r>
        <w:t>The elected Councillors and senior staff then undertook a series of workshops in August and September 2014 to work through the review of the exis</w:t>
      </w:r>
      <w:r w:rsidR="00B8616D">
        <w:t xml:space="preserve">ting LTFP </w:t>
      </w:r>
      <w:r w:rsidR="00B8616D">
        <w:lastRenderedPageBreak/>
        <w:t>model and assumptions, and to present a comprehensive review of service levels to establish the political appetite for service level reductions in particular. Based on these workshops, a draft LTFP was prepared for formal consideration by the elected Council.</w:t>
      </w:r>
    </w:p>
    <w:p w:rsidR="00277CD0" w:rsidRDefault="00277CD0" w:rsidP="00DA06D8">
      <w:pPr>
        <w:pStyle w:val="BodyText"/>
        <w:pBdr>
          <w:top w:val="single" w:sz="4" w:space="1" w:color="auto"/>
          <w:left w:val="single" w:sz="4" w:space="4" w:color="auto"/>
          <w:bottom w:val="single" w:sz="4" w:space="1" w:color="auto"/>
          <w:right w:val="single" w:sz="4" w:space="4" w:color="auto"/>
        </w:pBdr>
      </w:pPr>
      <w:r>
        <w:t>The draft LTFP was placed on public display on October 22, 2014 with advice that submissions would close on November 24, 2014. There were a number of mechanisms used to engage the community during this time, using various delivery messages, to ensure that as many people as possible were given the opportunity to provide input and feedback on the draft LTFP. The main methods of engagement were;</w:t>
      </w:r>
    </w:p>
    <w:p w:rsidR="00FD1C22" w:rsidRDefault="00277CD0" w:rsidP="00FD1C22">
      <w:pPr>
        <w:pStyle w:val="BodyText"/>
        <w:pBdr>
          <w:top w:val="single" w:sz="4" w:space="1" w:color="auto"/>
          <w:left w:val="single" w:sz="4" w:space="4" w:color="auto"/>
          <w:bottom w:val="single" w:sz="4" w:space="1" w:color="auto"/>
          <w:right w:val="single" w:sz="4" w:space="4" w:color="auto"/>
        </w:pBdr>
        <w:spacing w:before="0"/>
      </w:pPr>
      <w:r>
        <w:tab/>
      </w:r>
      <w:r w:rsidR="00FD1C22">
        <w:t>-</w:t>
      </w:r>
      <w:r>
        <w:t xml:space="preserve">Newspaper </w:t>
      </w:r>
      <w:r w:rsidR="00FD1C22">
        <w:t>advertisements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r>
        <w:tab/>
        <w:t>-Distribution of hard copy documents across the LGA</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r>
        <w:tab/>
        <w:t>-Councils website</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r>
        <w:tab/>
        <w:t>-Councils newsletter</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-Listening posts at community events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ab/>
        <w:t>-Woodenbong Yowie Markets Saturday October 25</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ab/>
        <w:t>-Bonalbo Memorial Hall Tuesday October 28</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ab/>
        <w:t>-Kyogle Farmers Markets Saturday November 1</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-Preparation of community information Brochures</w:t>
      </w:r>
      <w:r w:rsidR="00B8616D">
        <w:t>, fact sheets and rates comparisons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ind w:firstLine="284"/>
      </w:pPr>
      <w:r>
        <w:t>-Community Surveys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p>
    <w:p w:rsidR="00277CD0" w:rsidRPr="00277CD0" w:rsidRDefault="00FD1C22" w:rsidP="00FD1C22">
      <w:pPr>
        <w:pStyle w:val="BodyText"/>
        <w:pBdr>
          <w:top w:val="single" w:sz="4" w:space="1" w:color="auto"/>
          <w:left w:val="single" w:sz="4" w:space="4" w:color="auto"/>
          <w:bottom w:val="single" w:sz="4" w:space="1" w:color="auto"/>
          <w:right w:val="single" w:sz="4" w:space="4" w:color="auto"/>
        </w:pBdr>
        <w:spacing w:before="0"/>
      </w:pPr>
      <w:r>
        <w:t>Samples from the various consultation methods are included with the attachments to this application.</w:t>
      </w:r>
      <w:r w:rsidR="00277CD0">
        <w:tab/>
      </w:r>
    </w:p>
    <w:p w:rsidR="00D60EA5" w:rsidRPr="002C54BE" w:rsidRDefault="00D60EA5" w:rsidP="00D60EA5">
      <w:pPr>
        <w:pStyle w:val="Heading2"/>
      </w:pPr>
      <w:bookmarkStart w:id="27" w:name="_Toc366160413"/>
      <w:bookmarkStart w:id="28" w:name="_Toc401138373"/>
      <w:r>
        <w:t>Feedback</w:t>
      </w:r>
      <w:r w:rsidRPr="002C54BE">
        <w:t xml:space="preserve"> from </w:t>
      </w:r>
      <w:r>
        <w:t xml:space="preserve">the </w:t>
      </w:r>
      <w:r w:rsidRPr="002C54BE">
        <w:t>community consultations</w:t>
      </w:r>
      <w:bookmarkEnd w:id="27"/>
      <w:bookmarkEnd w:id="28"/>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FD1C22" w:rsidRDefault="00FD1C22" w:rsidP="00DA06D8">
      <w:pPr>
        <w:pStyle w:val="BodyText"/>
        <w:pBdr>
          <w:top w:val="single" w:sz="4" w:space="1" w:color="auto"/>
          <w:left w:val="single" w:sz="4" w:space="4" w:color="auto"/>
          <w:bottom w:val="single" w:sz="4" w:space="1" w:color="auto"/>
          <w:right w:val="single" w:sz="4" w:space="4" w:color="auto"/>
        </w:pBdr>
      </w:pPr>
      <w:r>
        <w:t xml:space="preserve">The initial feedback came from the series of Listening Posts held in the main villages across the LGA of Woodenbong, Bonalbo and Kyogle. This allowed </w:t>
      </w:r>
      <w:r>
        <w:lastRenderedPageBreak/>
        <w:t xml:space="preserve">Council staff to make contact with members of the community when they were in a relaxed environment, rather than through a formal public meeting. At the Woodenbong Listening Post 24 people took the time to stop and discuss their views with Councillors and Council staff in attendance. At Bonalbo there were a further 21 people, and another 64 at the Kyogle Listening Post. </w:t>
      </w:r>
      <w:r w:rsidR="008F68A9">
        <w:t xml:space="preserve">A total of 50 written submissions were also received. </w:t>
      </w:r>
      <w:r>
        <w:t xml:space="preserve">A summary of the main points raised </w:t>
      </w:r>
      <w:r w:rsidR="008F68A9">
        <w:t xml:space="preserve">through the community consultation process </w:t>
      </w:r>
      <w:r>
        <w:t>is as follows;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r>
        <w:tab/>
        <w:t>-</w:t>
      </w:r>
      <w:r w:rsidR="00DE23BF">
        <w:t>Concern with rates being higher in the rural areas than in the villages</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 xml:space="preserve">-issues created by the non-rateable properties not paying rates, </w:t>
      </w:r>
      <w:proofErr w:type="spellStart"/>
      <w:r>
        <w:t>eg</w:t>
      </w:r>
      <w:proofErr w:type="spellEnd"/>
      <w:r>
        <w:t xml:space="preserve"> State Forests, Crown Lands and support for Council to address this inequity</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 xml:space="preserve">-need for initial sealing of highly trafficked unsealed roads and village streets </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-support for the motor bike trail rides and events such as the Lions TT and Border Ranges Rally recognising the economic benefit, but some concern around Council providing support for event organisers, particularly where road damage can occur</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-understanding that a rate rise above rate pegging is inevitable, with general support for the 22% proposal instead of the 46%</w:t>
      </w:r>
    </w:p>
    <w:p w:rsidR="00DE23BF" w:rsidRDefault="00DE23BF" w:rsidP="00DE23BF">
      <w:pPr>
        <w:pStyle w:val="BodyText"/>
        <w:pBdr>
          <w:top w:val="single" w:sz="4" w:space="1" w:color="auto"/>
          <w:left w:val="single" w:sz="4" w:space="4" w:color="auto"/>
          <w:bottom w:val="single" w:sz="4" w:space="1" w:color="auto"/>
          <w:right w:val="single" w:sz="4" w:space="4" w:color="auto"/>
        </w:pBdr>
        <w:spacing w:before="0"/>
        <w:ind w:firstLine="284"/>
      </w:pPr>
      <w:r>
        <w:t>-Lack of support for amalgamation</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-Concern about rate rise leading to increased rent for those who can least afford it</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-support for extra income being allocated to roads and bridges as proposed in the draft LTFP</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-very limited support for the inclusion of the non-replacement of existing bridges</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-limited support for the inclusion of returning some sealed roads to gravel</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-concerns about the impact of bridge load limits on emergency services and transport of produce</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-perceived inefficiency of some road maintenance practices</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-concern over proposed closure of one of the waste transfer stations</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-condition of public amenities west of the range in particular</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-need for increased tourism and associated promotion of the area</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-issues around pensioners being able to afford the proposed rate increases</w:t>
      </w:r>
    </w:p>
    <w:p w:rsidR="00DE23BF" w:rsidRDefault="00DE23BF" w:rsidP="00FD1C22">
      <w:pPr>
        <w:pStyle w:val="BodyText"/>
        <w:pBdr>
          <w:top w:val="single" w:sz="4" w:space="1" w:color="auto"/>
          <w:left w:val="single" w:sz="4" w:space="4" w:color="auto"/>
          <w:bottom w:val="single" w:sz="4" w:space="1" w:color="auto"/>
          <w:right w:val="single" w:sz="4" w:space="4" w:color="auto"/>
        </w:pBdr>
        <w:spacing w:before="0"/>
      </w:pPr>
      <w:r>
        <w:tab/>
        <w:t>-concern about level of representation of Council was amalgamated</w:t>
      </w:r>
    </w:p>
    <w:p w:rsidR="003425A2" w:rsidRDefault="00DE23BF" w:rsidP="00FD1C22">
      <w:pPr>
        <w:pStyle w:val="BodyText"/>
        <w:pBdr>
          <w:top w:val="single" w:sz="4" w:space="1" w:color="auto"/>
          <w:left w:val="single" w:sz="4" w:space="4" w:color="auto"/>
          <w:bottom w:val="single" w:sz="4" w:space="1" w:color="auto"/>
          <w:right w:val="single" w:sz="4" w:space="4" w:color="auto"/>
        </w:pBdr>
        <w:spacing w:before="0"/>
      </w:pPr>
      <w:r>
        <w:tab/>
        <w:t>-some were prepared to pay more to ensure the</w:t>
      </w:r>
      <w:r w:rsidR="003425A2">
        <w:t xml:space="preserve"> local identify was maintained</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-the financial incentives offered by the NSW Government were inadequate</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-Council should decrease administration staff to reduce costs</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-Council should be seeking additional funding from the State and Federal governments</w:t>
      </w:r>
    </w:p>
    <w:p w:rsidR="00FD1C22" w:rsidRDefault="00FD1C22" w:rsidP="00FD1C22">
      <w:pPr>
        <w:pStyle w:val="BodyText"/>
        <w:pBdr>
          <w:top w:val="single" w:sz="4" w:space="1" w:color="auto"/>
          <w:left w:val="single" w:sz="4" w:space="4" w:color="auto"/>
          <w:bottom w:val="single" w:sz="4" w:space="1" w:color="auto"/>
          <w:right w:val="single" w:sz="4" w:space="4" w:color="auto"/>
        </w:pBdr>
        <w:spacing w:before="0"/>
      </w:pP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Based on feedback received early in the process, Council then established a community survey through the on-line Survey Monkey system, with hard copies also distributed across the entire LGA on November 17, 2014. The survey results are provided in the attachments to this application. Key results were;</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-71% of respondents had read the draft LTFP</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-87% of them said they understood it</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-50% believed the LTFP was achievable, and 50% did not</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lastRenderedPageBreak/>
        <w:tab/>
        <w:t>-73% believed the information provided by Council adequately explained the proposed rate rises and how they would be applied</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-80% had read the community information brochure distributed by Council</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r>
        <w:tab/>
        <w:t xml:space="preserve">-88% agreed that </w:t>
      </w:r>
      <w:r w:rsidR="00321067">
        <w:t>Council needs to find additional funds to maintain its infrastructure</w:t>
      </w:r>
    </w:p>
    <w:p w:rsidR="00B02591" w:rsidRDefault="00321067" w:rsidP="00FD1C22">
      <w:pPr>
        <w:pStyle w:val="BodyText"/>
        <w:pBdr>
          <w:top w:val="single" w:sz="4" w:space="1" w:color="auto"/>
          <w:left w:val="single" w:sz="4" w:space="4" w:color="auto"/>
          <w:bottom w:val="single" w:sz="4" w:space="1" w:color="auto"/>
          <w:right w:val="single" w:sz="4" w:space="4" w:color="auto"/>
        </w:pBdr>
        <w:spacing w:before="0"/>
      </w:pPr>
      <w:r>
        <w:tab/>
        <w:t>-</w:t>
      </w:r>
      <w:r w:rsidR="00B02591">
        <w:t xml:space="preserve">88% understood why Council was hoping to apply to </w:t>
      </w:r>
      <w:proofErr w:type="spellStart"/>
      <w:r w:rsidR="00B02591">
        <w:t>IPart</w:t>
      </w:r>
      <w:proofErr w:type="spellEnd"/>
      <w:r w:rsidR="00B02591">
        <w:t xml:space="preserve"> for above rate pegging increases</w:t>
      </w:r>
    </w:p>
    <w:p w:rsidR="00B02591" w:rsidRDefault="00B02591" w:rsidP="00FD1C22">
      <w:pPr>
        <w:pStyle w:val="BodyText"/>
        <w:pBdr>
          <w:top w:val="single" w:sz="4" w:space="1" w:color="auto"/>
          <w:left w:val="single" w:sz="4" w:space="4" w:color="auto"/>
          <w:bottom w:val="single" w:sz="4" w:space="1" w:color="auto"/>
          <w:right w:val="single" w:sz="4" w:space="4" w:color="auto"/>
        </w:pBdr>
        <w:spacing w:before="0"/>
      </w:pPr>
      <w:r>
        <w:tab/>
        <w:t xml:space="preserve">-54% were in favour of the above rate pegging application to </w:t>
      </w:r>
      <w:proofErr w:type="spellStart"/>
      <w:r>
        <w:t>IPart</w:t>
      </w:r>
      <w:proofErr w:type="spellEnd"/>
    </w:p>
    <w:p w:rsidR="00321067" w:rsidRDefault="00B02591" w:rsidP="00B02591">
      <w:pPr>
        <w:pStyle w:val="BodyText"/>
        <w:pBdr>
          <w:top w:val="single" w:sz="4" w:space="1" w:color="auto"/>
          <w:left w:val="single" w:sz="4" w:space="4" w:color="auto"/>
          <w:bottom w:val="single" w:sz="4" w:space="1" w:color="auto"/>
          <w:right w:val="single" w:sz="4" w:space="4" w:color="auto"/>
        </w:pBdr>
        <w:spacing w:before="0"/>
        <w:ind w:firstLine="284"/>
      </w:pPr>
      <w:r>
        <w:t>-52% agreed that the proposed rate rises would be affordable to them</w:t>
      </w:r>
    </w:p>
    <w:p w:rsidR="00B02591" w:rsidRDefault="00B02591" w:rsidP="00B02591">
      <w:pPr>
        <w:pStyle w:val="BodyText"/>
        <w:pBdr>
          <w:top w:val="single" w:sz="4" w:space="1" w:color="auto"/>
          <w:left w:val="single" w:sz="4" w:space="4" w:color="auto"/>
          <w:bottom w:val="single" w:sz="4" w:space="1" w:color="auto"/>
          <w:right w:val="single" w:sz="4" w:space="4" w:color="auto"/>
        </w:pBdr>
        <w:spacing w:before="0"/>
        <w:ind w:firstLine="284"/>
      </w:pPr>
      <w:r>
        <w:tab/>
        <w:t>-60% agreed that Council should further explore the options around amalgamation</w:t>
      </w:r>
    </w:p>
    <w:p w:rsidR="003425A2" w:rsidRDefault="003425A2" w:rsidP="00FD1C22">
      <w:pPr>
        <w:pStyle w:val="BodyText"/>
        <w:pBdr>
          <w:top w:val="single" w:sz="4" w:space="1" w:color="auto"/>
          <w:left w:val="single" w:sz="4" w:space="4" w:color="auto"/>
          <w:bottom w:val="single" w:sz="4" w:space="1" w:color="auto"/>
          <w:right w:val="single" w:sz="4" w:space="4" w:color="auto"/>
        </w:pBdr>
        <w:spacing w:before="0"/>
      </w:pPr>
    </w:p>
    <w:p w:rsidR="003545C6" w:rsidRDefault="00B8616D" w:rsidP="00B8616D">
      <w:pPr>
        <w:pStyle w:val="BodyText"/>
        <w:pBdr>
          <w:top w:val="single" w:sz="4" w:space="1" w:color="auto"/>
          <w:left w:val="single" w:sz="4" w:space="4" w:color="auto"/>
          <w:bottom w:val="single" w:sz="4" w:space="1" w:color="auto"/>
          <w:right w:val="single" w:sz="4" w:space="4" w:color="auto"/>
        </w:pBdr>
        <w:spacing w:before="0"/>
      </w:pPr>
      <w:r>
        <w:t xml:space="preserve">Whilst it was never expected that the community would show majority support for an above rate pegging increase, it was clear that the majority of the community understood the issues to be addressed, and the need for the additional revenue. </w:t>
      </w:r>
      <w:r w:rsidR="003545C6">
        <w:t>Based on the feedback received during the consultation process, it was considered that the main areas of concern had been adequately addressed in the draft LTFP put to the community, and it was recommended to Council that the document be adopted.</w:t>
      </w:r>
    </w:p>
    <w:p w:rsidR="003545C6" w:rsidRDefault="003545C6" w:rsidP="00B8616D">
      <w:pPr>
        <w:pStyle w:val="BodyText"/>
        <w:pBdr>
          <w:top w:val="single" w:sz="4" w:space="1" w:color="auto"/>
          <w:left w:val="single" w:sz="4" w:space="4" w:color="auto"/>
          <w:bottom w:val="single" w:sz="4" w:space="1" w:color="auto"/>
          <w:right w:val="single" w:sz="4" w:space="4" w:color="auto"/>
        </w:pBdr>
        <w:spacing w:before="0"/>
      </w:pPr>
    </w:p>
    <w:p w:rsidR="00FD1C22" w:rsidRDefault="003545C6" w:rsidP="00B8616D">
      <w:pPr>
        <w:pStyle w:val="BodyText"/>
        <w:pBdr>
          <w:top w:val="single" w:sz="4" w:space="1" w:color="auto"/>
          <w:left w:val="single" w:sz="4" w:space="4" w:color="auto"/>
          <w:bottom w:val="single" w:sz="4" w:space="1" w:color="auto"/>
          <w:right w:val="single" w:sz="4" w:space="4" w:color="auto"/>
        </w:pBdr>
        <w:spacing w:before="0"/>
      </w:pPr>
      <w:r>
        <w:t>C</w:t>
      </w:r>
      <w:r w:rsidR="00B8616D">
        <w:t>ouncil adopted the LTFP in December 2014, as per the draft document placed on public display. This included service level reductions in a number of areas, however the service level reductions around the non-replacement of bridges and returning low traffic volume sealed roads to gravel, were cause for further concern amongst the effected members of the community. In response to concerns subsequently raised by the community, Council revised the LTFP at its meeting in February 2015 to remove the service level reductions in these areas, and update the LTFP accordingly.</w:t>
      </w:r>
    </w:p>
    <w:p w:rsidR="00FD1C22" w:rsidRDefault="00B8616D" w:rsidP="00DA06D8">
      <w:pPr>
        <w:pStyle w:val="BodyText"/>
        <w:pBdr>
          <w:top w:val="single" w:sz="4" w:space="1" w:color="auto"/>
          <w:left w:val="single" w:sz="4" w:space="4" w:color="auto"/>
          <w:bottom w:val="single" w:sz="4" w:space="1" w:color="auto"/>
          <w:right w:val="single" w:sz="4" w:space="4" w:color="auto"/>
        </w:pBdr>
      </w:pPr>
      <w:r>
        <w:t>Following on from the community consultation, it was identified that there was also a need to obtain more information in relation to the potential for mergers identified in the Independent Local Government Review Panel report, and subsequent Fit for the Future process initiated by the NSW Government. Whilst the community</w:t>
      </w:r>
      <w:r w:rsidR="006C3A50">
        <w:t xml:space="preserve"> position appears to be that they do not support amalgamation, it is prudent to ensure that the option has been properly assessed, particularly if there is the potential for better value for money for the community. </w:t>
      </w:r>
      <w:r>
        <w:t xml:space="preserve"> Council has also resolved to meet with the Councils of Richmond Valley and Lismore, to discuss the potential for mergers with either or both of these Councils. </w:t>
      </w:r>
      <w:r w:rsidR="006C3A50">
        <w:t>These discussions may or may not lead to merger in the future, and as such, it is prudent that Council has a plan for the future should it remain a stand-alone Council, and the proposed special rate variation included in the LTFP is key to this.</w:t>
      </w:r>
    </w:p>
    <w:p w:rsidR="000F359C" w:rsidRDefault="000F359C" w:rsidP="000F359C">
      <w:pPr>
        <w:pStyle w:val="Heading1"/>
      </w:pPr>
      <w:bookmarkStart w:id="29" w:name="_Toc401138374"/>
      <w:r>
        <w:lastRenderedPageBreak/>
        <w:t>Assessment criterion</w:t>
      </w:r>
      <w:r w:rsidR="00D60EA5">
        <w:t xml:space="preserve"> 3: Impact on ratepayers</w:t>
      </w:r>
      <w:bookmarkEnd w:id="29"/>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916FAE" w:rsidRDefault="00D60EA5" w:rsidP="00D60EA5">
      <w:pPr>
        <w:pStyle w:val="Heading2"/>
      </w:pPr>
      <w:bookmarkStart w:id="30" w:name="_Toc366160417"/>
      <w:bookmarkStart w:id="31" w:name="_Toc401138375"/>
      <w:r w:rsidRPr="00916FAE">
        <w:t>Impact on rates</w:t>
      </w:r>
      <w:bookmarkEnd w:id="30"/>
      <w:bookmarkEnd w:id="31"/>
    </w:p>
    <w:p w:rsidR="00D60EA5" w:rsidRPr="00266497" w:rsidRDefault="00D60EA5" w:rsidP="00D60EA5">
      <w:pPr>
        <w:pStyle w:val="BodyText"/>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D60EA5">
      <w:pPr>
        <w:pStyle w:val="BodyText"/>
      </w:pPr>
      <w:r w:rsidRPr="00266497">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B84AA8">
      <w:pPr>
        <w:pStyle w:val="BodyText"/>
        <w:keepNext/>
        <w:keepLines/>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F70BB3" w:rsidRDefault="00F70BB3" w:rsidP="00DA06D8">
      <w:pPr>
        <w:pStyle w:val="BodyText"/>
        <w:pBdr>
          <w:top w:val="single" w:sz="4" w:space="1" w:color="auto"/>
          <w:left w:val="single" w:sz="4" w:space="4" w:color="auto"/>
          <w:bottom w:val="single" w:sz="4" w:space="1" w:color="auto"/>
          <w:right w:val="single" w:sz="4" w:space="4" w:color="auto"/>
        </w:pBdr>
      </w:pPr>
      <w:r>
        <w:t>The rating structure is not proposed to change in order to implement the proposed special rate variation. The existing rating categories will remain as per the 2014/15 structure. The proposed special rate variation is to be applied in equal percentages across the existing rating categories.</w:t>
      </w:r>
    </w:p>
    <w:p w:rsidR="001E78D3" w:rsidRPr="00B17EC1" w:rsidRDefault="00F70BB3" w:rsidP="00DA06D8">
      <w:pPr>
        <w:pStyle w:val="BodyText"/>
        <w:pBdr>
          <w:top w:val="single" w:sz="4" w:space="1" w:color="auto"/>
          <w:left w:val="single" w:sz="4" w:space="4" w:color="auto"/>
          <w:bottom w:val="single" w:sz="4" w:space="1" w:color="auto"/>
          <w:right w:val="single" w:sz="4" w:space="4" w:color="auto"/>
        </w:pBdr>
      </w:pPr>
      <w:r>
        <w:t xml:space="preserve">There will be an additional Special Rate applying to residential and business rating categories associated with Stormwater and Flood management, and this will replace the existing $25 Stormwater Management Charge which applies to </w:t>
      </w:r>
      <w:r>
        <w:lastRenderedPageBreak/>
        <w:t xml:space="preserve">these same categories. The Special Rate is proposed to include a minimum charge initially of $86, with increases in the </w:t>
      </w:r>
      <w:r w:rsidR="009F6784">
        <w:t>next</w:t>
      </w:r>
      <w:r>
        <w:t xml:space="preserve"> f</w:t>
      </w:r>
      <w:r w:rsidR="009F6784">
        <w:t>our</w:t>
      </w:r>
      <w:r>
        <w:t xml:space="preserve"> years </w:t>
      </w:r>
      <w:r w:rsidR="009F6784">
        <w:t xml:space="preserve">of 3%, then </w:t>
      </w:r>
      <w:r>
        <w:t>i</w:t>
      </w:r>
      <w:r w:rsidR="009F6784">
        <w:t>n line with rate pegging limits thereafter.</w:t>
      </w:r>
      <w:r>
        <w:t xml:space="preserve"> </w:t>
      </w:r>
      <w:r w:rsidR="001E78D3">
        <w:t>The minimum charge will see all residential assessments paying the minimum amount, with only business assessments in the higher end of the land values paying the ad valorum component. This would see the maximum charge under the Special Rate at just under $300 in 2015/16.</w:t>
      </w:r>
    </w:p>
    <w:p w:rsidR="00D60EA5" w:rsidRPr="00B17EC1" w:rsidRDefault="00D60EA5" w:rsidP="00D60EA5">
      <w:pPr>
        <w:pStyle w:val="Heading3"/>
      </w:pPr>
      <w:r w:rsidRPr="00B17EC1">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Pr="00916FAE">
              <w:fldChar w:fldCharType="begin">
                <w:ffData>
                  <w:name w:val="Check6"/>
                  <w:enabled/>
                  <w:calcOnExit w:val="0"/>
                  <w:checkBox>
                    <w:sizeAuto/>
                    <w:default w:val="0"/>
                  </w:checkBox>
                </w:ffData>
              </w:fldChar>
            </w:r>
            <w:r w:rsidRPr="00916FAE">
              <w:instrText xml:space="preserve"> FORMCHECKBOX </w:instrText>
            </w:r>
            <w:r w:rsidR="009F6784">
              <w:fldChar w:fldCharType="separate"/>
            </w:r>
            <w:r w:rsidRPr="00916FAE">
              <w:fldChar w:fldCharType="end"/>
            </w:r>
            <w:r w:rsidRPr="00916FAE">
              <w:t xml:space="preserve"> </w:t>
            </w:r>
          </w:p>
        </w:tc>
        <w:tc>
          <w:tcPr>
            <w:tcW w:w="1242" w:type="dxa"/>
          </w:tcPr>
          <w:p w:rsidR="00B84AA8" w:rsidRPr="00916FAE" w:rsidRDefault="00B84AA8" w:rsidP="00B02591">
            <w:pPr>
              <w:pStyle w:val="TableTextEntries"/>
              <w:rPr>
                <w:rFonts w:ascii="Myriad Pro" w:hAnsi="Myriad Pro"/>
                <w:sz w:val="24"/>
              </w:rPr>
            </w:pPr>
            <w:r w:rsidRPr="00916FAE">
              <w:t xml:space="preserve">No </w:t>
            </w:r>
            <w:r w:rsidR="00B02591">
              <w:fldChar w:fldCharType="begin">
                <w:ffData>
                  <w:name w:val=""/>
                  <w:enabled/>
                  <w:calcOnExit w:val="0"/>
                  <w:checkBox>
                    <w:sizeAuto/>
                    <w:default w:val="1"/>
                  </w:checkBox>
                </w:ffData>
              </w:fldChar>
            </w:r>
            <w:r w:rsidR="00B02591">
              <w:instrText xml:space="preserve"> FORMCHECKBOX </w:instrText>
            </w:r>
            <w:r w:rsidR="009F6784">
              <w:fldChar w:fldCharType="separate"/>
            </w:r>
            <w:r w:rsidR="00B02591">
              <w:fldChar w:fldCharType="end"/>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rate by:</w:t>
      </w:r>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r w:rsidR="00F834EE" w:rsidRPr="00916FAE">
        <w:t>percentage</w:t>
      </w:r>
      <w:r w:rsidR="00DF532D" w:rsidRPr="00916FAE">
        <w:t xml:space="preserve"> </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9F6784">
        <w:fldChar w:fldCharType="separate"/>
      </w:r>
      <w:r w:rsidRPr="00916FAE">
        <w:fldChar w:fldCharType="end"/>
      </w:r>
    </w:p>
    <w:p w:rsidR="002C26DA" w:rsidRPr="00916FAE" w:rsidRDefault="002C26DA" w:rsidP="00A76C55">
      <w:pPr>
        <w:pStyle w:val="TableTextEntries"/>
        <w:ind w:firstLine="284"/>
      </w:pPr>
      <w:r w:rsidRPr="00916FAE">
        <w:t xml:space="preserve">The special variation </w:t>
      </w:r>
      <w:r w:rsidR="00F834EE" w:rsidRPr="00916FAE">
        <w:t>percentage</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9F6784">
        <w:fldChar w:fldCharType="separate"/>
      </w:r>
      <w:r w:rsidRPr="00916FAE">
        <w:fldChar w:fldCharType="end"/>
      </w:r>
    </w:p>
    <w:p w:rsidR="002C26DA" w:rsidRPr="00916FAE" w:rsidRDefault="00DF532D" w:rsidP="00A76C55">
      <w:pPr>
        <w:pStyle w:val="TableTextEntries"/>
        <w:ind w:firstLine="284"/>
      </w:pPr>
      <w:r w:rsidRPr="00916FAE">
        <w:t xml:space="preserve">Another amount </w:t>
      </w:r>
      <w:r w:rsidR="002C26DA" w:rsidRPr="00916FAE">
        <w:t xml:space="preserve"> </w:t>
      </w:r>
      <w:r w:rsidR="002C26DA" w:rsidRPr="00916FAE">
        <w:fldChar w:fldCharType="begin">
          <w:ffData>
            <w:name w:val="Check6"/>
            <w:enabled/>
            <w:calcOnExit w:val="0"/>
            <w:checkBox>
              <w:sizeAuto/>
              <w:default w:val="0"/>
            </w:checkBox>
          </w:ffData>
        </w:fldChar>
      </w:r>
      <w:r w:rsidR="002C26DA" w:rsidRPr="00916FAE">
        <w:instrText xml:space="preserve"> FORMCHECKBOX </w:instrText>
      </w:r>
      <w:r w:rsidR="009F6784">
        <w:fldChar w:fldCharType="separate"/>
      </w:r>
      <w:r w:rsidR="002C26DA" w:rsidRPr="00916FAE">
        <w:fldChar w:fldCharType="end"/>
      </w:r>
      <w:r w:rsidR="00ED5959" w:rsidRPr="00916FAE">
        <w:t xml:space="preserve">   Indicate this amount _____________</w:t>
      </w:r>
    </w:p>
    <w:p w:rsidR="009B31B5" w:rsidRPr="00916FAE" w:rsidRDefault="009B31B5" w:rsidP="009B31B5">
      <w:pPr>
        <w:pStyle w:val="TableTextEntries"/>
      </w:pPr>
    </w:p>
    <w:p w:rsidR="00C774B5" w:rsidRDefault="00C774B5" w:rsidP="00A76C55">
      <w:pPr>
        <w:pStyle w:val="TableTextEntries"/>
      </w:pPr>
      <w:r w:rsidRPr="00916FAE">
        <w:t xml:space="preserve">What will the </w:t>
      </w:r>
      <w:r w:rsidR="00F834EE" w:rsidRPr="00916FAE">
        <w:t xml:space="preserve">residential </w:t>
      </w:r>
      <w:r w:rsidRPr="00916FAE">
        <w:t>minimum rate be after the increase? _________</w:t>
      </w:r>
    </w:p>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D60EA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A44A2E" w:rsidP="00DA06D8">
      <w:pPr>
        <w:pStyle w:val="BodyText"/>
        <w:pBdr>
          <w:top w:val="single" w:sz="4" w:space="1" w:color="auto"/>
          <w:left w:val="single" w:sz="4" w:space="4" w:color="auto"/>
          <w:bottom w:val="single" w:sz="4" w:space="1" w:color="auto"/>
          <w:right w:val="single" w:sz="4" w:space="4" w:color="auto"/>
        </w:pBdr>
      </w:pPr>
      <w:r>
        <w:t xml:space="preserve">Note as discussed in Item 5.1 that whilst there is no existing minimum rates, the new Special Rate proposed for Stormwater and Flood Management is proposed to include a minimum amount, with this minimum amount to increase </w:t>
      </w:r>
      <w:r w:rsidR="009F6784">
        <w:t>at 3 for the first four years after introduction, then in line with rate pegging</w:t>
      </w:r>
      <w:r>
        <w:t>.</w:t>
      </w:r>
    </w:p>
    <w:p w:rsidR="00D60EA5" w:rsidRPr="00B17EC1" w:rsidRDefault="001C6AB3" w:rsidP="00D60EA5">
      <w:pPr>
        <w:pStyle w:val="Heading2"/>
      </w:pPr>
      <w:bookmarkStart w:id="32" w:name="_Toc366160418"/>
      <w:bookmarkStart w:id="33" w:name="_Toc401138376"/>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2"/>
      <w:bookmarkEnd w:id="33"/>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w:t>
      </w:r>
      <w:r w:rsidRPr="00916FAE">
        <w:lastRenderedPageBreak/>
        <w:t xml:space="preserve">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155FBC" w:rsidRDefault="00155FBC" w:rsidP="00155FBC">
      <w:pPr>
        <w:pStyle w:val="BodyText"/>
        <w:pBdr>
          <w:top w:val="single" w:sz="4" w:space="1" w:color="auto"/>
          <w:left w:val="single" w:sz="4" w:space="4" w:color="auto"/>
          <w:bottom w:val="single" w:sz="4" w:space="1" w:color="auto"/>
          <w:right w:val="single" w:sz="4" w:space="4" w:color="auto"/>
        </w:pBdr>
      </w:pPr>
      <w:r>
        <w:t xml:space="preserve">Council has long recognised that the communities within the </w:t>
      </w:r>
      <w:proofErr w:type="spellStart"/>
      <w:r>
        <w:t>Kyoigle</w:t>
      </w:r>
      <w:proofErr w:type="spellEnd"/>
      <w:r>
        <w:t xml:space="preserve"> LGA are some of the most disadvantaged with regards to a number of socio-economic factors. The Socio-Economic Indexes for Areas (SEIFA) published by the </w:t>
      </w:r>
      <w:proofErr w:type="gramStart"/>
      <w:r>
        <w:t>Australian  Bureau</w:t>
      </w:r>
      <w:proofErr w:type="gramEnd"/>
      <w:r>
        <w:t xml:space="preserve"> of Statistics in March 2013 provide the evidence to support this presumption with;</w:t>
      </w:r>
    </w:p>
    <w:p w:rsidR="00155FBC" w:rsidRDefault="00155FBC" w:rsidP="00155FBC">
      <w:pPr>
        <w:pStyle w:val="BodyText"/>
        <w:pBdr>
          <w:top w:val="single" w:sz="4" w:space="1" w:color="auto"/>
          <w:left w:val="single" w:sz="4" w:space="4" w:color="auto"/>
          <w:bottom w:val="single" w:sz="4" w:space="1" w:color="auto"/>
          <w:right w:val="single" w:sz="4" w:space="4" w:color="auto"/>
        </w:pBdr>
        <w:spacing w:before="0"/>
      </w:pPr>
      <w:r>
        <w:tab/>
        <w:t xml:space="preserve">-the Kyogle LGA ranked </w:t>
      </w:r>
      <w:r w:rsidR="008C5FC3">
        <w:t>70</w:t>
      </w:r>
      <w:r w:rsidR="008C5FC3" w:rsidRPr="008C5FC3">
        <w:rPr>
          <w:vertAlign w:val="superscript"/>
        </w:rPr>
        <w:t>th</w:t>
      </w:r>
      <w:r w:rsidR="008C5FC3">
        <w:t xml:space="preserve"> poorest out of the 563 LGAs within Australia</w:t>
      </w:r>
    </w:p>
    <w:p w:rsidR="008C5FC3" w:rsidRDefault="008C5FC3" w:rsidP="00155FBC">
      <w:pPr>
        <w:pStyle w:val="BodyText"/>
        <w:pBdr>
          <w:top w:val="single" w:sz="4" w:space="1" w:color="auto"/>
          <w:left w:val="single" w:sz="4" w:space="4" w:color="auto"/>
          <w:bottom w:val="single" w:sz="4" w:space="1" w:color="auto"/>
          <w:right w:val="single" w:sz="4" w:space="4" w:color="auto"/>
        </w:pBdr>
        <w:spacing w:before="0"/>
      </w:pPr>
      <w:r>
        <w:tab/>
        <w:t>-the Kyogle LGA ranked 11</w:t>
      </w:r>
      <w:r w:rsidRPr="008C5FC3">
        <w:rPr>
          <w:vertAlign w:val="superscript"/>
        </w:rPr>
        <w:t>th</w:t>
      </w:r>
      <w:r>
        <w:t xml:space="preserve"> poorest out of the 152 LGAs within NSW</w:t>
      </w:r>
    </w:p>
    <w:p w:rsidR="00875379" w:rsidRDefault="00875379" w:rsidP="006A1B80">
      <w:pPr>
        <w:pStyle w:val="BodyText"/>
        <w:pBdr>
          <w:top w:val="single" w:sz="4" w:space="1" w:color="auto"/>
          <w:left w:val="single" w:sz="4" w:space="4" w:color="auto"/>
          <w:bottom w:val="single" w:sz="4" w:space="1" w:color="auto"/>
          <w:right w:val="single" w:sz="4" w:space="4" w:color="auto"/>
        </w:pBdr>
      </w:pPr>
      <w:r>
        <w:t>Council commissioned the preparation of an economic brief for the Kyogle LGA through Lawrence Consulting in May 2013.</w:t>
      </w:r>
      <w:r w:rsidR="00F439B2">
        <w:t xml:space="preserve"> Per capita income for the Kyogle LGA was estimate at $14,338 in 2009/10. The Community Strategic Plan identifies a median weekly income of $305, which would equate to around $15,860 per year. The average household size is 2.5 persons, giving an average household income of $39,650 per year. The impact of the proposed special rate variation, combined with the increases in other charges, peaks at $334/year, or ($6.40/week) by 2021/22. This represents approximately 0.8% of the average annual household income.</w:t>
      </w:r>
    </w:p>
    <w:p w:rsidR="00B02591" w:rsidRPr="00B17EC1" w:rsidRDefault="00A44A2E" w:rsidP="006A1B80">
      <w:pPr>
        <w:pStyle w:val="BodyText"/>
        <w:pBdr>
          <w:top w:val="single" w:sz="4" w:space="1" w:color="auto"/>
          <w:left w:val="single" w:sz="4" w:space="4" w:color="auto"/>
          <w:bottom w:val="single" w:sz="4" w:space="1" w:color="auto"/>
          <w:right w:val="single" w:sz="4" w:space="4" w:color="auto"/>
        </w:pBdr>
      </w:pPr>
      <w:r>
        <w:t xml:space="preserve">During the consultation with the over the last two years, there have been a number of rating comparisons prepared and provided to the community. These are included in the attachments to this report. </w:t>
      </w:r>
      <w:r w:rsidR="00F439B2">
        <w:t>When t</w:t>
      </w:r>
      <w:r>
        <w:t xml:space="preserve">he </w:t>
      </w:r>
      <w:r w:rsidR="00F439B2">
        <w:t xml:space="preserve">impact of the </w:t>
      </w:r>
      <w:r>
        <w:t xml:space="preserve">proposed special rate variation is considered </w:t>
      </w:r>
      <w:r w:rsidR="00F439B2">
        <w:t>in the context outlined above, it appears to be r</w:t>
      </w:r>
      <w:r>
        <w:t>easonably modest, and within the capacity of the communi</w:t>
      </w:r>
      <w:r w:rsidR="00875379">
        <w:t>ty to pay.</w:t>
      </w:r>
    </w:p>
    <w:p w:rsidR="00D60EA5" w:rsidRDefault="00D60EA5" w:rsidP="006A1B80">
      <w:pPr>
        <w:pStyle w:val="Heading2"/>
      </w:pPr>
      <w:bookmarkStart w:id="34" w:name="_Toc401138377"/>
      <w:r w:rsidRPr="00B17EC1">
        <w:t>Addressing hardship</w:t>
      </w:r>
      <w:bookmarkEnd w:id="34"/>
    </w:p>
    <w:p w:rsidR="00D60EA5" w:rsidRDefault="00D60EA5" w:rsidP="00D60EA5">
      <w:pPr>
        <w:pStyle w:val="BodyText"/>
      </w:pPr>
      <w:r w:rsidRPr="005F72FF">
        <w:t>In addition to the statutory requirement for p</w:t>
      </w:r>
      <w:r w:rsidR="00FC2116">
        <w:t xml:space="preserve">ensioner rebates, most councils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B84AA8" w:rsidRDefault="00B84AA8" w:rsidP="006C57E9">
            <w:pPr>
              <w:pStyle w:val="TableTextEntries"/>
              <w:rPr>
                <w:rFonts w:cs="Arial"/>
              </w:rPr>
            </w:pPr>
            <w:r w:rsidRPr="00B84AA8">
              <w:rPr>
                <w:rFonts w:cs="Arial"/>
              </w:rPr>
              <w:t xml:space="preserve">Yes </w:t>
            </w:r>
            <w:r w:rsidR="006C57E9">
              <w:rPr>
                <w:rFonts w:cs="Arial"/>
              </w:rPr>
              <w:fldChar w:fldCharType="begin">
                <w:ffData>
                  <w:name w:val="Check6"/>
                  <w:enabled/>
                  <w:calcOnExit w:val="0"/>
                  <w:checkBox>
                    <w:sizeAuto/>
                    <w:default w:val="1"/>
                  </w:checkBox>
                </w:ffData>
              </w:fldChar>
            </w:r>
            <w:bookmarkStart w:id="35" w:name="Check6"/>
            <w:r w:rsidR="006C57E9">
              <w:rPr>
                <w:rFonts w:cs="Arial"/>
              </w:rPr>
              <w:instrText xml:space="preserve"> FORMCHECKBOX </w:instrText>
            </w:r>
            <w:r w:rsidR="009F6784">
              <w:rPr>
                <w:rFonts w:cs="Arial"/>
              </w:rPr>
            </w:r>
            <w:r w:rsidR="009F6784">
              <w:rPr>
                <w:rFonts w:cs="Arial"/>
              </w:rPr>
              <w:fldChar w:fldCharType="separate"/>
            </w:r>
            <w:r w:rsidR="006C57E9">
              <w:rPr>
                <w:rFonts w:cs="Arial"/>
              </w:rPr>
              <w:fldChar w:fldCharType="end"/>
            </w:r>
            <w:bookmarkEnd w:id="35"/>
          </w:p>
        </w:tc>
        <w:tc>
          <w:tcPr>
            <w:tcW w:w="816"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9F6784">
              <w:rPr>
                <w:rFonts w:cs="Arial"/>
              </w:rPr>
            </w:r>
            <w:r w:rsidR="009F6784">
              <w:rPr>
                <w:rFonts w:cs="Arial"/>
              </w:rPr>
              <w:fldChar w:fldCharType="separate"/>
            </w:r>
            <w:r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6C57E9">
            <w:pPr>
              <w:pStyle w:val="TableTextEntries"/>
              <w:rPr>
                <w:rFonts w:cs="Arial"/>
              </w:rPr>
            </w:pPr>
            <w:r w:rsidRPr="00B84AA8">
              <w:rPr>
                <w:rFonts w:cs="Arial"/>
              </w:rPr>
              <w:t xml:space="preserve">Yes </w:t>
            </w:r>
            <w:r w:rsidR="006C57E9">
              <w:rPr>
                <w:rFonts w:cs="Arial"/>
              </w:rPr>
              <w:fldChar w:fldCharType="begin">
                <w:ffData>
                  <w:name w:val=""/>
                  <w:enabled/>
                  <w:calcOnExit w:val="0"/>
                  <w:checkBox>
                    <w:sizeAuto/>
                    <w:default w:val="1"/>
                  </w:checkBox>
                </w:ffData>
              </w:fldChar>
            </w:r>
            <w:r w:rsidR="006C57E9">
              <w:rPr>
                <w:rFonts w:cs="Arial"/>
              </w:rPr>
              <w:instrText xml:space="preserve"> FORMCHECKBOX </w:instrText>
            </w:r>
            <w:r w:rsidR="009F6784">
              <w:rPr>
                <w:rFonts w:cs="Arial"/>
              </w:rPr>
            </w:r>
            <w:r w:rsidR="009F6784">
              <w:rPr>
                <w:rFonts w:cs="Arial"/>
              </w:rPr>
              <w:fldChar w:fldCharType="separate"/>
            </w:r>
            <w:r w:rsidR="006C57E9">
              <w:rPr>
                <w:rFonts w:cs="Arial"/>
              </w:rPr>
              <w:fldChar w:fldCharType="end"/>
            </w:r>
          </w:p>
        </w:tc>
        <w:tc>
          <w:tcPr>
            <w:tcW w:w="816"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9F6784">
              <w:rPr>
                <w:rFonts w:cs="Arial"/>
              </w:rPr>
            </w:r>
            <w:r w:rsidR="009F6784">
              <w:rPr>
                <w:rFonts w:cs="Arial"/>
              </w:rPr>
              <w:fldChar w:fldCharType="separate"/>
            </w:r>
            <w:r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B84AA8">
            <w:pPr>
              <w:pStyle w:val="TableTextEntries"/>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9F6784">
              <w:rPr>
                <w:rFonts w:cs="Arial"/>
              </w:rPr>
            </w:r>
            <w:r w:rsidR="009F6784">
              <w:rPr>
                <w:rFonts w:cs="Arial"/>
              </w:rPr>
              <w:fldChar w:fldCharType="separate"/>
            </w:r>
            <w:r w:rsidRPr="00B84AA8">
              <w:rPr>
                <w:rFonts w:cs="Arial"/>
              </w:rPr>
              <w:fldChar w:fldCharType="end"/>
            </w:r>
          </w:p>
        </w:tc>
        <w:tc>
          <w:tcPr>
            <w:tcW w:w="816" w:type="dxa"/>
          </w:tcPr>
          <w:p w:rsidR="00284554" w:rsidRPr="00B84AA8" w:rsidRDefault="00284554" w:rsidP="006C57E9">
            <w:pPr>
              <w:pStyle w:val="TableTextEntries"/>
            </w:pPr>
            <w:r w:rsidRPr="00B84AA8">
              <w:rPr>
                <w:rFonts w:cs="Arial"/>
              </w:rPr>
              <w:t xml:space="preserve">No </w:t>
            </w:r>
            <w:r w:rsidR="006C57E9">
              <w:rPr>
                <w:rFonts w:cs="Arial"/>
              </w:rPr>
              <w:fldChar w:fldCharType="begin">
                <w:ffData>
                  <w:name w:val=""/>
                  <w:enabled/>
                  <w:calcOnExit w:val="0"/>
                  <w:checkBox>
                    <w:sizeAuto/>
                    <w:default w:val="1"/>
                  </w:checkBox>
                </w:ffData>
              </w:fldChar>
            </w:r>
            <w:r w:rsidR="006C57E9">
              <w:rPr>
                <w:rFonts w:cs="Arial"/>
              </w:rPr>
              <w:instrText xml:space="preserve"> FORMCHECKBOX </w:instrText>
            </w:r>
            <w:r w:rsidR="009F6784">
              <w:rPr>
                <w:rFonts w:cs="Arial"/>
              </w:rPr>
            </w:r>
            <w:r w:rsidR="009F6784">
              <w:rPr>
                <w:rFonts w:cs="Arial"/>
              </w:rPr>
              <w:fldChar w:fldCharType="separate"/>
            </w:r>
            <w:r w:rsidR="006C57E9">
              <w:rPr>
                <w:rFonts w:cs="Arial"/>
              </w:rPr>
              <w:fldChar w:fldCharType="end"/>
            </w:r>
          </w:p>
        </w:tc>
      </w:tr>
    </w:tbl>
    <w:p w:rsidR="00CA35DF" w:rsidRPr="00B17EC1" w:rsidRDefault="00916FAE" w:rsidP="00CA35DF">
      <w:pPr>
        <w:pStyle w:val="BodyText"/>
      </w:pPr>
      <w:r w:rsidRPr="00916FAE">
        <w:lastRenderedPageBreak/>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B02591" w:rsidRDefault="00B85BC5" w:rsidP="00DA06D8">
      <w:pPr>
        <w:pStyle w:val="BodyText"/>
        <w:pBdr>
          <w:top w:val="single" w:sz="4" w:space="1" w:color="auto"/>
          <w:left w:val="single" w:sz="4" w:space="4" w:color="auto"/>
          <w:bottom w:val="single" w:sz="4" w:space="1" w:color="auto"/>
          <w:right w:val="single" w:sz="4" w:space="4" w:color="auto"/>
        </w:pBdr>
      </w:pPr>
      <w:r>
        <w:t xml:space="preserve">Council already has in place a Debt Recovery and Hardship Policy that includes measures to address the recovery of rate payments over time when the ratepayer faces a period of financial hardship. Council also already has in place a </w:t>
      </w:r>
      <w:r w:rsidR="006C57E9">
        <w:t xml:space="preserve">Pensioner Concession Policy </w:t>
      </w:r>
      <w:r>
        <w:t xml:space="preserve">which </w:t>
      </w:r>
      <w:r w:rsidR="006C57E9">
        <w:t>provides</w:t>
      </w:r>
      <w:r>
        <w:t>, amongst other provisions, that there will be no</w:t>
      </w:r>
      <w:r w:rsidR="006C57E9">
        <w:t xml:space="preserve"> interest on late rate payments </w:t>
      </w:r>
      <w:r>
        <w:t>applied to pensioners. Due to the relatively modest size of the proposed above rate pegging increases in the LTFP, it is considered that the existing provisions are sufficient to limit the impact on the most vulnerable groups, and no additional new measures have been proposed specifically relating to this special rate variation.</w:t>
      </w:r>
    </w:p>
    <w:p w:rsidR="00DF3193" w:rsidRDefault="00DF3193" w:rsidP="00DA06D8">
      <w:pPr>
        <w:pStyle w:val="BodyText"/>
        <w:pBdr>
          <w:top w:val="single" w:sz="4" w:space="1" w:color="auto"/>
          <w:left w:val="single" w:sz="4" w:space="4" w:color="auto"/>
          <w:bottom w:val="single" w:sz="4" w:space="1" w:color="auto"/>
          <w:right w:val="single" w:sz="4" w:space="4" w:color="auto"/>
        </w:pBdr>
      </w:pPr>
    </w:p>
    <w:p w:rsidR="00D60EA5" w:rsidRDefault="00D60EA5" w:rsidP="00D60EA5">
      <w:pPr>
        <w:pStyle w:val="Heading1"/>
      </w:pPr>
      <w:bookmarkStart w:id="36" w:name="_Toc401138378"/>
      <w:r>
        <w:t xml:space="preserve">Assessment criterion 4: </w:t>
      </w:r>
      <w:r w:rsidR="00CA35DF">
        <w:t>Public exhibition of relevant IP&amp;R documents</w:t>
      </w:r>
      <w:bookmarkEnd w:id="36"/>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t>
      </w:r>
      <w:r w:rsidR="007970EE" w:rsidRPr="00303275">
        <w:rPr>
          <w:rFonts w:cs="Arial"/>
          <w:color w:val="000000"/>
        </w:rPr>
        <w:lastRenderedPageBreak/>
        <w:t xml:space="preserve">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561A14" w:rsidRDefault="00561A14" w:rsidP="00DA06D8">
      <w:pPr>
        <w:pStyle w:val="BodyText"/>
        <w:pBdr>
          <w:top w:val="single" w:sz="4" w:space="1" w:color="auto"/>
          <w:left w:val="single" w:sz="4" w:space="4" w:color="auto"/>
          <w:bottom w:val="single" w:sz="4" w:space="1" w:color="auto"/>
          <w:right w:val="single" w:sz="4" w:space="4" w:color="auto"/>
        </w:pBdr>
      </w:pPr>
      <w:r>
        <w:t>- Operation and Delivery Plan updated to reflect LTFP placed on public display December 17, 2014 and adopted February 9, 2015</w:t>
      </w:r>
    </w:p>
    <w:p w:rsidR="00DF3193" w:rsidRDefault="00DF3193" w:rsidP="00DF3193">
      <w:pPr>
        <w:pStyle w:val="BodyText"/>
        <w:pBdr>
          <w:top w:val="single" w:sz="4" w:space="1" w:color="auto"/>
          <w:left w:val="single" w:sz="4" w:space="4" w:color="auto"/>
          <w:bottom w:val="single" w:sz="4" w:space="1" w:color="auto"/>
          <w:right w:val="single" w:sz="4" w:space="4" w:color="auto"/>
        </w:pBdr>
      </w:pPr>
      <w:r>
        <w:t>- Long Term Financial Plan placed on public display October 22, 2014 adopted by Council December 8, 2014, updated February 9, 2015</w:t>
      </w:r>
    </w:p>
    <w:p w:rsidR="00DF3193" w:rsidRDefault="00DF3193" w:rsidP="00DA06D8">
      <w:pPr>
        <w:pStyle w:val="BodyText"/>
        <w:pBdr>
          <w:top w:val="single" w:sz="4" w:space="1" w:color="auto"/>
          <w:left w:val="single" w:sz="4" w:space="4" w:color="auto"/>
          <w:bottom w:val="single" w:sz="4" w:space="1" w:color="auto"/>
          <w:right w:val="single" w:sz="4" w:space="4" w:color="auto"/>
        </w:pBdr>
      </w:pPr>
      <w:r>
        <w:t>- Community Engagement Strategy LTFP and CSP Review adopted July 14, 2014</w:t>
      </w:r>
    </w:p>
    <w:p w:rsidR="00561A14" w:rsidRDefault="00561A14" w:rsidP="00561A14">
      <w:pPr>
        <w:pStyle w:val="BodyText"/>
        <w:pBdr>
          <w:top w:val="single" w:sz="4" w:space="1" w:color="auto"/>
          <w:left w:val="single" w:sz="4" w:space="4" w:color="auto"/>
          <w:bottom w:val="single" w:sz="4" w:space="1" w:color="auto"/>
          <w:right w:val="single" w:sz="4" w:space="4" w:color="auto"/>
        </w:pBdr>
      </w:pPr>
      <w:r>
        <w:t>- Core Infrastructure Risk Management Plan adopted June 25, 2013</w:t>
      </w:r>
    </w:p>
    <w:p w:rsidR="00DF3193" w:rsidRDefault="00DF3193" w:rsidP="00561A14">
      <w:pPr>
        <w:pStyle w:val="BodyText"/>
        <w:pBdr>
          <w:top w:val="single" w:sz="4" w:space="1" w:color="auto"/>
          <w:left w:val="single" w:sz="4" w:space="4" w:color="auto"/>
          <w:bottom w:val="single" w:sz="4" w:space="1" w:color="auto"/>
          <w:right w:val="single" w:sz="4" w:space="4" w:color="auto"/>
        </w:pBdr>
      </w:pPr>
      <w:r>
        <w:t>- Community Strategic Plan endorsed by current Council June 24, 2013</w:t>
      </w:r>
    </w:p>
    <w:p w:rsidR="00561A14" w:rsidRDefault="00561A14" w:rsidP="00DA06D8">
      <w:pPr>
        <w:pStyle w:val="BodyText"/>
        <w:pBdr>
          <w:top w:val="single" w:sz="4" w:space="1" w:color="auto"/>
          <w:left w:val="single" w:sz="4" w:space="4" w:color="auto"/>
          <w:bottom w:val="single" w:sz="4" w:space="1" w:color="auto"/>
          <w:right w:val="single" w:sz="4" w:space="4" w:color="auto"/>
        </w:pBdr>
      </w:pPr>
      <w:r>
        <w:t>-Workforce Management Plan adopted June 25, 2012</w:t>
      </w:r>
    </w:p>
    <w:p w:rsidR="00561A14" w:rsidRDefault="00561A14" w:rsidP="00561A14">
      <w:pPr>
        <w:pStyle w:val="BodyText"/>
        <w:pBdr>
          <w:top w:val="single" w:sz="4" w:space="1" w:color="auto"/>
          <w:left w:val="single" w:sz="4" w:space="4" w:color="auto"/>
          <w:bottom w:val="single" w:sz="4" w:space="1" w:color="auto"/>
          <w:right w:val="single" w:sz="4" w:space="4" w:color="auto"/>
        </w:pBdr>
      </w:pPr>
      <w:r>
        <w:t>- Community Strategic Plan placed on public display April 2012, adopted 26 June 2012</w:t>
      </w:r>
    </w:p>
    <w:p w:rsidR="00561A14" w:rsidRDefault="00561A14" w:rsidP="00DA06D8">
      <w:pPr>
        <w:pStyle w:val="BodyText"/>
        <w:pBdr>
          <w:top w:val="single" w:sz="4" w:space="1" w:color="auto"/>
          <w:left w:val="single" w:sz="4" w:space="4" w:color="auto"/>
          <w:bottom w:val="single" w:sz="4" w:space="1" w:color="auto"/>
          <w:right w:val="single" w:sz="4" w:space="4" w:color="auto"/>
        </w:pBdr>
      </w:pPr>
      <w:r>
        <w:t>- Asset Management Plans and Strategy adopted July 23, 2012</w:t>
      </w:r>
    </w:p>
    <w:p w:rsidR="00B02591" w:rsidRDefault="00DF3193" w:rsidP="00DA06D8">
      <w:pPr>
        <w:pStyle w:val="BodyText"/>
        <w:pBdr>
          <w:top w:val="single" w:sz="4" w:space="1" w:color="auto"/>
          <w:left w:val="single" w:sz="4" w:space="4" w:color="auto"/>
          <w:bottom w:val="single" w:sz="4" w:space="1" w:color="auto"/>
          <w:right w:val="single" w:sz="4" w:space="4" w:color="auto"/>
        </w:pBdr>
      </w:pPr>
      <w:r>
        <w:t>Copies of extracts from the minutes from December 17, 2014 and February 9, 2015 are included in the attachments to this application.</w:t>
      </w:r>
    </w:p>
    <w:p w:rsidR="00B02591" w:rsidRDefault="00B02591" w:rsidP="00DA06D8">
      <w:pPr>
        <w:pStyle w:val="BodyText"/>
        <w:pBdr>
          <w:top w:val="single" w:sz="4" w:space="1" w:color="auto"/>
          <w:left w:val="single" w:sz="4" w:space="4" w:color="auto"/>
          <w:bottom w:val="single" w:sz="4" w:space="1" w:color="auto"/>
          <w:right w:val="single" w:sz="4" w:space="4" w:color="auto"/>
        </w:pBdr>
      </w:pPr>
    </w:p>
    <w:p w:rsidR="00303275" w:rsidRDefault="00303275">
      <w:pPr>
        <w:rPr>
          <w:rFonts w:ascii="Arial" w:hAnsi="Arial" w:cs="Arial"/>
          <w:b/>
          <w:bCs/>
          <w:color w:val="00408A"/>
          <w:kern w:val="32"/>
          <w:sz w:val="30"/>
          <w:szCs w:val="30"/>
        </w:rPr>
      </w:pPr>
      <w:r>
        <w:br w:type="page"/>
      </w:r>
    </w:p>
    <w:p w:rsidR="00D60EA5" w:rsidRDefault="00D60EA5" w:rsidP="00D60EA5">
      <w:pPr>
        <w:pStyle w:val="Heading1"/>
      </w:pPr>
      <w:bookmarkStart w:id="37" w:name="_Toc401138379"/>
      <w:r>
        <w:lastRenderedPageBreak/>
        <w:t>Assessment criterion 5: Productivity improvements and cost containment strategies</w:t>
      </w:r>
      <w:bookmarkEnd w:id="37"/>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eg, user charges.  Identify </w:t>
      </w:r>
      <w:r w:rsidR="00A52804" w:rsidRPr="00303275">
        <w:t xml:space="preserve">if the </w:t>
      </w:r>
      <w:r w:rsidRPr="00303275">
        <w:t>proposed initiatives</w:t>
      </w:r>
      <w:r w:rsidR="003035AF" w:rsidRPr="00303275">
        <w:t xml:space="preserve"> (</w:t>
      </w:r>
      <w:proofErr w:type="spellStart"/>
      <w:r w:rsidR="003035AF" w:rsidRPr="00303275">
        <w:t>ie</w:t>
      </w:r>
      <w:proofErr w:type="spellEnd"/>
      <w:r w:rsidR="003035AF" w:rsidRPr="00303275">
        <w:t>, cost savings),</w:t>
      </w:r>
      <w:r w:rsidRPr="00303275">
        <w:t xml:space="preserve"> have been factored into the council’s resourcing strategy (eg,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266497" w:rsidRDefault="00987EA5" w:rsidP="00266497">
      <w:pPr>
        <w:pStyle w:val="BodyText"/>
        <w:pBdr>
          <w:top w:val="single" w:sz="4" w:space="1" w:color="auto"/>
          <w:left w:val="single" w:sz="4" w:space="4" w:color="auto"/>
          <w:bottom w:val="single" w:sz="4" w:space="1" w:color="auto"/>
          <w:right w:val="single" w:sz="4" w:space="4" w:color="auto"/>
        </w:pBdr>
      </w:pPr>
      <w:r>
        <w:t>Council has undertaken considerable efforts over a number of years to ensure that a process of review and continual improvement is in place across all functions to identify and implement measures to reduce costs and improve efficiencies and productivity. In the broader sense, arrangements are in place for some functions that take advantage of regional co-ordination or delivery such as;</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-weed management function delivered through the Far North Coast County Council</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-Rural Fire Service function delivered through partnership with Richmond Valley Council and Lismore City Council</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-Library services delivered through regional library with Richmond Valley Council and Lismore City Council</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 xml:space="preserve">-regional collaboration on water and sewerage management through Memorandum of Understanding </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-regional co-ordination and co-operation in relation to Risk, Human Resources, Work Health Safety, Tourism and Economic Development and Natural Resource Management</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tab/>
        <w:t>-regional co-ordination and common standards for development, design and construction specification across the region (excluding Tweed Shire Council)</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ind w:firstLine="284"/>
      </w:pPr>
      <w:r>
        <w:t>-development of a regional procurement road map through NOROC</w:t>
      </w: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p>
    <w:p w:rsidR="00987EA5" w:rsidRDefault="00987EA5" w:rsidP="00987EA5">
      <w:pPr>
        <w:pStyle w:val="BodyText"/>
        <w:pBdr>
          <w:top w:val="single" w:sz="4" w:space="1" w:color="auto"/>
          <w:left w:val="single" w:sz="4" w:space="4" w:color="auto"/>
          <w:bottom w:val="single" w:sz="4" w:space="1" w:color="auto"/>
          <w:right w:val="single" w:sz="4" w:space="4" w:color="auto"/>
        </w:pBdr>
        <w:spacing w:before="0"/>
      </w:pPr>
      <w:r>
        <w:lastRenderedPageBreak/>
        <w:t xml:space="preserve">Council has implemented </w:t>
      </w:r>
      <w:r w:rsidR="007B4641">
        <w:t xml:space="preserve">an energy efficient street lighting retrofit program </w:t>
      </w:r>
      <w:r>
        <w:t xml:space="preserve">programs to improve efficiencies and reduce costs </w:t>
      </w:r>
      <w:r w:rsidR="007B4641">
        <w:t>of this function.</w:t>
      </w:r>
    </w:p>
    <w:p w:rsidR="007B4641" w:rsidRDefault="007B4641" w:rsidP="00987EA5">
      <w:pPr>
        <w:pStyle w:val="BodyText"/>
        <w:pBdr>
          <w:top w:val="single" w:sz="4" w:space="1" w:color="auto"/>
          <w:left w:val="single" w:sz="4" w:space="4" w:color="auto"/>
          <w:bottom w:val="single" w:sz="4" w:space="1" w:color="auto"/>
          <w:right w:val="single" w:sz="4" w:space="4" w:color="auto"/>
        </w:pBdr>
        <w:spacing w:before="0"/>
      </w:pPr>
    </w:p>
    <w:p w:rsidR="00987EA5" w:rsidRDefault="00E146EF" w:rsidP="00987EA5">
      <w:pPr>
        <w:pStyle w:val="BodyText"/>
        <w:pBdr>
          <w:top w:val="single" w:sz="4" w:space="1" w:color="auto"/>
          <w:left w:val="single" w:sz="4" w:space="4" w:color="auto"/>
          <w:bottom w:val="single" w:sz="4" w:space="1" w:color="auto"/>
          <w:right w:val="single" w:sz="4" w:space="4" w:color="auto"/>
        </w:pBdr>
        <w:spacing w:before="0"/>
      </w:pPr>
      <w:r>
        <w:t>Other areas where processes are in place to review the way Council delivers its services to provide productivity gains include;</w:t>
      </w:r>
    </w:p>
    <w:p w:rsidR="00E146EF" w:rsidRDefault="00E146EF" w:rsidP="00987EA5">
      <w:pPr>
        <w:pStyle w:val="BodyText"/>
        <w:pBdr>
          <w:top w:val="single" w:sz="4" w:space="1" w:color="auto"/>
          <w:left w:val="single" w:sz="4" w:space="4" w:color="auto"/>
          <w:bottom w:val="single" w:sz="4" w:space="1" w:color="auto"/>
          <w:right w:val="single" w:sz="4" w:space="4" w:color="auto"/>
        </w:pBdr>
        <w:spacing w:before="0"/>
      </w:pPr>
      <w:r>
        <w:tab/>
        <w:t>-customer service functions</w:t>
      </w:r>
    </w:p>
    <w:p w:rsidR="00E146EF" w:rsidRDefault="00E146EF" w:rsidP="00987EA5">
      <w:pPr>
        <w:pStyle w:val="BodyText"/>
        <w:pBdr>
          <w:top w:val="single" w:sz="4" w:space="1" w:color="auto"/>
          <w:left w:val="single" w:sz="4" w:space="4" w:color="auto"/>
          <w:bottom w:val="single" w:sz="4" w:space="1" w:color="auto"/>
          <w:right w:val="single" w:sz="4" w:space="4" w:color="auto"/>
        </w:pBdr>
        <w:spacing w:before="0"/>
      </w:pPr>
      <w:r>
        <w:tab/>
        <w:t>-</w:t>
      </w:r>
      <w:r w:rsidR="007B4641">
        <w:t>introduction of a new waste management charge to ratepayers not serviced by Domestic waste to remove or reduce existing cross subsidies from general rating revenues</w:t>
      </w:r>
    </w:p>
    <w:p w:rsidR="007B4641" w:rsidRDefault="007B4641" w:rsidP="003852EE">
      <w:pPr>
        <w:pStyle w:val="BodyText"/>
        <w:pBdr>
          <w:top w:val="single" w:sz="4" w:space="1" w:color="auto"/>
          <w:left w:val="single" w:sz="4" w:space="4" w:color="auto"/>
          <w:bottom w:val="single" w:sz="4" w:space="1" w:color="auto"/>
          <w:right w:val="single" w:sz="4" w:space="4" w:color="auto"/>
        </w:pBdr>
        <w:spacing w:before="0"/>
        <w:ind w:firstLine="284"/>
      </w:pPr>
      <w:proofErr w:type="gramStart"/>
      <w:r>
        <w:t>-</w:t>
      </w:r>
      <w:r w:rsidR="003852EE">
        <w:t>continuous</w:t>
      </w:r>
      <w:r>
        <w:t xml:space="preserve"> improvement program around the delivery of road and bridge maintenance, design and construction functions.</w:t>
      </w:r>
      <w:proofErr w:type="gramEnd"/>
    </w:p>
    <w:p w:rsidR="003852EE" w:rsidRDefault="003852EE" w:rsidP="003852EE">
      <w:pPr>
        <w:pStyle w:val="BodyText"/>
        <w:pBdr>
          <w:top w:val="single" w:sz="4" w:space="1" w:color="auto"/>
          <w:left w:val="single" w:sz="4" w:space="4" w:color="auto"/>
          <w:bottom w:val="single" w:sz="4" w:space="1" w:color="auto"/>
          <w:right w:val="single" w:sz="4" w:space="4" w:color="auto"/>
        </w:pBdr>
        <w:spacing w:before="0"/>
        <w:ind w:firstLine="284"/>
      </w:pPr>
      <w:r>
        <w:tab/>
        <w:t xml:space="preserve">-review of existing procurement policies and procedures and development of a procurement road map using external consultants </w:t>
      </w:r>
      <w:proofErr w:type="spellStart"/>
      <w:r>
        <w:t>ArcBlue</w:t>
      </w:r>
      <w:proofErr w:type="spellEnd"/>
    </w:p>
    <w:p w:rsidR="003852EE" w:rsidRDefault="003852EE" w:rsidP="003852EE">
      <w:pPr>
        <w:pStyle w:val="BodyText"/>
        <w:pBdr>
          <w:top w:val="single" w:sz="4" w:space="1" w:color="auto"/>
          <w:left w:val="single" w:sz="4" w:space="4" w:color="auto"/>
          <w:bottom w:val="single" w:sz="4" w:space="1" w:color="auto"/>
          <w:right w:val="single" w:sz="4" w:space="4" w:color="auto"/>
        </w:pBdr>
        <w:spacing w:before="0"/>
      </w:pPr>
    </w:p>
    <w:p w:rsidR="003852EE" w:rsidRDefault="003852EE" w:rsidP="003852EE">
      <w:pPr>
        <w:pStyle w:val="BodyText"/>
        <w:pBdr>
          <w:top w:val="single" w:sz="4" w:space="1" w:color="auto"/>
          <w:left w:val="single" w:sz="4" w:space="4" w:color="auto"/>
          <w:bottom w:val="single" w:sz="4" w:space="1" w:color="auto"/>
          <w:right w:val="single" w:sz="4" w:space="4" w:color="auto"/>
        </w:pBdr>
        <w:spacing w:before="0"/>
      </w:pPr>
      <w:r>
        <w:t xml:space="preserve">Council commissioned a report from external consultants Complete Urban in 2012 to review the organisational structure and the technical services function delivery. There were a series of recommendations identified in this report, and Council is undertaking a program to implement these recommendations. The organisational structure was changed based on the recommendations of this report in 2012, with the implementation of this new structure now completed. </w:t>
      </w:r>
    </w:p>
    <w:p w:rsidR="00B02591" w:rsidRDefault="00E146EF" w:rsidP="00266497">
      <w:pPr>
        <w:pStyle w:val="BodyText"/>
        <w:pBdr>
          <w:top w:val="single" w:sz="4" w:space="1" w:color="auto"/>
          <w:left w:val="single" w:sz="4" w:space="4" w:color="auto"/>
          <w:bottom w:val="single" w:sz="4" w:space="1" w:color="auto"/>
          <w:right w:val="single" w:sz="4" w:space="4" w:color="auto"/>
        </w:pBdr>
      </w:pPr>
      <w:r>
        <w:t>Additional cost reduction, productivity and efficiency programs identified in the adopted LTFP include;</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-energy efficiency programs across community buildings, swimming pools, depots and administration buildings, including solar system retrofits</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-efficiency dividend of 0.5% per year applied to the cost areas of contracts and materials across all administrative functions for the life of the 20 year LTFP</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-utilising existing cash reserves and additional borrowings to ensure sufficient funds are available to take advantage of external funding opportunities that arise in key areas where matching funding is normally required</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-implementation of an initial sealing program for the most heavily trafficked unsealed roads to reduce life cycle costs</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-moving the Art Gallery operations from a rented building to an existing Council building, being the Kyogle Memorial Institute Hall</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pPr>
      <w:r>
        <w:tab/>
        <w:t>-disposal of excess community buildings</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ind w:firstLine="284"/>
      </w:pPr>
      <w:r>
        <w:t>-provision of a weigh bridge at the Kyogle landfill site to minimise payments under the NSW Governments tax applied as a levee on landfilling activities</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ind w:firstLine="284"/>
      </w:pPr>
      <w:r>
        <w:t>-closing of one waste transfer station</w:t>
      </w:r>
    </w:p>
    <w:p w:rsidR="00E146EF" w:rsidRDefault="00E146EF" w:rsidP="00E146EF">
      <w:pPr>
        <w:pStyle w:val="BodyText"/>
        <w:pBdr>
          <w:top w:val="single" w:sz="4" w:space="1" w:color="auto"/>
          <w:left w:val="single" w:sz="4" w:space="4" w:color="auto"/>
          <w:bottom w:val="single" w:sz="4" w:space="1" w:color="auto"/>
          <w:right w:val="single" w:sz="4" w:space="4" w:color="auto"/>
        </w:pBdr>
        <w:spacing w:before="0"/>
        <w:ind w:firstLine="284"/>
      </w:pPr>
      <w:r>
        <w:t>-conversion of the Woodenbong landfill to a waste transfer station, with diversion to the Kyogle landfill via the new weigh bridge</w:t>
      </w:r>
    </w:p>
    <w:p w:rsidR="00E146EF" w:rsidRDefault="007B4641" w:rsidP="00E146EF">
      <w:pPr>
        <w:pStyle w:val="BodyText"/>
        <w:pBdr>
          <w:top w:val="single" w:sz="4" w:space="1" w:color="auto"/>
          <w:left w:val="single" w:sz="4" w:space="4" w:color="auto"/>
          <w:bottom w:val="single" w:sz="4" w:space="1" w:color="auto"/>
          <w:right w:val="single" w:sz="4" w:space="4" w:color="auto"/>
        </w:pBdr>
        <w:spacing w:before="0"/>
        <w:ind w:firstLine="284"/>
      </w:pPr>
      <w:r>
        <w:t>-increased capital renewal funding for sealed roads to reduce life cycle costs by reducing the need for increased maintenance and costly rehabilitation caused by delays in capital renewal expenditure</w:t>
      </w:r>
    </w:p>
    <w:p w:rsidR="007B4641" w:rsidRDefault="007B4641" w:rsidP="00E146EF">
      <w:pPr>
        <w:pStyle w:val="BodyText"/>
        <w:pBdr>
          <w:top w:val="single" w:sz="4" w:space="1" w:color="auto"/>
          <w:left w:val="single" w:sz="4" w:space="4" w:color="auto"/>
          <w:bottom w:val="single" w:sz="4" w:space="1" w:color="auto"/>
          <w:right w:val="single" w:sz="4" w:space="4" w:color="auto"/>
        </w:pBdr>
        <w:spacing w:before="0"/>
        <w:ind w:firstLine="284"/>
      </w:pPr>
      <w:r>
        <w:t>-reduction and eventual elimination of timber bridges to reduce annual maintenance costs for the bridge network as a whole</w:t>
      </w:r>
    </w:p>
    <w:p w:rsidR="007B4641" w:rsidRDefault="007B4641" w:rsidP="00E146EF">
      <w:pPr>
        <w:pStyle w:val="BodyText"/>
        <w:pBdr>
          <w:top w:val="single" w:sz="4" w:space="1" w:color="auto"/>
          <w:left w:val="single" w:sz="4" w:space="4" w:color="auto"/>
          <w:bottom w:val="single" w:sz="4" w:space="1" w:color="auto"/>
          <w:right w:val="single" w:sz="4" w:space="4" w:color="auto"/>
        </w:pBdr>
        <w:spacing w:before="0"/>
        <w:ind w:firstLine="284"/>
      </w:pPr>
      <w:r>
        <w:lastRenderedPageBreak/>
        <w:t>-reduced funding for areas where benefits are to specific groups or individuals and not necessarily related to Councils core strategic pathways such a Futures Funding and Self Help funding</w:t>
      </w:r>
    </w:p>
    <w:p w:rsidR="007B4641" w:rsidRDefault="007B4641" w:rsidP="00E146EF">
      <w:pPr>
        <w:pStyle w:val="BodyText"/>
        <w:pBdr>
          <w:top w:val="single" w:sz="4" w:space="1" w:color="auto"/>
          <w:left w:val="single" w:sz="4" w:space="4" w:color="auto"/>
          <w:bottom w:val="single" w:sz="4" w:space="1" w:color="auto"/>
          <w:right w:val="single" w:sz="4" w:space="4" w:color="auto"/>
        </w:pBdr>
        <w:spacing w:before="0"/>
        <w:ind w:firstLine="284"/>
      </w:pPr>
      <w:r>
        <w:t>-reduced budgets for external consultancies in the delivery of Councils planning functions</w:t>
      </w:r>
    </w:p>
    <w:p w:rsidR="00E146EF" w:rsidRDefault="007B4641" w:rsidP="007B4641">
      <w:pPr>
        <w:pStyle w:val="BodyText"/>
        <w:pBdr>
          <w:top w:val="single" w:sz="4" w:space="1" w:color="auto"/>
          <w:left w:val="single" w:sz="4" w:space="4" w:color="auto"/>
          <w:bottom w:val="single" w:sz="4" w:space="1" w:color="auto"/>
          <w:right w:val="single" w:sz="4" w:space="4" w:color="auto"/>
        </w:pBdr>
        <w:spacing w:before="0"/>
        <w:ind w:firstLine="284"/>
      </w:pPr>
      <w:r>
        <w:t>-reduced expenditure levels in lower priority areas to increase available funds for higher priority areas</w:t>
      </w:r>
    </w:p>
    <w:p w:rsidR="00B02591" w:rsidRDefault="007B4641" w:rsidP="00266497">
      <w:pPr>
        <w:pStyle w:val="BodyText"/>
        <w:pBdr>
          <w:top w:val="single" w:sz="4" w:space="1" w:color="auto"/>
          <w:left w:val="single" w:sz="4" w:space="4" w:color="auto"/>
          <w:bottom w:val="single" w:sz="4" w:space="1" w:color="auto"/>
          <w:right w:val="single" w:sz="4" w:space="4" w:color="auto"/>
        </w:pBdr>
      </w:pPr>
      <w:r>
        <w:t xml:space="preserve">Council will also be working closely with its regional partners in the implementation of the Joint Organisations of Councils proposed as part of the NSW governments </w:t>
      </w:r>
      <w:proofErr w:type="gramStart"/>
      <w:r>
        <w:t>Fit</w:t>
      </w:r>
      <w:proofErr w:type="gramEnd"/>
      <w:r>
        <w:t xml:space="preserve"> for the Future reforms. It is expected that this process will identify opportunities for delivery of some functions at a regional level, with subsequent cost reductions for Kyogle Council. AT this stage there is no specific proposal for the region, as the implementation of the JO’s is in its early stages, but Council will be actively involved in the process for this region to ensure that these opportunities are realised as the JO</w:t>
      </w:r>
      <w:r w:rsidR="003852EE">
        <w:t xml:space="preserve"> model for this region is developed.</w:t>
      </w:r>
    </w:p>
    <w:p w:rsidR="00D60EA5" w:rsidRDefault="007304A8" w:rsidP="006607B9">
      <w:pPr>
        <w:pStyle w:val="Heading1"/>
      </w:pPr>
      <w:bookmarkStart w:id="38" w:name="_Toc401138380"/>
      <w:r>
        <w:t>List of attachments</w:t>
      </w:r>
      <w:bookmarkEnd w:id="38"/>
    </w:p>
    <w:p w:rsidR="006C0DA7" w:rsidRDefault="005C4769" w:rsidP="005C4769">
      <w:pPr>
        <w:pStyle w:val="BodyText"/>
      </w:pPr>
      <w:r w:rsidRPr="00303275">
        <w:t>The following is a list of the supporting documents to include with your  application</w:t>
      </w:r>
      <w:r w:rsidR="003F0F2B" w:rsidRPr="00303275">
        <w:t xml:space="preserve">.  </w:t>
      </w:r>
      <w:r w:rsidR="00D83471" w:rsidRPr="00303275">
        <w:t>Some of these attachments will be mandatory to all special variation applications</w:t>
      </w:r>
      <w:r w:rsidR="00E70AC8" w:rsidRPr="00303275">
        <w:t xml:space="preserve"> eg,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Check14"/>
                  <w:enabled/>
                  <w:calcOnExit w:val="0"/>
                  <w:checkBox>
                    <w:sizeAuto/>
                    <w:default w:val="1"/>
                  </w:checkBox>
                </w:ffData>
              </w:fldChar>
            </w:r>
            <w:bookmarkStart w:id="39" w:name="Check14"/>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39"/>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04273D"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04273D" w:rsidP="006D3A62">
            <w:pPr>
              <w:pStyle w:val="TableTextEntries"/>
              <w:jc w:val="center"/>
              <w:rPr>
                <w:sz w:val="24"/>
                <w:szCs w:val="24"/>
              </w:rPr>
            </w:pPr>
            <w:r>
              <w:rPr>
                <w:sz w:val="24"/>
                <w:szCs w:val="24"/>
              </w:rPr>
              <w:fldChar w:fldCharType="begin">
                <w:ffData>
                  <w:name w:val="Check15"/>
                  <w:enabled/>
                  <w:calcOnExit w:val="0"/>
                  <w:checkBox>
                    <w:sizeAuto/>
                    <w:default w:val="1"/>
                  </w:checkBox>
                </w:ffData>
              </w:fldChar>
            </w:r>
            <w:bookmarkStart w:id="40" w:name="Check15"/>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40"/>
          </w:p>
        </w:tc>
      </w:tr>
      <w:tr w:rsidR="00FF1230" w:rsidRPr="006D3A62" w:rsidTr="002550E3">
        <w:tc>
          <w:tcPr>
            <w:tcW w:w="7040" w:type="dxa"/>
            <w:vAlign w:val="center"/>
          </w:tcPr>
          <w:p w:rsidR="00FF1230" w:rsidRPr="00303275" w:rsidRDefault="00FF1230" w:rsidP="008B7ECB">
            <w:pPr>
              <w:pStyle w:val="TableTextEntries"/>
              <w:rPr>
                <w:b/>
              </w:rPr>
            </w:pPr>
            <w:r w:rsidRPr="00303275">
              <w:t xml:space="preserve">Attachment 4: </w:t>
            </w:r>
            <w:proofErr w:type="spellStart"/>
            <w:r w:rsidRPr="00303275">
              <w:t>TCorp</w:t>
            </w:r>
            <w:proofErr w:type="spellEnd"/>
            <w:r w:rsidRPr="00303275">
              <w:t xml:space="preserve"> report on financial sustainability</w:t>
            </w:r>
          </w:p>
        </w:tc>
        <w:tc>
          <w:tcPr>
            <w:tcW w:w="1114" w:type="dxa"/>
            <w:vAlign w:val="center"/>
          </w:tcPr>
          <w:p w:rsidR="00FF1230" w:rsidRPr="006D3A62" w:rsidRDefault="0004273D" w:rsidP="006D3A62">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Check13"/>
                  <w:enabled/>
                  <w:calcOnExit w:val="0"/>
                  <w:checkBox>
                    <w:sizeAuto/>
                    <w:default w:val="1"/>
                  </w:checkBox>
                </w:ffData>
              </w:fldChar>
            </w:r>
            <w:bookmarkStart w:id="41" w:name="Check13"/>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41"/>
          </w:p>
        </w:tc>
      </w:tr>
      <w:tr w:rsidR="00FF1230" w:rsidRPr="006D3A62" w:rsidTr="002550E3">
        <w:tc>
          <w:tcPr>
            <w:tcW w:w="7040" w:type="dxa"/>
            <w:vAlign w:val="center"/>
          </w:tcPr>
          <w:p w:rsidR="00FF1230" w:rsidRPr="00303275" w:rsidRDefault="00FF1230" w:rsidP="008B7ECB">
            <w:pPr>
              <w:pStyle w:val="TableTextEntries"/>
            </w:pPr>
            <w:r w:rsidRPr="00303275">
              <w:t>Attachment 6: Community feedback (including surveys and results if applicable)</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0705E4">
            <w:pPr>
              <w:pStyle w:val="TableTextEntries"/>
            </w:pPr>
            <w:r w:rsidRPr="00303275">
              <w:t>Attachment 7: Hardship Policy</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Check10"/>
                  <w:enabled/>
                  <w:calcOnExit w:val="0"/>
                  <w:checkBox>
                    <w:sizeAuto/>
                    <w:default w:val="1"/>
                  </w:checkBox>
                </w:ffData>
              </w:fldChar>
            </w:r>
            <w:bookmarkStart w:id="42" w:name="Check10"/>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42"/>
          </w:p>
        </w:tc>
      </w:tr>
      <w:tr w:rsidR="00FF1230" w:rsidRPr="006D3A62" w:rsidTr="002550E3">
        <w:tc>
          <w:tcPr>
            <w:tcW w:w="7040" w:type="dxa"/>
            <w:vAlign w:val="center"/>
          </w:tcPr>
          <w:p w:rsidR="00FF1230" w:rsidRPr="00303275" w:rsidRDefault="00FF1230" w:rsidP="008B7ECB">
            <w:pPr>
              <w:pStyle w:val="TableTextEntries"/>
            </w:pPr>
            <w:r w:rsidRPr="00303275">
              <w:t>Attachment 8: Resolution to apply for the special variation</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t>Attachment 9: Certification</w:t>
            </w:r>
          </w:p>
        </w:tc>
        <w:tc>
          <w:tcPr>
            <w:tcW w:w="1114" w:type="dxa"/>
            <w:vAlign w:val="center"/>
          </w:tcPr>
          <w:p w:rsidR="00FF1230" w:rsidRPr="006D3A62" w:rsidRDefault="0004273D" w:rsidP="000705E4">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FF1230" w:rsidRPr="006D3A62" w:rsidTr="002550E3">
        <w:tc>
          <w:tcPr>
            <w:tcW w:w="7040" w:type="dxa"/>
            <w:vAlign w:val="center"/>
          </w:tcPr>
          <w:p w:rsidR="00FF1230" w:rsidRPr="00303275" w:rsidRDefault="00FF1230" w:rsidP="008B7ECB">
            <w:pPr>
              <w:pStyle w:val="TableTextEntries"/>
            </w:pPr>
            <w:r w:rsidRPr="00303275">
              <w:rPr>
                <w:b/>
              </w:rPr>
              <w:t xml:space="preserve">Other </w:t>
            </w:r>
            <w:r w:rsidR="00303275" w:rsidRPr="00303275">
              <w:rPr>
                <w:b/>
              </w:rPr>
              <w:t>Attachments</w:t>
            </w:r>
          </w:p>
        </w:tc>
        <w:tc>
          <w:tcPr>
            <w:tcW w:w="1114" w:type="dxa"/>
            <w:vAlign w:val="center"/>
          </w:tcPr>
          <w:p w:rsidR="00FF1230" w:rsidRPr="006D3A62" w:rsidRDefault="00FF1230" w:rsidP="006D3A62">
            <w:pPr>
              <w:pStyle w:val="TableTextEntries"/>
              <w:jc w:val="center"/>
              <w:rPr>
                <w:sz w:val="24"/>
                <w:szCs w:val="24"/>
              </w:rPr>
            </w:pPr>
          </w:p>
        </w:tc>
      </w:tr>
      <w:tr w:rsidR="00FF1230" w:rsidRPr="006D3A62" w:rsidTr="002550E3">
        <w:tc>
          <w:tcPr>
            <w:tcW w:w="7040" w:type="dxa"/>
            <w:vAlign w:val="center"/>
          </w:tcPr>
          <w:p w:rsidR="00FF1230" w:rsidRPr="00303275" w:rsidRDefault="00FF1230" w:rsidP="008B7ECB">
            <w:pPr>
              <w:pStyle w:val="TableTextEntries"/>
            </w:pPr>
            <w:r w:rsidRPr="00303275">
              <w:t xml:space="preserve">Attachment 10: Relevant extracts from the Asset Management Plan </w:t>
            </w:r>
          </w:p>
        </w:tc>
        <w:tc>
          <w:tcPr>
            <w:tcW w:w="1114" w:type="dxa"/>
            <w:vAlign w:val="center"/>
          </w:tcPr>
          <w:p w:rsidR="00FF1230" w:rsidRPr="006D3A62" w:rsidRDefault="0004273D" w:rsidP="006D3A62">
            <w:pPr>
              <w:pStyle w:val="TableTextEntries"/>
              <w:jc w:val="center"/>
              <w:rPr>
                <w:sz w:val="24"/>
                <w:szCs w:val="24"/>
              </w:rPr>
            </w:pPr>
            <w:r>
              <w:rPr>
                <w:sz w:val="24"/>
                <w:szCs w:val="24"/>
              </w:rPr>
              <w:fldChar w:fldCharType="begin">
                <w:ffData>
                  <w:name w:val="Check16"/>
                  <w:enabled/>
                  <w:calcOnExit w:val="0"/>
                  <w:checkBox>
                    <w:sizeAuto/>
                    <w:default w:val="1"/>
                  </w:checkBox>
                </w:ffData>
              </w:fldChar>
            </w:r>
            <w:bookmarkStart w:id="43" w:name="Check16"/>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43"/>
          </w:p>
        </w:tc>
      </w:tr>
      <w:tr w:rsidR="00FF1230" w:rsidRPr="006D3A62" w:rsidTr="002550E3">
        <w:tc>
          <w:tcPr>
            <w:tcW w:w="7040" w:type="dxa"/>
            <w:vAlign w:val="center"/>
          </w:tcPr>
          <w:p w:rsidR="00FF1230" w:rsidRPr="00303275" w:rsidRDefault="00FF1230" w:rsidP="002550E3">
            <w:pPr>
              <w:pStyle w:val="TableTextEntries"/>
            </w:pPr>
            <w:r w:rsidRPr="00303275">
              <w:t>Attachment 11: Past Instruments of Approval (if applicable)</w:t>
            </w:r>
          </w:p>
        </w:tc>
        <w:tc>
          <w:tcPr>
            <w:tcW w:w="1114" w:type="dxa"/>
            <w:vAlign w:val="center"/>
          </w:tcPr>
          <w:p w:rsidR="00FF1230" w:rsidRPr="006D3A62" w:rsidRDefault="009F6784" w:rsidP="006D3A62">
            <w:pPr>
              <w:pStyle w:val="TableTextEntries"/>
              <w:jc w:val="center"/>
              <w:rPr>
                <w:sz w:val="24"/>
                <w:szCs w:val="24"/>
              </w:rPr>
            </w:pPr>
            <w:r>
              <w:rPr>
                <w:sz w:val="24"/>
                <w:szCs w:val="24"/>
              </w:rPr>
              <w:t>N/A</w:t>
            </w:r>
          </w:p>
        </w:tc>
      </w:tr>
      <w:tr w:rsidR="00FF1230" w:rsidRPr="006D3A62" w:rsidTr="002550E3">
        <w:tc>
          <w:tcPr>
            <w:tcW w:w="7040" w:type="dxa"/>
            <w:vAlign w:val="center"/>
          </w:tcPr>
          <w:p w:rsidR="00FF1230" w:rsidRPr="00303275" w:rsidRDefault="00FF1230" w:rsidP="00343EAD">
            <w:pPr>
              <w:pStyle w:val="TableTextEntries"/>
            </w:pPr>
            <w:r w:rsidRPr="00303275">
              <w:t>Attachment 12: Resolution to adopt the revised Community Strategic Plan (if necessary) and/or Delivery Program</w:t>
            </w:r>
          </w:p>
        </w:tc>
        <w:tc>
          <w:tcPr>
            <w:tcW w:w="1114" w:type="dxa"/>
            <w:vAlign w:val="center"/>
          </w:tcPr>
          <w:p w:rsidR="00FF1230" w:rsidRPr="006D3A62" w:rsidRDefault="0004273D" w:rsidP="006D3A62">
            <w:pPr>
              <w:pStyle w:val="TableTextEntries"/>
              <w:jc w:val="center"/>
              <w:rPr>
                <w:sz w:val="24"/>
                <w:szCs w:val="24"/>
              </w:rPr>
            </w:pPr>
            <w:r>
              <w:rPr>
                <w:sz w:val="24"/>
                <w:szCs w:val="24"/>
              </w:rPr>
              <w:fldChar w:fldCharType="begin">
                <w:ffData>
                  <w:name w:val="Check8"/>
                  <w:enabled/>
                  <w:calcOnExit w:val="0"/>
                  <w:checkBox>
                    <w:sizeAuto/>
                    <w:default w:val="1"/>
                  </w:checkBox>
                </w:ffData>
              </w:fldChar>
            </w:r>
            <w:bookmarkStart w:id="44" w:name="Check8"/>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bookmarkEnd w:id="44"/>
          </w:p>
        </w:tc>
      </w:tr>
      <w:tr w:rsidR="00FF1230" w:rsidRPr="006D3A62" w:rsidTr="002550E3">
        <w:tc>
          <w:tcPr>
            <w:tcW w:w="7040" w:type="dxa"/>
            <w:vAlign w:val="center"/>
          </w:tcPr>
          <w:p w:rsidR="00FF1230" w:rsidRPr="00303275" w:rsidRDefault="00FF1230" w:rsidP="00277CD0">
            <w:pPr>
              <w:pStyle w:val="TableTextEntries"/>
            </w:pPr>
            <w:r w:rsidRPr="00303275">
              <w:t>Attachment 13: Other (</w:t>
            </w:r>
            <w:r w:rsidR="00277CD0">
              <w:t>Community Engagement Strategy July 2014)</w:t>
            </w:r>
          </w:p>
        </w:tc>
        <w:tc>
          <w:tcPr>
            <w:tcW w:w="1114" w:type="dxa"/>
            <w:vAlign w:val="center"/>
          </w:tcPr>
          <w:p w:rsidR="00FF1230" w:rsidRPr="006D3A62" w:rsidRDefault="0004273D" w:rsidP="00651445">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9F6784">
              <w:rPr>
                <w:sz w:val="24"/>
                <w:szCs w:val="24"/>
              </w:rPr>
            </w:r>
            <w:r w:rsidR="009F6784">
              <w:rPr>
                <w:sz w:val="24"/>
                <w:szCs w:val="24"/>
              </w:rPr>
              <w:fldChar w:fldCharType="separate"/>
            </w:r>
            <w:r>
              <w:rPr>
                <w:sz w:val="24"/>
                <w:szCs w:val="24"/>
              </w:rPr>
              <w:fldChar w:fldCharType="end"/>
            </w:r>
          </w:p>
        </w:tc>
      </w:tr>
      <w:tr w:rsidR="00277CD0" w:rsidRPr="006D3A62" w:rsidTr="002550E3">
        <w:tc>
          <w:tcPr>
            <w:tcW w:w="7040" w:type="dxa"/>
            <w:vAlign w:val="center"/>
          </w:tcPr>
          <w:p w:rsidR="00277CD0" w:rsidRPr="00303275" w:rsidRDefault="00277CD0" w:rsidP="009F6784">
            <w:pPr>
              <w:pStyle w:val="TableTextEntries"/>
            </w:pPr>
            <w:r w:rsidRPr="00303275">
              <w:t>Attachment 1</w:t>
            </w:r>
            <w:r>
              <w:t>4</w:t>
            </w:r>
            <w:r w:rsidRPr="00303275">
              <w:t>: Other (</w:t>
            </w:r>
            <w:r w:rsidR="009F6784">
              <w:t>Review Today Report</w:t>
            </w:r>
            <w:r w:rsidR="007F23E4">
              <w:t xml:space="preserve"> April 2014</w:t>
            </w:r>
            <w:r w:rsidRPr="00303275">
              <w:t>)</w:t>
            </w:r>
          </w:p>
        </w:tc>
        <w:tc>
          <w:tcPr>
            <w:tcW w:w="1114" w:type="dxa"/>
            <w:vAlign w:val="center"/>
          </w:tcPr>
          <w:p w:rsidR="00277CD0" w:rsidRPr="006D3A62" w:rsidRDefault="007F23E4" w:rsidP="00C36D67">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p>
        </w:tc>
      </w:tr>
      <w:tr w:rsidR="00277CD0" w:rsidRPr="006D3A62" w:rsidTr="002550E3">
        <w:tc>
          <w:tcPr>
            <w:tcW w:w="7040" w:type="dxa"/>
            <w:vAlign w:val="center"/>
          </w:tcPr>
          <w:p w:rsidR="00277CD0" w:rsidRPr="00303275" w:rsidRDefault="00277CD0" w:rsidP="009F6784">
            <w:pPr>
              <w:pStyle w:val="TableTextEntries"/>
            </w:pPr>
            <w:r>
              <w:t>Attachment 15</w:t>
            </w:r>
            <w:r w:rsidRPr="00303275">
              <w:t>: Other (</w:t>
            </w:r>
            <w:r w:rsidR="009F6784">
              <w:t>Complete Urban Report</w:t>
            </w:r>
            <w:r w:rsidR="007F23E4">
              <w:t xml:space="preserve"> 2012</w:t>
            </w:r>
            <w:r w:rsidRPr="00303275">
              <w:t>)</w:t>
            </w:r>
          </w:p>
        </w:tc>
        <w:tc>
          <w:tcPr>
            <w:tcW w:w="1114" w:type="dxa"/>
            <w:vAlign w:val="center"/>
          </w:tcPr>
          <w:p w:rsidR="00277CD0" w:rsidRPr="006D3A62" w:rsidRDefault="007F23E4" w:rsidP="00C36D67">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p>
        </w:tc>
      </w:tr>
      <w:tr w:rsidR="00277CD0" w:rsidRPr="006D3A62" w:rsidTr="002550E3">
        <w:tc>
          <w:tcPr>
            <w:tcW w:w="7040" w:type="dxa"/>
            <w:vAlign w:val="center"/>
          </w:tcPr>
          <w:p w:rsidR="00277CD0" w:rsidRPr="00303275" w:rsidRDefault="00277CD0" w:rsidP="009F6784">
            <w:pPr>
              <w:pStyle w:val="TableTextEntries"/>
            </w:pPr>
            <w:r>
              <w:t>Attachment 16</w:t>
            </w:r>
            <w:r w:rsidR="009F6784">
              <w:t>: Other (Resident and Ratepayer Survey 2013</w:t>
            </w:r>
            <w:r w:rsidRPr="00303275">
              <w:t>)</w:t>
            </w:r>
          </w:p>
        </w:tc>
        <w:tc>
          <w:tcPr>
            <w:tcW w:w="1114" w:type="dxa"/>
            <w:vAlign w:val="center"/>
          </w:tcPr>
          <w:p w:rsidR="00277CD0" w:rsidRPr="006D3A62" w:rsidRDefault="007F23E4" w:rsidP="00C36D67">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p>
        </w:tc>
      </w:tr>
      <w:tr w:rsidR="00277CD0" w:rsidRPr="006D3A62" w:rsidTr="002550E3">
        <w:tc>
          <w:tcPr>
            <w:tcW w:w="7040" w:type="dxa"/>
            <w:vAlign w:val="center"/>
          </w:tcPr>
          <w:p w:rsidR="00277CD0" w:rsidRPr="00303275" w:rsidRDefault="00277CD0" w:rsidP="007F23E4">
            <w:pPr>
              <w:pStyle w:val="TableTextEntries"/>
            </w:pPr>
            <w:r>
              <w:t>Attachment 17</w:t>
            </w:r>
            <w:r w:rsidRPr="00303275">
              <w:t>: Other (</w:t>
            </w:r>
            <w:r w:rsidR="007F23E4">
              <w:t>Kyogle Economic Brief 2013</w:t>
            </w:r>
            <w:r w:rsidRPr="00303275">
              <w:t>)</w:t>
            </w:r>
          </w:p>
        </w:tc>
        <w:tc>
          <w:tcPr>
            <w:tcW w:w="1114" w:type="dxa"/>
            <w:vAlign w:val="center"/>
          </w:tcPr>
          <w:p w:rsidR="00277CD0" w:rsidRPr="006D3A62" w:rsidRDefault="007F23E4" w:rsidP="00C36D67">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p>
        </w:tc>
      </w:tr>
      <w:tr w:rsidR="00277CD0" w:rsidRPr="006D3A62" w:rsidTr="002550E3">
        <w:tc>
          <w:tcPr>
            <w:tcW w:w="7040" w:type="dxa"/>
            <w:vAlign w:val="center"/>
          </w:tcPr>
          <w:p w:rsidR="00277CD0" w:rsidRPr="00303275" w:rsidRDefault="00277CD0" w:rsidP="00C36D67">
            <w:pPr>
              <w:pStyle w:val="TableTextEntries"/>
            </w:pPr>
            <w:r>
              <w:t>Attachment 18</w:t>
            </w:r>
            <w:r w:rsidRPr="00303275">
              <w:t>: Other (please specify)</w:t>
            </w:r>
          </w:p>
        </w:tc>
        <w:tc>
          <w:tcPr>
            <w:tcW w:w="1114" w:type="dxa"/>
            <w:vAlign w:val="center"/>
          </w:tcPr>
          <w:p w:rsidR="00277CD0" w:rsidRPr="006D3A62" w:rsidRDefault="007F23E4" w:rsidP="00C36D67">
            <w:pPr>
              <w:pStyle w:val="TableTextEntries"/>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bookmarkStart w:id="45" w:name="_GoBack"/>
      <w:bookmarkEnd w:id="45"/>
      <w:r>
        <w:br w:type="column"/>
      </w:r>
      <w:bookmarkStart w:id="46" w:name="_Toc401138381"/>
      <w:r w:rsidR="00D60EA5" w:rsidRPr="00303275">
        <w:lastRenderedPageBreak/>
        <w:t>Certification</w:t>
      </w:r>
      <w:bookmarkEnd w:id="46"/>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CD3BEB">
        <w:t>Kyogle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CD3BEB">
        <w:t>Arthur Piggott</w:t>
      </w:r>
    </w:p>
    <w:p w:rsidR="005C4769" w:rsidRPr="00303275" w:rsidRDefault="005C4769" w:rsidP="005C4769">
      <w:pPr>
        <w:pStyle w:val="BodyText"/>
      </w:pPr>
      <w:r w:rsidRPr="00303275">
        <w:t xml:space="preserve">Signature and Date: </w:t>
      </w:r>
      <w:r w:rsidR="00CD3BEB">
        <w:tab/>
      </w:r>
      <w:r w:rsidR="00CD3BEB">
        <w:tab/>
      </w:r>
      <w:r w:rsidR="00CD3BEB">
        <w:tab/>
      </w:r>
      <w:r w:rsidR="00CD3BEB">
        <w:tab/>
      </w:r>
      <w:r w:rsidR="00CD3BEB">
        <w:tab/>
      </w:r>
      <w:r w:rsidR="00CD3BEB">
        <w:tab/>
      </w:r>
      <w:r w:rsidR="00CD3BEB">
        <w:tab/>
      </w:r>
      <w:r w:rsidR="00CD3BEB">
        <w:tab/>
        <w:t>Feb 12, 2015</w:t>
      </w:r>
    </w:p>
    <w:p w:rsidR="005C4769" w:rsidRPr="00303275" w:rsidRDefault="005C4769" w:rsidP="005C4769">
      <w:pPr>
        <w:pStyle w:val="BodyText"/>
      </w:pPr>
      <w:r w:rsidRPr="00303275">
        <w:t xml:space="preserve">Responsible Accounting Officer (name): </w:t>
      </w:r>
      <w:r w:rsidR="00CD3BEB">
        <w:t>Glenn Rose</w:t>
      </w:r>
    </w:p>
    <w:p w:rsidR="005C4769" w:rsidRPr="00303275" w:rsidRDefault="005C4769" w:rsidP="005C4769">
      <w:pPr>
        <w:pStyle w:val="BodyText"/>
      </w:pPr>
      <w:r w:rsidRPr="00303275">
        <w:t xml:space="preserve">Signature and Date: </w:t>
      </w:r>
      <w:r w:rsidR="00CD3BEB">
        <w:tab/>
      </w:r>
      <w:r w:rsidR="00CD3BEB">
        <w:tab/>
      </w:r>
      <w:r w:rsidR="00CD3BEB">
        <w:tab/>
      </w:r>
      <w:r w:rsidR="00CD3BEB">
        <w:tab/>
      </w:r>
      <w:r w:rsidR="00CD3BEB">
        <w:tab/>
      </w:r>
      <w:r w:rsidR="00CD3BEB">
        <w:tab/>
      </w:r>
      <w:r w:rsidR="00CD3BEB">
        <w:tab/>
      </w:r>
      <w:r w:rsidR="00CD3BEB">
        <w:tab/>
        <w:t>Feb 12, 2015</w:t>
      </w:r>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5C4769">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84" w:rsidRDefault="009F6784" w:rsidP="00856DDC">
      <w:r>
        <w:separator/>
      </w:r>
    </w:p>
    <w:p w:rsidR="009F6784" w:rsidRDefault="009F6784"/>
  </w:endnote>
  <w:endnote w:type="continuationSeparator" w:id="0">
    <w:p w:rsidR="009F6784" w:rsidRDefault="009F6784" w:rsidP="00856DDC">
      <w:r>
        <w:continuationSeparator/>
      </w:r>
    </w:p>
    <w:p w:rsidR="009F6784" w:rsidRDefault="009F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9F6784">
      <w:trPr>
        <w:cantSplit/>
      </w:trPr>
      <w:tc>
        <w:tcPr>
          <w:tcW w:w="567" w:type="dxa"/>
          <w:vAlign w:val="bottom"/>
        </w:tcPr>
        <w:p w:rsidR="009F6784" w:rsidRDefault="009F6784"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7F23E4">
            <w:rPr>
              <w:rStyle w:val="PageNumber"/>
              <w:noProof/>
            </w:rPr>
            <w:t>ii</w:t>
          </w:r>
          <w:r>
            <w:rPr>
              <w:rStyle w:val="PageNumber"/>
            </w:rPr>
            <w:fldChar w:fldCharType="end"/>
          </w:r>
        </w:p>
      </w:tc>
      <w:tc>
        <w:tcPr>
          <w:tcW w:w="142" w:type="dxa"/>
          <w:tcBorders>
            <w:right w:val="single" w:sz="8" w:space="0" w:color="7C7C7C"/>
          </w:tcBorders>
          <w:vAlign w:val="bottom"/>
        </w:tcPr>
        <w:p w:rsidR="009F6784" w:rsidRDefault="009F6784" w:rsidP="00321AF3">
          <w:pPr>
            <w:pStyle w:val="Footer"/>
          </w:pPr>
        </w:p>
      </w:tc>
      <w:tc>
        <w:tcPr>
          <w:tcW w:w="142" w:type="dxa"/>
          <w:tcBorders>
            <w:left w:val="single" w:sz="8" w:space="0" w:color="7C7C7C"/>
          </w:tcBorders>
          <w:vAlign w:val="bottom"/>
        </w:tcPr>
        <w:p w:rsidR="009F6784" w:rsidRDefault="009F6784" w:rsidP="00321AF3">
          <w:pPr>
            <w:pStyle w:val="Footer"/>
          </w:pPr>
        </w:p>
      </w:tc>
      <w:tc>
        <w:tcPr>
          <w:tcW w:w="7938" w:type="dxa"/>
          <w:vAlign w:val="bottom"/>
        </w:tcPr>
        <w:p w:rsidR="009F6784" w:rsidRDefault="009F6784" w:rsidP="00321AF3">
          <w:pPr>
            <w:pStyle w:val="Footer"/>
          </w:pPr>
          <w:r w:rsidRPr="00D661A7">
            <w:rPr>
              <w:b/>
            </w:rPr>
            <w:t>IPART</w:t>
          </w:r>
          <w:r w:rsidRPr="00CF179E">
            <w:rPr>
              <w:rFonts w:eastAsia="Arial Unicode MS" w:hAnsi="Arial Unicode MS" w:cs="Arial"/>
            </w:rPr>
            <w:t> </w:t>
          </w:r>
          <w:fldSimple w:instr=" STYLEREF  Title ">
            <w:r w:rsidR="007F23E4">
              <w:rPr>
                <w:noProof/>
              </w:rPr>
              <w:t>Special Variation Application Form – Part B</w:t>
            </w:r>
          </w:fldSimple>
        </w:p>
      </w:tc>
    </w:tr>
  </w:tbl>
  <w:p w:rsidR="009F6784" w:rsidRPr="00D661A7" w:rsidRDefault="009F6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9F6784">
      <w:trPr>
        <w:cantSplit/>
      </w:trPr>
      <w:tc>
        <w:tcPr>
          <w:tcW w:w="7938" w:type="dxa"/>
          <w:vAlign w:val="bottom"/>
        </w:tcPr>
        <w:p w:rsidR="009F6784" w:rsidRDefault="009F6784" w:rsidP="00321AF3">
          <w:pPr>
            <w:pStyle w:val="Footer"/>
            <w:jc w:val="right"/>
          </w:pPr>
          <w:fldSimple w:instr=" STYLEREF  Title ">
            <w:r w:rsidR="007F23E4">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9F6784" w:rsidRDefault="009F6784" w:rsidP="00321AF3">
          <w:pPr>
            <w:pStyle w:val="Footer"/>
          </w:pPr>
        </w:p>
      </w:tc>
      <w:tc>
        <w:tcPr>
          <w:tcW w:w="142" w:type="dxa"/>
          <w:tcBorders>
            <w:left w:val="single" w:sz="8" w:space="0" w:color="7C7C7C"/>
          </w:tcBorders>
          <w:vAlign w:val="bottom"/>
        </w:tcPr>
        <w:p w:rsidR="009F6784" w:rsidRDefault="009F6784" w:rsidP="00321AF3">
          <w:pPr>
            <w:pStyle w:val="Footer"/>
          </w:pPr>
        </w:p>
      </w:tc>
      <w:tc>
        <w:tcPr>
          <w:tcW w:w="567" w:type="dxa"/>
          <w:vAlign w:val="bottom"/>
        </w:tcPr>
        <w:p w:rsidR="009F6784" w:rsidRDefault="009F6784" w:rsidP="00321AF3">
          <w:pPr>
            <w:pStyle w:val="Footer"/>
          </w:pPr>
          <w:r>
            <w:rPr>
              <w:rStyle w:val="PageNumber"/>
            </w:rPr>
            <w:fldChar w:fldCharType="begin"/>
          </w:r>
          <w:r>
            <w:rPr>
              <w:rStyle w:val="PageNumber"/>
            </w:rPr>
            <w:instrText xml:space="preserve"> PAGE </w:instrText>
          </w:r>
          <w:r>
            <w:rPr>
              <w:rStyle w:val="PageNumber"/>
            </w:rPr>
            <w:fldChar w:fldCharType="separate"/>
          </w:r>
          <w:r w:rsidR="007F23E4">
            <w:rPr>
              <w:rStyle w:val="PageNumber"/>
              <w:noProof/>
            </w:rPr>
            <w:t>iii</w:t>
          </w:r>
          <w:r>
            <w:rPr>
              <w:rStyle w:val="PageNumber"/>
            </w:rPr>
            <w:fldChar w:fldCharType="end"/>
          </w:r>
        </w:p>
      </w:tc>
    </w:tr>
  </w:tbl>
  <w:p w:rsidR="009F6784" w:rsidRPr="00BB2D33" w:rsidRDefault="009F6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2231EC" w:rsidRDefault="009F67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9F6784">
      <w:trPr>
        <w:cantSplit/>
      </w:trPr>
      <w:tc>
        <w:tcPr>
          <w:tcW w:w="567" w:type="dxa"/>
          <w:vAlign w:val="bottom"/>
        </w:tcPr>
        <w:p w:rsidR="009F6784" w:rsidRDefault="009F6784"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7F23E4">
            <w:rPr>
              <w:rStyle w:val="PageNumber"/>
              <w:noProof/>
            </w:rPr>
            <w:t>24</w:t>
          </w:r>
          <w:r>
            <w:rPr>
              <w:rStyle w:val="PageNumber"/>
            </w:rPr>
            <w:fldChar w:fldCharType="end"/>
          </w:r>
        </w:p>
      </w:tc>
      <w:tc>
        <w:tcPr>
          <w:tcW w:w="142" w:type="dxa"/>
          <w:tcBorders>
            <w:right w:val="single" w:sz="8" w:space="0" w:color="7C7C7C"/>
          </w:tcBorders>
          <w:vAlign w:val="bottom"/>
        </w:tcPr>
        <w:p w:rsidR="009F6784" w:rsidRDefault="009F6784" w:rsidP="00BB7D2D">
          <w:pPr>
            <w:pStyle w:val="Footer"/>
          </w:pPr>
        </w:p>
      </w:tc>
      <w:tc>
        <w:tcPr>
          <w:tcW w:w="142" w:type="dxa"/>
          <w:tcBorders>
            <w:left w:val="single" w:sz="8" w:space="0" w:color="7C7C7C"/>
          </w:tcBorders>
          <w:vAlign w:val="bottom"/>
        </w:tcPr>
        <w:p w:rsidR="009F6784" w:rsidRDefault="009F6784" w:rsidP="00BB7D2D">
          <w:pPr>
            <w:pStyle w:val="Footer"/>
          </w:pPr>
        </w:p>
      </w:tc>
      <w:tc>
        <w:tcPr>
          <w:tcW w:w="7938" w:type="dxa"/>
          <w:vAlign w:val="bottom"/>
        </w:tcPr>
        <w:p w:rsidR="009F6784" w:rsidRDefault="009F6784" w:rsidP="00BB7D2D">
          <w:pPr>
            <w:pStyle w:val="Footer"/>
          </w:pPr>
          <w:r w:rsidRPr="00D661A7">
            <w:rPr>
              <w:b/>
            </w:rPr>
            <w:t>IPART</w:t>
          </w:r>
          <w:r w:rsidRPr="00CF179E">
            <w:rPr>
              <w:rFonts w:eastAsia="Arial Unicode MS" w:hAnsi="Arial Unicode MS" w:cs="Arial"/>
            </w:rPr>
            <w:t> </w:t>
          </w:r>
          <w:fldSimple w:instr=" STYLEREF  Title ">
            <w:r w:rsidR="007F23E4">
              <w:rPr>
                <w:noProof/>
              </w:rPr>
              <w:t>Special Variation Application Form – Part B</w:t>
            </w:r>
          </w:fldSimple>
        </w:p>
      </w:tc>
    </w:tr>
  </w:tbl>
  <w:p w:rsidR="009F6784" w:rsidRDefault="009F6784"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9F6784">
      <w:trPr>
        <w:cantSplit/>
      </w:trPr>
      <w:tc>
        <w:tcPr>
          <w:tcW w:w="7938" w:type="dxa"/>
          <w:vAlign w:val="bottom"/>
        </w:tcPr>
        <w:p w:rsidR="009F6784" w:rsidRDefault="009F6784" w:rsidP="00BB7D2D">
          <w:pPr>
            <w:pStyle w:val="Footer"/>
            <w:jc w:val="right"/>
          </w:pPr>
          <w:fldSimple w:instr=" STYLEREF  Title ">
            <w:r w:rsidR="007F23E4">
              <w:rPr>
                <w:noProof/>
              </w:rPr>
              <w:t>Special Variation Application Form – Part B</w:t>
            </w:r>
          </w:fldSimple>
          <w:bookmarkStart w:id="47"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9F6784" w:rsidRDefault="009F6784" w:rsidP="00BB7D2D">
          <w:pPr>
            <w:pStyle w:val="Footer"/>
          </w:pPr>
        </w:p>
      </w:tc>
      <w:tc>
        <w:tcPr>
          <w:tcW w:w="142" w:type="dxa"/>
          <w:tcBorders>
            <w:left w:val="single" w:sz="8" w:space="0" w:color="7C7C7C"/>
          </w:tcBorders>
          <w:vAlign w:val="bottom"/>
        </w:tcPr>
        <w:p w:rsidR="009F6784" w:rsidRDefault="009F6784" w:rsidP="00BB7D2D">
          <w:pPr>
            <w:pStyle w:val="Footer"/>
          </w:pPr>
        </w:p>
      </w:tc>
      <w:tc>
        <w:tcPr>
          <w:tcW w:w="567" w:type="dxa"/>
          <w:vAlign w:val="bottom"/>
        </w:tcPr>
        <w:p w:rsidR="009F6784" w:rsidRDefault="009F6784" w:rsidP="00BB7D2D">
          <w:pPr>
            <w:pStyle w:val="Footer"/>
          </w:pPr>
          <w:r>
            <w:rPr>
              <w:rStyle w:val="PageNumber"/>
            </w:rPr>
            <w:fldChar w:fldCharType="begin"/>
          </w:r>
          <w:r>
            <w:rPr>
              <w:rStyle w:val="PageNumber"/>
            </w:rPr>
            <w:instrText xml:space="preserve"> PAGE </w:instrText>
          </w:r>
          <w:r>
            <w:rPr>
              <w:rStyle w:val="PageNumber"/>
            </w:rPr>
            <w:fldChar w:fldCharType="separate"/>
          </w:r>
          <w:r w:rsidR="007F23E4">
            <w:rPr>
              <w:rStyle w:val="PageNumber"/>
              <w:noProof/>
            </w:rPr>
            <w:t>25</w:t>
          </w:r>
          <w:r>
            <w:rPr>
              <w:rStyle w:val="PageNumber"/>
            </w:rPr>
            <w:fldChar w:fldCharType="end"/>
          </w:r>
        </w:p>
      </w:tc>
    </w:tr>
    <w:bookmarkEnd w:id="47"/>
  </w:tbl>
  <w:p w:rsidR="009F6784" w:rsidRDefault="009F6784"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84" w:rsidRDefault="009F6784" w:rsidP="00856DDC">
      <w:r>
        <w:separator/>
      </w:r>
    </w:p>
  </w:footnote>
  <w:footnote w:type="continuationSeparator" w:id="0">
    <w:p w:rsidR="009F6784" w:rsidRDefault="009F6784" w:rsidP="00856DDC">
      <w:r>
        <w:continuationSeparator/>
      </w:r>
    </w:p>
    <w:p w:rsidR="009F6784" w:rsidRDefault="009F6784"/>
  </w:footnote>
  <w:footnote w:id="1">
    <w:p w:rsidR="009F6784" w:rsidRPr="00952245" w:rsidRDefault="009F6784"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9F6784" w:rsidRPr="00952245" w:rsidRDefault="009F6784"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9F6784" w:rsidRPr="00452CBD" w:rsidRDefault="009F6784"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9F6784" w:rsidRPr="0035428F" w:rsidRDefault="009F6784"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9F6784" w:rsidRPr="00CA35DF" w:rsidRDefault="009F6784"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9F6784" w:rsidRPr="00AF2242" w:rsidRDefault="009F6784">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Default="009F6784"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Default="009F67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BB2D33" w:rsidRDefault="009F67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26621F" w:rsidRDefault="009F6784"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26621F" w:rsidRDefault="009F6784"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083981" w:rsidRDefault="009F67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Default="009F6784">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784" w:rsidRDefault="009F6784"/>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C36D67" w:rsidRDefault="00C36D67"/>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4" w:rsidRPr="004401AD" w:rsidRDefault="009F6784">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784" w:rsidRDefault="009F6784"/>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C36D67" w:rsidRDefault="00C36D6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0">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1">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14"/>
  </w:num>
  <w:num w:numId="3">
    <w:abstractNumId w:val="39"/>
  </w:num>
  <w:num w:numId="4">
    <w:abstractNumId w:val="22"/>
  </w:num>
  <w:num w:numId="5">
    <w:abstractNumId w:val="29"/>
  </w:num>
  <w:num w:numId="6">
    <w:abstractNumId w:val="30"/>
  </w:num>
  <w:num w:numId="7">
    <w:abstractNumId w:val="27"/>
  </w:num>
  <w:num w:numId="8">
    <w:abstractNumId w:val="10"/>
  </w:num>
  <w:num w:numId="9">
    <w:abstractNumId w:val="2"/>
  </w:num>
  <w:num w:numId="10">
    <w:abstractNumId w:val="11"/>
  </w:num>
  <w:num w:numId="11">
    <w:abstractNumId w:val="23"/>
  </w:num>
  <w:num w:numId="12">
    <w:abstractNumId w:val="34"/>
  </w:num>
  <w:num w:numId="13">
    <w:abstractNumId w:val="18"/>
  </w:num>
  <w:num w:numId="14">
    <w:abstractNumId w:val="38"/>
  </w:num>
  <w:num w:numId="15">
    <w:abstractNumId w:val="28"/>
  </w:num>
  <w:num w:numId="16">
    <w:abstractNumId w:val="13"/>
  </w:num>
  <w:num w:numId="17">
    <w:abstractNumId w:val="35"/>
  </w:num>
  <w:num w:numId="18">
    <w:abstractNumId w:val="37"/>
  </w:num>
  <w:num w:numId="19">
    <w:abstractNumId w:val="32"/>
  </w:num>
  <w:num w:numId="20">
    <w:abstractNumId w:val="24"/>
  </w:num>
  <w:num w:numId="21">
    <w:abstractNumId w:val="17"/>
  </w:num>
  <w:num w:numId="22">
    <w:abstractNumId w:val="8"/>
  </w:num>
  <w:num w:numId="23">
    <w:abstractNumId w:val="20"/>
  </w:num>
  <w:num w:numId="24">
    <w:abstractNumId w:val="40"/>
  </w:num>
  <w:num w:numId="25">
    <w:abstractNumId w:val="15"/>
  </w:num>
  <w:num w:numId="26">
    <w:abstractNumId w:val="15"/>
  </w:num>
  <w:num w:numId="27">
    <w:abstractNumId w:val="4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3"/>
    <w:lvlOverride w:ilvl="0">
      <w:startOverride w:val="1"/>
    </w:lvlOverride>
  </w:num>
  <w:num w:numId="39">
    <w:abstractNumId w:val="16"/>
  </w:num>
  <w:num w:numId="40">
    <w:abstractNumId w:val="9"/>
  </w:num>
  <w:num w:numId="41">
    <w:abstractNumId w:val="26"/>
  </w:num>
  <w:num w:numId="42">
    <w:abstractNumId w:val="19"/>
  </w:num>
  <w:num w:numId="43">
    <w:abstractNumId w:val="25"/>
  </w:num>
  <w:num w:numId="44">
    <w:abstractNumId w:val="31"/>
  </w:num>
  <w:num w:numId="45">
    <w:abstractNumId w:val="22"/>
  </w:num>
  <w:num w:numId="46">
    <w:abstractNumId w:val="3"/>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9932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FE5"/>
    <w:rsid w:val="00007AFB"/>
    <w:rsid w:val="00010DFB"/>
    <w:rsid w:val="000111B5"/>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273D"/>
    <w:rsid w:val="0004319E"/>
    <w:rsid w:val="00043470"/>
    <w:rsid w:val="00043964"/>
    <w:rsid w:val="00043C44"/>
    <w:rsid w:val="0004466D"/>
    <w:rsid w:val="000449C2"/>
    <w:rsid w:val="00044A5D"/>
    <w:rsid w:val="00044D9D"/>
    <w:rsid w:val="00045034"/>
    <w:rsid w:val="00045940"/>
    <w:rsid w:val="00045E55"/>
    <w:rsid w:val="0004651B"/>
    <w:rsid w:val="00050AED"/>
    <w:rsid w:val="00050D51"/>
    <w:rsid w:val="0005255C"/>
    <w:rsid w:val="00052573"/>
    <w:rsid w:val="00052705"/>
    <w:rsid w:val="00052E3D"/>
    <w:rsid w:val="0005432C"/>
    <w:rsid w:val="000545B7"/>
    <w:rsid w:val="00054E84"/>
    <w:rsid w:val="00056E9F"/>
    <w:rsid w:val="0005753A"/>
    <w:rsid w:val="00061640"/>
    <w:rsid w:val="00062F94"/>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2865"/>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12A9"/>
    <w:rsid w:val="00111CE6"/>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27883"/>
    <w:rsid w:val="001313D8"/>
    <w:rsid w:val="00131AFC"/>
    <w:rsid w:val="00134738"/>
    <w:rsid w:val="00135E94"/>
    <w:rsid w:val="0013634A"/>
    <w:rsid w:val="0013770D"/>
    <w:rsid w:val="0014176A"/>
    <w:rsid w:val="001428F5"/>
    <w:rsid w:val="001433B9"/>
    <w:rsid w:val="00144C80"/>
    <w:rsid w:val="00146479"/>
    <w:rsid w:val="00147A36"/>
    <w:rsid w:val="00147C04"/>
    <w:rsid w:val="001509B3"/>
    <w:rsid w:val="00150D48"/>
    <w:rsid w:val="00151C8D"/>
    <w:rsid w:val="001521FD"/>
    <w:rsid w:val="00152622"/>
    <w:rsid w:val="00152810"/>
    <w:rsid w:val="00153B18"/>
    <w:rsid w:val="001543B9"/>
    <w:rsid w:val="001550E8"/>
    <w:rsid w:val="00155656"/>
    <w:rsid w:val="00155777"/>
    <w:rsid w:val="00155EF8"/>
    <w:rsid w:val="00155F7D"/>
    <w:rsid w:val="00155FBC"/>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C01"/>
    <w:rsid w:val="001A722F"/>
    <w:rsid w:val="001B031F"/>
    <w:rsid w:val="001B106B"/>
    <w:rsid w:val="001B172F"/>
    <w:rsid w:val="001B4B35"/>
    <w:rsid w:val="001B5050"/>
    <w:rsid w:val="001B5EE9"/>
    <w:rsid w:val="001B67FE"/>
    <w:rsid w:val="001B6961"/>
    <w:rsid w:val="001B74AF"/>
    <w:rsid w:val="001C0F16"/>
    <w:rsid w:val="001C2502"/>
    <w:rsid w:val="001C2864"/>
    <w:rsid w:val="001C643A"/>
    <w:rsid w:val="001C6AB3"/>
    <w:rsid w:val="001C7153"/>
    <w:rsid w:val="001C7906"/>
    <w:rsid w:val="001C7929"/>
    <w:rsid w:val="001C7FDC"/>
    <w:rsid w:val="001D30AC"/>
    <w:rsid w:val="001D4118"/>
    <w:rsid w:val="001D61EA"/>
    <w:rsid w:val="001D7FF1"/>
    <w:rsid w:val="001E0BBF"/>
    <w:rsid w:val="001E0CD2"/>
    <w:rsid w:val="001E15A4"/>
    <w:rsid w:val="001E2071"/>
    <w:rsid w:val="001E3591"/>
    <w:rsid w:val="001E4875"/>
    <w:rsid w:val="001E4F17"/>
    <w:rsid w:val="001E5E46"/>
    <w:rsid w:val="001E6BD1"/>
    <w:rsid w:val="001E6E99"/>
    <w:rsid w:val="001E78D3"/>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A51"/>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6859"/>
    <w:rsid w:val="00277548"/>
    <w:rsid w:val="00277CD0"/>
    <w:rsid w:val="00280232"/>
    <w:rsid w:val="00280844"/>
    <w:rsid w:val="00282166"/>
    <w:rsid w:val="0028219B"/>
    <w:rsid w:val="002823FB"/>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67"/>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5A2"/>
    <w:rsid w:val="00342A57"/>
    <w:rsid w:val="00343268"/>
    <w:rsid w:val="003438E6"/>
    <w:rsid w:val="00343907"/>
    <w:rsid w:val="00343EAD"/>
    <w:rsid w:val="0034461D"/>
    <w:rsid w:val="0034496D"/>
    <w:rsid w:val="00344A38"/>
    <w:rsid w:val="003459F4"/>
    <w:rsid w:val="00345C90"/>
    <w:rsid w:val="0034744B"/>
    <w:rsid w:val="0035304E"/>
    <w:rsid w:val="00353364"/>
    <w:rsid w:val="003545C6"/>
    <w:rsid w:val="00354710"/>
    <w:rsid w:val="00354717"/>
    <w:rsid w:val="00356AF6"/>
    <w:rsid w:val="00356BC4"/>
    <w:rsid w:val="003572DF"/>
    <w:rsid w:val="00357986"/>
    <w:rsid w:val="00360B62"/>
    <w:rsid w:val="00361591"/>
    <w:rsid w:val="0036222D"/>
    <w:rsid w:val="0036277A"/>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2EE"/>
    <w:rsid w:val="00385E19"/>
    <w:rsid w:val="003866CD"/>
    <w:rsid w:val="00386EF7"/>
    <w:rsid w:val="003906BB"/>
    <w:rsid w:val="00390FA2"/>
    <w:rsid w:val="0039252C"/>
    <w:rsid w:val="003927AE"/>
    <w:rsid w:val="003941AB"/>
    <w:rsid w:val="00394341"/>
    <w:rsid w:val="003943C9"/>
    <w:rsid w:val="003947D3"/>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1ABB"/>
    <w:rsid w:val="003F2158"/>
    <w:rsid w:val="003F2609"/>
    <w:rsid w:val="003F33FE"/>
    <w:rsid w:val="003F34EC"/>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577"/>
    <w:rsid w:val="00420943"/>
    <w:rsid w:val="00420F63"/>
    <w:rsid w:val="00421133"/>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F4"/>
    <w:rsid w:val="004E50A5"/>
    <w:rsid w:val="004E56D6"/>
    <w:rsid w:val="004E6E36"/>
    <w:rsid w:val="004E7D60"/>
    <w:rsid w:val="004F07DC"/>
    <w:rsid w:val="004F157C"/>
    <w:rsid w:val="004F1E3F"/>
    <w:rsid w:val="004F3067"/>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1A14"/>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55F4"/>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6931"/>
    <w:rsid w:val="006170A3"/>
    <w:rsid w:val="00617D4E"/>
    <w:rsid w:val="006208B9"/>
    <w:rsid w:val="00620C0F"/>
    <w:rsid w:val="006214F4"/>
    <w:rsid w:val="0062244E"/>
    <w:rsid w:val="00623592"/>
    <w:rsid w:val="00626DF5"/>
    <w:rsid w:val="006318F4"/>
    <w:rsid w:val="00634155"/>
    <w:rsid w:val="00634312"/>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0D4"/>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0FD"/>
    <w:rsid w:val="006B35EB"/>
    <w:rsid w:val="006B3BD3"/>
    <w:rsid w:val="006B56C5"/>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3A50"/>
    <w:rsid w:val="006C49CB"/>
    <w:rsid w:val="006C4E05"/>
    <w:rsid w:val="006C57E9"/>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61F3"/>
    <w:rsid w:val="0070764D"/>
    <w:rsid w:val="00707AE5"/>
    <w:rsid w:val="00711315"/>
    <w:rsid w:val="0071404C"/>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149C"/>
    <w:rsid w:val="00743069"/>
    <w:rsid w:val="00743161"/>
    <w:rsid w:val="00743CDA"/>
    <w:rsid w:val="00744571"/>
    <w:rsid w:val="007455E1"/>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5AE0"/>
    <w:rsid w:val="00795F48"/>
    <w:rsid w:val="007970EE"/>
    <w:rsid w:val="00797FB6"/>
    <w:rsid w:val="007A1D4B"/>
    <w:rsid w:val="007A42B5"/>
    <w:rsid w:val="007A4B45"/>
    <w:rsid w:val="007A6751"/>
    <w:rsid w:val="007A6CD0"/>
    <w:rsid w:val="007B05DD"/>
    <w:rsid w:val="007B0D22"/>
    <w:rsid w:val="007B0FFE"/>
    <w:rsid w:val="007B1568"/>
    <w:rsid w:val="007B2BCF"/>
    <w:rsid w:val="007B2E71"/>
    <w:rsid w:val="007B3F06"/>
    <w:rsid w:val="007B447B"/>
    <w:rsid w:val="007B4641"/>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3E4"/>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4504"/>
    <w:rsid w:val="00834837"/>
    <w:rsid w:val="00834E38"/>
    <w:rsid w:val="008350D3"/>
    <w:rsid w:val="00835675"/>
    <w:rsid w:val="0083587B"/>
    <w:rsid w:val="00840627"/>
    <w:rsid w:val="00840D18"/>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379"/>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5FC3"/>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4AA"/>
    <w:rsid w:val="008E4CFD"/>
    <w:rsid w:val="008E5AAB"/>
    <w:rsid w:val="008E6C67"/>
    <w:rsid w:val="008E74C9"/>
    <w:rsid w:val="008E7B33"/>
    <w:rsid w:val="008F1C6A"/>
    <w:rsid w:val="008F201C"/>
    <w:rsid w:val="008F499E"/>
    <w:rsid w:val="008F5C91"/>
    <w:rsid w:val="008F6489"/>
    <w:rsid w:val="008F68A9"/>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205A"/>
    <w:rsid w:val="00923C18"/>
    <w:rsid w:val="0092568E"/>
    <w:rsid w:val="009257CF"/>
    <w:rsid w:val="00927F98"/>
    <w:rsid w:val="00930143"/>
    <w:rsid w:val="00930361"/>
    <w:rsid w:val="00930532"/>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149E"/>
    <w:rsid w:val="00952245"/>
    <w:rsid w:val="009536DC"/>
    <w:rsid w:val="00955043"/>
    <w:rsid w:val="00955C72"/>
    <w:rsid w:val="0095678F"/>
    <w:rsid w:val="00957863"/>
    <w:rsid w:val="00957D1C"/>
    <w:rsid w:val="00960637"/>
    <w:rsid w:val="00961EA3"/>
    <w:rsid w:val="00962D2F"/>
    <w:rsid w:val="00963057"/>
    <w:rsid w:val="00963D6F"/>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87EA5"/>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6784"/>
    <w:rsid w:val="009F7A07"/>
    <w:rsid w:val="00A0007C"/>
    <w:rsid w:val="00A00A9E"/>
    <w:rsid w:val="00A00EDC"/>
    <w:rsid w:val="00A01F22"/>
    <w:rsid w:val="00A01F5A"/>
    <w:rsid w:val="00A021AA"/>
    <w:rsid w:val="00A02920"/>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2E"/>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EC1"/>
    <w:rsid w:val="00A6358D"/>
    <w:rsid w:val="00A655A5"/>
    <w:rsid w:val="00A65DFC"/>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33E3"/>
    <w:rsid w:val="00AF4B98"/>
    <w:rsid w:val="00AF5DD9"/>
    <w:rsid w:val="00B00877"/>
    <w:rsid w:val="00B00CEC"/>
    <w:rsid w:val="00B02591"/>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2855"/>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DF"/>
    <w:rsid w:val="00B6503F"/>
    <w:rsid w:val="00B655AF"/>
    <w:rsid w:val="00B6569F"/>
    <w:rsid w:val="00B66B8F"/>
    <w:rsid w:val="00B67414"/>
    <w:rsid w:val="00B701C1"/>
    <w:rsid w:val="00B71EA5"/>
    <w:rsid w:val="00B725D5"/>
    <w:rsid w:val="00B72DE8"/>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BC5"/>
    <w:rsid w:val="00B85D2C"/>
    <w:rsid w:val="00B8616D"/>
    <w:rsid w:val="00B86575"/>
    <w:rsid w:val="00B86B82"/>
    <w:rsid w:val="00B86F58"/>
    <w:rsid w:val="00B906D5"/>
    <w:rsid w:val="00B9136C"/>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6D0E"/>
    <w:rsid w:val="00C36D67"/>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4EEF"/>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D0946"/>
    <w:rsid w:val="00CD1CDC"/>
    <w:rsid w:val="00CD2CC9"/>
    <w:rsid w:val="00CD3B02"/>
    <w:rsid w:val="00CD3BEB"/>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525D"/>
    <w:rsid w:val="00D76533"/>
    <w:rsid w:val="00D77B17"/>
    <w:rsid w:val="00D77BCD"/>
    <w:rsid w:val="00D81942"/>
    <w:rsid w:val="00D83471"/>
    <w:rsid w:val="00D836EC"/>
    <w:rsid w:val="00D8409D"/>
    <w:rsid w:val="00D87D0B"/>
    <w:rsid w:val="00D87EBD"/>
    <w:rsid w:val="00D90A48"/>
    <w:rsid w:val="00D914E6"/>
    <w:rsid w:val="00D91CC4"/>
    <w:rsid w:val="00D93423"/>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6668"/>
    <w:rsid w:val="00DB7C73"/>
    <w:rsid w:val="00DC1309"/>
    <w:rsid w:val="00DC222B"/>
    <w:rsid w:val="00DC2923"/>
    <w:rsid w:val="00DC3DBA"/>
    <w:rsid w:val="00DC5E8E"/>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3BF"/>
    <w:rsid w:val="00DE2C2E"/>
    <w:rsid w:val="00DE2FE3"/>
    <w:rsid w:val="00DE3186"/>
    <w:rsid w:val="00DE3893"/>
    <w:rsid w:val="00DE5A29"/>
    <w:rsid w:val="00DE62A5"/>
    <w:rsid w:val="00DE6F56"/>
    <w:rsid w:val="00DF0568"/>
    <w:rsid w:val="00DF1DB0"/>
    <w:rsid w:val="00DF3193"/>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5CB"/>
    <w:rsid w:val="00E05E9A"/>
    <w:rsid w:val="00E06ACB"/>
    <w:rsid w:val="00E07212"/>
    <w:rsid w:val="00E07726"/>
    <w:rsid w:val="00E10781"/>
    <w:rsid w:val="00E1080B"/>
    <w:rsid w:val="00E10997"/>
    <w:rsid w:val="00E113F1"/>
    <w:rsid w:val="00E11A19"/>
    <w:rsid w:val="00E11B38"/>
    <w:rsid w:val="00E1300D"/>
    <w:rsid w:val="00E1459C"/>
    <w:rsid w:val="00E146EF"/>
    <w:rsid w:val="00E1526E"/>
    <w:rsid w:val="00E167DC"/>
    <w:rsid w:val="00E16DD4"/>
    <w:rsid w:val="00E175AE"/>
    <w:rsid w:val="00E1792B"/>
    <w:rsid w:val="00E20634"/>
    <w:rsid w:val="00E20DFD"/>
    <w:rsid w:val="00E218B7"/>
    <w:rsid w:val="00E21D4E"/>
    <w:rsid w:val="00E23083"/>
    <w:rsid w:val="00E31FEE"/>
    <w:rsid w:val="00E3295D"/>
    <w:rsid w:val="00E32D60"/>
    <w:rsid w:val="00E33551"/>
    <w:rsid w:val="00E3468A"/>
    <w:rsid w:val="00E35516"/>
    <w:rsid w:val="00E35D3A"/>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4495"/>
    <w:rsid w:val="00E55A2A"/>
    <w:rsid w:val="00E56D18"/>
    <w:rsid w:val="00E57888"/>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F86"/>
    <w:rsid w:val="00E8701E"/>
    <w:rsid w:val="00E87279"/>
    <w:rsid w:val="00E90B7C"/>
    <w:rsid w:val="00E9127F"/>
    <w:rsid w:val="00E920F9"/>
    <w:rsid w:val="00E92BDC"/>
    <w:rsid w:val="00E92C20"/>
    <w:rsid w:val="00E930FA"/>
    <w:rsid w:val="00E94746"/>
    <w:rsid w:val="00EA0497"/>
    <w:rsid w:val="00EA085B"/>
    <w:rsid w:val="00EA0ED7"/>
    <w:rsid w:val="00EA2EEF"/>
    <w:rsid w:val="00EA2F98"/>
    <w:rsid w:val="00EA37C1"/>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F2E"/>
    <w:rsid w:val="00EC790B"/>
    <w:rsid w:val="00EC7CBC"/>
    <w:rsid w:val="00ED00D1"/>
    <w:rsid w:val="00ED0E6A"/>
    <w:rsid w:val="00ED1B1E"/>
    <w:rsid w:val="00ED1B38"/>
    <w:rsid w:val="00ED1F42"/>
    <w:rsid w:val="00ED45DA"/>
    <w:rsid w:val="00ED4D92"/>
    <w:rsid w:val="00ED5959"/>
    <w:rsid w:val="00ED5B31"/>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405E"/>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39B2"/>
    <w:rsid w:val="00F43F6F"/>
    <w:rsid w:val="00F44FB4"/>
    <w:rsid w:val="00F4538B"/>
    <w:rsid w:val="00F45612"/>
    <w:rsid w:val="00F45735"/>
    <w:rsid w:val="00F45FFB"/>
    <w:rsid w:val="00F46DF9"/>
    <w:rsid w:val="00F473A1"/>
    <w:rsid w:val="00F51547"/>
    <w:rsid w:val="00F51805"/>
    <w:rsid w:val="00F5353E"/>
    <w:rsid w:val="00F575BD"/>
    <w:rsid w:val="00F57C50"/>
    <w:rsid w:val="00F6276D"/>
    <w:rsid w:val="00F63021"/>
    <w:rsid w:val="00F63B5C"/>
    <w:rsid w:val="00F64BC3"/>
    <w:rsid w:val="00F65A65"/>
    <w:rsid w:val="00F660FD"/>
    <w:rsid w:val="00F6611D"/>
    <w:rsid w:val="00F667FE"/>
    <w:rsid w:val="00F66AB5"/>
    <w:rsid w:val="00F70737"/>
    <w:rsid w:val="00F70BB3"/>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1180"/>
    <w:rsid w:val="00FD1C22"/>
    <w:rsid w:val="00FD4DD0"/>
    <w:rsid w:val="00FD511C"/>
    <w:rsid w:val="00FD5212"/>
    <w:rsid w:val="00FD73A0"/>
    <w:rsid w:val="00FD796D"/>
    <w:rsid w:val="00FD79AD"/>
    <w:rsid w:val="00FD7D7C"/>
    <w:rsid w:val="00FE0290"/>
    <w:rsid w:val="00FE2452"/>
    <w:rsid w:val="00FE2B09"/>
    <w:rsid w:val="00FE2E75"/>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customStyle="1" w:styleId="KCNORMAL">
    <w:name w:val="KCNORMAL"/>
    <w:basedOn w:val="BodyText"/>
    <w:link w:val="KCNORMALChar"/>
    <w:qFormat/>
    <w:rsid w:val="00835675"/>
    <w:pPr>
      <w:spacing w:before="0" w:after="240" w:line="240" w:lineRule="auto"/>
    </w:pPr>
    <w:rPr>
      <w:rFonts w:ascii="Comic Sans MS" w:hAnsi="Comic Sans MS" w:cs="Arial"/>
      <w:spacing w:val="-5"/>
      <w:sz w:val="20"/>
      <w:szCs w:val="20"/>
      <w:lang w:eastAsia="en-US"/>
    </w:rPr>
  </w:style>
  <w:style w:type="character" w:customStyle="1" w:styleId="KCNORMALChar">
    <w:name w:val="KCNORMAL Char"/>
    <w:basedOn w:val="DefaultParagraphFont"/>
    <w:link w:val="KCNORMAL"/>
    <w:rsid w:val="00835675"/>
    <w:rPr>
      <w:rFonts w:ascii="Comic Sans MS" w:hAnsi="Comic Sans MS" w:cs="Arial"/>
      <w:spacing w:val="-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paragraph" w:customStyle="1" w:styleId="KCNORMAL">
    <w:name w:val="KCNORMAL"/>
    <w:basedOn w:val="BodyText"/>
    <w:link w:val="KCNORMALChar"/>
    <w:qFormat/>
    <w:rsid w:val="00835675"/>
    <w:pPr>
      <w:spacing w:before="0" w:after="240" w:line="240" w:lineRule="auto"/>
    </w:pPr>
    <w:rPr>
      <w:rFonts w:ascii="Comic Sans MS" w:hAnsi="Comic Sans MS" w:cs="Arial"/>
      <w:spacing w:val="-5"/>
      <w:sz w:val="20"/>
      <w:szCs w:val="20"/>
      <w:lang w:eastAsia="en-US"/>
    </w:rPr>
  </w:style>
  <w:style w:type="character" w:customStyle="1" w:styleId="KCNORMALChar">
    <w:name w:val="KCNORMAL Char"/>
    <w:basedOn w:val="DefaultParagraphFont"/>
    <w:link w:val="KCNORMAL"/>
    <w:rsid w:val="00835675"/>
    <w:rPr>
      <w:rFonts w:ascii="Comic Sans MS" w:hAnsi="Comic Sans MS" w:cs="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326206958">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155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ADCE-2D7A-4674-8981-F649B405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1430</TotalTime>
  <Pages>30</Pages>
  <Words>8804</Words>
  <Characters>50593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59279</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Graham Kennett</cp:lastModifiedBy>
  <cp:revision>19</cp:revision>
  <cp:lastPrinted>2015-02-12T02:48:00Z</cp:lastPrinted>
  <dcterms:created xsi:type="dcterms:W3CDTF">2014-12-10T02:02:00Z</dcterms:created>
  <dcterms:modified xsi:type="dcterms:W3CDTF">2015-02-12T05:14:00Z</dcterms:modified>
</cp:coreProperties>
</file>