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D232A" w:rsidRPr="004D232A" w:rsidTr="00B60324">
        <w:trPr>
          <w:cantSplit/>
          <w:trHeight w:hRule="exact" w:val="6691"/>
        </w:trPr>
        <w:tc>
          <w:tcPr>
            <w:tcW w:w="6804" w:type="dxa"/>
            <w:tcMar>
              <w:left w:w="0" w:type="dxa"/>
              <w:right w:w="0" w:type="dxa"/>
            </w:tcMar>
          </w:tcPr>
          <w:p w:rsidR="004D232A" w:rsidRPr="004D232A" w:rsidRDefault="004D232A" w:rsidP="004D232A">
            <w:pPr>
              <w:spacing w:before="2722" w:after="0" w:line="520" w:lineRule="atLeast"/>
              <w:rPr>
                <w:rFonts w:ascii="Arial" w:eastAsia="Times New Roman" w:hAnsi="Arial" w:cs="Arial"/>
                <w:b/>
                <w:bCs/>
                <w:color w:val="00408A"/>
                <w:kern w:val="28"/>
                <w:sz w:val="44"/>
                <w:szCs w:val="44"/>
                <w:lang w:eastAsia="en-AU"/>
              </w:rPr>
            </w:pPr>
            <w:r w:rsidRPr="004D232A">
              <w:rPr>
                <w:rFonts w:ascii="Arial" w:eastAsia="Times New Roman" w:hAnsi="Arial" w:cs="Arial"/>
                <w:b/>
                <w:bCs/>
                <w:color w:val="00408A"/>
                <w:kern w:val="28"/>
                <w:sz w:val="44"/>
                <w:szCs w:val="44"/>
                <w:lang w:eastAsia="en-AU"/>
              </w:rPr>
              <w:t>Special Variation Application Form – Part B</w:t>
            </w:r>
          </w:p>
          <w:p w:rsidR="004D232A" w:rsidRPr="004D232A" w:rsidRDefault="004D232A" w:rsidP="004D232A">
            <w:pPr>
              <w:spacing w:before="120" w:after="0" w:line="400" w:lineRule="atLeast"/>
              <w:rPr>
                <w:rFonts w:ascii="Arial" w:eastAsia="Times New Roman" w:hAnsi="Arial" w:cs="Arial"/>
                <w:bCs/>
                <w:color w:val="00408A"/>
                <w:kern w:val="28"/>
                <w:sz w:val="30"/>
                <w:szCs w:val="30"/>
                <w:lang w:eastAsia="en-AU"/>
              </w:rPr>
            </w:pPr>
            <w:r w:rsidRPr="004D232A">
              <w:rPr>
                <w:rFonts w:ascii="Arial" w:eastAsia="Times New Roman" w:hAnsi="Arial" w:cs="Arial"/>
                <w:b/>
                <w:bCs/>
                <w:color w:val="00408A"/>
                <w:kern w:val="28"/>
                <w:sz w:val="30"/>
                <w:szCs w:val="30"/>
                <w:lang w:eastAsia="en-AU"/>
              </w:rPr>
              <w:t>Council application for 2015/16</w:t>
            </w:r>
          </w:p>
        </w:tc>
      </w:tr>
      <w:tr w:rsidR="004D232A" w:rsidRPr="004D232A" w:rsidTr="00B60324">
        <w:trPr>
          <w:cantSplit/>
          <w:trHeight w:val="5103"/>
        </w:trPr>
        <w:tc>
          <w:tcPr>
            <w:tcW w:w="6804" w:type="dxa"/>
            <w:tcMar>
              <w:left w:w="0" w:type="dxa"/>
              <w:right w:w="0" w:type="dxa"/>
            </w:tcMar>
          </w:tcPr>
          <w:p w:rsidR="004D232A" w:rsidRPr="004D232A" w:rsidRDefault="004D232A" w:rsidP="004D232A">
            <w:pPr>
              <w:spacing w:after="0" w:line="340" w:lineRule="atLeast"/>
              <w:rPr>
                <w:rFonts w:ascii="Arial" w:eastAsia="Times New Roman" w:hAnsi="Arial" w:cs="Times New Roman"/>
                <w:b/>
                <w:color w:val="7C7C7C"/>
                <w:sz w:val="28"/>
                <w:szCs w:val="28"/>
                <w:lang w:eastAsia="en-AU"/>
              </w:rPr>
            </w:pPr>
            <w:r w:rsidRPr="004D232A">
              <w:rPr>
                <w:rFonts w:ascii="Arial" w:eastAsia="Times New Roman" w:hAnsi="Arial" w:cs="Times New Roman"/>
                <w:b/>
                <w:color w:val="7C7C7C"/>
                <w:sz w:val="28"/>
                <w:szCs w:val="28"/>
                <w:lang w:eastAsia="en-AU"/>
              </w:rPr>
              <w:t>Insert Name of Council: Weddin Shire Council</w:t>
            </w:r>
          </w:p>
          <w:p w:rsidR="004D232A" w:rsidRPr="004D232A" w:rsidRDefault="004D232A" w:rsidP="004D232A">
            <w:pPr>
              <w:spacing w:after="0" w:line="340" w:lineRule="atLeast"/>
              <w:rPr>
                <w:rFonts w:ascii="Arial" w:eastAsia="Times New Roman" w:hAnsi="Arial" w:cs="Times New Roman"/>
                <w:color w:val="7C7C7C"/>
                <w:sz w:val="28"/>
                <w:szCs w:val="28"/>
                <w:lang w:eastAsia="en-AU"/>
              </w:rPr>
            </w:pPr>
            <w:r w:rsidRPr="004D232A">
              <w:rPr>
                <w:rFonts w:ascii="Arial" w:eastAsia="Times New Roman" w:hAnsi="Arial" w:cs="Times New Roman"/>
                <w:color w:val="7C7C7C"/>
                <w:sz w:val="28"/>
                <w:szCs w:val="28"/>
                <w:lang w:eastAsia="en-AU"/>
              </w:rPr>
              <w:t>Date Submitted to IPART:</w:t>
            </w:r>
          </w:p>
          <w:p w:rsidR="004D232A" w:rsidRPr="004D232A" w:rsidRDefault="004D232A" w:rsidP="004D232A">
            <w:pPr>
              <w:spacing w:after="0" w:line="340" w:lineRule="atLeast"/>
              <w:rPr>
                <w:rFonts w:ascii="Arial" w:eastAsia="Times New Roman" w:hAnsi="Arial" w:cs="Times New Roman"/>
                <w:color w:val="7C7C7C"/>
                <w:sz w:val="28"/>
                <w:szCs w:val="28"/>
                <w:lang w:eastAsia="en-AU"/>
              </w:rPr>
            </w:pPr>
            <w:r w:rsidRPr="004D232A">
              <w:rPr>
                <w:rFonts w:ascii="Arial" w:eastAsia="Times New Roman" w:hAnsi="Arial" w:cs="Times New Roman"/>
                <w:color w:val="7C7C7C"/>
                <w:sz w:val="28"/>
                <w:szCs w:val="28"/>
                <w:lang w:eastAsia="en-AU"/>
              </w:rPr>
              <w:t>Council Contact Person: Lachlan Gibson</w:t>
            </w:r>
          </w:p>
          <w:p w:rsidR="004D232A" w:rsidRPr="004D232A" w:rsidRDefault="004D232A" w:rsidP="004D232A">
            <w:pPr>
              <w:spacing w:after="0" w:line="340" w:lineRule="atLeast"/>
              <w:rPr>
                <w:rFonts w:ascii="Arial" w:eastAsia="Times New Roman" w:hAnsi="Arial" w:cs="Times New Roman"/>
                <w:color w:val="7C7C7C"/>
                <w:sz w:val="28"/>
                <w:szCs w:val="28"/>
                <w:lang w:eastAsia="en-AU"/>
              </w:rPr>
            </w:pPr>
            <w:r w:rsidRPr="004D232A">
              <w:rPr>
                <w:rFonts w:ascii="Arial" w:eastAsia="Times New Roman" w:hAnsi="Arial" w:cs="Times New Roman"/>
                <w:color w:val="7C7C7C"/>
                <w:sz w:val="28"/>
                <w:szCs w:val="28"/>
                <w:lang w:eastAsia="en-AU"/>
              </w:rPr>
              <w:t>Council Contact Phone:02 6343 1212</w:t>
            </w:r>
          </w:p>
          <w:p w:rsidR="004D232A" w:rsidRPr="004D232A" w:rsidRDefault="004D232A" w:rsidP="004D232A">
            <w:pPr>
              <w:spacing w:after="0" w:line="340" w:lineRule="atLeast"/>
              <w:rPr>
                <w:rFonts w:ascii="Arial" w:eastAsia="Times New Roman" w:hAnsi="Arial" w:cs="Times New Roman"/>
                <w:color w:val="7C7C7C"/>
                <w:sz w:val="28"/>
                <w:szCs w:val="28"/>
                <w:lang w:eastAsia="en-AU"/>
              </w:rPr>
            </w:pPr>
            <w:r w:rsidRPr="004D232A">
              <w:rPr>
                <w:rFonts w:ascii="Arial" w:eastAsia="Times New Roman" w:hAnsi="Arial" w:cs="Times New Roman"/>
                <w:color w:val="7C7C7C"/>
                <w:sz w:val="28"/>
                <w:szCs w:val="28"/>
                <w:lang w:eastAsia="en-AU"/>
              </w:rPr>
              <w:t>Council Contact  Email: mail@weddin.nsw.gov.au</w:t>
            </w:r>
          </w:p>
          <w:p w:rsidR="004D232A" w:rsidRPr="004D232A" w:rsidRDefault="004D232A" w:rsidP="004D232A">
            <w:pPr>
              <w:spacing w:after="0" w:line="340" w:lineRule="atLeast"/>
              <w:rPr>
                <w:rFonts w:ascii="Arial" w:eastAsia="Times New Roman" w:hAnsi="Arial" w:cs="Times New Roman"/>
                <w:color w:val="7C7C7C"/>
                <w:sz w:val="28"/>
                <w:szCs w:val="28"/>
                <w:lang w:eastAsia="en-AU"/>
              </w:rPr>
            </w:pPr>
          </w:p>
        </w:tc>
      </w:tr>
    </w:tbl>
    <w:p w:rsidR="004D232A" w:rsidRPr="004D232A" w:rsidRDefault="004D232A" w:rsidP="004D232A">
      <w:pPr>
        <w:widowControl w:val="0"/>
        <w:spacing w:after="0" w:line="14" w:lineRule="exact"/>
        <w:ind w:left="-567"/>
        <w:outlineLvl w:val="5"/>
        <w:rPr>
          <w:rFonts w:ascii="Arial" w:eastAsia="Times New Roman" w:hAnsi="Arial" w:cs="Arial"/>
          <w:color w:val="FFFFFF"/>
          <w:kern w:val="32"/>
          <w:position w:val="6"/>
          <w:sz w:val="30"/>
          <w:szCs w:val="30"/>
          <w:lang w:eastAsia="en-AU"/>
        </w:rPr>
      </w:pPr>
    </w:p>
    <w:p w:rsidR="004D232A" w:rsidRPr="004D232A" w:rsidRDefault="004D232A" w:rsidP="004D232A">
      <w:pPr>
        <w:spacing w:after="0" w:line="240" w:lineRule="auto"/>
        <w:rPr>
          <w:rFonts w:ascii="Book Antiqua" w:eastAsia="Times New Roman" w:hAnsi="Book Antiqua" w:cs="Times New Roman"/>
          <w:szCs w:val="24"/>
          <w:lang w:eastAsia="en-AU"/>
        </w:rPr>
        <w:sectPr w:rsidR="004D232A" w:rsidRPr="004D232A" w:rsidSect="005E2D3A">
          <w:headerReference w:type="default" r:id="rId8"/>
          <w:pgSz w:w="11907" w:h="16840" w:code="9"/>
          <w:pgMar w:top="2268" w:right="1701" w:bottom="1418" w:left="1701" w:header="1134" w:footer="284" w:gutter="567"/>
          <w:pgNumType w:fmt="lowerRoman"/>
          <w:cols w:space="708"/>
          <w:docGrid w:linePitch="360"/>
        </w:sectPr>
      </w:pPr>
    </w:p>
    <w:p w:rsidR="004D232A" w:rsidRPr="004D232A" w:rsidRDefault="004D232A" w:rsidP="004D232A">
      <w:pPr>
        <w:spacing w:before="26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lastRenderedPageBreak/>
        <w:t>© Independent Pricing and Regulatory Tribunal of New South Wales 2014</w:t>
      </w:r>
    </w:p>
    <w:p w:rsidR="004D232A" w:rsidRPr="004D232A" w:rsidRDefault="004D232A" w:rsidP="004D232A">
      <w:pPr>
        <w:spacing w:before="80" w:after="0" w:line="280" w:lineRule="atLeast"/>
        <w:jc w:val="both"/>
        <w:rPr>
          <w:rFonts w:ascii="Book Antiqua" w:eastAsia="Times New Roman" w:hAnsi="Book Antiqua" w:cs="Times New Roman"/>
          <w:spacing w:val="-2"/>
          <w:szCs w:val="21"/>
          <w:lang w:eastAsia="en-AU"/>
        </w:rPr>
      </w:pPr>
      <w:r w:rsidRPr="004D232A">
        <w:rPr>
          <w:rFonts w:ascii="Book Antiqua" w:eastAsia="Times New Roman" w:hAnsi="Book Antiqua" w:cs="Times New Roman"/>
          <w:spacing w:val="-2"/>
          <w:szCs w:val="21"/>
          <w:lang w:eastAsia="en-AU"/>
        </w:rPr>
        <w:t xml:space="preserve">This work is copyright. The </w:t>
      </w:r>
      <w:r w:rsidRPr="004D232A">
        <w:rPr>
          <w:rFonts w:ascii="Book Antiqua" w:eastAsia="Times New Roman" w:hAnsi="Book Antiqua" w:cs="Times New Roman"/>
          <w:i/>
          <w:iCs/>
          <w:spacing w:val="-2"/>
          <w:szCs w:val="21"/>
          <w:lang w:eastAsia="en-AU"/>
        </w:rPr>
        <w:t>Copyright Act 1968</w:t>
      </w:r>
      <w:r w:rsidRPr="004D232A">
        <w:rPr>
          <w:rFonts w:ascii="Book Antiqua" w:eastAsia="Times New Roman" w:hAnsi="Book Antiqua" w:cs="Times New Roman"/>
          <w:spacing w:val="-2"/>
          <w:szCs w:val="21"/>
          <w:lang w:eastAsia="en-AU"/>
        </w:rPr>
        <w:t xml:space="preserve"> permits fair dealing for study, research, news reporting, criticism and review. Selected passages, tables or diagrams may be reproduced for such purposes provided acknowledgement of the source is included.</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ISBN </w:t>
      </w:r>
      <w:r w:rsidRPr="004D232A">
        <w:rPr>
          <w:rFonts w:ascii="Book Antiqua" w:eastAsia="Times New Roman" w:hAnsi="Book Antiqua" w:cs="Times New Roman"/>
          <w:szCs w:val="21"/>
          <w:lang w:eastAsia="en-AU"/>
        </w:rPr>
        <w:fldChar w:fldCharType="begin"/>
      </w:r>
      <w:r w:rsidRPr="004D232A">
        <w:rPr>
          <w:rFonts w:ascii="Book Antiqua" w:eastAsia="Times New Roman" w:hAnsi="Book Antiqua" w:cs="Times New Roman"/>
          <w:szCs w:val="21"/>
          <w:lang w:eastAsia="en-AU"/>
        </w:rPr>
        <w:instrText xml:space="preserve"> MACROBUTTON  AcceptAllChangesShown [Click </w:instrText>
      </w:r>
      <w:r w:rsidRPr="004D232A">
        <w:rPr>
          <w:rFonts w:ascii="Book Antiqua" w:eastAsia="Times New Roman" w:hAnsi="Book Antiqua" w:cs="Times New Roman"/>
          <w:b/>
          <w:szCs w:val="21"/>
          <w:lang w:eastAsia="en-AU"/>
        </w:rPr>
        <w:instrText>here</w:instrText>
      </w:r>
      <w:r w:rsidRPr="004D232A">
        <w:rPr>
          <w:rFonts w:ascii="Book Antiqua" w:eastAsia="Times New Roman" w:hAnsi="Book Antiqua" w:cs="Times New Roman"/>
          <w:szCs w:val="21"/>
          <w:lang w:eastAsia="en-AU"/>
        </w:rPr>
        <w:instrText xml:space="preserve"> and type in book number, inserting spaces in correct positions.] </w:instrText>
      </w:r>
      <w:r w:rsidRPr="004D232A">
        <w:rPr>
          <w:rFonts w:ascii="Book Antiqua" w:eastAsia="Times New Roman" w:hAnsi="Book Antiqua" w:cs="Times New Roman"/>
          <w:szCs w:val="21"/>
          <w:lang w:eastAsia="en-AU"/>
        </w:rPr>
        <w:fldChar w:fldCharType="end"/>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Tribunal members for this review are:</w:t>
      </w:r>
    </w:p>
    <w:p w:rsidR="004D232A" w:rsidRPr="004D232A" w:rsidRDefault="004D232A" w:rsidP="004D232A">
      <w:pPr>
        <w:spacing w:before="80" w:after="0" w:line="280" w:lineRule="atLeast"/>
        <w:ind w:left="284"/>
        <w:jc w:val="both"/>
        <w:rPr>
          <w:rFonts w:ascii="Book Antiqua" w:eastAsia="Times New Roman" w:hAnsi="Book Antiqua" w:cs="Times New Roman"/>
          <w:szCs w:val="21"/>
        </w:rPr>
      </w:pPr>
      <w:r w:rsidRPr="004D232A">
        <w:rPr>
          <w:rFonts w:ascii="Book Antiqua" w:eastAsia="Times New Roman" w:hAnsi="Book Antiqua" w:cs="Times New Roman"/>
          <w:szCs w:val="21"/>
        </w:rPr>
        <w:t xml:space="preserve">Dr Peter J. </w:t>
      </w:r>
      <w:proofErr w:type="spellStart"/>
      <w:r w:rsidRPr="004D232A">
        <w:rPr>
          <w:rFonts w:ascii="Book Antiqua" w:eastAsia="Times New Roman" w:hAnsi="Book Antiqua" w:cs="Times New Roman"/>
          <w:szCs w:val="21"/>
        </w:rPr>
        <w:t>Boxall</w:t>
      </w:r>
      <w:proofErr w:type="spellEnd"/>
      <w:r w:rsidRPr="004D232A">
        <w:rPr>
          <w:rFonts w:ascii="Book Antiqua" w:eastAsia="Times New Roman" w:hAnsi="Book Antiqua" w:cs="Times New Roman"/>
          <w:szCs w:val="21"/>
        </w:rPr>
        <w:t xml:space="preserve"> AO, Chairman</w:t>
      </w:r>
    </w:p>
    <w:p w:rsidR="004D232A" w:rsidRPr="004D232A" w:rsidRDefault="004D232A" w:rsidP="004D232A">
      <w:pPr>
        <w:spacing w:before="80" w:after="0" w:line="280" w:lineRule="atLeast"/>
        <w:ind w:left="284"/>
        <w:jc w:val="both"/>
        <w:rPr>
          <w:rFonts w:ascii="Book Antiqua" w:eastAsia="Times New Roman" w:hAnsi="Book Antiqua" w:cs="Times New Roman"/>
          <w:szCs w:val="21"/>
        </w:rPr>
      </w:pPr>
      <w:r w:rsidRPr="004D232A">
        <w:rPr>
          <w:rFonts w:ascii="Book Antiqua" w:eastAsia="Times New Roman" w:hAnsi="Book Antiqua" w:cs="Times New Roman"/>
          <w:szCs w:val="21"/>
        </w:rPr>
        <w:t>Ms Catherine Jones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Inquiries regarding this document should be directed to a staff member:</w:t>
      </w:r>
    </w:p>
    <w:p w:rsidR="004D232A" w:rsidRPr="004D232A" w:rsidRDefault="004D232A" w:rsidP="004D232A">
      <w:pPr>
        <w:tabs>
          <w:tab w:val="left" w:pos="3119"/>
        </w:tabs>
        <w:spacing w:before="80" w:after="0" w:line="280" w:lineRule="atLeast"/>
        <w:ind w:left="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Michael </w:t>
      </w:r>
      <w:proofErr w:type="spellStart"/>
      <w:r w:rsidRPr="004D232A">
        <w:rPr>
          <w:rFonts w:ascii="Book Antiqua" w:eastAsia="Times New Roman" w:hAnsi="Book Antiqua" w:cs="Times New Roman"/>
          <w:szCs w:val="21"/>
          <w:lang w:eastAsia="en-AU"/>
        </w:rPr>
        <w:t>Seery</w:t>
      </w:r>
      <w:proofErr w:type="spellEnd"/>
      <w:r w:rsidRPr="004D232A">
        <w:rPr>
          <w:rFonts w:ascii="Book Antiqua" w:eastAsia="Times New Roman" w:hAnsi="Book Antiqua" w:cs="Times New Roman"/>
          <w:szCs w:val="21"/>
          <w:lang w:eastAsia="en-AU"/>
        </w:rPr>
        <w:tab/>
        <w:t>(02) 9290 8421</w:t>
      </w:r>
    </w:p>
    <w:p w:rsidR="004D232A" w:rsidRPr="004D232A" w:rsidRDefault="004D232A" w:rsidP="004D232A">
      <w:pPr>
        <w:tabs>
          <w:tab w:val="left" w:pos="3119"/>
        </w:tabs>
        <w:spacing w:before="80" w:after="0" w:line="280" w:lineRule="atLeast"/>
        <w:ind w:left="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Tony </w:t>
      </w:r>
      <w:proofErr w:type="spellStart"/>
      <w:r w:rsidRPr="004D232A">
        <w:rPr>
          <w:rFonts w:ascii="Book Antiqua" w:eastAsia="Times New Roman" w:hAnsi="Book Antiqua" w:cs="Times New Roman"/>
          <w:szCs w:val="21"/>
          <w:lang w:eastAsia="en-AU"/>
        </w:rPr>
        <w:t>Camenzuli</w:t>
      </w:r>
      <w:proofErr w:type="spellEnd"/>
      <w:r w:rsidRPr="004D232A">
        <w:rPr>
          <w:rFonts w:ascii="Book Antiqua" w:eastAsia="Times New Roman" w:hAnsi="Book Antiqua" w:cs="Times New Roman"/>
          <w:szCs w:val="21"/>
          <w:lang w:eastAsia="en-AU"/>
        </w:rPr>
        <w:tab/>
        <w:t>(02) 9113 7706</w:t>
      </w:r>
    </w:p>
    <w:p w:rsidR="004D232A" w:rsidRPr="004D232A" w:rsidRDefault="004D232A" w:rsidP="004D232A">
      <w:pPr>
        <w:tabs>
          <w:tab w:val="left" w:pos="3119"/>
        </w:tabs>
        <w:spacing w:before="80" w:after="0" w:line="280" w:lineRule="atLeast"/>
        <w:ind w:left="284"/>
        <w:jc w:val="both"/>
        <w:rPr>
          <w:rFonts w:ascii="Book Antiqua" w:eastAsia="Times New Roman" w:hAnsi="Book Antiqua" w:cs="Times New Roman"/>
          <w:szCs w:val="21"/>
          <w:lang w:eastAsia="en-AU"/>
        </w:rPr>
      </w:pPr>
      <w:proofErr w:type="spellStart"/>
      <w:r w:rsidRPr="004D232A">
        <w:rPr>
          <w:rFonts w:ascii="Book Antiqua" w:eastAsia="Times New Roman" w:hAnsi="Book Antiqua" w:cs="Times New Roman"/>
          <w:szCs w:val="21"/>
          <w:lang w:eastAsia="en-AU"/>
        </w:rPr>
        <w:t>Kumi</w:t>
      </w:r>
      <w:proofErr w:type="spellEnd"/>
      <w:r w:rsidRPr="004D232A">
        <w:rPr>
          <w:rFonts w:ascii="Book Antiqua" w:eastAsia="Times New Roman" w:hAnsi="Book Antiqua" w:cs="Times New Roman"/>
          <w:szCs w:val="21"/>
          <w:lang w:eastAsia="en-AU"/>
        </w:rPr>
        <w:t xml:space="preserve"> Cuthbertson</w:t>
      </w:r>
      <w:r w:rsidRPr="004D232A">
        <w:rPr>
          <w:rFonts w:ascii="Book Antiqua" w:eastAsia="Times New Roman" w:hAnsi="Book Antiqua" w:cs="Times New Roman"/>
          <w:szCs w:val="21"/>
          <w:lang w:eastAsia="en-AU"/>
        </w:rPr>
        <w:tab/>
      </w:r>
      <w:r w:rsidRPr="004D232A">
        <w:rPr>
          <w:rFonts w:ascii="Book Antiqua" w:eastAsia="Times New Roman" w:hAnsi="Book Antiqua" w:cs="Times New Roman"/>
          <w:szCs w:val="21"/>
          <w:lang w:eastAsia="en-AU"/>
        </w:rPr>
        <w:tab/>
        <w:t>(02) 9290 8479</w:t>
      </w:r>
    </w:p>
    <w:p w:rsidR="004D232A" w:rsidRPr="004D232A" w:rsidRDefault="004D232A" w:rsidP="004D232A">
      <w:pPr>
        <w:framePr w:hSpace="181" w:wrap="around" w:hAnchor="text" w:yAlign="bottom"/>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Independent Pricing and Regulatory Tribunal of New South Wales</w:t>
      </w:r>
    </w:p>
    <w:p w:rsidR="004D232A" w:rsidRPr="004D232A" w:rsidRDefault="004D232A" w:rsidP="004D232A">
      <w:pPr>
        <w:framePr w:hSpace="181" w:wrap="around" w:hAnchor="text" w:yAlign="bottom"/>
        <w:spacing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PO Box K35, Haymarket Post Shop</w:t>
      </w:r>
      <w:r w:rsidRPr="004D232A">
        <w:rPr>
          <w:rFonts w:ascii="Arial Unicode MS" w:eastAsia="Arial Unicode MS" w:hAnsi="Arial Unicode MS" w:cs="Arial Unicode MS"/>
          <w:szCs w:val="21"/>
          <w:lang w:eastAsia="en-AU"/>
        </w:rPr>
        <w:t> </w:t>
      </w:r>
      <w:r w:rsidRPr="004D232A">
        <w:rPr>
          <w:rFonts w:ascii="Book Antiqua" w:eastAsia="Times New Roman" w:hAnsi="Book Antiqua" w:cs="Times New Roman"/>
          <w:szCs w:val="21"/>
          <w:lang w:eastAsia="en-AU"/>
        </w:rPr>
        <w:t>NSW</w:t>
      </w:r>
      <w:r w:rsidRPr="004D232A">
        <w:rPr>
          <w:rFonts w:ascii="Arial Unicode MS" w:eastAsia="Arial Unicode MS" w:hAnsi="Arial Unicode MS" w:cs="Arial Unicode MS" w:hint="eastAsia"/>
          <w:szCs w:val="21"/>
          <w:lang w:eastAsia="en-AU"/>
        </w:rPr>
        <w:t> </w:t>
      </w:r>
      <w:r w:rsidRPr="004D232A">
        <w:rPr>
          <w:rFonts w:ascii="Book Antiqua" w:eastAsia="Times New Roman" w:hAnsi="Book Antiqua" w:cs="Times New Roman"/>
          <w:szCs w:val="21"/>
          <w:lang w:eastAsia="en-AU"/>
        </w:rPr>
        <w:t>1230</w:t>
      </w:r>
    </w:p>
    <w:p w:rsidR="004D232A" w:rsidRPr="004D232A" w:rsidRDefault="004D232A" w:rsidP="004D232A">
      <w:pPr>
        <w:framePr w:hSpace="181" w:wrap="around" w:hAnchor="text" w:yAlign="bottom"/>
        <w:spacing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Level 15, 2-24 Rawson Place, Sydney</w:t>
      </w:r>
      <w:r w:rsidRPr="004D232A">
        <w:rPr>
          <w:rFonts w:ascii="Arial Unicode MS" w:eastAsia="Arial Unicode MS" w:hAnsi="Arial Unicode MS" w:cs="Arial Unicode MS"/>
          <w:szCs w:val="21"/>
          <w:lang w:eastAsia="en-AU"/>
        </w:rPr>
        <w:t> </w:t>
      </w:r>
      <w:r w:rsidRPr="004D232A">
        <w:rPr>
          <w:rFonts w:ascii="Book Antiqua" w:eastAsia="Times New Roman" w:hAnsi="Book Antiqua" w:cs="Times New Roman"/>
          <w:szCs w:val="21"/>
          <w:lang w:eastAsia="en-AU"/>
        </w:rPr>
        <w:t>NSW</w:t>
      </w:r>
      <w:r w:rsidRPr="004D232A">
        <w:rPr>
          <w:rFonts w:ascii="Arial Unicode MS" w:eastAsia="Arial Unicode MS" w:hAnsi="Arial Unicode MS" w:cs="Arial Unicode MS" w:hint="eastAsia"/>
          <w:szCs w:val="21"/>
          <w:lang w:eastAsia="en-AU"/>
        </w:rPr>
        <w:t> </w:t>
      </w:r>
      <w:r w:rsidRPr="004D232A">
        <w:rPr>
          <w:rFonts w:ascii="Book Antiqua" w:eastAsia="Times New Roman" w:hAnsi="Book Antiqua" w:cs="Times New Roman"/>
          <w:szCs w:val="21"/>
          <w:lang w:eastAsia="en-AU"/>
        </w:rPr>
        <w:t>2000</w:t>
      </w:r>
    </w:p>
    <w:p w:rsidR="004D232A" w:rsidRPr="004D232A" w:rsidRDefault="004D232A" w:rsidP="004D232A">
      <w:pPr>
        <w:framePr w:hSpace="181" w:wrap="around" w:hAnchor="text" w:yAlign="bottom"/>
        <w:spacing w:before="80" w:after="0" w:line="280" w:lineRule="atLeast"/>
        <w:jc w:val="both"/>
        <w:rPr>
          <w:rFonts w:ascii="Book Antiqua" w:eastAsia="Times New Roman" w:hAnsi="Book Antiqua" w:cs="Times New Roman"/>
          <w:szCs w:val="21"/>
          <w:lang w:val="fr-FR" w:eastAsia="en-AU"/>
        </w:rPr>
      </w:pPr>
      <w:r w:rsidRPr="004D232A">
        <w:rPr>
          <w:rFonts w:ascii="Book Antiqua" w:eastAsia="Times New Roman" w:hAnsi="Book Antiqua" w:cs="Times New Roman"/>
          <w:szCs w:val="21"/>
          <w:lang w:val="fr-FR" w:eastAsia="en-AU"/>
        </w:rPr>
        <w:t>T (02) 9290 8400</w:t>
      </w:r>
      <w:r w:rsidRPr="004D232A">
        <w:rPr>
          <w:rFonts w:ascii="Arial Unicode MS" w:eastAsia="Arial Unicode MS" w:hAnsi="Arial Unicode MS" w:cs="Arial Unicode MS"/>
          <w:sz w:val="24"/>
          <w:szCs w:val="24"/>
          <w:lang w:eastAsia="en-AU"/>
        </w:rPr>
        <w:t> </w:t>
      </w:r>
      <w:r w:rsidRPr="004D232A">
        <w:rPr>
          <w:rFonts w:ascii="Book Antiqua" w:eastAsia="Times New Roman" w:hAnsi="Book Antiqua" w:cs="Times New Roman"/>
          <w:szCs w:val="21"/>
          <w:lang w:val="fr-FR" w:eastAsia="en-AU"/>
        </w:rPr>
        <w:t>F (02) 9290 2061</w:t>
      </w:r>
    </w:p>
    <w:p w:rsidR="004D232A" w:rsidRPr="004D232A" w:rsidRDefault="00AE4968" w:rsidP="004D232A">
      <w:pPr>
        <w:framePr w:hSpace="181" w:wrap="around" w:hAnchor="text" w:yAlign="bottom"/>
        <w:spacing w:before="80" w:after="0" w:line="280" w:lineRule="atLeast"/>
        <w:jc w:val="both"/>
        <w:rPr>
          <w:rFonts w:ascii="Book Antiqua" w:eastAsia="Times New Roman" w:hAnsi="Book Antiqua" w:cs="Times New Roman"/>
          <w:szCs w:val="21"/>
          <w:lang w:val="fr-FR" w:eastAsia="en-AU"/>
        </w:rPr>
      </w:pPr>
      <w:hyperlink r:id="rId9" w:history="1">
        <w:r w:rsidR="004D232A" w:rsidRPr="004D232A">
          <w:rPr>
            <w:rFonts w:ascii="Book Antiqua" w:eastAsia="Times New Roman" w:hAnsi="Book Antiqua" w:cs="Times New Roman"/>
            <w:szCs w:val="21"/>
            <w:lang w:val="fr-FR" w:eastAsia="en-AU"/>
          </w:rPr>
          <w:t>www.ipart.nsw.gov.au</w:t>
        </w:r>
      </w:hyperlink>
    </w:p>
    <w:p w:rsidR="004D232A" w:rsidRPr="004D232A" w:rsidRDefault="004D232A" w:rsidP="004D232A">
      <w:pPr>
        <w:spacing w:after="0" w:line="240" w:lineRule="auto"/>
        <w:rPr>
          <w:rFonts w:ascii="Book Antiqua" w:eastAsia="Times New Roman" w:hAnsi="Book Antiqua" w:cs="Times New Roman"/>
          <w:szCs w:val="24"/>
          <w:lang w:eastAsia="en-AU"/>
        </w:rPr>
        <w:sectPr w:rsidR="004D232A" w:rsidRPr="004D232A">
          <w:headerReference w:type="even" r:id="rId10"/>
          <w:headerReference w:type="default" r:id="rId11"/>
          <w:footerReference w:type="even" r:id="rId12"/>
          <w:footerReference w:type="default" r:id="rId13"/>
          <w:pgSz w:w="11907" w:h="16840" w:code="9"/>
          <w:pgMar w:top="2268" w:right="1701" w:bottom="1418" w:left="1701" w:header="1134" w:footer="284" w:gutter="567"/>
          <w:pgNumType w:fmt="lowerRoman"/>
          <w:cols w:space="708"/>
          <w:docGrid w:linePitch="360"/>
        </w:sectPr>
      </w:pPr>
    </w:p>
    <w:p w:rsidR="004D232A" w:rsidRPr="004D232A" w:rsidRDefault="004D232A" w:rsidP="004D232A">
      <w:pPr>
        <w:keepNext/>
        <w:pageBreakBefore/>
        <w:tabs>
          <w:tab w:val="left" w:pos="0"/>
        </w:tabs>
        <w:spacing w:after="2000" w:line="400" w:lineRule="atLeast"/>
        <w:outlineLvl w:val="0"/>
        <w:rPr>
          <w:rFonts w:ascii="Arial" w:eastAsia="Times New Roman" w:hAnsi="Arial" w:cs="Times New Roman"/>
          <w:b/>
          <w:color w:val="00408A"/>
          <w:kern w:val="28"/>
          <w:sz w:val="30"/>
          <w:szCs w:val="30"/>
        </w:rPr>
      </w:pPr>
      <w:r w:rsidRPr="004D232A">
        <w:rPr>
          <w:rFonts w:ascii="Arial" w:eastAsia="Times New Roman" w:hAnsi="Arial" w:cs="Times New Roman"/>
          <w:b/>
          <w:noProof/>
          <w:color w:val="00408A"/>
          <w:kern w:val="28"/>
          <w:sz w:val="30"/>
          <w:szCs w:val="30"/>
          <w:lang w:eastAsia="en-AU"/>
        </w:rPr>
        <w:lastRenderedPageBreak/>
        <mc:AlternateContent>
          <mc:Choice Requires="wps">
            <w:drawing>
              <wp:anchor distT="0" distB="0" distL="114300" distR="114300" simplePos="0" relativeHeight="251659264" behindDoc="0" locked="0" layoutInCell="0" allowOverlap="1" wp14:anchorId="06A96039" wp14:editId="2ADD0EF9">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Pr="004D232A">
        <w:rPr>
          <w:rFonts w:ascii="Arial" w:eastAsia="Times New Roman" w:hAnsi="Arial" w:cs="Times New Roman"/>
          <w:b/>
          <w:color w:val="00408A"/>
          <w:kern w:val="28"/>
          <w:sz w:val="30"/>
          <w:szCs w:val="30"/>
        </w:rPr>
        <w:t>Contents</w:t>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color w:val="00408A"/>
          <w:sz w:val="21"/>
          <w:szCs w:val="21"/>
          <w:lang w:eastAsia="en-AU"/>
        </w:rPr>
        <w:fldChar w:fldCharType="begin"/>
      </w:r>
      <w:r w:rsidRPr="004D232A">
        <w:rPr>
          <w:rFonts w:ascii="Arial" w:eastAsia="Times New Roman" w:hAnsi="Arial" w:cs="Times New Roman"/>
          <w:b/>
          <w:color w:val="00408A"/>
          <w:sz w:val="21"/>
          <w:szCs w:val="21"/>
          <w:lang w:eastAsia="en-AU"/>
        </w:rPr>
        <w:instrText xml:space="preserve"> TOC \o "2-2" \t "Heading 1,1,Heading 6,2,Heading 1 (no number),1,Part Subtitle,1"  \* MERGEFORMAT  \* MERGEFORMAT </w:instrText>
      </w:r>
      <w:r w:rsidRPr="004D232A">
        <w:rPr>
          <w:rFonts w:ascii="Arial" w:eastAsia="Times New Roman" w:hAnsi="Arial" w:cs="Times New Roman"/>
          <w:b/>
          <w:color w:val="00408A"/>
          <w:sz w:val="21"/>
          <w:szCs w:val="21"/>
          <w:lang w:eastAsia="en-AU"/>
        </w:rPr>
        <w:fldChar w:fldCharType="separate"/>
      </w:r>
      <w:r w:rsidRPr="004D232A">
        <w:rPr>
          <w:rFonts w:ascii="Arial" w:eastAsia="Times New Roman" w:hAnsi="Arial" w:cs="Times New Roman"/>
          <w:b/>
          <w:noProof/>
          <w:color w:val="00408A"/>
          <w:sz w:val="21"/>
          <w:szCs w:val="21"/>
          <w:lang w:eastAsia="en-AU"/>
        </w:rPr>
        <w:t>1</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Introduction</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_Toc401138359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1</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1.1</w:t>
      </w:r>
      <w:r w:rsidRPr="004D232A">
        <w:rPr>
          <w:rFonts w:eastAsiaTheme="minorEastAsia"/>
          <w:noProof/>
          <w:lang w:eastAsia="en-AU"/>
        </w:rPr>
        <w:tab/>
      </w:r>
      <w:r w:rsidRPr="004D232A">
        <w:rPr>
          <w:rFonts w:ascii="Arial" w:eastAsia="Times New Roman" w:hAnsi="Arial" w:cs="Times New Roman"/>
          <w:noProof/>
          <w:sz w:val="21"/>
          <w:szCs w:val="21"/>
          <w:lang w:eastAsia="en-AU"/>
        </w:rPr>
        <w:t>Completing the application form</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_Toc401138360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1</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1.2</w:t>
      </w:r>
      <w:r w:rsidRPr="004D232A">
        <w:rPr>
          <w:rFonts w:eastAsiaTheme="minorEastAsia"/>
          <w:noProof/>
          <w:lang w:eastAsia="en-AU"/>
        </w:rPr>
        <w:tab/>
      </w:r>
      <w:r w:rsidRPr="004D232A">
        <w:rPr>
          <w:rFonts w:ascii="Arial" w:eastAsia="Times New Roman" w:hAnsi="Arial" w:cs="Times New Roman"/>
          <w:noProof/>
          <w:sz w:val="21"/>
          <w:szCs w:val="21"/>
          <w:lang w:eastAsia="en-AU"/>
        </w:rPr>
        <w:t>Using the Council Portal to submit the application</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_Toc401138361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2</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2</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Preliminaries</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_Toc401138362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3</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2.1</w:t>
      </w:r>
      <w:r w:rsidRPr="004D232A">
        <w:rPr>
          <w:rFonts w:eastAsiaTheme="minorEastAsia"/>
          <w:noProof/>
          <w:lang w:eastAsia="en-AU"/>
        </w:rPr>
        <w:tab/>
      </w:r>
      <w:r w:rsidRPr="004D232A">
        <w:rPr>
          <w:rFonts w:ascii="Arial" w:eastAsia="Times New Roman" w:hAnsi="Arial" w:cs="Times New Roman"/>
          <w:noProof/>
          <w:sz w:val="21"/>
          <w:szCs w:val="21"/>
          <w:lang w:eastAsia="en-AU"/>
        </w:rPr>
        <w:t>Focus on Integrated Planning and Reporting</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_Toc401138363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3</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2.2</w:t>
      </w:r>
      <w:r w:rsidRPr="004D232A">
        <w:rPr>
          <w:rFonts w:eastAsiaTheme="minorEastAsia"/>
          <w:noProof/>
          <w:lang w:eastAsia="en-AU"/>
        </w:rPr>
        <w:tab/>
      </w:r>
      <w:r w:rsidRPr="004D232A">
        <w:rPr>
          <w:rFonts w:ascii="Arial" w:eastAsia="Times New Roman" w:hAnsi="Arial" w:cs="Times New Roman"/>
          <w:noProof/>
          <w:sz w:val="21"/>
          <w:szCs w:val="21"/>
          <w:lang w:eastAsia="en-AU"/>
        </w:rPr>
        <w:t>Key purpose of special variation</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_Toc401138364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3</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2.3</w:t>
      </w:r>
      <w:r w:rsidRPr="004D232A">
        <w:rPr>
          <w:rFonts w:eastAsiaTheme="minorEastAsia"/>
          <w:noProof/>
          <w:lang w:eastAsia="en-AU"/>
        </w:rPr>
        <w:tab/>
      </w:r>
      <w:r w:rsidRPr="004D232A">
        <w:rPr>
          <w:rFonts w:ascii="Arial" w:eastAsia="Times New Roman" w:hAnsi="Arial" w:cs="Times New Roman"/>
          <w:noProof/>
          <w:sz w:val="21"/>
          <w:szCs w:val="21"/>
          <w:lang w:eastAsia="en-AU"/>
        </w:rPr>
        <w:t>Capital expenditure review</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_Toc401138365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18</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3</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Assessment Criterion 1: Need for the variation</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_Toc401138366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18</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3.1</w:t>
      </w:r>
      <w:r w:rsidRPr="004D232A">
        <w:rPr>
          <w:rFonts w:eastAsiaTheme="minorEastAsia"/>
          <w:noProof/>
          <w:lang w:eastAsia="en-AU"/>
        </w:rPr>
        <w:tab/>
      </w:r>
      <w:r w:rsidRPr="004D232A">
        <w:rPr>
          <w:rFonts w:ascii="Arial" w:eastAsia="Times New Roman" w:hAnsi="Arial" w:cs="Times New Roman"/>
          <w:noProof/>
          <w:sz w:val="21"/>
          <w:szCs w:val="21"/>
          <w:lang w:eastAsia="en-AU"/>
        </w:rPr>
        <w:t>Case for special variation - community need</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_Toc401138367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19</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3.2</w:t>
      </w:r>
      <w:r w:rsidRPr="004D232A">
        <w:rPr>
          <w:rFonts w:eastAsiaTheme="minorEastAsia"/>
          <w:noProof/>
          <w:lang w:eastAsia="en-AU"/>
        </w:rPr>
        <w:tab/>
      </w:r>
      <w:r w:rsidRPr="004D232A">
        <w:rPr>
          <w:rFonts w:ascii="Arial" w:eastAsia="Times New Roman" w:hAnsi="Arial" w:cs="Times New Roman"/>
          <w:noProof/>
          <w:sz w:val="21"/>
          <w:szCs w:val="21"/>
          <w:lang w:eastAsia="en-AU"/>
        </w:rPr>
        <w:t>Financial sustainability</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_Toc401138368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24</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3.3</w:t>
      </w:r>
      <w:r w:rsidRPr="004D232A">
        <w:rPr>
          <w:rFonts w:eastAsiaTheme="minorEastAsia"/>
          <w:noProof/>
          <w:lang w:eastAsia="en-AU"/>
        </w:rPr>
        <w:tab/>
      </w:r>
      <w:r w:rsidRPr="004D232A">
        <w:rPr>
          <w:rFonts w:ascii="Arial" w:eastAsia="Times New Roman" w:hAnsi="Arial" w:cs="Times New Roman"/>
          <w:noProof/>
          <w:sz w:val="21"/>
          <w:szCs w:val="21"/>
          <w:lang w:eastAsia="en-AU"/>
        </w:rPr>
        <w:t>Financial indicators</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_Toc401138369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25</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3.4</w:t>
      </w:r>
      <w:r w:rsidRPr="004D232A">
        <w:rPr>
          <w:rFonts w:eastAsiaTheme="minorEastAsia"/>
          <w:noProof/>
          <w:lang w:eastAsia="en-AU"/>
        </w:rPr>
        <w:tab/>
      </w:r>
      <w:r w:rsidRPr="004D232A">
        <w:rPr>
          <w:rFonts w:ascii="Arial" w:eastAsia="Times New Roman" w:hAnsi="Arial" w:cs="Times New Roman"/>
          <w:noProof/>
          <w:sz w:val="21"/>
          <w:szCs w:val="21"/>
          <w:lang w:eastAsia="en-AU"/>
        </w:rPr>
        <w:t>Contribution plan costs above the cap</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_Toc401138370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28</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4</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Assessment criterion 2: Community awareness and engagement</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_Toc401138371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29</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bCs/>
          <w:noProof/>
          <w:sz w:val="21"/>
          <w:szCs w:val="21"/>
          <w:lang w:eastAsia="en-AU"/>
        </w:rPr>
        <w:t>4.1</w:t>
      </w:r>
      <w:r w:rsidRPr="004D232A">
        <w:rPr>
          <w:rFonts w:eastAsiaTheme="minorEastAsia"/>
          <w:noProof/>
          <w:lang w:eastAsia="en-AU"/>
        </w:rPr>
        <w:tab/>
      </w:r>
      <w:r w:rsidRPr="004D232A">
        <w:rPr>
          <w:rFonts w:ascii="Arial" w:eastAsia="Times New Roman" w:hAnsi="Arial" w:cs="Times New Roman"/>
          <w:bCs/>
          <w:noProof/>
          <w:sz w:val="21"/>
          <w:szCs w:val="21"/>
          <w:lang w:eastAsia="en-AU"/>
        </w:rPr>
        <w:t>The consultation strategy</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_Toc401138372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31</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4.2</w:t>
      </w:r>
      <w:r w:rsidRPr="004D232A">
        <w:rPr>
          <w:rFonts w:eastAsiaTheme="minorEastAsia"/>
          <w:noProof/>
          <w:lang w:eastAsia="en-AU"/>
        </w:rPr>
        <w:tab/>
      </w:r>
      <w:r w:rsidRPr="004D232A">
        <w:rPr>
          <w:rFonts w:ascii="Arial" w:eastAsia="Times New Roman" w:hAnsi="Arial" w:cs="Times New Roman"/>
          <w:noProof/>
          <w:sz w:val="21"/>
          <w:szCs w:val="21"/>
          <w:lang w:eastAsia="en-AU"/>
        </w:rPr>
        <w:t>Feedback from the community consultations</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_Toc401138373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32</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5</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Assessment criterion 3: Impact on ratepayers</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_Toc401138374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35</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5.1</w:t>
      </w:r>
      <w:r w:rsidRPr="004D232A">
        <w:rPr>
          <w:rFonts w:eastAsiaTheme="minorEastAsia"/>
          <w:noProof/>
          <w:lang w:eastAsia="en-AU"/>
        </w:rPr>
        <w:tab/>
      </w:r>
      <w:r w:rsidRPr="004D232A">
        <w:rPr>
          <w:rFonts w:ascii="Arial" w:eastAsia="Times New Roman" w:hAnsi="Arial" w:cs="Times New Roman"/>
          <w:noProof/>
          <w:sz w:val="21"/>
          <w:szCs w:val="21"/>
          <w:lang w:eastAsia="en-AU"/>
        </w:rPr>
        <w:t>Impact on rates</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_Toc401138375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35</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5.2</w:t>
      </w:r>
      <w:r w:rsidRPr="004D232A">
        <w:rPr>
          <w:rFonts w:eastAsiaTheme="minorEastAsia"/>
          <w:noProof/>
          <w:lang w:eastAsia="en-AU"/>
        </w:rPr>
        <w:tab/>
      </w:r>
      <w:r w:rsidRPr="004D232A">
        <w:rPr>
          <w:rFonts w:ascii="Arial" w:eastAsia="Times New Roman" w:hAnsi="Arial" w:cs="Times New Roman"/>
          <w:noProof/>
          <w:sz w:val="21"/>
          <w:szCs w:val="21"/>
          <w:lang w:eastAsia="en-AU"/>
        </w:rPr>
        <w:t>Consideration of affordability and the community’s capacity and willingness to pay</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_Toc401138376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37</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907"/>
          <w:tab w:val="right" w:pos="7938"/>
        </w:tabs>
        <w:spacing w:before="60" w:after="0" w:line="240" w:lineRule="atLeast"/>
        <w:ind w:left="907" w:right="284" w:hanging="510"/>
        <w:rPr>
          <w:rFonts w:eastAsiaTheme="minorEastAsia"/>
          <w:noProof/>
          <w:lang w:eastAsia="en-AU"/>
        </w:rPr>
      </w:pPr>
      <w:r w:rsidRPr="004D232A">
        <w:rPr>
          <w:rFonts w:ascii="Arial" w:eastAsia="Times New Roman" w:hAnsi="Arial" w:cs="Times New Roman"/>
          <w:noProof/>
          <w:sz w:val="21"/>
          <w:szCs w:val="21"/>
          <w:lang w:eastAsia="en-AU"/>
        </w:rPr>
        <w:t>5.3</w:t>
      </w:r>
      <w:r w:rsidRPr="004D232A">
        <w:rPr>
          <w:rFonts w:eastAsiaTheme="minorEastAsia"/>
          <w:noProof/>
          <w:lang w:eastAsia="en-AU"/>
        </w:rPr>
        <w:tab/>
      </w:r>
      <w:r w:rsidRPr="004D232A">
        <w:rPr>
          <w:rFonts w:ascii="Arial" w:eastAsia="Times New Roman" w:hAnsi="Arial" w:cs="Times New Roman"/>
          <w:noProof/>
          <w:sz w:val="21"/>
          <w:szCs w:val="21"/>
          <w:lang w:eastAsia="en-AU"/>
        </w:rPr>
        <w:t>Addressing hardship</w:t>
      </w:r>
      <w:r w:rsidRPr="004D232A">
        <w:rPr>
          <w:rFonts w:ascii="Arial" w:eastAsia="Times New Roman" w:hAnsi="Arial" w:cs="Times New Roman"/>
          <w:noProof/>
          <w:sz w:val="21"/>
          <w:szCs w:val="21"/>
          <w:lang w:eastAsia="en-AU"/>
        </w:rPr>
        <w:tab/>
      </w:r>
      <w:r w:rsidRPr="004D232A">
        <w:rPr>
          <w:rFonts w:ascii="Arial" w:eastAsia="Times New Roman" w:hAnsi="Arial" w:cs="Times New Roman"/>
          <w:noProof/>
          <w:sz w:val="21"/>
          <w:szCs w:val="21"/>
          <w:lang w:eastAsia="en-AU"/>
        </w:rPr>
        <w:fldChar w:fldCharType="begin"/>
      </w:r>
      <w:r w:rsidRPr="004D232A">
        <w:rPr>
          <w:rFonts w:ascii="Arial" w:eastAsia="Times New Roman" w:hAnsi="Arial" w:cs="Times New Roman"/>
          <w:noProof/>
          <w:sz w:val="21"/>
          <w:szCs w:val="21"/>
          <w:lang w:eastAsia="en-AU"/>
        </w:rPr>
        <w:instrText xml:space="preserve"> PAGEREF _Toc401138377 \h </w:instrText>
      </w:r>
      <w:r w:rsidRPr="004D232A">
        <w:rPr>
          <w:rFonts w:ascii="Arial" w:eastAsia="Times New Roman" w:hAnsi="Arial" w:cs="Times New Roman"/>
          <w:noProof/>
          <w:sz w:val="21"/>
          <w:szCs w:val="21"/>
          <w:lang w:eastAsia="en-AU"/>
        </w:rPr>
      </w:r>
      <w:r w:rsidRPr="004D232A">
        <w:rPr>
          <w:rFonts w:ascii="Arial" w:eastAsia="Times New Roman" w:hAnsi="Arial" w:cs="Times New Roman"/>
          <w:noProof/>
          <w:sz w:val="21"/>
          <w:szCs w:val="21"/>
          <w:lang w:eastAsia="en-AU"/>
        </w:rPr>
        <w:fldChar w:fldCharType="separate"/>
      </w:r>
      <w:r w:rsidR="00AE4968">
        <w:rPr>
          <w:rFonts w:ascii="Arial" w:eastAsia="Times New Roman" w:hAnsi="Arial" w:cs="Times New Roman"/>
          <w:noProof/>
          <w:sz w:val="21"/>
          <w:szCs w:val="21"/>
          <w:lang w:eastAsia="en-AU"/>
        </w:rPr>
        <w:t>38</w:t>
      </w:r>
      <w:r w:rsidRPr="004D232A">
        <w:rPr>
          <w:rFonts w:ascii="Arial" w:eastAsia="Times New Roman" w:hAnsi="Arial" w:cs="Times New Roman"/>
          <w:noProof/>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6</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Assessment criterion 4: Public exhibition of relevant IP&amp;R documents</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_Toc401138378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39</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7</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Assessment criterion 5: Productivity improvements and cost containment strategies</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_Toc401138379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41</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8</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List of attachments</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_Toc401138380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42</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tabs>
          <w:tab w:val="left" w:pos="397"/>
          <w:tab w:val="right" w:pos="7938"/>
        </w:tabs>
        <w:spacing w:before="180" w:after="0" w:line="240" w:lineRule="atLeast"/>
        <w:ind w:left="397" w:right="284" w:hanging="397"/>
        <w:rPr>
          <w:rFonts w:eastAsiaTheme="minorEastAsia"/>
          <w:noProof/>
          <w:lang w:eastAsia="en-AU"/>
        </w:rPr>
      </w:pPr>
      <w:r w:rsidRPr="004D232A">
        <w:rPr>
          <w:rFonts w:ascii="Arial" w:eastAsia="Times New Roman" w:hAnsi="Arial" w:cs="Times New Roman"/>
          <w:b/>
          <w:noProof/>
          <w:color w:val="00408A"/>
          <w:sz w:val="21"/>
          <w:szCs w:val="21"/>
          <w:lang w:eastAsia="en-AU"/>
        </w:rPr>
        <w:t>9</w:t>
      </w:r>
      <w:r w:rsidRPr="004D232A">
        <w:rPr>
          <w:rFonts w:eastAsiaTheme="minorEastAsia"/>
          <w:noProof/>
          <w:lang w:eastAsia="en-AU"/>
        </w:rPr>
        <w:tab/>
      </w:r>
      <w:r w:rsidRPr="004D232A">
        <w:rPr>
          <w:rFonts w:ascii="Arial" w:eastAsia="Times New Roman" w:hAnsi="Arial" w:cs="Times New Roman"/>
          <w:b/>
          <w:noProof/>
          <w:color w:val="00408A"/>
          <w:sz w:val="21"/>
          <w:szCs w:val="21"/>
          <w:lang w:eastAsia="en-AU"/>
        </w:rPr>
        <w:t>Certification</w:t>
      </w:r>
      <w:r w:rsidRPr="004D232A">
        <w:rPr>
          <w:rFonts w:ascii="Arial" w:eastAsia="Times New Roman" w:hAnsi="Arial" w:cs="Times New Roman"/>
          <w:b/>
          <w:noProof/>
          <w:color w:val="00408A"/>
          <w:sz w:val="21"/>
          <w:szCs w:val="21"/>
          <w:lang w:eastAsia="en-AU"/>
        </w:rPr>
        <w:tab/>
      </w:r>
      <w:r w:rsidRPr="004D232A">
        <w:rPr>
          <w:rFonts w:ascii="Arial" w:eastAsia="Times New Roman" w:hAnsi="Arial" w:cs="Times New Roman"/>
          <w:b/>
          <w:noProof/>
          <w:color w:val="00408A"/>
          <w:sz w:val="21"/>
          <w:szCs w:val="21"/>
          <w:lang w:eastAsia="en-AU"/>
        </w:rPr>
        <w:fldChar w:fldCharType="begin"/>
      </w:r>
      <w:r w:rsidRPr="004D232A">
        <w:rPr>
          <w:rFonts w:ascii="Arial" w:eastAsia="Times New Roman" w:hAnsi="Arial" w:cs="Times New Roman"/>
          <w:b/>
          <w:noProof/>
          <w:color w:val="00408A"/>
          <w:sz w:val="21"/>
          <w:szCs w:val="21"/>
          <w:lang w:eastAsia="en-AU"/>
        </w:rPr>
        <w:instrText xml:space="preserve"> PAGEREF _Toc401138381 \h </w:instrText>
      </w:r>
      <w:r w:rsidRPr="004D232A">
        <w:rPr>
          <w:rFonts w:ascii="Arial" w:eastAsia="Times New Roman" w:hAnsi="Arial" w:cs="Times New Roman"/>
          <w:b/>
          <w:noProof/>
          <w:color w:val="00408A"/>
          <w:sz w:val="21"/>
          <w:szCs w:val="21"/>
          <w:lang w:eastAsia="en-AU"/>
        </w:rPr>
      </w:r>
      <w:r w:rsidRPr="004D232A">
        <w:rPr>
          <w:rFonts w:ascii="Arial" w:eastAsia="Times New Roman" w:hAnsi="Arial" w:cs="Times New Roman"/>
          <w:b/>
          <w:noProof/>
          <w:color w:val="00408A"/>
          <w:sz w:val="21"/>
          <w:szCs w:val="21"/>
          <w:lang w:eastAsia="en-AU"/>
        </w:rPr>
        <w:fldChar w:fldCharType="separate"/>
      </w:r>
      <w:r w:rsidR="00AE4968">
        <w:rPr>
          <w:rFonts w:ascii="Arial" w:eastAsia="Times New Roman" w:hAnsi="Arial" w:cs="Times New Roman"/>
          <w:b/>
          <w:noProof/>
          <w:color w:val="00408A"/>
          <w:sz w:val="21"/>
          <w:szCs w:val="21"/>
          <w:lang w:eastAsia="en-AU"/>
        </w:rPr>
        <w:t>44</w:t>
      </w:r>
      <w:r w:rsidRPr="004D232A">
        <w:rPr>
          <w:rFonts w:ascii="Arial" w:eastAsia="Times New Roman" w:hAnsi="Arial" w:cs="Times New Roman"/>
          <w:b/>
          <w:noProof/>
          <w:color w:val="00408A"/>
          <w:sz w:val="21"/>
          <w:szCs w:val="21"/>
          <w:lang w:eastAsia="en-AU"/>
        </w:rPr>
        <w:fldChar w:fldCharType="end"/>
      </w:r>
    </w:p>
    <w:p w:rsidR="004D232A" w:rsidRPr="004D232A" w:rsidRDefault="004D232A" w:rsidP="004D232A">
      <w:pPr>
        <w:spacing w:after="0" w:line="240" w:lineRule="auto"/>
        <w:rPr>
          <w:rFonts w:ascii="Book Antiqua" w:eastAsia="Times New Roman" w:hAnsi="Book Antiqua" w:cs="Times New Roman"/>
          <w:szCs w:val="24"/>
          <w:lang w:eastAsia="en-AU"/>
        </w:rPr>
        <w:sectPr w:rsidR="004D232A" w:rsidRPr="004D232A">
          <w:headerReference w:type="even" r:id="rId14"/>
          <w:headerReference w:type="default" r:id="rId15"/>
          <w:headerReference w:type="first" r:id="rId16"/>
          <w:footerReference w:type="first" r:id="rId17"/>
          <w:type w:val="oddPage"/>
          <w:pgSz w:w="11907" w:h="16840" w:code="9"/>
          <w:pgMar w:top="2268" w:right="1701" w:bottom="1418" w:left="1701" w:header="1134" w:footer="284" w:gutter="567"/>
          <w:pgNumType w:fmt="lowerRoman"/>
          <w:cols w:space="708"/>
          <w:docGrid w:linePitch="360"/>
        </w:sectPr>
      </w:pPr>
      <w:r w:rsidRPr="004D232A">
        <w:rPr>
          <w:rFonts w:ascii="Book Antiqua" w:eastAsia="Times New Roman" w:hAnsi="Book Antiqua" w:cs="Times New Roman"/>
          <w:szCs w:val="24"/>
          <w:lang w:eastAsia="en-AU"/>
        </w:rPr>
        <w:fldChar w:fldCharType="end"/>
      </w:r>
    </w:p>
    <w:p w:rsidR="004D232A" w:rsidRPr="004D232A" w:rsidRDefault="004D232A" w:rsidP="004D232A">
      <w:pPr>
        <w:keepNext/>
        <w:tabs>
          <w:tab w:val="num" w:pos="709"/>
        </w:tabs>
        <w:spacing w:after="60" w:line="400" w:lineRule="atLeast"/>
        <w:ind w:left="709" w:hanging="709"/>
        <w:outlineLvl w:val="0"/>
        <w:rPr>
          <w:rFonts w:ascii="Arial" w:eastAsia="Times New Roman" w:hAnsi="Arial" w:cs="Arial"/>
          <w:b/>
          <w:bCs/>
          <w:color w:val="00408A"/>
          <w:kern w:val="32"/>
          <w:sz w:val="30"/>
          <w:szCs w:val="30"/>
          <w:lang w:eastAsia="en-AU"/>
        </w:rPr>
      </w:pPr>
      <w:bookmarkStart w:id="0" w:name="_Toc401138359"/>
      <w:r w:rsidRPr="004D232A">
        <w:rPr>
          <w:rFonts w:ascii="Arial" w:eastAsia="Times New Roman" w:hAnsi="Arial" w:cs="Arial"/>
          <w:b/>
          <w:bCs/>
          <w:color w:val="00408A"/>
          <w:kern w:val="32"/>
          <w:sz w:val="30"/>
          <w:szCs w:val="30"/>
          <w:lang w:eastAsia="en-AU"/>
        </w:rPr>
        <w:lastRenderedPageBreak/>
        <w:t>Introduction</w:t>
      </w:r>
      <w:bookmarkEnd w:id="0"/>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IPART will assess each application against the criteria set out in the Office of Local Government’s (OLG) </w:t>
      </w:r>
      <w:r w:rsidRPr="004D232A">
        <w:rPr>
          <w:rFonts w:ascii="Book Antiqua" w:eastAsia="Times New Roman" w:hAnsi="Book Antiqua" w:cs="Times New Roman"/>
          <w:i/>
          <w:szCs w:val="21"/>
          <w:lang w:eastAsia="en-AU"/>
        </w:rPr>
        <w:t>Guidelines for the preparation of an application for a special variation to general income for 2015/2016</w:t>
      </w:r>
      <w:r w:rsidRPr="004D232A">
        <w:rPr>
          <w:rFonts w:ascii="Book Antiqua" w:eastAsia="Times New Roman" w:hAnsi="Book Antiqua" w:cs="Times New Roman"/>
          <w:szCs w:val="21"/>
          <w:lang w:eastAsia="en-AU"/>
        </w:rPr>
        <w:t xml:space="preserve"> (the Guidelines).  Councils should refer to these guidelines before completing this application form.</w:t>
      </w:r>
      <w:r w:rsidRPr="004D232A">
        <w:rPr>
          <w:rFonts w:ascii="Book Antiqua" w:eastAsia="Times New Roman" w:hAnsi="Book Antiqua" w:cs="Times New Roman"/>
          <w:position w:val="4"/>
          <w:sz w:val="15"/>
          <w:szCs w:val="15"/>
          <w:lang w:eastAsia="en-AU"/>
        </w:rPr>
        <w:footnoteReference w:id="1"/>
      </w:r>
      <w:r w:rsidRPr="004D232A">
        <w:rPr>
          <w:rFonts w:ascii="Book Antiqua" w:eastAsia="Times New Roman" w:hAnsi="Book Antiqua" w:cs="Times New Roman"/>
          <w:szCs w:val="21"/>
          <w:lang w:eastAsia="en-AU"/>
        </w:rPr>
        <w:t xml:space="preserve">  </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Each council must complete this Part B application form when applying for a special variation to general income either under section 508A or under section 508(2) of the </w:t>
      </w:r>
      <w:r w:rsidRPr="004D232A">
        <w:rPr>
          <w:rFonts w:ascii="Book Antiqua" w:eastAsia="Times New Roman" w:hAnsi="Book Antiqua" w:cs="Times New Roman"/>
          <w:i/>
          <w:szCs w:val="21"/>
          <w:lang w:eastAsia="en-AU"/>
        </w:rPr>
        <w:t>Local Government Act 1993</w:t>
      </w:r>
      <w:r w:rsidRPr="004D232A">
        <w:rPr>
          <w:rFonts w:ascii="Book Antiqua" w:eastAsia="Times New Roman" w:hAnsi="Book Antiqua" w:cs="Times New Roman"/>
          <w:szCs w:val="21"/>
          <w:lang w:eastAsia="en-AU"/>
        </w:rPr>
        <w:t>.</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Part B form must be completed together with the Part A (spreadsheet) form for both s508(2) and s508A applications.  The Guidelines also require the council to have resolved to apply for a special variation.  You must a</w:t>
      </w:r>
      <w:r w:rsidRPr="004D232A">
        <w:rPr>
          <w:rFonts w:ascii="Book Antiqua" w:eastAsia="Times New Roman" w:hAnsi="Book Antiqua" w:cs="Arial"/>
          <w:szCs w:val="21"/>
          <w:lang w:eastAsia="en-AU"/>
        </w:rPr>
        <w:t xml:space="preserve">ttach a </w:t>
      </w:r>
      <w:r w:rsidRPr="004D232A">
        <w:rPr>
          <w:rFonts w:ascii="Book Antiqua" w:eastAsia="Times New Roman" w:hAnsi="Book Antiqua" w:cs="Times New Roman"/>
          <w:szCs w:val="21"/>
          <w:lang w:eastAsia="en-AU"/>
        </w:rPr>
        <w:t>copy of the council’s resolution to make a special variation application.  IPART’s assessment of the application cannot commence without it.</w:t>
      </w: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1" w:name="_Toc401138360"/>
      <w:r w:rsidRPr="004D232A">
        <w:rPr>
          <w:rFonts w:ascii="Arial" w:eastAsia="Times New Roman" w:hAnsi="Arial" w:cs="Times New Roman"/>
          <w:b/>
          <w:color w:val="00408A"/>
          <w:kern w:val="28"/>
          <w:sz w:val="24"/>
          <w:szCs w:val="24"/>
          <w:lang w:eastAsia="en-AU"/>
        </w:rPr>
        <w:t>Completing the application form</w:t>
      </w:r>
      <w:bookmarkEnd w:id="1"/>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This form is structured to provide guidance on the information we consider necessary to assess a special variation application.  To complete the form, the council will need to respond to questions and insert text in the boxed area following each section or sub-section.  </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amount of information that a council provides will be a matter of judgement for the council, but it should be sufficient for us to make an evidence-based assessment of the application.  Generally, the extent of the evidence should reflect the size of the variation sought.  More complex applications or requests for  a high cumulative percentage increase should be supported by stronger, more extensive evidence.</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Councils may submit additional supporting documents as attachments to the application (refer to section 8).  These should be clearly identified in Part B and cross-referenced.  We prefer to receive relevant extracts rather than complete publications, unless the complete publication is relevant to the criteria.  You should provide details of how we can access the complete publication should this be necessary.</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We publish Fact Sheets on how IPART assesses special variations and on the nature of community engagement for special variation applications.  These will assist in preparing the application. The latest Fact Sheets on these topics are dated October 2014 and are available on IPART’s website.</w:t>
      </w:r>
      <w:r w:rsidRPr="004D232A">
        <w:rPr>
          <w:rFonts w:ascii="Book Antiqua" w:eastAsia="Times New Roman" w:hAnsi="Book Antiqua" w:cs="Times New Roman"/>
          <w:position w:val="4"/>
          <w:sz w:val="15"/>
          <w:szCs w:val="15"/>
          <w:lang w:eastAsia="en-AU"/>
        </w:rPr>
        <w:footnoteReference w:id="2"/>
      </w:r>
      <w:r w:rsidRPr="004D232A">
        <w:rPr>
          <w:rFonts w:ascii="Book Antiqua" w:eastAsia="Times New Roman" w:hAnsi="Book Antiqua" w:cs="Times New Roman"/>
          <w:szCs w:val="21"/>
          <w:lang w:eastAsia="en-AU"/>
        </w:rPr>
        <w:t xml:space="preserve"> </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We may ask for additional information to assist us in making our assessment.  If this is necessary, we will contact the nominated council officer.</w:t>
      </w:r>
    </w:p>
    <w:p w:rsidR="004D232A" w:rsidRPr="004D232A" w:rsidRDefault="004D232A" w:rsidP="004D232A">
      <w:pPr>
        <w:keepNext/>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lastRenderedPageBreak/>
        <w:t>This application form consists of:</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2 – Preliminaries</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3 – Assessment criterion 1</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4 – Assessment criterion 2</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5 – Assessment criterion 3</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6 – Assessment criterion 4</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7 – Assessment criterion 5</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8 – List of attachments</w:t>
      </w:r>
    </w:p>
    <w:p w:rsidR="004D232A" w:rsidRPr="004D232A" w:rsidRDefault="004D232A" w:rsidP="004D232A">
      <w:pPr>
        <w:keepNext/>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Section 9 – Certification.</w:t>
      </w: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2" w:name="_Toc366160403"/>
      <w:bookmarkStart w:id="3" w:name="_Toc401138361"/>
      <w:r w:rsidRPr="004D232A">
        <w:rPr>
          <w:rFonts w:ascii="Arial" w:eastAsia="Times New Roman" w:hAnsi="Arial" w:cs="Times New Roman"/>
          <w:b/>
          <w:color w:val="00408A"/>
          <w:kern w:val="28"/>
          <w:sz w:val="24"/>
          <w:szCs w:val="24"/>
          <w:lang w:eastAsia="en-AU"/>
        </w:rPr>
        <w:t>Using the Council Portal to submit the application</w:t>
      </w:r>
      <w:bookmarkEnd w:id="2"/>
      <w:bookmarkEnd w:id="3"/>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All councils intending to apply for a special variation must use the Council Portal on IPART’s website to register as an applicant council and to submit an application.</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The Portal is at </w:t>
      </w:r>
      <w:hyperlink r:id="rId18" w:history="1">
        <w:r w:rsidRPr="004D232A">
          <w:rPr>
            <w:rFonts w:ascii="Book Antiqua" w:eastAsia="Times New Roman" w:hAnsi="Book Antiqua" w:cs="Times New Roman"/>
            <w:color w:val="00408A"/>
            <w:szCs w:val="21"/>
            <w:lang w:eastAsia="en-AU"/>
          </w:rPr>
          <w:t>http://www.ipart.nsw.gov.au/Home/Industries/Local_Govt</w:t>
        </w:r>
      </w:hyperlink>
      <w:r w:rsidRPr="004D232A">
        <w:rPr>
          <w:rFonts w:ascii="Book Antiqua" w:eastAsia="Times New Roman" w:hAnsi="Book Antiqua" w:cs="Times New Roman"/>
          <w:szCs w:val="21"/>
          <w:lang w:eastAsia="en-AU"/>
        </w:rPr>
        <w:t xml:space="preserve">.  The </w:t>
      </w:r>
      <w:hyperlink r:id="rId19" w:history="1">
        <w:r w:rsidRPr="004D232A">
          <w:rPr>
            <w:rFonts w:ascii="Book Antiqua" w:eastAsia="Times New Roman" w:hAnsi="Book Antiqua" w:cs="Times New Roman"/>
            <w:color w:val="00408A"/>
            <w:szCs w:val="21"/>
            <w:lang w:eastAsia="en-AU"/>
          </w:rPr>
          <w:t>User Guide</w:t>
        </w:r>
      </w:hyperlink>
      <w:r w:rsidRPr="004D232A">
        <w:rPr>
          <w:rFonts w:ascii="Book Antiqua" w:eastAsia="Times New Roman" w:hAnsi="Book Antiqua" w:cs="Times New Roman"/>
          <w:color w:val="00408A"/>
          <w:szCs w:val="21"/>
          <w:lang w:eastAsia="en-AU"/>
        </w:rPr>
        <w:t xml:space="preserve"> </w:t>
      </w:r>
      <w:r w:rsidRPr="004D232A">
        <w:rPr>
          <w:rFonts w:ascii="Book Antiqua" w:eastAsia="Times New Roman" w:hAnsi="Book Antiqua" w:cs="Times New Roman"/>
          <w:szCs w:val="21"/>
          <w:lang w:eastAsia="en-AU"/>
        </w:rPr>
        <w:t xml:space="preserve">for the Portal will assist you with the registration and online submission process.  If you experience difficulties please contact Himali Ranasinghe on (02) 9113 7710 or by email </w:t>
      </w:r>
      <w:hyperlink r:id="rId20" w:history="1">
        <w:r w:rsidRPr="004D232A">
          <w:rPr>
            <w:rFonts w:ascii="Book Antiqua" w:eastAsia="Times New Roman" w:hAnsi="Book Antiqua" w:cs="Times New Roman"/>
            <w:color w:val="00408A"/>
            <w:szCs w:val="21"/>
            <w:lang w:eastAsia="en-AU"/>
          </w:rPr>
          <w:t>himali_ranasinghe@ipart.nsw.gov.au</w:t>
        </w:r>
      </w:hyperlink>
    </w:p>
    <w:p w:rsidR="004D232A" w:rsidRPr="004D232A" w:rsidRDefault="004D232A" w:rsidP="004D232A">
      <w:pPr>
        <w:spacing w:before="200" w:after="0" w:line="280" w:lineRule="atLeast"/>
        <w:jc w:val="both"/>
        <w:rPr>
          <w:rFonts w:ascii="Book Antiqua" w:eastAsia="Times New Roman" w:hAnsi="Book Antiqua" w:cs="Times New Roman"/>
          <w:b/>
          <w:szCs w:val="21"/>
          <w:lang w:eastAsia="en-AU"/>
        </w:rPr>
      </w:pPr>
      <w:r w:rsidRPr="004D232A">
        <w:rPr>
          <w:rFonts w:ascii="Book Antiqua" w:eastAsia="Times New Roman" w:hAnsi="Book Antiqua" w:cs="Arial"/>
          <w:color w:val="000000"/>
          <w:szCs w:val="21"/>
          <w:lang w:eastAsia="en-AU"/>
        </w:rPr>
        <w:t xml:space="preserve">Councils intending to submit an application under either section 508(2) or section 508A must notify us of their intention to apply </w:t>
      </w:r>
      <w:r w:rsidRPr="004D232A">
        <w:rPr>
          <w:rFonts w:ascii="Book Antiqua" w:eastAsia="Times New Roman" w:hAnsi="Book Antiqua" w:cs="Times New Roman"/>
          <w:szCs w:val="21"/>
          <w:lang w:eastAsia="en-AU"/>
        </w:rPr>
        <w:t xml:space="preserve">by </w:t>
      </w:r>
      <w:r w:rsidRPr="004D232A">
        <w:rPr>
          <w:rFonts w:ascii="Book Antiqua" w:eastAsia="Times New Roman" w:hAnsi="Book Antiqua" w:cs="Times New Roman"/>
          <w:b/>
          <w:szCs w:val="21"/>
          <w:lang w:eastAsia="en-AU"/>
        </w:rPr>
        <w:t>COB Friday, 12 December 2014.</w:t>
      </w:r>
      <w:r w:rsidRPr="004D232A">
        <w:rPr>
          <w:rFonts w:ascii="Book Antiqua" w:eastAsia="Times New Roman" w:hAnsi="Book Antiqua" w:cs="Times New Roman"/>
          <w:szCs w:val="21"/>
          <w:lang w:eastAsia="en-AU"/>
        </w:rPr>
        <w:t xml:space="preserve"> </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Arial"/>
          <w:color w:val="000000"/>
          <w:szCs w:val="21"/>
          <w:lang w:eastAsia="en-AU"/>
        </w:rPr>
        <w:t>Councils should submit their applications</w:t>
      </w:r>
      <w:r w:rsidRPr="004D232A">
        <w:rPr>
          <w:rFonts w:ascii="Book Antiqua" w:eastAsia="Times New Roman" w:hAnsi="Book Antiqua" w:cs="Times New Roman"/>
          <w:szCs w:val="21"/>
          <w:lang w:eastAsia="en-AU"/>
        </w:rPr>
        <w:t xml:space="preserve"> via the Portal.  File size limits apply to each part of the application.  For Part B the limit is 10MB.  The limit for supporting documents is 70MB for public documents and 50MB for confidential documents.  These file limits should be sufficient for your application.  Please contact us if they are not.</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We ask that councils also submit one hard copy of their application to us (with a table of contents and appropriate cross referencing of attachments).  Note, early in 2015 IPART will be relocating to the following address:</w:t>
      </w:r>
    </w:p>
    <w:p w:rsidR="004D232A" w:rsidRPr="004D232A" w:rsidRDefault="004D232A" w:rsidP="004D232A">
      <w:pPr>
        <w:spacing w:before="240" w:after="0" w:line="280" w:lineRule="atLeast"/>
        <w:ind w:left="720"/>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Local Government Team</w:t>
      </w:r>
      <w:r w:rsidRPr="004D232A">
        <w:rPr>
          <w:rFonts w:ascii="Book Antiqua" w:eastAsia="Times New Roman" w:hAnsi="Book Antiqua" w:cs="Times New Roman"/>
          <w:szCs w:val="21"/>
          <w:lang w:eastAsia="en-AU"/>
        </w:rPr>
        <w:br/>
        <w:t>Independent Pricing and Regulatory Tribunal</w:t>
      </w:r>
      <w:r w:rsidRPr="004D232A">
        <w:rPr>
          <w:rFonts w:ascii="Book Antiqua" w:eastAsia="Times New Roman" w:hAnsi="Book Antiqua" w:cs="Times New Roman"/>
          <w:szCs w:val="21"/>
          <w:lang w:eastAsia="en-AU"/>
        </w:rPr>
        <w:br/>
        <w:t xml:space="preserve">PO Box K35, </w:t>
      </w:r>
      <w:r w:rsidRPr="004D232A">
        <w:rPr>
          <w:rFonts w:ascii="Book Antiqua" w:eastAsia="Times New Roman" w:hAnsi="Book Antiqua" w:cs="Times New Roman"/>
          <w:szCs w:val="21"/>
          <w:lang w:eastAsia="en-AU"/>
        </w:rPr>
        <w:br/>
        <w:t>Haymarket Post Shop NSW 1230</w:t>
      </w:r>
    </w:p>
    <w:p w:rsidR="004D232A" w:rsidRPr="004D232A" w:rsidRDefault="004D232A" w:rsidP="004D232A">
      <w:pPr>
        <w:spacing w:before="240" w:after="0" w:line="280" w:lineRule="atLeast"/>
        <w:ind w:left="720"/>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Level 15, 2-24 Rawson Place, Sydney NSW 2000  </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We must receive your application via the Council Portal no later than </w:t>
      </w:r>
      <w:r w:rsidRPr="004D232A">
        <w:rPr>
          <w:rFonts w:ascii="Book Antiqua" w:eastAsia="Times New Roman" w:hAnsi="Book Antiqua" w:cs="Times New Roman"/>
          <w:b/>
          <w:szCs w:val="21"/>
          <w:lang w:eastAsia="en-AU"/>
        </w:rPr>
        <w:t>COB Monday, 16 February 2015.</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lastRenderedPageBreak/>
        <w:t xml:space="preserve">We will post all applications (excluding confidential content) on the IPART website.  </w:t>
      </w:r>
      <w:r w:rsidRPr="004D232A">
        <w:rPr>
          <w:rFonts w:ascii="Book Antiqua" w:eastAsia="Times New Roman" w:hAnsi="Book Antiqua" w:cs="Times New Roman"/>
          <w:szCs w:val="21"/>
          <w:lang w:val="en-US" w:eastAsia="en-AU"/>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do not expose confidential content.</w:t>
      </w:r>
    </w:p>
    <w:p w:rsidR="004D232A" w:rsidRPr="004D232A" w:rsidRDefault="004D232A" w:rsidP="004D232A">
      <w:pPr>
        <w:spacing w:before="20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Councils should also post their application on their own website for the community to access.</w:t>
      </w:r>
    </w:p>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bookmarkStart w:id="4" w:name="_Toc401138362"/>
      <w:r w:rsidRPr="004D232A">
        <w:rPr>
          <w:rFonts w:ascii="Arial" w:eastAsia="Times New Roman" w:hAnsi="Arial" w:cs="Arial"/>
          <w:b/>
          <w:bCs/>
          <w:color w:val="00408A"/>
          <w:kern w:val="32"/>
          <w:sz w:val="30"/>
          <w:szCs w:val="30"/>
          <w:lang w:eastAsia="en-AU"/>
        </w:rPr>
        <w:t>Preliminaries</w:t>
      </w:r>
      <w:bookmarkEnd w:id="4"/>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5" w:name="_Toc401138363"/>
      <w:r w:rsidRPr="004D232A">
        <w:rPr>
          <w:rFonts w:ascii="Arial" w:eastAsia="Times New Roman" w:hAnsi="Arial" w:cs="Times New Roman"/>
          <w:b/>
          <w:color w:val="00408A"/>
          <w:kern w:val="28"/>
          <w:sz w:val="24"/>
          <w:szCs w:val="24"/>
          <w:lang w:eastAsia="en-AU"/>
        </w:rPr>
        <w:t>Focus on Integrated Planning and Reporting</w:t>
      </w:r>
      <w:bookmarkEnd w:id="5"/>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Councils must identify the need for a special variation to their General Fund’s  rates revenue as part of their Integrated Planning and Reporting (IP&amp;R) process.</w:t>
      </w:r>
      <w:r w:rsidRPr="004D232A">
        <w:rPr>
          <w:rFonts w:ascii="Book Antiqua" w:eastAsia="Times New Roman" w:hAnsi="Book Antiqua" w:cs="Times New Roman"/>
          <w:position w:val="4"/>
          <w:sz w:val="15"/>
          <w:szCs w:val="15"/>
          <w:lang w:eastAsia="en-AU"/>
        </w:rPr>
        <w:footnoteReference w:id="3"/>
      </w:r>
      <w:r w:rsidRPr="004D232A">
        <w:rPr>
          <w:rFonts w:ascii="Book Antiqua" w:eastAsia="Times New Roman" w:hAnsi="Book Antiqua" w:cs="Times New Roman"/>
          <w:szCs w:val="21"/>
          <w:lang w:eastAsia="en-AU"/>
        </w:rPr>
        <w:t xml:space="preserve">  The IP&amp;R documents will need to be publicly exhibited and adopted by the council prior to it submitting its application to us.  Also refer to section 6 for a more detailed explanation.</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key IP&amp;R documents are the Community Strategic Plan, Delivery Program, Long Term Financial Plan and, where applicable, the Asset Management Plan.  A council’s application may also include supplementary and/or background publications used within its IP&amp;R processes.  You should refer to these documents to support your application for a special variation where appropriate.</w:t>
      </w: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6" w:name="_Toc401138364"/>
      <w:r w:rsidRPr="004D232A">
        <w:rPr>
          <w:rFonts w:ascii="Arial" w:eastAsia="Times New Roman" w:hAnsi="Arial" w:cs="Times New Roman"/>
          <w:b/>
          <w:color w:val="00408A"/>
          <w:kern w:val="28"/>
          <w:sz w:val="24"/>
          <w:szCs w:val="24"/>
          <w:lang w:eastAsia="en-AU"/>
        </w:rPr>
        <w:t>Key purpose of special variation</w:t>
      </w:r>
      <w:bookmarkEnd w:id="6"/>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At the highest level, indicate the key purpose(s) of the special variation by marking one or more of the boxes below with an “x”.</w:t>
      </w:r>
    </w:p>
    <w:p w:rsidR="004D232A" w:rsidRPr="004D232A" w:rsidRDefault="004D232A" w:rsidP="004D232A">
      <w:pPr>
        <w:spacing w:after="0" w:line="280" w:lineRule="atLeast"/>
        <w:jc w:val="both"/>
        <w:rPr>
          <w:rFonts w:ascii="Book Antiqua" w:eastAsia="Times New Roman" w:hAnsi="Book Antiqua" w:cs="Times New Roman"/>
          <w:szCs w:val="21"/>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4D232A" w:rsidRPr="004D232A" w:rsidTr="00B60324">
        <w:tc>
          <w:tcPr>
            <w:tcW w:w="4644" w:type="dxa"/>
            <w:vAlign w:val="center"/>
          </w:tcPr>
          <w:p w:rsidR="004D232A" w:rsidRPr="004D232A" w:rsidRDefault="004D232A" w:rsidP="004D232A">
            <w:pPr>
              <w:keepLines/>
              <w:spacing w:before="60" w:after="60" w:line="210" w:lineRule="atLeast"/>
              <w:rPr>
                <w:rFonts w:ascii="Arial" w:hAnsi="Arial"/>
                <w:sz w:val="19"/>
                <w:szCs w:val="19"/>
              </w:rPr>
            </w:pPr>
            <w:r w:rsidRPr="004D232A">
              <w:rPr>
                <w:rFonts w:ascii="Arial" w:hAnsi="Arial"/>
                <w:sz w:val="19"/>
                <w:szCs w:val="19"/>
              </w:rPr>
              <w:t>Maintain existing services</w:t>
            </w:r>
          </w:p>
        </w:tc>
        <w:tc>
          <w:tcPr>
            <w:tcW w:w="993" w:type="dxa"/>
          </w:tcPr>
          <w:p w:rsidR="004D232A" w:rsidRPr="004D232A" w:rsidRDefault="004D232A" w:rsidP="004D232A">
            <w:pPr>
              <w:spacing w:before="60" w:after="60" w:line="280" w:lineRule="atLeast"/>
              <w:jc w:val="center"/>
              <w:rPr>
                <w:rFonts w:ascii="Book Antiqua" w:hAnsi="Book Antiqua"/>
                <w:szCs w:val="21"/>
              </w:rPr>
            </w:pPr>
            <w:r w:rsidRPr="004D232A">
              <w:rPr>
                <w:rFonts w:ascii="Book Antiqua" w:hAnsi="Book Antiqua"/>
                <w:szCs w:val="21"/>
              </w:rPr>
              <w:fldChar w:fldCharType="begin">
                <w:ffData>
                  <w:name w:val="Check4"/>
                  <w:enabled/>
                  <w:calcOnExit w:val="0"/>
                  <w:checkBox>
                    <w:sizeAuto/>
                    <w:default w:val="1"/>
                  </w:checkBox>
                </w:ffData>
              </w:fldChar>
            </w:r>
            <w:bookmarkStart w:id="7" w:name="Check4"/>
            <w:r w:rsidRPr="004D232A">
              <w:rPr>
                <w:rFonts w:ascii="Book Antiqua" w:hAnsi="Book Antiqua"/>
                <w:szCs w:val="21"/>
              </w:rPr>
              <w:instrText xml:space="preserve"> FORMCHECKBOX </w:instrText>
            </w:r>
            <w:r w:rsidR="00AE4968">
              <w:rPr>
                <w:rFonts w:ascii="Book Antiqua" w:hAnsi="Book Antiqua"/>
                <w:szCs w:val="21"/>
              </w:rPr>
            </w:r>
            <w:r w:rsidR="00AE4968">
              <w:rPr>
                <w:rFonts w:ascii="Book Antiqua" w:hAnsi="Book Antiqua"/>
                <w:szCs w:val="21"/>
              </w:rPr>
              <w:fldChar w:fldCharType="separate"/>
            </w:r>
            <w:r w:rsidRPr="004D232A">
              <w:rPr>
                <w:rFonts w:ascii="Book Antiqua" w:hAnsi="Book Antiqua"/>
                <w:szCs w:val="21"/>
              </w:rPr>
              <w:fldChar w:fldCharType="end"/>
            </w:r>
            <w:bookmarkEnd w:id="7"/>
          </w:p>
        </w:tc>
      </w:tr>
      <w:tr w:rsidR="004D232A" w:rsidRPr="004D232A" w:rsidTr="00B60324">
        <w:tc>
          <w:tcPr>
            <w:tcW w:w="4644" w:type="dxa"/>
            <w:vAlign w:val="center"/>
          </w:tcPr>
          <w:p w:rsidR="004D232A" w:rsidRPr="004D232A" w:rsidRDefault="004D232A" w:rsidP="004D232A">
            <w:pPr>
              <w:keepLines/>
              <w:spacing w:before="60" w:after="60" w:line="210" w:lineRule="atLeast"/>
              <w:rPr>
                <w:rFonts w:ascii="Arial" w:hAnsi="Arial"/>
                <w:sz w:val="19"/>
                <w:szCs w:val="19"/>
              </w:rPr>
            </w:pPr>
            <w:r w:rsidRPr="004D232A">
              <w:rPr>
                <w:rFonts w:ascii="Arial" w:hAnsi="Arial"/>
                <w:sz w:val="19"/>
                <w:szCs w:val="19"/>
              </w:rPr>
              <w:t>Enhance financial sustainability</w:t>
            </w:r>
          </w:p>
        </w:tc>
        <w:tc>
          <w:tcPr>
            <w:tcW w:w="993" w:type="dxa"/>
          </w:tcPr>
          <w:p w:rsidR="004D232A" w:rsidRPr="004D232A" w:rsidRDefault="004D232A" w:rsidP="004D232A">
            <w:pPr>
              <w:spacing w:before="60" w:after="60" w:line="280" w:lineRule="atLeast"/>
              <w:jc w:val="center"/>
              <w:rPr>
                <w:rFonts w:ascii="Book Antiqua" w:hAnsi="Book Antiqua"/>
                <w:szCs w:val="21"/>
              </w:rPr>
            </w:pPr>
            <w:r w:rsidRPr="004D232A">
              <w:rPr>
                <w:rFonts w:ascii="Book Antiqua" w:hAnsi="Book Antiqua"/>
                <w:szCs w:val="21"/>
              </w:rPr>
              <w:fldChar w:fldCharType="begin">
                <w:ffData>
                  <w:name w:val=""/>
                  <w:enabled/>
                  <w:calcOnExit w:val="0"/>
                  <w:checkBox>
                    <w:sizeAuto/>
                    <w:default w:val="1"/>
                  </w:checkBox>
                </w:ffData>
              </w:fldChar>
            </w:r>
            <w:r w:rsidRPr="004D232A">
              <w:rPr>
                <w:rFonts w:ascii="Book Antiqua" w:hAnsi="Book Antiqua"/>
                <w:szCs w:val="21"/>
              </w:rPr>
              <w:instrText xml:space="preserve"> FORMCHECKBOX </w:instrText>
            </w:r>
            <w:r w:rsidR="00AE4968">
              <w:rPr>
                <w:rFonts w:ascii="Book Antiqua" w:hAnsi="Book Antiqua"/>
                <w:szCs w:val="21"/>
              </w:rPr>
            </w:r>
            <w:r w:rsidR="00AE4968">
              <w:rPr>
                <w:rFonts w:ascii="Book Antiqua" w:hAnsi="Book Antiqua"/>
                <w:szCs w:val="21"/>
              </w:rPr>
              <w:fldChar w:fldCharType="separate"/>
            </w:r>
            <w:r w:rsidRPr="004D232A">
              <w:rPr>
                <w:rFonts w:ascii="Book Antiqua" w:hAnsi="Book Antiqua"/>
                <w:szCs w:val="21"/>
              </w:rPr>
              <w:fldChar w:fldCharType="end"/>
            </w:r>
          </w:p>
        </w:tc>
      </w:tr>
      <w:tr w:rsidR="004D232A" w:rsidRPr="004D232A" w:rsidTr="00B60324">
        <w:tc>
          <w:tcPr>
            <w:tcW w:w="4644" w:type="dxa"/>
            <w:vAlign w:val="center"/>
          </w:tcPr>
          <w:p w:rsidR="004D232A" w:rsidRPr="004D232A" w:rsidRDefault="004D232A" w:rsidP="004D232A">
            <w:pPr>
              <w:keepLines/>
              <w:spacing w:before="60" w:after="60" w:line="210" w:lineRule="atLeast"/>
              <w:rPr>
                <w:rFonts w:ascii="Arial" w:hAnsi="Arial"/>
                <w:sz w:val="19"/>
                <w:szCs w:val="19"/>
              </w:rPr>
            </w:pPr>
            <w:r w:rsidRPr="004D232A">
              <w:rPr>
                <w:rFonts w:ascii="Arial" w:hAnsi="Arial"/>
                <w:sz w:val="19"/>
                <w:szCs w:val="19"/>
              </w:rPr>
              <w:t>Environmental services or works</w:t>
            </w:r>
          </w:p>
        </w:tc>
        <w:tc>
          <w:tcPr>
            <w:tcW w:w="993" w:type="dxa"/>
          </w:tcPr>
          <w:p w:rsidR="004D232A" w:rsidRPr="004D232A" w:rsidRDefault="004D232A" w:rsidP="004D232A">
            <w:pPr>
              <w:spacing w:before="60" w:after="60" w:line="280" w:lineRule="atLeast"/>
              <w:jc w:val="center"/>
              <w:rPr>
                <w:rFonts w:ascii="Book Antiqua" w:hAnsi="Book Antiqua"/>
                <w:szCs w:val="21"/>
              </w:rPr>
            </w:pPr>
            <w:r w:rsidRPr="004D232A">
              <w:rPr>
                <w:rFonts w:ascii="Book Antiqua" w:hAnsi="Book Antiqua"/>
                <w:szCs w:val="21"/>
              </w:rPr>
              <w:fldChar w:fldCharType="begin">
                <w:ffData>
                  <w:name w:val="Check3"/>
                  <w:enabled/>
                  <w:calcOnExit w:val="0"/>
                  <w:checkBox>
                    <w:sizeAuto/>
                    <w:default w:val="0"/>
                  </w:checkBox>
                </w:ffData>
              </w:fldChar>
            </w:r>
            <w:bookmarkStart w:id="8" w:name="Check3"/>
            <w:r w:rsidRPr="004D232A">
              <w:rPr>
                <w:rFonts w:ascii="Book Antiqua" w:hAnsi="Book Antiqua"/>
                <w:szCs w:val="21"/>
              </w:rPr>
              <w:instrText xml:space="preserve"> FORMCHECKBOX </w:instrText>
            </w:r>
            <w:r w:rsidR="00AE4968">
              <w:rPr>
                <w:rFonts w:ascii="Book Antiqua" w:hAnsi="Book Antiqua"/>
                <w:szCs w:val="21"/>
              </w:rPr>
            </w:r>
            <w:r w:rsidR="00AE4968">
              <w:rPr>
                <w:rFonts w:ascii="Book Antiqua" w:hAnsi="Book Antiqua"/>
                <w:szCs w:val="21"/>
              </w:rPr>
              <w:fldChar w:fldCharType="separate"/>
            </w:r>
            <w:r w:rsidRPr="004D232A">
              <w:rPr>
                <w:rFonts w:ascii="Book Antiqua" w:hAnsi="Book Antiqua"/>
                <w:szCs w:val="21"/>
              </w:rPr>
              <w:fldChar w:fldCharType="end"/>
            </w:r>
            <w:bookmarkEnd w:id="8"/>
          </w:p>
        </w:tc>
      </w:tr>
      <w:tr w:rsidR="004D232A" w:rsidRPr="004D232A" w:rsidTr="00B60324">
        <w:tc>
          <w:tcPr>
            <w:tcW w:w="4644" w:type="dxa"/>
            <w:vAlign w:val="center"/>
          </w:tcPr>
          <w:p w:rsidR="004D232A" w:rsidRPr="004D232A" w:rsidRDefault="004D232A" w:rsidP="004D232A">
            <w:pPr>
              <w:keepLines/>
              <w:spacing w:before="60" w:after="60" w:line="210" w:lineRule="atLeast"/>
              <w:rPr>
                <w:rFonts w:ascii="Arial" w:hAnsi="Arial"/>
                <w:sz w:val="19"/>
                <w:szCs w:val="19"/>
              </w:rPr>
            </w:pPr>
            <w:r w:rsidRPr="004D232A">
              <w:rPr>
                <w:rFonts w:ascii="Arial" w:hAnsi="Arial"/>
                <w:sz w:val="19"/>
                <w:szCs w:val="19"/>
              </w:rPr>
              <w:t>Infrastructure maintenance / renewal</w:t>
            </w:r>
          </w:p>
        </w:tc>
        <w:tc>
          <w:tcPr>
            <w:tcW w:w="993" w:type="dxa"/>
          </w:tcPr>
          <w:p w:rsidR="004D232A" w:rsidRPr="004D232A" w:rsidRDefault="004D232A" w:rsidP="004D232A">
            <w:pPr>
              <w:spacing w:before="60" w:after="60" w:line="280" w:lineRule="atLeast"/>
              <w:jc w:val="center"/>
              <w:rPr>
                <w:rFonts w:ascii="Book Antiqua" w:hAnsi="Book Antiqua"/>
                <w:szCs w:val="21"/>
              </w:rPr>
            </w:pPr>
            <w:r w:rsidRPr="004D232A">
              <w:rPr>
                <w:rFonts w:ascii="Book Antiqua" w:hAnsi="Book Antiqua"/>
                <w:szCs w:val="21"/>
              </w:rPr>
              <w:fldChar w:fldCharType="begin">
                <w:ffData>
                  <w:name w:val="Check1"/>
                  <w:enabled/>
                  <w:calcOnExit w:val="0"/>
                  <w:checkBox>
                    <w:sizeAuto/>
                    <w:default w:val="1"/>
                  </w:checkBox>
                </w:ffData>
              </w:fldChar>
            </w:r>
            <w:r w:rsidRPr="004D232A">
              <w:rPr>
                <w:rFonts w:ascii="Book Antiqua" w:hAnsi="Book Antiqua"/>
                <w:szCs w:val="21"/>
              </w:rPr>
              <w:instrText xml:space="preserve"> </w:instrText>
            </w:r>
            <w:bookmarkStart w:id="9" w:name="Check1"/>
            <w:r w:rsidRPr="004D232A">
              <w:rPr>
                <w:rFonts w:ascii="Book Antiqua" w:hAnsi="Book Antiqua"/>
                <w:szCs w:val="21"/>
              </w:rPr>
              <w:instrText xml:space="preserve">FORMCHECKBOX </w:instrText>
            </w:r>
            <w:r w:rsidR="00AE4968">
              <w:rPr>
                <w:rFonts w:ascii="Book Antiqua" w:hAnsi="Book Antiqua"/>
                <w:szCs w:val="21"/>
              </w:rPr>
            </w:r>
            <w:r w:rsidR="00AE4968">
              <w:rPr>
                <w:rFonts w:ascii="Book Antiqua" w:hAnsi="Book Antiqua"/>
                <w:szCs w:val="21"/>
              </w:rPr>
              <w:fldChar w:fldCharType="separate"/>
            </w:r>
            <w:r w:rsidRPr="004D232A">
              <w:rPr>
                <w:rFonts w:ascii="Book Antiqua" w:hAnsi="Book Antiqua"/>
                <w:szCs w:val="21"/>
              </w:rPr>
              <w:fldChar w:fldCharType="end"/>
            </w:r>
            <w:bookmarkEnd w:id="9"/>
          </w:p>
        </w:tc>
      </w:tr>
      <w:tr w:rsidR="004D232A" w:rsidRPr="004D232A" w:rsidTr="00B60324">
        <w:tc>
          <w:tcPr>
            <w:tcW w:w="4644" w:type="dxa"/>
            <w:vAlign w:val="center"/>
          </w:tcPr>
          <w:p w:rsidR="004D232A" w:rsidRPr="004D232A" w:rsidRDefault="004D232A" w:rsidP="004D232A">
            <w:pPr>
              <w:keepLines/>
              <w:spacing w:before="60" w:after="60" w:line="210" w:lineRule="atLeast"/>
              <w:rPr>
                <w:rFonts w:ascii="Arial" w:hAnsi="Arial"/>
                <w:sz w:val="19"/>
                <w:szCs w:val="19"/>
              </w:rPr>
            </w:pPr>
            <w:r w:rsidRPr="004D232A">
              <w:rPr>
                <w:rFonts w:ascii="Arial" w:hAnsi="Arial"/>
                <w:sz w:val="19"/>
                <w:szCs w:val="19"/>
              </w:rPr>
              <w:t>Reduce infrastructure backlogs</w:t>
            </w:r>
          </w:p>
        </w:tc>
        <w:tc>
          <w:tcPr>
            <w:tcW w:w="993" w:type="dxa"/>
          </w:tcPr>
          <w:p w:rsidR="004D232A" w:rsidRPr="004D232A" w:rsidRDefault="004D232A" w:rsidP="004D232A">
            <w:pPr>
              <w:spacing w:before="60" w:after="60" w:line="280" w:lineRule="atLeast"/>
              <w:jc w:val="center"/>
              <w:rPr>
                <w:rFonts w:ascii="Book Antiqua" w:hAnsi="Book Antiqua"/>
                <w:szCs w:val="21"/>
              </w:rPr>
            </w:pPr>
            <w:r w:rsidRPr="004D232A">
              <w:rPr>
                <w:rFonts w:ascii="Book Antiqua" w:hAnsi="Book Antiqua"/>
                <w:szCs w:val="21"/>
              </w:rPr>
              <w:fldChar w:fldCharType="begin">
                <w:ffData>
                  <w:name w:val="Check2"/>
                  <w:enabled/>
                  <w:calcOnExit w:val="0"/>
                  <w:checkBox>
                    <w:sizeAuto/>
                    <w:default w:val="0"/>
                    <w:checked w:val="0"/>
                  </w:checkBox>
                </w:ffData>
              </w:fldChar>
            </w:r>
            <w:r w:rsidRPr="004D232A">
              <w:rPr>
                <w:rFonts w:ascii="Book Antiqua" w:hAnsi="Book Antiqua"/>
                <w:szCs w:val="21"/>
              </w:rPr>
              <w:instrText xml:space="preserve"> FORMCHECKBOX </w:instrText>
            </w:r>
            <w:r w:rsidR="00AE4968">
              <w:rPr>
                <w:rFonts w:ascii="Book Antiqua" w:hAnsi="Book Antiqua"/>
                <w:szCs w:val="21"/>
              </w:rPr>
            </w:r>
            <w:r w:rsidR="00AE4968">
              <w:rPr>
                <w:rFonts w:ascii="Book Antiqua" w:hAnsi="Book Antiqua"/>
                <w:szCs w:val="21"/>
              </w:rPr>
              <w:fldChar w:fldCharType="separate"/>
            </w:r>
            <w:r w:rsidRPr="004D232A">
              <w:rPr>
                <w:rFonts w:ascii="Book Antiqua" w:hAnsi="Book Antiqua"/>
                <w:szCs w:val="21"/>
              </w:rPr>
              <w:fldChar w:fldCharType="end"/>
            </w:r>
          </w:p>
        </w:tc>
      </w:tr>
      <w:tr w:rsidR="004D232A" w:rsidRPr="004D232A" w:rsidTr="00B60324">
        <w:tc>
          <w:tcPr>
            <w:tcW w:w="4644" w:type="dxa"/>
            <w:vAlign w:val="center"/>
          </w:tcPr>
          <w:p w:rsidR="004D232A" w:rsidRPr="004D232A" w:rsidRDefault="004D232A" w:rsidP="004D232A">
            <w:pPr>
              <w:keepLines/>
              <w:spacing w:before="60" w:after="60" w:line="210" w:lineRule="atLeast"/>
              <w:rPr>
                <w:rFonts w:ascii="Arial" w:hAnsi="Arial"/>
                <w:sz w:val="19"/>
                <w:szCs w:val="19"/>
              </w:rPr>
            </w:pPr>
            <w:r w:rsidRPr="004D232A">
              <w:rPr>
                <w:rFonts w:ascii="Arial" w:hAnsi="Arial"/>
                <w:sz w:val="19"/>
                <w:szCs w:val="19"/>
              </w:rPr>
              <w:t>New infrastructure investment</w:t>
            </w:r>
          </w:p>
        </w:tc>
        <w:tc>
          <w:tcPr>
            <w:tcW w:w="993" w:type="dxa"/>
          </w:tcPr>
          <w:p w:rsidR="004D232A" w:rsidRPr="004D232A" w:rsidRDefault="004D232A" w:rsidP="004D232A">
            <w:pPr>
              <w:spacing w:before="60" w:after="60" w:line="280" w:lineRule="atLeast"/>
              <w:jc w:val="center"/>
              <w:rPr>
                <w:rFonts w:ascii="Book Antiqua" w:hAnsi="Book Antiqua"/>
                <w:szCs w:val="21"/>
              </w:rPr>
            </w:pPr>
            <w:r w:rsidRPr="004D232A">
              <w:rPr>
                <w:rFonts w:ascii="Book Antiqua" w:hAnsi="Book Antiqua"/>
                <w:szCs w:val="21"/>
              </w:rPr>
              <w:fldChar w:fldCharType="begin">
                <w:ffData>
                  <w:name w:val="Check2"/>
                  <w:enabled/>
                  <w:calcOnExit w:val="0"/>
                  <w:checkBox>
                    <w:sizeAuto/>
                    <w:default w:val="1"/>
                  </w:checkBox>
                </w:ffData>
              </w:fldChar>
            </w:r>
            <w:bookmarkStart w:id="10" w:name="Check2"/>
            <w:r w:rsidRPr="004D232A">
              <w:rPr>
                <w:rFonts w:ascii="Book Antiqua" w:hAnsi="Book Antiqua"/>
                <w:szCs w:val="21"/>
              </w:rPr>
              <w:instrText xml:space="preserve"> FORMCHECKBOX </w:instrText>
            </w:r>
            <w:r w:rsidR="00AE4968">
              <w:rPr>
                <w:rFonts w:ascii="Book Antiqua" w:hAnsi="Book Antiqua"/>
                <w:szCs w:val="21"/>
              </w:rPr>
            </w:r>
            <w:r w:rsidR="00AE4968">
              <w:rPr>
                <w:rFonts w:ascii="Book Antiqua" w:hAnsi="Book Antiqua"/>
                <w:szCs w:val="21"/>
              </w:rPr>
              <w:fldChar w:fldCharType="separate"/>
            </w:r>
            <w:r w:rsidRPr="004D232A">
              <w:rPr>
                <w:rFonts w:ascii="Book Antiqua" w:hAnsi="Book Antiqua"/>
                <w:szCs w:val="21"/>
              </w:rPr>
              <w:fldChar w:fldCharType="end"/>
            </w:r>
            <w:bookmarkEnd w:id="10"/>
          </w:p>
        </w:tc>
      </w:tr>
      <w:tr w:rsidR="004D232A" w:rsidRPr="004D232A" w:rsidTr="00B60324">
        <w:tc>
          <w:tcPr>
            <w:tcW w:w="4644" w:type="dxa"/>
            <w:vAlign w:val="center"/>
          </w:tcPr>
          <w:p w:rsidR="004D232A" w:rsidRPr="004D232A" w:rsidRDefault="004D232A" w:rsidP="004D232A">
            <w:pPr>
              <w:keepLines/>
              <w:spacing w:before="60" w:after="60" w:line="210" w:lineRule="atLeast"/>
              <w:rPr>
                <w:rFonts w:ascii="Arial" w:hAnsi="Arial"/>
                <w:sz w:val="19"/>
                <w:szCs w:val="19"/>
              </w:rPr>
            </w:pPr>
            <w:r w:rsidRPr="004D232A">
              <w:rPr>
                <w:rFonts w:ascii="Arial" w:hAnsi="Arial"/>
                <w:sz w:val="19"/>
                <w:szCs w:val="19"/>
              </w:rPr>
              <w:t>Other (specify)</w:t>
            </w:r>
          </w:p>
        </w:tc>
        <w:tc>
          <w:tcPr>
            <w:tcW w:w="993" w:type="dxa"/>
          </w:tcPr>
          <w:p w:rsidR="004D232A" w:rsidRPr="004D232A" w:rsidRDefault="004D232A" w:rsidP="004D232A">
            <w:pPr>
              <w:spacing w:before="60" w:after="60" w:line="280" w:lineRule="atLeast"/>
              <w:jc w:val="center"/>
              <w:rPr>
                <w:rFonts w:ascii="Book Antiqua" w:hAnsi="Book Antiqua"/>
                <w:szCs w:val="21"/>
              </w:rPr>
            </w:pPr>
            <w:r w:rsidRPr="004D232A">
              <w:rPr>
                <w:rFonts w:ascii="Book Antiqua" w:hAnsi="Book Antiqua"/>
                <w:szCs w:val="21"/>
              </w:rPr>
              <w:fldChar w:fldCharType="begin">
                <w:ffData>
                  <w:name w:val="Check5"/>
                  <w:enabled/>
                  <w:calcOnExit w:val="0"/>
                  <w:checkBox>
                    <w:sizeAuto/>
                    <w:default w:val="0"/>
                  </w:checkBox>
                </w:ffData>
              </w:fldChar>
            </w:r>
            <w:bookmarkStart w:id="11" w:name="Check5"/>
            <w:r w:rsidRPr="004D232A">
              <w:rPr>
                <w:rFonts w:ascii="Book Antiqua" w:hAnsi="Book Antiqua"/>
                <w:szCs w:val="21"/>
              </w:rPr>
              <w:instrText xml:space="preserve"> FORMCHECKBOX </w:instrText>
            </w:r>
            <w:r w:rsidR="00AE4968">
              <w:rPr>
                <w:rFonts w:ascii="Book Antiqua" w:hAnsi="Book Antiqua"/>
                <w:szCs w:val="21"/>
              </w:rPr>
            </w:r>
            <w:r w:rsidR="00AE4968">
              <w:rPr>
                <w:rFonts w:ascii="Book Antiqua" w:hAnsi="Book Antiqua"/>
                <w:szCs w:val="21"/>
              </w:rPr>
              <w:fldChar w:fldCharType="separate"/>
            </w:r>
            <w:r w:rsidRPr="004D232A">
              <w:rPr>
                <w:rFonts w:ascii="Book Antiqua" w:hAnsi="Book Antiqua"/>
                <w:szCs w:val="21"/>
              </w:rPr>
              <w:fldChar w:fldCharType="end"/>
            </w:r>
            <w:bookmarkEnd w:id="11"/>
          </w:p>
        </w:tc>
      </w:tr>
    </w:tbl>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lastRenderedPageBreak/>
        <w:t xml:space="preserve">You should summarise below the key aspects of the council’s application, including the purpose and the steps undertaken in reaching a decision to make an application.  </w:t>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Special Rate Variation (SRV) application is made to address financial and infrastructure funding challenges set out Weddin Shire council’s Long term Financial Plan (LTFP) (Attachment 3).  The LTFP demonstrates that business as usual is not an option as the deficit position in 2025 will be $3.4 million. The SRV along with a review of the Assets Management P</w:t>
      </w:r>
      <w:r w:rsidR="007A3A47">
        <w:rPr>
          <w:rFonts w:ascii="Arial" w:eastAsia="Times New Roman" w:hAnsi="Arial" w:cs="Arial"/>
          <w:szCs w:val="21"/>
          <w:lang w:eastAsia="en-AU"/>
        </w:rPr>
        <w:t>lan (AMP) (see Attachment 10),</w:t>
      </w:r>
      <w:r w:rsidRPr="004D232A">
        <w:rPr>
          <w:rFonts w:ascii="Arial" w:eastAsia="Times New Roman" w:hAnsi="Arial" w:cs="Arial"/>
          <w:szCs w:val="21"/>
          <w:lang w:eastAsia="en-AU"/>
        </w:rPr>
        <w:t xml:space="preserve"> consequent changes in levels of service over the next three years, and a reduction in depreciation of 30% as projected and justified in the LTFP will see a return to a sma</w:t>
      </w:r>
      <w:r w:rsidR="007A3A47">
        <w:rPr>
          <w:rFonts w:ascii="Arial" w:eastAsia="Times New Roman" w:hAnsi="Arial" w:cs="Arial"/>
          <w:szCs w:val="21"/>
          <w:lang w:eastAsia="en-AU"/>
        </w:rPr>
        <w:t>ll surplus by 2020 of $151,000.</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The SRV will also allow council to maintain community assets and services in line with an AMP that will more closely reflect the community expectations. These expectations were determined through extensive community consultation and surveys and </w:t>
      </w:r>
      <w:r w:rsidR="007A3A47">
        <w:rPr>
          <w:rFonts w:ascii="Arial" w:eastAsia="Times New Roman" w:hAnsi="Arial" w:cs="Arial"/>
          <w:szCs w:val="21"/>
          <w:lang w:eastAsia="en-AU"/>
        </w:rPr>
        <w:t>had</w:t>
      </w:r>
      <w:r w:rsidRPr="004D232A">
        <w:rPr>
          <w:rFonts w:ascii="Arial" w:eastAsia="Times New Roman" w:hAnsi="Arial" w:cs="Arial"/>
          <w:szCs w:val="21"/>
          <w:lang w:eastAsia="en-AU"/>
        </w:rPr>
        <w:t xml:space="preserve"> regard to the community’s expressed capacity to pay. The result will see the rebuilding of a swimming pool as an Aquatic Centre and the construction of a new Medical Centre. The Aquatic Centre replaces a facility that is failing. Recurrent maintenance, closures for water treatment, as well as loss of water through leakage, threatens the ongoing capacity of the facility to meet the needs of the community. A new medical centre is critical to the ongoing provision of medical services in the community. The need to service an aging community as well as a stable younger population is essential to the survival of the Shire as a significant farming, education, warehousing and health sector delivering some $156 million in gross regional product (GRP) (Refer Attachment 13).</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Weddin is a small rural council and has been identified in the Fit For The Future (FFTF) Report as a potential ‘rural council’. It is serving the community with limited resources including 58 full time equivalent staff and manages an annual budget of approximately $9 million. </w:t>
      </w:r>
      <w:r w:rsidR="007A3A47">
        <w:rPr>
          <w:rFonts w:ascii="Arial" w:eastAsia="Times New Roman" w:hAnsi="Arial" w:cs="Arial"/>
          <w:szCs w:val="21"/>
          <w:lang w:eastAsia="en-AU"/>
        </w:rPr>
        <w:t>WSC</w:t>
      </w:r>
      <w:r w:rsidRPr="004D232A">
        <w:rPr>
          <w:rFonts w:ascii="Arial" w:eastAsia="Times New Roman" w:hAnsi="Arial" w:cs="Arial"/>
          <w:szCs w:val="21"/>
          <w:lang w:eastAsia="en-AU"/>
        </w:rPr>
        <w:t xml:space="preserve"> is currently debt free, internally restricted reserves along with borrowings will be utilised to address the modest capital projects proposed in the Delivery Plan (Aquatic and Medical Centre). This is essential to ongoing basic service delivery.</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Council has a very low historical rates base, has not previously increased its rates above the rate pegging level and has always increased rates by the minimum amount. This is the Council’s second consecutive application for a SRV with the previous application deficiencies addressed as follows:</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 xml:space="preserve">IPART indicated that Council needed to make the impact of the SRV clear by rating category. The Council has made clear the impact of the rates changes, by percentage and value, in terms of rate categories (Attachment 5). The fact sheet that was distributed as part of the community consultation included indicative average general rate increases, illustrating the dollar and </w:t>
      </w:r>
      <w:r w:rsidRPr="004D232A">
        <w:rPr>
          <w:rFonts w:ascii="Arial" w:eastAsia="Times New Roman" w:hAnsi="Arial" w:cs="Arial"/>
          <w:szCs w:val="21"/>
          <w:lang w:eastAsia="en-AU"/>
        </w:rPr>
        <w:lastRenderedPageBreak/>
        <w:t>percentage impacts in the rating categories. The consultation material also noted that a new land valuation is required to be used in 2015/16 which will also impact on rates paid. The new valuations could not be used in the indicative rate information as they were not known at the time of consultation.</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The rate category comparison to the group 9 councils</w:t>
      </w:r>
      <w:r w:rsidRPr="004D232A">
        <w:rPr>
          <w:rFonts w:ascii="Book Antiqua" w:eastAsia="Times New Roman" w:hAnsi="Book Antiqua" w:cs="Arial"/>
          <w:position w:val="4"/>
          <w:sz w:val="15"/>
          <w:szCs w:val="15"/>
          <w:lang w:eastAsia="en-AU"/>
        </w:rPr>
        <w:footnoteReference w:id="4"/>
      </w:r>
      <w:r w:rsidRPr="004D232A">
        <w:rPr>
          <w:rFonts w:ascii="Arial" w:eastAsia="Times New Roman" w:hAnsi="Arial" w:cs="Arial"/>
          <w:szCs w:val="21"/>
          <w:lang w:eastAsia="en-AU"/>
        </w:rPr>
        <w:t xml:space="preserve"> was regarded as having anomalies in the farmland and business rate. This continues to be at variance. The anomaly has been due to a policy position by Council to reflect the capacity of those holding farmland to pay following the 10 year drought and also the relative isolation of their businesses compared with those closer to Grenfell, the major centre. However, in terms of neighbouring councils to Weddin, the farmland rates (Cowra) and business rates (Bland) are similar. It is intended to review these ‘anomalies’ following the FFTF determination</w:t>
      </w:r>
      <w:r w:rsidRPr="004D232A">
        <w:rPr>
          <w:rFonts w:ascii="Book Antiqua" w:eastAsia="Times New Roman" w:hAnsi="Book Antiqua" w:cs="Arial"/>
          <w:position w:val="4"/>
          <w:sz w:val="15"/>
          <w:szCs w:val="15"/>
          <w:lang w:eastAsia="en-AU"/>
        </w:rPr>
        <w:footnoteReference w:id="5"/>
      </w:r>
      <w:r w:rsidRPr="004D232A">
        <w:rPr>
          <w:rFonts w:ascii="Arial" w:eastAsia="Times New Roman" w:hAnsi="Arial" w:cs="Arial"/>
          <w:szCs w:val="21"/>
          <w:lang w:eastAsia="en-AU"/>
        </w:rPr>
        <w:t>.</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A hardship policy (Attachment 7) has now been developed and was highlighted in the fact sheet that accompanied community consultation. The Hardship Policy has also been made available via Council’s website and communicated to prospective beneficiaries by Council staff.</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Council has included information on its commitment to cost containment and efficiencies in the application. The FFTF process has identified other opportunities to share backend business support across the pilot Joint Organisation (JO).</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An external consultant has been engaged to support the SRV application development and also to review the LTFP that will also inform the operational plan and the delivery plan into the future.</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Special Rate Variation (SRV) is made to respond to the need to provide and replace major community infrastructure and to facilitate a sustainable financial future.</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SRV seeks to fund the following infrastructure which has strong community support:</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Demolition and reconstruction of the Weddin Aquatic Centre</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The construction of a new medical centre</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The financial sustainability of the council as established in the Long Term Financial Plan (Attachment 3) identified that an increase in rates is essential if the Shire is to be able to sustain a level of service expected by </w:t>
      </w:r>
      <w:r w:rsidR="007A3A47">
        <w:rPr>
          <w:rFonts w:ascii="Arial" w:eastAsia="Times New Roman" w:hAnsi="Arial" w:cs="Arial"/>
          <w:szCs w:val="21"/>
          <w:lang w:eastAsia="en-AU"/>
        </w:rPr>
        <w:t xml:space="preserve">the </w:t>
      </w:r>
      <w:r w:rsidRPr="004D232A">
        <w:rPr>
          <w:rFonts w:ascii="Arial" w:eastAsia="Times New Roman" w:hAnsi="Arial" w:cs="Arial"/>
          <w:szCs w:val="21"/>
          <w:lang w:eastAsia="en-AU"/>
        </w:rPr>
        <w:t>community around the centre of Grenfell and its surrounds (Attachment 6).</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lastRenderedPageBreak/>
        <w:t>Weddin Shire Council has resolved to sustain its service delivery with a view to:</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Fund assets management to a level in line with community expectations</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Meeting community expectations in terms of ongoing service delivery</w:t>
      </w:r>
    </w:p>
    <w:p w:rsidR="004D232A" w:rsidRPr="004D232A" w:rsidRDefault="004D232A" w:rsidP="004D232A">
      <w:pPr>
        <w:spacing w:before="240" w:after="0" w:line="280" w:lineRule="atLeast"/>
        <w:ind w:left="567" w:hanging="283"/>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r>
      <w:r w:rsidR="007A3A47">
        <w:rPr>
          <w:rFonts w:ascii="Arial" w:eastAsia="Times New Roman" w:hAnsi="Arial" w:cs="Arial"/>
          <w:szCs w:val="21"/>
          <w:lang w:eastAsia="en-AU"/>
        </w:rPr>
        <w:tab/>
      </w:r>
      <w:r w:rsidRPr="004D232A">
        <w:rPr>
          <w:rFonts w:ascii="Arial" w:eastAsia="Times New Roman" w:hAnsi="Arial" w:cs="Arial"/>
          <w:szCs w:val="21"/>
          <w:lang w:eastAsia="en-AU"/>
        </w:rPr>
        <w:t>Meeting shifting costs and services to the Shire, especially in insurances, fire services and medical service support</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Meeting rising power and utility costs</w:t>
      </w:r>
    </w:p>
    <w:p w:rsidR="004D232A" w:rsidRPr="004D232A" w:rsidRDefault="004D232A" w:rsidP="004D232A">
      <w:pPr>
        <w:spacing w:before="240"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t>Meeting public liability and insurance costs</w:t>
      </w:r>
    </w:p>
    <w:p w:rsidR="004D232A" w:rsidRPr="004D232A" w:rsidRDefault="004D232A" w:rsidP="004D232A">
      <w:pPr>
        <w:spacing w:before="240" w:after="0" w:line="280" w:lineRule="atLeast"/>
        <w:ind w:left="567" w:hanging="283"/>
        <w:jc w:val="both"/>
        <w:rPr>
          <w:rFonts w:ascii="Arial" w:eastAsia="Times New Roman" w:hAnsi="Arial" w:cs="Arial"/>
          <w:szCs w:val="21"/>
          <w:lang w:eastAsia="en-AU"/>
        </w:rPr>
      </w:pPr>
      <w:r w:rsidRPr="004D232A">
        <w:rPr>
          <w:rFonts w:ascii="Arial" w:eastAsia="Times New Roman" w:hAnsi="Arial" w:cs="Arial"/>
          <w:szCs w:val="21"/>
          <w:lang w:eastAsia="en-AU"/>
        </w:rPr>
        <w:t>•</w:t>
      </w:r>
      <w:r w:rsidRPr="004D232A">
        <w:rPr>
          <w:rFonts w:ascii="Arial" w:eastAsia="Times New Roman" w:hAnsi="Arial" w:cs="Arial"/>
          <w:szCs w:val="21"/>
          <w:lang w:eastAsia="en-AU"/>
        </w:rPr>
        <w:tab/>
      </w:r>
      <w:r w:rsidR="007A3A47">
        <w:rPr>
          <w:rFonts w:ascii="Arial" w:eastAsia="Times New Roman" w:hAnsi="Arial" w:cs="Arial"/>
          <w:szCs w:val="21"/>
          <w:lang w:eastAsia="en-AU"/>
        </w:rPr>
        <w:tab/>
      </w:r>
      <w:r w:rsidRPr="004D232A">
        <w:rPr>
          <w:rFonts w:ascii="Arial" w:eastAsia="Times New Roman" w:hAnsi="Arial" w:cs="Arial"/>
          <w:szCs w:val="21"/>
          <w:lang w:eastAsia="en-AU"/>
        </w:rPr>
        <w:t>Meeting fixed operating costs which</w:t>
      </w:r>
      <w:r w:rsidR="007A3A47">
        <w:rPr>
          <w:rFonts w:ascii="Arial" w:eastAsia="Times New Roman" w:hAnsi="Arial" w:cs="Arial"/>
          <w:szCs w:val="21"/>
          <w:lang w:eastAsia="en-AU"/>
        </w:rPr>
        <w:t xml:space="preserve"> have</w:t>
      </w:r>
      <w:r w:rsidRPr="004D232A">
        <w:rPr>
          <w:rFonts w:ascii="Arial" w:eastAsia="Times New Roman" w:hAnsi="Arial" w:cs="Arial"/>
          <w:szCs w:val="21"/>
          <w:lang w:eastAsia="en-AU"/>
        </w:rPr>
        <w:t xml:space="preserve"> increase</w:t>
      </w:r>
      <w:r w:rsidR="007A3A47">
        <w:rPr>
          <w:rFonts w:ascii="Arial" w:eastAsia="Times New Roman" w:hAnsi="Arial" w:cs="Arial"/>
          <w:szCs w:val="21"/>
          <w:lang w:eastAsia="en-AU"/>
        </w:rPr>
        <w:t>d</w:t>
      </w:r>
      <w:r w:rsidRPr="004D232A">
        <w:rPr>
          <w:rFonts w:ascii="Arial" w:eastAsia="Times New Roman" w:hAnsi="Arial" w:cs="Arial"/>
          <w:szCs w:val="21"/>
          <w:lang w:eastAsia="en-AU"/>
        </w:rPr>
        <w:t xml:space="preserve"> beyond rate pegging over time</w:t>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ind w:left="-142"/>
        <w:jc w:val="both"/>
        <w:rPr>
          <w:rFonts w:ascii="Arial" w:eastAsia="Times New Roman" w:hAnsi="Arial" w:cs="Arial"/>
          <w:szCs w:val="21"/>
          <w:lang w:eastAsia="en-AU"/>
        </w:rPr>
      </w:pPr>
      <w:r w:rsidRPr="004D232A">
        <w:rPr>
          <w:rFonts w:ascii="Arial" w:eastAsia="Times New Roman" w:hAnsi="Arial" w:cs="Arial"/>
          <w:szCs w:val="21"/>
          <w:lang w:eastAsia="en-AU"/>
        </w:rPr>
        <w:t>Failure to provide basic community infrastructure will lead to major social dislocation for a community that increasingly relies upon the local service delivery. Such reliance is evident in the decreasing capacity of the community to afford to travel to access facilities and have limited opportunity to “vote with their feet” and move to new areas that can offer services as this is at a price point beyond their financial capability</w:t>
      </w:r>
      <w:r w:rsidRPr="004D232A">
        <w:rPr>
          <w:rFonts w:ascii="Book Antiqua" w:eastAsia="Times New Roman" w:hAnsi="Book Antiqua" w:cs="Arial"/>
          <w:position w:val="4"/>
          <w:sz w:val="15"/>
          <w:szCs w:val="15"/>
          <w:lang w:eastAsia="en-AU"/>
        </w:rPr>
        <w:footnoteReference w:id="6"/>
      </w:r>
      <w:r w:rsidRPr="004D232A">
        <w:rPr>
          <w:rFonts w:ascii="Arial" w:eastAsia="Times New Roman" w:hAnsi="Arial" w:cs="Arial"/>
          <w:szCs w:val="21"/>
          <w:lang w:eastAsia="en-AU"/>
        </w:rPr>
        <w:t>.</w:t>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ind w:left="-142"/>
        <w:jc w:val="both"/>
        <w:rPr>
          <w:rFonts w:ascii="Arial" w:eastAsia="Times New Roman" w:hAnsi="Arial" w:cs="Arial"/>
          <w:szCs w:val="21"/>
          <w:lang w:eastAsia="en-AU"/>
        </w:rPr>
      </w:pPr>
      <w:r w:rsidRPr="004D232A">
        <w:rPr>
          <w:rFonts w:ascii="Arial" w:eastAsia="Times New Roman" w:hAnsi="Arial" w:cs="Arial"/>
          <w:szCs w:val="21"/>
          <w:lang w:eastAsia="en-AU"/>
        </w:rPr>
        <w:t>The following is a summary of the key elements of the application:</w:t>
      </w:r>
    </w:p>
    <w:p w:rsidR="004D232A" w:rsidRPr="004D232A" w:rsidRDefault="004D232A" w:rsidP="004D232A">
      <w:pPr>
        <w:spacing w:before="240" w:after="0" w:line="280" w:lineRule="atLeast"/>
        <w:jc w:val="both"/>
        <w:rPr>
          <w:rFonts w:ascii="Arial" w:eastAsia="Times New Roman" w:hAnsi="Arial" w:cs="Arial"/>
          <w:szCs w:val="21"/>
          <w:lang w:eastAsia="en-AU"/>
        </w:rPr>
      </w:pPr>
    </w:p>
    <w:tbl>
      <w:tblPr>
        <w:tblStyle w:val="TableGrid"/>
        <w:tblW w:w="0" w:type="auto"/>
        <w:tblLook w:val="04A0" w:firstRow="1" w:lastRow="0" w:firstColumn="1" w:lastColumn="0" w:noHBand="0" w:noVBand="1"/>
      </w:tblPr>
      <w:tblGrid>
        <w:gridCol w:w="4077"/>
        <w:gridCol w:w="4077"/>
      </w:tblGrid>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Special Variation Sought</w:t>
            </w:r>
          </w:p>
        </w:tc>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Section 508A application of fixed 7% per annum inclusive of the Rate pegging allowance for 4 years, after which the increases would form the new base rate.</w:t>
            </w:r>
          </w:p>
        </w:tc>
      </w:tr>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Revenue to be raised by the Special Rate Variation</w:t>
            </w:r>
          </w:p>
        </w:tc>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$3,530,540 cumulative Net Present Value over 10 years</w:t>
            </w:r>
          </w:p>
        </w:tc>
      </w:tr>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Support for Capital Projects</w:t>
            </w:r>
          </w:p>
        </w:tc>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Those under 55 strongly supported both facilities with the health centre rated the most important (72%), over 55s (67%). For the aquatic centre, the support from under 55 (60%), over 55s (54%) (Attachment 6).</w:t>
            </w:r>
          </w:p>
        </w:tc>
      </w:tr>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 xml:space="preserve">Overall community support for the Special </w:t>
            </w:r>
            <w:r w:rsidRPr="004D232A">
              <w:rPr>
                <w:rFonts w:ascii="Arial" w:hAnsi="Arial" w:cs="Arial"/>
                <w:szCs w:val="21"/>
              </w:rPr>
              <w:lastRenderedPageBreak/>
              <w:t>Rate Variation</w:t>
            </w:r>
          </w:p>
        </w:tc>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lastRenderedPageBreak/>
              <w:t xml:space="preserve">The lowest average weekly increase </w:t>
            </w:r>
            <w:r w:rsidRPr="004D232A">
              <w:rPr>
                <w:rFonts w:ascii="Arial" w:hAnsi="Arial" w:cs="Arial"/>
                <w:szCs w:val="21"/>
              </w:rPr>
              <w:lastRenderedPageBreak/>
              <w:t>supported by the community was $3.85. Some 96% support an increase. Only 3.65% are not prepared to pay any increase</w:t>
            </w:r>
            <w:r w:rsidRPr="004D232A">
              <w:rPr>
                <w:rFonts w:ascii="Book Antiqua" w:hAnsi="Book Antiqua"/>
                <w:szCs w:val="21"/>
              </w:rPr>
              <w:t xml:space="preserve"> </w:t>
            </w:r>
            <w:r w:rsidRPr="004D232A">
              <w:rPr>
                <w:rFonts w:ascii="Arial" w:hAnsi="Arial" w:cs="Arial"/>
                <w:szCs w:val="21"/>
              </w:rPr>
              <w:t>(Attachment 6).</w:t>
            </w:r>
          </w:p>
        </w:tc>
      </w:tr>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lastRenderedPageBreak/>
              <w:t>Operating Margin 2019/20 with variation</w:t>
            </w:r>
          </w:p>
        </w:tc>
        <w:tc>
          <w:tcPr>
            <w:tcW w:w="4077" w:type="dxa"/>
          </w:tcPr>
          <w:p w:rsidR="004D232A" w:rsidRPr="004D232A" w:rsidRDefault="004D232A" w:rsidP="007A3A47">
            <w:pPr>
              <w:spacing w:before="240" w:line="280" w:lineRule="atLeast"/>
              <w:jc w:val="both"/>
              <w:rPr>
                <w:rFonts w:ascii="Arial" w:hAnsi="Arial" w:cs="Arial"/>
                <w:szCs w:val="21"/>
              </w:rPr>
            </w:pPr>
            <w:r w:rsidRPr="004D232A">
              <w:rPr>
                <w:rFonts w:ascii="Arial" w:hAnsi="Arial" w:cs="Arial"/>
                <w:szCs w:val="21"/>
              </w:rPr>
              <w:t>1.2%</w:t>
            </w:r>
          </w:p>
        </w:tc>
      </w:tr>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Operating Margin 2019/20 without variation</w:t>
            </w:r>
          </w:p>
        </w:tc>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-26.0%</w:t>
            </w:r>
          </w:p>
        </w:tc>
      </w:tr>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Operating Margin 2023/24 with variation</w:t>
            </w:r>
          </w:p>
        </w:tc>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3.1%</w:t>
            </w:r>
          </w:p>
        </w:tc>
      </w:tr>
      <w:tr w:rsidR="004D232A" w:rsidRPr="004D232A" w:rsidTr="00B60324">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Operating Margin 2023/24 with variation</w:t>
            </w:r>
          </w:p>
        </w:tc>
        <w:tc>
          <w:tcPr>
            <w:tcW w:w="4077" w:type="dxa"/>
          </w:tcPr>
          <w:p w:rsidR="004D232A" w:rsidRPr="004D232A" w:rsidRDefault="004D232A" w:rsidP="004D232A">
            <w:pPr>
              <w:spacing w:before="240" w:line="280" w:lineRule="atLeast"/>
              <w:jc w:val="both"/>
              <w:rPr>
                <w:rFonts w:ascii="Arial" w:hAnsi="Arial" w:cs="Arial"/>
                <w:szCs w:val="21"/>
              </w:rPr>
            </w:pPr>
            <w:r w:rsidRPr="004D232A">
              <w:rPr>
                <w:rFonts w:ascii="Arial" w:hAnsi="Arial" w:cs="Arial"/>
                <w:szCs w:val="21"/>
              </w:rPr>
              <w:t>-26.1% (Attachment 3)</w:t>
            </w:r>
          </w:p>
        </w:tc>
      </w:tr>
    </w:tbl>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jc w:val="both"/>
        <w:rPr>
          <w:rFonts w:ascii="Arial" w:eastAsia="Times New Roman" w:hAnsi="Arial" w:cs="Arial"/>
          <w:szCs w:val="21"/>
          <w:u w:val="single"/>
          <w:lang w:eastAsia="en-AU"/>
        </w:rPr>
      </w:pPr>
      <w:r w:rsidRPr="004D232A">
        <w:rPr>
          <w:rFonts w:ascii="Arial" w:eastAsia="Times New Roman" w:hAnsi="Arial" w:cs="Arial"/>
          <w:szCs w:val="21"/>
          <w:u w:val="single"/>
          <w:lang w:eastAsia="en-AU"/>
        </w:rPr>
        <w:t>Community Preparedness to Pay:</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Consultation on the increase has been through a wide variety of processes over a number of years. Community priorities were established based on extensive consultation on the provision of services as </w:t>
      </w:r>
      <w:r w:rsidR="007A3A47">
        <w:rPr>
          <w:rFonts w:ascii="Arial" w:eastAsia="Times New Roman" w:hAnsi="Arial" w:cs="Arial"/>
          <w:szCs w:val="21"/>
          <w:lang w:eastAsia="en-AU"/>
        </w:rPr>
        <w:t>part of developing the initial Delivery P</w:t>
      </w:r>
      <w:r w:rsidRPr="004D232A">
        <w:rPr>
          <w:rFonts w:ascii="Arial" w:eastAsia="Times New Roman" w:hAnsi="Arial" w:cs="Arial"/>
          <w:szCs w:val="21"/>
          <w:lang w:eastAsia="en-AU"/>
        </w:rPr>
        <w:t>lan adopted by the Shire under the Integrated Planning &amp; Reporting IP&amp;R framework. This involved partnership with the community in developing the Community Strategic Plan (CSP) utilising the 10 Melbourne principles</w:t>
      </w:r>
      <w:r w:rsidRPr="004D232A">
        <w:rPr>
          <w:rFonts w:ascii="Book Antiqua" w:eastAsia="Times New Roman" w:hAnsi="Book Antiqua" w:cs="Arial"/>
          <w:position w:val="4"/>
          <w:sz w:val="15"/>
          <w:szCs w:val="15"/>
          <w:lang w:eastAsia="en-AU"/>
        </w:rPr>
        <w:footnoteReference w:id="7"/>
      </w:r>
      <w:r w:rsidRPr="004D232A">
        <w:rPr>
          <w:rFonts w:ascii="Arial" w:eastAsia="Times New Roman" w:hAnsi="Arial" w:cs="Arial"/>
          <w:szCs w:val="21"/>
          <w:lang w:eastAsia="en-AU"/>
        </w:rPr>
        <w:t>. The consultation targeted key sectors as well as the general community and included consultation with the older, younger, isolated and socially disadvantaged residents. There was press advertising, surveys including among students at the local schools, 1850 newsletters sent out to all households, as well as five community workshops. There were also individual visits to business in the Shire, a Council staff survey, and a civic leadership discussion night. In all, some 380 residents directly participated in the process or 10% of the total population and some 30% of those of voting age. The comprehensive CSP report is attached (Attachment 1). The CSP also links to the State Plan goals.</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The Delivery Plan (Attachment 2) reflects the CSP’s objective of building a progressive community with solid and sustainable levels of service. This was expressed as “bucking the trend” of decline in rural communities and “taking the bull by the horns” and delivering a wide range of initiatives, recognising that “above base-line Council rates and borrowings may be needed” (Weddin Shire 2013-2023 CSP p. 4). There was supplementary community discussion with the swimming community on replacing the Grenfell pool with a new Weddin Aquatic Centre that provided better community access. Extensive community consultation was undertaken and this is set out in the attached Weddin Aquatic Centre Capital Expenditure Review and Business Feasibility Study (Attachment 13). There was also discussion with the community on the development of a modern medical </w:t>
      </w:r>
      <w:r w:rsidRPr="004D232A">
        <w:rPr>
          <w:rFonts w:ascii="Arial" w:eastAsia="Times New Roman" w:hAnsi="Arial" w:cs="Arial"/>
          <w:szCs w:val="21"/>
          <w:lang w:eastAsia="en-AU"/>
        </w:rPr>
        <w:lastRenderedPageBreak/>
        <w:t xml:space="preserve">facility to meet the ongoing needs of the Shire and to continue to attract doctors. In addition to the above consultation, SRV specific consultation was undertaken as outlined in section 4.1.   </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A review of the Council’s assets has led to an Assets Management Plan (AMP; Attachment 10) and Strategy (AMS) defining the assets backlog that has to be funded as part of this SRV application. The Workforce Management Plan (WFMP) underpins the Delivery Plan and Operational Plan. A Long Term Financial Plan (LTFP; Attachment 3) also formed part of the suite of plans advertised as part of the 2013-2017 Delivery Program (Attachment 2). The LTFP has been refined as part of the Shire’s response to the FTFF process and was adopted by the Council on 31 January 2014. These documents form the basis of this application and the Council’s likely FFTF application under the Rural Council Model. Weddin Shire Council has been identified as a Council that may be eligible to stand alone as a Rural Council utilising the template 3 approach.</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SRV application is of significant importance to meeting the targets and objects of the FFTF template 3.</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To better demonstrate the comparative disadvantage to WSC’s financial sustainability of historically low rates against neighbouring councils, the following data is instructive. The following tables also provide regional context and demonstrate the overall position of Weddin Shire Council in relation to the neighbouring councils. Comparisons are the base case position and will be improved by a successful SRV application.</w:t>
      </w:r>
    </w:p>
    <w:p w:rsidR="004D232A" w:rsidRPr="004D232A" w:rsidRDefault="004D232A" w:rsidP="004D232A">
      <w:pPr>
        <w:spacing w:before="240" w:after="0" w:line="280" w:lineRule="atLeast"/>
        <w:jc w:val="both"/>
        <w:rPr>
          <w:rFonts w:ascii="Arial" w:eastAsia="Times New Roman" w:hAnsi="Arial" w:cs="Arial"/>
          <w:szCs w:val="21"/>
          <w:lang w:eastAsia="en-AU"/>
        </w:rPr>
        <w:sectPr w:rsidR="004D232A" w:rsidRPr="004D232A" w:rsidSect="005C4769">
          <w:headerReference w:type="even" r:id="rId21"/>
          <w:headerReference w:type="default" r:id="rId22"/>
          <w:footerReference w:type="even" r:id="rId23"/>
          <w:footerReference w:type="default" r:id="rId24"/>
          <w:pgSz w:w="11907" w:h="16840" w:code="9"/>
          <w:pgMar w:top="2268" w:right="1701" w:bottom="1418" w:left="1701" w:header="1134" w:footer="284" w:gutter="567"/>
          <w:pgNumType w:start="1"/>
          <w:cols w:space="708"/>
          <w:docGrid w:linePitch="360"/>
        </w:sectPr>
      </w:pP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szCs w:val="21"/>
          <w:lang w:eastAsia="en-AU"/>
        </w:rPr>
        <w:t>The following tables provide comparative data on the neighbouring councils – regional characteristics based on published data.</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after="120" w:line="240" w:lineRule="auto"/>
        <w:rPr>
          <w:rFonts w:ascii="Century Gothic" w:eastAsia="Times New Roman" w:hAnsi="Century Gothic" w:cs="Times New Roman"/>
          <w:sz w:val="28"/>
          <w:szCs w:val="24"/>
          <w:lang w:eastAsia="en-AU"/>
        </w:rPr>
      </w:pPr>
      <w:r w:rsidRPr="004D232A">
        <w:rPr>
          <w:rFonts w:ascii="Century Gothic" w:eastAsia="Times New Roman" w:hAnsi="Century Gothic" w:cs="Times New Roman"/>
          <w:sz w:val="28"/>
          <w:szCs w:val="24"/>
          <w:lang w:eastAsia="en-AU"/>
        </w:rPr>
        <w:t>Weddin Regional Characteristics</w:t>
      </w:r>
    </w:p>
    <w:tbl>
      <w:tblPr>
        <w:tblStyle w:val="TableGrid"/>
        <w:tblW w:w="0" w:type="auto"/>
        <w:tblLook w:val="04A0" w:firstRow="1" w:lastRow="0" w:firstColumn="1" w:lastColumn="0" w:noHBand="0" w:noVBand="1"/>
      </w:tblPr>
      <w:tblGrid>
        <w:gridCol w:w="2835"/>
        <w:gridCol w:w="1917"/>
        <w:gridCol w:w="1798"/>
        <w:gridCol w:w="1666"/>
        <w:gridCol w:w="1797"/>
        <w:gridCol w:w="1666"/>
        <w:gridCol w:w="1691"/>
      </w:tblGrid>
      <w:tr w:rsidR="004D232A" w:rsidRPr="004D232A" w:rsidTr="00B60324">
        <w:tc>
          <w:tcPr>
            <w:tcW w:w="2943" w:type="dxa"/>
            <w:tcBorders>
              <w:top w:val="single" w:sz="8" w:space="0" w:color="FFFFFF" w:themeColor="background1"/>
              <w:left w:val="single" w:sz="8" w:space="0" w:color="FFFFFF" w:themeColor="background1"/>
              <w:bottom w:val="nil"/>
              <w:right w:val="single" w:sz="8" w:space="0" w:color="FFFFFF" w:themeColor="background1"/>
            </w:tcBorders>
            <w:shd w:val="clear" w:color="auto" w:fill="CC0000"/>
            <w:vAlign w:val="center"/>
          </w:tcPr>
          <w:p w:rsidR="004D232A" w:rsidRPr="004D232A" w:rsidRDefault="004D232A" w:rsidP="004D232A">
            <w:pPr>
              <w:rPr>
                <w:rFonts w:ascii="Century Gothic" w:hAnsi="Century Gothic"/>
                <w:b/>
                <w:color w:val="FFFFFF" w:themeColor="background1"/>
                <w:sz w:val="24"/>
              </w:rPr>
            </w:pPr>
          </w:p>
        </w:tc>
        <w:tc>
          <w:tcPr>
            <w:tcW w:w="1985" w:type="dxa"/>
            <w:tcBorders>
              <w:top w:val="single" w:sz="8" w:space="0" w:color="FFFFFF" w:themeColor="background1"/>
              <w:left w:val="single" w:sz="8" w:space="0" w:color="FFFFFF" w:themeColor="background1"/>
              <w:bottom w:val="nil"/>
              <w:right w:val="single" w:sz="8" w:space="0" w:color="FFFFFF" w:themeColor="background1"/>
            </w:tcBorders>
            <w:shd w:val="clear" w:color="auto" w:fill="CC0000"/>
            <w:vAlign w:val="center"/>
            <w:hideMark/>
          </w:tcPr>
          <w:p w:rsidR="004D232A" w:rsidRPr="004D232A" w:rsidRDefault="004D232A" w:rsidP="004D232A">
            <w:pPr>
              <w:rPr>
                <w:rFonts w:ascii="Century Gothic" w:hAnsi="Century Gothic"/>
                <w:color w:val="FFFFFF" w:themeColor="background1"/>
              </w:rPr>
            </w:pPr>
            <w:r w:rsidRPr="004D232A">
              <w:rPr>
                <w:rFonts w:ascii="Century Gothic" w:hAnsi="Century Gothic"/>
                <w:color w:val="FFFFFF" w:themeColor="background1"/>
                <w:szCs w:val="24"/>
              </w:rPr>
              <w:t>Weddin Regional Group</w:t>
            </w:r>
          </w:p>
        </w:tc>
        <w:tc>
          <w:tcPr>
            <w:tcW w:w="1843" w:type="dxa"/>
            <w:tcBorders>
              <w:top w:val="single" w:sz="8" w:space="0" w:color="FFFFFF" w:themeColor="background1"/>
              <w:left w:val="single" w:sz="8" w:space="0" w:color="FFFFFF" w:themeColor="background1"/>
              <w:bottom w:val="nil"/>
              <w:right w:val="single" w:sz="8" w:space="0" w:color="FFFFFF" w:themeColor="background1"/>
            </w:tcBorders>
            <w:shd w:val="clear" w:color="auto" w:fill="CC0000"/>
            <w:vAlign w:val="center"/>
            <w:hideMark/>
          </w:tcPr>
          <w:p w:rsidR="004D232A" w:rsidRPr="004D232A" w:rsidRDefault="004D232A" w:rsidP="004D232A">
            <w:pPr>
              <w:rPr>
                <w:rFonts w:ascii="Century Gothic" w:hAnsi="Century Gothic"/>
                <w:color w:val="FFFFFF" w:themeColor="background1"/>
              </w:rPr>
            </w:pPr>
            <w:r w:rsidRPr="004D232A">
              <w:rPr>
                <w:rFonts w:ascii="Century Gothic" w:hAnsi="Century Gothic"/>
                <w:color w:val="FFFFFF" w:themeColor="background1"/>
                <w:szCs w:val="24"/>
              </w:rPr>
              <w:t>Bland</w:t>
            </w:r>
          </w:p>
        </w:tc>
        <w:tc>
          <w:tcPr>
            <w:tcW w:w="1701" w:type="dxa"/>
            <w:tcBorders>
              <w:top w:val="single" w:sz="8" w:space="0" w:color="FFFFFF" w:themeColor="background1"/>
              <w:left w:val="single" w:sz="8" w:space="0" w:color="FFFFFF" w:themeColor="background1"/>
              <w:bottom w:val="nil"/>
              <w:right w:val="single" w:sz="8" w:space="0" w:color="FFFFFF" w:themeColor="background1"/>
            </w:tcBorders>
            <w:shd w:val="clear" w:color="auto" w:fill="CC0000"/>
            <w:vAlign w:val="center"/>
            <w:hideMark/>
          </w:tcPr>
          <w:p w:rsidR="004D232A" w:rsidRPr="004D232A" w:rsidRDefault="004D232A" w:rsidP="004D232A">
            <w:pPr>
              <w:rPr>
                <w:rFonts w:ascii="Century Gothic" w:hAnsi="Century Gothic"/>
                <w:color w:val="FFFFFF" w:themeColor="background1"/>
              </w:rPr>
            </w:pPr>
            <w:r w:rsidRPr="004D232A">
              <w:rPr>
                <w:rFonts w:ascii="Century Gothic" w:hAnsi="Century Gothic"/>
                <w:color w:val="FFFFFF" w:themeColor="background1"/>
                <w:szCs w:val="24"/>
              </w:rPr>
              <w:t>Cowra</w:t>
            </w:r>
          </w:p>
        </w:tc>
        <w:tc>
          <w:tcPr>
            <w:tcW w:w="1842" w:type="dxa"/>
            <w:tcBorders>
              <w:top w:val="single" w:sz="8" w:space="0" w:color="FFFFFF" w:themeColor="background1"/>
              <w:left w:val="single" w:sz="8" w:space="0" w:color="FFFFFF" w:themeColor="background1"/>
              <w:bottom w:val="nil"/>
              <w:right w:val="single" w:sz="8" w:space="0" w:color="FFFFFF" w:themeColor="background1"/>
            </w:tcBorders>
            <w:shd w:val="clear" w:color="auto" w:fill="CC0000"/>
            <w:vAlign w:val="center"/>
            <w:hideMark/>
          </w:tcPr>
          <w:p w:rsidR="004D232A" w:rsidRPr="004D232A" w:rsidRDefault="004D232A" w:rsidP="004D232A">
            <w:pPr>
              <w:rPr>
                <w:rFonts w:ascii="Century Gothic" w:hAnsi="Century Gothic"/>
                <w:color w:val="FFFFFF" w:themeColor="background1"/>
              </w:rPr>
            </w:pPr>
            <w:r w:rsidRPr="004D232A">
              <w:rPr>
                <w:rFonts w:ascii="Century Gothic" w:hAnsi="Century Gothic"/>
                <w:color w:val="FFFFFF" w:themeColor="background1"/>
                <w:szCs w:val="24"/>
              </w:rPr>
              <w:t>Forbes</w:t>
            </w:r>
          </w:p>
        </w:tc>
        <w:tc>
          <w:tcPr>
            <w:tcW w:w="1701" w:type="dxa"/>
            <w:tcBorders>
              <w:top w:val="single" w:sz="8" w:space="0" w:color="FFFFFF" w:themeColor="background1"/>
              <w:left w:val="single" w:sz="8" w:space="0" w:color="FFFFFF" w:themeColor="background1"/>
              <w:bottom w:val="nil"/>
              <w:right w:val="single" w:sz="8" w:space="0" w:color="FFFFFF" w:themeColor="background1"/>
            </w:tcBorders>
            <w:shd w:val="clear" w:color="auto" w:fill="CC0000"/>
            <w:vAlign w:val="center"/>
            <w:hideMark/>
          </w:tcPr>
          <w:p w:rsidR="004D232A" w:rsidRPr="004D232A" w:rsidRDefault="004D232A" w:rsidP="004D232A">
            <w:pPr>
              <w:rPr>
                <w:rFonts w:ascii="Century Gothic" w:hAnsi="Century Gothic"/>
                <w:color w:val="FFFFFF" w:themeColor="background1"/>
              </w:rPr>
            </w:pPr>
            <w:r w:rsidRPr="004D232A">
              <w:rPr>
                <w:rFonts w:ascii="Century Gothic" w:hAnsi="Century Gothic"/>
                <w:color w:val="FFFFFF" w:themeColor="background1"/>
                <w:szCs w:val="24"/>
              </w:rPr>
              <w:t>Weddin</w:t>
            </w:r>
          </w:p>
        </w:tc>
        <w:tc>
          <w:tcPr>
            <w:tcW w:w="1727" w:type="dxa"/>
            <w:tcBorders>
              <w:top w:val="single" w:sz="8" w:space="0" w:color="FFFFFF" w:themeColor="background1"/>
              <w:left w:val="single" w:sz="8" w:space="0" w:color="FFFFFF" w:themeColor="background1"/>
              <w:bottom w:val="nil"/>
              <w:right w:val="single" w:sz="8" w:space="0" w:color="FFFFFF" w:themeColor="background1"/>
            </w:tcBorders>
            <w:shd w:val="clear" w:color="auto" w:fill="CC0000"/>
            <w:vAlign w:val="center"/>
            <w:hideMark/>
          </w:tcPr>
          <w:p w:rsidR="004D232A" w:rsidRPr="004D232A" w:rsidRDefault="004D232A" w:rsidP="004D232A">
            <w:pPr>
              <w:rPr>
                <w:rFonts w:ascii="Century Gothic" w:hAnsi="Century Gothic"/>
                <w:color w:val="FFFFFF" w:themeColor="background1"/>
              </w:rPr>
            </w:pPr>
            <w:r w:rsidRPr="004D232A">
              <w:rPr>
                <w:rFonts w:ascii="Century Gothic" w:hAnsi="Century Gothic"/>
                <w:color w:val="FFFFFF" w:themeColor="background1"/>
                <w:szCs w:val="24"/>
              </w:rPr>
              <w:t>Young</w:t>
            </w:r>
          </w:p>
        </w:tc>
      </w:tr>
      <w:tr w:rsidR="004D232A" w:rsidRPr="004D232A" w:rsidTr="00B60324">
        <w:trPr>
          <w:trHeight w:val="454"/>
        </w:trPr>
        <w:tc>
          <w:tcPr>
            <w:tcW w:w="2943" w:type="dxa"/>
            <w:tcBorders>
              <w:top w:val="nil"/>
              <w:left w:val="nil"/>
              <w:bottom w:val="single" w:sz="4"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Geographical Area (km2)</w:t>
            </w:r>
          </w:p>
        </w:tc>
        <w:tc>
          <w:tcPr>
            <w:tcW w:w="1985" w:type="dxa"/>
            <w:tcBorders>
              <w:top w:val="nil"/>
              <w:left w:val="nil"/>
              <w:bottom w:val="single" w:sz="4"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22,191</w:t>
            </w:r>
          </w:p>
        </w:tc>
        <w:tc>
          <w:tcPr>
            <w:tcW w:w="1843" w:type="dxa"/>
            <w:tcBorders>
              <w:top w:val="nil"/>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8,560</w:t>
            </w:r>
          </w:p>
        </w:tc>
        <w:tc>
          <w:tcPr>
            <w:tcW w:w="1701" w:type="dxa"/>
            <w:tcBorders>
              <w:top w:val="nil"/>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2,809</w:t>
            </w:r>
          </w:p>
        </w:tc>
        <w:tc>
          <w:tcPr>
            <w:tcW w:w="1842" w:type="dxa"/>
            <w:tcBorders>
              <w:top w:val="nil"/>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4,720</w:t>
            </w:r>
          </w:p>
        </w:tc>
        <w:tc>
          <w:tcPr>
            <w:tcW w:w="1701" w:type="dxa"/>
            <w:tcBorders>
              <w:top w:val="nil"/>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3,409</w:t>
            </w:r>
          </w:p>
        </w:tc>
        <w:tc>
          <w:tcPr>
            <w:tcW w:w="1727" w:type="dxa"/>
            <w:tcBorders>
              <w:top w:val="nil"/>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2,693</w:t>
            </w:r>
          </w:p>
        </w:tc>
      </w:tr>
      <w:tr w:rsidR="004D232A" w:rsidRPr="004D232A" w:rsidTr="00B60324">
        <w:trPr>
          <w:trHeight w:val="454"/>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Population 2013</w:t>
            </w:r>
          </w:p>
        </w:tc>
        <w:tc>
          <w:tcPr>
            <w:tcW w:w="1985" w:type="dxa"/>
            <w:tcBorders>
              <w:top w:val="single" w:sz="4" w:space="0" w:color="auto"/>
              <w:left w:val="nil"/>
              <w:bottom w:val="single" w:sz="4"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44,635</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6,055</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12,622</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9,526</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3,730</w:t>
            </w:r>
          </w:p>
        </w:tc>
        <w:tc>
          <w:tcPr>
            <w:tcW w:w="1727"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12,702</w:t>
            </w:r>
          </w:p>
        </w:tc>
      </w:tr>
      <w:tr w:rsidR="004D232A" w:rsidRPr="004D232A" w:rsidTr="00B60324">
        <w:trPr>
          <w:trHeight w:val="454"/>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Projected population 2031</w:t>
            </w:r>
          </w:p>
        </w:tc>
        <w:tc>
          <w:tcPr>
            <w:tcW w:w="1985" w:type="dxa"/>
            <w:tcBorders>
              <w:top w:val="single" w:sz="4" w:space="0" w:color="auto"/>
              <w:left w:val="nil"/>
              <w:bottom w:val="single" w:sz="4"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42,900</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5,500</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11,700</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9,200</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3,500</w:t>
            </w:r>
          </w:p>
        </w:tc>
        <w:tc>
          <w:tcPr>
            <w:tcW w:w="1727"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13,000</w:t>
            </w:r>
          </w:p>
        </w:tc>
      </w:tr>
      <w:tr w:rsidR="004D232A" w:rsidRPr="004D232A" w:rsidTr="00B60324">
        <w:trPr>
          <w:trHeight w:val="454"/>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No of Councillors</w:t>
            </w:r>
          </w:p>
        </w:tc>
        <w:tc>
          <w:tcPr>
            <w:tcW w:w="1985" w:type="dxa"/>
            <w:tcBorders>
              <w:top w:val="single" w:sz="4" w:space="0" w:color="auto"/>
              <w:left w:val="nil"/>
              <w:bottom w:val="single" w:sz="4"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n/a</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9</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9</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9</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9</w:t>
            </w:r>
          </w:p>
        </w:tc>
        <w:tc>
          <w:tcPr>
            <w:tcW w:w="1727"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9</w:t>
            </w:r>
          </w:p>
        </w:tc>
      </w:tr>
      <w:tr w:rsidR="004D232A" w:rsidRPr="004D232A" w:rsidTr="00B60324">
        <w:trPr>
          <w:trHeight w:val="454"/>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Population per Councillor</w:t>
            </w:r>
          </w:p>
        </w:tc>
        <w:tc>
          <w:tcPr>
            <w:tcW w:w="1985" w:type="dxa"/>
            <w:tcBorders>
              <w:top w:val="single" w:sz="4" w:space="0" w:color="auto"/>
              <w:left w:val="nil"/>
              <w:bottom w:val="single" w:sz="4"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n/a</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672</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1,402</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1,058</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414</w:t>
            </w:r>
          </w:p>
        </w:tc>
        <w:tc>
          <w:tcPr>
            <w:tcW w:w="1727"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1,411</w:t>
            </w:r>
          </w:p>
        </w:tc>
      </w:tr>
      <w:tr w:rsidR="004D232A" w:rsidRPr="004D232A" w:rsidTr="00B60324">
        <w:trPr>
          <w:trHeight w:val="454"/>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Electoral Arrangements</w:t>
            </w:r>
          </w:p>
        </w:tc>
        <w:tc>
          <w:tcPr>
            <w:tcW w:w="1985" w:type="dxa"/>
            <w:tcBorders>
              <w:top w:val="single" w:sz="4" w:space="0" w:color="auto"/>
              <w:left w:val="nil"/>
              <w:bottom w:val="single" w:sz="4"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n/a</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No wards. 9 councillors. Mayor elected by council</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No wards. 9 councillors. Mayor elected by council</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No wards. 9 councillors. Mayor elected by council</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No wards. 9 councillors. Mayor elected by council</w:t>
            </w:r>
          </w:p>
        </w:tc>
        <w:tc>
          <w:tcPr>
            <w:tcW w:w="1727"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No wards. 9 councillors. Mayor elected by council</w:t>
            </w:r>
          </w:p>
        </w:tc>
      </w:tr>
      <w:tr w:rsidR="004D232A" w:rsidRPr="004D232A" w:rsidTr="00B60324">
        <w:trPr>
          <w:trHeight w:val="454"/>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Average Taxable Incomes ($)</w:t>
            </w:r>
          </w:p>
        </w:tc>
        <w:tc>
          <w:tcPr>
            <w:tcW w:w="1985" w:type="dxa"/>
            <w:tcBorders>
              <w:top w:val="single" w:sz="4" w:space="0" w:color="auto"/>
              <w:left w:val="nil"/>
              <w:bottom w:val="single" w:sz="4"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$33,178</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$32,124</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$33,910</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$34,242</w:t>
            </w:r>
          </w:p>
        </w:tc>
        <w:tc>
          <w:tcPr>
            <w:tcW w:w="1701"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$30,621</w:t>
            </w:r>
          </w:p>
        </w:tc>
        <w:tc>
          <w:tcPr>
            <w:tcW w:w="1727" w:type="dxa"/>
            <w:tcBorders>
              <w:top w:val="single" w:sz="4" w:space="0" w:color="auto"/>
              <w:left w:val="nil"/>
              <w:bottom w:val="single" w:sz="4"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$34,997</w:t>
            </w:r>
          </w:p>
        </w:tc>
      </w:tr>
      <w:tr w:rsidR="004D232A" w:rsidRPr="004D232A" w:rsidTr="00B60324">
        <w:trPr>
          <w:trHeight w:val="454"/>
        </w:trPr>
        <w:tc>
          <w:tcPr>
            <w:tcW w:w="2943" w:type="dxa"/>
            <w:tcBorders>
              <w:top w:val="single" w:sz="4" w:space="0" w:color="auto"/>
              <w:left w:val="nil"/>
              <w:bottom w:val="single" w:sz="8" w:space="0" w:color="auto"/>
              <w:right w:val="nil"/>
            </w:tcBorders>
            <w:vAlign w:val="center"/>
            <w:hideMark/>
          </w:tcPr>
          <w:p w:rsidR="004D232A" w:rsidRPr="004D232A" w:rsidRDefault="004D232A" w:rsidP="004D232A">
            <w:pPr>
              <w:rPr>
                <w:rFonts w:ascii="Book Antiqua" w:hAnsi="Book Antiqua"/>
              </w:rPr>
            </w:pPr>
            <w:r w:rsidRPr="004D232A">
              <w:rPr>
                <w:rFonts w:ascii="Book Antiqua" w:hAnsi="Book Antiqua"/>
                <w:szCs w:val="24"/>
              </w:rPr>
              <w:t>Socio Economic Index Ranking (1 = low , 152 high)</w:t>
            </w:r>
          </w:p>
        </w:tc>
        <w:tc>
          <w:tcPr>
            <w:tcW w:w="1985" w:type="dxa"/>
            <w:tcBorders>
              <w:top w:val="single" w:sz="4" w:space="0" w:color="auto"/>
              <w:left w:val="nil"/>
              <w:bottom w:val="single" w:sz="8" w:space="0" w:color="auto"/>
              <w:right w:val="nil"/>
            </w:tcBorders>
            <w:shd w:val="clear" w:color="auto" w:fill="FF9B9B"/>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n/a</w:t>
            </w:r>
          </w:p>
        </w:tc>
        <w:tc>
          <w:tcPr>
            <w:tcW w:w="1843" w:type="dxa"/>
            <w:tcBorders>
              <w:top w:val="single" w:sz="4" w:space="0" w:color="auto"/>
              <w:left w:val="nil"/>
              <w:bottom w:val="single" w:sz="8"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77</w:t>
            </w:r>
          </w:p>
        </w:tc>
        <w:tc>
          <w:tcPr>
            <w:tcW w:w="1701" w:type="dxa"/>
            <w:tcBorders>
              <w:top w:val="single" w:sz="4" w:space="0" w:color="auto"/>
              <w:left w:val="nil"/>
              <w:bottom w:val="single" w:sz="8"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24</w:t>
            </w:r>
          </w:p>
        </w:tc>
        <w:tc>
          <w:tcPr>
            <w:tcW w:w="1842" w:type="dxa"/>
            <w:tcBorders>
              <w:top w:val="single" w:sz="4" w:space="0" w:color="auto"/>
              <w:left w:val="nil"/>
              <w:bottom w:val="single" w:sz="8"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44</w:t>
            </w:r>
          </w:p>
        </w:tc>
        <w:tc>
          <w:tcPr>
            <w:tcW w:w="1701" w:type="dxa"/>
            <w:tcBorders>
              <w:top w:val="single" w:sz="4" w:space="0" w:color="auto"/>
              <w:left w:val="nil"/>
              <w:bottom w:val="single" w:sz="8"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52</w:t>
            </w:r>
          </w:p>
        </w:tc>
        <w:tc>
          <w:tcPr>
            <w:tcW w:w="1727" w:type="dxa"/>
            <w:tcBorders>
              <w:top w:val="single" w:sz="4" w:space="0" w:color="auto"/>
              <w:left w:val="nil"/>
              <w:bottom w:val="single" w:sz="8" w:space="0" w:color="auto"/>
              <w:right w:val="nil"/>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42</w:t>
            </w:r>
          </w:p>
        </w:tc>
      </w:tr>
    </w:tbl>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tbl>
      <w:tblPr>
        <w:tblStyle w:val="TableGrid"/>
        <w:tblW w:w="0" w:type="auto"/>
        <w:tblLook w:val="04A0" w:firstRow="1" w:lastRow="0" w:firstColumn="1" w:lastColumn="0" w:noHBand="0" w:noVBand="1"/>
      </w:tblPr>
      <w:tblGrid>
        <w:gridCol w:w="2621"/>
        <w:gridCol w:w="245"/>
        <w:gridCol w:w="1275"/>
        <w:gridCol w:w="1276"/>
        <w:gridCol w:w="1276"/>
        <w:gridCol w:w="1276"/>
        <w:gridCol w:w="1417"/>
        <w:gridCol w:w="1276"/>
      </w:tblGrid>
      <w:tr w:rsidR="004D232A" w:rsidRPr="004D232A" w:rsidTr="00B60324">
        <w:trPr>
          <w:trHeight w:val="397"/>
        </w:trPr>
        <w:tc>
          <w:tcPr>
            <w:tcW w:w="2621" w:type="dxa"/>
            <w:tcBorders>
              <w:top w:val="nil"/>
              <w:left w:val="nil"/>
              <w:bottom w:val="single" w:sz="4" w:space="0" w:color="auto"/>
              <w:right w:val="nil"/>
            </w:tcBorders>
            <w:hideMark/>
          </w:tcPr>
          <w:p w:rsidR="004D232A" w:rsidRPr="004D232A" w:rsidRDefault="004D232A" w:rsidP="004D232A">
            <w:pPr>
              <w:ind w:right="-856"/>
              <w:rPr>
                <w:rFonts w:ascii="Book Antiqua" w:hAnsi="Book Antiqua"/>
                <w:color w:val="FFFFFF" w:themeColor="background1"/>
                <w:sz w:val="18"/>
                <w:szCs w:val="18"/>
              </w:rPr>
            </w:pPr>
            <w:r w:rsidRPr="004D232A">
              <w:rPr>
                <w:rFonts w:ascii="Book Antiqua" w:hAnsi="Book Antiqua"/>
                <w:sz w:val="24"/>
                <w:szCs w:val="24"/>
              </w:rPr>
              <w:t>Financial Sustainability</w:t>
            </w:r>
          </w:p>
        </w:tc>
        <w:tc>
          <w:tcPr>
            <w:tcW w:w="245" w:type="dxa"/>
            <w:tcBorders>
              <w:top w:val="nil"/>
              <w:left w:val="nil"/>
              <w:bottom w:val="nil"/>
              <w:right w:val="nil"/>
            </w:tcBorders>
          </w:tcPr>
          <w:p w:rsidR="004D232A" w:rsidRPr="004D232A" w:rsidRDefault="004D232A" w:rsidP="004D232A">
            <w:pPr>
              <w:rPr>
                <w:rFonts w:ascii="Book Antiqua" w:hAnsi="Book Antiqua"/>
                <w:sz w:val="18"/>
                <w:szCs w:val="18"/>
              </w:rPr>
            </w:pPr>
          </w:p>
        </w:tc>
        <w:tc>
          <w:tcPr>
            <w:tcW w:w="7796" w:type="dxa"/>
            <w:gridSpan w:val="6"/>
            <w:tcBorders>
              <w:top w:val="nil"/>
              <w:left w:val="nil"/>
              <w:bottom w:val="single" w:sz="4" w:space="0" w:color="auto"/>
              <w:right w:val="nil"/>
            </w:tcBorders>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sz w:val="16"/>
                <w:szCs w:val="24"/>
              </w:rPr>
              <w:tab/>
            </w:r>
            <w:r w:rsidRPr="004D232A">
              <w:rPr>
                <w:rFonts w:ascii="Book Antiqua" w:hAnsi="Book Antiqua"/>
                <w:sz w:val="16"/>
                <w:szCs w:val="24"/>
              </w:rPr>
              <w:tab/>
            </w: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tcPr>
          <w:p w:rsidR="004D232A" w:rsidRPr="004D232A" w:rsidRDefault="004D232A" w:rsidP="004D232A">
            <w:pPr>
              <w:rPr>
                <w:rFonts w:ascii="Book Antiqua" w:hAnsi="Book Antiqua"/>
                <w:color w:val="FFFFFF" w:themeColor="background1"/>
                <w:sz w:val="18"/>
                <w:szCs w:val="18"/>
              </w:rPr>
            </w:pP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Bland</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Cowra</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Forbes</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Weddin</w:t>
            </w:r>
          </w:p>
        </w:tc>
        <w:tc>
          <w:tcPr>
            <w:tcW w:w="1417"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Young</w:t>
            </w:r>
          </w:p>
        </w:tc>
        <w:tc>
          <w:tcPr>
            <w:tcW w:w="1276" w:type="dxa"/>
            <w:tcBorders>
              <w:top w:val="single" w:sz="4" w:space="0" w:color="auto"/>
              <w:left w:val="single" w:sz="4" w:space="0" w:color="auto"/>
              <w:bottom w:val="single" w:sz="4" w:space="0" w:color="auto"/>
              <w:right w:val="single" w:sz="4" w:space="0" w:color="auto"/>
            </w:tcBorders>
            <w:shd w:val="clear" w:color="auto" w:fill="CC0000"/>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Rural Council Template</w:t>
            </w: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Sustainability Rating</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Weak</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Sound</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Moderate</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Moderate</w:t>
            </w:r>
          </w:p>
        </w:tc>
        <w:tc>
          <w:tcPr>
            <w:tcW w:w="1417"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Sound</w:t>
            </w:r>
          </w:p>
        </w:tc>
        <w:tc>
          <w:tcPr>
            <w:tcW w:w="1276" w:type="dxa"/>
            <w:tcBorders>
              <w:top w:val="single" w:sz="4" w:space="0" w:color="auto"/>
              <w:left w:val="single" w:sz="4" w:space="0" w:color="auto"/>
              <w:bottom w:val="single" w:sz="4" w:space="0" w:color="auto"/>
              <w:right w:val="single" w:sz="4" w:space="0" w:color="auto"/>
            </w:tcBorders>
          </w:tcPr>
          <w:p w:rsidR="004D232A" w:rsidRPr="004D232A" w:rsidRDefault="004D232A" w:rsidP="004D232A">
            <w:pPr>
              <w:rPr>
                <w:rFonts w:ascii="Book Antiqua" w:hAnsi="Book Antiqua"/>
                <w:sz w:val="18"/>
                <w:szCs w:val="18"/>
              </w:rPr>
            </w:pP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Outlook</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Neutral</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Negative</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Neutral</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Negative</w:t>
            </w:r>
          </w:p>
        </w:tc>
        <w:tc>
          <w:tcPr>
            <w:tcW w:w="1417"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sz w:val="18"/>
                <w:szCs w:val="18"/>
              </w:rPr>
            </w:pPr>
            <w:r w:rsidRPr="004D232A">
              <w:rPr>
                <w:rFonts w:ascii="Book Antiqua" w:hAnsi="Book Antiqua"/>
                <w:sz w:val="18"/>
                <w:szCs w:val="18"/>
              </w:rPr>
              <w:t>Negative</w:t>
            </w:r>
          </w:p>
        </w:tc>
        <w:tc>
          <w:tcPr>
            <w:tcW w:w="1276" w:type="dxa"/>
            <w:tcBorders>
              <w:top w:val="single" w:sz="4" w:space="0" w:color="auto"/>
              <w:left w:val="single" w:sz="4" w:space="0" w:color="auto"/>
              <w:bottom w:val="single" w:sz="4" w:space="0" w:color="auto"/>
              <w:right w:val="single" w:sz="4" w:space="0" w:color="auto"/>
            </w:tcBorders>
          </w:tcPr>
          <w:p w:rsidR="004D232A" w:rsidRPr="004D232A" w:rsidRDefault="004D232A" w:rsidP="004D232A">
            <w:pPr>
              <w:rPr>
                <w:rFonts w:ascii="Book Antiqua" w:hAnsi="Book Antiqua"/>
                <w:sz w:val="18"/>
                <w:szCs w:val="18"/>
              </w:rPr>
            </w:pPr>
          </w:p>
        </w:tc>
      </w:tr>
      <w:tr w:rsidR="004D232A" w:rsidRPr="004D232A" w:rsidTr="00B60324">
        <w:trPr>
          <w:trHeight w:val="397"/>
        </w:trPr>
        <w:tc>
          <w:tcPr>
            <w:tcW w:w="2621" w:type="dxa"/>
            <w:tcBorders>
              <w:top w:val="single" w:sz="4" w:space="0" w:color="auto"/>
              <w:left w:val="nil"/>
              <w:bottom w:val="single" w:sz="4" w:space="0" w:color="auto"/>
              <w:right w:val="nil"/>
            </w:tcBorders>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sz w:val="24"/>
                <w:szCs w:val="24"/>
              </w:rPr>
              <w:t>Performance</w:t>
            </w:r>
          </w:p>
        </w:tc>
        <w:tc>
          <w:tcPr>
            <w:tcW w:w="245" w:type="dxa"/>
            <w:tcBorders>
              <w:top w:val="nil"/>
              <w:left w:val="nil"/>
              <w:bottom w:val="nil"/>
              <w:right w:val="nil"/>
            </w:tcBorders>
          </w:tcPr>
          <w:p w:rsidR="004D232A" w:rsidRPr="004D232A" w:rsidRDefault="004D232A" w:rsidP="004D232A">
            <w:pPr>
              <w:rPr>
                <w:rFonts w:ascii="Book Antiqua" w:hAnsi="Book Antiqua"/>
                <w:sz w:val="18"/>
                <w:szCs w:val="18"/>
              </w:rPr>
            </w:pPr>
          </w:p>
        </w:tc>
        <w:tc>
          <w:tcPr>
            <w:tcW w:w="1275"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417"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tcPr>
          <w:p w:rsidR="004D232A" w:rsidRPr="004D232A" w:rsidRDefault="004D232A" w:rsidP="004D232A">
            <w:pPr>
              <w:rPr>
                <w:rFonts w:ascii="Book Antiqua" w:hAnsi="Book Antiqua"/>
                <w:color w:val="FFFFFF" w:themeColor="background1"/>
                <w:sz w:val="18"/>
                <w:szCs w:val="18"/>
              </w:rPr>
            </w:pP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Bland</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Cowra</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Forbes</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Weddin</w:t>
            </w:r>
          </w:p>
        </w:tc>
        <w:tc>
          <w:tcPr>
            <w:tcW w:w="1417"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Young</w:t>
            </w:r>
          </w:p>
        </w:tc>
        <w:tc>
          <w:tcPr>
            <w:tcW w:w="1276" w:type="dxa"/>
            <w:tcBorders>
              <w:top w:val="single" w:sz="4" w:space="0" w:color="auto"/>
              <w:left w:val="single" w:sz="4" w:space="0" w:color="auto"/>
              <w:bottom w:val="single" w:sz="4" w:space="0" w:color="auto"/>
              <w:right w:val="single" w:sz="4" w:space="0" w:color="auto"/>
            </w:tcBorders>
            <w:shd w:val="clear" w:color="auto" w:fill="CC0000"/>
          </w:tcPr>
          <w:p w:rsidR="004D232A" w:rsidRPr="004D232A" w:rsidRDefault="004D232A" w:rsidP="004D232A">
            <w:pPr>
              <w:rPr>
                <w:rFonts w:ascii="Book Antiqua" w:hAnsi="Book Antiqua"/>
                <w:color w:val="FFFFFF" w:themeColor="background1"/>
                <w:sz w:val="18"/>
                <w:szCs w:val="18"/>
              </w:rPr>
            </w:pP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Operating Ratio (%)</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RC Template</w:t>
            </w: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Debt Service Cover Ratio</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14.7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177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RC Template</w:t>
            </w: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Unrestricted Current Ratio</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7.1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3.1</w:t>
            </w:r>
          </w:p>
        </w:tc>
        <w:tc>
          <w:tcPr>
            <w:tcW w:w="1276" w:type="dxa"/>
            <w:tcBorders>
              <w:top w:val="single" w:sz="4" w:space="0" w:color="auto"/>
              <w:left w:val="single" w:sz="4" w:space="0" w:color="auto"/>
              <w:bottom w:val="single" w:sz="4" w:space="0" w:color="auto"/>
              <w:right w:val="single" w:sz="4" w:space="0" w:color="auto"/>
            </w:tcBorders>
            <w:vAlign w:val="center"/>
          </w:tcPr>
          <w:p w:rsidR="004D232A" w:rsidRPr="004D232A" w:rsidRDefault="004D232A" w:rsidP="004D232A">
            <w:pPr>
              <w:jc w:val="center"/>
              <w:rPr>
                <w:rFonts w:ascii="Book Antiqua" w:hAnsi="Book Antiqua"/>
                <w:sz w:val="18"/>
                <w:szCs w:val="18"/>
              </w:rPr>
            </w:pP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Own Source Operating Revenue Ratio (%)</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RC Template</w:t>
            </w: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Cash Expense Ratio</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2.7 months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8 months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10.9 months</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10.5 months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sz w:val="18"/>
                <w:szCs w:val="18"/>
              </w:rPr>
            </w:pPr>
            <w:r w:rsidRPr="004D232A">
              <w:rPr>
                <w:rFonts w:ascii="Book Antiqua" w:hAnsi="Book Antiqua"/>
                <w:sz w:val="18"/>
                <w:szCs w:val="18"/>
              </w:rPr>
              <w:t>17.6 months</w:t>
            </w:r>
          </w:p>
        </w:tc>
        <w:tc>
          <w:tcPr>
            <w:tcW w:w="1276" w:type="dxa"/>
            <w:tcBorders>
              <w:top w:val="single" w:sz="4" w:space="0" w:color="auto"/>
              <w:left w:val="single" w:sz="4" w:space="0" w:color="auto"/>
              <w:bottom w:val="single" w:sz="4" w:space="0" w:color="auto"/>
              <w:right w:val="single" w:sz="4" w:space="0" w:color="auto"/>
            </w:tcBorders>
            <w:vAlign w:val="center"/>
          </w:tcPr>
          <w:p w:rsidR="004D232A" w:rsidRPr="004D232A" w:rsidRDefault="004D232A" w:rsidP="004D232A">
            <w:pPr>
              <w:jc w:val="center"/>
              <w:rPr>
                <w:rFonts w:ascii="Book Antiqua" w:hAnsi="Book Antiqua"/>
                <w:sz w:val="18"/>
                <w:szCs w:val="18"/>
              </w:rPr>
            </w:pPr>
          </w:p>
        </w:tc>
      </w:tr>
      <w:tr w:rsidR="004D232A" w:rsidRPr="004D232A" w:rsidTr="00B60324">
        <w:trPr>
          <w:trHeight w:val="397"/>
        </w:trPr>
        <w:tc>
          <w:tcPr>
            <w:tcW w:w="2621" w:type="dxa"/>
            <w:tcBorders>
              <w:top w:val="single" w:sz="4" w:space="0" w:color="auto"/>
              <w:left w:val="nil"/>
              <w:bottom w:val="single" w:sz="4" w:space="0" w:color="auto"/>
              <w:right w:val="nil"/>
            </w:tcBorders>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sz w:val="24"/>
                <w:szCs w:val="24"/>
              </w:rPr>
              <w:t>Infrastructure</w:t>
            </w:r>
          </w:p>
        </w:tc>
        <w:tc>
          <w:tcPr>
            <w:tcW w:w="245" w:type="dxa"/>
            <w:tcBorders>
              <w:top w:val="nil"/>
              <w:left w:val="nil"/>
              <w:bottom w:val="nil"/>
              <w:right w:val="nil"/>
            </w:tcBorders>
          </w:tcPr>
          <w:p w:rsidR="004D232A" w:rsidRPr="004D232A" w:rsidRDefault="004D232A" w:rsidP="004D232A">
            <w:pPr>
              <w:rPr>
                <w:rFonts w:ascii="Book Antiqua" w:hAnsi="Book Antiqua"/>
                <w:sz w:val="18"/>
                <w:szCs w:val="18"/>
              </w:rPr>
            </w:pPr>
          </w:p>
        </w:tc>
        <w:tc>
          <w:tcPr>
            <w:tcW w:w="1275"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417"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c>
          <w:tcPr>
            <w:tcW w:w="1276" w:type="dxa"/>
            <w:tcBorders>
              <w:top w:val="single" w:sz="4" w:space="0" w:color="auto"/>
              <w:left w:val="nil"/>
              <w:bottom w:val="single" w:sz="4" w:space="0" w:color="auto"/>
              <w:right w:val="nil"/>
            </w:tcBorders>
          </w:tcPr>
          <w:p w:rsidR="004D232A" w:rsidRPr="004D232A" w:rsidRDefault="004D232A" w:rsidP="004D232A">
            <w:pPr>
              <w:rPr>
                <w:rFonts w:ascii="Book Antiqua" w:hAnsi="Book Antiqua"/>
                <w:sz w:val="18"/>
                <w:szCs w:val="18"/>
              </w:rPr>
            </w:pP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tcPr>
          <w:p w:rsidR="004D232A" w:rsidRPr="004D232A" w:rsidRDefault="004D232A" w:rsidP="004D232A">
            <w:pPr>
              <w:rPr>
                <w:rFonts w:ascii="Book Antiqua" w:hAnsi="Book Antiqua"/>
                <w:color w:val="FFFFFF" w:themeColor="background1"/>
                <w:sz w:val="18"/>
                <w:szCs w:val="18"/>
              </w:rPr>
            </w:pP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Bland</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Cowra</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Forbes</w:t>
            </w:r>
          </w:p>
        </w:tc>
        <w:tc>
          <w:tcPr>
            <w:tcW w:w="1276"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Weddin</w:t>
            </w:r>
          </w:p>
        </w:tc>
        <w:tc>
          <w:tcPr>
            <w:tcW w:w="1417"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Young</w:t>
            </w:r>
          </w:p>
        </w:tc>
        <w:tc>
          <w:tcPr>
            <w:tcW w:w="1276" w:type="dxa"/>
            <w:tcBorders>
              <w:top w:val="single" w:sz="4" w:space="0" w:color="auto"/>
              <w:left w:val="single" w:sz="4" w:space="0" w:color="auto"/>
              <w:bottom w:val="single" w:sz="4" w:space="0" w:color="auto"/>
              <w:right w:val="single" w:sz="4" w:space="0" w:color="auto"/>
            </w:tcBorders>
            <w:shd w:val="clear" w:color="auto" w:fill="CC0000"/>
          </w:tcPr>
          <w:p w:rsidR="004D232A" w:rsidRPr="004D232A" w:rsidRDefault="004D232A" w:rsidP="004D232A">
            <w:pPr>
              <w:rPr>
                <w:rFonts w:ascii="Book Antiqua" w:hAnsi="Book Antiqua"/>
                <w:color w:val="FFFFFF" w:themeColor="background1"/>
                <w:sz w:val="18"/>
                <w:szCs w:val="18"/>
              </w:rPr>
            </w:pP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Infrastructure Backlog Ratio (%)</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0.9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15</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rPr>
            </w:pPr>
            <w:r w:rsidRPr="004D232A">
              <w:rPr>
                <w:rFonts w:ascii="Book Antiqua" w:hAnsi="Book Antiqua"/>
                <w:sz w:val="18"/>
                <w:szCs w:val="18"/>
              </w:rPr>
              <w:t>RC Template</w:t>
            </w: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Asset Maintenance Ratio</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0.7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0.8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0.7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0.7</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rPr>
            </w:pPr>
            <w:r w:rsidRPr="004D232A">
              <w:rPr>
                <w:rFonts w:ascii="Book Antiqua" w:hAnsi="Book Antiqua"/>
                <w:sz w:val="18"/>
                <w:szCs w:val="18"/>
              </w:rPr>
              <w:t>RC Template</w:t>
            </w: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Roads, Bridges and Footpaths ($) per capita</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$2,216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$376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$852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$1,007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$292</w:t>
            </w:r>
          </w:p>
        </w:tc>
        <w:tc>
          <w:tcPr>
            <w:tcW w:w="1276" w:type="dxa"/>
            <w:tcBorders>
              <w:top w:val="single" w:sz="4" w:space="0" w:color="auto"/>
              <w:left w:val="single" w:sz="4" w:space="0" w:color="auto"/>
              <w:bottom w:val="single" w:sz="4" w:space="0" w:color="auto"/>
              <w:right w:val="single" w:sz="4" w:space="0" w:color="auto"/>
            </w:tcBorders>
          </w:tcPr>
          <w:p w:rsidR="004D232A" w:rsidRPr="004D232A" w:rsidRDefault="004D232A" w:rsidP="004D232A">
            <w:pPr>
              <w:rPr>
                <w:rFonts w:ascii="Book Antiqua" w:hAnsi="Book Antiqua"/>
              </w:rPr>
            </w:pPr>
          </w:p>
        </w:tc>
      </w:tr>
      <w:tr w:rsidR="004D232A" w:rsidRPr="004D232A" w:rsidTr="00B60324">
        <w:trPr>
          <w:trHeight w:val="397"/>
        </w:trPr>
        <w:tc>
          <w:tcPr>
            <w:tcW w:w="2621" w:type="dxa"/>
            <w:tcBorders>
              <w:top w:val="single" w:sz="4" w:space="0" w:color="auto"/>
              <w:left w:val="single" w:sz="4" w:space="0" w:color="auto"/>
              <w:bottom w:val="single" w:sz="4" w:space="0" w:color="auto"/>
              <w:right w:val="single" w:sz="4" w:space="0" w:color="auto"/>
            </w:tcBorders>
            <w:shd w:val="clear" w:color="auto" w:fill="CC0000"/>
            <w:hideMark/>
          </w:tcPr>
          <w:p w:rsidR="004D232A" w:rsidRPr="004D232A" w:rsidRDefault="004D232A" w:rsidP="004D232A">
            <w:pPr>
              <w:rPr>
                <w:rFonts w:ascii="Book Antiqua" w:hAnsi="Book Antiqua"/>
                <w:color w:val="FFFFFF" w:themeColor="background1"/>
                <w:sz w:val="18"/>
                <w:szCs w:val="18"/>
              </w:rPr>
            </w:pPr>
            <w:r w:rsidRPr="004D232A">
              <w:rPr>
                <w:rFonts w:ascii="Book Antiqua" w:hAnsi="Book Antiqua"/>
                <w:color w:val="FFFFFF" w:themeColor="background1"/>
                <w:sz w:val="18"/>
                <w:szCs w:val="18"/>
              </w:rPr>
              <w:t>Building &amp; Infrastructure Renewal Ratio (%)</w:t>
            </w:r>
          </w:p>
        </w:tc>
        <w:tc>
          <w:tcPr>
            <w:tcW w:w="245" w:type="dxa"/>
            <w:tcBorders>
              <w:top w:val="nil"/>
              <w:left w:val="single" w:sz="4" w:space="0" w:color="auto"/>
              <w:bottom w:val="nil"/>
              <w:right w:val="single" w:sz="4" w:space="0" w:color="auto"/>
            </w:tcBorders>
          </w:tcPr>
          <w:p w:rsidR="004D232A" w:rsidRPr="004D232A" w:rsidRDefault="004D232A" w:rsidP="004D232A">
            <w:pPr>
              <w:rPr>
                <w:rFonts w:ascii="Book Antiqua" w:hAnsi="Book Antiqua"/>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52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48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232A" w:rsidRPr="004D232A" w:rsidRDefault="004D232A" w:rsidP="004D232A">
            <w:pPr>
              <w:jc w:val="center"/>
              <w:rPr>
                <w:rFonts w:ascii="Book Antiqua" w:hAnsi="Book Antiqua"/>
              </w:rPr>
            </w:pPr>
            <w:r w:rsidRPr="004D232A">
              <w:rPr>
                <w:rFonts w:ascii="Book Antiqua" w:hAnsi="Book Antiqua"/>
                <w:szCs w:val="24"/>
              </w:rPr>
              <w:t>268</w:t>
            </w:r>
          </w:p>
        </w:tc>
        <w:tc>
          <w:tcPr>
            <w:tcW w:w="1276" w:type="dxa"/>
            <w:tcBorders>
              <w:top w:val="single" w:sz="4" w:space="0" w:color="auto"/>
              <w:left w:val="single" w:sz="4" w:space="0" w:color="auto"/>
              <w:bottom w:val="single" w:sz="4" w:space="0" w:color="auto"/>
              <w:right w:val="single" w:sz="4" w:space="0" w:color="auto"/>
            </w:tcBorders>
            <w:hideMark/>
          </w:tcPr>
          <w:p w:rsidR="004D232A" w:rsidRPr="004D232A" w:rsidRDefault="004D232A" w:rsidP="004D232A">
            <w:pPr>
              <w:rPr>
                <w:rFonts w:ascii="Book Antiqua" w:hAnsi="Book Antiqua"/>
              </w:rPr>
            </w:pPr>
            <w:r w:rsidRPr="004D232A">
              <w:rPr>
                <w:rFonts w:ascii="Book Antiqua" w:hAnsi="Book Antiqua"/>
                <w:sz w:val="18"/>
                <w:szCs w:val="18"/>
              </w:rPr>
              <w:t>RC Template</w:t>
            </w:r>
          </w:p>
        </w:tc>
      </w:tr>
    </w:tbl>
    <w:p w:rsidR="004D232A" w:rsidRPr="004D232A" w:rsidRDefault="004D232A" w:rsidP="004D232A">
      <w:pPr>
        <w:spacing w:after="0" w:line="240" w:lineRule="auto"/>
        <w:rPr>
          <w:rFonts w:ascii="Century Gothic" w:eastAsia="Times New Roman" w:hAnsi="Century Gothic" w:cs="Times New Roman"/>
          <w:sz w:val="28"/>
          <w:szCs w:val="24"/>
          <w:lang w:eastAsia="en-AU"/>
        </w:rPr>
      </w:pPr>
      <w:r w:rsidRPr="004D232A">
        <w:rPr>
          <w:rFonts w:ascii="Century Gothic" w:eastAsia="Times New Roman" w:hAnsi="Century Gothic" w:cs="Times New Roman"/>
          <w:sz w:val="28"/>
          <w:szCs w:val="24"/>
          <w:lang w:eastAsia="en-AU"/>
        </w:rPr>
        <w:lastRenderedPageBreak/>
        <w:t>Regional outlook</w:t>
      </w:r>
    </w:p>
    <w:p w:rsidR="004D232A" w:rsidRPr="004D232A" w:rsidRDefault="004D232A" w:rsidP="004D232A">
      <w:pPr>
        <w:tabs>
          <w:tab w:val="left" w:pos="2694"/>
          <w:tab w:val="left" w:pos="6663"/>
          <w:tab w:val="left" w:pos="13183"/>
        </w:tabs>
        <w:spacing w:after="0" w:line="240" w:lineRule="auto"/>
        <w:ind w:right="-29"/>
        <w:contextualSpacing/>
        <w:jc w:val="both"/>
      </w:pPr>
      <w:r w:rsidRPr="004D232A">
        <w:t xml:space="preserve">All five councils are facing infrastructure challenges into the future. Only Forbes and Bland have a neutral Financial Sustainability Rating (FSR) outlook. A collaborative arrangement may help to improve internal revenue options for the group and provide a regional perspective on service delivery. The area relies heavily on agriculture for its economic stability. This means that councils and communities within the area are subject to the seasonal and economic fluctuations that define this industry. Extreme weather events, changes in commodities pricing and farming practices can impact significantly. Five of the six LGAs are expected to see continued population decline. TCorp also predicts declining financial sustainability for most Councils within the area and increasing infrastructure backlogs (Attachment 4). </w:t>
      </w:r>
    </w:p>
    <w:p w:rsidR="004D232A" w:rsidRPr="004D232A" w:rsidRDefault="004D232A" w:rsidP="004D232A">
      <w:pPr>
        <w:tabs>
          <w:tab w:val="left" w:pos="2694"/>
          <w:tab w:val="left" w:pos="4962"/>
          <w:tab w:val="left" w:pos="6663"/>
        </w:tabs>
        <w:spacing w:after="0" w:line="240" w:lineRule="auto"/>
        <w:ind w:right="8191"/>
        <w:contextualSpacing/>
        <w:jc w:val="both"/>
      </w:pPr>
    </w:p>
    <w:p w:rsidR="004D232A" w:rsidRPr="004D232A" w:rsidRDefault="004D232A" w:rsidP="004D232A">
      <w:pPr>
        <w:spacing w:after="0" w:line="240" w:lineRule="auto"/>
        <w:rPr>
          <w:rFonts w:ascii="Century Gothic" w:eastAsia="Times New Roman" w:hAnsi="Century Gothic" w:cs="Times New Roman"/>
          <w:sz w:val="28"/>
          <w:szCs w:val="24"/>
          <w:lang w:eastAsia="en-AU"/>
        </w:rPr>
      </w:pPr>
      <w:r w:rsidRPr="004D232A">
        <w:rPr>
          <w:rFonts w:ascii="Century Gothic" w:eastAsia="Times New Roman" w:hAnsi="Century Gothic" w:cs="Times New Roman"/>
          <w:sz w:val="28"/>
          <w:szCs w:val="24"/>
          <w:lang w:eastAsia="en-AU"/>
        </w:rPr>
        <w:t>Financial Data</w:t>
      </w:r>
    </w:p>
    <w:tbl>
      <w:tblPr>
        <w:tblStyle w:val="TableGrid"/>
        <w:tblpPr w:leftFromText="180" w:rightFromText="180" w:vertAnchor="text" w:tblpY="1"/>
        <w:tblOverlap w:val="never"/>
        <w:tblW w:w="0" w:type="auto"/>
        <w:tblLook w:val="04A0" w:firstRow="1" w:lastRow="0" w:firstColumn="1" w:lastColumn="0" w:noHBand="0" w:noVBand="1"/>
      </w:tblPr>
      <w:tblGrid>
        <w:gridCol w:w="2943"/>
        <w:gridCol w:w="1418"/>
        <w:gridCol w:w="1372"/>
        <w:gridCol w:w="1179"/>
        <w:gridCol w:w="1276"/>
        <w:gridCol w:w="1418"/>
      </w:tblGrid>
      <w:tr w:rsidR="004D232A" w:rsidRPr="004D232A" w:rsidTr="00B60324">
        <w:trPr>
          <w:trHeight w:val="794"/>
        </w:trPr>
        <w:tc>
          <w:tcPr>
            <w:tcW w:w="2943"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rPr>
                <w:color w:val="FFFFFF" w:themeColor="background1"/>
              </w:rPr>
            </w:pPr>
            <w:r w:rsidRPr="004D232A">
              <w:rPr>
                <w:color w:val="FFFFFF" w:themeColor="background1"/>
              </w:rPr>
              <w:t>Revenue Source</w:t>
            </w:r>
          </w:p>
        </w:tc>
        <w:tc>
          <w:tcPr>
            <w:tcW w:w="1418"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 xml:space="preserve">Bland </w:t>
            </w:r>
          </w:p>
        </w:tc>
        <w:tc>
          <w:tcPr>
            <w:tcW w:w="1372"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 xml:space="preserve">Cowra </w:t>
            </w:r>
          </w:p>
        </w:tc>
        <w:tc>
          <w:tcPr>
            <w:tcW w:w="1179"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ind w:right="20"/>
              <w:contextualSpacing/>
              <w:jc w:val="right"/>
              <w:rPr>
                <w:color w:val="FFFFFF" w:themeColor="background1"/>
              </w:rPr>
            </w:pPr>
            <w:r w:rsidRPr="004D232A">
              <w:rPr>
                <w:color w:val="FFFFFF" w:themeColor="background1"/>
              </w:rPr>
              <w:t xml:space="preserve">Forbes </w:t>
            </w:r>
          </w:p>
        </w:tc>
        <w:tc>
          <w:tcPr>
            <w:tcW w:w="1276"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 xml:space="preserve">Weddin </w:t>
            </w:r>
          </w:p>
        </w:tc>
        <w:tc>
          <w:tcPr>
            <w:tcW w:w="1418"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 xml:space="preserve">Young </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Average Residential Rates</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$423</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$382</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$622</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$381</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$528</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Average Business Rates</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$960</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$2,628</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$2,374</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$786</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$2,625</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Average Farmland Rates</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$2,451</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$1,428</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$2,107</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$1,216</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$1,912</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Average Mining Rates</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$407,500</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$76,000</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$0</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$4,000</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$18,000</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Total Revenue 12/13  (000’s)</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$27,438</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$31,039</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$33,886</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$12,858</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$30,038</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Grants/Contributions (%)</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63</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23</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31</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41</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40</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contextualSpacing/>
            </w:pPr>
          </w:p>
        </w:tc>
        <w:tc>
          <w:tcPr>
            <w:tcW w:w="1418"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contextualSpacing/>
              <w:jc w:val="center"/>
            </w:pPr>
          </w:p>
        </w:tc>
        <w:tc>
          <w:tcPr>
            <w:tcW w:w="1372"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contextualSpacing/>
              <w:jc w:val="center"/>
            </w:pPr>
          </w:p>
        </w:tc>
        <w:tc>
          <w:tcPr>
            <w:tcW w:w="1179"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20"/>
              <w:contextualSpacing/>
              <w:jc w:val="center"/>
            </w:pPr>
          </w:p>
        </w:tc>
        <w:tc>
          <w:tcPr>
            <w:tcW w:w="1276"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contextualSpacing/>
              <w:jc w:val="center"/>
            </w:pPr>
          </w:p>
        </w:tc>
        <w:tc>
          <w:tcPr>
            <w:tcW w:w="1418"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contextualSpacing/>
              <w:jc w:val="center"/>
            </w:pP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Typical Residential, Water &amp; Sewer Bill (including usage)</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$598</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$1,467</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$914</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$297</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$1,278</w:t>
            </w:r>
          </w:p>
        </w:tc>
      </w:tr>
      <w:tr w:rsidR="004D232A" w:rsidRPr="004D232A" w:rsidTr="00B60324">
        <w:trPr>
          <w:trHeight w:val="397"/>
        </w:trPr>
        <w:tc>
          <w:tcPr>
            <w:tcW w:w="29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pPr>
            <w:r w:rsidRPr="004D232A">
              <w:t>Average Domestic Waste Management Charge</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$237</w:t>
            </w:r>
          </w:p>
        </w:tc>
        <w:tc>
          <w:tcPr>
            <w:tcW w:w="137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$396</w:t>
            </w:r>
          </w:p>
        </w:tc>
        <w:tc>
          <w:tcPr>
            <w:tcW w:w="1179"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20"/>
              <w:contextualSpacing/>
              <w:jc w:val="center"/>
            </w:pPr>
            <w:r w:rsidRPr="004D232A">
              <w:t>$296</w:t>
            </w:r>
          </w:p>
        </w:tc>
        <w:tc>
          <w:tcPr>
            <w:tcW w:w="1276"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$180</w:t>
            </w:r>
          </w:p>
        </w:tc>
        <w:tc>
          <w:tcPr>
            <w:tcW w:w="141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$143</w:t>
            </w:r>
          </w:p>
        </w:tc>
      </w:tr>
    </w:tbl>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szCs w:val="21"/>
          <w:lang w:eastAsia="en-AU"/>
        </w:rPr>
        <w:tab/>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after="0" w:line="240" w:lineRule="auto"/>
        <w:rPr>
          <w:rFonts w:ascii="Century Gothic" w:eastAsia="Times New Roman" w:hAnsi="Century Gothic" w:cs="Times New Roman"/>
          <w:sz w:val="28"/>
          <w:szCs w:val="24"/>
          <w:lang w:eastAsia="en-AU"/>
        </w:rPr>
      </w:pPr>
    </w:p>
    <w:p w:rsidR="004D232A" w:rsidRPr="004D232A" w:rsidRDefault="004D232A" w:rsidP="004D232A">
      <w:pPr>
        <w:spacing w:after="0" w:line="240" w:lineRule="auto"/>
        <w:rPr>
          <w:rFonts w:ascii="Century Gothic" w:eastAsia="Times New Roman" w:hAnsi="Century Gothic" w:cs="Times New Roman"/>
          <w:sz w:val="28"/>
          <w:szCs w:val="24"/>
          <w:lang w:eastAsia="en-AU"/>
        </w:rPr>
      </w:pPr>
    </w:p>
    <w:p w:rsidR="004D232A" w:rsidRPr="004D232A" w:rsidRDefault="004D232A" w:rsidP="004D232A">
      <w:pPr>
        <w:spacing w:after="0" w:line="240" w:lineRule="auto"/>
        <w:rPr>
          <w:rFonts w:ascii="Century Gothic" w:eastAsia="Times New Roman" w:hAnsi="Century Gothic" w:cs="Times New Roman"/>
          <w:sz w:val="28"/>
          <w:szCs w:val="24"/>
          <w:lang w:eastAsia="en-AU"/>
        </w:rPr>
      </w:pPr>
      <w:r w:rsidRPr="004D232A">
        <w:rPr>
          <w:rFonts w:ascii="Century Gothic" w:eastAsia="Times New Roman" w:hAnsi="Century Gothic" w:cs="Times New Roman"/>
          <w:sz w:val="28"/>
          <w:szCs w:val="24"/>
          <w:lang w:eastAsia="en-AU"/>
        </w:rPr>
        <w:lastRenderedPageBreak/>
        <w:t>Infrastructure management</w:t>
      </w:r>
    </w:p>
    <w:p w:rsidR="004D232A" w:rsidRPr="004D232A" w:rsidRDefault="004D232A" w:rsidP="004D232A">
      <w:pPr>
        <w:tabs>
          <w:tab w:val="left" w:pos="2694"/>
          <w:tab w:val="left" w:pos="4962"/>
          <w:tab w:val="left" w:pos="6663"/>
        </w:tabs>
        <w:spacing w:after="0" w:line="240" w:lineRule="auto"/>
        <w:ind w:right="-31"/>
        <w:contextualSpacing/>
        <w:jc w:val="both"/>
      </w:pPr>
      <w:r w:rsidRPr="004D232A">
        <w:t xml:space="preserve">Although infrastructure backlogs for the grouping are substantial, they are not totally out of character with other regions in NSW. All Councils need to ensure they have sound planning processes to ensure that the community’s assets are managed efficiently and effectively. Asset management planning should have a service delivery focus and the assets provided should be appropriate to meet the needs of the community. A collaborative approach via a Joint Organisation model which are currently being piloted in five regions of NSW may help to address regional infrastructure issues more holistically. The NSW Government’s LIR’s scheme may provide assistance for Council’s with the capacity to increase borrowings. </w:t>
      </w:r>
    </w:p>
    <w:p w:rsidR="004D232A" w:rsidRPr="004D232A" w:rsidRDefault="004D232A" w:rsidP="004D232A">
      <w:pPr>
        <w:tabs>
          <w:tab w:val="left" w:pos="2694"/>
          <w:tab w:val="left" w:pos="4962"/>
          <w:tab w:val="left" w:pos="6663"/>
        </w:tabs>
        <w:spacing w:after="0" w:line="240" w:lineRule="auto"/>
        <w:ind w:right="-31"/>
        <w:contextualSpacing/>
        <w:jc w:val="both"/>
        <w:rPr>
          <w:sz w:val="20"/>
        </w:rPr>
      </w:pPr>
    </w:p>
    <w:p w:rsidR="004D232A" w:rsidRPr="004D232A" w:rsidRDefault="004D232A" w:rsidP="004D232A">
      <w:pPr>
        <w:spacing w:after="0" w:line="240" w:lineRule="auto"/>
        <w:rPr>
          <w:rFonts w:ascii="Century Gothic" w:eastAsia="Times New Roman" w:hAnsi="Century Gothic" w:cs="Times New Roman"/>
          <w:sz w:val="28"/>
          <w:szCs w:val="24"/>
          <w:lang w:eastAsia="en-AU"/>
        </w:rPr>
      </w:pPr>
      <w:r w:rsidRPr="004D232A">
        <w:rPr>
          <w:rFonts w:ascii="Century Gothic" w:eastAsia="Times New Roman" w:hAnsi="Century Gothic" w:cs="Times New Roman"/>
          <w:sz w:val="28"/>
          <w:szCs w:val="24"/>
          <w:lang w:eastAsia="en-AU"/>
        </w:rPr>
        <w:t>Current asset position</w:t>
      </w:r>
    </w:p>
    <w:p w:rsidR="004D232A" w:rsidRPr="004D232A" w:rsidRDefault="004D232A" w:rsidP="004D232A">
      <w:pPr>
        <w:tabs>
          <w:tab w:val="left" w:pos="2694"/>
          <w:tab w:val="left" w:pos="4962"/>
          <w:tab w:val="left" w:pos="6663"/>
        </w:tabs>
        <w:spacing w:after="0" w:line="240" w:lineRule="auto"/>
        <w:ind w:right="-31"/>
        <w:contextualSpacing/>
        <w:jc w:val="both"/>
      </w:pPr>
      <w:r w:rsidRPr="004D232A">
        <w:t>While roads and bridges make up the major asset classes for all councils, there are also substantial water and sewerage assets within the grouping. Young receives bulk supplies from Goldenfields Water for Council distribution. Bland receives direct services from Goldenfields Water with Weddin receiving direct services from Central Tablelands Water. Young and Cowra manage their own supplies.</w:t>
      </w:r>
    </w:p>
    <w:p w:rsidR="004D232A" w:rsidRPr="004D232A" w:rsidRDefault="004D232A" w:rsidP="004D232A">
      <w:pPr>
        <w:tabs>
          <w:tab w:val="left" w:pos="2694"/>
          <w:tab w:val="left" w:pos="4962"/>
          <w:tab w:val="left" w:pos="6663"/>
        </w:tabs>
        <w:spacing w:after="0" w:line="240" w:lineRule="auto"/>
        <w:ind w:right="5072"/>
        <w:contextualSpacing/>
        <w:jc w:val="both"/>
        <w:rPr>
          <w:sz w:val="20"/>
        </w:rPr>
      </w:pPr>
    </w:p>
    <w:tbl>
      <w:tblPr>
        <w:tblStyle w:val="TableGrid"/>
        <w:tblW w:w="14815" w:type="dxa"/>
        <w:tblLook w:val="04A0" w:firstRow="1" w:lastRow="0" w:firstColumn="1" w:lastColumn="0" w:noHBand="0" w:noVBand="1"/>
      </w:tblPr>
      <w:tblGrid>
        <w:gridCol w:w="3314"/>
        <w:gridCol w:w="1748"/>
        <w:gridCol w:w="2047"/>
        <w:gridCol w:w="1788"/>
        <w:gridCol w:w="1843"/>
        <w:gridCol w:w="1842"/>
        <w:gridCol w:w="2233"/>
      </w:tblGrid>
      <w:tr w:rsidR="004D232A" w:rsidRPr="004D232A" w:rsidTr="00B60324">
        <w:trPr>
          <w:trHeight w:val="393"/>
        </w:trPr>
        <w:tc>
          <w:tcPr>
            <w:tcW w:w="3314" w:type="dxa"/>
            <w:tcBorders>
              <w:top w:val="nil"/>
              <w:left w:val="nil"/>
              <w:bottom w:val="single" w:sz="4" w:space="0" w:color="auto"/>
              <w:right w:val="nil"/>
            </w:tcBorders>
            <w:shd w:val="clear" w:color="auto" w:fill="CC0000"/>
            <w:vAlign w:val="center"/>
          </w:tcPr>
          <w:p w:rsidR="004D232A" w:rsidRPr="004D232A" w:rsidRDefault="004D232A" w:rsidP="004D232A">
            <w:pPr>
              <w:tabs>
                <w:tab w:val="left" w:pos="4962"/>
                <w:tab w:val="left" w:pos="6663"/>
              </w:tabs>
              <w:ind w:right="5072"/>
              <w:contextualSpacing/>
              <w:rPr>
                <w:color w:val="FFFFFF" w:themeColor="background1"/>
              </w:rPr>
            </w:pPr>
          </w:p>
        </w:tc>
        <w:tc>
          <w:tcPr>
            <w:tcW w:w="1748"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Bland</w:t>
            </w:r>
          </w:p>
        </w:tc>
        <w:tc>
          <w:tcPr>
            <w:tcW w:w="2047"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Cowra</w:t>
            </w:r>
          </w:p>
        </w:tc>
        <w:tc>
          <w:tcPr>
            <w:tcW w:w="1788"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Forbes</w:t>
            </w:r>
          </w:p>
        </w:tc>
        <w:tc>
          <w:tcPr>
            <w:tcW w:w="1843"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Weddin</w:t>
            </w:r>
          </w:p>
        </w:tc>
        <w:tc>
          <w:tcPr>
            <w:tcW w:w="1842"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contextualSpacing/>
              <w:jc w:val="right"/>
              <w:rPr>
                <w:color w:val="FFFFFF" w:themeColor="background1"/>
              </w:rPr>
            </w:pPr>
            <w:r w:rsidRPr="004D232A">
              <w:rPr>
                <w:color w:val="FFFFFF" w:themeColor="background1"/>
              </w:rPr>
              <w:t>Young</w:t>
            </w:r>
          </w:p>
        </w:tc>
        <w:tc>
          <w:tcPr>
            <w:tcW w:w="2233" w:type="dxa"/>
            <w:tcBorders>
              <w:top w:val="nil"/>
              <w:left w:val="nil"/>
              <w:bottom w:val="single" w:sz="4" w:space="0" w:color="auto"/>
              <w:right w:val="nil"/>
            </w:tcBorders>
            <w:shd w:val="clear" w:color="auto" w:fill="CC0000"/>
            <w:vAlign w:val="center"/>
          </w:tcPr>
          <w:p w:rsidR="004D232A" w:rsidRPr="004D232A" w:rsidRDefault="004D232A" w:rsidP="004D232A">
            <w:pPr>
              <w:tabs>
                <w:tab w:val="left" w:pos="2694"/>
                <w:tab w:val="left" w:pos="4962"/>
                <w:tab w:val="left" w:pos="6663"/>
              </w:tabs>
              <w:contextualSpacing/>
              <w:jc w:val="right"/>
              <w:rPr>
                <w:color w:val="FFFFFF" w:themeColor="background1"/>
              </w:rPr>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ind w:right="67"/>
              <w:contextualSpacing/>
            </w:pPr>
            <w:r w:rsidRPr="004D232A">
              <w:t>Total Roads Length (KM’s)</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3,093</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1,271</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1,869</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1,094</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1,175</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ind w:right="-43"/>
              <w:contextualSpacing/>
            </w:pPr>
            <w:r w:rsidRPr="004D232A">
              <w:t>Total Public Halls (No)</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0</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8</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ind w:right="-2"/>
              <w:contextualSpacing/>
            </w:pPr>
            <w:r w:rsidRPr="004D232A">
              <w:t>Total Open Space (ha)</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1,750</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48</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48</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12</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152</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contextualSpacing/>
            </w:pPr>
            <w:r w:rsidRPr="004D232A">
              <w:t>Total Infrastructure Backlog (TCorp 000’s) 2012</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$15,254</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$10,229</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$11,946</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$9,645</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$34,395</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contextualSpacing/>
            </w:pPr>
            <w:r w:rsidRPr="004D232A">
              <w:t>Infrastructure Backlog Per Capita</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$2,534</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$816</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$1,261</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$2,583</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$2,748</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contextualSpacing/>
            </w:pPr>
            <w:r w:rsidRPr="004D232A">
              <w:t>Total Assets 2012 (TCorp 000’s)</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$234,180</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$616,506</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$344,497</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$151,636</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$173,577</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contextualSpacing/>
            </w:pPr>
            <w:r w:rsidRPr="004D232A">
              <w:t>Assets per capita</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$38,913</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$49,218</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$36,374</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$40,610</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$13,871</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r w:rsidR="004D232A" w:rsidRPr="004D232A" w:rsidTr="00B60324">
        <w:trPr>
          <w:trHeight w:val="393"/>
        </w:trPr>
        <w:tc>
          <w:tcPr>
            <w:tcW w:w="3314"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contextualSpacing/>
            </w:pPr>
            <w:r w:rsidRPr="004D232A">
              <w:t>Access to Internet at home (%)</w:t>
            </w:r>
          </w:p>
        </w:tc>
        <w:tc>
          <w:tcPr>
            <w:tcW w:w="174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62</w:t>
            </w:r>
          </w:p>
        </w:tc>
        <w:tc>
          <w:tcPr>
            <w:tcW w:w="204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57</w:t>
            </w:r>
          </w:p>
        </w:tc>
        <w:tc>
          <w:tcPr>
            <w:tcW w:w="1788"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60</w:t>
            </w:r>
          </w:p>
        </w:tc>
        <w:tc>
          <w:tcPr>
            <w:tcW w:w="184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64</w:t>
            </w:r>
          </w:p>
        </w:tc>
        <w:tc>
          <w:tcPr>
            <w:tcW w:w="184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62</w:t>
            </w:r>
          </w:p>
        </w:tc>
        <w:tc>
          <w:tcPr>
            <w:tcW w:w="2233" w:type="dxa"/>
            <w:tcBorders>
              <w:top w:val="single" w:sz="4" w:space="0" w:color="auto"/>
              <w:left w:val="nil"/>
              <w:bottom w:val="single" w:sz="4" w:space="0" w:color="auto"/>
              <w:right w:val="nil"/>
            </w:tcBorders>
            <w:vAlign w:val="center"/>
          </w:tcPr>
          <w:p w:rsidR="004D232A" w:rsidRPr="004D232A" w:rsidRDefault="004D232A" w:rsidP="004D232A">
            <w:pPr>
              <w:tabs>
                <w:tab w:val="left" w:pos="2694"/>
                <w:tab w:val="left" w:pos="4962"/>
                <w:tab w:val="left" w:pos="6663"/>
              </w:tabs>
              <w:ind w:right="5072"/>
              <w:contextualSpacing/>
              <w:jc w:val="right"/>
            </w:pPr>
          </w:p>
        </w:tc>
      </w:tr>
    </w:tbl>
    <w:p w:rsidR="004D232A" w:rsidRPr="004D232A" w:rsidRDefault="004D232A" w:rsidP="004D232A">
      <w:pPr>
        <w:spacing w:after="0" w:line="240" w:lineRule="auto"/>
        <w:rPr>
          <w:rFonts w:ascii="Century Gothic" w:eastAsia="Times New Roman" w:hAnsi="Century Gothic"/>
          <w:sz w:val="28"/>
        </w:rPr>
      </w:pPr>
    </w:p>
    <w:p w:rsidR="004D232A" w:rsidRPr="004D232A" w:rsidRDefault="004D232A" w:rsidP="004D232A">
      <w:pPr>
        <w:spacing w:after="0" w:line="240" w:lineRule="auto"/>
        <w:rPr>
          <w:rFonts w:ascii="Century Gothic" w:eastAsia="Times New Roman" w:hAnsi="Century Gothic"/>
          <w:sz w:val="28"/>
        </w:rPr>
      </w:pPr>
    </w:p>
    <w:tbl>
      <w:tblPr>
        <w:tblStyle w:val="TableGrid"/>
        <w:tblpPr w:leftFromText="180" w:rightFromText="180" w:vertAnchor="text" w:tblpXSpec="right" w:tblpY="-26"/>
        <w:tblOverlap w:val="never"/>
        <w:tblW w:w="6915" w:type="dxa"/>
        <w:tblLayout w:type="fixed"/>
        <w:tblLook w:val="04A0" w:firstRow="1" w:lastRow="0" w:firstColumn="1" w:lastColumn="0" w:noHBand="0" w:noVBand="1"/>
      </w:tblPr>
      <w:tblGrid>
        <w:gridCol w:w="2803"/>
        <w:gridCol w:w="2128"/>
        <w:gridCol w:w="1984"/>
      </w:tblGrid>
      <w:tr w:rsidR="004D232A" w:rsidRPr="004D232A" w:rsidTr="00B60324">
        <w:trPr>
          <w:trHeight w:val="340"/>
        </w:trPr>
        <w:tc>
          <w:tcPr>
            <w:tcW w:w="2802"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4962"/>
                <w:tab w:val="left" w:pos="6663"/>
              </w:tabs>
              <w:ind w:right="42"/>
              <w:contextualSpacing/>
              <w:rPr>
                <w:color w:val="FFFFFF" w:themeColor="background1"/>
              </w:rPr>
            </w:pPr>
            <w:r w:rsidRPr="004D232A">
              <w:rPr>
                <w:color w:val="FFFFFF" w:themeColor="background1"/>
              </w:rPr>
              <w:lastRenderedPageBreak/>
              <w:t>Journey</w:t>
            </w:r>
          </w:p>
        </w:tc>
        <w:tc>
          <w:tcPr>
            <w:tcW w:w="2127"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2694"/>
                <w:tab w:val="left" w:pos="4962"/>
                <w:tab w:val="left" w:pos="6663"/>
              </w:tabs>
              <w:ind w:right="-108"/>
              <w:contextualSpacing/>
              <w:rPr>
                <w:color w:val="FFFFFF" w:themeColor="background1"/>
              </w:rPr>
            </w:pPr>
            <w:r w:rsidRPr="004D232A">
              <w:rPr>
                <w:color w:val="FFFFFF" w:themeColor="background1"/>
              </w:rPr>
              <w:t>Distance</w:t>
            </w:r>
          </w:p>
        </w:tc>
        <w:tc>
          <w:tcPr>
            <w:tcW w:w="1983" w:type="dxa"/>
            <w:tcBorders>
              <w:top w:val="nil"/>
              <w:left w:val="nil"/>
              <w:bottom w:val="single" w:sz="4" w:space="0" w:color="auto"/>
              <w:right w:val="nil"/>
            </w:tcBorders>
            <w:shd w:val="clear" w:color="auto" w:fill="CC0000"/>
            <w:vAlign w:val="center"/>
            <w:hideMark/>
          </w:tcPr>
          <w:p w:rsidR="004D232A" w:rsidRPr="004D232A" w:rsidRDefault="004D232A" w:rsidP="004D232A">
            <w:pPr>
              <w:tabs>
                <w:tab w:val="left" w:pos="6663"/>
              </w:tabs>
              <w:contextualSpacing/>
              <w:rPr>
                <w:color w:val="FFFFFF" w:themeColor="background1"/>
              </w:rPr>
            </w:pPr>
            <w:r w:rsidRPr="004D232A">
              <w:rPr>
                <w:color w:val="FFFFFF" w:themeColor="background1"/>
              </w:rPr>
              <w:t>Travel time</w:t>
            </w:r>
          </w:p>
        </w:tc>
      </w:tr>
      <w:tr w:rsidR="004D232A" w:rsidRPr="004D232A" w:rsidTr="00B60324">
        <w:trPr>
          <w:trHeight w:val="340"/>
        </w:trPr>
        <w:tc>
          <w:tcPr>
            <w:tcW w:w="280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ind w:right="42"/>
              <w:contextualSpacing/>
            </w:pPr>
            <w:r w:rsidRPr="004D232A">
              <w:t>Grenfell – West Wyalong</w:t>
            </w:r>
          </w:p>
        </w:tc>
        <w:tc>
          <w:tcPr>
            <w:tcW w:w="212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108"/>
              <w:contextualSpacing/>
              <w:jc w:val="center"/>
            </w:pPr>
            <w:r w:rsidRPr="004D232A">
              <w:t>104 k’s</w:t>
            </w:r>
          </w:p>
        </w:tc>
        <w:tc>
          <w:tcPr>
            <w:tcW w:w="198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77 minutes</w:t>
            </w:r>
          </w:p>
        </w:tc>
      </w:tr>
      <w:tr w:rsidR="004D232A" w:rsidRPr="004D232A" w:rsidTr="00B60324">
        <w:trPr>
          <w:trHeight w:val="340"/>
        </w:trPr>
        <w:tc>
          <w:tcPr>
            <w:tcW w:w="280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ind w:right="42"/>
              <w:contextualSpacing/>
            </w:pPr>
            <w:r w:rsidRPr="004D232A">
              <w:t>Grenfell – Cowra</w:t>
            </w:r>
          </w:p>
        </w:tc>
        <w:tc>
          <w:tcPr>
            <w:tcW w:w="212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108"/>
              <w:contextualSpacing/>
              <w:jc w:val="center"/>
            </w:pPr>
            <w:r w:rsidRPr="004D232A">
              <w:t>55 k’s</w:t>
            </w:r>
          </w:p>
        </w:tc>
        <w:tc>
          <w:tcPr>
            <w:tcW w:w="198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42 minutes</w:t>
            </w:r>
          </w:p>
        </w:tc>
      </w:tr>
      <w:tr w:rsidR="004D232A" w:rsidRPr="004D232A" w:rsidTr="00B60324">
        <w:trPr>
          <w:trHeight w:val="340"/>
        </w:trPr>
        <w:tc>
          <w:tcPr>
            <w:tcW w:w="280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ind w:right="42"/>
              <w:contextualSpacing/>
            </w:pPr>
            <w:r w:rsidRPr="004D232A">
              <w:t>Grenfell – Forbes</w:t>
            </w:r>
          </w:p>
        </w:tc>
        <w:tc>
          <w:tcPr>
            <w:tcW w:w="212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108"/>
              <w:contextualSpacing/>
              <w:jc w:val="center"/>
            </w:pPr>
            <w:r w:rsidRPr="004D232A">
              <w:t>64 k’s</w:t>
            </w:r>
          </w:p>
        </w:tc>
        <w:tc>
          <w:tcPr>
            <w:tcW w:w="198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49 minutes</w:t>
            </w:r>
          </w:p>
        </w:tc>
      </w:tr>
      <w:tr w:rsidR="004D232A" w:rsidRPr="004D232A" w:rsidTr="00B60324">
        <w:trPr>
          <w:trHeight w:val="340"/>
        </w:trPr>
        <w:tc>
          <w:tcPr>
            <w:tcW w:w="2802"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4962"/>
                <w:tab w:val="left" w:pos="6663"/>
              </w:tabs>
              <w:ind w:right="42"/>
              <w:contextualSpacing/>
            </w:pPr>
            <w:r w:rsidRPr="004D232A">
              <w:t>Grenfell – Young</w:t>
            </w:r>
          </w:p>
        </w:tc>
        <w:tc>
          <w:tcPr>
            <w:tcW w:w="2127"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ind w:right="-108"/>
              <w:contextualSpacing/>
              <w:jc w:val="center"/>
            </w:pPr>
            <w:r w:rsidRPr="004D232A">
              <w:t>52 k’s</w:t>
            </w:r>
          </w:p>
        </w:tc>
        <w:tc>
          <w:tcPr>
            <w:tcW w:w="1983" w:type="dxa"/>
            <w:tcBorders>
              <w:top w:val="single" w:sz="4" w:space="0" w:color="auto"/>
              <w:left w:val="nil"/>
              <w:bottom w:val="single" w:sz="4" w:space="0" w:color="auto"/>
              <w:right w:val="nil"/>
            </w:tcBorders>
            <w:vAlign w:val="center"/>
            <w:hideMark/>
          </w:tcPr>
          <w:p w:rsidR="004D232A" w:rsidRPr="004D232A" w:rsidRDefault="004D232A" w:rsidP="004D232A">
            <w:pPr>
              <w:tabs>
                <w:tab w:val="left" w:pos="2694"/>
                <w:tab w:val="left" w:pos="4962"/>
                <w:tab w:val="left" w:pos="6663"/>
              </w:tabs>
              <w:contextualSpacing/>
              <w:jc w:val="center"/>
            </w:pPr>
            <w:r w:rsidRPr="004D232A">
              <w:t>55 minutes</w:t>
            </w:r>
          </w:p>
        </w:tc>
      </w:tr>
    </w:tbl>
    <w:p w:rsidR="004D232A" w:rsidRPr="004D232A" w:rsidRDefault="004D232A" w:rsidP="004D232A">
      <w:pPr>
        <w:spacing w:after="0" w:line="240" w:lineRule="auto"/>
        <w:rPr>
          <w:rFonts w:eastAsia="Times New Roman"/>
          <w:sz w:val="20"/>
        </w:rPr>
      </w:pPr>
      <w:r w:rsidRPr="004D232A">
        <w:rPr>
          <w:rFonts w:ascii="Century Gothic" w:eastAsia="Times New Roman" w:hAnsi="Century Gothic" w:cs="Times New Roman"/>
          <w:sz w:val="28"/>
          <w:szCs w:val="24"/>
          <w:lang w:eastAsia="en-AU"/>
        </w:rPr>
        <w:t>Accessibility</w:t>
      </w:r>
    </w:p>
    <w:p w:rsidR="004D232A" w:rsidRPr="004D232A" w:rsidRDefault="004D232A" w:rsidP="004D232A">
      <w:pPr>
        <w:tabs>
          <w:tab w:val="left" w:pos="2694"/>
          <w:tab w:val="left" w:pos="4962"/>
          <w:tab w:val="left" w:pos="6663"/>
        </w:tabs>
        <w:spacing w:after="0" w:line="240" w:lineRule="auto"/>
        <w:ind w:right="8333"/>
        <w:contextualSpacing/>
        <w:jc w:val="both"/>
      </w:pPr>
      <w:r w:rsidRPr="004D232A">
        <w:t>Consideration should always be given to distances when developing options for shared service delivery, any mergers or boundary changes.</w:t>
      </w:r>
    </w:p>
    <w:p w:rsidR="004D232A" w:rsidRPr="004D232A" w:rsidRDefault="004D232A" w:rsidP="004D232A">
      <w:pPr>
        <w:tabs>
          <w:tab w:val="left" w:pos="2694"/>
          <w:tab w:val="left" w:pos="4962"/>
          <w:tab w:val="left" w:pos="6663"/>
        </w:tabs>
        <w:spacing w:after="0" w:line="240" w:lineRule="auto"/>
        <w:ind w:right="8333"/>
        <w:contextualSpacing/>
        <w:jc w:val="both"/>
      </w:pPr>
      <w:r w:rsidRPr="004D232A">
        <w:t>Main journey distances and travel times are shown.</w:t>
      </w:r>
    </w:p>
    <w:p w:rsidR="004D232A" w:rsidRPr="004D232A" w:rsidRDefault="004D232A" w:rsidP="004D232A">
      <w:pPr>
        <w:spacing w:after="0" w:line="240" w:lineRule="auto"/>
        <w:rPr>
          <w:rFonts w:ascii="Century Gothic" w:eastAsia="Times New Roman" w:hAnsi="Century Gothic" w:cs="Times New Roman"/>
          <w:sz w:val="28"/>
          <w:szCs w:val="24"/>
          <w:lang w:eastAsia="en-AU"/>
        </w:rPr>
      </w:pPr>
    </w:p>
    <w:p w:rsidR="004D232A" w:rsidRPr="004D232A" w:rsidRDefault="004D232A" w:rsidP="004D232A">
      <w:pPr>
        <w:spacing w:after="0" w:line="240" w:lineRule="auto"/>
        <w:rPr>
          <w:rFonts w:ascii="Century Gothic" w:eastAsia="Times New Roman" w:hAnsi="Century Gothic" w:cs="Times New Roman"/>
          <w:sz w:val="28"/>
          <w:szCs w:val="24"/>
          <w:lang w:eastAsia="en-AU"/>
        </w:rPr>
      </w:pPr>
    </w:p>
    <w:p w:rsidR="004D232A" w:rsidRPr="004D232A" w:rsidRDefault="004D232A" w:rsidP="004D232A">
      <w:pPr>
        <w:spacing w:after="0" w:line="240" w:lineRule="auto"/>
        <w:rPr>
          <w:rFonts w:ascii="Century Gothic" w:eastAsia="Times New Roman" w:hAnsi="Century Gothic" w:cs="Times New Roman"/>
          <w:sz w:val="28"/>
          <w:szCs w:val="24"/>
          <w:lang w:eastAsia="en-AU"/>
        </w:rPr>
      </w:pPr>
      <w:r w:rsidRPr="004D232A">
        <w:rPr>
          <w:rFonts w:ascii="Century Gothic" w:eastAsia="Times New Roman" w:hAnsi="Century Gothic" w:cs="Times New Roman"/>
          <w:sz w:val="28"/>
          <w:szCs w:val="24"/>
          <w:lang w:eastAsia="en-AU"/>
        </w:rPr>
        <w:t>Stronger centres, stronger voice</w:t>
      </w:r>
    </w:p>
    <w:p w:rsidR="004D232A" w:rsidRPr="004D232A" w:rsidRDefault="004D232A" w:rsidP="004D232A">
      <w:pPr>
        <w:tabs>
          <w:tab w:val="left" w:pos="2694"/>
          <w:tab w:val="left" w:pos="4962"/>
          <w:tab w:val="left" w:pos="6663"/>
        </w:tabs>
        <w:spacing w:after="0" w:line="240" w:lineRule="auto"/>
        <w:ind w:right="8333"/>
        <w:contextualSpacing/>
        <w:jc w:val="both"/>
        <w:rPr>
          <w:b/>
          <w:sz w:val="20"/>
        </w:rPr>
      </w:pPr>
    </w:p>
    <w:p w:rsidR="004D232A" w:rsidRPr="004D232A" w:rsidRDefault="004D232A" w:rsidP="004D232A">
      <w:pPr>
        <w:tabs>
          <w:tab w:val="left" w:pos="2694"/>
          <w:tab w:val="left" w:pos="4962"/>
          <w:tab w:val="left" w:pos="6663"/>
        </w:tabs>
        <w:spacing w:after="0" w:line="240" w:lineRule="auto"/>
        <w:ind w:right="8333"/>
        <w:contextualSpacing/>
        <w:jc w:val="both"/>
        <w:rPr>
          <w:b/>
        </w:rPr>
      </w:pPr>
      <w:r w:rsidRPr="004D232A">
        <w:rPr>
          <w:b/>
        </w:rPr>
        <w:t>Regional services and planning</w:t>
      </w:r>
    </w:p>
    <w:p w:rsidR="004D232A" w:rsidRPr="004D232A" w:rsidRDefault="004D232A" w:rsidP="004D232A">
      <w:pPr>
        <w:tabs>
          <w:tab w:val="left" w:pos="2694"/>
          <w:tab w:val="left" w:pos="4962"/>
          <w:tab w:val="left" w:pos="6663"/>
        </w:tabs>
        <w:spacing w:after="0" w:line="240" w:lineRule="auto"/>
        <w:ind w:right="-28"/>
        <w:contextualSpacing/>
        <w:jc w:val="both"/>
      </w:pPr>
      <w:r w:rsidRPr="004D232A">
        <w:t>The grouping fits between a number of Regional Action Plans. Cowra, Weddin and Forbes reside within the Central West RAP. Young is included in the South East RAP and Bland in the Riverina RAP. The proposed Joint Organisation model could provide a strong voice in this process and help to connect council’s integrated planning and reporting frameworks with the State planning processes.</w:t>
      </w:r>
    </w:p>
    <w:p w:rsidR="004D232A" w:rsidRPr="004D232A" w:rsidRDefault="004D232A" w:rsidP="004D232A">
      <w:pPr>
        <w:tabs>
          <w:tab w:val="left" w:pos="2694"/>
          <w:tab w:val="left" w:pos="4962"/>
          <w:tab w:val="left" w:pos="6663"/>
        </w:tabs>
        <w:spacing w:after="0" w:line="240" w:lineRule="auto"/>
        <w:ind w:right="-28"/>
        <w:contextualSpacing/>
        <w:jc w:val="both"/>
      </w:pPr>
    </w:p>
    <w:p w:rsidR="004D232A" w:rsidRPr="004D232A" w:rsidRDefault="004D232A" w:rsidP="004D232A">
      <w:pPr>
        <w:tabs>
          <w:tab w:val="left" w:pos="2694"/>
          <w:tab w:val="left" w:pos="4962"/>
          <w:tab w:val="left" w:pos="6663"/>
        </w:tabs>
        <w:spacing w:after="0" w:line="240" w:lineRule="auto"/>
        <w:ind w:right="-28"/>
        <w:contextualSpacing/>
        <w:jc w:val="both"/>
      </w:pPr>
      <w:r w:rsidRPr="004D232A">
        <w:t xml:space="preserve">The grouping is also spilt between Regional Development Plans, with Cowra, Forbes and Weddin being in the Central West RDA planning area. Young is in the Southern Inland Plan and Bland in the Riverina Plan. Similarly, the grouping covers three Local Land Services Boundaries, with Bland being included in the South West Riverina, Cowra and Young in Central Tablelands and the remainder in the Central West.  </w:t>
      </w:r>
    </w:p>
    <w:p w:rsidR="004D232A" w:rsidRPr="004D232A" w:rsidRDefault="004D232A" w:rsidP="004D232A">
      <w:pPr>
        <w:tabs>
          <w:tab w:val="left" w:pos="2694"/>
          <w:tab w:val="left" w:pos="4962"/>
          <w:tab w:val="left" w:pos="6663"/>
        </w:tabs>
        <w:spacing w:after="0" w:line="240" w:lineRule="auto"/>
        <w:ind w:right="-28"/>
        <w:contextualSpacing/>
        <w:jc w:val="both"/>
      </w:pPr>
    </w:p>
    <w:p w:rsidR="004D232A" w:rsidRPr="004D232A" w:rsidRDefault="004D232A" w:rsidP="004D232A">
      <w:pPr>
        <w:tabs>
          <w:tab w:val="left" w:pos="2694"/>
          <w:tab w:val="left" w:pos="4962"/>
          <w:tab w:val="left" w:pos="6663"/>
        </w:tabs>
        <w:spacing w:after="0" w:line="240" w:lineRule="auto"/>
        <w:ind w:right="-28"/>
        <w:contextualSpacing/>
        <w:jc w:val="both"/>
        <w:rPr>
          <w:b/>
        </w:rPr>
      </w:pPr>
      <w:r w:rsidRPr="004D232A">
        <w:rPr>
          <w:b/>
        </w:rPr>
        <w:t>Health Services</w:t>
      </w:r>
    </w:p>
    <w:p w:rsidR="004D232A" w:rsidRPr="004D232A" w:rsidRDefault="004D232A" w:rsidP="004D232A">
      <w:pPr>
        <w:tabs>
          <w:tab w:val="left" w:pos="2694"/>
          <w:tab w:val="left" w:pos="4962"/>
          <w:tab w:val="left" w:pos="6663"/>
        </w:tabs>
        <w:spacing w:after="0" w:line="240" w:lineRule="auto"/>
        <w:ind w:right="-28"/>
        <w:contextualSpacing/>
        <w:jc w:val="both"/>
      </w:pPr>
      <w:r w:rsidRPr="004D232A">
        <w:t xml:space="preserve">The grouping is spilt between two Local Health Districts, with Young and Bland being in the Murrumbidgee District and the remaining Councils in the Western NSW Health District.  </w:t>
      </w:r>
    </w:p>
    <w:p w:rsidR="004D232A" w:rsidRPr="004D232A" w:rsidRDefault="004D232A" w:rsidP="004D232A">
      <w:pPr>
        <w:tabs>
          <w:tab w:val="left" w:pos="2694"/>
          <w:tab w:val="left" w:pos="4962"/>
          <w:tab w:val="left" w:pos="6663"/>
        </w:tabs>
        <w:spacing w:after="0" w:line="240" w:lineRule="auto"/>
        <w:ind w:right="-28"/>
        <w:contextualSpacing/>
        <w:jc w:val="both"/>
      </w:pPr>
    </w:p>
    <w:p w:rsidR="004D232A" w:rsidRPr="004D232A" w:rsidRDefault="004D232A" w:rsidP="004D232A">
      <w:pPr>
        <w:tabs>
          <w:tab w:val="left" w:pos="2694"/>
          <w:tab w:val="left" w:pos="4962"/>
          <w:tab w:val="left" w:pos="6663"/>
        </w:tabs>
        <w:spacing w:after="0" w:line="240" w:lineRule="auto"/>
        <w:ind w:right="-28"/>
        <w:contextualSpacing/>
        <w:jc w:val="both"/>
        <w:rPr>
          <w:b/>
        </w:rPr>
      </w:pPr>
      <w:r w:rsidRPr="004D232A">
        <w:rPr>
          <w:b/>
        </w:rPr>
        <w:t>Water supply</w:t>
      </w:r>
    </w:p>
    <w:p w:rsidR="004D232A" w:rsidRPr="004D232A" w:rsidRDefault="004D232A" w:rsidP="004D232A">
      <w:pPr>
        <w:tabs>
          <w:tab w:val="left" w:pos="2694"/>
          <w:tab w:val="left" w:pos="4962"/>
          <w:tab w:val="left" w:pos="6663"/>
        </w:tabs>
        <w:spacing w:after="0" w:line="240" w:lineRule="auto"/>
        <w:ind w:right="-31"/>
        <w:contextualSpacing/>
        <w:jc w:val="both"/>
      </w:pPr>
      <w:r w:rsidRPr="004D232A">
        <w:t>Young receives bulk supplies from Goldenfields Water for Council distribution. Bland receives direct services from Goldenfields Water with Weddin receiving direct services from Central Tablelands Water. Young and Cowra manage their own supplies.</w:t>
      </w:r>
    </w:p>
    <w:p w:rsidR="004D232A" w:rsidRPr="004D232A" w:rsidRDefault="004D232A" w:rsidP="004D232A">
      <w:pPr>
        <w:tabs>
          <w:tab w:val="left" w:pos="2694"/>
          <w:tab w:val="left" w:pos="4962"/>
          <w:tab w:val="left" w:pos="6663"/>
        </w:tabs>
        <w:spacing w:after="0" w:line="240" w:lineRule="auto"/>
        <w:ind w:right="-28"/>
        <w:contextualSpacing/>
        <w:jc w:val="both"/>
      </w:pPr>
    </w:p>
    <w:p w:rsidR="004D232A" w:rsidRPr="004D232A" w:rsidRDefault="004D232A" w:rsidP="004D232A">
      <w:pPr>
        <w:tabs>
          <w:tab w:val="left" w:pos="2694"/>
          <w:tab w:val="left" w:pos="4962"/>
          <w:tab w:val="left" w:pos="6663"/>
        </w:tabs>
        <w:spacing w:after="0" w:line="240" w:lineRule="auto"/>
        <w:ind w:right="-28"/>
        <w:contextualSpacing/>
        <w:jc w:val="both"/>
        <w:rPr>
          <w:b/>
        </w:rPr>
      </w:pPr>
    </w:p>
    <w:p w:rsidR="004D232A" w:rsidRPr="004D232A" w:rsidRDefault="004D232A" w:rsidP="004D232A">
      <w:pPr>
        <w:tabs>
          <w:tab w:val="left" w:pos="2694"/>
          <w:tab w:val="left" w:pos="4962"/>
          <w:tab w:val="left" w:pos="6663"/>
        </w:tabs>
        <w:spacing w:after="0" w:line="240" w:lineRule="auto"/>
        <w:ind w:right="-28"/>
        <w:contextualSpacing/>
        <w:jc w:val="both"/>
        <w:rPr>
          <w:b/>
        </w:rPr>
      </w:pPr>
      <w:r w:rsidRPr="004D232A">
        <w:rPr>
          <w:b/>
        </w:rPr>
        <w:t>Transport</w:t>
      </w:r>
    </w:p>
    <w:p w:rsidR="004D232A" w:rsidRPr="004D232A" w:rsidRDefault="004D232A" w:rsidP="004D232A">
      <w:pPr>
        <w:tabs>
          <w:tab w:val="left" w:pos="2694"/>
          <w:tab w:val="left" w:pos="4962"/>
          <w:tab w:val="left" w:pos="6663"/>
        </w:tabs>
        <w:spacing w:after="0" w:line="240" w:lineRule="auto"/>
        <w:ind w:right="-28"/>
        <w:contextualSpacing/>
        <w:jc w:val="both"/>
        <w:rPr>
          <w:rFonts w:ascii="Arial" w:hAnsi="Arial" w:cs="Arial"/>
        </w:rPr>
      </w:pPr>
      <w:r w:rsidRPr="004D232A">
        <w:lastRenderedPageBreak/>
        <w:t xml:space="preserve">Councils within the grouping have limited access to public transport, with coach services to Cowra, Forbes and West Wyalong. </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tabs>
          <w:tab w:val="left" w:pos="2694"/>
          <w:tab w:val="left" w:pos="4962"/>
          <w:tab w:val="left" w:pos="6663"/>
        </w:tabs>
        <w:spacing w:after="0" w:line="240" w:lineRule="auto"/>
        <w:ind w:right="-28"/>
        <w:contextualSpacing/>
        <w:jc w:val="both"/>
        <w:rPr>
          <w:b/>
        </w:rPr>
      </w:pPr>
      <w:r w:rsidRPr="004D232A">
        <w:rPr>
          <w:b/>
        </w:rPr>
        <w:t>Economic Development</w:t>
      </w:r>
    </w:p>
    <w:p w:rsidR="004D232A" w:rsidRPr="004D232A" w:rsidRDefault="004D232A" w:rsidP="004D232A">
      <w:pPr>
        <w:tabs>
          <w:tab w:val="left" w:pos="2694"/>
          <w:tab w:val="left" w:pos="4962"/>
          <w:tab w:val="left" w:pos="6663"/>
        </w:tabs>
        <w:spacing w:after="0" w:line="240" w:lineRule="auto"/>
        <w:ind w:right="-28"/>
        <w:contextualSpacing/>
        <w:jc w:val="both"/>
      </w:pPr>
      <w:r w:rsidRPr="004D232A">
        <w:t>The regional economy is heavily based on agriculture, with cattle, sheep, wool, cereal and grain crops.</w:t>
      </w:r>
    </w:p>
    <w:p w:rsidR="004D232A" w:rsidRPr="004D232A" w:rsidRDefault="004D232A" w:rsidP="004D232A">
      <w:pPr>
        <w:tabs>
          <w:tab w:val="left" w:pos="2694"/>
          <w:tab w:val="left" w:pos="4962"/>
          <w:tab w:val="left" w:pos="6663"/>
        </w:tabs>
        <w:spacing w:after="0" w:line="240" w:lineRule="auto"/>
        <w:ind w:right="-28"/>
        <w:contextualSpacing/>
        <w:jc w:val="both"/>
        <w:rPr>
          <w:b/>
        </w:rPr>
      </w:pPr>
    </w:p>
    <w:p w:rsidR="004D232A" w:rsidRPr="004D232A" w:rsidRDefault="004D232A" w:rsidP="004D232A">
      <w:pPr>
        <w:tabs>
          <w:tab w:val="left" w:pos="2694"/>
          <w:tab w:val="left" w:pos="4962"/>
          <w:tab w:val="left" w:pos="6663"/>
        </w:tabs>
        <w:spacing w:after="0" w:line="240" w:lineRule="auto"/>
        <w:ind w:right="-28"/>
        <w:contextualSpacing/>
        <w:jc w:val="both"/>
        <w:rPr>
          <w:b/>
        </w:rPr>
      </w:pPr>
      <w:r w:rsidRPr="004D232A">
        <w:rPr>
          <w:b/>
        </w:rPr>
        <w:t>Demographics</w:t>
      </w:r>
    </w:p>
    <w:p w:rsidR="004D232A" w:rsidRPr="004D232A" w:rsidRDefault="004D232A" w:rsidP="004D232A">
      <w:pPr>
        <w:tabs>
          <w:tab w:val="left" w:pos="2694"/>
          <w:tab w:val="left" w:pos="4962"/>
          <w:tab w:val="left" w:pos="6663"/>
        </w:tabs>
        <w:spacing w:after="0" w:line="240" w:lineRule="auto"/>
        <w:ind w:right="-28"/>
        <w:contextualSpacing/>
        <w:jc w:val="both"/>
      </w:pPr>
      <w:r w:rsidRPr="004D232A">
        <w:t>There are established community links between many of the LGA’s in the grouping. The Joint Organisation model would allow these community links to be preserved while opening opportunities for more strategic service delivery.</w:t>
      </w:r>
    </w:p>
    <w:p w:rsidR="004D232A" w:rsidRPr="004D232A" w:rsidRDefault="004D232A" w:rsidP="004D232A">
      <w:pPr>
        <w:tabs>
          <w:tab w:val="left" w:pos="2694"/>
          <w:tab w:val="left" w:pos="4962"/>
          <w:tab w:val="left" w:pos="6663"/>
        </w:tabs>
        <w:spacing w:after="0" w:line="240" w:lineRule="auto"/>
        <w:ind w:right="-28"/>
        <w:contextualSpacing/>
        <w:jc w:val="both"/>
      </w:pPr>
      <w:r w:rsidRPr="004D232A">
        <w:t>Cowra had a higher rate of migration to and from Young than anywhere else. There has been movement between Parkes and Forbes with moderate cross-border flows connecting Lachlan with Parkes and Forbes. Bland and Weddin have connections both north (to Lachlan and Forbes) and south (to Temora and Young).</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sectPr w:rsidR="004D232A" w:rsidRPr="004D232A" w:rsidSect="00747A96">
          <w:pgSz w:w="16840" w:h="11907" w:orient="landscape" w:code="9"/>
          <w:pgMar w:top="1701" w:right="2268" w:bottom="1701" w:left="1418" w:header="1134" w:footer="284" w:gutter="567"/>
          <w:cols w:space="708"/>
          <w:docGrid w:linePitch="360"/>
        </w:sectPr>
      </w:pPr>
    </w:p>
    <w:p w:rsidR="004D232A" w:rsidRPr="004D232A" w:rsidRDefault="004D232A" w:rsidP="004D232A">
      <w:pPr>
        <w:spacing w:before="240" w:after="0" w:line="280" w:lineRule="atLeast"/>
        <w:ind w:hanging="567"/>
        <w:jc w:val="both"/>
        <w:rPr>
          <w:rFonts w:ascii="Arial" w:eastAsia="Times New Roman" w:hAnsi="Arial" w:cs="Arial"/>
          <w:szCs w:val="21"/>
          <w:u w:val="single"/>
          <w:lang w:eastAsia="en-AU"/>
        </w:rPr>
      </w:pPr>
      <w:bookmarkStart w:id="13" w:name="OLE_LINK1"/>
      <w:bookmarkStart w:id="14" w:name="OLE_LINK2"/>
      <w:r w:rsidRPr="004D232A">
        <w:rPr>
          <w:rFonts w:ascii="Arial" w:eastAsia="Times New Roman" w:hAnsi="Arial" w:cs="Arial"/>
          <w:szCs w:val="21"/>
          <w:u w:val="single"/>
          <w:lang w:eastAsia="en-AU"/>
        </w:rPr>
        <w:lastRenderedPageBreak/>
        <w:t>Community Service and infrastructure challenges in Weddin Council</w:t>
      </w:r>
    </w:p>
    <w:bookmarkEnd w:id="13"/>
    <w:bookmarkEnd w:id="14"/>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szCs w:val="21"/>
          <w:lang w:eastAsia="en-AU"/>
        </w:rPr>
        <w:t>Infrastructure and community services are critical in retaining skills and residents in the Shire. Labour drifts to the major centres if basic services are not readily available. This is highlighted in a Reserve Bank of Australia report on Labour Market Movement During Periods of Shock Events (Dwyer 2002) that links positive labour market movements to good community amenity and services</w:t>
      </w:r>
      <w:r w:rsidRPr="004D232A">
        <w:rPr>
          <w:rFonts w:ascii="Book Antiqua" w:eastAsia="Times New Roman" w:hAnsi="Book Antiqua" w:cs="Arial"/>
          <w:position w:val="4"/>
          <w:sz w:val="15"/>
          <w:szCs w:val="15"/>
          <w:lang w:eastAsia="en-AU"/>
        </w:rPr>
        <w:footnoteReference w:id="8"/>
      </w:r>
      <w:r w:rsidRPr="004D232A">
        <w:rPr>
          <w:rFonts w:ascii="Arial" w:eastAsia="Times New Roman" w:hAnsi="Arial" w:cs="Arial"/>
          <w:szCs w:val="21"/>
          <w:lang w:eastAsia="en-AU"/>
        </w:rPr>
        <w:t>. Capacity to pay is balanced with the need to have the services in a community in which residents can afford to live. Low housing (and rental prices) can be offset by increased service provision for basic services. The community has identified these as medical facilities to support an aging and a younger population and to rebuild the pool. Other services such as rural roads have strong support for improved levels of service.</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szCs w:val="21"/>
          <w:lang w:eastAsia="en-AU"/>
        </w:rPr>
        <w:t>The following table sets out the community expectations in terms of service levels resulting from the community survey:</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tbl>
      <w:tblPr>
        <w:tblW w:w="7663" w:type="dxa"/>
        <w:jc w:val="center"/>
        <w:tblCellMar>
          <w:left w:w="0" w:type="dxa"/>
          <w:right w:w="0" w:type="dxa"/>
        </w:tblCellMar>
        <w:tblLook w:val="0420" w:firstRow="1" w:lastRow="0" w:firstColumn="0" w:lastColumn="0" w:noHBand="0" w:noVBand="1"/>
      </w:tblPr>
      <w:tblGrid>
        <w:gridCol w:w="3831"/>
        <w:gridCol w:w="3832"/>
      </w:tblGrid>
      <w:tr w:rsidR="004D232A" w:rsidRPr="004D232A" w:rsidTr="00B60324">
        <w:trPr>
          <w:trHeight w:val="584"/>
          <w:jc w:val="center"/>
        </w:trPr>
        <w:tc>
          <w:tcPr>
            <w:tcW w:w="383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rsidR="004D232A" w:rsidRPr="004D232A" w:rsidRDefault="004D232A" w:rsidP="004D232A">
            <w:pPr>
              <w:spacing w:after="0" w:line="240" w:lineRule="auto"/>
              <w:jc w:val="center"/>
              <w:rPr>
                <w:rFonts w:ascii="Arial" w:eastAsia="Times New Roman" w:hAnsi="Arial" w:cs="Arial"/>
                <w:sz w:val="28"/>
                <w:szCs w:val="24"/>
                <w:lang w:eastAsia="en-AU"/>
              </w:rPr>
            </w:pPr>
            <w:r w:rsidRPr="004D232A">
              <w:rPr>
                <w:rFonts w:ascii="Arial" w:eastAsia="Times New Roman" w:hAnsi="Arial" w:cs="Arial"/>
                <w:b/>
                <w:bCs/>
                <w:sz w:val="28"/>
                <w:szCs w:val="24"/>
                <w:lang w:eastAsia="en-AU"/>
              </w:rPr>
              <w:t>Exceeding Expectations</w:t>
            </w:r>
          </w:p>
          <w:p w:rsidR="004D232A" w:rsidRPr="004D232A" w:rsidRDefault="004D232A" w:rsidP="004D232A">
            <w:pPr>
              <w:spacing w:after="0" w:line="240" w:lineRule="auto"/>
              <w:jc w:val="center"/>
              <w:rPr>
                <w:rFonts w:ascii="Arial" w:eastAsia="Times New Roman" w:hAnsi="Arial" w:cs="Arial"/>
                <w:szCs w:val="24"/>
                <w:lang w:eastAsia="en-AU"/>
              </w:rPr>
            </w:pPr>
            <w:r w:rsidRPr="004D232A">
              <w:rPr>
                <w:rFonts w:ascii="Arial" w:eastAsia="Times New Roman" w:hAnsi="Arial" w:cs="Arial"/>
                <w:szCs w:val="24"/>
                <w:lang w:eastAsia="en-AU"/>
              </w:rPr>
              <w:t>(Lower Importance &amp; Higher Satisfaction)</w:t>
            </w:r>
          </w:p>
          <w:p w:rsidR="004D232A" w:rsidRPr="004D232A" w:rsidRDefault="004D232A" w:rsidP="004D232A">
            <w:pPr>
              <w:numPr>
                <w:ilvl w:val="0"/>
                <w:numId w:val="30"/>
              </w:numPr>
              <w:spacing w:after="160" w:line="259" w:lineRule="auto"/>
              <w:contextualSpacing/>
              <w:rPr>
                <w:rFonts w:ascii="Arial" w:hAnsi="Arial" w:cs="Arial"/>
              </w:rPr>
            </w:pPr>
            <w:r w:rsidRPr="004D232A">
              <w:rPr>
                <w:rFonts w:ascii="Arial" w:hAnsi="Arial" w:cs="Arial"/>
              </w:rPr>
              <w:t xml:space="preserve">Footpaths and </w:t>
            </w:r>
            <w:proofErr w:type="spellStart"/>
            <w:r w:rsidRPr="004D232A">
              <w:rPr>
                <w:rFonts w:ascii="Arial" w:hAnsi="Arial" w:cs="Arial"/>
              </w:rPr>
              <w:t>cycleways</w:t>
            </w:r>
            <w:proofErr w:type="spellEnd"/>
          </w:p>
        </w:tc>
        <w:tc>
          <w:tcPr>
            <w:tcW w:w="383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rsidR="004D232A" w:rsidRPr="004D232A" w:rsidRDefault="004D232A" w:rsidP="004D232A">
            <w:pPr>
              <w:spacing w:after="0" w:line="240" w:lineRule="auto"/>
              <w:jc w:val="center"/>
              <w:rPr>
                <w:rFonts w:ascii="Arial" w:eastAsia="Times New Roman" w:hAnsi="Arial" w:cs="Arial"/>
                <w:sz w:val="28"/>
                <w:szCs w:val="24"/>
                <w:lang w:eastAsia="en-AU"/>
              </w:rPr>
            </w:pPr>
            <w:r w:rsidRPr="004D232A">
              <w:rPr>
                <w:rFonts w:ascii="Arial" w:eastAsia="Times New Roman" w:hAnsi="Arial" w:cs="Arial"/>
                <w:b/>
                <w:bCs/>
                <w:sz w:val="28"/>
                <w:szCs w:val="24"/>
                <w:lang w:eastAsia="en-AU"/>
              </w:rPr>
              <w:t>Meeting Priorities</w:t>
            </w:r>
          </w:p>
          <w:p w:rsidR="004D232A" w:rsidRPr="004D232A" w:rsidRDefault="004D232A" w:rsidP="004D232A">
            <w:pPr>
              <w:spacing w:after="0" w:line="240" w:lineRule="auto"/>
              <w:jc w:val="center"/>
              <w:rPr>
                <w:rFonts w:ascii="Arial" w:eastAsia="Times New Roman" w:hAnsi="Arial" w:cs="Arial"/>
                <w:szCs w:val="24"/>
                <w:lang w:eastAsia="en-AU"/>
              </w:rPr>
            </w:pPr>
            <w:r w:rsidRPr="004D232A">
              <w:rPr>
                <w:rFonts w:ascii="Arial" w:eastAsia="Times New Roman" w:hAnsi="Arial" w:cs="Arial"/>
                <w:szCs w:val="24"/>
                <w:lang w:eastAsia="en-AU"/>
              </w:rPr>
              <w:t>(Higher Importance &amp; Higher Satisfaction)</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Public gardens</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Library and internet</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Public toilets</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Cemeteries</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Rural sealed roads</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Sealed roads in towns and villages</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Sealed road maintenance</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Sewer</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Bridges</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Waste collection and disposal</w:t>
            </w:r>
          </w:p>
          <w:p w:rsidR="004D232A" w:rsidRPr="004D232A" w:rsidRDefault="004D232A" w:rsidP="004D232A">
            <w:pPr>
              <w:numPr>
                <w:ilvl w:val="0"/>
                <w:numId w:val="27"/>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Sporting facilities</w:t>
            </w:r>
          </w:p>
        </w:tc>
      </w:tr>
      <w:tr w:rsidR="004D232A" w:rsidRPr="004D232A" w:rsidTr="00B60324">
        <w:trPr>
          <w:trHeight w:val="584"/>
          <w:jc w:val="center"/>
        </w:trPr>
        <w:tc>
          <w:tcPr>
            <w:tcW w:w="383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4D232A" w:rsidRPr="004D232A" w:rsidRDefault="004D232A" w:rsidP="004D232A">
            <w:pPr>
              <w:spacing w:after="0" w:line="240" w:lineRule="auto"/>
              <w:jc w:val="center"/>
              <w:rPr>
                <w:rFonts w:ascii="Arial" w:eastAsia="Times New Roman" w:hAnsi="Arial" w:cs="Arial"/>
                <w:b/>
                <w:bCs/>
                <w:sz w:val="28"/>
                <w:szCs w:val="24"/>
                <w:lang w:eastAsia="en-AU"/>
              </w:rPr>
            </w:pPr>
          </w:p>
          <w:p w:rsidR="004D232A" w:rsidRPr="004D232A" w:rsidRDefault="004D232A" w:rsidP="004D232A">
            <w:pPr>
              <w:spacing w:after="0" w:line="240" w:lineRule="auto"/>
              <w:jc w:val="center"/>
              <w:rPr>
                <w:rFonts w:ascii="Arial" w:eastAsia="Times New Roman" w:hAnsi="Arial" w:cs="Arial"/>
                <w:b/>
                <w:bCs/>
                <w:sz w:val="28"/>
                <w:szCs w:val="24"/>
                <w:lang w:eastAsia="en-AU"/>
              </w:rPr>
            </w:pPr>
          </w:p>
          <w:p w:rsidR="004D232A" w:rsidRPr="004D232A" w:rsidRDefault="004D232A" w:rsidP="004D232A">
            <w:pPr>
              <w:spacing w:after="0" w:line="240" w:lineRule="auto"/>
              <w:jc w:val="center"/>
              <w:rPr>
                <w:rFonts w:ascii="Arial" w:eastAsia="Times New Roman" w:hAnsi="Arial" w:cs="Arial"/>
                <w:sz w:val="28"/>
                <w:szCs w:val="24"/>
                <w:lang w:eastAsia="en-AU"/>
              </w:rPr>
            </w:pPr>
            <w:r w:rsidRPr="004D232A">
              <w:rPr>
                <w:rFonts w:ascii="Arial" w:eastAsia="Times New Roman" w:hAnsi="Arial" w:cs="Arial"/>
                <w:b/>
                <w:bCs/>
                <w:sz w:val="28"/>
                <w:szCs w:val="24"/>
                <w:lang w:eastAsia="en-AU"/>
              </w:rPr>
              <w:t>Less Important</w:t>
            </w:r>
          </w:p>
          <w:p w:rsidR="004D232A" w:rsidRPr="004D232A" w:rsidRDefault="004D232A" w:rsidP="004D232A">
            <w:pPr>
              <w:spacing w:after="0" w:line="240" w:lineRule="auto"/>
              <w:jc w:val="center"/>
              <w:rPr>
                <w:rFonts w:ascii="Arial" w:eastAsia="Times New Roman" w:hAnsi="Arial" w:cs="Arial"/>
                <w:szCs w:val="24"/>
                <w:lang w:eastAsia="en-AU"/>
              </w:rPr>
            </w:pPr>
            <w:r w:rsidRPr="004D232A">
              <w:rPr>
                <w:rFonts w:ascii="Arial" w:eastAsia="Times New Roman" w:hAnsi="Arial" w:cs="Arial"/>
                <w:szCs w:val="24"/>
                <w:lang w:eastAsia="en-AU"/>
              </w:rPr>
              <w:t xml:space="preserve">(Lower Importance &amp; Lower </w:t>
            </w:r>
            <w:r w:rsidRPr="004D232A">
              <w:rPr>
                <w:rFonts w:ascii="Arial" w:eastAsia="Times New Roman" w:hAnsi="Arial" w:cs="Arial"/>
                <w:szCs w:val="24"/>
                <w:lang w:eastAsia="en-AU"/>
              </w:rPr>
              <w:lastRenderedPageBreak/>
              <w:t>Satisfaction)</w:t>
            </w:r>
          </w:p>
          <w:p w:rsidR="004D232A" w:rsidRPr="004D232A" w:rsidRDefault="004D232A" w:rsidP="004D232A">
            <w:pPr>
              <w:numPr>
                <w:ilvl w:val="0"/>
                <w:numId w:val="28"/>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Other community</w:t>
            </w:r>
          </w:p>
          <w:p w:rsidR="004D232A" w:rsidRPr="004D232A" w:rsidRDefault="004D232A" w:rsidP="004D232A">
            <w:pPr>
              <w:numPr>
                <w:ilvl w:val="0"/>
                <w:numId w:val="28"/>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Animal control</w:t>
            </w:r>
          </w:p>
          <w:p w:rsidR="004D232A" w:rsidRPr="004D232A" w:rsidRDefault="004D232A" w:rsidP="004D232A">
            <w:pPr>
              <w:numPr>
                <w:ilvl w:val="0"/>
                <w:numId w:val="28"/>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Kerb &amp; guttering</w:t>
            </w:r>
          </w:p>
        </w:tc>
        <w:tc>
          <w:tcPr>
            <w:tcW w:w="38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4D232A" w:rsidRPr="004D232A" w:rsidRDefault="004D232A" w:rsidP="004D232A">
            <w:pPr>
              <w:spacing w:after="0" w:line="240" w:lineRule="auto"/>
              <w:jc w:val="center"/>
              <w:rPr>
                <w:rFonts w:ascii="Arial" w:eastAsia="Times New Roman" w:hAnsi="Arial" w:cs="Arial"/>
                <w:b/>
                <w:bCs/>
                <w:sz w:val="28"/>
                <w:szCs w:val="24"/>
                <w:lang w:eastAsia="en-AU"/>
              </w:rPr>
            </w:pPr>
          </w:p>
          <w:p w:rsidR="004D232A" w:rsidRPr="004D232A" w:rsidRDefault="004D232A" w:rsidP="004D232A">
            <w:pPr>
              <w:spacing w:after="0" w:line="240" w:lineRule="auto"/>
              <w:jc w:val="center"/>
              <w:rPr>
                <w:rFonts w:ascii="Arial" w:eastAsia="Times New Roman" w:hAnsi="Arial" w:cs="Arial"/>
                <w:b/>
                <w:bCs/>
                <w:sz w:val="28"/>
                <w:szCs w:val="24"/>
                <w:lang w:eastAsia="en-AU"/>
              </w:rPr>
            </w:pPr>
          </w:p>
          <w:p w:rsidR="004D232A" w:rsidRPr="004D232A" w:rsidRDefault="004D232A" w:rsidP="004D232A">
            <w:pPr>
              <w:spacing w:after="0" w:line="240" w:lineRule="auto"/>
              <w:jc w:val="center"/>
              <w:rPr>
                <w:rFonts w:ascii="Arial" w:eastAsia="Times New Roman" w:hAnsi="Arial" w:cs="Arial"/>
                <w:sz w:val="28"/>
                <w:szCs w:val="24"/>
                <w:lang w:eastAsia="en-AU"/>
              </w:rPr>
            </w:pPr>
            <w:r w:rsidRPr="004D232A">
              <w:rPr>
                <w:rFonts w:ascii="Arial" w:eastAsia="Times New Roman" w:hAnsi="Arial" w:cs="Arial"/>
                <w:b/>
                <w:bCs/>
                <w:sz w:val="28"/>
                <w:szCs w:val="24"/>
                <w:lang w:eastAsia="en-AU"/>
              </w:rPr>
              <w:t>Areas of Concern</w:t>
            </w:r>
          </w:p>
          <w:p w:rsidR="004D232A" w:rsidRPr="004D232A" w:rsidRDefault="004D232A" w:rsidP="004D232A">
            <w:pPr>
              <w:spacing w:after="0" w:line="240" w:lineRule="auto"/>
              <w:jc w:val="center"/>
              <w:rPr>
                <w:rFonts w:ascii="Arial" w:eastAsia="Times New Roman" w:hAnsi="Arial" w:cs="Arial"/>
                <w:szCs w:val="24"/>
                <w:lang w:eastAsia="en-AU"/>
              </w:rPr>
            </w:pPr>
            <w:r w:rsidRPr="004D232A">
              <w:rPr>
                <w:rFonts w:ascii="Arial" w:eastAsia="Times New Roman" w:hAnsi="Arial" w:cs="Arial"/>
                <w:szCs w:val="24"/>
                <w:lang w:eastAsia="en-AU"/>
              </w:rPr>
              <w:t xml:space="preserve">(Higher Importance &amp; Lower </w:t>
            </w:r>
            <w:r w:rsidRPr="004D232A">
              <w:rPr>
                <w:rFonts w:ascii="Arial" w:eastAsia="Times New Roman" w:hAnsi="Arial" w:cs="Arial"/>
                <w:szCs w:val="24"/>
                <w:lang w:eastAsia="en-AU"/>
              </w:rPr>
              <w:lastRenderedPageBreak/>
              <w:t>Satisfaction)</w:t>
            </w:r>
          </w:p>
          <w:p w:rsidR="004D232A" w:rsidRPr="004D232A" w:rsidRDefault="004D232A" w:rsidP="004D232A">
            <w:pPr>
              <w:numPr>
                <w:ilvl w:val="0"/>
                <w:numId w:val="29"/>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Unsealed road maintenance</w:t>
            </w:r>
          </w:p>
          <w:p w:rsidR="004D232A" w:rsidRPr="004D232A" w:rsidRDefault="004D232A" w:rsidP="004D232A">
            <w:pPr>
              <w:numPr>
                <w:ilvl w:val="0"/>
                <w:numId w:val="29"/>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Swimming pool</w:t>
            </w:r>
          </w:p>
          <w:p w:rsidR="004D232A" w:rsidRPr="004D232A" w:rsidRDefault="004D232A" w:rsidP="004D232A">
            <w:pPr>
              <w:numPr>
                <w:ilvl w:val="0"/>
                <w:numId w:val="29"/>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Rural road shoulders</w:t>
            </w:r>
          </w:p>
          <w:p w:rsidR="004D232A" w:rsidRPr="004D232A" w:rsidRDefault="004D232A" w:rsidP="004D232A">
            <w:pPr>
              <w:numPr>
                <w:ilvl w:val="0"/>
                <w:numId w:val="29"/>
              </w:numPr>
              <w:tabs>
                <w:tab w:val="clear" w:pos="360"/>
                <w:tab w:val="num" w:pos="720"/>
              </w:tabs>
              <w:spacing w:after="160" w:line="259" w:lineRule="auto"/>
              <w:rPr>
                <w:rFonts w:ascii="Arial" w:eastAsia="Times New Roman" w:hAnsi="Arial" w:cs="Arial"/>
                <w:szCs w:val="24"/>
                <w:lang w:eastAsia="en-AU"/>
              </w:rPr>
            </w:pPr>
            <w:r w:rsidRPr="004D232A">
              <w:rPr>
                <w:rFonts w:ascii="Arial" w:eastAsia="Times New Roman" w:hAnsi="Arial" w:cs="Arial"/>
                <w:szCs w:val="24"/>
                <w:lang w:eastAsia="en-AU"/>
              </w:rPr>
              <w:t>Town and village footpaths</w:t>
            </w:r>
          </w:p>
        </w:tc>
      </w:tr>
    </w:tbl>
    <w:p w:rsidR="004D232A" w:rsidRPr="004D232A" w:rsidRDefault="004D232A" w:rsidP="004D232A">
      <w:pPr>
        <w:spacing w:before="240" w:after="0" w:line="280" w:lineRule="atLeast"/>
        <w:ind w:left="-567"/>
        <w:jc w:val="both"/>
        <w:rPr>
          <w:rFonts w:ascii="Arial" w:eastAsia="Times New Roman" w:hAnsi="Arial" w:cs="Arial"/>
          <w:szCs w:val="21"/>
          <w:u w:val="single"/>
          <w:lang w:eastAsia="en-AU"/>
        </w:rPr>
      </w:pPr>
      <w:r w:rsidRPr="004D232A">
        <w:rPr>
          <w:rFonts w:ascii="Arial" w:eastAsia="Times New Roman" w:hAnsi="Arial" w:cs="Arial"/>
          <w:szCs w:val="21"/>
          <w:u w:val="single"/>
          <w:lang w:eastAsia="en-AU"/>
        </w:rPr>
        <w:lastRenderedPageBreak/>
        <w:t>Aquatic facility:</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szCs w:val="21"/>
          <w:lang w:eastAsia="en-AU"/>
        </w:rPr>
        <w:t xml:space="preserve">Attached is a copy of the Capital Expenditure Review and Business Feasibility Study on the pool which includes a condition report (Attachment 13). In short, the pool is not functioning effectively. After major use days, the pool has to be closed early to allow the pump systems to effectively clean the water. </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szCs w:val="21"/>
          <w:lang w:eastAsia="en-AU"/>
        </w:rPr>
        <w:t xml:space="preserve">The pictures indicate the </w:t>
      </w:r>
      <w:r w:rsidR="004130E8">
        <w:rPr>
          <w:rFonts w:ascii="Arial" w:eastAsia="Times New Roman" w:hAnsi="Arial" w:cs="Arial"/>
          <w:szCs w:val="21"/>
          <w:lang w:eastAsia="en-AU"/>
        </w:rPr>
        <w:t>extent</w:t>
      </w:r>
      <w:r w:rsidRPr="004D232A">
        <w:rPr>
          <w:rFonts w:ascii="Arial" w:eastAsia="Times New Roman" w:hAnsi="Arial" w:cs="Arial"/>
          <w:szCs w:val="21"/>
          <w:lang w:eastAsia="en-AU"/>
        </w:rPr>
        <w:t xml:space="preserve"> of asset deterioration that has to be addressed before the facility fails completely</w:t>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p>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noProof/>
          <w:szCs w:val="21"/>
          <w:lang w:eastAsia="en-AU"/>
        </w:rPr>
        <w:drawing>
          <wp:inline distT="0" distB="0" distL="0" distR="0" wp14:anchorId="64F96FD9" wp14:editId="5044C35A">
            <wp:extent cx="1292225" cy="9696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2225" cy="969645"/>
                    </a:xfrm>
                    <a:prstGeom prst="rect">
                      <a:avLst/>
                    </a:prstGeom>
                    <a:noFill/>
                  </pic:spPr>
                </pic:pic>
              </a:graphicData>
            </a:graphic>
          </wp:inline>
        </w:drawing>
      </w:r>
      <w:r w:rsidRPr="004D232A">
        <w:rPr>
          <w:rFonts w:ascii="Arial" w:eastAsia="Times New Roman" w:hAnsi="Arial" w:cs="Arial"/>
          <w:szCs w:val="21"/>
          <w:lang w:eastAsia="en-AU"/>
        </w:rPr>
        <w:tab/>
      </w:r>
      <w:r w:rsidR="005B271C" w:rsidRPr="004D232A">
        <w:rPr>
          <w:rFonts w:ascii="Arial" w:eastAsia="Times New Roman" w:hAnsi="Arial" w:cs="Arial"/>
          <w:noProof/>
          <w:szCs w:val="21"/>
          <w:lang w:eastAsia="en-AU"/>
        </w:rPr>
        <w:drawing>
          <wp:inline distT="0" distB="0" distL="0" distR="0" wp14:anchorId="3E17FA4F" wp14:editId="38EA8DA1">
            <wp:extent cx="1292225" cy="9696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2225" cy="969645"/>
                    </a:xfrm>
                    <a:prstGeom prst="rect">
                      <a:avLst/>
                    </a:prstGeom>
                    <a:noFill/>
                  </pic:spPr>
                </pic:pic>
              </a:graphicData>
            </a:graphic>
          </wp:inline>
        </w:drawing>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005B271C" w:rsidRPr="004D232A">
        <w:rPr>
          <w:rFonts w:ascii="Arial" w:eastAsia="Times New Roman" w:hAnsi="Arial" w:cs="Arial"/>
          <w:noProof/>
          <w:szCs w:val="21"/>
          <w:lang w:eastAsia="en-AU"/>
        </w:rPr>
        <w:drawing>
          <wp:inline distT="0" distB="0" distL="0" distR="0" wp14:anchorId="4F3860F4" wp14:editId="40EC587E">
            <wp:extent cx="1365885" cy="104838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5885" cy="1048385"/>
                    </a:xfrm>
                    <a:prstGeom prst="rect">
                      <a:avLst/>
                    </a:prstGeom>
                    <a:noFill/>
                  </pic:spPr>
                </pic:pic>
              </a:graphicData>
            </a:graphic>
          </wp:inline>
        </w:drawing>
      </w:r>
      <w:r w:rsidRPr="004D232A">
        <w:rPr>
          <w:rFonts w:ascii="Arial" w:eastAsia="Times New Roman" w:hAnsi="Arial" w:cs="Arial"/>
          <w:szCs w:val="21"/>
          <w:lang w:eastAsia="en-AU"/>
        </w:rPr>
        <w:tab/>
      </w:r>
      <w:r w:rsidR="005B271C" w:rsidRPr="004D232A">
        <w:rPr>
          <w:rFonts w:ascii="Arial" w:eastAsia="Times New Roman" w:hAnsi="Arial" w:cs="Arial"/>
          <w:noProof/>
          <w:szCs w:val="21"/>
          <w:lang w:eastAsia="en-AU"/>
        </w:rPr>
        <w:drawing>
          <wp:inline distT="0" distB="0" distL="0" distR="0" wp14:anchorId="5D418F1D" wp14:editId="371C3FF9">
            <wp:extent cx="1688465" cy="126174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8465" cy="1261745"/>
                    </a:xfrm>
                    <a:prstGeom prst="rect">
                      <a:avLst/>
                    </a:prstGeom>
                    <a:noFill/>
                  </pic:spPr>
                </pic:pic>
              </a:graphicData>
            </a:graphic>
          </wp:inline>
        </w:drawing>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005B271C" w:rsidRPr="004D232A">
        <w:rPr>
          <w:rFonts w:ascii="Arial" w:eastAsia="Times New Roman" w:hAnsi="Arial" w:cs="Arial"/>
          <w:noProof/>
          <w:szCs w:val="21"/>
          <w:lang w:eastAsia="en-AU"/>
        </w:rPr>
        <w:drawing>
          <wp:inline distT="0" distB="0" distL="0" distR="0" wp14:anchorId="6B1FA878" wp14:editId="388EE2D4">
            <wp:extent cx="1371600" cy="1030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030605"/>
                    </a:xfrm>
                    <a:prstGeom prst="rect">
                      <a:avLst/>
                    </a:prstGeom>
                    <a:noFill/>
                  </pic:spPr>
                </pic:pic>
              </a:graphicData>
            </a:graphic>
          </wp:inline>
        </w:drawing>
      </w:r>
    </w:p>
    <w:p w:rsidR="004D232A" w:rsidRPr="004D232A" w:rsidRDefault="004D232A" w:rsidP="004D232A">
      <w:pPr>
        <w:spacing w:before="240" w:after="0" w:line="280" w:lineRule="atLeast"/>
        <w:ind w:left="-567"/>
        <w:jc w:val="both"/>
        <w:rPr>
          <w:rFonts w:ascii="Arial" w:eastAsia="Times New Roman" w:hAnsi="Arial" w:cs="Arial"/>
          <w:szCs w:val="21"/>
          <w:lang w:eastAsia="en-AU"/>
        </w:rPr>
      </w:pPr>
      <w:r w:rsidRPr="004D232A">
        <w:rPr>
          <w:rFonts w:ascii="Arial" w:eastAsia="Times New Roman" w:hAnsi="Arial" w:cs="Arial"/>
          <w:szCs w:val="21"/>
          <w:lang w:eastAsia="en-AU"/>
        </w:rPr>
        <w:tab/>
      </w:r>
      <w:r w:rsidRPr="004D232A">
        <w:rPr>
          <w:rFonts w:ascii="Arial" w:eastAsia="Times New Roman" w:hAnsi="Arial" w:cs="Arial"/>
          <w:noProof/>
          <w:szCs w:val="21"/>
          <w:lang w:eastAsia="en-AU"/>
        </w:rPr>
        <w:drawing>
          <wp:inline distT="0" distB="0" distL="0" distR="0" wp14:anchorId="0AC7677E" wp14:editId="1EDA141C">
            <wp:extent cx="1304925" cy="100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000125"/>
                    </a:xfrm>
                    <a:prstGeom prst="rect">
                      <a:avLst/>
                    </a:prstGeom>
                    <a:noFill/>
                  </pic:spPr>
                </pic:pic>
              </a:graphicData>
            </a:graphic>
          </wp:inline>
        </w:drawing>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Pr="004D232A">
        <w:rPr>
          <w:rFonts w:ascii="Arial" w:eastAsia="Times New Roman" w:hAnsi="Arial" w:cs="Arial"/>
          <w:szCs w:val="21"/>
          <w:lang w:eastAsia="en-AU"/>
        </w:rPr>
        <w:tab/>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noProof/>
          <w:szCs w:val="21"/>
          <w:lang w:eastAsia="en-AU"/>
        </w:rPr>
        <w:lastRenderedPageBreak/>
        <w:drawing>
          <wp:inline distT="0" distB="0" distL="0" distR="0" wp14:anchorId="5828EC5E" wp14:editId="3500B761">
            <wp:extent cx="1436914" cy="104417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704" cy="1048385"/>
                    </a:xfrm>
                    <a:prstGeom prst="rect">
                      <a:avLst/>
                    </a:prstGeom>
                    <a:noFill/>
                  </pic:spPr>
                </pic:pic>
              </a:graphicData>
            </a:graphic>
          </wp:inline>
        </w:drawing>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Pr="004D232A">
        <w:rPr>
          <w:rFonts w:ascii="Arial" w:eastAsia="Times New Roman" w:hAnsi="Arial" w:cs="Arial"/>
          <w:szCs w:val="21"/>
          <w:lang w:eastAsia="en-AU"/>
        </w:rPr>
        <w:tab/>
      </w:r>
      <w:r w:rsidRPr="004D232A">
        <w:rPr>
          <w:rFonts w:ascii="Arial" w:eastAsia="Times New Roman" w:hAnsi="Arial" w:cs="Arial"/>
          <w:noProof/>
          <w:szCs w:val="21"/>
          <w:lang w:eastAsia="en-AU"/>
        </w:rPr>
        <w:drawing>
          <wp:inline distT="0" distB="0" distL="0" distR="0" wp14:anchorId="7787C6EC" wp14:editId="2EE73EE7">
            <wp:extent cx="1507253" cy="1034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8452" cy="1042670"/>
                    </a:xfrm>
                    <a:prstGeom prst="rect">
                      <a:avLst/>
                    </a:prstGeom>
                    <a:noFill/>
                  </pic:spPr>
                </pic:pic>
              </a:graphicData>
            </a:graphic>
          </wp:inline>
        </w:drawing>
      </w:r>
      <w:r w:rsidRPr="004D232A">
        <w:rPr>
          <w:rFonts w:ascii="Arial" w:eastAsia="Times New Roman" w:hAnsi="Arial" w:cs="Arial"/>
          <w:szCs w:val="21"/>
          <w:lang w:eastAsia="en-AU"/>
        </w:rPr>
        <w:tab/>
      </w:r>
      <w:r w:rsidRPr="004D232A">
        <w:rPr>
          <w:rFonts w:ascii="Arial" w:eastAsia="Times New Roman" w:hAnsi="Arial" w:cs="Arial"/>
          <w:noProof/>
          <w:szCs w:val="21"/>
          <w:lang w:eastAsia="en-AU"/>
        </w:rPr>
        <w:drawing>
          <wp:inline distT="0" distB="0" distL="0" distR="0" wp14:anchorId="7864DE6F" wp14:editId="50B64335">
            <wp:extent cx="1536065" cy="115252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6065" cy="1152525"/>
                    </a:xfrm>
                    <a:prstGeom prst="rect">
                      <a:avLst/>
                    </a:prstGeom>
                    <a:noFill/>
                  </pic:spPr>
                </pic:pic>
              </a:graphicData>
            </a:graphic>
          </wp:inline>
        </w:drawing>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jc w:val="both"/>
        <w:rPr>
          <w:rFonts w:ascii="Arial" w:eastAsia="Times New Roman" w:hAnsi="Arial" w:cs="Arial"/>
          <w:noProof/>
          <w:szCs w:val="21"/>
          <w:lang w:eastAsia="en-AU"/>
        </w:rPr>
      </w:pPr>
      <w:r w:rsidRPr="004D232A">
        <w:rPr>
          <w:rFonts w:ascii="Arial" w:eastAsia="Times New Roman" w:hAnsi="Arial" w:cs="Arial"/>
          <w:szCs w:val="21"/>
          <w:lang w:eastAsia="en-AU"/>
        </w:rPr>
        <w:t>Examples of Other Capital Replacement Challenges:</w:t>
      </w:r>
      <w:r w:rsidRPr="004D232A">
        <w:rPr>
          <w:rFonts w:ascii="Arial" w:eastAsia="Times New Roman" w:hAnsi="Arial" w:cs="Arial"/>
          <w:noProof/>
          <w:szCs w:val="21"/>
          <w:lang w:eastAsia="en-AU"/>
        </w:rPr>
        <w:t xml:space="preserve"> </w:t>
      </w:r>
    </w:p>
    <w:p w:rsidR="004D232A" w:rsidRPr="004D232A" w:rsidRDefault="004D232A" w:rsidP="004D232A">
      <w:pPr>
        <w:spacing w:before="240" w:after="0" w:line="280" w:lineRule="atLeast"/>
        <w:jc w:val="both"/>
        <w:rPr>
          <w:rFonts w:ascii="Arial" w:eastAsia="Times New Roman" w:hAnsi="Arial" w:cs="Arial"/>
          <w:noProof/>
          <w:szCs w:val="21"/>
          <w:lang w:eastAsia="en-AU"/>
        </w:rPr>
      </w:pP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noProof/>
          <w:szCs w:val="21"/>
          <w:lang w:eastAsia="en-AU"/>
        </w:rPr>
        <w:drawing>
          <wp:inline distT="0" distB="0" distL="0" distR="0" wp14:anchorId="4E556347" wp14:editId="3CCE8CC3">
            <wp:extent cx="2343150" cy="1402997"/>
            <wp:effectExtent l="0" t="0" r="0" b="6985"/>
            <wp:docPr id="13" name="Picture 13" descr="\\EXCHANGE\Corp General\Special Rate Variation 2015-16\04 Wing Wall 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HANGE\Corp General\Special Rate Variation 2015-16\04 Wing Wall Dama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783" cy="1403376"/>
                    </a:xfrm>
                    <a:prstGeom prst="rect">
                      <a:avLst/>
                    </a:prstGeom>
                    <a:noFill/>
                    <a:ln>
                      <a:noFill/>
                    </a:ln>
                  </pic:spPr>
                </pic:pic>
              </a:graphicData>
            </a:graphic>
          </wp:inline>
        </w:drawing>
      </w:r>
      <w:r w:rsidRPr="004D232A">
        <w:rPr>
          <w:rFonts w:ascii="Arial" w:eastAsia="Times New Roman" w:hAnsi="Arial" w:cs="Arial"/>
          <w:noProof/>
          <w:szCs w:val="21"/>
          <w:lang w:eastAsia="en-AU"/>
        </w:rPr>
        <w:drawing>
          <wp:inline distT="0" distB="0" distL="0" distR="0" wp14:anchorId="5AFAE9E2" wp14:editId="66EB6328">
            <wp:extent cx="2040467" cy="1530350"/>
            <wp:effectExtent l="0" t="0" r="0" b="0"/>
            <wp:docPr id="14" name="Picture 14" descr="\\EXCHANGE\Corp General\Special Rate Variation 2015-16\01 Bridge 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HANGE\Corp General\Special Rate Variation 2015-16\01 Bridge dec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1614" cy="1531210"/>
                    </a:xfrm>
                    <a:prstGeom prst="rect">
                      <a:avLst/>
                    </a:prstGeom>
                    <a:noFill/>
                    <a:ln>
                      <a:noFill/>
                    </a:ln>
                  </pic:spPr>
                </pic:pic>
              </a:graphicData>
            </a:graphic>
          </wp:inline>
        </w:drawing>
      </w:r>
      <w:r w:rsidRPr="004D232A">
        <w:rPr>
          <w:rFonts w:ascii="Arial" w:eastAsia="Times New Roman" w:hAnsi="Arial" w:cs="Arial"/>
          <w:noProof/>
          <w:szCs w:val="21"/>
          <w:lang w:eastAsia="en-AU"/>
        </w:rPr>
        <w:drawing>
          <wp:inline distT="0" distB="0" distL="0" distR="0" wp14:anchorId="6F47F07C" wp14:editId="35E1C806">
            <wp:extent cx="2237686" cy="1339850"/>
            <wp:effectExtent l="0" t="0" r="0" b="0"/>
            <wp:docPr id="15" name="Picture 15" descr="\\EXCHANGE\Corp General\Special Rate Variation 2015-16\02 Aging Cul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HANGE\Corp General\Special Rate Variation 2015-16\02 Aging Culver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9180" cy="1340745"/>
                    </a:xfrm>
                    <a:prstGeom prst="rect">
                      <a:avLst/>
                    </a:prstGeom>
                    <a:noFill/>
                    <a:ln>
                      <a:noFill/>
                    </a:ln>
                  </pic:spPr>
                </pic:pic>
              </a:graphicData>
            </a:graphic>
          </wp:inline>
        </w:drawing>
      </w:r>
      <w:r w:rsidRPr="004D232A">
        <w:rPr>
          <w:rFonts w:ascii="Arial" w:eastAsia="Times New Roman" w:hAnsi="Arial" w:cs="Arial"/>
          <w:noProof/>
          <w:szCs w:val="21"/>
          <w:lang w:eastAsia="en-AU"/>
        </w:rPr>
        <w:drawing>
          <wp:inline distT="0" distB="0" distL="0" distR="0" wp14:anchorId="31C35523" wp14:editId="2DA5FA14">
            <wp:extent cx="2260600" cy="1353569"/>
            <wp:effectExtent l="0" t="0" r="6350" b="0"/>
            <wp:docPr id="16" name="Picture 16" descr="\\EXCHANGE\Corp General\Special Rate Variation 2015-16\05 Pot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HANGE\Corp General\Special Rate Variation 2015-16\05 Pothol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1560" cy="1354144"/>
                    </a:xfrm>
                    <a:prstGeom prst="rect">
                      <a:avLst/>
                    </a:prstGeom>
                    <a:noFill/>
                    <a:ln>
                      <a:noFill/>
                    </a:ln>
                  </pic:spPr>
                </pic:pic>
              </a:graphicData>
            </a:graphic>
          </wp:inline>
        </w:drawing>
      </w:r>
      <w:r w:rsidRPr="004D232A">
        <w:rPr>
          <w:rFonts w:ascii="Arial" w:eastAsia="Times New Roman" w:hAnsi="Arial" w:cs="Arial"/>
          <w:noProof/>
          <w:szCs w:val="21"/>
          <w:lang w:eastAsia="en-AU"/>
        </w:rPr>
        <w:drawing>
          <wp:inline distT="0" distB="0" distL="0" distR="0" wp14:anchorId="5377AD5A" wp14:editId="3142389A">
            <wp:extent cx="2651289" cy="1587500"/>
            <wp:effectExtent l="0" t="0" r="0" b="0"/>
            <wp:docPr id="17" name="Picture 17" descr="\\EXCHANGE\Corp General\Special Rate Variation 2015-16\03 Causeway Was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HANGE\Corp General\Special Rate Variation 2015-16\03 Causeway Washou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2359" cy="1588141"/>
                    </a:xfrm>
                    <a:prstGeom prst="rect">
                      <a:avLst/>
                    </a:prstGeom>
                    <a:noFill/>
                    <a:ln>
                      <a:noFill/>
                    </a:ln>
                  </pic:spPr>
                </pic:pic>
              </a:graphicData>
            </a:graphic>
          </wp:inline>
        </w:drawing>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keepNext/>
        <w:numPr>
          <w:ilvl w:val="1"/>
          <w:numId w:val="0"/>
        </w:numPr>
        <w:tabs>
          <w:tab w:val="num" w:pos="709"/>
        </w:tabs>
        <w:spacing w:before="480" w:after="240" w:line="280" w:lineRule="atLeast"/>
        <w:ind w:left="709" w:hanging="709"/>
        <w:outlineLvl w:val="1"/>
        <w:rPr>
          <w:rFonts w:ascii="Arial" w:eastAsia="Times New Roman" w:hAnsi="Arial" w:cs="Times New Roman"/>
          <w:b/>
          <w:color w:val="00408A"/>
          <w:kern w:val="28"/>
          <w:sz w:val="24"/>
          <w:szCs w:val="24"/>
          <w:lang w:eastAsia="en-AU"/>
        </w:rPr>
      </w:pPr>
      <w:bookmarkStart w:id="15" w:name="_Toc304287283"/>
      <w:bookmarkStart w:id="16" w:name="_Toc366160409"/>
      <w:bookmarkStart w:id="17" w:name="_Toc401138365"/>
      <w:r w:rsidRPr="004D232A">
        <w:rPr>
          <w:rFonts w:ascii="Arial" w:eastAsia="Times New Roman" w:hAnsi="Arial" w:cs="Times New Roman"/>
          <w:b/>
          <w:color w:val="00408A"/>
          <w:kern w:val="28"/>
          <w:sz w:val="24"/>
          <w:szCs w:val="24"/>
          <w:lang w:eastAsia="en-AU"/>
        </w:rPr>
        <w:lastRenderedPageBreak/>
        <w:t>Capital expenditure</w:t>
      </w:r>
      <w:bookmarkEnd w:id="15"/>
      <w:r w:rsidRPr="004D232A">
        <w:rPr>
          <w:rFonts w:ascii="Arial" w:eastAsia="Times New Roman" w:hAnsi="Arial" w:cs="Times New Roman"/>
          <w:b/>
          <w:color w:val="00408A"/>
          <w:kern w:val="28"/>
          <w:sz w:val="24"/>
          <w:szCs w:val="24"/>
          <w:lang w:eastAsia="en-AU"/>
        </w:rPr>
        <w:t xml:space="preserve"> review</w:t>
      </w:r>
      <w:bookmarkEnd w:id="16"/>
      <w:bookmarkEnd w:id="17"/>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You should complete this section if council is undertaking major capital projects that are required to comply with the OLG’s Capital Expenditure Guidelines, as outlined in OLG Circular 10-34.  A capital expenditure review is required for projects that are not exempt and cost in excess of 10% of council’s annual ordinary rates revenue or $1 million (GST exclusive), whichever is the greater.  </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4D232A" w:rsidRPr="004D232A" w:rsidRDefault="004D232A" w:rsidP="004D232A">
      <w:pPr>
        <w:spacing w:after="0" w:line="280" w:lineRule="atLeast"/>
        <w:jc w:val="both"/>
        <w:rPr>
          <w:rFonts w:ascii="Book Antiqua" w:eastAsia="Times New Roman" w:hAnsi="Book Antiqua" w:cs="Times New Roman"/>
          <w:szCs w:val="21"/>
          <w:lang w:eastAsia="en-AU"/>
        </w:rPr>
      </w:pPr>
    </w:p>
    <w:tbl>
      <w:tblPr>
        <w:tblW w:w="0" w:type="auto"/>
        <w:tblLayout w:type="fixed"/>
        <w:tblLook w:val="01E0" w:firstRow="1" w:lastRow="1" w:firstColumn="1" w:lastColumn="1" w:noHBand="0" w:noVBand="0"/>
      </w:tblPr>
      <w:tblGrid>
        <w:gridCol w:w="6487"/>
        <w:gridCol w:w="851"/>
        <w:gridCol w:w="816"/>
      </w:tblGrid>
      <w:tr w:rsidR="004D232A" w:rsidRPr="004D232A" w:rsidTr="00B60324">
        <w:trPr>
          <w:trHeight w:val="613"/>
        </w:trPr>
        <w:tc>
          <w:tcPr>
            <w:tcW w:w="6487"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Does the proposed special variation require council to do a capital expenditure review in accordance with OLG Circular to Councils, Circular No 10-34 dated 20 December 2010</w:t>
            </w:r>
          </w:p>
        </w:tc>
        <w:tc>
          <w:tcPr>
            <w:tcW w:w="851" w:type="dxa"/>
          </w:tcPr>
          <w:p w:rsidR="004D232A" w:rsidRPr="004D232A" w:rsidRDefault="004D232A" w:rsidP="004D232A">
            <w:pPr>
              <w:keepLines/>
              <w:spacing w:before="40" w:after="40" w:line="210" w:lineRule="atLeast"/>
              <w:rPr>
                <w:rFonts w:ascii="Arial" w:eastAsia="Times New Roman" w:hAnsi="Arial" w:cs="Arial"/>
                <w:sz w:val="19"/>
                <w:szCs w:val="19"/>
              </w:rPr>
            </w:pPr>
            <w:r w:rsidRPr="004D232A">
              <w:rPr>
                <w:rFonts w:ascii="Arial" w:eastAsia="Times New Roman" w:hAnsi="Arial" w:cs="Arial"/>
                <w:sz w:val="19"/>
                <w:szCs w:val="19"/>
              </w:rPr>
              <w:t xml:space="preserve">Yes </w:t>
            </w:r>
            <w:r w:rsidRPr="004D232A">
              <w:rPr>
                <w:rFonts w:ascii="Arial" w:eastAsia="Times New Roman" w:hAnsi="Arial" w:cs="Arial"/>
                <w:sz w:val="19"/>
                <w:szCs w:val="19"/>
              </w:rPr>
              <w:fldChar w:fldCharType="begin">
                <w:ffData>
                  <w:name w:val="Check6"/>
                  <w:enabled/>
                  <w:calcOnExit w:val="0"/>
                  <w:checkBox>
                    <w:sizeAuto/>
                    <w:default w:val="1"/>
                  </w:checkBox>
                </w:ffData>
              </w:fldChar>
            </w:r>
            <w:bookmarkStart w:id="18" w:name="Check6"/>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bookmarkEnd w:id="18"/>
          </w:p>
        </w:tc>
        <w:tc>
          <w:tcPr>
            <w:tcW w:w="816"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Arial"/>
                <w:sz w:val="19"/>
                <w:szCs w:val="19"/>
              </w:rPr>
              <w:t xml:space="preserve">No </w:t>
            </w:r>
            <w:r w:rsidRPr="004D232A">
              <w:rPr>
                <w:rFonts w:ascii="Arial" w:eastAsia="Times New Roman" w:hAnsi="Arial" w:cs="Arial"/>
                <w:sz w:val="19"/>
                <w:szCs w:val="19"/>
              </w:rPr>
              <w:fldChar w:fldCharType="begin">
                <w:ffData>
                  <w:name w:val="Check7"/>
                  <w:enabled/>
                  <w:calcOnExit w:val="0"/>
                  <w:checkBox>
                    <w:sizeAuto/>
                    <w:default w:val="0"/>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r>
      <w:tr w:rsidR="004D232A" w:rsidRPr="004D232A" w:rsidTr="00B60324">
        <w:tc>
          <w:tcPr>
            <w:tcW w:w="6487"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 xml:space="preserve">If </w:t>
            </w:r>
            <w:r w:rsidRPr="004D232A">
              <w:rPr>
                <w:rFonts w:ascii="Arial" w:eastAsia="Times New Roman" w:hAnsi="Arial" w:cs="Times New Roman"/>
                <w:i/>
                <w:sz w:val="19"/>
                <w:szCs w:val="19"/>
              </w:rPr>
              <w:t>Yes</w:t>
            </w:r>
            <w:r w:rsidRPr="004D232A">
              <w:rPr>
                <w:rFonts w:ascii="Arial" w:eastAsia="Times New Roman" w:hAnsi="Arial" w:cs="Times New Roman"/>
                <w:sz w:val="19"/>
                <w:szCs w:val="19"/>
              </w:rPr>
              <w:t>, has a review been done and submitted to OLG?</w:t>
            </w:r>
          </w:p>
        </w:tc>
        <w:tc>
          <w:tcPr>
            <w:tcW w:w="851" w:type="dxa"/>
          </w:tcPr>
          <w:p w:rsidR="004D232A" w:rsidRPr="004D232A" w:rsidRDefault="004D232A" w:rsidP="004D232A">
            <w:pPr>
              <w:keepLines/>
              <w:spacing w:before="40" w:after="40" w:line="210" w:lineRule="atLeast"/>
              <w:rPr>
                <w:rFonts w:ascii="Arial" w:eastAsia="Times New Roman" w:hAnsi="Arial" w:cs="Arial"/>
                <w:sz w:val="19"/>
                <w:szCs w:val="19"/>
              </w:rPr>
            </w:pPr>
            <w:r w:rsidRPr="004D232A">
              <w:rPr>
                <w:rFonts w:ascii="Arial" w:eastAsia="Times New Roman" w:hAnsi="Arial" w:cs="Arial"/>
                <w:sz w:val="19"/>
                <w:szCs w:val="19"/>
              </w:rPr>
              <w:t xml:space="preserve">Yes </w:t>
            </w:r>
            <w:r w:rsidRPr="004D232A">
              <w:rPr>
                <w:rFonts w:ascii="Arial" w:eastAsia="Times New Roman" w:hAnsi="Arial" w:cs="Arial"/>
                <w:sz w:val="19"/>
                <w:szCs w:val="19"/>
              </w:rPr>
              <w:fldChar w:fldCharType="begin">
                <w:ffData>
                  <w:name w:val=""/>
                  <w:enabled/>
                  <w:calcOnExit w:val="0"/>
                  <w:checkBox>
                    <w:sizeAuto/>
                    <w:default w:val="1"/>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c>
          <w:tcPr>
            <w:tcW w:w="816"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Arial"/>
                <w:sz w:val="19"/>
                <w:szCs w:val="19"/>
              </w:rPr>
              <w:t xml:space="preserve">No </w:t>
            </w:r>
            <w:r w:rsidRPr="004D232A">
              <w:rPr>
                <w:rFonts w:ascii="Arial" w:eastAsia="Times New Roman" w:hAnsi="Arial" w:cs="Arial"/>
                <w:sz w:val="19"/>
                <w:szCs w:val="19"/>
              </w:rPr>
              <w:fldChar w:fldCharType="begin">
                <w:ffData>
                  <w:name w:val="Check7"/>
                  <w:enabled/>
                  <w:calcOnExit w:val="0"/>
                  <w:checkBox>
                    <w:sizeAuto/>
                    <w:default w:val="0"/>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r>
    </w:tbl>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bookmarkStart w:id="19" w:name="_Toc401138366"/>
      <w:r w:rsidRPr="004D232A">
        <w:rPr>
          <w:rFonts w:ascii="Arial" w:eastAsia="Times New Roman" w:hAnsi="Arial" w:cs="Arial"/>
          <w:b/>
          <w:bCs/>
          <w:color w:val="00408A"/>
          <w:kern w:val="32"/>
          <w:sz w:val="30"/>
          <w:szCs w:val="30"/>
          <w:lang w:eastAsia="en-AU"/>
        </w:rPr>
        <w:t>Assessment Criterion 1: Need for the variation</w:t>
      </w:r>
      <w:bookmarkEnd w:id="19"/>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Criterion 1 within the OLG Guidelines is:</w:t>
      </w:r>
    </w:p>
    <w:p w:rsidR="004D232A" w:rsidRPr="004D232A" w:rsidRDefault="004D232A" w:rsidP="004D232A">
      <w:pPr>
        <w:spacing w:before="120" w:after="0" w:line="260" w:lineRule="atLeast"/>
        <w:ind w:left="284"/>
        <w:jc w:val="both"/>
        <w:rPr>
          <w:rFonts w:ascii="Arial" w:eastAsia="Times New Roman" w:hAnsi="Arial" w:cs="Times New Roman"/>
          <w:i/>
          <w:sz w:val="20"/>
          <w:szCs w:val="19"/>
          <w:lang w:eastAsia="en-AU"/>
        </w:rPr>
      </w:pPr>
      <w:r w:rsidRPr="004D232A">
        <w:rPr>
          <w:rFonts w:ascii="Arial" w:eastAsia="Times New Roman" w:hAnsi="Arial" w:cs="Times New Roman"/>
          <w:i/>
          <w:sz w:val="20"/>
          <w:szCs w:val="19"/>
          <w:lang w:eastAsia="en-AU"/>
        </w:rPr>
        <w:t>The need for and purpose of a different revenue path for the council’s General Fund (as requested through the special variation) is clearly articulated and identified in the council’s IP&amp;R documents, including its Delivery Program, Long Term Financial Plan and Asset Management Plan where appropriate.  In establishing need for the special variation, the relevant IP&amp;R documents should canvass alternatives to the rate rise.  In demonstrating this need councils must indicate the financial impact in their Long Term Financial Plan applying the following two scenarios:</w:t>
      </w:r>
    </w:p>
    <w:p w:rsidR="004D232A" w:rsidRPr="004D232A" w:rsidRDefault="004D232A" w:rsidP="004D232A">
      <w:pPr>
        <w:tabs>
          <w:tab w:val="num" w:pos="567"/>
        </w:tabs>
        <w:spacing w:before="120" w:after="0" w:line="260" w:lineRule="atLeast"/>
        <w:ind w:left="567" w:hanging="283"/>
        <w:jc w:val="both"/>
        <w:rPr>
          <w:rFonts w:ascii="Arial" w:eastAsia="Times New Roman" w:hAnsi="Arial" w:cs="Times New Roman"/>
          <w:i/>
          <w:sz w:val="20"/>
          <w:szCs w:val="19"/>
          <w:lang w:eastAsia="en-AU"/>
        </w:rPr>
      </w:pPr>
      <w:r w:rsidRPr="004D232A">
        <w:rPr>
          <w:rFonts w:ascii="Arial" w:eastAsia="Times New Roman" w:hAnsi="Arial" w:cs="Times New Roman"/>
          <w:i/>
          <w:sz w:val="20"/>
          <w:szCs w:val="19"/>
          <w:lang w:eastAsia="en-AU"/>
        </w:rPr>
        <w:t>Baseline scenario – General Fund revenue and expenditure forecasts which reflect the business as usual model, and exclude the special variation, and</w:t>
      </w:r>
    </w:p>
    <w:p w:rsidR="004D232A" w:rsidRPr="004D232A" w:rsidRDefault="004D232A" w:rsidP="004D232A">
      <w:pPr>
        <w:tabs>
          <w:tab w:val="num" w:pos="567"/>
        </w:tabs>
        <w:spacing w:before="120" w:after="0" w:line="260" w:lineRule="atLeast"/>
        <w:ind w:left="567" w:hanging="283"/>
        <w:jc w:val="both"/>
        <w:rPr>
          <w:rFonts w:ascii="Arial" w:eastAsia="Times New Roman" w:hAnsi="Arial" w:cs="Times New Roman"/>
          <w:i/>
          <w:sz w:val="20"/>
          <w:szCs w:val="19"/>
          <w:lang w:eastAsia="en-AU"/>
        </w:rPr>
      </w:pPr>
      <w:r w:rsidRPr="004D232A">
        <w:rPr>
          <w:rFonts w:ascii="Arial" w:eastAsia="Times New Roman" w:hAnsi="Arial" w:cs="Times New Roman"/>
          <w:i/>
          <w:sz w:val="20"/>
          <w:szCs w:val="19"/>
          <w:lang w:eastAsia="en-AU"/>
        </w:rPr>
        <w:t>Special variation scenario – the result of approving the special variation in full is shown and reflected in the General Fund revenue forecast with the additional expenditure levels intended to be funded by the special variation.</w:t>
      </w:r>
    </w:p>
    <w:p w:rsidR="004D232A" w:rsidRPr="004D232A" w:rsidRDefault="004D232A" w:rsidP="004D232A">
      <w:pPr>
        <w:spacing w:before="120" w:after="0" w:line="260" w:lineRule="atLeast"/>
        <w:ind w:left="284"/>
        <w:jc w:val="both"/>
        <w:rPr>
          <w:rFonts w:ascii="Arial" w:eastAsia="Times New Roman" w:hAnsi="Arial" w:cs="Arial"/>
          <w:i/>
          <w:sz w:val="20"/>
          <w:szCs w:val="19"/>
          <w:lang w:eastAsia="en-AU"/>
        </w:rPr>
      </w:pPr>
      <w:r w:rsidRPr="004D232A">
        <w:rPr>
          <w:rFonts w:ascii="Arial" w:eastAsia="Times New Roman" w:hAnsi="Arial" w:cs="Arial"/>
          <w:i/>
          <w:sz w:val="20"/>
          <w:szCs w:val="19"/>
          <w:lang w:eastAsia="en-AU"/>
        </w:rPr>
        <w:t>Evidence to establish this criterion could include evidence of community need /desire for service levels/projects and limited council resourcing alternatives.</w:t>
      </w:r>
    </w:p>
    <w:p w:rsidR="004D232A" w:rsidRPr="004D232A" w:rsidRDefault="004D232A" w:rsidP="004D232A">
      <w:pPr>
        <w:spacing w:before="120" w:after="0" w:line="260" w:lineRule="atLeast"/>
        <w:ind w:left="284"/>
        <w:jc w:val="both"/>
        <w:rPr>
          <w:rFonts w:ascii="Arial" w:eastAsia="Times New Roman" w:hAnsi="Arial" w:cs="Arial"/>
          <w:i/>
          <w:sz w:val="20"/>
          <w:szCs w:val="19"/>
          <w:lang w:eastAsia="en-AU"/>
        </w:rPr>
      </w:pPr>
      <w:r w:rsidRPr="004D232A">
        <w:rPr>
          <w:rFonts w:ascii="Arial" w:eastAsia="Times New Roman" w:hAnsi="Arial" w:cs="Arial"/>
          <w:i/>
          <w:sz w:val="20"/>
          <w:szCs w:val="19"/>
          <w:lang w:eastAsia="en-AU"/>
        </w:rPr>
        <w:t>Evidence could also include the assessment of the council’s financial sustainability conducted by the NSW Treasury Corporation.</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response to this criterion should summarise the council’s case for the proposed special variation.  It is necessary to show how the council has identified and considered its community’s needs, alternative funding options (to a rates rise) and the assessment of its financial sustainability as conducted by the NSW Treasury Corporation (TCorp).</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lastRenderedPageBreak/>
        <w:t>The criterion states that the need for the special variation must be identified and clearly articulated in the council’s IP&amp;R documents especially the Long Term Financial Plan (LTFP) and the Delivery Program, and, where appropriate, the Asset Management Plan (AMP).  The purpose of the special variation should also be consistent with the priorities of the Community Strategic Plan (CSP).</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 </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20" w:name="_Toc366160406"/>
      <w:bookmarkStart w:id="21" w:name="_Toc401138367"/>
      <w:r w:rsidRPr="004D232A">
        <w:rPr>
          <w:rFonts w:ascii="Arial" w:eastAsia="Times New Roman" w:hAnsi="Arial" w:cs="Times New Roman"/>
          <w:b/>
          <w:color w:val="00408A"/>
          <w:kern w:val="28"/>
          <w:sz w:val="24"/>
          <w:szCs w:val="24"/>
          <w:lang w:eastAsia="en-AU"/>
        </w:rPr>
        <w:t>Case for special variation - community need</w:t>
      </w:r>
      <w:bookmarkEnd w:id="20"/>
      <w:bookmarkEnd w:id="21"/>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Summarise and explain below:</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How the council identified and considered the community’s needs and desires in relation to matters such as levels of service delivery and asset maintenance and provision.</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How the decision to seek higher revenues above the rate peg was made and which other options were examined, such as changing expenditure priorities or using alternative modes of service delivery.</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Why the special variation is the most appropriate option.  For example, typically other options would include introducing new or higher user charges and/or an increase in council loan borrowings, or private public partnerships or joint ventures.</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How the proposed special variation impacts the LTFP forecasts and how this relates to the need the council identified. Our assessment will also consider the assumptions which underpin the council’s LTFP forecasts.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In addressing this criterion, you should include extracts from, or references to, the IP&amp;R document(s) that demonstrate how the council meets this criterion.  </w:t>
      </w:r>
    </w:p>
    <w:p w:rsidR="004D232A" w:rsidRPr="004D232A" w:rsidRDefault="004D232A" w:rsidP="004D232A">
      <w:pPr>
        <w:spacing w:after="0" w:line="240" w:lineRule="auto"/>
        <w:rPr>
          <w:rFonts w:ascii="Book Antiqua" w:eastAsia="Times New Roman" w:hAnsi="Book Antiqua" w:cs="Times New Roman"/>
          <w:szCs w:val="24"/>
          <w:lang w:eastAsia="en-AU"/>
        </w:rPr>
      </w:pPr>
      <w:bookmarkStart w:id="22" w:name="_Toc366160408"/>
    </w:p>
    <w:p w:rsidR="004D232A" w:rsidRPr="004D232A" w:rsidRDefault="004D232A" w:rsidP="004D232A">
      <w:pPr>
        <w:spacing w:after="0" w:line="240" w:lineRule="auto"/>
        <w:rPr>
          <w:rFonts w:ascii="Arial" w:eastAsia="Times New Roman" w:hAnsi="Arial" w:cs="Arial"/>
          <w:szCs w:val="24"/>
          <w:u w:val="single"/>
          <w:lang w:eastAsia="en-AU"/>
        </w:rPr>
      </w:pPr>
      <w:r w:rsidRPr="004D232A">
        <w:rPr>
          <w:rFonts w:ascii="Arial" w:eastAsia="Times New Roman" w:hAnsi="Arial" w:cs="Arial"/>
          <w:szCs w:val="24"/>
          <w:u w:val="single"/>
          <w:lang w:eastAsia="en-AU"/>
        </w:rPr>
        <w:t>Purpose of the application:</w:t>
      </w:r>
    </w:p>
    <w:p w:rsidR="004D232A" w:rsidRPr="004D232A" w:rsidRDefault="004D232A" w:rsidP="004D232A">
      <w:pPr>
        <w:spacing w:after="0" w:line="240" w:lineRule="auto"/>
        <w:rPr>
          <w:rFonts w:ascii="Arial" w:eastAsia="Times New Roman" w:hAnsi="Arial" w:cs="Arial"/>
          <w:szCs w:val="24"/>
          <w:u w:val="single"/>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 xml:space="preserve">The SRV seeks to raise an additional $3,530,540 </w:t>
      </w:r>
      <w:r w:rsidR="004130E8">
        <w:rPr>
          <w:rFonts w:ascii="Arial" w:eastAsia="Times New Roman" w:hAnsi="Arial" w:cs="Arial"/>
          <w:szCs w:val="24"/>
          <w:lang w:eastAsia="en-AU"/>
        </w:rPr>
        <w:t xml:space="preserve">over the 10 years as set out this application (Part A) </w:t>
      </w:r>
      <w:r w:rsidRPr="004D232A">
        <w:rPr>
          <w:rFonts w:ascii="Arial" w:eastAsia="Times New Roman" w:hAnsi="Arial" w:cs="Arial"/>
          <w:szCs w:val="24"/>
          <w:lang w:eastAsia="en-AU"/>
        </w:rPr>
        <w:t>in addition to loans and the use of reserves to fund two major capital works as well as to fund depreciation and critical maintenance that has been identified through three years of community discourse. Council will spend a total of $5.6 million over the next two years to replace a pool that is no longer technically capable of serving the community, as well as to build a medical centre to allow the Shire to continue to attract and retain medical professionals. Finally, the future maintenance of community assets needs the increased resources that will come partly as a result of a SRV application approval.</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 xml:space="preserve">In respect of the capital works, increases in charges to access the new Aquatic Centre will be subject to determination once the facility is completed. The Aquatic </w:t>
      </w:r>
      <w:r w:rsidRPr="004D232A">
        <w:rPr>
          <w:rFonts w:ascii="Arial" w:eastAsia="Times New Roman" w:hAnsi="Arial" w:cs="Arial"/>
          <w:szCs w:val="24"/>
          <w:lang w:eastAsia="en-AU"/>
        </w:rPr>
        <w:lastRenderedPageBreak/>
        <w:t>Centre is an integral part of community amenity where the community has indicated a preparedness to pay for the facility through rate increases. While a small increase in charges may be beneficial to the ongoing maintenance of the facility it will have little impact on the capital provision.</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In relation to the Medical Centre there is some opportunity to recover costs and this is dealt with in the Weddin Medical Centre Capital Expenditure Review and Business Feasibility Study.</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Opportunities for Public Private Partnerships (PPP) and Joint Ventures are limited as there is not sufficient capital appreciation to attract private investment, in what are essentially community service obligations, over the long term.</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rate changes across categories have been widely advertised and have been subject of a community survey.</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Weddin Shire’s location impacts its socioeconomic characteristics. The community is geographically isolated and is centred on the town of Grenfell. It has strong workforce participation in agriculture that delivers significantly to the Gross National Product (GNP). Many farmers have utilised limited resources to retire to Grenfell and the villages in Weddin. Australian Bureau of Statistics (ABS) data shows that under 34s represent 38% of the workforce and are producing families that are consistent with state average. Some 40% of the community are families with children under 15 yrs., with a quarter of these single parent families. The SRV will be utilised fund community infrastructure targeting these sectors.</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u w:val="single"/>
          <w:lang w:eastAsia="en-AU"/>
        </w:rPr>
      </w:pPr>
      <w:r w:rsidRPr="004D232A">
        <w:rPr>
          <w:rFonts w:ascii="Arial" w:eastAsia="Times New Roman" w:hAnsi="Arial" w:cs="Arial"/>
          <w:szCs w:val="24"/>
          <w:u w:val="single"/>
          <w:lang w:eastAsia="en-AU"/>
        </w:rPr>
        <w:t>The socioeconomic characteristics</w:t>
      </w: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 xml:space="preserve">The Weddin Shire is geographically isolated form major services and is 360 </w:t>
      </w:r>
      <w:proofErr w:type="spellStart"/>
      <w:r w:rsidRPr="004D232A">
        <w:rPr>
          <w:rFonts w:ascii="Arial" w:eastAsia="Times New Roman" w:hAnsi="Arial" w:cs="Arial"/>
          <w:szCs w:val="24"/>
          <w:lang w:eastAsia="en-AU"/>
        </w:rPr>
        <w:t>kms</w:t>
      </w:r>
      <w:proofErr w:type="spellEnd"/>
      <w:r w:rsidRPr="004D232A">
        <w:rPr>
          <w:rFonts w:ascii="Arial" w:eastAsia="Times New Roman" w:hAnsi="Arial" w:cs="Arial"/>
          <w:szCs w:val="24"/>
          <w:lang w:eastAsia="en-AU"/>
        </w:rPr>
        <w:t xml:space="preserve"> from Sydney, a travel time of some five hours in good traffic. There is no airport with the closest being Parkes, 60 mins drive away. There is road access to four other neighbouring council areas with each centre approximately 45-80 mins driving distance away.  </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Weddin Shire has the lowest business, residential and farmland rates among the contiguous councils of Bland, Cowra, Forbes and Young (except with Forbes where farmland rates are equal). The average rate for the 5 councils is $468 with Weddin Shire some 20% below this average.</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Community needs have been established after some three years of consultation. Assessment of the social fabric of the Weddin Shire and a series of community surveys and meetings have revealed the needs of the community in relations to existing assets and what is essential to the life of the community now and into the future. As part of developing the 2012 Integrated Planning and Reporting (IP&amp;R) framework, Weddin Shire undertook extensive community consultation to determine community priorities.</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In 2012, the residents had a view that the sustainability of the community as a viable centre with a focus around the largest town of Grenfell was critical to the sustainability of daily life within the Shire. The community supported an increase in the rates to continue to provide quality community amenity then and reinforced this in another survey in 2014.</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community input identified medical facilities and the aquatic centre as being critical community infrastructure.</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A supplementary survey was undertaken in 2014 to gauge the willingness to pay for improved services that meet the fundamental needs of an isolated community, as well as market testing the importance and satisfaction of existing services. The survey also canvassed the impact of the special rate variation on each of the rate categories. The community again supported a rate variation well above the level being sought in this application.</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Weddin Shire sits at 44 on the Socio Economic Ranking which is higher than 2 of the 5 surrounding councils.</w:t>
      </w:r>
      <w:r w:rsidR="004130E8">
        <w:rPr>
          <w:rFonts w:ascii="Arial" w:eastAsia="Times New Roman" w:hAnsi="Arial" w:cs="Arial"/>
          <w:szCs w:val="24"/>
          <w:lang w:eastAsia="en-AU"/>
        </w:rPr>
        <w:t xml:space="preserve"> Both of whom have higher rates in all major categories.</w:t>
      </w:r>
      <w:r w:rsidRPr="004D232A">
        <w:rPr>
          <w:rFonts w:ascii="Arial" w:eastAsia="Times New Roman" w:hAnsi="Arial" w:cs="Arial"/>
          <w:szCs w:val="24"/>
          <w:lang w:eastAsia="en-AU"/>
        </w:rPr>
        <w:t xml:space="preserve"> Weddin has an aging population with some 50% being over 50 years of age while the under 20s population mirrors the state average. Some 30% of the working population works in the farming sector which accounts for more than 58% of industry type (ABS 2011).</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 xml:space="preserve">Weddin generates a gross regional product (GRP) of $156 million annually with one third coming from agriculture and with education, transport, health care and wholesale accounting equally for the next third. The medium house price in Weddin is $115,000 while the Median house price in Orange is $322,000 and the average taxable income for Weddin $30,621 pa. Weddin has the lowest average taxable income of the surrounding neighbouring council areas (ABS 2011). This data reinforces the challenge that Weddin community members have in ‘voting with their feet’ and having the capacity to move to communities with </w:t>
      </w:r>
      <w:r w:rsidR="004130E8">
        <w:rPr>
          <w:rFonts w:ascii="Arial" w:eastAsia="Times New Roman" w:hAnsi="Arial" w:cs="Arial"/>
          <w:szCs w:val="24"/>
          <w:lang w:eastAsia="en-AU"/>
        </w:rPr>
        <w:t>good</w:t>
      </w:r>
      <w:r w:rsidRPr="004D232A">
        <w:rPr>
          <w:rFonts w:ascii="Arial" w:eastAsia="Times New Roman" w:hAnsi="Arial" w:cs="Arial"/>
          <w:szCs w:val="24"/>
          <w:lang w:eastAsia="en-AU"/>
        </w:rPr>
        <w:t xml:space="preserve"> community amenity.</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 xml:space="preserve">The analysis of the data in the context of the community desire to retain services is important to understanding the need to increase Weddin Shire’s income to support service provision. The survey results expose limited community opportunities to access facilities and services in other ways. Many farmers are moving off farming into the villages and the main town of Grenfell. </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following graph sets out where the community currently sits in respect to service provision importance and satisfaction levels:</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sectPr w:rsidR="004D232A" w:rsidRPr="004D232A" w:rsidSect="00747A96">
          <w:pgSz w:w="11907" w:h="16840" w:code="9"/>
          <w:pgMar w:top="2268" w:right="1701" w:bottom="1418" w:left="1701" w:header="1134" w:footer="284" w:gutter="567"/>
          <w:cols w:space="708"/>
          <w:docGrid w:linePitch="360"/>
        </w:sectPr>
      </w:pP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noProof/>
          <w:szCs w:val="24"/>
          <w:lang w:eastAsia="en-AU"/>
        </w:rPr>
        <w:drawing>
          <wp:inline distT="0" distB="0" distL="0" distR="0" wp14:anchorId="726B0B51" wp14:editId="0F9E233B">
            <wp:extent cx="8352790" cy="3721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52790" cy="3721807"/>
                    </a:xfrm>
                    <a:prstGeom prst="rect">
                      <a:avLst/>
                    </a:prstGeom>
                    <a:noFill/>
                    <a:ln>
                      <a:noFill/>
                    </a:ln>
                  </pic:spPr>
                </pic:pic>
              </a:graphicData>
            </a:graphic>
          </wp:inline>
        </w:drawing>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autoSpaceDE w:val="0"/>
        <w:autoSpaceDN w:val="0"/>
        <w:adjustRightInd w:val="0"/>
        <w:spacing w:after="0" w:line="240" w:lineRule="auto"/>
        <w:rPr>
          <w:rFonts w:ascii="Times New Roman" w:eastAsia="Times New Roman" w:hAnsi="Times New Roman" w:cs="Times New Roman"/>
          <w:color w:val="000000"/>
          <w:sz w:val="18"/>
          <w:szCs w:val="18"/>
          <w:lang w:eastAsia="en-AU"/>
        </w:rPr>
      </w:pPr>
      <w:r w:rsidRPr="004D232A">
        <w:rPr>
          <w:rFonts w:ascii="Times New Roman" w:eastAsia="Times New Roman" w:hAnsi="Times New Roman" w:cs="Times New Roman"/>
          <w:color w:val="000000"/>
          <w:sz w:val="18"/>
          <w:szCs w:val="18"/>
          <w:lang w:eastAsia="en-AU"/>
        </w:rPr>
        <w:t xml:space="preserve">Figure 1: Importance versus satisfaction with priority overlay </w:t>
      </w:r>
    </w:p>
    <w:p w:rsidR="004D232A" w:rsidRPr="004D232A" w:rsidRDefault="004D232A" w:rsidP="004D232A">
      <w:pPr>
        <w:autoSpaceDE w:val="0"/>
        <w:autoSpaceDN w:val="0"/>
        <w:adjustRightInd w:val="0"/>
        <w:spacing w:after="0" w:line="240" w:lineRule="auto"/>
        <w:rPr>
          <w:rFonts w:ascii="Times New Roman" w:eastAsia="Times New Roman" w:hAnsi="Times New Roman" w:cs="Times New Roman"/>
          <w:color w:val="000000"/>
          <w:sz w:val="18"/>
          <w:szCs w:val="18"/>
          <w:lang w:eastAsia="en-AU"/>
        </w:rPr>
      </w:pPr>
      <w:r w:rsidRPr="004D232A">
        <w:rPr>
          <w:rFonts w:ascii="Times New Roman" w:eastAsia="Times New Roman" w:hAnsi="Times New Roman" w:cs="Times New Roman"/>
          <w:color w:val="000000"/>
          <w:sz w:val="18"/>
          <w:szCs w:val="18"/>
          <w:lang w:eastAsia="en-AU"/>
        </w:rPr>
        <w:t xml:space="preserve">Q7: Please rate your satisfaction level with each of the Council’s current services. Base: All respondents (n=358) | Q8: Please rate the importance of each of the Council's current services. Base: All respondents (n=353) | Q9: Which of the following services would you wish to be given more priority? Please choose the top three. Base: All respondents (n=352) </w:t>
      </w:r>
    </w:p>
    <w:p w:rsidR="004D232A" w:rsidRPr="004D232A" w:rsidRDefault="004D232A" w:rsidP="004D232A">
      <w:pPr>
        <w:spacing w:after="0" w:line="240" w:lineRule="auto"/>
        <w:rPr>
          <w:rFonts w:ascii="Arial" w:eastAsia="Times New Roman" w:hAnsi="Arial" w:cs="Arial"/>
          <w:szCs w:val="24"/>
          <w:lang w:eastAsia="en-AU"/>
        </w:rPr>
        <w:sectPr w:rsidR="004D232A" w:rsidRPr="004D232A" w:rsidSect="00747A96">
          <w:pgSz w:w="16840" w:h="11907" w:orient="landscape" w:code="9"/>
          <w:pgMar w:top="1701" w:right="2268" w:bottom="1701" w:left="1418" w:header="1134" w:footer="284" w:gutter="567"/>
          <w:cols w:space="708"/>
          <w:docGrid w:linePitch="360"/>
        </w:sectPr>
      </w:pPr>
      <w:r w:rsidRPr="004D232A">
        <w:rPr>
          <w:rFonts w:ascii="Book Antiqua" w:eastAsia="Times New Roman" w:hAnsi="Book Antiqua" w:cs="Times New Roman"/>
          <w:sz w:val="18"/>
          <w:szCs w:val="18"/>
          <w:lang w:eastAsia="en-AU"/>
        </w:rPr>
        <w:t>Note: Bubble size indicates the % of respondents who wish the service was given greater priority. Red bubbles are the top service priorities for respondents.</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above graph shows the community considers the pool to be highly important and also not currently meeting expectations with low satisfaction. The closure of the pool would have a significant impact on community amenity in Weddin Shire, impacting school fitness, and ‘learn to swim’ programs in a rural community where swimming skills are critical. Waterway and dam drowning account for over 35% of drowning deaths in NSW each year.  The loss of the pool would reduce access to fitness for retirees and force the least disadvantaged to find ways of accessing aquatic facilities at major towns over 60kms away. The SRV assist Council to service borrowings undertaken to support the identified capital projects subject to this application.</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A failure to address the medical needs into the future with the construction of a new medical centre will challenge the provision of fundamental health services and reduce affordable access to medical services for the aging and disadvantaged. Due to market failure Council has a community service obligation to provide facilities at less than market value to secure ongoing medical services.</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capacity to fund depreciation is severely limited by the disparity in rates across the region especially compared with Forbes and Bland that have the nearest population sizes (Forbes has twice the average residential rate in Weddin). The population size prohibits raising greater revenue by way of entry fees and the cost of medical facilities is driven by the need to attract and retain medical service staff.</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 xml:space="preserve">The long term financial plan has been based on improving the income and service charges across a number of areas, on a review of the AMP, and the </w:t>
      </w:r>
      <w:r w:rsidR="004130E8">
        <w:rPr>
          <w:rFonts w:ascii="Arial" w:eastAsia="Times New Roman" w:hAnsi="Arial" w:cs="Arial"/>
          <w:szCs w:val="24"/>
          <w:lang w:eastAsia="en-AU"/>
        </w:rPr>
        <w:t xml:space="preserve">retention of </w:t>
      </w:r>
      <w:r w:rsidRPr="004D232A">
        <w:rPr>
          <w:rFonts w:ascii="Arial" w:eastAsia="Times New Roman" w:hAnsi="Arial" w:cs="Arial"/>
          <w:szCs w:val="24"/>
          <w:lang w:eastAsia="en-AU"/>
        </w:rPr>
        <w:t xml:space="preserve">levels of service that are indicated in the survey measuring community importance and satisfaction of services. The AMP seeks to reflect the levels of service that the community has indicated that it can live with. The capital </w:t>
      </w:r>
      <w:r w:rsidR="004130E8" w:rsidRPr="004D232A">
        <w:rPr>
          <w:rFonts w:ascii="Arial" w:eastAsia="Times New Roman" w:hAnsi="Arial" w:cs="Arial"/>
          <w:szCs w:val="24"/>
          <w:lang w:eastAsia="en-AU"/>
        </w:rPr>
        <w:t>infrastructure of an aquatic facility in the major town of Grenfell and high quality medical facilities has</w:t>
      </w:r>
      <w:r w:rsidRPr="004D232A">
        <w:rPr>
          <w:rFonts w:ascii="Arial" w:eastAsia="Times New Roman" w:hAnsi="Arial" w:cs="Arial"/>
          <w:szCs w:val="24"/>
          <w:lang w:eastAsia="en-AU"/>
        </w:rPr>
        <w:t xml:space="preserve"> consistently emerged as important services. The LTFP has been reviewed with the SRV application and the FFTF requirements in mind. Weddin Shire Council will use the SRV scenario as the new base case (on the variation being approved) to further improve its capacity as it looks to share resources and seek economies of scale through the joint ventures with other councils. Under the FFTF assessment,</w:t>
      </w:r>
      <w:r w:rsidR="004130E8">
        <w:rPr>
          <w:rFonts w:ascii="Arial" w:eastAsia="Times New Roman" w:hAnsi="Arial" w:cs="Arial"/>
          <w:szCs w:val="24"/>
          <w:lang w:eastAsia="en-AU"/>
        </w:rPr>
        <w:t xml:space="preserve"> notwithstanding</w:t>
      </w:r>
      <w:r w:rsidRPr="004D232A">
        <w:rPr>
          <w:rFonts w:ascii="Arial" w:eastAsia="Times New Roman" w:hAnsi="Arial" w:cs="Arial"/>
          <w:szCs w:val="24"/>
          <w:lang w:eastAsia="en-AU"/>
        </w:rPr>
        <w:t xml:space="preserve"> alternatives of amalgamation </w:t>
      </w:r>
      <w:r w:rsidR="004130E8">
        <w:rPr>
          <w:rFonts w:ascii="Arial" w:eastAsia="Times New Roman" w:hAnsi="Arial" w:cs="Arial"/>
          <w:szCs w:val="24"/>
          <w:lang w:eastAsia="en-AU"/>
        </w:rPr>
        <w:t xml:space="preserve">WSC </w:t>
      </w:r>
      <w:r w:rsidRPr="004D232A">
        <w:rPr>
          <w:rFonts w:ascii="Arial" w:eastAsia="Times New Roman" w:hAnsi="Arial" w:cs="Arial"/>
          <w:szCs w:val="24"/>
          <w:lang w:eastAsia="en-AU"/>
        </w:rPr>
        <w:t>will still require a variation in the rates in order to meet community expectations that have been strongly expressed through three years of local consultation.</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Times New Roman"/>
          <w:b/>
          <w:color w:val="00408A"/>
          <w:kern w:val="28"/>
          <w:sz w:val="24"/>
          <w:szCs w:val="24"/>
          <w:lang w:eastAsia="en-AU"/>
        </w:rPr>
      </w:pPr>
      <w:r w:rsidRPr="004D232A">
        <w:rPr>
          <w:rFonts w:ascii="Arial" w:eastAsia="Times New Roman" w:hAnsi="Arial" w:cs="Arial"/>
          <w:szCs w:val="24"/>
          <w:lang w:eastAsia="en-AU"/>
        </w:rPr>
        <w:t>The LTFP can return the Council to a sustainable footing by 2020 subject to approval of the SRV application, notwithstanding further economies that are possible in the FFTF negotiations.</w:t>
      </w:r>
      <w:r w:rsidRPr="004D232A">
        <w:rPr>
          <w:rFonts w:ascii="Book Antiqua" w:eastAsia="Times New Roman" w:hAnsi="Book Antiqua" w:cs="Times New Roman"/>
          <w:szCs w:val="24"/>
          <w:lang w:eastAsia="en-AU"/>
        </w:rPr>
        <w:br w:type="page"/>
      </w: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23" w:name="_Toc401138368"/>
      <w:r w:rsidRPr="004D232A">
        <w:rPr>
          <w:rFonts w:ascii="Arial" w:eastAsia="Times New Roman" w:hAnsi="Arial" w:cs="Times New Roman"/>
          <w:b/>
          <w:color w:val="00408A"/>
          <w:kern w:val="28"/>
          <w:sz w:val="24"/>
          <w:szCs w:val="24"/>
          <w:lang w:eastAsia="en-AU"/>
        </w:rPr>
        <w:lastRenderedPageBreak/>
        <w:t>Financial sustainability</w:t>
      </w:r>
      <w:bookmarkEnd w:id="22"/>
      <w:bookmarkEnd w:id="23"/>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special variation may be intended to improve the council’s underlying financial position, or to fund specific projects or programs of expenditure, or a combination of the two.  We will consider evidence about the council’s current and future financial sustainability and the assumptions it has made in coming to a view on its financial sustainability.</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You should explain below:</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The council’s understanding of its current state of financial sustainability, its long-term projections based on alternative scenarios and assumptions about revenue and expenditure. </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Any external assessment of the council’s financial sustainability, e.g., by auditors or TCorp.  Indicate how such assessments of the council’s financial sustainability is relevant to supporting the decision to apply for a special variation.</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council’s view of the impact of the special variation on its financial sustainability.</w:t>
      </w:r>
    </w:p>
    <w:p w:rsidR="004D232A" w:rsidRPr="004D232A" w:rsidRDefault="004D232A" w:rsidP="004D232A">
      <w:pPr>
        <w:keepLines/>
        <w:spacing w:before="120" w:after="0" w:line="280" w:lineRule="atLeast"/>
        <w:jc w:val="both"/>
        <w:rPr>
          <w:rFonts w:ascii="Book Antiqua" w:eastAsia="Times New Roman" w:hAnsi="Book Antiqua" w:cs="Times New Roman"/>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LTFP base case shows an operating surplus ratio of -26.1% in 2024 while the SRV scenario shows 3.1% in 2024. The SRV scenario shows a positive operating surplus in 2020 of 1.1% in 2020 and into the future. Among other assumptions there will be reduced funds for road works, and hence administrative income, as well as a realistic return from non-general fund overheads (Attachment 3).</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The LTFP has been independently prepared by Jeff </w:t>
      </w:r>
      <w:proofErr w:type="spellStart"/>
      <w:r w:rsidRPr="004D232A">
        <w:rPr>
          <w:rFonts w:ascii="Arial" w:eastAsia="Times New Roman" w:hAnsi="Arial" w:cs="Arial"/>
          <w:szCs w:val="21"/>
          <w:lang w:eastAsia="en-AU"/>
        </w:rPr>
        <w:t>Roorda</w:t>
      </w:r>
      <w:proofErr w:type="spellEnd"/>
      <w:r w:rsidRPr="004D232A">
        <w:rPr>
          <w:rFonts w:ascii="Arial" w:eastAsia="Times New Roman" w:hAnsi="Arial" w:cs="Arial"/>
          <w:szCs w:val="21"/>
          <w:lang w:eastAsia="en-AU"/>
        </w:rPr>
        <w:t xml:space="preserve"> &amp; Associates and then assessed by Stephen Sykes of Sykes Peer Review. TCorp figures are set out in the introduction </w:t>
      </w:r>
      <w:r w:rsidR="004130E8">
        <w:rPr>
          <w:rFonts w:ascii="Arial" w:eastAsia="Times New Roman" w:hAnsi="Arial" w:cs="Arial"/>
          <w:szCs w:val="21"/>
          <w:lang w:eastAsia="en-AU"/>
        </w:rPr>
        <w:t>and</w:t>
      </w:r>
      <w:r w:rsidRPr="004D232A">
        <w:rPr>
          <w:rFonts w:ascii="Arial" w:eastAsia="Times New Roman" w:hAnsi="Arial" w:cs="Arial"/>
          <w:szCs w:val="21"/>
          <w:lang w:eastAsia="en-AU"/>
        </w:rPr>
        <w:t xml:space="preserve"> demonstrate that business as usual is not an option regardless of the outcome of the FFTF policy initiative.</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Weddin Shire Council is currently debt free. However, plans to rebuild the aquatic centre and to build a new medical centre will require borrowings and the use of some reserves.</w:t>
      </w:r>
    </w:p>
    <w:p w:rsidR="004D232A" w:rsidRPr="004D232A" w:rsidRDefault="004D232A" w:rsidP="004D232A">
      <w:pPr>
        <w:keepLines/>
        <w:spacing w:before="120" w:after="0" w:line="280" w:lineRule="atLeast"/>
        <w:ind w:left="284" w:hanging="284"/>
        <w:jc w:val="both"/>
        <w:rPr>
          <w:rFonts w:ascii="Arial" w:eastAsia="Times New Roman" w:hAnsi="Arial" w:cs="Arial"/>
          <w:szCs w:val="21"/>
          <w:lang w:eastAsia="en-AU"/>
        </w:rPr>
      </w:pPr>
      <w:r w:rsidRPr="004D232A">
        <w:rPr>
          <w:rFonts w:ascii="Arial" w:eastAsia="Times New Roman" w:hAnsi="Arial" w:cs="Arial"/>
          <w:szCs w:val="21"/>
          <w:lang w:eastAsia="en-AU"/>
        </w:rPr>
        <w:t>As set out in the FFTF Panels final report:</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“As TCorp makes clear, a concerted, medium-long term strategy is required. This will need to combine fiscal discipline with improved financial and asset planning, accelerated increases in rates and charges where required, redistribution of grant funding, and improved efficiency and productivity.”</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LTFP SRV Scenario for Weddin indicates that financial sustainability is possible based on the achievable assumptions underlying this application.</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LTFP has been endorsed by the Council as being consistent with the community expectation of improved service delivery to retain services and advance the Shire of Weddin.</w:t>
      </w: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24" w:name="_Toc401138369"/>
      <w:r w:rsidRPr="004D232A">
        <w:rPr>
          <w:rFonts w:ascii="Arial" w:eastAsia="Times New Roman" w:hAnsi="Arial" w:cs="Times New Roman"/>
          <w:b/>
          <w:color w:val="00408A"/>
          <w:kern w:val="28"/>
          <w:sz w:val="24"/>
          <w:szCs w:val="24"/>
          <w:lang w:eastAsia="en-AU"/>
        </w:rPr>
        <w:lastRenderedPageBreak/>
        <w:t>Financial indicators</w:t>
      </w:r>
      <w:bookmarkEnd w:id="24"/>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How will the special variation affect the council’s key financial indicators (General Fund) over the 10-year planning period?  Please provide an analysis of council’s performance based on key indicators (current and forecast) which may include:</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Operating balance ratio excluding capital items (i.e., net operating result before capital grants and contributions as percentage of operating revenue before capital grants and contributions).</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Unrestricted current ratio (the unrestricted current assets divided by unrestricted current liabilities).</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Rates and annual charges ratio (rates and annual charges divided by operating revenue).</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Debt service ratio (principal and interest debt service costs divided by operating revenue excluding capital grants and contributions).</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Broad liabilities ratio (total debt plus cost to clear infrastructure backlogs as per Special Schedule 7 divided by operating revenue).</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Asset renewal ratio (asset renewals expenditure divided by depreciation, amortisation and impairment expenses).</w:t>
      </w:r>
    </w:p>
    <w:p w:rsidR="004D232A" w:rsidRPr="004D232A" w:rsidRDefault="004D232A" w:rsidP="004D232A">
      <w:pPr>
        <w:keepLines/>
        <w:spacing w:before="120" w:after="0" w:line="280" w:lineRule="atLeast"/>
        <w:jc w:val="both"/>
        <w:rPr>
          <w:rFonts w:ascii="Book Antiqua" w:eastAsia="Times New Roman" w:hAnsi="Book Antiqua" w:cs="Times New Roman"/>
          <w:szCs w:val="21"/>
          <w:lang w:eastAsia="en-AU"/>
        </w:rPr>
      </w:pPr>
    </w:p>
    <w:p w:rsidR="004D232A" w:rsidRPr="004D232A" w:rsidRDefault="004D232A" w:rsidP="004D232A">
      <w:pPr>
        <w:keepLines/>
        <w:spacing w:before="120" w:after="0" w:line="280" w:lineRule="atLeast"/>
        <w:ind w:left="284" w:hanging="284"/>
        <w:jc w:val="both"/>
        <w:rPr>
          <w:rFonts w:ascii="Arial" w:eastAsia="Times New Roman" w:hAnsi="Arial" w:cs="Arial"/>
          <w:szCs w:val="21"/>
          <w:u w:val="single"/>
          <w:lang w:eastAsia="en-AU"/>
        </w:rPr>
      </w:pPr>
      <w:r w:rsidRPr="004D232A">
        <w:rPr>
          <w:rFonts w:ascii="Arial" w:eastAsia="Times New Roman" w:hAnsi="Arial" w:cs="Arial"/>
          <w:szCs w:val="21"/>
          <w:u w:val="single"/>
          <w:lang w:eastAsia="en-AU"/>
        </w:rPr>
        <w:t>Operating Surplus Ratio:</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The Operating Surplus Ratio is considered one of the most important sustainability ratios. </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operating surplus graph below clearly shows the impact the SRV and other improvement measures have on Council’s path to financial sustainability. It shows a gradual improvement in this ratio over the forecast period with a positive ratio reached in the 2019/20 year. At this point, the Council’s operating revenues will fully exceed operating costs meaning Council is generating levels of revenues that can be used to fund proposed capital expenditure and/or debt repayments, and is less likely to compromise the levels of service expected by ratepayers.</w:t>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Book Antiqua" w:eastAsia="Times New Roman" w:hAnsi="Book Antiqua" w:cs="Times New Roman"/>
          <w:noProof/>
          <w:szCs w:val="21"/>
          <w:lang w:eastAsia="en-AU"/>
        </w:rPr>
        <w:lastRenderedPageBreak/>
        <w:drawing>
          <wp:inline distT="0" distB="0" distL="0" distR="0" wp14:anchorId="7AB0E4F0" wp14:editId="6F4BBB5A">
            <wp:extent cx="5040630" cy="2697121"/>
            <wp:effectExtent l="0" t="0" r="7620" b="8255"/>
            <wp:docPr id="19" name="Picture 19" descr="cid:image003.png@01D045F3.0413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045F3.0413083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040630" cy="2697121"/>
                    </a:xfrm>
                    <a:prstGeom prst="rect">
                      <a:avLst/>
                    </a:prstGeom>
                    <a:noFill/>
                    <a:ln>
                      <a:noFill/>
                    </a:ln>
                  </pic:spPr>
                </pic:pic>
              </a:graphicData>
            </a:graphic>
          </wp:inline>
        </w:drawing>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u w:val="single"/>
          <w:lang w:eastAsia="en-AU"/>
        </w:rPr>
      </w:pPr>
      <w:r w:rsidRPr="004D232A">
        <w:rPr>
          <w:rFonts w:ascii="Arial" w:eastAsia="Times New Roman" w:hAnsi="Arial" w:cs="Arial"/>
          <w:szCs w:val="21"/>
          <w:u w:val="single"/>
          <w:lang w:eastAsia="en-AU"/>
        </w:rPr>
        <w:t>Current Ratio:</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This ratio is a measure of Councils liquidity or ability to meet its short-term financial obligations. </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As the graph below shows, Council’s liquidity improves over the forecast period to a ratio of 7.4:1 in 2023/24. At all times, the ratio remains above the desired target level of 1.5:1.</w:t>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Book Antiqua" w:eastAsia="Times New Roman" w:hAnsi="Book Antiqua" w:cs="Times New Roman"/>
          <w:noProof/>
          <w:szCs w:val="21"/>
          <w:lang w:eastAsia="en-AU"/>
        </w:rPr>
        <w:drawing>
          <wp:inline distT="0" distB="0" distL="0" distR="0" wp14:anchorId="194C2E21" wp14:editId="1A9262A9">
            <wp:extent cx="5040630" cy="2903420"/>
            <wp:effectExtent l="0" t="0" r="7620" b="0"/>
            <wp:docPr id="20" name="Picture 20" descr="cid:image005.png@01D045F3.0413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5.png@01D045F3.0413083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040630" cy="2903420"/>
                    </a:xfrm>
                    <a:prstGeom prst="rect">
                      <a:avLst/>
                    </a:prstGeom>
                    <a:noFill/>
                    <a:ln>
                      <a:noFill/>
                    </a:ln>
                  </pic:spPr>
                </pic:pic>
              </a:graphicData>
            </a:graphic>
          </wp:inline>
        </w:drawing>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u w:val="single"/>
          <w:lang w:eastAsia="en-AU"/>
        </w:rPr>
      </w:pPr>
      <w:r w:rsidRPr="004D232A">
        <w:rPr>
          <w:rFonts w:ascii="Arial" w:eastAsia="Times New Roman" w:hAnsi="Arial" w:cs="Arial"/>
          <w:szCs w:val="21"/>
          <w:u w:val="single"/>
          <w:lang w:eastAsia="en-AU"/>
        </w:rPr>
        <w:lastRenderedPageBreak/>
        <w:t>Debt Service Ratio:</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Council plans to borrow $3.6 million in order to complete the Grenfell Pool  renewal.</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Debt Service Ratio indicates Councils capacity to service this debt. As shown in the graph below Council maintains a Debt Service Ratio of less than 5% over the forecast period which is well within the target benchmark of 0-20%.</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Book Antiqua" w:eastAsia="Times New Roman" w:hAnsi="Book Antiqua" w:cs="Times New Roman"/>
          <w:noProof/>
          <w:szCs w:val="21"/>
          <w:lang w:eastAsia="en-AU"/>
        </w:rPr>
        <w:drawing>
          <wp:inline distT="0" distB="0" distL="0" distR="0" wp14:anchorId="45509A0F" wp14:editId="40331002">
            <wp:extent cx="5040630" cy="2537533"/>
            <wp:effectExtent l="0" t="0" r="7620" b="0"/>
            <wp:docPr id="21" name="Picture 21" descr="cid:image008.png@01D045F3.0413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8.png@01D045F3.0413083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040630" cy="2537533"/>
                    </a:xfrm>
                    <a:prstGeom prst="rect">
                      <a:avLst/>
                    </a:prstGeom>
                    <a:noFill/>
                    <a:ln>
                      <a:noFill/>
                    </a:ln>
                  </pic:spPr>
                </pic:pic>
              </a:graphicData>
            </a:graphic>
          </wp:inline>
        </w:drawing>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u w:val="single"/>
          <w:lang w:eastAsia="en-AU"/>
        </w:rPr>
      </w:pPr>
      <w:r w:rsidRPr="004D232A">
        <w:rPr>
          <w:rFonts w:ascii="Arial" w:eastAsia="Times New Roman" w:hAnsi="Arial" w:cs="Arial"/>
          <w:szCs w:val="21"/>
          <w:u w:val="single"/>
          <w:lang w:eastAsia="en-AU"/>
        </w:rPr>
        <w:t>Assets Renewals Ratio:</w:t>
      </w: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This ratio outlines the rate at which assets are being renewed relative to the rate at which they are depreciating. </w:t>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 xml:space="preserve">Implementation of the SRV will assist the Council in achieving an improvement in the assets renewal ratio and in achieving the renewal of the Grenfell Pool. Under the SRV scenario, the asset renewal ratio remains above the target benchmark of 80%, assisting Council in maintaining its assets base over the longer term.   </w:t>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Lines/>
        <w:spacing w:before="120" w:after="0" w:line="280" w:lineRule="atLeast"/>
        <w:jc w:val="both"/>
        <w:rPr>
          <w:rFonts w:ascii="Arial" w:eastAsia="Times New Roman" w:hAnsi="Arial" w:cs="Arial"/>
          <w:szCs w:val="21"/>
          <w:lang w:eastAsia="en-AU"/>
        </w:rPr>
      </w:pPr>
      <w:r w:rsidRPr="004D232A">
        <w:rPr>
          <w:rFonts w:ascii="Book Antiqua" w:eastAsia="Times New Roman" w:hAnsi="Book Antiqua" w:cs="Times New Roman"/>
          <w:noProof/>
          <w:szCs w:val="21"/>
          <w:lang w:eastAsia="en-AU"/>
        </w:rPr>
        <w:lastRenderedPageBreak/>
        <w:drawing>
          <wp:inline distT="0" distB="0" distL="0" distR="0" wp14:anchorId="34242182" wp14:editId="69265609">
            <wp:extent cx="4903470" cy="2813685"/>
            <wp:effectExtent l="0" t="0" r="0" b="5715"/>
            <wp:docPr id="22" name="Picture 22" descr="cid:image012.png@01D045F3.0413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12.png@01D045F3.0413083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903470" cy="2813685"/>
                    </a:xfrm>
                    <a:prstGeom prst="rect">
                      <a:avLst/>
                    </a:prstGeom>
                    <a:noFill/>
                    <a:ln>
                      <a:noFill/>
                    </a:ln>
                  </pic:spPr>
                </pic:pic>
              </a:graphicData>
            </a:graphic>
          </wp:inline>
        </w:drawing>
      </w:r>
    </w:p>
    <w:p w:rsidR="004D232A" w:rsidRPr="004D232A" w:rsidRDefault="004D232A" w:rsidP="004D232A">
      <w:pPr>
        <w:keepLines/>
        <w:spacing w:before="120" w:after="0" w:line="280" w:lineRule="atLeast"/>
        <w:jc w:val="both"/>
        <w:rPr>
          <w:rFonts w:ascii="Arial" w:eastAsia="Times New Roman" w:hAnsi="Arial" w:cs="Arial"/>
          <w:szCs w:val="21"/>
          <w:lang w:eastAsia="en-AU"/>
        </w:rPr>
      </w:pP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25" w:name="_Toc401138370"/>
      <w:r w:rsidRPr="004D232A">
        <w:rPr>
          <w:rFonts w:ascii="Arial" w:eastAsia="Times New Roman" w:hAnsi="Arial" w:cs="Times New Roman"/>
          <w:b/>
          <w:color w:val="00408A"/>
          <w:kern w:val="28"/>
          <w:sz w:val="24"/>
          <w:szCs w:val="24"/>
          <w:lang w:eastAsia="en-AU"/>
        </w:rPr>
        <w:t>Contribution plan costs above the cap</w:t>
      </w:r>
      <w:bookmarkEnd w:id="25"/>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You should complete this section if the special variation seeks funding for contributions plan costs above the development contributions cap. Otherwise, leave this section blank.</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Please explain how the council has established the need for a special variation to meet the shortfall in development contributions.</w:t>
      </w:r>
    </w:p>
    <w:p w:rsidR="004D232A" w:rsidRPr="004D232A" w:rsidRDefault="004D232A" w:rsidP="004D232A">
      <w:pPr>
        <w:spacing w:before="140" w:after="0" w:line="270" w:lineRule="atLeast"/>
        <w:jc w:val="both"/>
        <w:rPr>
          <w:rFonts w:ascii="Arial" w:eastAsia="Times New Roman" w:hAnsi="Arial" w:cs="Times New Roman"/>
          <w:bCs/>
          <w:sz w:val="20"/>
          <w:szCs w:val="20"/>
          <w:lang w:eastAsia="en-AU"/>
        </w:rPr>
      </w:pPr>
      <w:r w:rsidRPr="004D232A">
        <w:rPr>
          <w:rFonts w:ascii="Book Antiqua" w:eastAsia="Times New Roman" w:hAnsi="Book Antiqua" w:cs="Times New Roman"/>
          <w:szCs w:val="21"/>
          <w:lang w:eastAsia="en-AU"/>
        </w:rPr>
        <w:t>For costs above the cap in contributions plans, a council must provide:</w:t>
      </w:r>
      <w:r w:rsidRPr="004D232A">
        <w:rPr>
          <w:rFonts w:ascii="Book Antiqua" w:eastAsia="Times New Roman" w:hAnsi="Book Antiqua" w:cs="Times New Roman"/>
          <w:position w:val="4"/>
          <w:sz w:val="15"/>
          <w:szCs w:val="15"/>
          <w:lang w:eastAsia="en-AU"/>
        </w:rPr>
        <w:footnoteReference w:id="9"/>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 copy of the council’s section 94 contributions plan</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 copy of the Minister for Planning’s response to IPART’s review and details of how the council has subsequently amended the contributions plan</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details of any other funding sources that the council is proposing to use</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any reference to the proposed contributions (which were previously to be funded by developers) in the council’s planning documents (e.g., LTFP and Asset Management Plan (AMP).</w:t>
      </w:r>
    </w:p>
    <w:p w:rsidR="004D232A" w:rsidRPr="004D232A" w:rsidRDefault="004D232A" w:rsidP="004D232A">
      <w:pPr>
        <w:keepLines/>
        <w:spacing w:before="120" w:after="0" w:line="280" w:lineRule="atLeast"/>
        <w:jc w:val="both"/>
        <w:rPr>
          <w:rFonts w:ascii="Book Antiqua" w:eastAsia="Times New Roman" w:hAnsi="Book Antiqua" w:cs="Times New Roman"/>
          <w:szCs w:val="21"/>
          <w:lang w:eastAsia="en-AU"/>
        </w:r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4D232A" w:rsidRPr="004D232A" w:rsidTr="00B60324">
        <w:trPr>
          <w:cantSplit/>
          <w:trHeight w:val="555"/>
        </w:trPr>
        <w:tc>
          <w:tcPr>
            <w:tcW w:w="8368" w:type="dxa"/>
            <w:shd w:val="clear" w:color="auto" w:fill="auto"/>
            <w:tcMar>
              <w:left w:w="0" w:type="dxa"/>
              <w:right w:w="0" w:type="dxa"/>
            </w:tcMar>
          </w:tcPr>
          <w:p w:rsidR="004D232A" w:rsidRPr="004D232A" w:rsidRDefault="004D232A" w:rsidP="004D232A">
            <w:pPr>
              <w:spacing w:after="0" w:line="240" w:lineRule="auto"/>
              <w:rPr>
                <w:rFonts w:ascii="Book Antiqua" w:eastAsia="Times New Roman" w:hAnsi="Book Antiqua" w:cs="Times New Roman"/>
                <w:szCs w:val="24"/>
                <w:lang w:eastAsia="en-AU"/>
              </w:rPr>
            </w:pPr>
            <w:r w:rsidRPr="004D232A">
              <w:rPr>
                <w:rFonts w:ascii="Book Antiqua" w:eastAsia="Times New Roman" w:hAnsi="Book Antiqua" w:cs="Times New Roman"/>
                <w:szCs w:val="24"/>
                <w:lang w:eastAsia="en-AU"/>
              </w:rPr>
              <w:fldChar w:fldCharType="begin">
                <w:ffData>
                  <w:name w:val="Text3"/>
                  <w:enabled/>
                  <w:calcOnExit w:val="0"/>
                  <w:textInput/>
                </w:ffData>
              </w:fldChar>
            </w:r>
            <w:r w:rsidRPr="004D232A">
              <w:rPr>
                <w:rFonts w:ascii="Book Antiqua" w:eastAsia="Times New Roman" w:hAnsi="Book Antiqua" w:cs="Times New Roman"/>
                <w:szCs w:val="24"/>
                <w:lang w:eastAsia="en-AU"/>
              </w:rPr>
              <w:instrText xml:space="preserve"> FORMTEXT </w:instrText>
            </w:r>
            <w:r w:rsidRPr="004D232A">
              <w:rPr>
                <w:rFonts w:ascii="Book Antiqua" w:eastAsia="Times New Roman" w:hAnsi="Book Antiqua" w:cs="Times New Roman"/>
                <w:szCs w:val="24"/>
                <w:lang w:eastAsia="en-AU"/>
              </w:rPr>
            </w:r>
            <w:r w:rsidRPr="004D232A">
              <w:rPr>
                <w:rFonts w:ascii="Book Antiqua" w:eastAsia="Times New Roman" w:hAnsi="Book Antiqua" w:cs="Times New Roman"/>
                <w:szCs w:val="24"/>
                <w:lang w:eastAsia="en-AU"/>
              </w:rPr>
              <w:fldChar w:fldCharType="separate"/>
            </w:r>
            <w:r w:rsidRPr="004D232A">
              <w:rPr>
                <w:rFonts w:ascii="Book Antiqua" w:eastAsia="Times New Roman" w:hAnsi="Book Antiqua" w:cs="Times New Roman"/>
                <w:noProof/>
                <w:szCs w:val="24"/>
                <w:lang w:eastAsia="en-AU"/>
              </w:rPr>
              <w:t> </w:t>
            </w:r>
            <w:r w:rsidRPr="004D232A">
              <w:rPr>
                <w:rFonts w:ascii="Book Antiqua" w:eastAsia="Times New Roman" w:hAnsi="Book Antiqua" w:cs="Times New Roman"/>
                <w:noProof/>
                <w:szCs w:val="24"/>
                <w:lang w:eastAsia="en-AU"/>
              </w:rPr>
              <w:t> </w:t>
            </w:r>
            <w:r w:rsidRPr="004D232A">
              <w:rPr>
                <w:rFonts w:ascii="Book Antiqua" w:eastAsia="Times New Roman" w:hAnsi="Book Antiqua" w:cs="Times New Roman"/>
                <w:noProof/>
                <w:szCs w:val="24"/>
                <w:lang w:eastAsia="en-AU"/>
              </w:rPr>
              <w:t> </w:t>
            </w:r>
            <w:r w:rsidRPr="004D232A">
              <w:rPr>
                <w:rFonts w:ascii="Book Antiqua" w:eastAsia="Times New Roman" w:hAnsi="Book Antiqua" w:cs="Times New Roman"/>
                <w:noProof/>
                <w:szCs w:val="24"/>
                <w:lang w:eastAsia="en-AU"/>
              </w:rPr>
              <w:t> </w:t>
            </w:r>
            <w:r w:rsidRPr="004D232A">
              <w:rPr>
                <w:rFonts w:ascii="Book Antiqua" w:eastAsia="Times New Roman" w:hAnsi="Book Antiqua" w:cs="Times New Roman"/>
                <w:noProof/>
                <w:szCs w:val="24"/>
                <w:lang w:eastAsia="en-AU"/>
              </w:rPr>
              <w:t> </w:t>
            </w:r>
            <w:r w:rsidRPr="004D232A">
              <w:rPr>
                <w:rFonts w:ascii="Book Antiqua" w:eastAsia="Times New Roman" w:hAnsi="Book Antiqua" w:cs="Times New Roman"/>
                <w:szCs w:val="24"/>
                <w:lang w:eastAsia="en-AU"/>
              </w:rPr>
              <w:fldChar w:fldCharType="end"/>
            </w:r>
          </w:p>
        </w:tc>
      </w:tr>
    </w:tbl>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bookmarkStart w:id="26" w:name="_Toc401138371"/>
      <w:r w:rsidRPr="004D232A">
        <w:rPr>
          <w:rFonts w:ascii="Arial" w:eastAsia="Times New Roman" w:hAnsi="Arial" w:cs="Arial"/>
          <w:b/>
          <w:bCs/>
          <w:color w:val="00408A"/>
          <w:kern w:val="32"/>
          <w:sz w:val="30"/>
          <w:szCs w:val="30"/>
          <w:lang w:eastAsia="en-AU"/>
        </w:rPr>
        <w:lastRenderedPageBreak/>
        <w:t>Assessment criterion 2: Community awareness and engagement</w:t>
      </w:r>
      <w:bookmarkEnd w:id="26"/>
    </w:p>
    <w:p w:rsidR="004D232A" w:rsidRPr="004D232A" w:rsidRDefault="004D232A" w:rsidP="004D232A">
      <w:pPr>
        <w:spacing w:before="240" w:after="24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Criterion 2 within the OLG Guidelines is:</w:t>
      </w:r>
    </w:p>
    <w:p w:rsidR="004D232A" w:rsidRPr="004D232A" w:rsidRDefault="004D232A" w:rsidP="004D232A">
      <w:pPr>
        <w:spacing w:before="120" w:after="0" w:line="260" w:lineRule="atLeast"/>
        <w:ind w:left="284"/>
        <w:jc w:val="both"/>
        <w:rPr>
          <w:rFonts w:ascii="Arial" w:eastAsia="Times New Roman" w:hAnsi="Arial" w:cs="Times New Roman"/>
          <w:i/>
          <w:sz w:val="20"/>
          <w:szCs w:val="19"/>
          <w:lang w:eastAsia="en-AU"/>
        </w:rPr>
      </w:pPr>
      <w:r w:rsidRPr="004D232A">
        <w:rPr>
          <w:rFonts w:ascii="Arial" w:eastAsia="Times New Roman" w:hAnsi="Arial" w:cs="Times New Roman"/>
          <w:i/>
          <w:sz w:val="20"/>
          <w:szCs w:val="19"/>
          <w:lang w:eastAsia="en-AU"/>
        </w:rPr>
        <w:t>Evidence that the community is aware of the need for and extent of a rate rise.  The IP&amp;R documentation should clearly set out the extent of the General Fund rate rise under the special variation.  The council’s community engagement strategy for the special variation must demonstrate an appropriate variety of engagement methods to ensure an opportunity for community awareness and input to occur.</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In responding to this criterion, the council must provide evidence that:</w:t>
      </w:r>
      <w:r w:rsidRPr="004D232A">
        <w:rPr>
          <w:rFonts w:ascii="Book Antiqua" w:eastAsia="Times New Roman" w:hAnsi="Book Antiqua" w:cs="Times New Roman"/>
          <w:position w:val="4"/>
          <w:sz w:val="15"/>
          <w:szCs w:val="15"/>
          <w:lang w:eastAsia="en-AU"/>
        </w:rPr>
        <w:t xml:space="preserve"> </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it has consulted and engaged the community about the special variation using a variety of engagement methods and that the community is aware of the need for, and extent of, the requested rate increases</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it provided opportunities for input and gathered input/feedback from the community about the proposal</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IP&amp;R documents clearly set out the extent of the requested rate increases.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In assessing the evidence, we will consider how transparent the engagement with the community has been, especially in relation to explaining: </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proposed cumulative special variation rate increases including the rate peg for each rating category (in both percentage and dollar terms)</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annual increase in rates that will result if the special variation is approved in full (and not just the increase in daily or weekly terms)</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size and impact of any expiring special variation (see Box 4.1 below for further detail)</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rate levels that would apply without the special variation</w:t>
      </w:r>
    </w:p>
    <w:p w:rsidR="004D232A" w:rsidRPr="004D232A" w:rsidRDefault="004D232A" w:rsidP="004D232A">
      <w:pPr>
        <w:keepLines/>
        <w:tabs>
          <w:tab w:val="num" w:pos="284"/>
        </w:tabs>
        <w:spacing w:before="120" w:after="0" w:line="280" w:lineRule="atLeast"/>
        <w:ind w:left="284" w:hanging="284"/>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proposed increases in any other council charges (e.g., waste management, water and sewer), especially if these are likely to exceed the increase in the CPI.</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More information about how the council may engage the community is to be found in the OLG </w:t>
      </w:r>
      <w:r w:rsidRPr="004D232A">
        <w:rPr>
          <w:rFonts w:ascii="Book Antiqua" w:eastAsia="Times New Roman" w:hAnsi="Book Antiqua" w:cs="Times New Roman"/>
          <w:i/>
          <w:szCs w:val="21"/>
          <w:lang w:eastAsia="en-AU"/>
        </w:rPr>
        <w:t>Guidelines</w:t>
      </w:r>
      <w:r w:rsidRPr="004D232A">
        <w:rPr>
          <w:rFonts w:ascii="Book Antiqua" w:eastAsia="Times New Roman" w:hAnsi="Book Antiqua" w:cs="Times New Roman"/>
          <w:szCs w:val="21"/>
          <w:lang w:eastAsia="en-AU"/>
        </w:rPr>
        <w:t xml:space="preserve">, the IP&amp;R manual, and IPART’s Fact Sheet </w:t>
      </w:r>
      <w:r w:rsidRPr="004D232A">
        <w:rPr>
          <w:rFonts w:ascii="Book Antiqua" w:eastAsia="Times New Roman" w:hAnsi="Book Antiqua" w:cs="Times New Roman"/>
          <w:i/>
          <w:szCs w:val="21"/>
          <w:lang w:eastAsia="en-AU"/>
        </w:rPr>
        <w:t>Community Awareness and Engagement for special variation applications</w:t>
      </w:r>
      <w:r w:rsidRPr="004D232A">
        <w:rPr>
          <w:rFonts w:ascii="Book Antiqua" w:eastAsia="Times New Roman" w:hAnsi="Book Antiqua" w:cs="Times New Roman"/>
          <w:szCs w:val="21"/>
          <w:lang w:eastAsia="en-AU"/>
        </w:rPr>
        <w:t>, October 2014.</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tbl>
      <w:tblPr>
        <w:tblW w:w="7938" w:type="dxa"/>
        <w:tblLayout w:type="fixed"/>
        <w:tblCellMar>
          <w:left w:w="28" w:type="dxa"/>
          <w:right w:w="28" w:type="dxa"/>
        </w:tblCellMar>
        <w:tblLook w:val="0000" w:firstRow="0" w:lastRow="0" w:firstColumn="0" w:lastColumn="0" w:noHBand="0" w:noVBand="0"/>
      </w:tblPr>
      <w:tblGrid>
        <w:gridCol w:w="7938"/>
      </w:tblGrid>
      <w:tr w:rsidR="004D232A" w:rsidRPr="004D232A" w:rsidTr="00B60324">
        <w:trPr>
          <w:cantSplit/>
        </w:trPr>
        <w:tc>
          <w:tcPr>
            <w:tcW w:w="7938" w:type="dxa"/>
            <w:tcBorders>
              <w:top w:val="single" w:sz="24" w:space="0" w:color="7C7C7C"/>
            </w:tcBorders>
            <w:shd w:val="clear" w:color="auto" w:fill="auto"/>
            <w:tcMar>
              <w:left w:w="0" w:type="dxa"/>
              <w:right w:w="0" w:type="dxa"/>
            </w:tcMar>
          </w:tcPr>
          <w:p w:rsidR="004D232A" w:rsidRPr="004D232A" w:rsidRDefault="004D232A" w:rsidP="004D232A">
            <w:pPr>
              <w:keepNext/>
              <w:spacing w:before="140" w:after="60" w:line="260" w:lineRule="atLeast"/>
              <w:ind w:left="1219" w:hanging="1219"/>
              <w:rPr>
                <w:rFonts w:ascii="Arial" w:eastAsia="Times New Roman" w:hAnsi="Arial" w:cs="Times New Roman"/>
                <w:b/>
                <w:sz w:val="21"/>
                <w:szCs w:val="21"/>
                <w:lang w:eastAsia="en-AU"/>
              </w:rPr>
            </w:pPr>
            <w:r w:rsidRPr="004D232A">
              <w:rPr>
                <w:rFonts w:ascii="Arial" w:eastAsia="Times New Roman" w:hAnsi="Arial" w:cs="Times New Roman"/>
                <w:b/>
                <w:sz w:val="21"/>
                <w:szCs w:val="21"/>
                <w:lang w:eastAsia="en-AU"/>
              </w:rPr>
              <w:lastRenderedPageBreak/>
              <w:fldChar w:fldCharType="begin"/>
            </w:r>
            <w:r w:rsidRPr="004D232A">
              <w:rPr>
                <w:rFonts w:ascii="Arial" w:eastAsia="Times New Roman" w:hAnsi="Arial" w:cs="Times New Roman"/>
                <w:b/>
                <w:sz w:val="21"/>
                <w:szCs w:val="21"/>
                <w:lang w:eastAsia="en-AU"/>
              </w:rPr>
              <w:instrText xml:space="preserve"> IF 1 = 1 "Box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IF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STYLEREF "Heading 6" \l \n </w:instrText>
            </w:r>
            <w:r w:rsidRPr="004D232A">
              <w:rPr>
                <w:rFonts w:ascii="Arial" w:eastAsia="Times New Roman" w:hAnsi="Arial" w:cs="Times New Roman"/>
                <w:b/>
                <w:sz w:val="21"/>
                <w:szCs w:val="21"/>
                <w:lang w:eastAsia="en-AU"/>
              </w:rPr>
              <w:fldChar w:fldCharType="separate"/>
            </w:r>
            <w:r w:rsidR="00AE4968">
              <w:rPr>
                <w:rFonts w:ascii="Arial" w:eastAsia="Times New Roman" w:hAnsi="Arial" w:cs="Times New Roman"/>
                <w:bCs/>
                <w:noProof/>
                <w:sz w:val="21"/>
                <w:szCs w:val="21"/>
                <w:lang w:val="en-US" w:eastAsia="en-AU"/>
              </w:rPr>
              <w:instrText>Error! No text of specified style in document.</w:instrText>
            </w:r>
            <w:r w:rsidRPr="004D232A">
              <w:rPr>
                <w:rFonts w:ascii="Arial" w:eastAsia="Times New Roman" w:hAnsi="Arial" w:cs="Times New Roman"/>
                <w:b/>
                <w:noProof/>
                <w:sz w:val="21"/>
                <w:szCs w:val="21"/>
                <w:lang w:eastAsia="en-AU"/>
              </w:rPr>
              <w:fldChar w:fldCharType="end"/>
            </w:r>
            <w:r w:rsidRPr="004D232A">
              <w:rPr>
                <w:rFonts w:ascii="Arial" w:eastAsia="Times New Roman" w:hAnsi="Arial" w:cs="Times New Roman"/>
                <w:b/>
                <w:sz w:val="21"/>
                <w:szCs w:val="21"/>
                <w:lang w:eastAsia="en-AU"/>
              </w:rPr>
              <w:instrText xml:space="preserve"> = 0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IF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STYLEREF "Heading 1" \l \n </w:instrText>
            </w:r>
            <w:r w:rsidRPr="004D232A">
              <w:rPr>
                <w:rFonts w:ascii="Arial" w:eastAsia="Times New Roman" w:hAnsi="Arial" w:cs="Times New Roman"/>
                <w:b/>
                <w:sz w:val="21"/>
                <w:szCs w:val="21"/>
                <w:lang w:eastAsia="en-AU"/>
              </w:rPr>
              <w:fldChar w:fldCharType="separate"/>
            </w:r>
            <w:r w:rsidRPr="004D232A">
              <w:rPr>
                <w:rFonts w:ascii="Arial" w:eastAsia="Times New Roman" w:hAnsi="Arial" w:cs="Times New Roman"/>
                <w:b/>
                <w:noProof/>
                <w:sz w:val="21"/>
                <w:szCs w:val="21"/>
                <w:lang w:eastAsia="en-AU"/>
              </w:rPr>
              <w:instrText>4</w:instrText>
            </w:r>
            <w:r w:rsidRPr="004D232A">
              <w:rPr>
                <w:rFonts w:ascii="Arial" w:eastAsia="Times New Roman" w:hAnsi="Arial" w:cs="Times New Roman"/>
                <w:b/>
                <w:noProof/>
                <w:sz w:val="21"/>
                <w:szCs w:val="21"/>
                <w:lang w:eastAsia="en-AU"/>
              </w:rPr>
              <w:fldChar w:fldCharType="end"/>
            </w:r>
            <w:r w:rsidRPr="004D232A">
              <w:rPr>
                <w:rFonts w:ascii="Arial" w:eastAsia="Times New Roman" w:hAnsi="Arial" w:cs="Times New Roman"/>
                <w:b/>
                <w:sz w:val="21"/>
                <w:szCs w:val="21"/>
                <w:lang w:eastAsia="en-AU"/>
              </w:rPr>
              <w:instrText xml:space="preserve"> = 0 ""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STYLEREF "Heading 1" \l \n </w:instrText>
            </w:r>
            <w:r w:rsidRPr="004D232A">
              <w:rPr>
                <w:rFonts w:ascii="Arial" w:eastAsia="Times New Roman" w:hAnsi="Arial" w:cs="Times New Roman"/>
                <w:b/>
                <w:sz w:val="21"/>
                <w:szCs w:val="21"/>
                <w:lang w:eastAsia="en-AU"/>
              </w:rPr>
              <w:fldChar w:fldCharType="separate"/>
            </w:r>
            <w:r w:rsidRPr="004D232A">
              <w:rPr>
                <w:rFonts w:ascii="Arial" w:eastAsia="Times New Roman" w:hAnsi="Arial" w:cs="Times New Roman"/>
                <w:b/>
                <w:noProof/>
                <w:sz w:val="21"/>
                <w:szCs w:val="21"/>
                <w:lang w:eastAsia="en-AU"/>
              </w:rPr>
              <w:instrText>4</w:instrText>
            </w:r>
            <w:r w:rsidRPr="004D232A">
              <w:rPr>
                <w:rFonts w:ascii="Arial" w:eastAsia="Times New Roman" w:hAnsi="Arial" w:cs="Times New Roman"/>
                <w:b/>
                <w:noProof/>
                <w:sz w:val="21"/>
                <w:szCs w:val="21"/>
                <w:lang w:eastAsia="en-AU"/>
              </w:rPr>
              <w:fldChar w:fldCharType="end"/>
            </w:r>
            <w:r w:rsidRPr="004D232A">
              <w:rPr>
                <w:rFonts w:ascii="Arial" w:eastAsia="Times New Roman" w:hAnsi="Arial" w:cs="Times New Roman"/>
                <w:b/>
                <w:sz w:val="21"/>
                <w:szCs w:val="21"/>
                <w:lang w:eastAsia="en-AU"/>
              </w:rPr>
              <w:instrText xml:space="preserve">." </w:instrText>
            </w:r>
            <w:r w:rsidRPr="004D232A">
              <w:rPr>
                <w:rFonts w:ascii="Arial" w:eastAsia="Times New Roman" w:hAnsi="Arial" w:cs="Times New Roman"/>
                <w:b/>
                <w:sz w:val="21"/>
                <w:szCs w:val="21"/>
                <w:lang w:eastAsia="en-AU"/>
              </w:rPr>
              <w:fldChar w:fldCharType="separate"/>
            </w:r>
            <w:r w:rsidRPr="004D232A">
              <w:rPr>
                <w:rFonts w:ascii="Arial" w:eastAsia="Times New Roman" w:hAnsi="Arial" w:cs="Times New Roman"/>
                <w:b/>
                <w:noProof/>
                <w:sz w:val="21"/>
                <w:szCs w:val="21"/>
                <w:lang w:eastAsia="en-AU"/>
              </w:rPr>
              <w:instrText>4.</w:instrText>
            </w:r>
            <w:r w:rsidRPr="004D232A">
              <w:rPr>
                <w:rFonts w:ascii="Arial" w:eastAsia="Times New Roman" w:hAnsi="Arial" w:cs="Times New Roman"/>
                <w:b/>
                <w:sz w:val="21"/>
                <w:szCs w:val="21"/>
                <w:lang w:eastAsia="en-AU"/>
              </w:rPr>
              <w:fldChar w:fldCharType="end"/>
            </w:r>
            <w:r w:rsidRPr="004D232A">
              <w:rPr>
                <w:rFonts w:ascii="Arial" w:eastAsia="Times New Roman" w:hAnsi="Arial" w:cs="Times New Roman"/>
                <w:b/>
                <w:sz w:val="21"/>
                <w:szCs w:val="21"/>
                <w:lang w:eastAsia="en-AU"/>
              </w:rPr>
              <w:instrText>"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STYLEREF "Heading 6" \l \n </w:instrText>
            </w:r>
            <w:r w:rsidRPr="004D232A">
              <w:rPr>
                <w:rFonts w:ascii="Arial" w:eastAsia="Times New Roman" w:hAnsi="Arial" w:cs="Times New Roman"/>
                <w:b/>
                <w:sz w:val="21"/>
                <w:szCs w:val="21"/>
                <w:lang w:eastAsia="en-AU"/>
              </w:rPr>
              <w:fldChar w:fldCharType="separate"/>
            </w:r>
            <w:r w:rsidR="00AE4968">
              <w:rPr>
                <w:rFonts w:ascii="Arial" w:eastAsia="Times New Roman" w:hAnsi="Arial" w:cs="Times New Roman"/>
                <w:bCs/>
                <w:noProof/>
                <w:sz w:val="21"/>
                <w:szCs w:val="21"/>
                <w:lang w:val="en-US" w:eastAsia="en-AU"/>
              </w:rPr>
              <w:instrText>Error! No text of specified style in document.</w:instrText>
            </w:r>
            <w:r w:rsidRPr="004D232A">
              <w:rPr>
                <w:rFonts w:ascii="Arial" w:eastAsia="Times New Roman" w:hAnsi="Arial" w:cs="Times New Roman"/>
                <w:b/>
                <w:sz w:val="21"/>
                <w:szCs w:val="21"/>
                <w:lang w:eastAsia="en-AU"/>
              </w:rPr>
              <w:fldChar w:fldCharType="end"/>
            </w:r>
            <w:r w:rsidRPr="004D232A">
              <w:rPr>
                <w:rFonts w:ascii="Arial" w:eastAsia="Times New Roman" w:hAnsi="Arial" w:cs="Times New Roman"/>
                <w:b/>
                <w:sz w:val="21"/>
                <w:szCs w:val="21"/>
                <w:lang w:eastAsia="en-AU"/>
              </w:rPr>
              <w:instrText xml:space="preserve">." </w:instrText>
            </w:r>
            <w:r w:rsidRPr="004D232A">
              <w:rPr>
                <w:rFonts w:ascii="Arial" w:eastAsia="Times New Roman" w:hAnsi="Arial" w:cs="Times New Roman"/>
                <w:b/>
                <w:sz w:val="21"/>
                <w:szCs w:val="21"/>
                <w:lang w:eastAsia="en-AU"/>
              </w:rPr>
              <w:fldChar w:fldCharType="separate"/>
            </w:r>
            <w:r w:rsidR="00AE4968">
              <w:rPr>
                <w:rFonts w:ascii="Arial" w:eastAsia="Times New Roman" w:hAnsi="Arial" w:cs="Times New Roman"/>
                <w:bCs/>
                <w:noProof/>
                <w:sz w:val="21"/>
                <w:szCs w:val="21"/>
                <w:lang w:val="en-US" w:eastAsia="en-AU"/>
              </w:rPr>
              <w:instrText>Error! No text of specified style in document.</w:instrText>
            </w:r>
            <w:r w:rsidR="00AE4968" w:rsidRPr="004D232A">
              <w:rPr>
                <w:rFonts w:ascii="Arial" w:eastAsia="Times New Roman" w:hAnsi="Arial" w:cs="Times New Roman"/>
                <w:b/>
                <w:noProof/>
                <w:sz w:val="21"/>
                <w:szCs w:val="21"/>
                <w:lang w:eastAsia="en-AU"/>
              </w:rPr>
              <w:instrText>.</w:instrText>
            </w:r>
            <w:r w:rsidRPr="004D232A">
              <w:rPr>
                <w:rFonts w:ascii="Arial" w:eastAsia="Times New Roman" w:hAnsi="Arial" w:cs="Times New Roman"/>
                <w:b/>
                <w:sz w:val="21"/>
                <w:szCs w:val="21"/>
                <w:lang w:eastAsia="en-AU"/>
              </w:rPr>
              <w:fldChar w:fldCharType="end"/>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SEQ Box \* ARABIC \s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IF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STYLEREF "Heading 6" \l \n </w:instrText>
            </w:r>
            <w:r w:rsidRPr="004D232A">
              <w:rPr>
                <w:rFonts w:ascii="Arial" w:eastAsia="Times New Roman" w:hAnsi="Arial" w:cs="Times New Roman"/>
                <w:b/>
                <w:sz w:val="21"/>
                <w:szCs w:val="21"/>
                <w:lang w:eastAsia="en-AU"/>
              </w:rPr>
              <w:fldChar w:fldCharType="separate"/>
            </w:r>
            <w:r w:rsidR="00AE4968">
              <w:rPr>
                <w:rFonts w:ascii="Arial" w:eastAsia="Times New Roman" w:hAnsi="Arial" w:cs="Times New Roman"/>
                <w:bCs/>
                <w:noProof/>
                <w:sz w:val="21"/>
                <w:szCs w:val="21"/>
                <w:lang w:val="en-US" w:eastAsia="en-AU"/>
              </w:rPr>
              <w:instrText>Error! No text of specified style in document.</w:instrText>
            </w:r>
            <w:r w:rsidRPr="004D232A">
              <w:rPr>
                <w:rFonts w:ascii="Arial" w:eastAsia="Times New Roman" w:hAnsi="Arial" w:cs="Times New Roman"/>
                <w:b/>
                <w:noProof/>
                <w:sz w:val="21"/>
                <w:szCs w:val="21"/>
                <w:lang w:eastAsia="en-AU"/>
              </w:rPr>
              <w:fldChar w:fldCharType="end"/>
            </w:r>
            <w:r w:rsidRPr="004D232A">
              <w:rPr>
                <w:rFonts w:ascii="Arial" w:eastAsia="Times New Roman" w:hAnsi="Arial" w:cs="Times New Roman"/>
                <w:b/>
                <w:sz w:val="21"/>
                <w:szCs w:val="21"/>
                <w:lang w:eastAsia="en-AU"/>
              </w:rPr>
              <w:instrText xml:space="preserve"> = 0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IF </w:instrText>
            </w:r>
            <w:r w:rsidRPr="004D232A">
              <w:rPr>
                <w:rFonts w:ascii="Arial" w:eastAsia="Times New Roman" w:hAnsi="Arial" w:cs="Times New Roman"/>
                <w:b/>
                <w:sz w:val="21"/>
                <w:szCs w:val="21"/>
                <w:lang w:eastAsia="en-AU"/>
              </w:rPr>
              <w:fldChar w:fldCharType="begin"/>
            </w:r>
            <w:r w:rsidRPr="004D232A">
              <w:rPr>
                <w:rFonts w:ascii="Arial" w:eastAsia="Times New Roman" w:hAnsi="Arial" w:cs="Times New Roman"/>
                <w:b/>
                <w:sz w:val="21"/>
                <w:szCs w:val="21"/>
                <w:lang w:eastAsia="en-AU"/>
              </w:rPr>
              <w:instrText xml:space="preserve"> STYLEREF "Heading 1" \l \n </w:instrText>
            </w:r>
            <w:r w:rsidRPr="004D232A">
              <w:rPr>
                <w:rFonts w:ascii="Arial" w:eastAsia="Times New Roman" w:hAnsi="Arial" w:cs="Times New Roman"/>
                <w:b/>
                <w:sz w:val="21"/>
                <w:szCs w:val="21"/>
                <w:lang w:eastAsia="en-AU"/>
              </w:rPr>
              <w:fldChar w:fldCharType="separate"/>
            </w:r>
            <w:r w:rsidRPr="004D232A">
              <w:rPr>
                <w:rFonts w:ascii="Arial" w:eastAsia="Times New Roman" w:hAnsi="Arial" w:cs="Times New Roman"/>
                <w:b/>
                <w:noProof/>
                <w:sz w:val="21"/>
                <w:szCs w:val="21"/>
                <w:lang w:eastAsia="en-AU"/>
              </w:rPr>
              <w:instrText>4</w:instrText>
            </w:r>
            <w:r w:rsidRPr="004D232A">
              <w:rPr>
                <w:rFonts w:ascii="Arial" w:eastAsia="Times New Roman" w:hAnsi="Arial" w:cs="Times New Roman"/>
                <w:b/>
                <w:noProof/>
                <w:sz w:val="21"/>
                <w:szCs w:val="21"/>
                <w:lang w:eastAsia="en-AU"/>
              </w:rPr>
              <w:fldChar w:fldCharType="end"/>
            </w:r>
            <w:r w:rsidRPr="004D232A">
              <w:rPr>
                <w:rFonts w:ascii="Arial" w:eastAsia="Times New Roman" w:hAnsi="Arial" w:cs="Times New Roman"/>
                <w:b/>
                <w:sz w:val="21"/>
                <w:szCs w:val="21"/>
                <w:lang w:eastAsia="en-AU"/>
              </w:rPr>
              <w:instrText xml:space="preserve"> = 0 "" "1" </w:instrText>
            </w:r>
            <w:r w:rsidRPr="004D232A">
              <w:rPr>
                <w:rFonts w:ascii="Arial" w:eastAsia="Times New Roman" w:hAnsi="Arial" w:cs="Times New Roman"/>
                <w:b/>
                <w:sz w:val="21"/>
                <w:szCs w:val="21"/>
                <w:lang w:eastAsia="en-AU"/>
              </w:rPr>
              <w:fldChar w:fldCharType="separate"/>
            </w:r>
            <w:r w:rsidRPr="004D232A">
              <w:rPr>
                <w:rFonts w:ascii="Arial" w:eastAsia="Times New Roman" w:hAnsi="Arial" w:cs="Times New Roman"/>
                <w:b/>
                <w:noProof/>
                <w:sz w:val="21"/>
                <w:szCs w:val="21"/>
                <w:lang w:eastAsia="en-AU"/>
              </w:rPr>
              <w:instrText>1</w:instrText>
            </w:r>
            <w:r w:rsidRPr="004D232A">
              <w:rPr>
                <w:rFonts w:ascii="Arial" w:eastAsia="Times New Roman" w:hAnsi="Arial" w:cs="Times New Roman"/>
                <w:b/>
                <w:sz w:val="21"/>
                <w:szCs w:val="21"/>
                <w:lang w:eastAsia="en-AU"/>
              </w:rPr>
              <w:fldChar w:fldCharType="end"/>
            </w:r>
            <w:r w:rsidRPr="004D232A">
              <w:rPr>
                <w:rFonts w:ascii="Arial" w:eastAsia="Times New Roman" w:hAnsi="Arial" w:cs="Times New Roman"/>
                <w:b/>
                <w:sz w:val="21"/>
                <w:szCs w:val="21"/>
                <w:lang w:eastAsia="en-AU"/>
              </w:rPr>
              <w:instrText xml:space="preserve">" "6" </w:instrText>
            </w:r>
            <w:r w:rsidRPr="004D232A">
              <w:rPr>
                <w:rFonts w:ascii="Arial" w:eastAsia="Times New Roman" w:hAnsi="Arial" w:cs="Times New Roman"/>
                <w:b/>
                <w:sz w:val="21"/>
                <w:szCs w:val="21"/>
                <w:lang w:eastAsia="en-AU"/>
              </w:rPr>
              <w:fldChar w:fldCharType="separate"/>
            </w:r>
            <w:r w:rsidR="00AE4968" w:rsidRPr="004D232A">
              <w:rPr>
                <w:rFonts w:ascii="Arial" w:eastAsia="Times New Roman" w:hAnsi="Arial" w:cs="Times New Roman"/>
                <w:b/>
                <w:noProof/>
                <w:sz w:val="21"/>
                <w:szCs w:val="21"/>
                <w:lang w:eastAsia="en-AU"/>
              </w:rPr>
              <w:instrText>6</w:instrText>
            </w:r>
            <w:r w:rsidRPr="004D232A">
              <w:rPr>
                <w:rFonts w:ascii="Arial" w:eastAsia="Times New Roman" w:hAnsi="Arial" w:cs="Times New Roman"/>
                <w:b/>
                <w:sz w:val="21"/>
                <w:szCs w:val="21"/>
                <w:lang w:eastAsia="en-AU"/>
              </w:rPr>
              <w:fldChar w:fldCharType="end"/>
            </w:r>
            <w:r w:rsidRPr="004D232A">
              <w:rPr>
                <w:rFonts w:ascii="Arial" w:eastAsia="Times New Roman" w:hAnsi="Arial" w:cs="Times New Roman"/>
                <w:b/>
                <w:sz w:val="21"/>
                <w:szCs w:val="21"/>
                <w:lang w:eastAsia="en-AU"/>
              </w:rPr>
              <w:instrText xml:space="preserve"> </w:instrText>
            </w:r>
            <w:r w:rsidRPr="004D232A">
              <w:rPr>
                <w:rFonts w:ascii="Arial" w:eastAsia="Times New Roman" w:hAnsi="Arial" w:cs="Times New Roman"/>
                <w:b/>
                <w:sz w:val="21"/>
                <w:szCs w:val="21"/>
                <w:lang w:eastAsia="en-AU"/>
              </w:rPr>
              <w:fldChar w:fldCharType="separate"/>
            </w:r>
            <w:r w:rsidR="00AE4968">
              <w:rPr>
                <w:rFonts w:ascii="Arial" w:eastAsia="Times New Roman" w:hAnsi="Arial" w:cs="Times New Roman"/>
                <w:b/>
                <w:noProof/>
                <w:sz w:val="21"/>
                <w:szCs w:val="21"/>
                <w:lang w:eastAsia="en-AU"/>
              </w:rPr>
              <w:instrText>1</w:instrText>
            </w:r>
            <w:r w:rsidRPr="004D232A">
              <w:rPr>
                <w:rFonts w:ascii="Arial" w:eastAsia="Times New Roman" w:hAnsi="Arial" w:cs="Times New Roman"/>
                <w:b/>
                <w:sz w:val="21"/>
                <w:szCs w:val="21"/>
                <w:lang w:eastAsia="en-AU"/>
              </w:rPr>
              <w:fldChar w:fldCharType="end"/>
            </w:r>
            <w:r w:rsidRPr="004D232A">
              <w:rPr>
                <w:rFonts w:ascii="Arial" w:eastAsia="Times New Roman" w:hAnsi="Arial" w:cs="Times New Roman"/>
                <w:b/>
                <w:sz w:val="21"/>
                <w:szCs w:val="21"/>
                <w:lang w:eastAsia="en-AU"/>
              </w:rPr>
              <w:instrText xml:space="preserve">" "" </w:instrText>
            </w:r>
            <w:r w:rsidRPr="004D232A">
              <w:rPr>
                <w:rFonts w:ascii="Arial" w:eastAsia="Times New Roman" w:hAnsi="Arial" w:cs="Times New Roman"/>
                <w:b/>
                <w:sz w:val="21"/>
                <w:szCs w:val="21"/>
                <w:lang w:eastAsia="en-AU"/>
              </w:rPr>
              <w:fldChar w:fldCharType="separate"/>
            </w:r>
            <w:bookmarkStart w:id="27" w:name="_Box6820"/>
            <w:r w:rsidR="00AE4968" w:rsidRPr="004D232A">
              <w:rPr>
                <w:rFonts w:ascii="Arial" w:eastAsia="Times New Roman" w:hAnsi="Arial" w:cs="Times New Roman"/>
                <w:b/>
                <w:noProof/>
                <w:sz w:val="21"/>
                <w:szCs w:val="21"/>
                <w:lang w:eastAsia="en-AU"/>
              </w:rPr>
              <w:t xml:space="preserve">Box </w:t>
            </w:r>
            <w:r w:rsidR="00AE4968">
              <w:rPr>
                <w:rFonts w:ascii="Arial" w:eastAsia="Times New Roman" w:hAnsi="Arial" w:cs="Times New Roman"/>
                <w:bCs/>
                <w:noProof/>
                <w:sz w:val="21"/>
                <w:szCs w:val="21"/>
                <w:lang w:val="en-US" w:eastAsia="en-AU"/>
              </w:rPr>
              <w:t>Error! No text of specified style in document.</w:t>
            </w:r>
            <w:r w:rsidR="00AE4968" w:rsidRPr="004D232A">
              <w:rPr>
                <w:rFonts w:ascii="Arial" w:eastAsia="Times New Roman" w:hAnsi="Arial" w:cs="Times New Roman"/>
                <w:b/>
                <w:noProof/>
                <w:sz w:val="21"/>
                <w:szCs w:val="21"/>
                <w:lang w:eastAsia="en-AU"/>
              </w:rPr>
              <w:t>.</w:t>
            </w:r>
            <w:r w:rsidR="00AE4968">
              <w:rPr>
                <w:rFonts w:ascii="Arial" w:eastAsia="Times New Roman" w:hAnsi="Arial" w:cs="Times New Roman"/>
                <w:b/>
                <w:noProof/>
                <w:sz w:val="21"/>
                <w:szCs w:val="21"/>
                <w:lang w:eastAsia="en-AU"/>
              </w:rPr>
              <w:t>1</w:t>
            </w:r>
            <w:bookmarkEnd w:id="27"/>
            <w:r w:rsidRPr="004D232A">
              <w:rPr>
                <w:rFonts w:ascii="Arial" w:eastAsia="Times New Roman" w:hAnsi="Arial" w:cs="Times New Roman"/>
                <w:b/>
                <w:sz w:val="21"/>
                <w:szCs w:val="21"/>
                <w:lang w:eastAsia="en-AU"/>
              </w:rPr>
              <w:fldChar w:fldCharType="end"/>
            </w:r>
            <w:r w:rsidRPr="004D232A">
              <w:rPr>
                <w:rFonts w:ascii="Arial" w:eastAsia="Times New Roman" w:hAnsi="Arial" w:cs="Times New Roman"/>
                <w:b/>
                <w:sz w:val="21"/>
                <w:szCs w:val="21"/>
                <w:lang w:eastAsia="en-AU"/>
              </w:rPr>
              <w:tab/>
              <w:t>Where a council is renewing or replacing an expiring special variation</w:t>
            </w:r>
          </w:p>
        </w:tc>
      </w:tr>
      <w:tr w:rsidR="004D232A" w:rsidRPr="004D232A" w:rsidTr="00B60324">
        <w:trPr>
          <w:cantSplit/>
        </w:trPr>
        <w:tc>
          <w:tcPr>
            <w:tcW w:w="7938" w:type="dxa"/>
            <w:shd w:val="clear" w:color="auto" w:fill="auto"/>
            <w:tcMar>
              <w:left w:w="0" w:type="dxa"/>
              <w:right w:w="0" w:type="dxa"/>
            </w:tcMar>
          </w:tcPr>
          <w:p w:rsidR="004D232A" w:rsidRPr="004D232A" w:rsidRDefault="004D232A" w:rsidP="004D232A">
            <w:pPr>
              <w:spacing w:before="140" w:after="0" w:line="270" w:lineRule="atLeast"/>
              <w:jc w:val="both"/>
              <w:rPr>
                <w:rFonts w:ascii="Arial" w:eastAsia="Times New Roman" w:hAnsi="Arial" w:cs="Times New Roman"/>
                <w:sz w:val="20"/>
                <w:szCs w:val="20"/>
                <w:lang w:eastAsia="en-AU"/>
              </w:rPr>
            </w:pPr>
            <w:r w:rsidRPr="004D232A">
              <w:rPr>
                <w:rFonts w:ascii="Arial" w:eastAsia="Times New Roman" w:hAnsi="Arial" w:cs="Times New Roman"/>
                <w:sz w:val="20"/>
                <w:szCs w:val="20"/>
                <w:lang w:eastAsia="en-AU"/>
              </w:rPr>
              <w:t>The council’s application should show how you have explained to its community:</w:t>
            </w:r>
          </w:p>
          <w:p w:rsidR="004D232A" w:rsidRPr="004D232A" w:rsidRDefault="004D232A" w:rsidP="004D232A">
            <w:pPr>
              <w:keepLines/>
              <w:tabs>
                <w:tab w:val="num" w:pos="284"/>
              </w:tabs>
              <w:spacing w:before="80" w:after="0" w:line="270" w:lineRule="atLeast"/>
              <w:ind w:left="284" w:hanging="284"/>
              <w:jc w:val="both"/>
              <w:rPr>
                <w:rFonts w:ascii="Arial" w:eastAsia="Times New Roman" w:hAnsi="Arial" w:cs="Times New Roman"/>
                <w:sz w:val="20"/>
                <w:szCs w:val="20"/>
                <w:lang w:eastAsia="en-AU"/>
              </w:rPr>
            </w:pPr>
            <w:r w:rsidRPr="004D232A">
              <w:rPr>
                <w:rFonts w:ascii="Arial" w:eastAsia="Times New Roman" w:hAnsi="Arial" w:cs="Times New Roman"/>
                <w:sz w:val="20"/>
                <w:szCs w:val="20"/>
                <w:lang w:eastAsia="en-AU"/>
              </w:rPr>
              <w:t>There is a special variation due to expire at the end of the current financial year or during the period covered by the proposed special variation.  This needs to include when the expiring special variation was originally approved, for what purpose and the percentage of (General Fund) general income originally approved.</w:t>
            </w:r>
          </w:p>
          <w:p w:rsidR="004D232A" w:rsidRPr="004D232A" w:rsidRDefault="004D232A" w:rsidP="004D232A">
            <w:pPr>
              <w:keepLines/>
              <w:tabs>
                <w:tab w:val="num" w:pos="284"/>
              </w:tabs>
              <w:spacing w:before="80" w:after="0" w:line="270" w:lineRule="atLeast"/>
              <w:ind w:left="284" w:hanging="284"/>
              <w:jc w:val="both"/>
              <w:rPr>
                <w:rFonts w:ascii="Arial" w:eastAsia="Times New Roman" w:hAnsi="Arial" w:cs="Times New Roman"/>
                <w:sz w:val="20"/>
                <w:szCs w:val="20"/>
                <w:lang w:eastAsia="en-AU"/>
              </w:rPr>
            </w:pPr>
            <w:r w:rsidRPr="004D232A">
              <w:rPr>
                <w:rFonts w:ascii="Arial" w:eastAsia="Times New Roman" w:hAnsi="Arial" w:cs="Times New Roman"/>
                <w:sz w:val="20"/>
                <w:szCs w:val="20"/>
                <w:lang w:eastAsia="en-AU"/>
              </w:rPr>
              <w:t>The corresponding percentage of general income that the expiring special variation represents for the relevant year.</w:t>
            </w:r>
          </w:p>
          <w:p w:rsidR="004D232A" w:rsidRPr="004D232A" w:rsidRDefault="004D232A" w:rsidP="004D232A">
            <w:pPr>
              <w:keepLines/>
              <w:tabs>
                <w:tab w:val="num" w:pos="284"/>
              </w:tabs>
              <w:spacing w:before="80" w:after="0" w:line="270" w:lineRule="atLeast"/>
              <w:ind w:left="284" w:hanging="284"/>
              <w:jc w:val="both"/>
              <w:rPr>
                <w:rFonts w:ascii="Arial" w:eastAsia="Times New Roman" w:hAnsi="Arial" w:cs="Times New Roman"/>
                <w:sz w:val="20"/>
                <w:szCs w:val="20"/>
                <w:lang w:eastAsia="en-AU"/>
              </w:rPr>
            </w:pPr>
            <w:r w:rsidRPr="004D232A">
              <w:rPr>
                <w:rFonts w:ascii="Arial" w:eastAsia="Times New Roman" w:hAnsi="Arial" w:cs="Times New Roman"/>
                <w:sz w:val="20"/>
                <w:szCs w:val="20"/>
                <w:lang w:eastAsia="en-AU"/>
              </w:rPr>
              <w:t>Whether the temporary expiring special variation is being replaced with another temporary or a permanent increase to the rate base.</w:t>
            </w:r>
          </w:p>
          <w:p w:rsidR="004D232A" w:rsidRPr="004D232A" w:rsidRDefault="004D232A" w:rsidP="004D232A">
            <w:pPr>
              <w:keepLines/>
              <w:tabs>
                <w:tab w:val="num" w:pos="284"/>
              </w:tabs>
              <w:spacing w:before="80" w:after="0" w:line="270" w:lineRule="atLeast"/>
              <w:ind w:left="284" w:hanging="284"/>
              <w:jc w:val="both"/>
              <w:rPr>
                <w:rFonts w:ascii="Arial" w:eastAsia="Times New Roman" w:hAnsi="Arial" w:cs="Times New Roman"/>
                <w:sz w:val="20"/>
                <w:szCs w:val="20"/>
                <w:lang w:eastAsia="en-AU"/>
              </w:rPr>
            </w:pPr>
            <w:r w:rsidRPr="004D232A">
              <w:rPr>
                <w:rFonts w:ascii="Arial" w:eastAsia="Times New Roman" w:hAnsi="Arial" w:cs="Times New Roman"/>
                <w:sz w:val="20"/>
                <w:szCs w:val="20"/>
                <w:lang w:eastAsia="en-AU"/>
              </w:rPr>
              <w:t>The percentage value of any additional variation amount, above the rate peg, for which the council is applying for through a special variation.</w:t>
            </w:r>
          </w:p>
          <w:p w:rsidR="004D232A" w:rsidRPr="004D232A" w:rsidRDefault="004D232A" w:rsidP="004D232A">
            <w:pPr>
              <w:keepLines/>
              <w:tabs>
                <w:tab w:val="num" w:pos="284"/>
              </w:tabs>
              <w:spacing w:before="80" w:after="0" w:line="270" w:lineRule="atLeast"/>
              <w:ind w:left="284" w:hanging="284"/>
              <w:jc w:val="both"/>
              <w:rPr>
                <w:rFonts w:ascii="Arial" w:eastAsia="Times New Roman" w:hAnsi="Arial" w:cs="Times New Roman"/>
                <w:sz w:val="20"/>
                <w:szCs w:val="20"/>
                <w:lang w:eastAsia="en-AU"/>
              </w:rPr>
            </w:pPr>
            <w:r w:rsidRPr="004D232A">
              <w:rPr>
                <w:rFonts w:ascii="Arial" w:eastAsia="Times New Roman" w:hAnsi="Arial" w:cs="Times New Roman"/>
                <w:sz w:val="20"/>
                <w:szCs w:val="20"/>
                <w:lang w:eastAsia="en-AU"/>
              </w:rPr>
              <w:t>If the proposed special variation was not approved i.e., only the rate peg applies, the year-on-year change in rates would be lower, or that rates may fall.</w:t>
            </w:r>
          </w:p>
          <w:p w:rsidR="004D232A" w:rsidRPr="004D232A" w:rsidRDefault="004D232A" w:rsidP="004D232A">
            <w:pPr>
              <w:spacing w:before="140" w:after="0" w:line="270" w:lineRule="atLeast"/>
              <w:jc w:val="both"/>
              <w:rPr>
                <w:rFonts w:ascii="Arial" w:eastAsia="Times New Roman" w:hAnsi="Arial" w:cs="Times New Roman"/>
                <w:sz w:val="20"/>
                <w:szCs w:val="20"/>
                <w:lang w:eastAsia="en-AU"/>
              </w:rPr>
            </w:pPr>
            <w:r w:rsidRPr="004D232A">
              <w:rPr>
                <w:rFonts w:ascii="Arial" w:eastAsia="Times New Roman" w:hAnsi="Arial" w:cs="Times New Roman"/>
                <w:sz w:val="20"/>
                <w:szCs w:val="20"/>
                <w:lang w:eastAsia="en-AU"/>
              </w:rPr>
              <w:t>The council also must attach, to its application to IPART, a copy of the Instrument of Approval that has been signed by the Minister or IPART Chairman.</w:t>
            </w:r>
          </w:p>
        </w:tc>
      </w:tr>
      <w:tr w:rsidR="004D232A" w:rsidRPr="004D232A" w:rsidTr="00B60324">
        <w:trPr>
          <w:cantSplit/>
          <w:trHeight w:hRule="exact" w:val="198"/>
        </w:trPr>
        <w:tc>
          <w:tcPr>
            <w:tcW w:w="7938" w:type="dxa"/>
            <w:tcBorders>
              <w:bottom w:val="single" w:sz="24" w:space="0" w:color="7C7C7C"/>
            </w:tcBorders>
            <w:shd w:val="clear" w:color="auto" w:fill="auto"/>
            <w:tcMar>
              <w:left w:w="0" w:type="dxa"/>
              <w:right w:w="0" w:type="dxa"/>
            </w:tcMar>
          </w:tcPr>
          <w:p w:rsidR="004D232A" w:rsidRPr="004D232A" w:rsidRDefault="004D232A" w:rsidP="004D232A">
            <w:pPr>
              <w:keepNext/>
              <w:keepLines/>
              <w:spacing w:before="40" w:after="60" w:line="200" w:lineRule="atLeast"/>
              <w:ind w:left="-57"/>
              <w:rPr>
                <w:rFonts w:ascii="Arial" w:eastAsia="Times New Roman" w:hAnsi="Arial" w:cs="Times New Roman"/>
                <w:sz w:val="16"/>
                <w:szCs w:val="16"/>
              </w:rPr>
            </w:pPr>
          </w:p>
        </w:tc>
      </w:tr>
    </w:tbl>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bookmarkStart w:id="28" w:name="_Toc366160411"/>
      <w:bookmarkStart w:id="29" w:name="_Toc401138372"/>
    </w:p>
    <w:p w:rsidR="004D232A" w:rsidRPr="004D232A" w:rsidRDefault="004D232A" w:rsidP="004D232A">
      <w:pPr>
        <w:spacing w:before="120" w:after="0" w:line="400" w:lineRule="atLeast"/>
        <w:rPr>
          <w:rFonts w:ascii="Arial" w:eastAsia="Times New Roman" w:hAnsi="Arial" w:cs="Arial"/>
          <w:b/>
          <w:bCs/>
          <w:color w:val="00408A"/>
          <w:kern w:val="28"/>
          <w:sz w:val="24"/>
          <w:szCs w:val="30"/>
          <w:lang w:eastAsia="en-AU"/>
        </w:rPr>
      </w:pPr>
      <w:r w:rsidRPr="004D232A">
        <w:rPr>
          <w:rFonts w:ascii="Arial" w:eastAsia="Times New Roman" w:hAnsi="Arial" w:cs="Arial"/>
          <w:b/>
          <w:bCs/>
          <w:color w:val="00408A"/>
          <w:kern w:val="28"/>
          <w:sz w:val="30"/>
          <w:szCs w:val="30"/>
          <w:lang w:eastAsia="en-AU"/>
        </w:rPr>
        <w:br w:type="page"/>
      </w:r>
    </w:p>
    <w:p w:rsidR="004D232A" w:rsidRPr="004D232A" w:rsidRDefault="004D232A" w:rsidP="004D232A">
      <w:pPr>
        <w:keepNext/>
        <w:numPr>
          <w:ilvl w:val="1"/>
          <w:numId w:val="0"/>
        </w:numPr>
        <w:tabs>
          <w:tab w:val="num" w:pos="709"/>
        </w:tabs>
        <w:spacing w:before="480" w:after="0" w:line="280" w:lineRule="atLeast"/>
        <w:ind w:left="709" w:right="-141" w:hanging="709"/>
        <w:outlineLvl w:val="1"/>
        <w:rPr>
          <w:rFonts w:ascii="Arial" w:eastAsia="Times New Roman" w:hAnsi="Arial" w:cs="Times New Roman"/>
          <w:b/>
          <w:bCs/>
          <w:color w:val="00408A"/>
          <w:kern w:val="28"/>
          <w:sz w:val="24"/>
          <w:szCs w:val="24"/>
          <w:lang w:eastAsia="en-AU"/>
        </w:rPr>
      </w:pPr>
      <w:r w:rsidRPr="004D232A">
        <w:rPr>
          <w:rFonts w:ascii="Arial" w:eastAsia="Times New Roman" w:hAnsi="Arial" w:cs="Times New Roman"/>
          <w:b/>
          <w:bCs/>
          <w:color w:val="00408A"/>
          <w:kern w:val="28"/>
          <w:sz w:val="24"/>
          <w:szCs w:val="24"/>
          <w:lang w:eastAsia="en-AU"/>
        </w:rPr>
        <w:lastRenderedPageBreak/>
        <w:t>The consultation strategy</w:t>
      </w:r>
      <w:bookmarkEnd w:id="28"/>
      <w:bookmarkEnd w:id="29"/>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council is required to provide details of the consultation strategy undertaken, including the range of methods used to inform and engage with the community about the proposed special variation and to obtain community input and feedback.  The engagement activities could include media releases, mail outs, focus groups, statistically valid random or opt-in surveys, online discussions, public meetings, newspaper advertisements and public exhibition of documents.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council is to provide relevant extracts of the IP&amp;R documents that explain the proposed rate rises under the special variation and attach relevant samples of the council’s consultation material.</w:t>
      </w:r>
    </w:p>
    <w:p w:rsidR="004D232A" w:rsidRPr="004D232A" w:rsidRDefault="004D232A" w:rsidP="004D232A">
      <w:pPr>
        <w:spacing w:before="240" w:after="0" w:line="280" w:lineRule="atLeast"/>
        <w:jc w:val="both"/>
        <w:rPr>
          <w:rFonts w:ascii="Arial" w:eastAsia="Times New Roman" w:hAnsi="Arial" w:cs="Arial"/>
          <w:lang w:eastAsia="en-AU"/>
        </w:rPr>
      </w:pPr>
      <w:r w:rsidRPr="004D232A">
        <w:rPr>
          <w:rFonts w:ascii="Arial" w:eastAsia="Times New Roman" w:hAnsi="Arial" w:cs="Arial"/>
          <w:lang w:eastAsia="en-AU"/>
        </w:rPr>
        <w:t xml:space="preserve">The consultation strategy has provided direction to extensive community engagement.  A number of Council press articles and advertisements in the paper have highlighted the proposed SRV application over two years (Attachment 5). The Community had also discussed the proposal prior to a previous application last year which was unsuccessful partly due to concerns over the extent of consultation. </w:t>
      </w:r>
    </w:p>
    <w:p w:rsidR="004D232A" w:rsidRPr="004D232A" w:rsidRDefault="004D232A" w:rsidP="004D232A">
      <w:pPr>
        <w:spacing w:before="240" w:after="0" w:line="280" w:lineRule="atLeast"/>
        <w:jc w:val="both"/>
        <w:rPr>
          <w:rFonts w:ascii="Arial" w:eastAsia="Times New Roman" w:hAnsi="Arial" w:cs="Arial"/>
          <w:lang w:eastAsia="en-AU"/>
        </w:rPr>
      </w:pPr>
      <w:r w:rsidRPr="004D232A">
        <w:rPr>
          <w:rFonts w:ascii="Arial" w:eastAsia="Times New Roman" w:hAnsi="Arial" w:cs="Arial"/>
          <w:lang w:eastAsia="en-AU"/>
        </w:rPr>
        <w:t>During November/December 2014 Council provided a full explanation on the dollar and percentage impact of the SRV across all rating categories through a direct mail out and a notice in the local paper, followed by a survey of community satisfaction and importance of existing services. These assisted in reinforcing the priorities indicated in the development of the CSP and the Delivery Plan. The results of the survey indicated a broad support for a much greater increase in the rate than the one that is the subject of this application.</w:t>
      </w:r>
    </w:p>
    <w:p w:rsidR="004D232A" w:rsidRPr="004D232A" w:rsidRDefault="004D232A" w:rsidP="004D232A">
      <w:pPr>
        <w:spacing w:before="240" w:after="0" w:line="280" w:lineRule="atLeast"/>
        <w:jc w:val="both"/>
        <w:rPr>
          <w:rFonts w:ascii="Arial" w:eastAsia="Times New Roman" w:hAnsi="Arial" w:cs="Arial"/>
          <w:lang w:eastAsia="en-AU"/>
        </w:rPr>
      </w:pPr>
      <w:r w:rsidRPr="004D232A">
        <w:rPr>
          <w:rFonts w:ascii="Arial" w:eastAsia="Times New Roman" w:hAnsi="Arial" w:cs="Arial"/>
          <w:lang w:eastAsia="en-AU"/>
        </w:rPr>
        <w:t>Sykes Peer Review undertook the statistically significant survey in conjunction with Mathew Daniel, previously with Roy Morgan (Attachment 6). The survey was accompanied by the fact sheet which set out the annual implications of the rate variation on each rate category.</w:t>
      </w:r>
    </w:p>
    <w:p w:rsidR="004D232A" w:rsidRPr="004D232A" w:rsidRDefault="004D232A" w:rsidP="004D232A">
      <w:pPr>
        <w:spacing w:before="240" w:after="0" w:line="280" w:lineRule="atLeast"/>
        <w:jc w:val="both"/>
        <w:rPr>
          <w:rFonts w:ascii="Arial" w:eastAsia="Times New Roman" w:hAnsi="Arial" w:cs="Arial"/>
          <w:lang w:eastAsia="en-AU"/>
        </w:rPr>
      </w:pPr>
      <w:r w:rsidRPr="004D232A">
        <w:rPr>
          <w:rFonts w:ascii="Arial" w:eastAsia="Times New Roman" w:hAnsi="Arial" w:cs="Arial"/>
          <w:lang w:eastAsia="en-AU"/>
        </w:rPr>
        <w:t>“Asked to respond on a scale of $0-$5 per week, “how much you would be prepared to pay in increased rent or rates to provide these (medical and aquatic facilities) [over and above existing rates]”, the respondents indicated n split between the two age groups with under 55s prepared to pay on average $3.85 more and over 55s prepared to pay $4.50 more per week. Interestingly, while being marginally less inclined to support the facilities, the older age group had a higher preparedness to pay. Only 3.65% would not be prepared to pay any increase” (Community Survey p. 5).</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noProof/>
          <w:szCs w:val="21"/>
          <w:lang w:eastAsia="en-AU"/>
        </w:rPr>
        <w:lastRenderedPageBreak/>
        <w:drawing>
          <wp:inline distT="0" distB="0" distL="0" distR="0" wp14:anchorId="3EF92EA7" wp14:editId="787FA21E">
            <wp:extent cx="4491613" cy="2150021"/>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5168" cy="2156509"/>
                    </a:xfrm>
                    <a:prstGeom prst="rect">
                      <a:avLst/>
                    </a:prstGeom>
                    <a:noFill/>
                    <a:ln>
                      <a:noFill/>
                    </a:ln>
                  </pic:spPr>
                </pic:pic>
              </a:graphicData>
            </a:graphic>
          </wp:inline>
        </w:drawing>
      </w:r>
    </w:p>
    <w:p w:rsidR="004D232A" w:rsidRPr="004D232A" w:rsidRDefault="004D232A" w:rsidP="004D232A">
      <w:pPr>
        <w:spacing w:before="240" w:after="0" w:line="280" w:lineRule="atLeast"/>
        <w:ind w:firstLine="284"/>
        <w:jc w:val="both"/>
        <w:rPr>
          <w:rFonts w:ascii="Arial" w:eastAsia="Times New Roman" w:hAnsi="Arial" w:cs="Arial"/>
          <w:szCs w:val="21"/>
          <w:lang w:eastAsia="en-AU"/>
        </w:rPr>
      </w:pPr>
      <w:r w:rsidRPr="004D232A">
        <w:rPr>
          <w:rFonts w:ascii="Arial" w:eastAsia="Times New Roman" w:hAnsi="Arial" w:cs="Arial"/>
          <w:szCs w:val="21"/>
          <w:lang w:eastAsia="en-AU"/>
        </w:rPr>
        <w:t>Graph showing results of weekly rate income preparedness by age grouping</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community was invited to attend two open days, one in December and another in February, to discuss their views on the SRV. Overall, three community people attended along with the Mayor and Councillors. There was no significant negative comment, although one person expressed concern at the impact of the increase on multiple assessment ratepayers. Indeed the lack of comment is of itself noteworthy and supports the overall view of the survey which indicated a 96% agreement that an increase was acceptable. It is the nature of smaller rural communities that awareness of proposed increases in charges or rates are very quickly acknowledged and negative perceptions are relayed to elected representatives. In the confidential community survey free comments have generally favoured recognition that rate are too low.  Attached is the Fact Sheet that was sent to all households, setting out the rate impact by category of the SRV proposed, as well as the levels that would apply without the variation.</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There has been an agreed increase in the sewer charge of 20% each year for three years</w:t>
      </w:r>
      <w:r w:rsidRPr="004D232A">
        <w:rPr>
          <w:rFonts w:ascii="Arial" w:eastAsia="Times New Roman" w:hAnsi="Arial" w:cs="Arial"/>
          <w:color w:val="FF0000"/>
          <w:szCs w:val="21"/>
          <w:lang w:eastAsia="en-AU"/>
        </w:rPr>
        <w:t xml:space="preserve"> </w:t>
      </w:r>
      <w:r w:rsidRPr="004D232A">
        <w:rPr>
          <w:rFonts w:ascii="Arial" w:eastAsia="Times New Roman" w:hAnsi="Arial" w:cs="Arial"/>
          <w:szCs w:val="21"/>
          <w:lang w:eastAsia="en-AU"/>
        </w:rPr>
        <w:t xml:space="preserve">which commenced in the 2013/14 year. This increase is supported by a long term sewer plan with the average sewer charge increasing from $297 in 2012/13 to $512 in 2015/16. </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Weddin Shire Council has never successfully sought a SRV and has utilised the services of an independent consultant to undertake the community consultation, research, LTFP and work with the Council on the application.</w:t>
      </w: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30" w:name="_Toc366160413"/>
      <w:bookmarkStart w:id="31" w:name="_Toc401138373"/>
      <w:r w:rsidRPr="004D232A">
        <w:rPr>
          <w:rFonts w:ascii="Arial" w:eastAsia="Times New Roman" w:hAnsi="Arial" w:cs="Times New Roman"/>
          <w:b/>
          <w:color w:val="00408A"/>
          <w:kern w:val="28"/>
          <w:sz w:val="24"/>
          <w:szCs w:val="24"/>
          <w:lang w:eastAsia="en-AU"/>
        </w:rPr>
        <w:t>Feedback from the community consultations</w:t>
      </w:r>
      <w:bookmarkEnd w:id="30"/>
      <w:bookmarkEnd w:id="31"/>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Summarise the outcomes and feedback from the council’s community engagement activities.  Outcomes could include the number of attendees at events and participants in online forums, as well as evidence of media reports and other indicators of public awareness of the council’s special variation intentions.  Where applicable, provide evidence of responses to surveys, particularly the level of support for specific programs or projects, levels and </w:t>
      </w:r>
      <w:r w:rsidRPr="004D232A">
        <w:rPr>
          <w:rFonts w:ascii="Book Antiqua" w:eastAsia="Times New Roman" w:hAnsi="Book Antiqua" w:cs="Times New Roman"/>
          <w:szCs w:val="21"/>
          <w:lang w:eastAsia="en-AU"/>
        </w:rPr>
        <w:lastRenderedPageBreak/>
        <w:t>types of services, investment in assets, as well as the options proposed for funding them by rate increases.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Where the council has received submissions from the community relevant to the special variation, the application should set out the views expressed in those submissions.  Please refer to Section 1.2 concerning how the council should handle confidential content in feedback received from the community.  The council should also identify and document any action that it has taken, or will take, to address issues of common concern within the community.  </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There was a survey undertaken accompanied by a Fact Sheet setting out the impacts of the variation across all rating categories. The following is an extract from the fact sheet.</w:t>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5B271C" w:rsidP="004D232A">
      <w:pPr>
        <w:spacing w:before="240" w:after="0" w:line="280" w:lineRule="atLeast"/>
        <w:ind w:left="426"/>
        <w:jc w:val="both"/>
        <w:rPr>
          <w:rFonts w:ascii="Arial" w:eastAsia="Times New Roman" w:hAnsi="Arial" w:cs="Arial"/>
          <w:szCs w:val="21"/>
          <w:lang w:eastAsia="en-AU"/>
        </w:rPr>
      </w:pPr>
      <w:r>
        <w:rPr>
          <w:rFonts w:ascii="Arial" w:eastAsia="Times New Roman" w:hAnsi="Arial" w:cs="Arial"/>
          <w:szCs w:val="21"/>
          <w:lang w:eastAsia="en-AU"/>
        </w:rPr>
        <w:t>“</w:t>
      </w:r>
      <w:r w:rsidR="004D232A" w:rsidRPr="004D232A">
        <w:rPr>
          <w:rFonts w:ascii="Arial" w:eastAsia="Times New Roman" w:hAnsi="Arial" w:cs="Arial"/>
          <w:szCs w:val="21"/>
          <w:lang w:eastAsia="en-AU"/>
        </w:rPr>
        <w:t xml:space="preserve">A Message from Your Councillors </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r w:rsidRPr="004D232A">
        <w:rPr>
          <w:rFonts w:ascii="Arial" w:eastAsia="Times New Roman" w:hAnsi="Arial" w:cs="Arial"/>
          <w:szCs w:val="21"/>
          <w:lang w:eastAsia="en-AU"/>
        </w:rPr>
        <w:t xml:space="preserve">Council is committed to maintaining a vibrant Weddin Shire community. To do this, Council needs to continue to provide services that meet the needs of our villages and towns. This investment will support the proud rural traditions of New South Wales by sustaining strong population growth that contributes to the success of agricultural, mining and small businesses. As a community, we need to secure sufficient funds to ensure that quality services are provided. </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r w:rsidRPr="004D232A">
        <w:rPr>
          <w:rFonts w:ascii="Arial" w:eastAsia="Times New Roman" w:hAnsi="Arial" w:cs="Arial"/>
          <w:szCs w:val="21"/>
          <w:lang w:eastAsia="en-AU"/>
        </w:rPr>
        <w:t xml:space="preserve">At its June 2014 meeting Council resolved to submit an application to the Independent Pricing and Regulatory Tribunal (IPART) for a special variation to general rate income of 4% above the anticipated rate pegging level of 3% each year. This would apply for the next four years. Following the special rate variation rates would increase on the new base by the amount allocated under the current NSW Government rate pegging policy. </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r w:rsidRPr="004D232A">
        <w:rPr>
          <w:rFonts w:ascii="Arial" w:eastAsia="Times New Roman" w:hAnsi="Arial" w:cs="Arial"/>
          <w:szCs w:val="21"/>
          <w:lang w:eastAsia="en-AU"/>
        </w:rPr>
        <w:t xml:space="preserve">Council has been considering its long term direction and its ability to deliver not only the services expected of it by our ratepayers but also the desired long term strategic direction of growing the local population, an objective identified by the community in developing Council’s Integrated Planning &amp; Reporting (IP&amp;R) documents. </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r w:rsidRPr="004D232A">
        <w:rPr>
          <w:rFonts w:ascii="Arial" w:eastAsia="Times New Roman" w:hAnsi="Arial" w:cs="Arial"/>
          <w:szCs w:val="21"/>
          <w:lang w:eastAsia="en-AU"/>
        </w:rPr>
        <w:t xml:space="preserve">Weddin Shire Council, like the majority of Councils in NSW, faces the challenge of having the capital to maintain the ageing assets and infrastructure under its control and the additional challenge posed when they have to be replaced. </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r w:rsidRPr="004D232A">
        <w:rPr>
          <w:rFonts w:ascii="Arial" w:eastAsia="Times New Roman" w:hAnsi="Arial" w:cs="Arial"/>
          <w:szCs w:val="21"/>
          <w:lang w:eastAsia="en-AU"/>
        </w:rPr>
        <w:t xml:space="preserve">NSW is the only state in Australia where the State Government controls Local Government rate increases. Under this Rate Pegging system the State usually approves a General Council rate increase of between 3% and 4% each year. Unfortunately these rate increases have not kept pace with the </w:t>
      </w:r>
      <w:r w:rsidRPr="004D232A">
        <w:rPr>
          <w:rFonts w:ascii="Arial" w:eastAsia="Times New Roman" w:hAnsi="Arial" w:cs="Arial"/>
          <w:szCs w:val="21"/>
          <w:lang w:eastAsia="en-AU"/>
        </w:rPr>
        <w:lastRenderedPageBreak/>
        <w:t xml:space="preserve">real cost of delivering the services expected of Councils. In addition, cost shifting has seen extra responsibilities being given to Council without any extra funding to help us provide them. According to an independent review of NSW Councils by the NSW Treasury Corporation, councils in NSW are financially unsustainable unless changes are made. Specifically in relation to Weddin Shire Council the NSW Treasury Corporation review found: </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r w:rsidRPr="004D232A">
        <w:rPr>
          <w:rFonts w:ascii="Arial" w:eastAsia="Times New Roman" w:hAnsi="Arial" w:cs="Arial"/>
          <w:szCs w:val="21"/>
          <w:lang w:eastAsia="en-AU"/>
        </w:rPr>
        <w:t xml:space="preserve">Weddin Shire Council was moderately sustainable in the short to medium term with its financial situation deteriorating. Continued operating deficits will eventually have a negative impact on Council’s ability to replace key infrastructure assets when they become due for renewal. </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r w:rsidRPr="004D232A">
        <w:rPr>
          <w:rFonts w:ascii="Arial" w:eastAsia="Times New Roman" w:hAnsi="Arial" w:cs="Arial"/>
          <w:szCs w:val="21"/>
          <w:lang w:eastAsia="en-AU"/>
        </w:rPr>
        <w:t>The decision to apply for a special rate variation has not been taken lightly but is a necessary step towards long term financial sustainability and to ensure the community has assets that provide for the future.</w:t>
      </w:r>
      <w:r w:rsidR="005B271C">
        <w:rPr>
          <w:rFonts w:ascii="Arial" w:eastAsia="Times New Roman" w:hAnsi="Arial" w:cs="Arial"/>
          <w:szCs w:val="21"/>
          <w:lang w:eastAsia="en-AU"/>
        </w:rPr>
        <w:t>”</w:t>
      </w:r>
    </w:p>
    <w:p w:rsidR="004D232A" w:rsidRPr="004D232A" w:rsidRDefault="004D232A" w:rsidP="004D232A">
      <w:pPr>
        <w:spacing w:before="240" w:after="0" w:line="280" w:lineRule="atLeast"/>
        <w:ind w:left="426"/>
        <w:jc w:val="both"/>
        <w:rPr>
          <w:rFonts w:ascii="Arial" w:eastAsia="Times New Roman" w:hAnsi="Arial" w:cs="Arial"/>
          <w:szCs w:val="21"/>
          <w:lang w:eastAsia="en-AU"/>
        </w:rPr>
      </w:pP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Overall, there was strong support for the development of both the aquatic and medical centres with some small variations according to age. Those under 55 strongly supported both facilities with the health centre most important at 72%, with over 55s at 67%. As for the aquatic centre, the support from under 55s was 60%, with over 55s at 54% (Community Survey p. 5). The survey report also summarises the general comments and these are linked to a confidential and comprehensive list of unedited responses not forming part of the final analysis.  A separate consultant, completely independent of the survey design and analysis process, undertook this assessment. These comments were generally in favour of the SRV application where that matter was discussed and reflect the overall support for assets maintenance, the aquatic centre and the medical centre projects.</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noProof/>
          <w:szCs w:val="21"/>
          <w:lang w:eastAsia="en-AU"/>
        </w:rPr>
        <w:drawing>
          <wp:inline distT="0" distB="0" distL="0" distR="0" wp14:anchorId="62AF37B0" wp14:editId="76F8367F">
            <wp:extent cx="5040630" cy="2691308"/>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2691308"/>
                    </a:xfrm>
                    <a:prstGeom prst="rect">
                      <a:avLst/>
                    </a:prstGeom>
                    <a:noFill/>
                    <a:ln>
                      <a:noFill/>
                    </a:ln>
                  </pic:spPr>
                </pic:pic>
              </a:graphicData>
            </a:graphic>
          </wp:inline>
        </w:drawing>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lastRenderedPageBreak/>
        <w:t>Community engagement was structured around the Council’s Community Engagement Strategy (although a telephone survey was not undertaken) Attachment 6.</w:t>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bookmarkStart w:id="32" w:name="_Toc401138374"/>
      <w:r w:rsidRPr="004D232A">
        <w:rPr>
          <w:rFonts w:ascii="Arial" w:eastAsia="Times New Roman" w:hAnsi="Arial" w:cs="Arial"/>
          <w:b/>
          <w:bCs/>
          <w:color w:val="00408A"/>
          <w:kern w:val="32"/>
          <w:sz w:val="30"/>
          <w:szCs w:val="30"/>
          <w:lang w:eastAsia="en-AU"/>
        </w:rPr>
        <w:t>Assessment criterion 3: Impact on ratepayers</w:t>
      </w:r>
      <w:bookmarkEnd w:id="32"/>
    </w:p>
    <w:p w:rsidR="004D232A" w:rsidRPr="004D232A" w:rsidRDefault="004D232A" w:rsidP="004D232A">
      <w:pPr>
        <w:spacing w:before="240" w:after="24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Criterion 3 within the OLG Guidelines is:</w:t>
      </w:r>
    </w:p>
    <w:p w:rsidR="004D232A" w:rsidRPr="004D232A" w:rsidRDefault="004D232A" w:rsidP="004D232A">
      <w:pPr>
        <w:spacing w:before="120" w:after="0" w:line="260" w:lineRule="atLeast"/>
        <w:ind w:left="284"/>
        <w:jc w:val="both"/>
        <w:rPr>
          <w:rFonts w:ascii="Arial" w:eastAsia="Times New Roman" w:hAnsi="Arial" w:cs="Arial"/>
          <w:i/>
          <w:sz w:val="20"/>
          <w:szCs w:val="19"/>
          <w:lang w:eastAsia="en-AU"/>
        </w:rPr>
      </w:pPr>
      <w:r w:rsidRPr="004D232A">
        <w:rPr>
          <w:rFonts w:ascii="Arial" w:eastAsia="Times New Roman" w:hAnsi="Arial" w:cs="Arial"/>
          <w:i/>
          <w:sz w:val="20"/>
          <w:szCs w:val="19"/>
          <w:lang w:eastAsia="en-AU"/>
        </w:rPr>
        <w:t>The impact on affected ratepayers must be reasonable, having regard to both the current rate levels, existing ratepayer base and the proposed purpose of the variation.  The IP&amp;R processes should:</w:t>
      </w:r>
    </w:p>
    <w:p w:rsidR="004D232A" w:rsidRPr="004D232A" w:rsidRDefault="004D232A" w:rsidP="004D232A">
      <w:pPr>
        <w:tabs>
          <w:tab w:val="num" w:pos="567"/>
        </w:tabs>
        <w:spacing w:before="120" w:after="0" w:line="260" w:lineRule="atLeast"/>
        <w:ind w:left="567" w:hanging="283"/>
        <w:jc w:val="both"/>
        <w:rPr>
          <w:rFonts w:ascii="Arial" w:eastAsia="Times New Roman" w:hAnsi="Arial" w:cs="Arial"/>
          <w:i/>
          <w:sz w:val="20"/>
          <w:szCs w:val="19"/>
          <w:lang w:eastAsia="en-AU"/>
        </w:rPr>
      </w:pPr>
      <w:r w:rsidRPr="004D232A">
        <w:rPr>
          <w:rFonts w:ascii="Arial" w:eastAsia="Times New Roman" w:hAnsi="Arial" w:cs="Arial"/>
          <w:i/>
          <w:sz w:val="20"/>
          <w:szCs w:val="19"/>
          <w:lang w:eastAsia="en-AU"/>
        </w:rPr>
        <w:t>clearly show the impact of any rises upon the community</w:t>
      </w:r>
    </w:p>
    <w:p w:rsidR="004D232A" w:rsidRPr="004D232A" w:rsidRDefault="004D232A" w:rsidP="004D232A">
      <w:pPr>
        <w:tabs>
          <w:tab w:val="num" w:pos="567"/>
        </w:tabs>
        <w:spacing w:before="120" w:after="0" w:line="260" w:lineRule="atLeast"/>
        <w:ind w:left="567" w:hanging="283"/>
        <w:jc w:val="both"/>
        <w:rPr>
          <w:rFonts w:ascii="Arial" w:eastAsia="Times New Roman" w:hAnsi="Arial" w:cs="Arial"/>
          <w:i/>
          <w:sz w:val="20"/>
          <w:szCs w:val="19"/>
          <w:lang w:eastAsia="en-AU"/>
        </w:rPr>
      </w:pPr>
      <w:r w:rsidRPr="004D232A">
        <w:rPr>
          <w:rFonts w:ascii="Arial" w:eastAsia="Times New Roman" w:hAnsi="Arial" w:cs="Arial"/>
          <w:i/>
          <w:sz w:val="20"/>
          <w:szCs w:val="19"/>
          <w:lang w:eastAsia="en-AU"/>
        </w:rPr>
        <w:t>include the council’s consideration of the community’s capacity and willingness to pay rates and</w:t>
      </w:r>
    </w:p>
    <w:p w:rsidR="004D232A" w:rsidRPr="004D232A" w:rsidRDefault="004D232A" w:rsidP="004D232A">
      <w:pPr>
        <w:tabs>
          <w:tab w:val="num" w:pos="567"/>
        </w:tabs>
        <w:spacing w:before="120" w:after="0" w:line="260" w:lineRule="atLeast"/>
        <w:ind w:left="567" w:hanging="283"/>
        <w:jc w:val="both"/>
        <w:rPr>
          <w:rFonts w:ascii="Arial" w:eastAsia="Times New Roman" w:hAnsi="Arial" w:cs="Arial"/>
          <w:i/>
          <w:sz w:val="20"/>
          <w:szCs w:val="19"/>
          <w:lang w:eastAsia="en-AU"/>
        </w:rPr>
      </w:pPr>
      <w:r w:rsidRPr="004D232A">
        <w:rPr>
          <w:rFonts w:ascii="Arial" w:eastAsia="Times New Roman" w:hAnsi="Arial" w:cs="Arial"/>
          <w:i/>
          <w:sz w:val="20"/>
          <w:szCs w:val="19"/>
          <w:lang w:eastAsia="en-AU"/>
        </w:rPr>
        <w:t>establish that the proposed rate increases are affordable having regard to the local community’s capacity to pay.</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impact of the council’s proposed special variation on ratepayers must be reasonable.  To do this, we take into account current rate levels, the existing ratepayer base and the purpose of the special variation.  We also review how the council’s IP&amp;R processes have assessed whether that the proposed rate rises are affordable having regard to the community’s capacity and willingness to pay.</w:t>
      </w: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33" w:name="_Toc366160417"/>
      <w:bookmarkStart w:id="34" w:name="_Toc401138375"/>
      <w:r w:rsidRPr="004D232A">
        <w:rPr>
          <w:rFonts w:ascii="Arial" w:eastAsia="Times New Roman" w:hAnsi="Arial" w:cs="Times New Roman"/>
          <w:b/>
          <w:color w:val="00408A"/>
          <w:kern w:val="28"/>
          <w:sz w:val="24"/>
          <w:szCs w:val="24"/>
          <w:lang w:eastAsia="en-AU"/>
        </w:rPr>
        <w:t>Impact on rates</w:t>
      </w:r>
      <w:bookmarkEnd w:id="33"/>
      <w:bookmarkEnd w:id="34"/>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Much of the quantitative information we need on the impact of the special variation on (General Fund) rate levels will already be contained in Worksheet 5a and 5b of Part A of the application.</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To assist us further, the application should set out the rating structure under the proposed special variation, and how this may differ from the current rating structure, or that which would apply if the special variation is not approved.</w:t>
      </w:r>
    </w:p>
    <w:p w:rsidR="004D232A" w:rsidRPr="004D232A" w:rsidRDefault="004D232A" w:rsidP="004D232A">
      <w:pPr>
        <w:keepNext/>
        <w:keepLines/>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lastRenderedPageBreak/>
        <w:t>We recognise that a council may choose to apply an increase differentially among categories of ratepayers.  If so, you should explain the rationale for applying the increase differentially among different categories and/or subcategories of ratepayers.  This will be relevant to our assessment of the reasonableness of the impact on ratepayers.</w:t>
      </w:r>
    </w:p>
    <w:p w:rsidR="004D232A" w:rsidRPr="004D232A" w:rsidRDefault="004D232A" w:rsidP="004D232A">
      <w:pPr>
        <w:keepNext/>
        <w:keepLines/>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Councils should also indicate the impact of any other anticipated changes in the rating structure.</w:t>
      </w:r>
    </w:p>
    <w:p w:rsidR="004D232A" w:rsidRPr="004D232A" w:rsidRDefault="004D232A" w:rsidP="004D232A">
      <w:pPr>
        <w:keepNext/>
        <w:keepLines/>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keepNext/>
        <w:keepLines/>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rating structure will not change and the impact will be on ratepayers in various categories equally based on the existing base.  Council has adopted a hardship policy to enable it to be able to respond to specific cases of hardship as appropriate (Attachment 7)</w:t>
      </w:r>
    </w:p>
    <w:p w:rsidR="004D232A" w:rsidRPr="004D232A" w:rsidRDefault="004D232A" w:rsidP="004D232A">
      <w:pPr>
        <w:keepNext/>
        <w:numPr>
          <w:ilvl w:val="2"/>
          <w:numId w:val="0"/>
        </w:numPr>
        <w:tabs>
          <w:tab w:val="num" w:pos="709"/>
        </w:tabs>
        <w:spacing w:before="480" w:after="0" w:line="260" w:lineRule="atLeast"/>
        <w:ind w:left="709" w:hanging="709"/>
        <w:outlineLvl w:val="2"/>
        <w:rPr>
          <w:rFonts w:ascii="Arial" w:eastAsia="Times New Roman" w:hAnsi="Arial" w:cs="Times New Roman"/>
          <w:b/>
          <w:color w:val="00408A"/>
          <w:kern w:val="28"/>
          <w:sz w:val="21"/>
          <w:szCs w:val="21"/>
          <w:lang w:eastAsia="en-AU"/>
        </w:rPr>
      </w:pPr>
      <w:r w:rsidRPr="004D232A">
        <w:rPr>
          <w:rFonts w:ascii="Arial" w:eastAsia="Times New Roman" w:hAnsi="Arial" w:cs="Times New Roman"/>
          <w:b/>
          <w:color w:val="00408A"/>
          <w:kern w:val="28"/>
          <w:sz w:val="21"/>
          <w:szCs w:val="21"/>
          <w:lang w:eastAsia="en-AU"/>
        </w:rPr>
        <w:t>Minimum Rates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special variation may affect ordinary rates, special rates and/or minimum rates.</w:t>
      </w:r>
    </w:p>
    <w:p w:rsidR="004D232A" w:rsidRPr="004D232A" w:rsidRDefault="004D232A" w:rsidP="004D232A">
      <w:pPr>
        <w:spacing w:after="0" w:line="280" w:lineRule="atLeast"/>
        <w:jc w:val="both"/>
        <w:rPr>
          <w:rFonts w:ascii="Book Antiqua" w:eastAsia="Times New Roman" w:hAnsi="Book Antiqua" w:cs="Times New Roman"/>
          <w:szCs w:val="21"/>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4D232A" w:rsidRPr="004D232A" w:rsidTr="00B60324">
        <w:tc>
          <w:tcPr>
            <w:tcW w:w="5211" w:type="dxa"/>
          </w:tcPr>
          <w:p w:rsidR="004D232A" w:rsidRPr="004D232A" w:rsidRDefault="004D232A" w:rsidP="004D232A">
            <w:pPr>
              <w:keepLines/>
              <w:spacing w:before="40" w:after="40" w:line="210" w:lineRule="atLeast"/>
              <w:rPr>
                <w:rFonts w:ascii="Arial" w:hAnsi="Arial"/>
                <w:sz w:val="19"/>
                <w:szCs w:val="19"/>
              </w:rPr>
            </w:pPr>
            <w:r w:rsidRPr="004D232A">
              <w:rPr>
                <w:rFonts w:ascii="Arial" w:hAnsi="Arial"/>
                <w:sz w:val="19"/>
                <w:szCs w:val="19"/>
              </w:rPr>
              <w:t>Does the council have residential minimum rates?</w:t>
            </w:r>
          </w:p>
        </w:tc>
        <w:tc>
          <w:tcPr>
            <w:tcW w:w="1701" w:type="dxa"/>
          </w:tcPr>
          <w:p w:rsidR="004D232A" w:rsidRPr="004D232A" w:rsidRDefault="004D232A" w:rsidP="004D232A">
            <w:pPr>
              <w:keepLines/>
              <w:spacing w:before="40" w:after="40" w:line="210" w:lineRule="atLeast"/>
              <w:rPr>
                <w:rFonts w:ascii="Arial" w:hAnsi="Arial"/>
                <w:sz w:val="19"/>
                <w:szCs w:val="19"/>
              </w:rPr>
            </w:pPr>
            <w:r w:rsidRPr="004D232A">
              <w:rPr>
                <w:rFonts w:ascii="Arial" w:hAnsi="Arial"/>
                <w:sz w:val="19"/>
                <w:szCs w:val="19"/>
              </w:rPr>
              <w:t xml:space="preserve">Yes </w:t>
            </w:r>
            <w:r w:rsidRPr="004D232A">
              <w:rPr>
                <w:rFonts w:ascii="Arial" w:hAnsi="Arial"/>
                <w:sz w:val="19"/>
                <w:szCs w:val="19"/>
              </w:rPr>
              <w:fldChar w:fldCharType="begin">
                <w:ffData>
                  <w:name w:val="Check6"/>
                  <w:enabled/>
                  <w:calcOnExit w:val="0"/>
                  <w:checkBox>
                    <w:sizeAuto/>
                    <w:default w:val="0"/>
                  </w:checkBox>
                </w:ffData>
              </w:fldChar>
            </w:r>
            <w:r w:rsidRPr="004D232A">
              <w:rPr>
                <w:rFonts w:ascii="Arial" w:hAnsi="Arial"/>
                <w:sz w:val="19"/>
                <w:szCs w:val="19"/>
              </w:rPr>
              <w:instrText xml:space="preserve"> FORMCHECKBOX </w:instrText>
            </w:r>
            <w:r w:rsidR="00AE4968">
              <w:rPr>
                <w:rFonts w:ascii="Arial" w:hAnsi="Arial"/>
                <w:sz w:val="19"/>
                <w:szCs w:val="19"/>
              </w:rPr>
            </w:r>
            <w:r w:rsidR="00AE4968">
              <w:rPr>
                <w:rFonts w:ascii="Arial" w:hAnsi="Arial"/>
                <w:sz w:val="19"/>
                <w:szCs w:val="19"/>
              </w:rPr>
              <w:fldChar w:fldCharType="separate"/>
            </w:r>
            <w:r w:rsidRPr="004D232A">
              <w:rPr>
                <w:rFonts w:ascii="Arial" w:hAnsi="Arial"/>
                <w:sz w:val="19"/>
                <w:szCs w:val="19"/>
              </w:rPr>
              <w:fldChar w:fldCharType="end"/>
            </w:r>
            <w:r w:rsidRPr="004D232A">
              <w:rPr>
                <w:rFonts w:ascii="Arial" w:hAnsi="Arial"/>
                <w:sz w:val="19"/>
                <w:szCs w:val="19"/>
              </w:rPr>
              <w:t xml:space="preserve"> </w:t>
            </w:r>
          </w:p>
        </w:tc>
        <w:tc>
          <w:tcPr>
            <w:tcW w:w="1242" w:type="dxa"/>
          </w:tcPr>
          <w:p w:rsidR="004D232A" w:rsidRPr="004D232A" w:rsidRDefault="004D232A" w:rsidP="004D232A">
            <w:pPr>
              <w:keepLines/>
              <w:spacing w:before="40" w:after="40" w:line="210" w:lineRule="atLeast"/>
              <w:rPr>
                <w:rFonts w:ascii="Myriad Pro" w:hAnsi="Myriad Pro"/>
                <w:sz w:val="24"/>
                <w:szCs w:val="19"/>
              </w:rPr>
            </w:pPr>
            <w:r w:rsidRPr="004D232A">
              <w:rPr>
                <w:rFonts w:ascii="Arial" w:hAnsi="Arial"/>
                <w:sz w:val="19"/>
                <w:szCs w:val="19"/>
              </w:rPr>
              <w:t xml:space="preserve">No </w:t>
            </w:r>
            <w:r w:rsidRPr="004D232A">
              <w:rPr>
                <w:rFonts w:ascii="Arial" w:hAnsi="Arial"/>
                <w:sz w:val="19"/>
                <w:szCs w:val="19"/>
              </w:rPr>
              <w:fldChar w:fldCharType="begin">
                <w:ffData>
                  <w:name w:val="Check7"/>
                  <w:enabled/>
                  <w:calcOnExit w:val="0"/>
                  <w:checkBox>
                    <w:sizeAuto/>
                    <w:default w:val="1"/>
                  </w:checkBox>
                </w:ffData>
              </w:fldChar>
            </w:r>
            <w:bookmarkStart w:id="35" w:name="Check7"/>
            <w:r w:rsidRPr="004D232A">
              <w:rPr>
                <w:rFonts w:ascii="Arial" w:hAnsi="Arial"/>
                <w:sz w:val="19"/>
                <w:szCs w:val="19"/>
              </w:rPr>
              <w:instrText xml:space="preserve"> FORMCHECKBOX </w:instrText>
            </w:r>
            <w:r w:rsidR="00AE4968">
              <w:rPr>
                <w:rFonts w:ascii="Arial" w:hAnsi="Arial"/>
                <w:sz w:val="19"/>
                <w:szCs w:val="19"/>
              </w:rPr>
            </w:r>
            <w:r w:rsidR="00AE4968">
              <w:rPr>
                <w:rFonts w:ascii="Arial" w:hAnsi="Arial"/>
                <w:sz w:val="19"/>
                <w:szCs w:val="19"/>
              </w:rPr>
              <w:fldChar w:fldCharType="separate"/>
            </w:r>
            <w:r w:rsidRPr="004D232A">
              <w:rPr>
                <w:rFonts w:ascii="Arial" w:hAnsi="Arial"/>
                <w:sz w:val="19"/>
                <w:szCs w:val="19"/>
              </w:rPr>
              <w:fldChar w:fldCharType="end"/>
            </w:r>
            <w:bookmarkEnd w:id="35"/>
          </w:p>
        </w:tc>
      </w:tr>
    </w:tbl>
    <w:p w:rsidR="004D232A" w:rsidRPr="004D232A" w:rsidRDefault="004D232A" w:rsidP="004D232A">
      <w:pPr>
        <w:keepLines/>
        <w:spacing w:before="40" w:after="40" w:line="210" w:lineRule="atLeast"/>
        <w:rPr>
          <w:rFonts w:ascii="Arial" w:eastAsia="Times New Roman" w:hAnsi="Arial" w:cs="Times New Roman"/>
          <w:sz w:val="19"/>
          <w:szCs w:val="19"/>
        </w:rPr>
      </w:pPr>
    </w:p>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 xml:space="preserve">If </w:t>
      </w:r>
      <w:r w:rsidRPr="004D232A">
        <w:rPr>
          <w:rFonts w:ascii="Arial" w:eastAsia="Times New Roman" w:hAnsi="Arial" w:cs="Times New Roman"/>
          <w:i/>
          <w:sz w:val="19"/>
          <w:szCs w:val="19"/>
        </w:rPr>
        <w:t>Yes</w:t>
      </w:r>
      <w:r w:rsidRPr="004D232A">
        <w:rPr>
          <w:rFonts w:ascii="Arial" w:eastAsia="Times New Roman" w:hAnsi="Arial" w:cs="Times New Roman"/>
          <w:sz w:val="19"/>
          <w:szCs w:val="19"/>
        </w:rPr>
        <w:t>, Does the council propose to increase the minimum residential rate by:</w:t>
      </w:r>
    </w:p>
    <w:p w:rsidR="004D232A" w:rsidRPr="004D232A" w:rsidRDefault="004D232A" w:rsidP="004D232A">
      <w:pPr>
        <w:keepLines/>
        <w:spacing w:before="40" w:after="40" w:line="210" w:lineRule="atLeast"/>
        <w:rPr>
          <w:rFonts w:ascii="Arial" w:eastAsia="Times New Roman" w:hAnsi="Arial" w:cs="Times New Roman"/>
          <w:sz w:val="19"/>
          <w:szCs w:val="19"/>
        </w:rPr>
      </w:pPr>
    </w:p>
    <w:p w:rsidR="004D232A" w:rsidRPr="004D232A" w:rsidRDefault="004D232A" w:rsidP="004D232A">
      <w:pPr>
        <w:keepLines/>
        <w:spacing w:before="40" w:after="40" w:line="210" w:lineRule="atLeast"/>
        <w:ind w:firstLine="284"/>
        <w:rPr>
          <w:rFonts w:ascii="Arial" w:eastAsia="Times New Roman" w:hAnsi="Arial" w:cs="Times New Roman"/>
          <w:sz w:val="19"/>
          <w:szCs w:val="19"/>
        </w:rPr>
      </w:pPr>
      <w:r w:rsidRPr="004D232A">
        <w:rPr>
          <w:rFonts w:ascii="Arial" w:eastAsia="Times New Roman" w:hAnsi="Arial" w:cs="Times New Roman"/>
          <w:sz w:val="19"/>
          <w:szCs w:val="19"/>
        </w:rPr>
        <w:t xml:space="preserve">The rate peg percentage  </w:t>
      </w:r>
      <w:r w:rsidRPr="004D232A">
        <w:rPr>
          <w:rFonts w:ascii="Arial" w:eastAsia="Times New Roman" w:hAnsi="Arial" w:cs="Times New Roman"/>
          <w:sz w:val="19"/>
          <w:szCs w:val="19"/>
        </w:rPr>
        <w:fldChar w:fldCharType="begin">
          <w:ffData>
            <w:name w:val="Check6"/>
            <w:enabled/>
            <w:calcOnExit w:val="0"/>
            <w:checkBox>
              <w:sizeAuto/>
              <w:default w:val="0"/>
            </w:checkBox>
          </w:ffData>
        </w:fldChar>
      </w:r>
      <w:r w:rsidRPr="004D232A">
        <w:rPr>
          <w:rFonts w:ascii="Arial" w:eastAsia="Times New Roman" w:hAnsi="Arial" w:cs="Times New Roman"/>
          <w:sz w:val="19"/>
          <w:szCs w:val="19"/>
        </w:rPr>
        <w:instrText xml:space="preserve"> FORMCHECKBOX </w:instrText>
      </w:r>
      <w:r w:rsidR="00AE4968">
        <w:rPr>
          <w:rFonts w:ascii="Arial" w:eastAsia="Times New Roman" w:hAnsi="Arial" w:cs="Times New Roman"/>
          <w:sz w:val="19"/>
          <w:szCs w:val="19"/>
        </w:rPr>
      </w:r>
      <w:r w:rsidR="00AE4968">
        <w:rPr>
          <w:rFonts w:ascii="Arial" w:eastAsia="Times New Roman" w:hAnsi="Arial" w:cs="Times New Roman"/>
          <w:sz w:val="19"/>
          <w:szCs w:val="19"/>
        </w:rPr>
        <w:fldChar w:fldCharType="separate"/>
      </w:r>
      <w:r w:rsidRPr="004D232A">
        <w:rPr>
          <w:rFonts w:ascii="Arial" w:eastAsia="Times New Roman" w:hAnsi="Arial" w:cs="Times New Roman"/>
          <w:sz w:val="19"/>
          <w:szCs w:val="19"/>
        </w:rPr>
        <w:fldChar w:fldCharType="end"/>
      </w:r>
    </w:p>
    <w:p w:rsidR="004D232A" w:rsidRPr="004D232A" w:rsidRDefault="004D232A" w:rsidP="004D232A">
      <w:pPr>
        <w:keepLines/>
        <w:spacing w:before="40" w:after="40" w:line="210" w:lineRule="atLeast"/>
        <w:ind w:firstLine="284"/>
        <w:rPr>
          <w:rFonts w:ascii="Arial" w:eastAsia="Times New Roman" w:hAnsi="Arial" w:cs="Times New Roman"/>
          <w:sz w:val="19"/>
          <w:szCs w:val="19"/>
        </w:rPr>
      </w:pPr>
      <w:r w:rsidRPr="004D232A">
        <w:rPr>
          <w:rFonts w:ascii="Arial" w:eastAsia="Times New Roman" w:hAnsi="Arial" w:cs="Times New Roman"/>
          <w:sz w:val="19"/>
          <w:szCs w:val="19"/>
        </w:rPr>
        <w:t xml:space="preserve">The special variation percentage </w:t>
      </w:r>
      <w:r w:rsidRPr="004D232A">
        <w:rPr>
          <w:rFonts w:ascii="Arial" w:eastAsia="Times New Roman" w:hAnsi="Arial" w:cs="Times New Roman"/>
          <w:sz w:val="19"/>
          <w:szCs w:val="19"/>
        </w:rPr>
        <w:fldChar w:fldCharType="begin">
          <w:ffData>
            <w:name w:val="Check6"/>
            <w:enabled/>
            <w:calcOnExit w:val="0"/>
            <w:checkBox>
              <w:sizeAuto/>
              <w:default w:val="0"/>
            </w:checkBox>
          </w:ffData>
        </w:fldChar>
      </w:r>
      <w:r w:rsidRPr="004D232A">
        <w:rPr>
          <w:rFonts w:ascii="Arial" w:eastAsia="Times New Roman" w:hAnsi="Arial" w:cs="Times New Roman"/>
          <w:sz w:val="19"/>
          <w:szCs w:val="19"/>
        </w:rPr>
        <w:instrText xml:space="preserve"> FORMCHECKBOX </w:instrText>
      </w:r>
      <w:r w:rsidR="00AE4968">
        <w:rPr>
          <w:rFonts w:ascii="Arial" w:eastAsia="Times New Roman" w:hAnsi="Arial" w:cs="Times New Roman"/>
          <w:sz w:val="19"/>
          <w:szCs w:val="19"/>
        </w:rPr>
      </w:r>
      <w:r w:rsidR="00AE4968">
        <w:rPr>
          <w:rFonts w:ascii="Arial" w:eastAsia="Times New Roman" w:hAnsi="Arial" w:cs="Times New Roman"/>
          <w:sz w:val="19"/>
          <w:szCs w:val="19"/>
        </w:rPr>
        <w:fldChar w:fldCharType="separate"/>
      </w:r>
      <w:r w:rsidRPr="004D232A">
        <w:rPr>
          <w:rFonts w:ascii="Arial" w:eastAsia="Times New Roman" w:hAnsi="Arial" w:cs="Times New Roman"/>
          <w:sz w:val="19"/>
          <w:szCs w:val="19"/>
        </w:rPr>
        <w:fldChar w:fldCharType="end"/>
      </w:r>
    </w:p>
    <w:p w:rsidR="004D232A" w:rsidRPr="004D232A" w:rsidRDefault="004D232A" w:rsidP="004D232A">
      <w:pPr>
        <w:keepLines/>
        <w:spacing w:before="40" w:after="40" w:line="210" w:lineRule="atLeast"/>
        <w:ind w:firstLine="284"/>
        <w:rPr>
          <w:rFonts w:ascii="Arial" w:eastAsia="Times New Roman" w:hAnsi="Arial" w:cs="Times New Roman"/>
          <w:sz w:val="19"/>
          <w:szCs w:val="19"/>
        </w:rPr>
      </w:pPr>
      <w:r w:rsidRPr="004D232A">
        <w:rPr>
          <w:rFonts w:ascii="Arial" w:eastAsia="Times New Roman" w:hAnsi="Arial" w:cs="Times New Roman"/>
          <w:sz w:val="19"/>
          <w:szCs w:val="19"/>
        </w:rPr>
        <w:t xml:space="preserve">Another amount  </w:t>
      </w:r>
      <w:r w:rsidRPr="004D232A">
        <w:rPr>
          <w:rFonts w:ascii="Arial" w:eastAsia="Times New Roman" w:hAnsi="Arial" w:cs="Times New Roman"/>
          <w:sz w:val="19"/>
          <w:szCs w:val="19"/>
        </w:rPr>
        <w:fldChar w:fldCharType="begin">
          <w:ffData>
            <w:name w:val="Check6"/>
            <w:enabled/>
            <w:calcOnExit w:val="0"/>
            <w:checkBox>
              <w:sizeAuto/>
              <w:default w:val="0"/>
            </w:checkBox>
          </w:ffData>
        </w:fldChar>
      </w:r>
      <w:r w:rsidRPr="004D232A">
        <w:rPr>
          <w:rFonts w:ascii="Arial" w:eastAsia="Times New Roman" w:hAnsi="Arial" w:cs="Times New Roman"/>
          <w:sz w:val="19"/>
          <w:szCs w:val="19"/>
        </w:rPr>
        <w:instrText xml:space="preserve"> FORMCHECKBOX </w:instrText>
      </w:r>
      <w:r w:rsidR="00AE4968">
        <w:rPr>
          <w:rFonts w:ascii="Arial" w:eastAsia="Times New Roman" w:hAnsi="Arial" w:cs="Times New Roman"/>
          <w:sz w:val="19"/>
          <w:szCs w:val="19"/>
        </w:rPr>
      </w:r>
      <w:r w:rsidR="00AE4968">
        <w:rPr>
          <w:rFonts w:ascii="Arial" w:eastAsia="Times New Roman" w:hAnsi="Arial" w:cs="Times New Roman"/>
          <w:sz w:val="19"/>
          <w:szCs w:val="19"/>
        </w:rPr>
        <w:fldChar w:fldCharType="separate"/>
      </w:r>
      <w:r w:rsidRPr="004D232A">
        <w:rPr>
          <w:rFonts w:ascii="Arial" w:eastAsia="Times New Roman" w:hAnsi="Arial" w:cs="Times New Roman"/>
          <w:sz w:val="19"/>
          <w:szCs w:val="19"/>
        </w:rPr>
        <w:fldChar w:fldCharType="end"/>
      </w:r>
      <w:r w:rsidRPr="004D232A">
        <w:rPr>
          <w:rFonts w:ascii="Arial" w:eastAsia="Times New Roman" w:hAnsi="Arial" w:cs="Times New Roman"/>
          <w:sz w:val="19"/>
          <w:szCs w:val="19"/>
        </w:rPr>
        <w:t xml:space="preserve">   Indicate this amount _____________</w:t>
      </w:r>
    </w:p>
    <w:p w:rsidR="004D232A" w:rsidRPr="004D232A" w:rsidRDefault="004D232A" w:rsidP="004D232A">
      <w:pPr>
        <w:keepLines/>
        <w:spacing w:before="40" w:after="40" w:line="210" w:lineRule="atLeast"/>
        <w:rPr>
          <w:rFonts w:ascii="Arial" w:eastAsia="Times New Roman" w:hAnsi="Arial" w:cs="Times New Roman"/>
          <w:sz w:val="19"/>
          <w:szCs w:val="19"/>
        </w:rPr>
      </w:pPr>
    </w:p>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What will the residential minimum rate be after the increase? _________</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council must explain how the proposed special variation will apply to the minimum rate of any ordinary and special rate, and any change to the proportion of ratepayers on the minimum rate for all relevant rating categories that will occur as a result.</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You should also explain the types of ratepayers or properties currently paying minimum rates, and the rationale for the application of the special variation to minimum rate levels.</w:t>
      </w:r>
    </w:p>
    <w:p w:rsidR="004D232A" w:rsidRPr="004D232A" w:rsidRDefault="004D232A" w:rsidP="004D232A">
      <w:pPr>
        <w:pBdr>
          <w:top w:val="single" w:sz="4" w:space="1" w:color="auto"/>
          <w:left w:val="single" w:sz="4" w:space="4" w:color="auto"/>
          <w:bottom w:val="single" w:sz="4" w:space="1" w:color="auto"/>
          <w:right w:val="single" w:sz="4" w:space="4" w:color="auto"/>
        </w:pBd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fldChar w:fldCharType="begin">
          <w:ffData>
            <w:name w:val="Text18"/>
            <w:enabled/>
            <w:calcOnExit w:val="0"/>
            <w:textInput/>
          </w:ffData>
        </w:fldChar>
      </w:r>
      <w:bookmarkStart w:id="36" w:name="Text18"/>
      <w:r w:rsidRPr="004D232A">
        <w:rPr>
          <w:rFonts w:ascii="Book Antiqua" w:eastAsia="Times New Roman" w:hAnsi="Book Antiqua" w:cs="Times New Roman"/>
          <w:szCs w:val="21"/>
          <w:lang w:eastAsia="en-AU"/>
        </w:rPr>
        <w:instrText xml:space="preserve"> FORMTEXT </w:instrText>
      </w:r>
      <w:r w:rsidRPr="004D232A">
        <w:rPr>
          <w:rFonts w:ascii="Book Antiqua" w:eastAsia="Times New Roman" w:hAnsi="Book Antiqua" w:cs="Times New Roman"/>
          <w:szCs w:val="21"/>
          <w:lang w:eastAsia="en-AU"/>
        </w:rPr>
      </w:r>
      <w:r w:rsidRPr="004D232A">
        <w:rPr>
          <w:rFonts w:ascii="Book Antiqua" w:eastAsia="Times New Roman" w:hAnsi="Book Antiqua" w:cs="Times New Roman"/>
          <w:szCs w:val="21"/>
          <w:lang w:eastAsia="en-AU"/>
        </w:rPr>
        <w:fldChar w:fldCharType="separate"/>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szCs w:val="21"/>
          <w:lang w:eastAsia="en-AU"/>
        </w:rPr>
        <w:fldChar w:fldCharType="end"/>
      </w:r>
      <w:bookmarkEnd w:id="36"/>
    </w:p>
    <w:p w:rsidR="004D232A" w:rsidRPr="004D232A" w:rsidRDefault="004D232A" w:rsidP="004D232A">
      <w:pPr>
        <w:pBdr>
          <w:top w:val="single" w:sz="4" w:space="1" w:color="auto"/>
          <w:left w:val="single" w:sz="4" w:space="4" w:color="auto"/>
          <w:bottom w:val="single" w:sz="4" w:space="1" w:color="auto"/>
          <w:right w:val="single" w:sz="4" w:space="4" w:color="auto"/>
        </w:pBd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37" w:name="_Toc366160418"/>
      <w:bookmarkStart w:id="38" w:name="_Toc401138376"/>
      <w:r w:rsidRPr="004D232A">
        <w:rPr>
          <w:rFonts w:ascii="Arial" w:eastAsia="Times New Roman" w:hAnsi="Arial" w:cs="Times New Roman"/>
          <w:b/>
          <w:color w:val="00408A"/>
          <w:kern w:val="28"/>
          <w:sz w:val="24"/>
          <w:szCs w:val="24"/>
          <w:lang w:eastAsia="en-AU"/>
        </w:rPr>
        <w:lastRenderedPageBreak/>
        <w:t>Consideration of affordability and the community’s capacity and willingness to pay</w:t>
      </w:r>
      <w:bookmarkEnd w:id="37"/>
      <w:bookmarkEnd w:id="38"/>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council is required to provide evidence through its IP&amp;R processes, and in its application, of how it assessed the community’s capacity and willingness to pay the proposed rate increases.  This is to include an explanation of how the council established that the proposed rate rises are affordable for the community.</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Evidence about 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or neighbouring council areas.  </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As many of these measures are highly aggregated, it may also be useful to discuss other factors that could better explain the impact on ratepayers affected by the proposed rate increases, particularly if the impact varies across different categories of ratepayers.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We may also consider how the council’s hardship policy (see Section 5.3 below) might reduce the impact on socio-economically disadvantaged ratepayers.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As previously indicated, the continued provision of basic services that enhance community connectedness is seen as critical to the ongoing strength of the community. Community members are united in wanting to access services locally. Weddin is not a wealthy community and transport costs and accessibility is compromised if facilities such as the Aquatic Centre and the ongoing medical service provision deteriorate.</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application is part of an overall process to bring resources to a level that allows long-term sustainability both financially and for service delivery. The process to follow is the FFTF application; a failure to secure a SRV will severely compromise the capacity of the community to be sustainable (either as a Rural Council or as an amalgamated community). Indeed as the base case shows, there is no future without ongoing structural change and a Rural Council model appears best able to achieve and outcome that the community can afford and supports.</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Fact Sheet sent to all residents also set out the availability of the hardship provisions.</w:t>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keepNext/>
        <w:numPr>
          <w:ilvl w:val="1"/>
          <w:numId w:val="0"/>
        </w:numPr>
        <w:tabs>
          <w:tab w:val="num" w:pos="709"/>
        </w:tabs>
        <w:spacing w:before="480" w:after="0" w:line="280" w:lineRule="atLeast"/>
        <w:ind w:left="709" w:hanging="709"/>
        <w:outlineLvl w:val="1"/>
        <w:rPr>
          <w:rFonts w:ascii="Arial" w:eastAsia="Times New Roman" w:hAnsi="Arial" w:cs="Times New Roman"/>
          <w:b/>
          <w:color w:val="00408A"/>
          <w:kern w:val="28"/>
          <w:sz w:val="24"/>
          <w:szCs w:val="24"/>
          <w:lang w:eastAsia="en-AU"/>
        </w:rPr>
      </w:pPr>
      <w:bookmarkStart w:id="39" w:name="_Toc401138377"/>
      <w:r w:rsidRPr="004D232A">
        <w:rPr>
          <w:rFonts w:ascii="Arial" w:eastAsia="Times New Roman" w:hAnsi="Arial" w:cs="Times New Roman"/>
          <w:b/>
          <w:color w:val="00408A"/>
          <w:kern w:val="28"/>
          <w:sz w:val="24"/>
          <w:szCs w:val="24"/>
          <w:lang w:eastAsia="en-AU"/>
        </w:rPr>
        <w:lastRenderedPageBreak/>
        <w:t>Addressing hardship</w:t>
      </w:r>
      <w:bookmarkEnd w:id="39"/>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In addition to the statutory requirement for pensioner rebates, most councils have a policy, formal or otherwise to address issues of hardship.</w:t>
      </w:r>
    </w:p>
    <w:p w:rsidR="004D232A" w:rsidRPr="004D232A" w:rsidRDefault="004D232A" w:rsidP="004D232A">
      <w:pPr>
        <w:keepNext/>
        <w:spacing w:after="0" w:line="280" w:lineRule="atLeast"/>
        <w:jc w:val="both"/>
        <w:rPr>
          <w:rFonts w:ascii="Book Antiqua" w:eastAsia="Times New Roman" w:hAnsi="Book Antiqua" w:cs="Times New Roman"/>
          <w:szCs w:val="21"/>
          <w:lang w:eastAsia="en-AU"/>
        </w:rPr>
      </w:pPr>
    </w:p>
    <w:tbl>
      <w:tblPr>
        <w:tblW w:w="0" w:type="auto"/>
        <w:tblLook w:val="01E0" w:firstRow="1" w:lastRow="1" w:firstColumn="1" w:lastColumn="1" w:noHBand="0" w:noVBand="0"/>
      </w:tblPr>
      <w:tblGrid>
        <w:gridCol w:w="6487"/>
        <w:gridCol w:w="851"/>
        <w:gridCol w:w="816"/>
      </w:tblGrid>
      <w:tr w:rsidR="004D232A" w:rsidRPr="004D232A" w:rsidTr="00B60324">
        <w:tc>
          <w:tcPr>
            <w:tcW w:w="6487"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Does the council have a Hardship Policy?</w:t>
            </w:r>
          </w:p>
        </w:tc>
        <w:tc>
          <w:tcPr>
            <w:tcW w:w="851" w:type="dxa"/>
          </w:tcPr>
          <w:p w:rsidR="004D232A" w:rsidRPr="004D232A" w:rsidRDefault="004D232A" w:rsidP="004D232A">
            <w:pPr>
              <w:keepLines/>
              <w:spacing w:before="40" w:after="40" w:line="210" w:lineRule="atLeast"/>
              <w:rPr>
                <w:rFonts w:ascii="Arial" w:eastAsia="Times New Roman" w:hAnsi="Arial" w:cs="Arial"/>
                <w:sz w:val="19"/>
                <w:szCs w:val="19"/>
              </w:rPr>
            </w:pPr>
            <w:r w:rsidRPr="004D232A">
              <w:rPr>
                <w:rFonts w:ascii="Arial" w:eastAsia="Times New Roman" w:hAnsi="Arial" w:cs="Arial"/>
                <w:sz w:val="19"/>
                <w:szCs w:val="19"/>
              </w:rPr>
              <w:t xml:space="preserve">Yes </w:t>
            </w:r>
            <w:r w:rsidRPr="004D232A">
              <w:rPr>
                <w:rFonts w:ascii="Arial" w:eastAsia="Times New Roman" w:hAnsi="Arial" w:cs="Arial"/>
                <w:sz w:val="19"/>
                <w:szCs w:val="19"/>
              </w:rPr>
              <w:fldChar w:fldCharType="begin">
                <w:ffData>
                  <w:name w:val=""/>
                  <w:enabled/>
                  <w:calcOnExit w:val="0"/>
                  <w:checkBox>
                    <w:sizeAuto/>
                    <w:default w:val="1"/>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c>
          <w:tcPr>
            <w:tcW w:w="816" w:type="dxa"/>
            <w:vAlign w:val="bottom"/>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Arial"/>
                <w:sz w:val="19"/>
                <w:szCs w:val="19"/>
              </w:rPr>
              <w:t xml:space="preserve">No </w:t>
            </w:r>
            <w:r w:rsidRPr="004D232A">
              <w:rPr>
                <w:rFonts w:ascii="Arial" w:eastAsia="Times New Roman" w:hAnsi="Arial" w:cs="Arial"/>
                <w:sz w:val="19"/>
                <w:szCs w:val="19"/>
              </w:rPr>
              <w:fldChar w:fldCharType="begin">
                <w:ffData>
                  <w:name w:val="Check7"/>
                  <w:enabled/>
                  <w:calcOnExit w:val="0"/>
                  <w:checkBox>
                    <w:sizeAuto/>
                    <w:default w:val="0"/>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r>
      <w:tr w:rsidR="004D232A" w:rsidRPr="004D232A" w:rsidTr="00B60324">
        <w:tc>
          <w:tcPr>
            <w:tcW w:w="6487" w:type="dxa"/>
          </w:tcPr>
          <w:p w:rsidR="004D232A" w:rsidRPr="004D232A" w:rsidRDefault="004D232A" w:rsidP="004D232A">
            <w:pPr>
              <w:keepLines/>
              <w:spacing w:before="40" w:after="40" w:line="210" w:lineRule="atLeast"/>
              <w:rPr>
                <w:rFonts w:ascii="Arial" w:eastAsia="Times New Roman" w:hAnsi="Arial" w:cs="Arial"/>
                <w:sz w:val="19"/>
                <w:szCs w:val="19"/>
              </w:rPr>
            </w:pPr>
            <w:r w:rsidRPr="004D232A">
              <w:rPr>
                <w:rFonts w:ascii="Arial" w:eastAsia="Times New Roman" w:hAnsi="Arial" w:cs="Arial"/>
                <w:sz w:val="19"/>
                <w:szCs w:val="19"/>
              </w:rPr>
              <w:t>If Yes, is an interest charge applied to late rate payments?</w:t>
            </w:r>
          </w:p>
        </w:tc>
        <w:tc>
          <w:tcPr>
            <w:tcW w:w="851" w:type="dxa"/>
          </w:tcPr>
          <w:p w:rsidR="004D232A" w:rsidRPr="004D232A" w:rsidRDefault="004D232A" w:rsidP="004D232A">
            <w:pPr>
              <w:keepLines/>
              <w:spacing w:before="40" w:after="40" w:line="210" w:lineRule="atLeast"/>
              <w:rPr>
                <w:rFonts w:ascii="Arial" w:eastAsia="Times New Roman" w:hAnsi="Arial" w:cs="Arial"/>
                <w:sz w:val="19"/>
                <w:szCs w:val="19"/>
              </w:rPr>
            </w:pPr>
            <w:r w:rsidRPr="004D232A">
              <w:rPr>
                <w:rFonts w:ascii="Arial" w:eastAsia="Times New Roman" w:hAnsi="Arial" w:cs="Arial"/>
                <w:sz w:val="19"/>
                <w:szCs w:val="19"/>
              </w:rPr>
              <w:t xml:space="preserve">Yes </w:t>
            </w:r>
            <w:r w:rsidRPr="004D232A">
              <w:rPr>
                <w:rFonts w:ascii="Arial" w:eastAsia="Times New Roman" w:hAnsi="Arial" w:cs="Arial"/>
                <w:sz w:val="19"/>
                <w:szCs w:val="19"/>
              </w:rPr>
              <w:fldChar w:fldCharType="begin">
                <w:ffData>
                  <w:name w:val="Check6"/>
                  <w:enabled/>
                  <w:calcOnExit w:val="0"/>
                  <w:checkBox>
                    <w:sizeAuto/>
                    <w:default w:val="0"/>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c>
          <w:tcPr>
            <w:tcW w:w="816" w:type="dxa"/>
            <w:vAlign w:val="bottom"/>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Arial"/>
                <w:sz w:val="19"/>
                <w:szCs w:val="19"/>
              </w:rPr>
              <w:t xml:space="preserve">No </w:t>
            </w:r>
            <w:r w:rsidRPr="004D232A">
              <w:rPr>
                <w:rFonts w:ascii="Arial" w:eastAsia="Times New Roman" w:hAnsi="Arial" w:cs="Arial"/>
                <w:sz w:val="19"/>
                <w:szCs w:val="19"/>
              </w:rPr>
              <w:fldChar w:fldCharType="begin">
                <w:ffData>
                  <w:name w:val=""/>
                  <w:enabled/>
                  <w:calcOnExit w:val="0"/>
                  <w:checkBox>
                    <w:sizeAuto/>
                    <w:default w:val="1"/>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r>
      <w:tr w:rsidR="004D232A" w:rsidRPr="004D232A" w:rsidTr="00B60324">
        <w:tc>
          <w:tcPr>
            <w:tcW w:w="6487"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Does the council propose to introduce any measures to limit the impact of the proposed special variation on specific groups in the community?</w:t>
            </w:r>
          </w:p>
        </w:tc>
        <w:tc>
          <w:tcPr>
            <w:tcW w:w="851"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Arial"/>
                <w:sz w:val="19"/>
                <w:szCs w:val="19"/>
              </w:rPr>
              <w:t xml:space="preserve">Yes </w:t>
            </w:r>
            <w:r w:rsidRPr="004D232A">
              <w:rPr>
                <w:rFonts w:ascii="Arial" w:eastAsia="Times New Roman" w:hAnsi="Arial" w:cs="Arial"/>
                <w:sz w:val="19"/>
                <w:szCs w:val="19"/>
              </w:rPr>
              <w:fldChar w:fldCharType="begin">
                <w:ffData>
                  <w:name w:val="Check6"/>
                  <w:enabled/>
                  <w:calcOnExit w:val="0"/>
                  <w:checkBox>
                    <w:sizeAuto/>
                    <w:default w:val="0"/>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c>
          <w:tcPr>
            <w:tcW w:w="816" w:type="dxa"/>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Arial"/>
                <w:sz w:val="19"/>
                <w:szCs w:val="19"/>
              </w:rPr>
              <w:t xml:space="preserve">No </w:t>
            </w:r>
            <w:r w:rsidRPr="004D232A">
              <w:rPr>
                <w:rFonts w:ascii="Arial" w:eastAsia="Times New Roman" w:hAnsi="Arial" w:cs="Arial"/>
                <w:sz w:val="19"/>
                <w:szCs w:val="19"/>
              </w:rPr>
              <w:fldChar w:fldCharType="begin">
                <w:ffData>
                  <w:name w:val=""/>
                  <w:enabled/>
                  <w:calcOnExit w:val="0"/>
                  <w:checkBox>
                    <w:sizeAuto/>
                    <w:default w:val="1"/>
                  </w:checkBox>
                </w:ffData>
              </w:fldChar>
            </w:r>
            <w:r w:rsidRPr="004D232A">
              <w:rPr>
                <w:rFonts w:ascii="Arial" w:eastAsia="Times New Roman" w:hAnsi="Arial" w:cs="Arial"/>
                <w:sz w:val="19"/>
                <w:szCs w:val="19"/>
              </w:rPr>
              <w:instrText xml:space="preserve"> FORMCHECKBOX </w:instrText>
            </w:r>
            <w:r w:rsidR="00AE4968">
              <w:rPr>
                <w:rFonts w:ascii="Arial" w:eastAsia="Times New Roman" w:hAnsi="Arial" w:cs="Arial"/>
                <w:sz w:val="19"/>
                <w:szCs w:val="19"/>
              </w:rPr>
            </w:r>
            <w:r w:rsidR="00AE4968">
              <w:rPr>
                <w:rFonts w:ascii="Arial" w:eastAsia="Times New Roman" w:hAnsi="Arial" w:cs="Arial"/>
                <w:sz w:val="19"/>
                <w:szCs w:val="19"/>
              </w:rPr>
              <w:fldChar w:fldCharType="separate"/>
            </w:r>
            <w:r w:rsidRPr="004D232A">
              <w:rPr>
                <w:rFonts w:ascii="Arial" w:eastAsia="Times New Roman" w:hAnsi="Arial" w:cs="Arial"/>
                <w:sz w:val="19"/>
                <w:szCs w:val="19"/>
              </w:rPr>
              <w:fldChar w:fldCharType="end"/>
            </w:r>
          </w:p>
        </w:tc>
      </w:tr>
    </w:tbl>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You should attach a copy of the Hardship Policy and explain below who the potential beneficiaries are and how they are assisted.</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Please provide details of any other measures addressing hardship to be adopted, or alternatively, explain why no measures are proposed.</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council is also to indicate whether the policy or other measures are referenced in the council’s IP&amp;R documents (with relevant page reference or extract provided).</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Following last year’s determination, IPART advised Council of the desirability of adopting a Hardship Policy. As a consequence, Council resolved to adopt a Hardship Policy on 18</w:t>
      </w:r>
      <w:r w:rsidRPr="004D232A">
        <w:rPr>
          <w:rFonts w:ascii="Arial" w:eastAsia="Times New Roman" w:hAnsi="Arial" w:cs="Arial"/>
          <w:szCs w:val="21"/>
          <w:vertAlign w:val="superscript"/>
          <w:lang w:eastAsia="en-AU"/>
        </w:rPr>
        <w:t>th</w:t>
      </w:r>
      <w:r w:rsidRPr="004D232A">
        <w:rPr>
          <w:rFonts w:ascii="Arial" w:eastAsia="Times New Roman" w:hAnsi="Arial" w:cs="Arial"/>
          <w:szCs w:val="21"/>
          <w:lang w:eastAsia="en-AU"/>
        </w:rPr>
        <w:t xml:space="preserve"> September 2014. The Hardship Policy adopted by the Council is designed to assist any ratepayer who cannot pay their rates or charges for reason of financial hardship. Each individual case is considered on its merits.</w:t>
      </w: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criteria for financial hardship involve an inability of the ratepayer to pay their rates, rather than an unwillingness to do so. Hardship may result from any of the following:</w:t>
      </w: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Loss of employment by ratepayer or family member</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Family breakdown</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Illness of the ratepayer or family member</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Death in the family</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Loss of income due to natural disasters</w:t>
      </w:r>
    </w:p>
    <w:p w:rsidR="004D232A" w:rsidRPr="004D232A" w:rsidRDefault="004D232A" w:rsidP="004D232A">
      <w:pPr>
        <w:spacing w:after="0" w:line="280" w:lineRule="atLeast"/>
        <w:jc w:val="both"/>
        <w:rPr>
          <w:rFonts w:ascii="Arial" w:eastAsia="Times New Roman" w:hAnsi="Arial" w:cs="Arial"/>
          <w:szCs w:val="21"/>
          <w:lang w:eastAsia="en-AU"/>
        </w:rPr>
      </w:pPr>
    </w:p>
    <w:p w:rsidR="004D232A" w:rsidRPr="004D232A" w:rsidRDefault="004D232A" w:rsidP="004D232A">
      <w:pPr>
        <w:spacing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The criteria for assessment include:</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The amount of any rate increase when compared to the average rate increase for the rate category</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The amount of rates levied compared to the average rate of the rate category</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Income from all sources</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Living expenses</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Reason for financial hardship</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Length of occupancy</w:t>
      </w:r>
    </w:p>
    <w:p w:rsidR="004D232A" w:rsidRPr="004D232A" w:rsidRDefault="004D232A" w:rsidP="004D232A">
      <w:pPr>
        <w:spacing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jc w:val="both"/>
        <w:rPr>
          <w:rFonts w:ascii="Arial" w:eastAsia="Times New Roman" w:hAnsi="Arial" w:cs="Arial"/>
          <w:szCs w:val="21"/>
          <w:lang w:eastAsia="en-AU"/>
        </w:rPr>
      </w:pPr>
    </w:p>
    <w:p w:rsidR="004D232A" w:rsidRPr="004D232A" w:rsidRDefault="004D232A" w:rsidP="004D232A">
      <w:pPr>
        <w:spacing w:before="240"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lastRenderedPageBreak/>
        <w:t>Available assistance includes:</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Deferral of outstanding amounts for a set period of time</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Charging an interest rate of 0% on overdue amounts for a set period of time</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Arranging an appropriate payment schedule</w:t>
      </w:r>
    </w:p>
    <w:p w:rsidR="004D232A" w:rsidRPr="004D232A" w:rsidRDefault="004D232A" w:rsidP="004D232A">
      <w:pPr>
        <w:spacing w:after="0" w:line="280" w:lineRule="atLeast"/>
        <w:ind w:left="284"/>
        <w:jc w:val="both"/>
        <w:rPr>
          <w:rFonts w:ascii="Arial" w:eastAsia="Times New Roman" w:hAnsi="Arial" w:cs="Arial"/>
          <w:szCs w:val="21"/>
          <w:lang w:eastAsia="en-AU"/>
        </w:rPr>
      </w:pPr>
      <w:r w:rsidRPr="004D232A">
        <w:rPr>
          <w:rFonts w:ascii="Arial" w:eastAsia="Times New Roman" w:hAnsi="Arial" w:cs="Arial"/>
          <w:szCs w:val="21"/>
          <w:lang w:eastAsia="en-AU"/>
        </w:rPr>
        <w:t>• Any combination of the above</w:t>
      </w:r>
    </w:p>
    <w:p w:rsidR="004D232A" w:rsidRPr="004D232A" w:rsidRDefault="004D232A" w:rsidP="004D232A">
      <w:pPr>
        <w:spacing w:after="0" w:line="280" w:lineRule="atLeast"/>
        <w:jc w:val="both"/>
        <w:rPr>
          <w:rFonts w:ascii="Arial" w:eastAsia="Times New Roman" w:hAnsi="Arial" w:cs="Arial"/>
          <w:szCs w:val="21"/>
          <w:lang w:eastAsia="en-AU"/>
        </w:rPr>
      </w:pPr>
    </w:p>
    <w:p w:rsidR="004D232A" w:rsidRPr="004D232A" w:rsidRDefault="004D232A" w:rsidP="004D232A">
      <w:pPr>
        <w:spacing w:after="0" w:line="280" w:lineRule="atLeast"/>
        <w:jc w:val="both"/>
        <w:rPr>
          <w:rFonts w:ascii="Arial" w:eastAsia="Times New Roman" w:hAnsi="Arial" w:cs="Arial"/>
          <w:szCs w:val="21"/>
          <w:lang w:eastAsia="en-AU"/>
        </w:rPr>
      </w:pPr>
      <w:r w:rsidRPr="004D232A">
        <w:rPr>
          <w:rFonts w:ascii="Arial" w:eastAsia="Times New Roman" w:hAnsi="Arial" w:cs="Arial"/>
          <w:szCs w:val="21"/>
          <w:lang w:eastAsia="en-AU"/>
        </w:rPr>
        <w:t>While the Hardship Policy is not referred to directly in Council’s IP&amp;R documentation, it has been referred to in the consultation material circulated as part of the SRV consultation process including in the Fact Sheet distributed to all households in the Weddin Shire. The policy is also available on Councils website and is promoted by Council staff to potential beneficiaries as appropriate.</w:t>
      </w:r>
    </w:p>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bookmarkStart w:id="40" w:name="_Toc401138378"/>
      <w:r w:rsidRPr="004D232A">
        <w:rPr>
          <w:rFonts w:ascii="Arial" w:eastAsia="Times New Roman" w:hAnsi="Arial" w:cs="Arial"/>
          <w:b/>
          <w:bCs/>
          <w:color w:val="00408A"/>
          <w:kern w:val="32"/>
          <w:sz w:val="30"/>
          <w:szCs w:val="30"/>
          <w:lang w:eastAsia="en-AU"/>
        </w:rPr>
        <w:t>Assessment criterion 4: Public exhibition of relevant IP&amp;R documents</w:t>
      </w:r>
      <w:bookmarkEnd w:id="40"/>
    </w:p>
    <w:p w:rsidR="004D232A" w:rsidRPr="004D232A" w:rsidRDefault="004D232A" w:rsidP="004D232A">
      <w:pPr>
        <w:spacing w:before="240" w:after="24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Criterion 4 within the OLG Guidelines is:</w:t>
      </w:r>
    </w:p>
    <w:p w:rsidR="004D232A" w:rsidRPr="004D232A" w:rsidRDefault="004D232A" w:rsidP="004D232A">
      <w:pPr>
        <w:spacing w:before="120" w:after="0" w:line="260" w:lineRule="atLeast"/>
        <w:ind w:left="284"/>
        <w:jc w:val="both"/>
        <w:rPr>
          <w:rFonts w:ascii="Arial" w:eastAsia="Times New Roman" w:hAnsi="Arial" w:cs="Times New Roman"/>
          <w:i/>
          <w:sz w:val="20"/>
          <w:szCs w:val="19"/>
          <w:lang w:eastAsia="en-AU"/>
        </w:rPr>
      </w:pPr>
      <w:r w:rsidRPr="004D232A">
        <w:rPr>
          <w:rFonts w:ascii="Arial" w:eastAsia="Times New Roman" w:hAnsi="Arial" w:cs="Times New Roman"/>
          <w:i/>
          <w:sz w:val="20"/>
          <w:szCs w:val="19"/>
          <w:lang w:eastAsia="en-AU"/>
        </w:rPr>
        <w:t>The relevant IP&amp;R documents</w:t>
      </w:r>
      <w:r w:rsidRPr="004D232A">
        <w:rPr>
          <w:rFonts w:ascii="Book Antiqua" w:eastAsia="Times New Roman" w:hAnsi="Book Antiqua" w:cs="Times New Roman"/>
          <w:i/>
          <w:position w:val="4"/>
          <w:sz w:val="15"/>
          <w:szCs w:val="15"/>
          <w:lang w:eastAsia="en-AU"/>
        </w:rPr>
        <w:footnoteReference w:id="10"/>
      </w:r>
      <w:r w:rsidRPr="004D232A">
        <w:rPr>
          <w:rFonts w:ascii="Arial" w:eastAsia="Times New Roman" w:hAnsi="Arial" w:cs="Times New Roman"/>
          <w:i/>
          <w:sz w:val="20"/>
          <w:szCs w:val="19"/>
          <w:lang w:eastAsia="en-AU"/>
        </w:rPr>
        <w:t xml:space="preserve"> must be exhibited (where required), approved and adopted by the council before the council applies to IPART for a special variation to its general revenue.</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Briefly outline the significant IP&amp;R processes the council has undertaken to reach the decision to apply for a special variation.  Include the details of and dates for key document revisions, public exhibition period(s) and the date(s) that the council adopted the relevant IP&amp;R documents.</w:t>
      </w:r>
    </w:p>
    <w:p w:rsidR="004D232A" w:rsidRPr="004D232A" w:rsidRDefault="004D232A" w:rsidP="004D232A">
      <w:pPr>
        <w:spacing w:before="240" w:after="0" w:line="280" w:lineRule="atLeast"/>
        <w:jc w:val="both"/>
        <w:rPr>
          <w:rFonts w:ascii="Book Antiqua" w:eastAsia="Times New Roman" w:hAnsi="Book Antiqua" w:cs="Arial"/>
          <w:color w:val="000000"/>
          <w:szCs w:val="21"/>
          <w:lang w:eastAsia="en-AU"/>
        </w:rPr>
      </w:pPr>
      <w:r w:rsidRPr="004D232A">
        <w:rPr>
          <w:rFonts w:ascii="Book Antiqua" w:eastAsia="Times New Roman" w:hAnsi="Book Antiqua" w:cs="Arial"/>
          <w:color w:val="000000"/>
          <w:szCs w:val="21"/>
          <w:lang w:eastAsia="en-AU"/>
        </w:rPr>
        <w:t xml:space="preserve">You should also include extracts from council minutes as evidence that the documents were adopted. </w:t>
      </w:r>
    </w:p>
    <w:p w:rsidR="004D232A" w:rsidRPr="004D232A" w:rsidRDefault="004D232A" w:rsidP="004D232A">
      <w:pPr>
        <w:spacing w:before="240" w:after="0" w:line="280" w:lineRule="atLeast"/>
        <w:jc w:val="both"/>
        <w:rPr>
          <w:rFonts w:ascii="Book Antiqua" w:eastAsia="Times New Roman" w:hAnsi="Book Antiqua" w:cs="Arial"/>
          <w:color w:val="000000"/>
          <w:szCs w:val="21"/>
          <w:lang w:eastAsia="en-AU"/>
        </w:rPr>
      </w:pPr>
      <w:r w:rsidRPr="004D232A">
        <w:rPr>
          <w:rFonts w:ascii="Book Antiqua" w:eastAsia="Times New Roman" w:hAnsi="Book Antiqua" w:cs="Arial"/>
          <w:color w:val="000000"/>
          <w:szCs w:val="21"/>
          <w:lang w:eastAsia="en-AU"/>
        </w:rPr>
        <w:t>The council is reminded that amendments to the Community Strategic Plan and Delivery Program require public exhibition for at least 28 days prior to adoption, while amendments to the Long Term Financial Plan and Asset Management Plan/s do not require public exhibition.</w:t>
      </w:r>
      <w:r w:rsidRPr="004D232A">
        <w:rPr>
          <w:rFonts w:ascii="Book Antiqua" w:eastAsia="Times New Roman" w:hAnsi="Book Antiqua" w:cs="Arial"/>
          <w:position w:val="4"/>
          <w:sz w:val="15"/>
          <w:szCs w:val="15"/>
          <w:lang w:eastAsia="en-AU"/>
        </w:rPr>
        <w:footnoteReference w:id="11"/>
      </w:r>
    </w:p>
    <w:p w:rsidR="004D232A" w:rsidRPr="004D232A" w:rsidRDefault="004D232A" w:rsidP="004D232A">
      <w:pPr>
        <w:spacing w:after="0" w:line="240" w:lineRule="auto"/>
        <w:rPr>
          <w:rFonts w:ascii="Book Antiqua" w:eastAsia="Times New Roman" w:hAnsi="Book Antiqua" w:cs="Times New Roman"/>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 xml:space="preserve">Under the IP&amp;R process, priorities were established based on extensive consultation on the provision of services as part of developing the delivery plan. This involved partnership in developing the Community Strategic Plan (CSP; Attachment 1) and utilised the 10 Melbourne Principles. The consultation targeted key sectors as well as the general community, included accessible consultation with older, younger, isolated and socially disadvantaged residents. There was </w:t>
      </w:r>
      <w:r w:rsidRPr="004D232A">
        <w:rPr>
          <w:rFonts w:ascii="Arial" w:eastAsia="Times New Roman" w:hAnsi="Arial" w:cs="Arial"/>
          <w:szCs w:val="24"/>
          <w:lang w:eastAsia="en-AU"/>
        </w:rPr>
        <w:lastRenderedPageBreak/>
        <w:t>press advertising, surveys including among students at the local schools, 1850 newsletters sent out to all households, as well as five community workshops. There were individual visits to business in the Shire, a council staff survey, and a civic leadership discussion night. In all, some 380 residents directly participated in the process, which is 10% of the total population, and some 30% of those of voting age. The report of the CSP is comprehensive and is attached. The CSP also links to the State Plan goals.</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Delivery Plan was developed from the outcomes of the CSP with the stated preference of the community to build a progressive community with a solid and sustainable service level. This was expressed as “bucking the trend” of decline in rural communities and “taking the bull by the horns” by delivering a wide range of initiatives, recognising that “above base-line Council rates and borrowings may be needed” (Weddin Shire 2013-2023 CSP p. 4).</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current Delivery Plan &amp; Operational Plan was advertised during May 2014 and then adopted by Council during its meeting on 18</w:t>
      </w:r>
      <w:r w:rsidRPr="004D232A">
        <w:rPr>
          <w:rFonts w:ascii="Arial" w:eastAsia="Times New Roman" w:hAnsi="Arial" w:cs="Arial"/>
          <w:szCs w:val="24"/>
          <w:vertAlign w:val="superscript"/>
          <w:lang w:eastAsia="en-AU"/>
        </w:rPr>
        <w:t>th</w:t>
      </w:r>
      <w:r w:rsidRPr="004D232A">
        <w:rPr>
          <w:rFonts w:ascii="Arial" w:eastAsia="Times New Roman" w:hAnsi="Arial" w:cs="Arial"/>
          <w:szCs w:val="24"/>
          <w:lang w:eastAsia="en-AU"/>
        </w:rPr>
        <w:t xml:space="preserve"> June 2014. </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szCs w:val="24"/>
          <w:lang w:eastAsia="en-AU"/>
        </w:rPr>
      </w:pPr>
      <w:r w:rsidRPr="004D232A">
        <w:rPr>
          <w:rFonts w:ascii="Arial" w:eastAsia="Times New Roman" w:hAnsi="Arial" w:cs="Arial"/>
          <w:szCs w:val="24"/>
          <w:lang w:eastAsia="en-AU"/>
        </w:rPr>
        <w:t>The revised LTFP was adopted by Council on the 30</w:t>
      </w:r>
      <w:r w:rsidRPr="004D232A">
        <w:rPr>
          <w:rFonts w:ascii="Arial" w:eastAsia="Times New Roman" w:hAnsi="Arial" w:cs="Arial"/>
          <w:szCs w:val="24"/>
          <w:vertAlign w:val="superscript"/>
          <w:lang w:eastAsia="en-AU"/>
        </w:rPr>
        <w:t>th</w:t>
      </w:r>
      <w:r w:rsidRPr="004D232A">
        <w:rPr>
          <w:rFonts w:ascii="Arial" w:eastAsia="Times New Roman" w:hAnsi="Arial" w:cs="Arial"/>
          <w:szCs w:val="24"/>
          <w:lang w:eastAsia="en-AU"/>
        </w:rPr>
        <w:t xml:space="preserve"> January 2015 (Attachment 3).</w:t>
      </w:r>
    </w:p>
    <w:p w:rsidR="004D232A" w:rsidRPr="004D232A" w:rsidRDefault="004D232A" w:rsidP="004D232A">
      <w:pPr>
        <w:spacing w:after="0" w:line="240" w:lineRule="auto"/>
        <w:rPr>
          <w:rFonts w:ascii="Arial" w:eastAsia="Times New Roman" w:hAnsi="Arial" w:cs="Arial"/>
          <w:szCs w:val="24"/>
          <w:lang w:eastAsia="en-AU"/>
        </w:rPr>
      </w:pPr>
    </w:p>
    <w:p w:rsidR="004D232A" w:rsidRPr="004D232A" w:rsidRDefault="004D232A" w:rsidP="004D232A">
      <w:pPr>
        <w:spacing w:after="0" w:line="240" w:lineRule="auto"/>
        <w:rPr>
          <w:rFonts w:ascii="Arial" w:eastAsia="Times New Roman" w:hAnsi="Arial" w:cs="Arial"/>
          <w:b/>
          <w:bCs/>
          <w:color w:val="00408A"/>
          <w:kern w:val="32"/>
          <w:sz w:val="30"/>
          <w:szCs w:val="30"/>
          <w:lang w:eastAsia="en-AU"/>
        </w:rPr>
      </w:pPr>
      <w:r w:rsidRPr="004D232A">
        <w:rPr>
          <w:rFonts w:ascii="Arial" w:eastAsia="Times New Roman" w:hAnsi="Arial" w:cs="Arial"/>
          <w:szCs w:val="24"/>
          <w:lang w:eastAsia="en-AU"/>
        </w:rPr>
        <w:t xml:space="preserve">Reference is made to Attachment 12 of extracts from Council minutes confirming adoption of the documents.  </w:t>
      </w:r>
      <w:r w:rsidRPr="004D232A">
        <w:rPr>
          <w:rFonts w:ascii="Book Antiqua" w:eastAsia="Times New Roman" w:hAnsi="Book Antiqua" w:cs="Times New Roman"/>
          <w:szCs w:val="24"/>
          <w:lang w:eastAsia="en-AU"/>
        </w:rPr>
        <w:br w:type="page"/>
      </w:r>
    </w:p>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bookmarkStart w:id="41" w:name="_Toc401138379"/>
      <w:r w:rsidRPr="004D232A">
        <w:rPr>
          <w:rFonts w:ascii="Arial" w:eastAsia="Times New Roman" w:hAnsi="Arial" w:cs="Arial"/>
          <w:b/>
          <w:bCs/>
          <w:color w:val="00408A"/>
          <w:kern w:val="32"/>
          <w:sz w:val="30"/>
          <w:szCs w:val="30"/>
          <w:lang w:eastAsia="en-AU"/>
        </w:rPr>
        <w:lastRenderedPageBreak/>
        <w:t>Assessment criterion 5: Productivity improvements and cost containment strategies</w:t>
      </w:r>
      <w:bookmarkEnd w:id="41"/>
    </w:p>
    <w:p w:rsidR="004D232A" w:rsidRPr="004D232A" w:rsidRDefault="004D232A" w:rsidP="004D232A">
      <w:pPr>
        <w:spacing w:before="240" w:after="24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Criterion 5 within the OLG Guidelines is:</w:t>
      </w:r>
    </w:p>
    <w:p w:rsidR="004D232A" w:rsidRPr="004D232A" w:rsidRDefault="004D232A" w:rsidP="004D232A">
      <w:pPr>
        <w:spacing w:before="120" w:after="0" w:line="260" w:lineRule="atLeast"/>
        <w:ind w:left="284"/>
        <w:jc w:val="both"/>
        <w:rPr>
          <w:rFonts w:ascii="Arial" w:eastAsia="Times New Roman" w:hAnsi="Arial" w:cs="Times New Roman"/>
          <w:i/>
          <w:sz w:val="20"/>
          <w:szCs w:val="19"/>
          <w:lang w:eastAsia="en-AU"/>
        </w:rPr>
      </w:pPr>
      <w:r w:rsidRPr="004D232A">
        <w:rPr>
          <w:rFonts w:ascii="Arial" w:eastAsia="Times New Roman" w:hAnsi="Arial" w:cs="Times New Roman"/>
          <w:i/>
          <w:sz w:val="20"/>
          <w:szCs w:val="19"/>
          <w:lang w:eastAsia="en-AU"/>
        </w:rPr>
        <w:t>The IP&amp;R document or the council’s application must explain the productivity improvements and cost containment strategies the council has realised in past years, and plans to realise over the proposed special variation period.</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In this section, you must provide details of any productivity improvements and cost containment strategies that you have implemented in the last two years (or longer) and any plans for productivity improvements and cost containment during the period of the special variation.  </w:t>
      </w:r>
    </w:p>
    <w:p w:rsidR="004D232A" w:rsidRPr="004D232A" w:rsidRDefault="004D232A" w:rsidP="004D232A">
      <w:pPr>
        <w:spacing w:before="240" w:after="0" w:line="280" w:lineRule="atLeast"/>
        <w:jc w:val="both"/>
        <w:rPr>
          <w:rFonts w:ascii="Book Antiqua" w:eastAsia="Times New Roman" w:hAnsi="Book Antiqua" w:cs="Times New Roman"/>
          <w:bCs/>
          <w:szCs w:val="21"/>
          <w:lang w:eastAsia="en-AU"/>
        </w:rPr>
      </w:pPr>
      <w:r w:rsidRPr="004D232A">
        <w:rPr>
          <w:rFonts w:ascii="Book Antiqua" w:eastAsia="Times New Roman" w:hAnsi="Book Antiqua" w:cs="Times New Roman"/>
          <w:szCs w:val="21"/>
          <w:lang w:eastAsia="en-AU"/>
        </w:rPr>
        <w:t>These strategies, which may be capital or recurrent in nature, must be aimed at reducing costs and/or improving efficiency.  Indicate if any initiatives are to increase revenue e</w:t>
      </w:r>
      <w:r w:rsidR="00E40957">
        <w:rPr>
          <w:rFonts w:ascii="Book Antiqua" w:eastAsia="Times New Roman" w:hAnsi="Book Antiqua" w:cs="Times New Roman"/>
          <w:szCs w:val="21"/>
          <w:lang w:eastAsia="en-AU"/>
        </w:rPr>
        <w:t>.</w:t>
      </w:r>
      <w:r w:rsidRPr="004D232A">
        <w:rPr>
          <w:rFonts w:ascii="Book Antiqua" w:eastAsia="Times New Roman" w:hAnsi="Book Antiqua" w:cs="Times New Roman"/>
          <w:szCs w:val="21"/>
          <w:lang w:eastAsia="en-AU"/>
        </w:rPr>
        <w:t>g</w:t>
      </w:r>
      <w:r w:rsidR="00E40957">
        <w:rPr>
          <w:rFonts w:ascii="Book Antiqua" w:eastAsia="Times New Roman" w:hAnsi="Book Antiqua" w:cs="Times New Roman"/>
          <w:szCs w:val="21"/>
          <w:lang w:eastAsia="en-AU"/>
        </w:rPr>
        <w:t>.</w:t>
      </w:r>
      <w:bookmarkStart w:id="42" w:name="_GoBack"/>
      <w:bookmarkEnd w:id="42"/>
      <w:r w:rsidRPr="004D232A">
        <w:rPr>
          <w:rFonts w:ascii="Book Antiqua" w:eastAsia="Times New Roman" w:hAnsi="Book Antiqua" w:cs="Times New Roman"/>
          <w:szCs w:val="21"/>
          <w:lang w:eastAsia="en-AU"/>
        </w:rPr>
        <w:t>, user charges.  Identify if the proposed initiatives (i.e., cost savings), have been factored into the council’s resourcing strategy (</w:t>
      </w:r>
      <w:proofErr w:type="spellStart"/>
      <w:r w:rsidRPr="004D232A">
        <w:rPr>
          <w:rFonts w:ascii="Book Antiqua" w:eastAsia="Times New Roman" w:hAnsi="Book Antiqua" w:cs="Times New Roman"/>
          <w:szCs w:val="21"/>
          <w:lang w:eastAsia="en-AU"/>
        </w:rPr>
        <w:t>eg</w:t>
      </w:r>
      <w:proofErr w:type="spellEnd"/>
      <w:r w:rsidRPr="004D232A">
        <w:rPr>
          <w:rFonts w:ascii="Book Antiqua" w:eastAsia="Times New Roman" w:hAnsi="Book Antiqua" w:cs="Times New Roman"/>
          <w:szCs w:val="21"/>
          <w:lang w:eastAsia="en-AU"/>
        </w:rPr>
        <w:t>, LTFP and AMP).</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Where possible, the council is to quantify in dollar terms the past and future productivity improvements and cost savings.</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The council may also provide indicators of efficiency, either over time or in comparison to other relevant councils.  We will make similar comparisons using various indicators and OLG data provided to us.</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 xml:space="preserve">Council is a member of CENTROC and regularly participates in regional tenders and cost savings measures. A recent example of this is its participation in a Procurement Road Mapping program. The aim of this program is to assist councils to move towards a more advanced procurement model. Conditional evidence from the consultants Arc Blue who have run this program with numerous councils across Australia suggests achievable savings in the order of 2-5% across Council’s procurement activities. As an example, WSC’s procurement activities during the 2012/13 financial year totalled approximately $9 million. This represents a potential saving in the order of $450,000 and this is reflected as a general principal in the SRV scenario of the LTFP. </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 xml:space="preserve">Other regional collaboration WSC participates in includes NetWaste which has seen and continues to see benefits in regional contracting especially in scrap steel collection and sales. </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Council has also participated in regional contracts for Green Waste chipping and waste oil collection services as part of the NetWaste contractual arrangements. These programs have delivered both an income stream to the Council and reduced waste to landfill.</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lastRenderedPageBreak/>
        <w:t xml:space="preserve">The Council’s waste collection service was subject to a competitive tender process through the regional waste organisation NetWaste. The outcome of the tender process was compared to Weddin Shire Council day labour rates. The day labour rates proved to be more competitive. </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The CENTROC region has been identified as a pilot Joint Organisation as part of the FFTF strategy. Participation in this pilot program should enable WSC to collaborate more effectively with a view to divesting some governance and planning responsibilities consistent with the panel report. This should deliver reduced costs and enhanced asset management and service delivery outcomes over time, yet to be identified.</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Council has demonstrated efficiency in the market place having attained R1 status as a provider eligible for Roads and Maritime Services (RMS) construction work.</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 xml:space="preserve">Additionally, as part of the FFTF process, the Council is planning to undertake a review of its service provisions and asset base informed by the community feedback on our current service provisions received as part of the SRV consultation process. The aim of undertaking this review is to identify areas where the level of service provision can be changed to match the community’s expectations (possibly extending life of assets into preservation mode where they are meeting current expectation without renewal) and, indeed, to identify areas where cost savings can be achieved. The review will also attempt to identify assets that are no longer required to deliver expected services and develop a strategy for disposal of those assets. </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 xml:space="preserve">FFTF has seen Council turn its attention to alternate service provision models not traditionally part of the local government responsibilities. Possible innovative solutions to unique service provision problems faced by Rural Councils such as Weddin Shire have been identified and warrant further exploration. One such model being considered by Council is the bundling of Rural Medical Centres which can then be tendered to a private service provider. This will enable the Council to foster the delivery of medical services while minimising financial risk. </w:t>
      </w:r>
    </w:p>
    <w:p w:rsidR="004D232A" w:rsidRPr="004D232A" w:rsidRDefault="004D232A" w:rsidP="004D232A">
      <w:pPr>
        <w:spacing w:before="240" w:after="0" w:line="280" w:lineRule="atLeast"/>
        <w:jc w:val="both"/>
        <w:rPr>
          <w:rFonts w:ascii="Arial" w:eastAsia="Times New Roman" w:hAnsi="Arial" w:cs="Arial"/>
          <w:bCs/>
          <w:szCs w:val="21"/>
          <w:lang w:eastAsia="en-AU"/>
        </w:rPr>
      </w:pPr>
      <w:r w:rsidRPr="004D232A">
        <w:rPr>
          <w:rFonts w:ascii="Arial" w:eastAsia="Times New Roman" w:hAnsi="Arial" w:cs="Arial"/>
          <w:bCs/>
          <w:szCs w:val="21"/>
          <w:lang w:eastAsia="en-AU"/>
        </w:rPr>
        <w:t xml:space="preserve">Council constantly reviews its operational expenditure with a view to identifying cost savings. </w:t>
      </w:r>
    </w:p>
    <w:p w:rsidR="004D232A" w:rsidRPr="004D232A" w:rsidRDefault="004D232A" w:rsidP="004D232A">
      <w:pPr>
        <w:spacing w:before="240" w:after="0" w:line="280" w:lineRule="atLeast"/>
        <w:jc w:val="both"/>
        <w:rPr>
          <w:rFonts w:ascii="Arial" w:eastAsia="Times New Roman" w:hAnsi="Arial" w:cs="Arial"/>
          <w:bCs/>
          <w:szCs w:val="21"/>
          <w:lang w:eastAsia="en-AU"/>
        </w:rPr>
      </w:pPr>
    </w:p>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bookmarkStart w:id="43" w:name="_Toc401138380"/>
      <w:r w:rsidRPr="004D232A">
        <w:rPr>
          <w:rFonts w:ascii="Arial" w:eastAsia="Times New Roman" w:hAnsi="Arial" w:cs="Arial"/>
          <w:b/>
          <w:bCs/>
          <w:color w:val="00408A"/>
          <w:kern w:val="32"/>
          <w:sz w:val="30"/>
          <w:szCs w:val="30"/>
          <w:lang w:eastAsia="en-AU"/>
        </w:rPr>
        <w:t>List of attachments</w:t>
      </w:r>
      <w:bookmarkEnd w:id="43"/>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The following is a list of the supporting documents to include with your  application.  Some of these attachments will be mandatory to all special variation applications </w:t>
      </w:r>
      <w:proofErr w:type="spellStart"/>
      <w:r w:rsidRPr="004D232A">
        <w:rPr>
          <w:rFonts w:ascii="Book Antiqua" w:eastAsia="Times New Roman" w:hAnsi="Book Antiqua" w:cs="Times New Roman"/>
          <w:szCs w:val="21"/>
          <w:lang w:eastAsia="en-AU"/>
        </w:rPr>
        <w:t>eg</w:t>
      </w:r>
      <w:proofErr w:type="spellEnd"/>
      <w:r w:rsidRPr="004D232A">
        <w:rPr>
          <w:rFonts w:ascii="Book Antiqua" w:eastAsia="Times New Roman" w:hAnsi="Book Antiqua" w:cs="Times New Roman"/>
          <w:szCs w:val="21"/>
          <w:lang w:eastAsia="en-AU"/>
        </w:rPr>
        <w:t xml:space="preserve">, Attachment 1, extracts from the Community Strategic Plan.  </w:t>
      </w:r>
      <w:r w:rsidRPr="004D232A">
        <w:rPr>
          <w:rFonts w:ascii="Book Antiqua" w:eastAsia="Times New Roman" w:hAnsi="Book Antiqua" w:cs="Times New Roman"/>
          <w:szCs w:val="21"/>
          <w:lang w:eastAsia="en-AU"/>
        </w:rPr>
        <w:lastRenderedPageBreak/>
        <w:t>Other attachments will be required from some, but not all, councils.  For example, Attachment 10, extracts from the Asset Management Plan, would be required from a council seeking approval of a special variation to fund infrastructure.  Councils should submit their application forms and attachments online through the Council Portal in the following order.</w:t>
      </w: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4D232A" w:rsidRPr="004D232A" w:rsidTr="00B60324">
        <w:tc>
          <w:tcPr>
            <w:tcW w:w="7040" w:type="dxa"/>
            <w:tcBorders>
              <w:top w:val="single" w:sz="8" w:space="0" w:color="7F7F7F" w:themeColor="text1" w:themeTint="80"/>
              <w:bottom w:val="single" w:sz="4" w:space="0" w:color="7F7F7F" w:themeColor="text1" w:themeTint="80"/>
            </w:tcBorders>
            <w:vAlign w:val="center"/>
          </w:tcPr>
          <w:p w:rsidR="004D232A" w:rsidRPr="004D232A" w:rsidRDefault="004D232A" w:rsidP="004D232A">
            <w:pPr>
              <w:keepLines/>
              <w:spacing w:before="80" w:after="80" w:line="210" w:lineRule="atLeast"/>
              <w:rPr>
                <w:rFonts w:ascii="Arial" w:eastAsia="Times New Roman" w:hAnsi="Arial" w:cs="Times New Roman"/>
                <w:b/>
                <w:sz w:val="19"/>
                <w:szCs w:val="19"/>
              </w:rPr>
            </w:pPr>
            <w:r w:rsidRPr="004D232A">
              <w:rPr>
                <w:rFonts w:ascii="Arial" w:eastAsia="Times New Roman" w:hAnsi="Arial" w:cs="Times New Roman"/>
                <w:b/>
                <w:sz w:val="19"/>
                <w:szCs w:val="19"/>
              </w:rPr>
              <w:t>Item</w:t>
            </w:r>
          </w:p>
        </w:tc>
        <w:tc>
          <w:tcPr>
            <w:tcW w:w="1114" w:type="dxa"/>
            <w:tcBorders>
              <w:top w:val="single" w:sz="8" w:space="0" w:color="7F7F7F" w:themeColor="text1" w:themeTint="80"/>
              <w:bottom w:val="single" w:sz="4" w:space="0" w:color="7F7F7F" w:themeColor="text1" w:themeTint="80"/>
            </w:tcBorders>
            <w:vAlign w:val="center"/>
          </w:tcPr>
          <w:p w:rsidR="004D232A" w:rsidRPr="004D232A" w:rsidRDefault="004D232A" w:rsidP="004D232A">
            <w:pPr>
              <w:keepLines/>
              <w:spacing w:before="80" w:after="80" w:line="210" w:lineRule="atLeast"/>
              <w:rPr>
                <w:rFonts w:ascii="Arial" w:eastAsia="Times New Roman" w:hAnsi="Arial" w:cs="Times New Roman"/>
                <w:b/>
                <w:sz w:val="19"/>
                <w:szCs w:val="19"/>
              </w:rPr>
            </w:pPr>
            <w:r w:rsidRPr="004D232A">
              <w:rPr>
                <w:rFonts w:ascii="Arial" w:eastAsia="Times New Roman" w:hAnsi="Arial" w:cs="Times New Roman"/>
                <w:b/>
                <w:sz w:val="19"/>
                <w:szCs w:val="19"/>
              </w:rPr>
              <w:t>Included?</w:t>
            </w:r>
          </w:p>
        </w:tc>
      </w:tr>
      <w:tr w:rsidR="004D232A" w:rsidRPr="004D232A" w:rsidTr="00B60324">
        <w:tc>
          <w:tcPr>
            <w:tcW w:w="7040" w:type="dxa"/>
            <w:tcBorders>
              <w:top w:val="single" w:sz="4" w:space="0" w:color="7F7F7F" w:themeColor="text1" w:themeTint="80"/>
            </w:tcBorders>
            <w:vAlign w:val="center"/>
          </w:tcPr>
          <w:p w:rsidR="004D232A" w:rsidRPr="004D232A" w:rsidRDefault="004D232A" w:rsidP="004D232A">
            <w:pPr>
              <w:keepLines/>
              <w:spacing w:before="40" w:after="40" w:line="210" w:lineRule="atLeast"/>
              <w:rPr>
                <w:rFonts w:ascii="Arial" w:eastAsia="Times New Roman" w:hAnsi="Arial" w:cs="Times New Roman"/>
                <w:b/>
                <w:sz w:val="19"/>
                <w:szCs w:val="19"/>
              </w:rPr>
            </w:pPr>
            <w:r w:rsidRPr="004D232A">
              <w:rPr>
                <w:rFonts w:ascii="Arial" w:eastAsia="Times New Roman" w:hAnsi="Arial" w:cs="Times New Roman"/>
                <w:b/>
                <w:sz w:val="19"/>
                <w:szCs w:val="19"/>
              </w:rPr>
              <w:t>Mandatory forms and Attachments</w:t>
            </w:r>
          </w:p>
        </w:tc>
        <w:tc>
          <w:tcPr>
            <w:tcW w:w="1114" w:type="dxa"/>
            <w:tcBorders>
              <w:top w:val="single" w:sz="4" w:space="0" w:color="7F7F7F" w:themeColor="text1" w:themeTint="80"/>
            </w:tcBorders>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 xml:space="preserve">Part A Section 508A and Section 508(2) Application form (Excel spreadsheet) </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Part B Application form (Word document) – this document</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1: Relevant extracts from the Community Strategic Plan</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Check14"/>
                  <w:enabled/>
                  <w:calcOnExit w:val="0"/>
                  <w:checkBox>
                    <w:sizeAuto/>
                    <w:default w:val="1"/>
                  </w:checkBox>
                </w:ffData>
              </w:fldChar>
            </w:r>
            <w:r w:rsidRPr="004D232A">
              <w:rPr>
                <w:rFonts w:ascii="Arial" w:eastAsia="Times New Roman" w:hAnsi="Arial" w:cs="Times New Roman"/>
                <w:sz w:val="24"/>
                <w:szCs w:val="24"/>
              </w:rPr>
              <w:instrText xml:space="preserve"> </w:instrText>
            </w:r>
            <w:bookmarkStart w:id="44" w:name="Check14"/>
            <w:r w:rsidRPr="004D232A">
              <w:rPr>
                <w:rFonts w:ascii="Arial" w:eastAsia="Times New Roman" w:hAnsi="Arial" w:cs="Times New Roman"/>
                <w:sz w:val="24"/>
                <w:szCs w:val="24"/>
              </w:rPr>
              <w:instrText xml:space="preserve">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bookmarkEnd w:id="44"/>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2: Delivery Program</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 xml:space="preserve">Attachment 3: Long Term Financial Plan with projected (General Fund) financial statements (Income, Cash Flow and Financial Position) in Excel format  </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Check15"/>
                  <w:enabled/>
                  <w:calcOnExit w:val="0"/>
                  <w:checkBox>
                    <w:sizeAuto/>
                    <w:default w:val="1"/>
                  </w:checkBox>
                </w:ffData>
              </w:fldChar>
            </w:r>
            <w:r w:rsidRPr="004D232A">
              <w:rPr>
                <w:rFonts w:ascii="Arial" w:eastAsia="Times New Roman" w:hAnsi="Arial" w:cs="Times New Roman"/>
                <w:sz w:val="24"/>
                <w:szCs w:val="24"/>
              </w:rPr>
              <w:instrText xml:space="preserve"> </w:instrText>
            </w:r>
            <w:bookmarkStart w:id="45" w:name="Check15"/>
            <w:r w:rsidRPr="004D232A">
              <w:rPr>
                <w:rFonts w:ascii="Arial" w:eastAsia="Times New Roman" w:hAnsi="Arial" w:cs="Times New Roman"/>
                <w:sz w:val="24"/>
                <w:szCs w:val="24"/>
              </w:rPr>
              <w:instrText xml:space="preserve">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bookmarkEnd w:id="45"/>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b/>
                <w:sz w:val="19"/>
                <w:szCs w:val="19"/>
              </w:rPr>
            </w:pPr>
            <w:r w:rsidRPr="004D232A">
              <w:rPr>
                <w:rFonts w:ascii="Arial" w:eastAsia="Times New Roman" w:hAnsi="Arial" w:cs="Times New Roman"/>
                <w:sz w:val="19"/>
                <w:szCs w:val="19"/>
              </w:rPr>
              <w:t>Attachment 4: TCorp report on financial sustainability</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5: Media releases, public meeting notices, newspaper articles, fact sheets relating to the rate increase and special variation</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Check13"/>
                  <w:enabled/>
                  <w:calcOnExit w:val="0"/>
                  <w:checkBox>
                    <w:sizeAuto/>
                    <w:default w:val="1"/>
                  </w:checkBox>
                </w:ffData>
              </w:fldChar>
            </w:r>
            <w:r w:rsidRPr="004D232A">
              <w:rPr>
                <w:rFonts w:ascii="Arial" w:eastAsia="Times New Roman" w:hAnsi="Arial" w:cs="Times New Roman"/>
                <w:sz w:val="24"/>
                <w:szCs w:val="24"/>
              </w:rPr>
              <w:instrText xml:space="preserve"> </w:instrText>
            </w:r>
            <w:bookmarkStart w:id="46" w:name="Check13"/>
            <w:r w:rsidRPr="004D232A">
              <w:rPr>
                <w:rFonts w:ascii="Arial" w:eastAsia="Times New Roman" w:hAnsi="Arial" w:cs="Times New Roman"/>
                <w:sz w:val="24"/>
                <w:szCs w:val="24"/>
              </w:rPr>
              <w:instrText xml:space="preserve">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bookmarkEnd w:id="46"/>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6: Community feedback (including surveys and results if applicable)</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7: Hardship Policy</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Check10"/>
                  <w:enabled/>
                  <w:calcOnExit w:val="0"/>
                  <w:checkBox>
                    <w:sizeAuto/>
                    <w:default w:val="1"/>
                  </w:checkBox>
                </w:ffData>
              </w:fldChar>
            </w:r>
            <w:r w:rsidRPr="004D232A">
              <w:rPr>
                <w:rFonts w:ascii="Arial" w:eastAsia="Times New Roman" w:hAnsi="Arial" w:cs="Times New Roman"/>
                <w:sz w:val="24"/>
                <w:szCs w:val="24"/>
              </w:rPr>
              <w:instrText xml:space="preserve"> </w:instrText>
            </w:r>
            <w:bookmarkStart w:id="47" w:name="Check10"/>
            <w:r w:rsidRPr="004D232A">
              <w:rPr>
                <w:rFonts w:ascii="Arial" w:eastAsia="Times New Roman" w:hAnsi="Arial" w:cs="Times New Roman"/>
                <w:sz w:val="24"/>
                <w:szCs w:val="24"/>
              </w:rPr>
              <w:instrText xml:space="preserve">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bookmarkEnd w:id="47"/>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8: Resolution to apply for the special variation</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9: Certification</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b/>
                <w:sz w:val="19"/>
                <w:szCs w:val="19"/>
              </w:rPr>
              <w:t>Other Attachments</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 xml:space="preserve">Attachment 10: Relevant extracts from the Asset Management Plan </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Check16"/>
                  <w:enabled/>
                  <w:calcOnExit w:val="0"/>
                  <w:checkBox>
                    <w:sizeAuto/>
                    <w:default w:val="0"/>
                  </w:checkBox>
                </w:ffData>
              </w:fldChar>
            </w:r>
            <w:bookmarkStart w:id="48" w:name="Check16"/>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bookmarkEnd w:id="48"/>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11: Past Instruments of Approval (if applicable)</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Check12"/>
                  <w:enabled/>
                  <w:calcOnExit w:val="0"/>
                  <w:checkBox>
                    <w:sizeAuto/>
                    <w:default w:val="0"/>
                  </w:checkBox>
                </w:ffData>
              </w:fldChar>
            </w:r>
            <w:bookmarkStart w:id="49" w:name="Check12"/>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bookmarkEnd w:id="49"/>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12: Resolution to adopt the revised Community Strategic Plan (if necessary) and/or Delivery Program</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Check8"/>
                  <w:enabled/>
                  <w:calcOnExit w:val="0"/>
                  <w:checkBox>
                    <w:sizeAuto/>
                    <w:default w:val="1"/>
                  </w:checkBox>
                </w:ffData>
              </w:fldChar>
            </w:r>
            <w:r w:rsidRPr="004D232A">
              <w:rPr>
                <w:rFonts w:ascii="Arial" w:eastAsia="Times New Roman" w:hAnsi="Arial" w:cs="Times New Roman"/>
                <w:sz w:val="24"/>
                <w:szCs w:val="24"/>
              </w:rPr>
              <w:instrText xml:space="preserve"> </w:instrText>
            </w:r>
            <w:bookmarkStart w:id="50" w:name="Check8"/>
            <w:r w:rsidRPr="004D232A">
              <w:rPr>
                <w:rFonts w:ascii="Arial" w:eastAsia="Times New Roman" w:hAnsi="Arial" w:cs="Times New Roman"/>
                <w:sz w:val="24"/>
                <w:szCs w:val="24"/>
              </w:rPr>
              <w:instrText xml:space="preserve">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bookmarkEnd w:id="50"/>
          </w:p>
        </w:tc>
      </w:tr>
      <w:tr w:rsidR="004D232A" w:rsidRPr="004D232A" w:rsidTr="00B60324">
        <w:tc>
          <w:tcPr>
            <w:tcW w:w="7040" w:type="dxa"/>
            <w:vAlign w:val="center"/>
          </w:tcPr>
          <w:p w:rsidR="004D232A" w:rsidRPr="004D232A" w:rsidRDefault="004D232A" w:rsidP="004D232A">
            <w:pPr>
              <w:keepLines/>
              <w:spacing w:before="40" w:after="40" w:line="210" w:lineRule="atLeast"/>
              <w:rPr>
                <w:rFonts w:ascii="Arial" w:eastAsia="Times New Roman" w:hAnsi="Arial" w:cs="Times New Roman"/>
                <w:sz w:val="19"/>
                <w:szCs w:val="19"/>
              </w:rPr>
            </w:pPr>
            <w:r w:rsidRPr="004D232A">
              <w:rPr>
                <w:rFonts w:ascii="Arial" w:eastAsia="Times New Roman" w:hAnsi="Arial" w:cs="Times New Roman"/>
                <w:sz w:val="19"/>
                <w:szCs w:val="19"/>
              </w:rPr>
              <w:t>Attachment 13: Other (please specify)</w:t>
            </w:r>
          </w:p>
        </w:tc>
        <w:tc>
          <w:tcPr>
            <w:tcW w:w="1114" w:type="dxa"/>
            <w:vAlign w:val="center"/>
          </w:tcPr>
          <w:p w:rsidR="004D232A" w:rsidRPr="004D232A" w:rsidRDefault="004D232A" w:rsidP="004D232A">
            <w:pPr>
              <w:keepLines/>
              <w:spacing w:before="40" w:after="40" w:line="210" w:lineRule="atLeast"/>
              <w:jc w:val="center"/>
              <w:rPr>
                <w:rFonts w:ascii="Arial" w:eastAsia="Times New Roman" w:hAnsi="Arial" w:cs="Times New Roman"/>
                <w:sz w:val="24"/>
                <w:szCs w:val="24"/>
              </w:rPr>
            </w:pPr>
            <w:r w:rsidRPr="004D232A">
              <w:rPr>
                <w:rFonts w:ascii="Arial" w:eastAsia="Times New Roman" w:hAnsi="Arial" w:cs="Times New Roman"/>
                <w:sz w:val="24"/>
                <w:szCs w:val="24"/>
              </w:rPr>
              <w:fldChar w:fldCharType="begin">
                <w:ffData>
                  <w:name w:val=""/>
                  <w:enabled/>
                  <w:calcOnExit w:val="0"/>
                  <w:checkBox>
                    <w:sizeAuto/>
                    <w:default w:val="1"/>
                  </w:checkBox>
                </w:ffData>
              </w:fldChar>
            </w:r>
            <w:r w:rsidRPr="004D232A">
              <w:rPr>
                <w:rFonts w:ascii="Arial" w:eastAsia="Times New Roman" w:hAnsi="Arial" w:cs="Times New Roman"/>
                <w:sz w:val="24"/>
                <w:szCs w:val="24"/>
              </w:rPr>
              <w:instrText xml:space="preserve"> FORMCHECKBOX </w:instrText>
            </w:r>
            <w:r w:rsidR="00AE4968">
              <w:rPr>
                <w:rFonts w:ascii="Arial" w:eastAsia="Times New Roman" w:hAnsi="Arial" w:cs="Times New Roman"/>
                <w:sz w:val="24"/>
                <w:szCs w:val="24"/>
              </w:rPr>
            </w:r>
            <w:r w:rsidR="00AE4968">
              <w:rPr>
                <w:rFonts w:ascii="Arial" w:eastAsia="Times New Roman" w:hAnsi="Arial" w:cs="Times New Roman"/>
                <w:sz w:val="24"/>
                <w:szCs w:val="24"/>
              </w:rPr>
              <w:fldChar w:fldCharType="separate"/>
            </w:r>
            <w:r w:rsidRPr="004D232A">
              <w:rPr>
                <w:rFonts w:ascii="Arial" w:eastAsia="Times New Roman" w:hAnsi="Arial" w:cs="Times New Roman"/>
                <w:sz w:val="24"/>
                <w:szCs w:val="24"/>
              </w:rPr>
              <w:fldChar w:fldCharType="end"/>
            </w:r>
          </w:p>
        </w:tc>
      </w:tr>
    </w:tbl>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keepNext/>
        <w:tabs>
          <w:tab w:val="num" w:pos="709"/>
        </w:tabs>
        <w:spacing w:before="720" w:after="60" w:line="400" w:lineRule="atLeast"/>
        <w:ind w:left="709" w:hanging="709"/>
        <w:outlineLvl w:val="0"/>
        <w:rPr>
          <w:rFonts w:ascii="Arial" w:eastAsia="Times New Roman" w:hAnsi="Arial" w:cs="Arial"/>
          <w:b/>
          <w:bCs/>
          <w:color w:val="00408A"/>
          <w:kern w:val="32"/>
          <w:sz w:val="30"/>
          <w:szCs w:val="30"/>
          <w:lang w:eastAsia="en-AU"/>
        </w:rPr>
      </w:pPr>
      <w:r w:rsidRPr="004D232A">
        <w:rPr>
          <w:rFonts w:ascii="Arial" w:eastAsia="Times New Roman" w:hAnsi="Arial" w:cs="Arial"/>
          <w:b/>
          <w:bCs/>
          <w:color w:val="00408A"/>
          <w:kern w:val="32"/>
          <w:sz w:val="30"/>
          <w:szCs w:val="30"/>
          <w:lang w:eastAsia="en-AU"/>
        </w:rPr>
        <w:br w:type="column"/>
      </w:r>
      <w:bookmarkStart w:id="51" w:name="_Toc401138381"/>
      <w:r w:rsidRPr="004D232A">
        <w:rPr>
          <w:rFonts w:ascii="Arial" w:eastAsia="Times New Roman" w:hAnsi="Arial" w:cs="Arial"/>
          <w:b/>
          <w:bCs/>
          <w:color w:val="00408A"/>
          <w:kern w:val="32"/>
          <w:sz w:val="30"/>
          <w:szCs w:val="30"/>
          <w:lang w:eastAsia="en-AU"/>
        </w:rPr>
        <w:lastRenderedPageBreak/>
        <w:t>Certification</w:t>
      </w:r>
      <w:bookmarkEnd w:id="51"/>
    </w:p>
    <w:p w:rsidR="004D232A" w:rsidRPr="004D232A" w:rsidRDefault="004D232A" w:rsidP="004D232A">
      <w:pPr>
        <w:spacing w:before="240" w:after="0" w:line="280" w:lineRule="atLeast"/>
        <w:jc w:val="both"/>
        <w:rPr>
          <w:rFonts w:ascii="Book Antiqua" w:eastAsia="Times New Roman" w:hAnsi="Book Antiqua" w:cs="Times New Roman"/>
          <w:b/>
          <w:szCs w:val="21"/>
          <w:lang w:eastAsia="en-AU"/>
        </w:rPr>
      </w:pPr>
      <w:r w:rsidRPr="004D232A">
        <w:rPr>
          <w:rFonts w:ascii="Book Antiqua" w:eastAsia="Times New Roman" w:hAnsi="Book Antiqua" w:cs="Times New Roman"/>
          <w:b/>
          <w:szCs w:val="21"/>
          <w:lang w:eastAsia="en-AU"/>
        </w:rPr>
        <w:t xml:space="preserve">APPLICATION FOR A SPECIAL RATE VARIATION </w:t>
      </w:r>
    </w:p>
    <w:p w:rsidR="004D232A" w:rsidRPr="004D232A" w:rsidRDefault="004D232A" w:rsidP="004D232A">
      <w:pPr>
        <w:spacing w:before="240" w:after="0" w:line="280" w:lineRule="atLeast"/>
        <w:jc w:val="both"/>
        <w:rPr>
          <w:rFonts w:ascii="Book Antiqua" w:eastAsia="Times New Roman" w:hAnsi="Book Antiqua" w:cs="Times New Roman"/>
          <w:b/>
          <w:szCs w:val="21"/>
          <w:lang w:eastAsia="en-AU"/>
        </w:rPr>
      </w:pPr>
      <w:r w:rsidRPr="004D232A">
        <w:rPr>
          <w:rFonts w:ascii="Book Antiqua" w:eastAsia="Times New Roman" w:hAnsi="Book Antiqua" w:cs="Times New Roman"/>
          <w:b/>
          <w:szCs w:val="21"/>
          <w:lang w:eastAsia="en-AU"/>
        </w:rPr>
        <w:t>To be completed by General Manager and Responsible Accounting Officer</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Name of council: </w:t>
      </w:r>
      <w:r w:rsidRPr="004D232A">
        <w:rPr>
          <w:rFonts w:ascii="Book Antiqua" w:eastAsia="Times New Roman" w:hAnsi="Book Antiqua" w:cs="Times New Roman"/>
          <w:szCs w:val="21"/>
          <w:lang w:eastAsia="en-AU"/>
        </w:rPr>
        <w:fldChar w:fldCharType="begin">
          <w:ffData>
            <w:name w:val="Text24"/>
            <w:enabled/>
            <w:calcOnExit w:val="0"/>
            <w:textInput/>
          </w:ffData>
        </w:fldChar>
      </w:r>
      <w:r w:rsidRPr="004D232A">
        <w:rPr>
          <w:rFonts w:ascii="Book Antiqua" w:eastAsia="Times New Roman" w:hAnsi="Book Antiqua" w:cs="Times New Roman"/>
          <w:szCs w:val="21"/>
          <w:lang w:eastAsia="en-AU"/>
        </w:rPr>
        <w:instrText xml:space="preserve"> FORMTEXT </w:instrText>
      </w:r>
      <w:r w:rsidRPr="004D232A">
        <w:rPr>
          <w:rFonts w:ascii="Book Antiqua" w:eastAsia="Times New Roman" w:hAnsi="Book Antiqua" w:cs="Times New Roman"/>
          <w:szCs w:val="21"/>
          <w:lang w:eastAsia="en-AU"/>
        </w:rPr>
      </w:r>
      <w:r w:rsidRPr="004D232A">
        <w:rPr>
          <w:rFonts w:ascii="Book Antiqua" w:eastAsia="Times New Roman" w:hAnsi="Book Antiqua" w:cs="Times New Roman"/>
          <w:szCs w:val="21"/>
          <w:lang w:eastAsia="en-AU"/>
        </w:rPr>
        <w:fldChar w:fldCharType="separate"/>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szCs w:val="21"/>
          <w:lang w:eastAsia="en-AU"/>
        </w:rPr>
        <w:fldChar w:fldCharType="end"/>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We certify that to the best of our knowledge the information provided in this application is correct and complete.</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General Manager (name): </w:t>
      </w:r>
      <w:r w:rsidRPr="004D232A">
        <w:rPr>
          <w:rFonts w:ascii="Book Antiqua" w:eastAsia="Times New Roman" w:hAnsi="Book Antiqua" w:cs="Times New Roman"/>
          <w:szCs w:val="21"/>
          <w:lang w:eastAsia="en-AU"/>
        </w:rPr>
        <w:fldChar w:fldCharType="begin">
          <w:ffData>
            <w:name w:val="Text24"/>
            <w:enabled/>
            <w:calcOnExit w:val="0"/>
            <w:textInput/>
          </w:ffData>
        </w:fldChar>
      </w:r>
      <w:bookmarkStart w:id="52" w:name="Text24"/>
      <w:r w:rsidRPr="004D232A">
        <w:rPr>
          <w:rFonts w:ascii="Book Antiqua" w:eastAsia="Times New Roman" w:hAnsi="Book Antiqua" w:cs="Times New Roman"/>
          <w:szCs w:val="21"/>
          <w:lang w:eastAsia="en-AU"/>
        </w:rPr>
        <w:instrText xml:space="preserve"> FORMTEXT </w:instrText>
      </w:r>
      <w:r w:rsidRPr="004D232A">
        <w:rPr>
          <w:rFonts w:ascii="Book Antiqua" w:eastAsia="Times New Roman" w:hAnsi="Book Antiqua" w:cs="Times New Roman"/>
          <w:szCs w:val="21"/>
          <w:lang w:eastAsia="en-AU"/>
        </w:rPr>
      </w:r>
      <w:r w:rsidRPr="004D232A">
        <w:rPr>
          <w:rFonts w:ascii="Book Antiqua" w:eastAsia="Times New Roman" w:hAnsi="Book Antiqua" w:cs="Times New Roman"/>
          <w:szCs w:val="21"/>
          <w:lang w:eastAsia="en-AU"/>
        </w:rPr>
        <w:fldChar w:fldCharType="separate"/>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szCs w:val="21"/>
          <w:lang w:eastAsia="en-AU"/>
        </w:rPr>
        <w:fldChar w:fldCharType="end"/>
      </w:r>
      <w:bookmarkEnd w:id="52"/>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Signature and Date: </w:t>
      </w:r>
      <w:r w:rsidRPr="004D232A">
        <w:rPr>
          <w:rFonts w:ascii="Book Antiqua" w:eastAsia="Times New Roman" w:hAnsi="Book Antiqua" w:cs="Times New Roman"/>
          <w:szCs w:val="21"/>
          <w:lang w:eastAsia="en-AU"/>
        </w:rPr>
        <w:fldChar w:fldCharType="begin">
          <w:ffData>
            <w:name w:val="Text25"/>
            <w:enabled/>
            <w:calcOnExit w:val="0"/>
            <w:textInput/>
          </w:ffData>
        </w:fldChar>
      </w:r>
      <w:bookmarkStart w:id="53" w:name="Text25"/>
      <w:r w:rsidRPr="004D232A">
        <w:rPr>
          <w:rFonts w:ascii="Book Antiqua" w:eastAsia="Times New Roman" w:hAnsi="Book Antiqua" w:cs="Times New Roman"/>
          <w:szCs w:val="21"/>
          <w:lang w:eastAsia="en-AU"/>
        </w:rPr>
        <w:instrText xml:space="preserve"> FORMTEXT </w:instrText>
      </w:r>
      <w:r w:rsidRPr="004D232A">
        <w:rPr>
          <w:rFonts w:ascii="Book Antiqua" w:eastAsia="Times New Roman" w:hAnsi="Book Antiqua" w:cs="Times New Roman"/>
          <w:szCs w:val="21"/>
          <w:lang w:eastAsia="en-AU"/>
        </w:rPr>
      </w:r>
      <w:r w:rsidRPr="004D232A">
        <w:rPr>
          <w:rFonts w:ascii="Book Antiqua" w:eastAsia="Times New Roman" w:hAnsi="Book Antiqua" w:cs="Times New Roman"/>
          <w:szCs w:val="21"/>
          <w:lang w:eastAsia="en-AU"/>
        </w:rPr>
        <w:fldChar w:fldCharType="separate"/>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szCs w:val="21"/>
          <w:lang w:eastAsia="en-AU"/>
        </w:rPr>
        <w:fldChar w:fldCharType="end"/>
      </w:r>
      <w:bookmarkEnd w:id="53"/>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Responsible Accounting Officer (name): </w:t>
      </w:r>
      <w:r w:rsidRPr="004D232A">
        <w:rPr>
          <w:rFonts w:ascii="Book Antiqua" w:eastAsia="Times New Roman" w:hAnsi="Book Antiqua" w:cs="Times New Roman"/>
          <w:szCs w:val="21"/>
          <w:lang w:eastAsia="en-AU"/>
        </w:rPr>
        <w:fldChar w:fldCharType="begin">
          <w:ffData>
            <w:name w:val="Text26"/>
            <w:enabled/>
            <w:calcOnExit w:val="0"/>
            <w:textInput/>
          </w:ffData>
        </w:fldChar>
      </w:r>
      <w:bookmarkStart w:id="54" w:name="Text26"/>
      <w:r w:rsidRPr="004D232A">
        <w:rPr>
          <w:rFonts w:ascii="Book Antiqua" w:eastAsia="Times New Roman" w:hAnsi="Book Antiqua" w:cs="Times New Roman"/>
          <w:szCs w:val="21"/>
          <w:lang w:eastAsia="en-AU"/>
        </w:rPr>
        <w:instrText xml:space="preserve"> FORMTEXT </w:instrText>
      </w:r>
      <w:r w:rsidRPr="004D232A">
        <w:rPr>
          <w:rFonts w:ascii="Book Antiqua" w:eastAsia="Times New Roman" w:hAnsi="Book Antiqua" w:cs="Times New Roman"/>
          <w:szCs w:val="21"/>
          <w:lang w:eastAsia="en-AU"/>
        </w:rPr>
      </w:r>
      <w:r w:rsidRPr="004D232A">
        <w:rPr>
          <w:rFonts w:ascii="Book Antiqua" w:eastAsia="Times New Roman" w:hAnsi="Book Antiqua" w:cs="Times New Roman"/>
          <w:szCs w:val="21"/>
          <w:lang w:eastAsia="en-AU"/>
        </w:rPr>
        <w:fldChar w:fldCharType="separate"/>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szCs w:val="21"/>
          <w:lang w:eastAsia="en-AU"/>
        </w:rPr>
        <w:fldChar w:fldCharType="end"/>
      </w:r>
      <w:bookmarkEnd w:id="54"/>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 xml:space="preserve">Signature and Date: </w:t>
      </w:r>
      <w:r w:rsidRPr="004D232A">
        <w:rPr>
          <w:rFonts w:ascii="Book Antiqua" w:eastAsia="Times New Roman" w:hAnsi="Book Antiqua" w:cs="Times New Roman"/>
          <w:szCs w:val="21"/>
          <w:lang w:eastAsia="en-AU"/>
        </w:rPr>
        <w:fldChar w:fldCharType="begin">
          <w:ffData>
            <w:name w:val="Text27"/>
            <w:enabled/>
            <w:calcOnExit w:val="0"/>
            <w:textInput/>
          </w:ffData>
        </w:fldChar>
      </w:r>
      <w:bookmarkStart w:id="55" w:name="Text27"/>
      <w:r w:rsidRPr="004D232A">
        <w:rPr>
          <w:rFonts w:ascii="Book Antiqua" w:eastAsia="Times New Roman" w:hAnsi="Book Antiqua" w:cs="Times New Roman"/>
          <w:szCs w:val="21"/>
          <w:lang w:eastAsia="en-AU"/>
        </w:rPr>
        <w:instrText xml:space="preserve"> FORMTEXT </w:instrText>
      </w:r>
      <w:r w:rsidRPr="004D232A">
        <w:rPr>
          <w:rFonts w:ascii="Book Antiqua" w:eastAsia="Times New Roman" w:hAnsi="Book Antiqua" w:cs="Times New Roman"/>
          <w:szCs w:val="21"/>
          <w:lang w:eastAsia="en-AU"/>
        </w:rPr>
      </w:r>
      <w:r w:rsidRPr="004D232A">
        <w:rPr>
          <w:rFonts w:ascii="Book Antiqua" w:eastAsia="Times New Roman" w:hAnsi="Book Antiqua" w:cs="Times New Roman"/>
          <w:szCs w:val="21"/>
          <w:lang w:eastAsia="en-AU"/>
        </w:rPr>
        <w:fldChar w:fldCharType="separate"/>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noProof/>
          <w:szCs w:val="21"/>
          <w:lang w:eastAsia="en-AU"/>
        </w:rPr>
        <w:t> </w:t>
      </w:r>
      <w:r w:rsidRPr="004D232A">
        <w:rPr>
          <w:rFonts w:ascii="Book Antiqua" w:eastAsia="Times New Roman" w:hAnsi="Book Antiqua" w:cs="Times New Roman"/>
          <w:szCs w:val="21"/>
          <w:lang w:eastAsia="en-AU"/>
        </w:rPr>
        <w:fldChar w:fldCharType="end"/>
      </w:r>
      <w:bookmarkEnd w:id="55"/>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r w:rsidRPr="004D232A">
        <w:rPr>
          <w:rFonts w:ascii="Book Antiqua" w:eastAsia="Times New Roman" w:hAnsi="Book Antiqua" w:cs="Times New Roman"/>
          <w:szCs w:val="21"/>
          <w:lang w:eastAsia="en-AU"/>
        </w:rPr>
        <w:t>Once completed, please scan the signed certification and attach it as a public supporting document online via the Council Portal on IPART’s website.</w:t>
      </w: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4D232A" w:rsidRPr="004D232A" w:rsidRDefault="004D232A" w:rsidP="004D232A">
      <w:pPr>
        <w:spacing w:before="240" w:after="0" w:line="280" w:lineRule="atLeast"/>
        <w:jc w:val="both"/>
        <w:rPr>
          <w:rFonts w:ascii="Book Antiqua" w:eastAsia="Times New Roman" w:hAnsi="Book Antiqua" w:cs="Times New Roman"/>
          <w:szCs w:val="21"/>
          <w:lang w:eastAsia="en-AU"/>
        </w:rPr>
      </w:pPr>
    </w:p>
    <w:p w:rsidR="009D13FE" w:rsidRDefault="009D13FE"/>
    <w:sectPr w:rsidR="009D13FE" w:rsidSect="00747A96">
      <w:pgSz w:w="11907" w:h="16840" w:code="9"/>
      <w:pgMar w:top="2268" w:right="1701" w:bottom="1418" w:left="1701" w:header="1134" w:footer="284"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32A" w:rsidRDefault="004D232A" w:rsidP="004D232A">
      <w:pPr>
        <w:spacing w:after="0" w:line="240" w:lineRule="auto"/>
      </w:pPr>
      <w:r>
        <w:separator/>
      </w:r>
    </w:p>
  </w:endnote>
  <w:endnote w:type="continuationSeparator" w:id="0">
    <w:p w:rsidR="004D232A" w:rsidRDefault="004D232A" w:rsidP="004D2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4D232A">
      <w:trPr>
        <w:cantSplit/>
      </w:trPr>
      <w:tc>
        <w:tcPr>
          <w:tcW w:w="567" w:type="dxa"/>
          <w:vAlign w:val="bottom"/>
        </w:tcPr>
        <w:p w:rsidR="004D232A" w:rsidRDefault="004D232A"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tc>
      <w:tc>
        <w:tcPr>
          <w:tcW w:w="142" w:type="dxa"/>
          <w:tcBorders>
            <w:right w:val="single" w:sz="8" w:space="0" w:color="7C7C7C"/>
          </w:tcBorders>
          <w:vAlign w:val="bottom"/>
        </w:tcPr>
        <w:p w:rsidR="004D232A" w:rsidRDefault="004D232A" w:rsidP="00321AF3">
          <w:pPr>
            <w:pStyle w:val="Footer"/>
          </w:pPr>
        </w:p>
      </w:tc>
      <w:tc>
        <w:tcPr>
          <w:tcW w:w="142" w:type="dxa"/>
          <w:tcBorders>
            <w:left w:val="single" w:sz="8" w:space="0" w:color="7C7C7C"/>
          </w:tcBorders>
          <w:vAlign w:val="bottom"/>
        </w:tcPr>
        <w:p w:rsidR="004D232A" w:rsidRDefault="004D232A" w:rsidP="00321AF3">
          <w:pPr>
            <w:pStyle w:val="Footer"/>
          </w:pPr>
        </w:p>
      </w:tc>
      <w:tc>
        <w:tcPr>
          <w:tcW w:w="7938" w:type="dxa"/>
          <w:vAlign w:val="bottom"/>
        </w:tcPr>
        <w:p w:rsidR="004D232A" w:rsidRDefault="004D232A" w:rsidP="00321AF3">
          <w:pPr>
            <w:pStyle w:val="Footer"/>
          </w:pPr>
          <w:r w:rsidRPr="00D661A7">
            <w:rPr>
              <w:b/>
            </w:rPr>
            <w:t>IPART</w:t>
          </w:r>
          <w:r w:rsidRPr="00CF179E">
            <w:rPr>
              <w:rFonts w:eastAsia="Arial Unicode MS" w:hAnsi="Arial Unicode MS" w:cs="Arial"/>
            </w:rPr>
            <w:t> </w:t>
          </w:r>
          <w:r w:rsidR="00AE4968">
            <w:fldChar w:fldCharType="begin"/>
          </w:r>
          <w:r w:rsidR="00AE4968">
            <w:instrText xml:space="preserve"> STYLEREF  Title </w:instrText>
          </w:r>
          <w:r w:rsidR="00AE4968">
            <w:fldChar w:fldCharType="separate"/>
          </w:r>
          <w:r w:rsidR="00AE4968">
            <w:rPr>
              <w:b/>
              <w:bCs/>
              <w:noProof/>
              <w:lang w:val="en-US"/>
            </w:rPr>
            <w:t>Error! No text of specified style in document.</w:t>
          </w:r>
          <w:r w:rsidR="00AE4968">
            <w:rPr>
              <w:noProof/>
            </w:rPr>
            <w:fldChar w:fldCharType="end"/>
          </w:r>
        </w:p>
      </w:tc>
    </w:tr>
  </w:tbl>
  <w:p w:rsidR="004D232A" w:rsidRPr="00D661A7" w:rsidRDefault="004D23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4D232A">
      <w:trPr>
        <w:cantSplit/>
      </w:trPr>
      <w:tc>
        <w:tcPr>
          <w:tcW w:w="7938" w:type="dxa"/>
          <w:vAlign w:val="bottom"/>
        </w:tcPr>
        <w:p w:rsidR="004D232A" w:rsidRDefault="004D232A" w:rsidP="00321AF3">
          <w:pPr>
            <w:pStyle w:val="Footer"/>
            <w:jc w:val="right"/>
          </w:pPr>
          <w:r>
            <w:t>Special Variation Application Form – Part B</w:t>
          </w:r>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4D232A" w:rsidRDefault="004D232A" w:rsidP="00321AF3">
          <w:pPr>
            <w:pStyle w:val="Footer"/>
          </w:pPr>
        </w:p>
      </w:tc>
      <w:tc>
        <w:tcPr>
          <w:tcW w:w="142" w:type="dxa"/>
          <w:tcBorders>
            <w:left w:val="single" w:sz="8" w:space="0" w:color="7C7C7C"/>
          </w:tcBorders>
          <w:vAlign w:val="bottom"/>
        </w:tcPr>
        <w:p w:rsidR="004D232A" w:rsidRDefault="004D232A" w:rsidP="00321AF3">
          <w:pPr>
            <w:pStyle w:val="Footer"/>
          </w:pPr>
        </w:p>
      </w:tc>
      <w:tc>
        <w:tcPr>
          <w:tcW w:w="567" w:type="dxa"/>
          <w:vAlign w:val="bottom"/>
        </w:tcPr>
        <w:p w:rsidR="004D232A" w:rsidRDefault="004D232A" w:rsidP="00321AF3">
          <w:pPr>
            <w:pStyle w:val="Footer"/>
          </w:pPr>
          <w:r>
            <w:rPr>
              <w:rStyle w:val="PageNumber"/>
            </w:rPr>
            <w:fldChar w:fldCharType="begin"/>
          </w:r>
          <w:r>
            <w:rPr>
              <w:rStyle w:val="PageNumber"/>
            </w:rPr>
            <w:instrText xml:space="preserve"> PAGE </w:instrText>
          </w:r>
          <w:r>
            <w:rPr>
              <w:rStyle w:val="PageNumber"/>
            </w:rPr>
            <w:fldChar w:fldCharType="separate"/>
          </w:r>
          <w:r w:rsidR="00AE4968">
            <w:rPr>
              <w:rStyle w:val="PageNumber"/>
              <w:noProof/>
            </w:rPr>
            <w:t>iii</w:t>
          </w:r>
          <w:r>
            <w:rPr>
              <w:rStyle w:val="PageNumber"/>
            </w:rPr>
            <w:fldChar w:fldCharType="end"/>
          </w:r>
        </w:p>
      </w:tc>
    </w:tr>
  </w:tbl>
  <w:p w:rsidR="004D232A" w:rsidRPr="00BB2D33" w:rsidRDefault="004D23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Pr="002231EC" w:rsidRDefault="004D232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4D232A">
      <w:trPr>
        <w:cantSplit/>
      </w:trPr>
      <w:tc>
        <w:tcPr>
          <w:tcW w:w="567" w:type="dxa"/>
          <w:vAlign w:val="bottom"/>
        </w:tcPr>
        <w:p w:rsidR="004D232A" w:rsidRDefault="004D232A" w:rsidP="00BB7D2D">
          <w:pPr>
            <w:pStyle w:val="Footer"/>
            <w:jc w:val="right"/>
          </w:pPr>
        </w:p>
      </w:tc>
      <w:tc>
        <w:tcPr>
          <w:tcW w:w="142" w:type="dxa"/>
          <w:tcBorders>
            <w:right w:val="single" w:sz="8" w:space="0" w:color="7C7C7C"/>
          </w:tcBorders>
          <w:vAlign w:val="bottom"/>
        </w:tcPr>
        <w:p w:rsidR="004D232A" w:rsidRDefault="004D232A" w:rsidP="00BB7D2D">
          <w:pPr>
            <w:pStyle w:val="Footer"/>
          </w:pPr>
        </w:p>
      </w:tc>
      <w:tc>
        <w:tcPr>
          <w:tcW w:w="142" w:type="dxa"/>
          <w:tcBorders>
            <w:left w:val="single" w:sz="8" w:space="0" w:color="7C7C7C"/>
          </w:tcBorders>
          <w:vAlign w:val="bottom"/>
        </w:tcPr>
        <w:p w:rsidR="004D232A" w:rsidRDefault="004D232A" w:rsidP="00BB7D2D">
          <w:pPr>
            <w:pStyle w:val="Footer"/>
          </w:pPr>
        </w:p>
      </w:tc>
      <w:tc>
        <w:tcPr>
          <w:tcW w:w="7938" w:type="dxa"/>
          <w:vAlign w:val="bottom"/>
        </w:tcPr>
        <w:p w:rsidR="004D232A" w:rsidRDefault="004D232A" w:rsidP="00BB7D2D">
          <w:pPr>
            <w:pStyle w:val="Footer"/>
          </w:pPr>
          <w:r w:rsidRPr="00D661A7">
            <w:rPr>
              <w:b/>
            </w:rPr>
            <w:t>IPART</w:t>
          </w:r>
          <w:r w:rsidRPr="00CF179E">
            <w:rPr>
              <w:rFonts w:eastAsia="Arial Unicode MS" w:hAnsi="Arial Unicode MS" w:cs="Arial"/>
            </w:rPr>
            <w:t> </w:t>
          </w:r>
          <w:r w:rsidR="00AE4968">
            <w:fldChar w:fldCharType="begin"/>
          </w:r>
          <w:r w:rsidR="00AE4968">
            <w:instrText xml:space="preserve"> STYLEREF  Title </w:instrText>
          </w:r>
          <w:r w:rsidR="00AE4968">
            <w:fldChar w:fldCharType="separate"/>
          </w:r>
          <w:r w:rsidR="00AE4968">
            <w:rPr>
              <w:b/>
              <w:bCs/>
              <w:noProof/>
              <w:lang w:val="en-US"/>
            </w:rPr>
            <w:t>Error! No text of specified style in document.</w:t>
          </w:r>
          <w:r w:rsidR="00AE4968">
            <w:rPr>
              <w:noProof/>
            </w:rPr>
            <w:fldChar w:fldCharType="end"/>
          </w:r>
        </w:p>
      </w:tc>
    </w:tr>
  </w:tbl>
  <w:p w:rsidR="004D232A" w:rsidRDefault="004D232A"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4D232A">
      <w:trPr>
        <w:cantSplit/>
      </w:trPr>
      <w:tc>
        <w:tcPr>
          <w:tcW w:w="7938" w:type="dxa"/>
          <w:vAlign w:val="bottom"/>
        </w:tcPr>
        <w:p w:rsidR="004D232A" w:rsidRDefault="004D232A" w:rsidP="004D232A">
          <w:pPr>
            <w:pStyle w:val="Footer"/>
            <w:jc w:val="right"/>
          </w:pPr>
          <w:r>
            <w:t>Special Variation Application Form – Part B</w:t>
          </w:r>
          <w:bookmarkStart w:id="12"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4D232A" w:rsidRDefault="004D232A" w:rsidP="00BB7D2D">
          <w:pPr>
            <w:pStyle w:val="Footer"/>
          </w:pPr>
        </w:p>
      </w:tc>
      <w:tc>
        <w:tcPr>
          <w:tcW w:w="142" w:type="dxa"/>
          <w:tcBorders>
            <w:left w:val="single" w:sz="8" w:space="0" w:color="7C7C7C"/>
          </w:tcBorders>
          <w:vAlign w:val="bottom"/>
        </w:tcPr>
        <w:p w:rsidR="004D232A" w:rsidRDefault="004D232A" w:rsidP="00BB7D2D">
          <w:pPr>
            <w:pStyle w:val="Footer"/>
          </w:pPr>
        </w:p>
      </w:tc>
      <w:tc>
        <w:tcPr>
          <w:tcW w:w="567" w:type="dxa"/>
          <w:vAlign w:val="bottom"/>
        </w:tcPr>
        <w:p w:rsidR="004D232A" w:rsidRDefault="004D232A" w:rsidP="00BB7D2D">
          <w:pPr>
            <w:pStyle w:val="Footer"/>
          </w:pPr>
          <w:r>
            <w:rPr>
              <w:rStyle w:val="PageNumber"/>
            </w:rPr>
            <w:fldChar w:fldCharType="begin"/>
          </w:r>
          <w:r>
            <w:rPr>
              <w:rStyle w:val="PageNumber"/>
            </w:rPr>
            <w:instrText xml:space="preserve"> PAGE </w:instrText>
          </w:r>
          <w:r>
            <w:rPr>
              <w:rStyle w:val="PageNumber"/>
            </w:rPr>
            <w:fldChar w:fldCharType="separate"/>
          </w:r>
          <w:r w:rsidR="00AE4968">
            <w:rPr>
              <w:rStyle w:val="PageNumber"/>
              <w:noProof/>
            </w:rPr>
            <w:t>44</w:t>
          </w:r>
          <w:r>
            <w:rPr>
              <w:rStyle w:val="PageNumber"/>
            </w:rPr>
            <w:fldChar w:fldCharType="end"/>
          </w:r>
        </w:p>
      </w:tc>
    </w:tr>
    <w:bookmarkEnd w:id="12"/>
  </w:tbl>
  <w:p w:rsidR="004D232A" w:rsidRDefault="004D232A"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32A" w:rsidRDefault="004D232A" w:rsidP="004D232A">
      <w:pPr>
        <w:spacing w:after="0" w:line="240" w:lineRule="auto"/>
      </w:pPr>
      <w:r>
        <w:separator/>
      </w:r>
    </w:p>
  </w:footnote>
  <w:footnote w:type="continuationSeparator" w:id="0">
    <w:p w:rsidR="004D232A" w:rsidRDefault="004D232A" w:rsidP="004D232A">
      <w:pPr>
        <w:spacing w:after="0" w:line="240" w:lineRule="auto"/>
      </w:pPr>
      <w:r>
        <w:continuationSeparator/>
      </w:r>
    </w:p>
  </w:footnote>
  <w:footnote w:id="1">
    <w:p w:rsidR="004D232A" w:rsidRPr="00952245" w:rsidRDefault="004D232A" w:rsidP="004D232A">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4D232A" w:rsidRPr="00952245" w:rsidRDefault="004D232A" w:rsidP="004D232A">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4D232A" w:rsidRPr="00452CBD" w:rsidRDefault="004D232A" w:rsidP="004D232A">
      <w:pPr>
        <w:pStyle w:val="FootnoteText"/>
        <w:rPr>
          <w:lang w:val="en-US"/>
        </w:rPr>
      </w:pPr>
      <w:r w:rsidRPr="008B1F5A">
        <w:rPr>
          <w:rStyle w:val="FootnoteReference"/>
        </w:rPr>
        <w:footnoteRef/>
      </w:r>
      <w:r w:rsidRPr="008B1F5A">
        <w:t xml:space="preserve"> </w:t>
      </w:r>
      <w:r w:rsidRPr="008B1F5A">
        <w:tab/>
        <w:t xml:space="preserve">The </w:t>
      </w:r>
      <w:r w:rsidRPr="006019BE">
        <w:t>OLG’s October 2014</w:t>
      </w:r>
      <w:r w:rsidRPr="008B1F5A">
        <w:t xml:space="preserve"> </w:t>
      </w:r>
      <w:r w:rsidRPr="008B1F5A">
        <w:rPr>
          <w:i/>
        </w:rPr>
        <w:t>Guidelines</w:t>
      </w:r>
      <w:r w:rsidRPr="008B1F5A">
        <w:t xml:space="preserve"> and</w:t>
      </w:r>
      <w:r>
        <w:t xml:space="preserve"> the IP&amp;R Manual outline this link between the special variation and the IP&amp;R process</w:t>
      </w:r>
      <w:r w:rsidRPr="004C409E">
        <w:t>.</w:t>
      </w:r>
    </w:p>
  </w:footnote>
  <w:footnote w:id="4">
    <w:p w:rsidR="004D232A" w:rsidRDefault="004D232A" w:rsidP="004D232A">
      <w:pPr>
        <w:pStyle w:val="FootnoteText"/>
      </w:pPr>
      <w:r>
        <w:rPr>
          <w:rStyle w:val="FootnoteReference"/>
        </w:rPr>
        <w:footnoteRef/>
      </w:r>
      <w:r>
        <w:t xml:space="preserve">Office of Local Government Group 9 Councils are defined as Rural Council with a population of between 1,000 – 5,000. </w:t>
      </w:r>
    </w:p>
  </w:footnote>
  <w:footnote w:id="5">
    <w:p w:rsidR="004D232A" w:rsidRDefault="004D232A" w:rsidP="004D232A">
      <w:pPr>
        <w:pStyle w:val="FootnoteText"/>
      </w:pPr>
      <w:r>
        <w:rPr>
          <w:rStyle w:val="FootnoteReference"/>
        </w:rPr>
        <w:footnoteRef/>
      </w:r>
      <w:r>
        <w:t xml:space="preserve"> In terms of Farmland rates Cowra has similar agricultural land type to Weddin and in terms of business rates Bland business centre is similar to the Weddin (Grenfell) business centre and the rates for both these categories are exactly similar.</w:t>
      </w:r>
    </w:p>
  </w:footnote>
  <w:footnote w:id="6">
    <w:p w:rsidR="004D232A" w:rsidRDefault="004D232A" w:rsidP="004D232A">
      <w:pPr>
        <w:pStyle w:val="FootnoteText"/>
      </w:pPr>
      <w:r>
        <w:rPr>
          <w:rStyle w:val="FootnoteReference"/>
        </w:rPr>
        <w:footnoteRef/>
      </w:r>
      <w:r>
        <w:t xml:space="preserve"> Weddin ranks 44 on the Economic Index Rating which places it in the lowest third which indicates capacity to access services is limited. </w:t>
      </w:r>
    </w:p>
  </w:footnote>
  <w:footnote w:id="7">
    <w:p w:rsidR="004D232A" w:rsidRDefault="004D232A" w:rsidP="004D232A">
      <w:pPr>
        <w:pStyle w:val="FootnoteText"/>
      </w:pPr>
      <w:r>
        <w:rPr>
          <w:rStyle w:val="FootnoteReference"/>
        </w:rPr>
        <w:footnoteRef/>
      </w:r>
      <w:r>
        <w:t xml:space="preserve"> </w:t>
      </w:r>
      <w:hyperlink r:id="rId3" w:history="1">
        <w:r w:rsidRPr="00FD7B42">
          <w:rPr>
            <w:rStyle w:val="Hyperlink"/>
          </w:rPr>
          <w:t>http://www.sustainablemelbourne.com/visions/the-melbourne-principles-for-sustainable-cities/</w:t>
        </w:r>
      </w:hyperlink>
    </w:p>
    <w:p w:rsidR="004D232A" w:rsidRDefault="004D232A" w:rsidP="004D232A">
      <w:pPr>
        <w:pStyle w:val="FootnoteText"/>
      </w:pPr>
    </w:p>
  </w:footnote>
  <w:footnote w:id="8">
    <w:p w:rsidR="004D232A" w:rsidRDefault="004D232A" w:rsidP="004D232A">
      <w:pPr>
        <w:pStyle w:val="FootnoteText"/>
      </w:pPr>
      <w:r>
        <w:rPr>
          <w:rStyle w:val="FootnoteReference"/>
        </w:rPr>
        <w:footnoteRef/>
      </w:r>
      <w:r>
        <w:t xml:space="preserve"> </w:t>
      </w:r>
      <w:hyperlink r:id="rId4" w:history="1">
        <w:r w:rsidRPr="00FD7B42">
          <w:rPr>
            <w:rStyle w:val="Hyperlink"/>
          </w:rPr>
          <w:t>http://www.rba.gov.au/publications/rdp/2002/pdf/rdp2002-04.pdf</w:t>
        </w:r>
      </w:hyperlink>
    </w:p>
    <w:p w:rsidR="004D232A" w:rsidRDefault="004D232A" w:rsidP="004D232A">
      <w:pPr>
        <w:pStyle w:val="FootnoteText"/>
      </w:pPr>
    </w:p>
  </w:footnote>
  <w:footnote w:id="9">
    <w:p w:rsidR="004D232A" w:rsidRPr="0035428F" w:rsidRDefault="004D232A" w:rsidP="004D232A">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5"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10">
    <w:p w:rsidR="004D232A" w:rsidRPr="00CA35DF" w:rsidRDefault="004D232A" w:rsidP="004D232A">
      <w:pPr>
        <w:pStyle w:val="FootnoteText"/>
        <w:rPr>
          <w:lang w:val="en-US"/>
        </w:rPr>
      </w:pPr>
      <w:r>
        <w:rPr>
          <w:rStyle w:val="FootnoteReference"/>
        </w:rPr>
        <w:footnoteRef/>
      </w:r>
      <w:r>
        <w:t xml:space="preserve"> </w:t>
      </w:r>
      <w:r>
        <w:rPr>
          <w:lang w:val="en-US"/>
        </w:rPr>
        <w:tab/>
        <w:t>Relevant documents are the Community Strategic Plan, Delivery Program, Long Term Financial Plan and where applicable, the Asset Management Plan.</w:t>
      </w:r>
    </w:p>
  </w:footnote>
  <w:footnote w:id="11">
    <w:p w:rsidR="004D232A" w:rsidRPr="00AF2242" w:rsidRDefault="004D232A" w:rsidP="004D232A">
      <w:pPr>
        <w:pStyle w:val="FootnoteText"/>
        <w:rPr>
          <w:lang w:val="en-US"/>
        </w:rPr>
      </w:pPr>
      <w:r w:rsidRPr="00303275">
        <w:rPr>
          <w:rStyle w:val="FootnoteReference"/>
        </w:rPr>
        <w:footnoteRef/>
      </w:r>
      <w:r w:rsidRPr="00303275">
        <w:t xml:space="preserve"> </w:t>
      </w:r>
      <w:r w:rsidRPr="00303275">
        <w:rPr>
          <w:lang w:val="en-US"/>
        </w:rPr>
        <w:tab/>
        <w:t xml:space="preserve">Office of Local </w:t>
      </w:r>
      <w:r w:rsidRPr="00856578">
        <w:rPr>
          <w:lang w:val="en-US"/>
        </w:rPr>
        <w:t xml:space="preserve">Government (the then Division of Local Government), </w:t>
      </w:r>
      <w:r w:rsidRPr="00856578">
        <w:rPr>
          <w:i/>
          <w:lang w:val="en-US"/>
        </w:rPr>
        <w:t>Integrated Planning and Reporting Manual for local government in NSW</w:t>
      </w:r>
      <w:r w:rsidRPr="00856578">
        <w:rPr>
          <w:lang w:val="en-US"/>
        </w:rPr>
        <w:t>, March 2013, pp 5 - 6. See http://www.olg.nsw.gov.au/sites/default/files/Intergrated-Planning-and-Reporting-Manual-March-2013.pdf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Default="004D232A" w:rsidP="00667EA7">
    <w:pPr>
      <w:pStyle w:val="Header"/>
      <w:jc w:val="right"/>
    </w:pPr>
    <w:r>
      <w:rPr>
        <w:noProof/>
      </w:rPr>
      <w:drawing>
        <wp:anchor distT="0" distB="0" distL="114300" distR="114300" simplePos="0" relativeHeight="251661312" behindDoc="1" locked="0" layoutInCell="0" allowOverlap="0" wp14:anchorId="2378B21D" wp14:editId="6855C5D2">
          <wp:simplePos x="0" y="0"/>
          <wp:positionH relativeFrom="page">
            <wp:posOffset>0</wp:posOffset>
          </wp:positionH>
          <wp:positionV relativeFrom="page">
            <wp:posOffset>0</wp:posOffset>
          </wp:positionV>
          <wp:extent cx="7574280" cy="10694035"/>
          <wp:effectExtent l="0" t="0" r="7620" b="0"/>
          <wp:wrapNone/>
          <wp:docPr id="25" name="Picture 25"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Default="004D23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Pr="00BB2D33" w:rsidRDefault="004D23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Pr="0026621F" w:rsidRDefault="004D232A"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Pr="0026621F" w:rsidRDefault="004D232A"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Pr="00083981" w:rsidRDefault="004D23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Default="004D232A">
    <w:pPr>
      <w:pStyle w:val="Header"/>
    </w:pPr>
    <w:r>
      <w:rPr>
        <w:noProof/>
      </w:rPr>
      <mc:AlternateContent>
        <mc:Choice Requires="wps">
          <w:drawing>
            <wp:anchor distT="0" distB="0" distL="114300" distR="114300" simplePos="0" relativeHeight="251659264" behindDoc="0" locked="0" layoutInCell="0" allowOverlap="0" wp14:anchorId="6A8A13D5" wp14:editId="4E27D4FA">
              <wp:simplePos x="0" y="0"/>
              <wp:positionH relativeFrom="page">
                <wp:posOffset>9721215</wp:posOffset>
              </wp:positionH>
              <wp:positionV relativeFrom="page">
                <wp:posOffset>1080135</wp:posOffset>
              </wp:positionV>
              <wp:extent cx="16827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32A" w:rsidRDefault="004D232A"/>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25pt;height:22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nDegIAAAIFAAAOAAAAZHJzL2Uyb0RvYy54bWysVNuO2yAQfa/Uf0C8J76sc7G1zmovdVVp&#10;e5F2+wHE4BgVAwUSO6r67x1wnN3tRaqq+gGPzXDmzMwZLq+GTqADM5YrWeJkHmPEZK0ol7sSf36s&#10;ZmuMrCOSEqEkK/GRWXy1ef3qstcFS1WrBGUGAYi0Ra9L3Dqniyiydcs6YudKMwmbjTIdcfBpdhE1&#10;pAf0TkRpHC+jXhmqjaqZtfD3btzEm4DfNKx2H5vGModEiYGbC6sJ69av0eaSFDtDdMvrEw3yDyw6&#10;wiUEPUPdEUfQ3vBfoDpeG2VV4+a16iLVNLxmIQfIJol/yuahJZqFXKA4Vp/LZP8fbP3h8MkgTkt8&#10;gZEkHbTokQ0O3agBJXF84QvUa1uA34MGTzfADjQ6JGv1vaq/WCTVbUvkjl0bo/qWEQoEE38yenZ0&#10;xLEeZNu/VxQikb1TAWhoTOerB/VAgA6NOp6b49nUPuRyna4WGNWwla5X+SpdhBCkmE5rY91bpjrk&#10;jRIbaH5AJ4d76zwbUkwuPphVgtOKCxE+zG57Kww6EBBKFZ4T+gs3Ib2zVP7YiDj+AZIQw+95uqHx&#10;3/IkzeKbNJ9Vy/VqllXZYpav4vUsTvKbfBlneXZXffcEk6xoOaVM3nPJJhEm2d81+TQOo3yCDFFf&#10;4nwB1Ql5/THJODy/S7LjDmZS8K7E67MTKXxj30gKaZPCES5GO3pJP1QZajC9Q1WCDHznRw24YTsA&#10;itfGVtEjCMIo6Bd0HS4SMPyKUQ9DWWL7dU8Mw0i8kyAqP8GTYSZjOxlE1q2C2YbDo3nrxknfa8N3&#10;LSBPsr0G4VU8aOKJxUmuMGiB/OlS8JP8/Dt4PV1dmx8AAAD//wMAUEsDBBQABgAIAAAAIQD2LR8n&#10;5AAAAA0BAAAPAAAAZHJzL2Rvd25yZXYueG1sTI/LTsMwEEX3SPyDNUjsqN1H0hLiVBUPiQ0L2rLo&#10;bhIPSSC2k9hNQ78edwW7uZqjO2fS9agbNlDvamskTCcCGJnCqtqUEva7l7sVMOfRKGysIQk/5GCd&#10;XV+lmCh7Mu80bH3JQolxCUqovG8Tzl1RkUY3sS2ZsPu0vUYfYl9y1eMplOuGz4SIucbahAsVtvRY&#10;UfG9PWoJ9hnPQ94tnjZR9/bxtXo9FOfuIOXtzbh5AOZp9H8wXPSDOmTBKbdHoxxrQo7m4j6wYVqK&#10;KbALEkXLBbBcQjybx8CzlP//IvsFAAD//wMAUEsBAi0AFAAGAAgAAAAhALaDOJL+AAAA4QEAABMA&#10;AAAAAAAAAAAAAAAAAAAAAFtDb250ZW50X1R5cGVzXS54bWxQSwECLQAUAAYACAAAACEAOP0h/9YA&#10;AACUAQAACwAAAAAAAAAAAAAAAAAvAQAAX3JlbHMvLnJlbHNQSwECLQAUAAYACAAAACEAjCnpw3oC&#10;AAACBQAADgAAAAAAAAAAAAAAAAAuAgAAZHJzL2Uyb0RvYy54bWxQSwECLQAUAAYACAAAACEA9i0f&#10;J+QAAAANAQAADwAAAAAAAAAAAAAAAADUBAAAZHJzL2Rvd25yZXYueG1sUEsFBgAAAAAEAAQA8wAA&#10;AOUFAAAAAA==&#10;" o:allowincell="f" o:allowoverlap="f" stroked="f">
              <v:textbox style="layout-flow:vertical;mso-fit-shape-to-text:t" inset="0,0,0,0">
                <w:txbxContent>
                  <w:p w:rsidR="004D232A" w:rsidRDefault="004D232A"/>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32A" w:rsidRPr="004401AD" w:rsidRDefault="004D232A">
    <w:pPr>
      <w:pStyle w:val="Header"/>
      <w:rPr>
        <w:lang w:val="en-US"/>
      </w:rPr>
    </w:pPr>
    <w:r>
      <w:rPr>
        <w:noProof/>
      </w:rPr>
      <mc:AlternateContent>
        <mc:Choice Requires="wps">
          <w:drawing>
            <wp:anchor distT="0" distB="0" distL="114300" distR="114300" simplePos="0" relativeHeight="251660288" behindDoc="0" locked="0" layoutInCell="0" allowOverlap="0" wp14:anchorId="79EDB206" wp14:editId="2ED38D9C">
              <wp:simplePos x="0" y="0"/>
              <wp:positionH relativeFrom="page">
                <wp:posOffset>9721215</wp:posOffset>
              </wp:positionH>
              <wp:positionV relativeFrom="page">
                <wp:posOffset>3564255</wp:posOffset>
              </wp:positionV>
              <wp:extent cx="168275"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32A" w:rsidRDefault="004D232A"/>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3.25pt;height:22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DLfAIAAAkFAAAOAAAAZHJzL2Uyb0RvYy54bWysVNtu2zAMfR+wfxD0nvoC52IjTtGk8zCg&#10;uwDtPkCx5FiYLGmSErsY9u+j5DhtdwGGYX6QaYs6PCQPtb4eOoFOzFiuZImTqxgjJmtFuTyU+PND&#10;NVthZB2RlAglWYkfmcXXm9ev1r0uWKpaJSgzCECkLXpd4tY5XUSRrVvWEXulNJOw2SjTEQef5hBR&#10;Q3pA70SUxvEi6pWh2qiaWQt/b8dNvAn4TcNq97FpLHNIlBi4ubCasO79Gm3WpDgYolten2mQf2DR&#10;ES4h6AXqljiCjob/AtXx2iirGndVqy5STcNrFnKAbJL4p2zuW6JZyAWKY/WlTPb/wdYfTp8M4rTE&#10;KUaSdNCiBzY4tFUDSuJ46QvUa1uA370GTzfADjQ6JGv1naq/WCTVriXywG6MUX3LCAWCiT8ZPTs6&#10;4lgPsu/fKwqRyNGpADQ0pvPVg3ogQIdGPV6a49nUPuRilS7nGNWwla6W+TKdhxCkmE5rY91bpjrk&#10;jRIbaH5AJ6c76zwbUkwuPphVgtOKCxE+zGG/EwadCAilCs8Z/YWbkN5ZKn9sRBz/AEmI4fc83dD4&#10;b3mSZvE2zWfVYrWcZVU2n+XLeDWLk3ybL+Isz26r755gkhUtp5TJOy7ZJMIk+7smn8dhlE+QIepL&#10;nM+hOiGvPyYZh+d3SXbcwUwK3pV4dXEihW/sG0khbVI4wsVoRy/phypDDaZ3qEqQge/8qAE37Icg&#10;uaARL5G9oo+gC6OgbdB8uE/A8CtGPcxmie3XIzEMI/FOgrb8IE+GmYz9ZBBZtwpGHA6P5s6NA3/U&#10;hh9aQJ7UewP6q3iQxhOLs2ph3kIO57vBD/Tz7+D1dINtfgAAAP//AwBQSwMEFAAGAAgAAAAhABON&#10;0ADkAAAADgEAAA8AAABkcnMvZG93bnJldi54bWxMjz1PwzAQhnck/oN1SGzUCY1LCHGqig+JhYEC&#10;Q7dLfCSB2E5iNw399bgTbPfqHr33XL6edccmGl1rjYR4EQEjU1nVmlrC+9vTVQrMeTQKO2tIwg85&#10;WBfnZzlmyh7MK01bX7NQYlyGEhrv+4xzVzWk0S1sTybsPu2o0Yc41lyNeAjluuPXUbTiGlsTLjTY&#10;031D1fd2ryXYRzxO5ZA8bMTw8vGVPu+q47CT8vJi3twB8zT7PxhO+kEdiuBU2r1RjnUhi2V0G1gJ&#10;YhUvgZ0QIW4SYGWYojhJgRc5//9G8QsAAP//AwBQSwECLQAUAAYACAAAACEAtoM4kv4AAADhAQAA&#10;EwAAAAAAAAAAAAAAAAAAAAAAW0NvbnRlbnRfVHlwZXNdLnhtbFBLAQItABQABgAIAAAAIQA4/SH/&#10;1gAAAJQBAAALAAAAAAAAAAAAAAAAAC8BAABfcmVscy8ucmVsc1BLAQItABQABgAIAAAAIQBp6jDL&#10;fAIAAAkFAAAOAAAAAAAAAAAAAAAAAC4CAABkcnMvZTJvRG9jLnhtbFBLAQItABQABgAIAAAAIQAT&#10;jdAA5AAAAA4BAAAPAAAAAAAAAAAAAAAAANYEAABkcnMvZG93bnJldi54bWxQSwUGAAAAAAQABADz&#10;AAAA5wUAAAAA&#10;" o:allowincell="f" o:allowoverlap="f" stroked="f">
              <v:textbox style="layout-flow:vertical;mso-fit-shape-to-text:t" inset="0,0,0,0">
                <w:txbxContent>
                  <w:p w:rsidR="004D232A" w:rsidRDefault="004D232A"/>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nsid w:val="1307381E"/>
    <w:multiLevelType w:val="hybridMultilevel"/>
    <w:tmpl w:val="395836BA"/>
    <w:lvl w:ilvl="0" w:tplc="D2BADD8A">
      <w:start w:val="1"/>
      <w:numFmt w:val="bullet"/>
      <w:lvlText w:val="•"/>
      <w:lvlJc w:val="left"/>
      <w:pPr>
        <w:tabs>
          <w:tab w:val="num" w:pos="360"/>
        </w:tabs>
        <w:ind w:left="360" w:hanging="360"/>
      </w:pPr>
      <w:rPr>
        <w:rFonts w:ascii="Arial" w:hAnsi="Arial" w:hint="default"/>
      </w:rPr>
    </w:lvl>
    <w:lvl w:ilvl="1" w:tplc="92E0366C" w:tentative="1">
      <w:start w:val="1"/>
      <w:numFmt w:val="bullet"/>
      <w:lvlText w:val="•"/>
      <w:lvlJc w:val="left"/>
      <w:pPr>
        <w:tabs>
          <w:tab w:val="num" w:pos="1080"/>
        </w:tabs>
        <w:ind w:left="1080" w:hanging="360"/>
      </w:pPr>
      <w:rPr>
        <w:rFonts w:ascii="Arial" w:hAnsi="Arial" w:hint="default"/>
      </w:rPr>
    </w:lvl>
    <w:lvl w:ilvl="2" w:tplc="17F0B38C" w:tentative="1">
      <w:start w:val="1"/>
      <w:numFmt w:val="bullet"/>
      <w:lvlText w:val="•"/>
      <w:lvlJc w:val="left"/>
      <w:pPr>
        <w:tabs>
          <w:tab w:val="num" w:pos="1800"/>
        </w:tabs>
        <w:ind w:left="1800" w:hanging="360"/>
      </w:pPr>
      <w:rPr>
        <w:rFonts w:ascii="Arial" w:hAnsi="Arial" w:hint="default"/>
      </w:rPr>
    </w:lvl>
    <w:lvl w:ilvl="3" w:tplc="767CFF14" w:tentative="1">
      <w:start w:val="1"/>
      <w:numFmt w:val="bullet"/>
      <w:lvlText w:val="•"/>
      <w:lvlJc w:val="left"/>
      <w:pPr>
        <w:tabs>
          <w:tab w:val="num" w:pos="2520"/>
        </w:tabs>
        <w:ind w:left="2520" w:hanging="360"/>
      </w:pPr>
      <w:rPr>
        <w:rFonts w:ascii="Arial" w:hAnsi="Arial" w:hint="default"/>
      </w:rPr>
    </w:lvl>
    <w:lvl w:ilvl="4" w:tplc="6B38A676" w:tentative="1">
      <w:start w:val="1"/>
      <w:numFmt w:val="bullet"/>
      <w:lvlText w:val="•"/>
      <w:lvlJc w:val="left"/>
      <w:pPr>
        <w:tabs>
          <w:tab w:val="num" w:pos="3240"/>
        </w:tabs>
        <w:ind w:left="3240" w:hanging="360"/>
      </w:pPr>
      <w:rPr>
        <w:rFonts w:ascii="Arial" w:hAnsi="Arial" w:hint="default"/>
      </w:rPr>
    </w:lvl>
    <w:lvl w:ilvl="5" w:tplc="8E6431A0" w:tentative="1">
      <w:start w:val="1"/>
      <w:numFmt w:val="bullet"/>
      <w:lvlText w:val="•"/>
      <w:lvlJc w:val="left"/>
      <w:pPr>
        <w:tabs>
          <w:tab w:val="num" w:pos="3960"/>
        </w:tabs>
        <w:ind w:left="3960" w:hanging="360"/>
      </w:pPr>
      <w:rPr>
        <w:rFonts w:ascii="Arial" w:hAnsi="Arial" w:hint="default"/>
      </w:rPr>
    </w:lvl>
    <w:lvl w:ilvl="6" w:tplc="12440CA0" w:tentative="1">
      <w:start w:val="1"/>
      <w:numFmt w:val="bullet"/>
      <w:lvlText w:val="•"/>
      <w:lvlJc w:val="left"/>
      <w:pPr>
        <w:tabs>
          <w:tab w:val="num" w:pos="4680"/>
        </w:tabs>
        <w:ind w:left="4680" w:hanging="360"/>
      </w:pPr>
      <w:rPr>
        <w:rFonts w:ascii="Arial" w:hAnsi="Arial" w:hint="default"/>
      </w:rPr>
    </w:lvl>
    <w:lvl w:ilvl="7" w:tplc="9FE828D8" w:tentative="1">
      <w:start w:val="1"/>
      <w:numFmt w:val="bullet"/>
      <w:lvlText w:val="•"/>
      <w:lvlJc w:val="left"/>
      <w:pPr>
        <w:tabs>
          <w:tab w:val="num" w:pos="5400"/>
        </w:tabs>
        <w:ind w:left="5400" w:hanging="360"/>
      </w:pPr>
      <w:rPr>
        <w:rFonts w:ascii="Arial" w:hAnsi="Arial" w:hint="default"/>
      </w:rPr>
    </w:lvl>
    <w:lvl w:ilvl="8" w:tplc="45DC81A4" w:tentative="1">
      <w:start w:val="1"/>
      <w:numFmt w:val="bullet"/>
      <w:lvlText w:val="•"/>
      <w:lvlJc w:val="left"/>
      <w:pPr>
        <w:tabs>
          <w:tab w:val="num" w:pos="6120"/>
        </w:tabs>
        <w:ind w:left="6120" w:hanging="360"/>
      </w:pPr>
      <w:rPr>
        <w:rFonts w:ascii="Arial" w:hAnsi="Arial" w:hint="default"/>
      </w:rPr>
    </w:lvl>
  </w:abstractNum>
  <w:abstractNum w:abstractNumId="5">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7">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8">
    <w:nsid w:val="277F661F"/>
    <w:multiLevelType w:val="hybridMultilevel"/>
    <w:tmpl w:val="A8C87EAE"/>
    <w:lvl w:ilvl="0" w:tplc="1E82D21A">
      <w:start w:val="1"/>
      <w:numFmt w:val="decimal"/>
      <w:lvlText w:val="%1."/>
      <w:lvlJc w:val="left"/>
      <w:pPr>
        <w:ind w:left="855" w:hanging="4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0">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C5F6238"/>
    <w:multiLevelType w:val="hybridMultilevel"/>
    <w:tmpl w:val="82B01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4">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5">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16">
    <w:nsid w:val="47AB2A72"/>
    <w:multiLevelType w:val="hybridMultilevel"/>
    <w:tmpl w:val="36C6D0E6"/>
    <w:lvl w:ilvl="0" w:tplc="9ED4C2E0">
      <w:start w:val="1"/>
      <w:numFmt w:val="bullet"/>
      <w:lvlText w:val="•"/>
      <w:lvlJc w:val="left"/>
      <w:pPr>
        <w:tabs>
          <w:tab w:val="num" w:pos="360"/>
        </w:tabs>
        <w:ind w:left="360" w:hanging="360"/>
      </w:pPr>
      <w:rPr>
        <w:rFonts w:ascii="Arial" w:hAnsi="Arial" w:hint="default"/>
      </w:rPr>
    </w:lvl>
    <w:lvl w:ilvl="1" w:tplc="A022DFEA" w:tentative="1">
      <w:start w:val="1"/>
      <w:numFmt w:val="bullet"/>
      <w:lvlText w:val="•"/>
      <w:lvlJc w:val="left"/>
      <w:pPr>
        <w:tabs>
          <w:tab w:val="num" w:pos="1080"/>
        </w:tabs>
        <w:ind w:left="1080" w:hanging="360"/>
      </w:pPr>
      <w:rPr>
        <w:rFonts w:ascii="Arial" w:hAnsi="Arial" w:hint="default"/>
      </w:rPr>
    </w:lvl>
    <w:lvl w:ilvl="2" w:tplc="B5983FF6" w:tentative="1">
      <w:start w:val="1"/>
      <w:numFmt w:val="bullet"/>
      <w:lvlText w:val="•"/>
      <w:lvlJc w:val="left"/>
      <w:pPr>
        <w:tabs>
          <w:tab w:val="num" w:pos="1800"/>
        </w:tabs>
        <w:ind w:left="1800" w:hanging="360"/>
      </w:pPr>
      <w:rPr>
        <w:rFonts w:ascii="Arial" w:hAnsi="Arial" w:hint="default"/>
      </w:rPr>
    </w:lvl>
    <w:lvl w:ilvl="3" w:tplc="2C6A6004" w:tentative="1">
      <w:start w:val="1"/>
      <w:numFmt w:val="bullet"/>
      <w:lvlText w:val="•"/>
      <w:lvlJc w:val="left"/>
      <w:pPr>
        <w:tabs>
          <w:tab w:val="num" w:pos="2520"/>
        </w:tabs>
        <w:ind w:left="2520" w:hanging="360"/>
      </w:pPr>
      <w:rPr>
        <w:rFonts w:ascii="Arial" w:hAnsi="Arial" w:hint="default"/>
      </w:rPr>
    </w:lvl>
    <w:lvl w:ilvl="4" w:tplc="12D017A2" w:tentative="1">
      <w:start w:val="1"/>
      <w:numFmt w:val="bullet"/>
      <w:lvlText w:val="•"/>
      <w:lvlJc w:val="left"/>
      <w:pPr>
        <w:tabs>
          <w:tab w:val="num" w:pos="3240"/>
        </w:tabs>
        <w:ind w:left="3240" w:hanging="360"/>
      </w:pPr>
      <w:rPr>
        <w:rFonts w:ascii="Arial" w:hAnsi="Arial" w:hint="default"/>
      </w:rPr>
    </w:lvl>
    <w:lvl w:ilvl="5" w:tplc="2300020C" w:tentative="1">
      <w:start w:val="1"/>
      <w:numFmt w:val="bullet"/>
      <w:lvlText w:val="•"/>
      <w:lvlJc w:val="left"/>
      <w:pPr>
        <w:tabs>
          <w:tab w:val="num" w:pos="3960"/>
        </w:tabs>
        <w:ind w:left="3960" w:hanging="360"/>
      </w:pPr>
      <w:rPr>
        <w:rFonts w:ascii="Arial" w:hAnsi="Arial" w:hint="default"/>
      </w:rPr>
    </w:lvl>
    <w:lvl w:ilvl="6" w:tplc="C4904DFA" w:tentative="1">
      <w:start w:val="1"/>
      <w:numFmt w:val="bullet"/>
      <w:lvlText w:val="•"/>
      <w:lvlJc w:val="left"/>
      <w:pPr>
        <w:tabs>
          <w:tab w:val="num" w:pos="4680"/>
        </w:tabs>
        <w:ind w:left="4680" w:hanging="360"/>
      </w:pPr>
      <w:rPr>
        <w:rFonts w:ascii="Arial" w:hAnsi="Arial" w:hint="default"/>
      </w:rPr>
    </w:lvl>
    <w:lvl w:ilvl="7" w:tplc="D340B5AE" w:tentative="1">
      <w:start w:val="1"/>
      <w:numFmt w:val="bullet"/>
      <w:lvlText w:val="•"/>
      <w:lvlJc w:val="left"/>
      <w:pPr>
        <w:tabs>
          <w:tab w:val="num" w:pos="5400"/>
        </w:tabs>
        <w:ind w:left="5400" w:hanging="360"/>
      </w:pPr>
      <w:rPr>
        <w:rFonts w:ascii="Arial" w:hAnsi="Arial" w:hint="default"/>
      </w:rPr>
    </w:lvl>
    <w:lvl w:ilvl="8" w:tplc="63F2A69C" w:tentative="1">
      <w:start w:val="1"/>
      <w:numFmt w:val="bullet"/>
      <w:lvlText w:val="•"/>
      <w:lvlJc w:val="left"/>
      <w:pPr>
        <w:tabs>
          <w:tab w:val="num" w:pos="6120"/>
        </w:tabs>
        <w:ind w:left="6120" w:hanging="360"/>
      </w:pPr>
      <w:rPr>
        <w:rFonts w:ascii="Arial" w:hAnsi="Arial" w:hint="default"/>
      </w:rPr>
    </w:lvl>
  </w:abstractNum>
  <w:abstractNum w:abstractNumId="17">
    <w:nsid w:val="4CD67288"/>
    <w:multiLevelType w:val="hybridMultilevel"/>
    <w:tmpl w:val="30208E30"/>
    <w:lvl w:ilvl="0" w:tplc="6B787768">
      <w:start w:val="1"/>
      <w:numFmt w:val="bullet"/>
      <w:lvlText w:val="•"/>
      <w:lvlJc w:val="left"/>
      <w:pPr>
        <w:tabs>
          <w:tab w:val="num" w:pos="360"/>
        </w:tabs>
        <w:ind w:left="360" w:hanging="360"/>
      </w:pPr>
      <w:rPr>
        <w:rFonts w:ascii="Arial" w:hAnsi="Arial" w:hint="default"/>
      </w:rPr>
    </w:lvl>
    <w:lvl w:ilvl="1" w:tplc="75E68B18" w:tentative="1">
      <w:start w:val="1"/>
      <w:numFmt w:val="bullet"/>
      <w:lvlText w:val="•"/>
      <w:lvlJc w:val="left"/>
      <w:pPr>
        <w:tabs>
          <w:tab w:val="num" w:pos="1080"/>
        </w:tabs>
        <w:ind w:left="1080" w:hanging="360"/>
      </w:pPr>
      <w:rPr>
        <w:rFonts w:ascii="Arial" w:hAnsi="Arial" w:hint="default"/>
      </w:rPr>
    </w:lvl>
    <w:lvl w:ilvl="2" w:tplc="C20857C4" w:tentative="1">
      <w:start w:val="1"/>
      <w:numFmt w:val="bullet"/>
      <w:lvlText w:val="•"/>
      <w:lvlJc w:val="left"/>
      <w:pPr>
        <w:tabs>
          <w:tab w:val="num" w:pos="1800"/>
        </w:tabs>
        <w:ind w:left="1800" w:hanging="360"/>
      </w:pPr>
      <w:rPr>
        <w:rFonts w:ascii="Arial" w:hAnsi="Arial" w:hint="default"/>
      </w:rPr>
    </w:lvl>
    <w:lvl w:ilvl="3" w:tplc="77B86452" w:tentative="1">
      <w:start w:val="1"/>
      <w:numFmt w:val="bullet"/>
      <w:lvlText w:val="•"/>
      <w:lvlJc w:val="left"/>
      <w:pPr>
        <w:tabs>
          <w:tab w:val="num" w:pos="2520"/>
        </w:tabs>
        <w:ind w:left="2520" w:hanging="360"/>
      </w:pPr>
      <w:rPr>
        <w:rFonts w:ascii="Arial" w:hAnsi="Arial" w:hint="default"/>
      </w:rPr>
    </w:lvl>
    <w:lvl w:ilvl="4" w:tplc="205853EA" w:tentative="1">
      <w:start w:val="1"/>
      <w:numFmt w:val="bullet"/>
      <w:lvlText w:val="•"/>
      <w:lvlJc w:val="left"/>
      <w:pPr>
        <w:tabs>
          <w:tab w:val="num" w:pos="3240"/>
        </w:tabs>
        <w:ind w:left="3240" w:hanging="360"/>
      </w:pPr>
      <w:rPr>
        <w:rFonts w:ascii="Arial" w:hAnsi="Arial" w:hint="default"/>
      </w:rPr>
    </w:lvl>
    <w:lvl w:ilvl="5" w:tplc="B2E20ACC" w:tentative="1">
      <w:start w:val="1"/>
      <w:numFmt w:val="bullet"/>
      <w:lvlText w:val="•"/>
      <w:lvlJc w:val="left"/>
      <w:pPr>
        <w:tabs>
          <w:tab w:val="num" w:pos="3960"/>
        </w:tabs>
        <w:ind w:left="3960" w:hanging="360"/>
      </w:pPr>
      <w:rPr>
        <w:rFonts w:ascii="Arial" w:hAnsi="Arial" w:hint="default"/>
      </w:rPr>
    </w:lvl>
    <w:lvl w:ilvl="6" w:tplc="83607426" w:tentative="1">
      <w:start w:val="1"/>
      <w:numFmt w:val="bullet"/>
      <w:lvlText w:val="•"/>
      <w:lvlJc w:val="left"/>
      <w:pPr>
        <w:tabs>
          <w:tab w:val="num" w:pos="4680"/>
        </w:tabs>
        <w:ind w:left="4680" w:hanging="360"/>
      </w:pPr>
      <w:rPr>
        <w:rFonts w:ascii="Arial" w:hAnsi="Arial" w:hint="default"/>
      </w:rPr>
    </w:lvl>
    <w:lvl w:ilvl="7" w:tplc="473C24BA" w:tentative="1">
      <w:start w:val="1"/>
      <w:numFmt w:val="bullet"/>
      <w:lvlText w:val="•"/>
      <w:lvlJc w:val="left"/>
      <w:pPr>
        <w:tabs>
          <w:tab w:val="num" w:pos="5400"/>
        </w:tabs>
        <w:ind w:left="5400" w:hanging="360"/>
      </w:pPr>
      <w:rPr>
        <w:rFonts w:ascii="Arial" w:hAnsi="Arial" w:hint="default"/>
      </w:rPr>
    </w:lvl>
    <w:lvl w:ilvl="8" w:tplc="4A8AF492" w:tentative="1">
      <w:start w:val="1"/>
      <w:numFmt w:val="bullet"/>
      <w:lvlText w:val="•"/>
      <w:lvlJc w:val="left"/>
      <w:pPr>
        <w:tabs>
          <w:tab w:val="num" w:pos="6120"/>
        </w:tabs>
        <w:ind w:left="6120" w:hanging="360"/>
      </w:pPr>
      <w:rPr>
        <w:rFonts w:ascii="Arial" w:hAnsi="Arial" w:hint="default"/>
      </w:rPr>
    </w:lvl>
  </w:abstractNum>
  <w:abstractNum w:abstractNumId="18">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19">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0">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1">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22">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23">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4">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25">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26">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28">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29">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30">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num w:numId="1">
    <w:abstractNumId w:val="23"/>
  </w:num>
  <w:num w:numId="2">
    <w:abstractNumId w:val="7"/>
  </w:num>
  <w:num w:numId="3">
    <w:abstractNumId w:val="29"/>
  </w:num>
  <w:num w:numId="4">
    <w:abstractNumId w:val="13"/>
  </w:num>
  <w:num w:numId="5">
    <w:abstractNumId w:val="20"/>
  </w:num>
  <w:num w:numId="6">
    <w:abstractNumId w:val="21"/>
  </w:num>
  <w:num w:numId="7">
    <w:abstractNumId w:val="18"/>
  </w:num>
  <w:num w:numId="8">
    <w:abstractNumId w:val="3"/>
  </w:num>
  <w:num w:numId="9">
    <w:abstractNumId w:val="0"/>
  </w:num>
  <w:num w:numId="10">
    <w:abstractNumId w:val="5"/>
  </w:num>
  <w:num w:numId="11">
    <w:abstractNumId w:val="14"/>
  </w:num>
  <w:num w:numId="12">
    <w:abstractNumId w:val="24"/>
  </w:num>
  <w:num w:numId="13">
    <w:abstractNumId w:val="10"/>
  </w:num>
  <w:num w:numId="14">
    <w:abstractNumId w:val="28"/>
  </w:num>
  <w:num w:numId="15">
    <w:abstractNumId w:val="19"/>
  </w:num>
  <w:num w:numId="16">
    <w:abstractNumId w:val="25"/>
  </w:num>
  <w:num w:numId="17">
    <w:abstractNumId w:val="27"/>
  </w:num>
  <w:num w:numId="18">
    <w:abstractNumId w:val="22"/>
  </w:num>
  <w:num w:numId="19">
    <w:abstractNumId w:val="15"/>
  </w:num>
  <w:num w:numId="20">
    <w:abstractNumId w:val="9"/>
  </w:num>
  <w:num w:numId="21">
    <w:abstractNumId w:val="2"/>
  </w:num>
  <w:num w:numId="22">
    <w:abstractNumId w:val="30"/>
  </w:num>
  <w:num w:numId="23">
    <w:abstractNumId w:val="12"/>
  </w:num>
  <w:num w:numId="24">
    <w:abstractNumId w:val="26"/>
  </w:num>
  <w:num w:numId="25">
    <w:abstractNumId w:val="1"/>
  </w:num>
  <w:num w:numId="26">
    <w:abstractNumId w:val="6"/>
  </w:num>
  <w:num w:numId="27">
    <w:abstractNumId w:val="17"/>
  </w:num>
  <w:num w:numId="28">
    <w:abstractNumId w:val="4"/>
  </w:num>
  <w:num w:numId="29">
    <w:abstractNumId w:val="16"/>
  </w:num>
  <w:num w:numId="30">
    <w:abstractNumId w:val="1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32A"/>
    <w:rsid w:val="004130E8"/>
    <w:rsid w:val="004D232A"/>
    <w:rsid w:val="005B271C"/>
    <w:rsid w:val="00747A96"/>
    <w:rsid w:val="0075044B"/>
    <w:rsid w:val="007A3A47"/>
    <w:rsid w:val="009D13FE"/>
    <w:rsid w:val="00A7134A"/>
    <w:rsid w:val="00AE4968"/>
    <w:rsid w:val="00E409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table of figures"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4D232A"/>
    <w:pPr>
      <w:keepNext/>
      <w:numPr>
        <w:numId w:val="1"/>
      </w:numPr>
      <w:spacing w:before="720" w:after="60" w:line="400" w:lineRule="atLeast"/>
      <w:outlineLvl w:val="0"/>
    </w:pPr>
    <w:rPr>
      <w:rFonts w:ascii="Arial" w:eastAsia="Times New Roman" w:hAnsi="Arial" w:cs="Arial"/>
      <w:b/>
      <w:bCs/>
      <w:color w:val="00408A"/>
      <w:kern w:val="32"/>
      <w:sz w:val="30"/>
      <w:szCs w:val="30"/>
      <w:lang w:eastAsia="en-AU"/>
    </w:rPr>
  </w:style>
  <w:style w:type="paragraph" w:styleId="Heading2">
    <w:name w:val="heading 2"/>
    <w:basedOn w:val="Heading1"/>
    <w:next w:val="BodyText"/>
    <w:link w:val="Heading2Char"/>
    <w:qFormat/>
    <w:rsid w:val="004D232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232A"/>
    <w:pPr>
      <w:numPr>
        <w:ilvl w:val="2"/>
      </w:numPr>
      <w:spacing w:line="260" w:lineRule="atLeast"/>
      <w:outlineLvl w:val="2"/>
    </w:pPr>
    <w:rPr>
      <w:sz w:val="21"/>
      <w:szCs w:val="21"/>
    </w:rPr>
  </w:style>
  <w:style w:type="paragraph" w:styleId="Heading4">
    <w:name w:val="heading 4"/>
    <w:basedOn w:val="Heading3"/>
    <w:next w:val="BodyText"/>
    <w:link w:val="Heading4Char"/>
    <w:qFormat/>
    <w:rsid w:val="004D232A"/>
    <w:pPr>
      <w:numPr>
        <w:ilvl w:val="3"/>
      </w:numPr>
      <w:spacing w:before="360"/>
      <w:outlineLvl w:val="3"/>
    </w:pPr>
    <w:rPr>
      <w:b w:val="0"/>
      <w:sz w:val="22"/>
    </w:rPr>
  </w:style>
  <w:style w:type="paragraph" w:styleId="Heading5">
    <w:name w:val="heading 5"/>
    <w:basedOn w:val="BodyText"/>
    <w:next w:val="BodyText"/>
    <w:link w:val="Heading5Char"/>
    <w:qFormat/>
    <w:rsid w:val="004D232A"/>
    <w:pPr>
      <w:keepNext/>
      <w:numPr>
        <w:ilvl w:val="4"/>
        <w:numId w:val="1"/>
      </w:numPr>
      <w:spacing w:line="260" w:lineRule="atLeast"/>
      <w:outlineLvl w:val="4"/>
    </w:pPr>
    <w:rPr>
      <w:b/>
      <w:bCs/>
      <w:iCs/>
    </w:rPr>
  </w:style>
  <w:style w:type="paragraph" w:styleId="Heading6">
    <w:name w:val="heading 6"/>
    <w:basedOn w:val="Heading1"/>
    <w:next w:val="BodyText"/>
    <w:link w:val="Heading6Char"/>
    <w:qFormat/>
    <w:rsid w:val="004D232A"/>
    <w:pPr>
      <w:pageBreakBefore/>
      <w:numPr>
        <w:ilvl w:val="5"/>
      </w:numPr>
      <w:spacing w:before="0"/>
      <w:outlineLvl w:val="5"/>
    </w:pPr>
    <w:rPr>
      <w:bCs w:val="0"/>
    </w:rPr>
  </w:style>
  <w:style w:type="paragraph" w:styleId="Heading7">
    <w:name w:val="heading 7"/>
    <w:basedOn w:val="Heading2"/>
    <w:next w:val="BodyText"/>
    <w:link w:val="Heading7Char"/>
    <w:qFormat/>
    <w:rsid w:val="004D232A"/>
    <w:pPr>
      <w:numPr>
        <w:ilvl w:val="6"/>
      </w:numPr>
      <w:spacing w:line="260" w:lineRule="atLeast"/>
      <w:outlineLvl w:val="6"/>
    </w:pPr>
  </w:style>
  <w:style w:type="paragraph" w:styleId="Heading8">
    <w:name w:val="heading 8"/>
    <w:basedOn w:val="Heading3"/>
    <w:next w:val="BodyText"/>
    <w:link w:val="Heading8Char"/>
    <w:qFormat/>
    <w:rsid w:val="004D232A"/>
    <w:pPr>
      <w:numPr>
        <w:ilvl w:val="7"/>
      </w:numPr>
      <w:outlineLvl w:val="7"/>
    </w:pPr>
    <w:rPr>
      <w:sz w:val="22"/>
    </w:rPr>
  </w:style>
  <w:style w:type="paragraph" w:styleId="Heading9">
    <w:name w:val="heading 9"/>
    <w:basedOn w:val="Heading4"/>
    <w:next w:val="BodyText"/>
    <w:link w:val="Heading9Char"/>
    <w:qFormat/>
    <w:rsid w:val="004D232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232A"/>
    <w:rPr>
      <w:rFonts w:ascii="Arial" w:eastAsia="Times New Roman" w:hAnsi="Arial" w:cs="Arial"/>
      <w:b/>
      <w:bCs/>
      <w:color w:val="00408A"/>
      <w:kern w:val="32"/>
      <w:sz w:val="30"/>
      <w:szCs w:val="30"/>
      <w:lang w:eastAsia="en-AU"/>
    </w:rPr>
  </w:style>
  <w:style w:type="character" w:customStyle="1" w:styleId="Heading2Char">
    <w:name w:val="Heading 2 Char"/>
    <w:basedOn w:val="DefaultParagraphFont"/>
    <w:link w:val="Heading2"/>
    <w:rsid w:val="004D232A"/>
    <w:rPr>
      <w:rFonts w:ascii="Arial" w:eastAsia="Times New Roman" w:hAnsi="Arial" w:cs="Times New Roman"/>
      <w:b/>
      <w:color w:val="00408A"/>
      <w:kern w:val="28"/>
      <w:sz w:val="24"/>
      <w:szCs w:val="24"/>
      <w:lang w:eastAsia="en-AU"/>
    </w:rPr>
  </w:style>
  <w:style w:type="character" w:customStyle="1" w:styleId="Heading3Char">
    <w:name w:val="Heading 3 Char"/>
    <w:basedOn w:val="DefaultParagraphFont"/>
    <w:link w:val="Heading3"/>
    <w:rsid w:val="004D232A"/>
    <w:rPr>
      <w:rFonts w:ascii="Arial" w:eastAsia="Times New Roman" w:hAnsi="Arial" w:cs="Times New Roman"/>
      <w:b/>
      <w:color w:val="00408A"/>
      <w:kern w:val="28"/>
      <w:sz w:val="21"/>
      <w:szCs w:val="21"/>
      <w:lang w:eastAsia="en-AU"/>
    </w:rPr>
  </w:style>
  <w:style w:type="character" w:customStyle="1" w:styleId="Heading4Char">
    <w:name w:val="Heading 4 Char"/>
    <w:basedOn w:val="DefaultParagraphFont"/>
    <w:link w:val="Heading4"/>
    <w:rsid w:val="004D232A"/>
    <w:rPr>
      <w:rFonts w:ascii="Arial" w:eastAsia="Times New Roman" w:hAnsi="Arial" w:cs="Times New Roman"/>
      <w:color w:val="00408A"/>
      <w:kern w:val="28"/>
      <w:szCs w:val="21"/>
      <w:lang w:eastAsia="en-AU"/>
    </w:rPr>
  </w:style>
  <w:style w:type="character" w:customStyle="1" w:styleId="Heading5Char">
    <w:name w:val="Heading 5 Char"/>
    <w:basedOn w:val="DefaultParagraphFont"/>
    <w:link w:val="Heading5"/>
    <w:rsid w:val="004D232A"/>
    <w:rPr>
      <w:rFonts w:ascii="Book Antiqua" w:eastAsia="Times New Roman" w:hAnsi="Book Antiqua" w:cs="Times New Roman"/>
      <w:b/>
      <w:bCs/>
      <w:iCs/>
      <w:szCs w:val="21"/>
      <w:lang w:eastAsia="en-AU"/>
    </w:rPr>
  </w:style>
  <w:style w:type="character" w:customStyle="1" w:styleId="Heading6Char">
    <w:name w:val="Heading 6 Char"/>
    <w:basedOn w:val="DefaultParagraphFont"/>
    <w:link w:val="Heading6"/>
    <w:rsid w:val="004D232A"/>
    <w:rPr>
      <w:rFonts w:ascii="Arial" w:eastAsia="Times New Roman" w:hAnsi="Arial" w:cs="Arial"/>
      <w:b/>
      <w:color w:val="00408A"/>
      <w:kern w:val="32"/>
      <w:sz w:val="30"/>
      <w:szCs w:val="30"/>
      <w:lang w:eastAsia="en-AU"/>
    </w:rPr>
  </w:style>
  <w:style w:type="character" w:customStyle="1" w:styleId="Heading7Char">
    <w:name w:val="Heading 7 Char"/>
    <w:basedOn w:val="DefaultParagraphFont"/>
    <w:link w:val="Heading7"/>
    <w:rsid w:val="004D232A"/>
    <w:rPr>
      <w:rFonts w:ascii="Arial" w:eastAsia="Times New Roman" w:hAnsi="Arial" w:cs="Times New Roman"/>
      <w:b/>
      <w:color w:val="00408A"/>
      <w:kern w:val="28"/>
      <w:sz w:val="24"/>
      <w:szCs w:val="24"/>
      <w:lang w:eastAsia="en-AU"/>
    </w:rPr>
  </w:style>
  <w:style w:type="character" w:customStyle="1" w:styleId="Heading8Char">
    <w:name w:val="Heading 8 Char"/>
    <w:basedOn w:val="DefaultParagraphFont"/>
    <w:link w:val="Heading8"/>
    <w:rsid w:val="004D232A"/>
    <w:rPr>
      <w:rFonts w:ascii="Arial" w:eastAsia="Times New Roman" w:hAnsi="Arial" w:cs="Times New Roman"/>
      <w:b/>
      <w:color w:val="00408A"/>
      <w:kern w:val="28"/>
      <w:szCs w:val="21"/>
      <w:lang w:eastAsia="en-AU"/>
    </w:rPr>
  </w:style>
  <w:style w:type="character" w:customStyle="1" w:styleId="Heading9Char">
    <w:name w:val="Heading 9 Char"/>
    <w:basedOn w:val="DefaultParagraphFont"/>
    <w:link w:val="Heading9"/>
    <w:rsid w:val="004D232A"/>
    <w:rPr>
      <w:rFonts w:ascii="Arial" w:eastAsia="Times New Roman" w:hAnsi="Arial" w:cs="Times New Roman"/>
      <w:color w:val="00408A"/>
      <w:kern w:val="28"/>
      <w:szCs w:val="21"/>
      <w:lang w:eastAsia="en-AU"/>
    </w:rPr>
  </w:style>
  <w:style w:type="numbering" w:customStyle="1" w:styleId="NoList1">
    <w:name w:val="No List1"/>
    <w:next w:val="NoList"/>
    <w:uiPriority w:val="99"/>
    <w:semiHidden/>
    <w:unhideWhenUsed/>
    <w:rsid w:val="004D232A"/>
  </w:style>
  <w:style w:type="paragraph" w:styleId="BodyText">
    <w:name w:val="Body Text"/>
    <w:basedOn w:val="Normal"/>
    <w:link w:val="BodyTextChar"/>
    <w:qFormat/>
    <w:rsid w:val="004D232A"/>
    <w:pPr>
      <w:spacing w:before="240" w:after="0" w:line="280" w:lineRule="atLeast"/>
      <w:jc w:val="both"/>
    </w:pPr>
    <w:rPr>
      <w:rFonts w:ascii="Book Antiqua" w:eastAsia="Times New Roman" w:hAnsi="Book Antiqua" w:cs="Times New Roman"/>
      <w:szCs w:val="21"/>
      <w:lang w:eastAsia="en-AU"/>
    </w:rPr>
  </w:style>
  <w:style w:type="character" w:customStyle="1" w:styleId="BodyTextChar">
    <w:name w:val="Body Text Char"/>
    <w:basedOn w:val="DefaultParagraphFont"/>
    <w:link w:val="BodyText"/>
    <w:rsid w:val="004D232A"/>
    <w:rPr>
      <w:rFonts w:ascii="Book Antiqua" w:eastAsia="Times New Roman" w:hAnsi="Book Antiqua" w:cs="Times New Roman"/>
      <w:szCs w:val="21"/>
      <w:lang w:eastAsia="en-AU"/>
    </w:rPr>
  </w:style>
  <w:style w:type="paragraph" w:styleId="Header">
    <w:name w:val="header"/>
    <w:basedOn w:val="TOC2"/>
    <w:link w:val="HeaderChar"/>
    <w:semiHidden/>
    <w:rsid w:val="004D232A"/>
    <w:pPr>
      <w:tabs>
        <w:tab w:val="clear" w:pos="907"/>
        <w:tab w:val="clear" w:pos="7938"/>
      </w:tabs>
      <w:spacing w:before="40" w:after="40"/>
      <w:ind w:left="0" w:right="0" w:firstLine="0"/>
    </w:pPr>
    <w:rPr>
      <w:sz w:val="18"/>
      <w:szCs w:val="18"/>
    </w:rPr>
  </w:style>
  <w:style w:type="character" w:customStyle="1" w:styleId="HeaderChar">
    <w:name w:val="Header Char"/>
    <w:basedOn w:val="DefaultParagraphFont"/>
    <w:link w:val="Header"/>
    <w:semiHidden/>
    <w:rsid w:val="004D232A"/>
    <w:rPr>
      <w:rFonts w:ascii="Arial" w:eastAsia="Times New Roman" w:hAnsi="Arial" w:cs="Times New Roman"/>
      <w:sz w:val="18"/>
      <w:szCs w:val="18"/>
      <w:lang w:eastAsia="en-AU"/>
    </w:rPr>
  </w:style>
  <w:style w:type="paragraph" w:styleId="Footer">
    <w:name w:val="footer"/>
    <w:basedOn w:val="TOC2"/>
    <w:link w:val="FooterChar"/>
    <w:uiPriority w:val="99"/>
    <w:rsid w:val="004D232A"/>
    <w:pPr>
      <w:widowControl w:val="0"/>
      <w:tabs>
        <w:tab w:val="clear" w:pos="907"/>
        <w:tab w:val="clear" w:pos="7938"/>
      </w:tabs>
      <w:spacing w:before="40" w:after="40"/>
      <w:ind w:left="0" w:right="0" w:firstLine="0"/>
    </w:pPr>
    <w:rPr>
      <w:sz w:val="18"/>
      <w:szCs w:val="18"/>
    </w:rPr>
  </w:style>
  <w:style w:type="character" w:customStyle="1" w:styleId="FooterChar">
    <w:name w:val="Footer Char"/>
    <w:basedOn w:val="DefaultParagraphFont"/>
    <w:link w:val="Footer"/>
    <w:uiPriority w:val="99"/>
    <w:rsid w:val="004D232A"/>
    <w:rPr>
      <w:rFonts w:ascii="Arial" w:eastAsia="Times New Roman" w:hAnsi="Arial" w:cs="Times New Roman"/>
      <w:sz w:val="18"/>
      <w:szCs w:val="18"/>
      <w:lang w:eastAsia="en-AU"/>
    </w:rPr>
  </w:style>
  <w:style w:type="paragraph" w:styleId="Subtitle">
    <w:name w:val="Subtitle"/>
    <w:basedOn w:val="Title"/>
    <w:link w:val="SubtitleChar"/>
    <w:qFormat/>
    <w:rsid w:val="004D232A"/>
    <w:pPr>
      <w:spacing w:before="120" w:line="400" w:lineRule="atLeast"/>
    </w:pPr>
    <w:rPr>
      <w:sz w:val="30"/>
      <w:szCs w:val="30"/>
    </w:rPr>
  </w:style>
  <w:style w:type="character" w:customStyle="1" w:styleId="SubtitleChar">
    <w:name w:val="Subtitle Char"/>
    <w:basedOn w:val="DefaultParagraphFont"/>
    <w:link w:val="Subtitle"/>
    <w:rsid w:val="004D232A"/>
    <w:rPr>
      <w:rFonts w:ascii="Arial" w:eastAsia="Times New Roman" w:hAnsi="Arial" w:cs="Arial"/>
      <w:b/>
      <w:bCs/>
      <w:color w:val="00408A"/>
      <w:kern w:val="28"/>
      <w:sz w:val="30"/>
      <w:szCs w:val="30"/>
      <w:lang w:eastAsia="en-AU"/>
    </w:rPr>
  </w:style>
  <w:style w:type="paragraph" w:styleId="Title">
    <w:name w:val="Title"/>
    <w:basedOn w:val="Normal"/>
    <w:next w:val="Subtitle"/>
    <w:link w:val="TitleChar"/>
    <w:qFormat/>
    <w:rsid w:val="004D232A"/>
    <w:pPr>
      <w:spacing w:before="2722" w:after="0" w:line="520" w:lineRule="atLeast"/>
    </w:pPr>
    <w:rPr>
      <w:rFonts w:ascii="Arial" w:eastAsia="Times New Roman" w:hAnsi="Arial" w:cs="Arial"/>
      <w:b/>
      <w:bCs/>
      <w:color w:val="00408A"/>
      <w:kern w:val="28"/>
      <w:sz w:val="44"/>
      <w:szCs w:val="44"/>
      <w:lang w:eastAsia="en-AU"/>
    </w:rPr>
  </w:style>
  <w:style w:type="character" w:customStyle="1" w:styleId="TitleChar">
    <w:name w:val="Title Char"/>
    <w:basedOn w:val="DefaultParagraphFont"/>
    <w:link w:val="Title"/>
    <w:rsid w:val="004D232A"/>
    <w:rPr>
      <w:rFonts w:ascii="Arial" w:eastAsia="Times New Roman" w:hAnsi="Arial" w:cs="Arial"/>
      <w:b/>
      <w:bCs/>
      <w:color w:val="00408A"/>
      <w:kern w:val="28"/>
      <w:sz w:val="44"/>
      <w:szCs w:val="44"/>
      <w:lang w:eastAsia="en-AU"/>
    </w:rPr>
  </w:style>
  <w:style w:type="paragraph" w:customStyle="1" w:styleId="Report">
    <w:name w:val="Report"/>
    <w:basedOn w:val="Normal"/>
    <w:semiHidden/>
    <w:rsid w:val="004D232A"/>
    <w:pPr>
      <w:spacing w:after="0" w:line="340" w:lineRule="atLeast"/>
    </w:pPr>
    <w:rPr>
      <w:rFonts w:ascii="Arial" w:eastAsia="Times New Roman" w:hAnsi="Arial" w:cs="Times New Roman"/>
      <w:b/>
      <w:color w:val="7C7C7C"/>
      <w:sz w:val="28"/>
      <w:szCs w:val="28"/>
      <w:lang w:eastAsia="en-AU"/>
    </w:rPr>
  </w:style>
  <w:style w:type="paragraph" w:styleId="Date">
    <w:name w:val="Date"/>
    <w:basedOn w:val="Report"/>
    <w:link w:val="DateChar"/>
    <w:semiHidden/>
    <w:rsid w:val="004D232A"/>
    <w:rPr>
      <w:b w:val="0"/>
    </w:rPr>
  </w:style>
  <w:style w:type="character" w:customStyle="1" w:styleId="DateChar">
    <w:name w:val="Date Char"/>
    <w:basedOn w:val="DefaultParagraphFont"/>
    <w:link w:val="Date"/>
    <w:semiHidden/>
    <w:rsid w:val="004D232A"/>
    <w:rPr>
      <w:rFonts w:ascii="Arial" w:eastAsia="Times New Roman" w:hAnsi="Arial" w:cs="Times New Roman"/>
      <w:color w:val="7C7C7C"/>
      <w:sz w:val="28"/>
      <w:szCs w:val="28"/>
      <w:lang w:eastAsia="en-AU"/>
    </w:rPr>
  </w:style>
  <w:style w:type="paragraph" w:customStyle="1" w:styleId="Reference">
    <w:name w:val="Reference"/>
    <w:basedOn w:val="BodyText"/>
    <w:rsid w:val="004D232A"/>
    <w:pPr>
      <w:spacing w:before="120" w:line="260" w:lineRule="atLeast"/>
      <w:ind w:left="284" w:hanging="284"/>
    </w:pPr>
    <w:rPr>
      <w:sz w:val="20"/>
    </w:rPr>
  </w:style>
  <w:style w:type="paragraph" w:styleId="FootnoteText">
    <w:name w:val="footnote text"/>
    <w:basedOn w:val="Normal"/>
    <w:link w:val="FootnoteTextChar"/>
    <w:uiPriority w:val="99"/>
    <w:rsid w:val="004D232A"/>
    <w:pPr>
      <w:keepLines/>
      <w:spacing w:after="0" w:line="200" w:lineRule="atLeast"/>
      <w:ind w:left="284" w:hanging="284"/>
      <w:jc w:val="both"/>
    </w:pPr>
    <w:rPr>
      <w:rFonts w:ascii="Book Antiqua" w:eastAsia="Times New Roman" w:hAnsi="Book Antiqua" w:cs="Times New Roman"/>
      <w:sz w:val="18"/>
      <w:szCs w:val="17"/>
      <w:lang w:eastAsia="en-AU"/>
    </w:rPr>
  </w:style>
  <w:style w:type="character" w:customStyle="1" w:styleId="FootnoteTextChar">
    <w:name w:val="Footnote Text Char"/>
    <w:basedOn w:val="DefaultParagraphFont"/>
    <w:link w:val="FootnoteText"/>
    <w:uiPriority w:val="99"/>
    <w:rsid w:val="004D232A"/>
    <w:rPr>
      <w:rFonts w:ascii="Book Antiqua" w:eastAsia="Times New Roman" w:hAnsi="Book Antiqua" w:cs="Times New Roman"/>
      <w:sz w:val="18"/>
      <w:szCs w:val="17"/>
      <w:lang w:eastAsia="en-AU"/>
    </w:rPr>
  </w:style>
  <w:style w:type="character" w:styleId="FootnoteReference">
    <w:name w:val="footnote reference"/>
    <w:basedOn w:val="DefaultParagraphFont"/>
    <w:uiPriority w:val="99"/>
    <w:rsid w:val="004D232A"/>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4D232A"/>
    <w:pPr>
      <w:pageBreakBefore/>
      <w:numPr>
        <w:numId w:val="0"/>
      </w:numPr>
    </w:pPr>
    <w:rPr>
      <w:rFonts w:cs="Times New Roman"/>
      <w:bCs w:val="0"/>
      <w:kern w:val="28"/>
    </w:rPr>
  </w:style>
  <w:style w:type="paragraph" w:customStyle="1" w:styleId="Heading2nonumber">
    <w:name w:val="Heading 2 (no number)"/>
    <w:basedOn w:val="Heading2"/>
    <w:next w:val="BodyText"/>
    <w:rsid w:val="004D232A"/>
    <w:pPr>
      <w:numPr>
        <w:ilvl w:val="0"/>
        <w:numId w:val="0"/>
      </w:numPr>
    </w:pPr>
  </w:style>
  <w:style w:type="paragraph" w:customStyle="1" w:styleId="Heading3nonumber">
    <w:name w:val="Heading 3 (no number)"/>
    <w:basedOn w:val="Heading3"/>
    <w:next w:val="BodyText"/>
    <w:rsid w:val="004D232A"/>
    <w:pPr>
      <w:numPr>
        <w:ilvl w:val="0"/>
        <w:numId w:val="0"/>
      </w:numPr>
    </w:pPr>
  </w:style>
  <w:style w:type="paragraph" w:customStyle="1" w:styleId="Heading8nonumber">
    <w:name w:val="Heading 8 (no number)"/>
    <w:basedOn w:val="Heading8"/>
    <w:next w:val="BodyText"/>
    <w:rsid w:val="004D232A"/>
    <w:pPr>
      <w:numPr>
        <w:ilvl w:val="0"/>
        <w:numId w:val="0"/>
      </w:numPr>
    </w:pPr>
  </w:style>
  <w:style w:type="paragraph" w:customStyle="1" w:styleId="Heading7nonumber">
    <w:name w:val="Heading 7 (no number)"/>
    <w:basedOn w:val="Heading7"/>
    <w:next w:val="BodyText"/>
    <w:rsid w:val="004D232A"/>
    <w:pPr>
      <w:numPr>
        <w:ilvl w:val="0"/>
        <w:numId w:val="0"/>
      </w:numPr>
    </w:pPr>
  </w:style>
  <w:style w:type="character" w:styleId="PageNumber">
    <w:name w:val="page number"/>
    <w:basedOn w:val="DefaultParagraphFont"/>
    <w:semiHidden/>
    <w:rsid w:val="004D232A"/>
    <w:rPr>
      <w:rFonts w:ascii="Arial" w:hAnsi="Arial"/>
      <w:b/>
      <w:spacing w:val="0"/>
      <w:position w:val="0"/>
      <w:sz w:val="18"/>
      <w:szCs w:val="15"/>
    </w:rPr>
  </w:style>
  <w:style w:type="paragraph" w:styleId="ListBullet">
    <w:name w:val="List Bullet"/>
    <w:basedOn w:val="BodyText"/>
    <w:link w:val="ListBulletChar"/>
    <w:rsid w:val="004D232A"/>
    <w:pPr>
      <w:keepLines/>
      <w:numPr>
        <w:numId w:val="4"/>
      </w:numPr>
      <w:spacing w:before="120"/>
    </w:pPr>
  </w:style>
  <w:style w:type="paragraph" w:styleId="ListBullet2">
    <w:name w:val="List Bullet 2"/>
    <w:basedOn w:val="ListBullet"/>
    <w:rsid w:val="004D232A"/>
    <w:pPr>
      <w:keepLines w:val="0"/>
      <w:numPr>
        <w:numId w:val="2"/>
      </w:numPr>
      <w:tabs>
        <w:tab w:val="left" w:pos="284"/>
      </w:tabs>
      <w:spacing w:before="60"/>
      <w:ind w:left="568" w:hanging="284"/>
    </w:pPr>
  </w:style>
  <w:style w:type="paragraph" w:styleId="ListNumber">
    <w:name w:val="List Number"/>
    <w:basedOn w:val="ListBullet"/>
    <w:rsid w:val="004D232A"/>
    <w:pPr>
      <w:numPr>
        <w:numId w:val="3"/>
      </w:numPr>
    </w:pPr>
  </w:style>
  <w:style w:type="paragraph" w:styleId="Quote">
    <w:name w:val="Quote"/>
    <w:basedOn w:val="BodyText"/>
    <w:next w:val="BodyText"/>
    <w:link w:val="QuoteChar"/>
    <w:qFormat/>
    <w:rsid w:val="004D232A"/>
    <w:pPr>
      <w:spacing w:before="120" w:line="260" w:lineRule="atLeast"/>
      <w:ind w:left="284"/>
    </w:pPr>
    <w:rPr>
      <w:sz w:val="20"/>
      <w:szCs w:val="19"/>
    </w:rPr>
  </w:style>
  <w:style w:type="character" w:customStyle="1" w:styleId="QuoteChar">
    <w:name w:val="Quote Char"/>
    <w:basedOn w:val="DefaultParagraphFont"/>
    <w:link w:val="Quote"/>
    <w:rsid w:val="004D232A"/>
    <w:rPr>
      <w:rFonts w:ascii="Book Antiqua" w:eastAsia="Times New Roman" w:hAnsi="Book Antiqua" w:cs="Times New Roman"/>
      <w:sz w:val="20"/>
      <w:szCs w:val="19"/>
      <w:lang w:eastAsia="en-AU"/>
    </w:rPr>
  </w:style>
  <w:style w:type="paragraph" w:customStyle="1" w:styleId="ChapterSummary">
    <w:name w:val="Chapter Summary"/>
    <w:basedOn w:val="Normal"/>
    <w:next w:val="BodyText"/>
    <w:semiHidden/>
    <w:rsid w:val="004D232A"/>
    <w:pPr>
      <w:spacing w:before="240" w:after="0" w:line="280" w:lineRule="atLeast"/>
      <w:jc w:val="both"/>
    </w:pPr>
    <w:rPr>
      <w:rFonts w:ascii="Arial" w:eastAsia="Times New Roman" w:hAnsi="Arial" w:cs="Times New Roman"/>
      <w:b/>
      <w:color w:val="666666"/>
      <w:sz w:val="21"/>
      <w:szCs w:val="21"/>
    </w:rPr>
  </w:style>
  <w:style w:type="paragraph" w:customStyle="1" w:styleId="BoxText">
    <w:name w:val="Box Text"/>
    <w:basedOn w:val="Normal"/>
    <w:rsid w:val="004D232A"/>
    <w:pPr>
      <w:spacing w:before="140" w:after="0" w:line="270" w:lineRule="atLeast"/>
      <w:jc w:val="both"/>
    </w:pPr>
    <w:rPr>
      <w:rFonts w:ascii="Arial" w:eastAsia="Times New Roman" w:hAnsi="Arial" w:cs="Times New Roman"/>
      <w:sz w:val="20"/>
      <w:szCs w:val="20"/>
      <w:lang w:eastAsia="en-AU"/>
    </w:rPr>
  </w:style>
  <w:style w:type="paragraph" w:styleId="Caption">
    <w:name w:val="caption"/>
    <w:basedOn w:val="Normal"/>
    <w:next w:val="Normal"/>
    <w:qFormat/>
    <w:rsid w:val="004D232A"/>
    <w:pPr>
      <w:spacing w:before="320" w:after="80" w:line="260" w:lineRule="atLeast"/>
      <w:ind w:left="1304" w:hanging="1304"/>
    </w:pPr>
    <w:rPr>
      <w:rFonts w:ascii="Arial" w:eastAsia="Times New Roman" w:hAnsi="Arial" w:cs="Times New Roman"/>
      <w:b/>
      <w:sz w:val="21"/>
      <w:szCs w:val="21"/>
      <w:lang w:eastAsia="en-AU"/>
    </w:rPr>
  </w:style>
  <w:style w:type="paragraph" w:customStyle="1" w:styleId="Invisiblepara">
    <w:name w:val="Invisible para"/>
    <w:basedOn w:val="BodyText"/>
    <w:next w:val="BodyText"/>
    <w:semiHidden/>
    <w:rsid w:val="004D232A"/>
    <w:pPr>
      <w:keepNext/>
      <w:spacing w:before="320" w:line="80" w:lineRule="exact"/>
    </w:pPr>
    <w:rPr>
      <w:szCs w:val="20"/>
    </w:rPr>
  </w:style>
  <w:style w:type="paragraph" w:customStyle="1" w:styleId="BoxNoteSource">
    <w:name w:val="Box Note/Source"/>
    <w:basedOn w:val="BoxText"/>
    <w:rsid w:val="004D232A"/>
    <w:pPr>
      <w:spacing w:before="280" w:line="200" w:lineRule="atLeast"/>
    </w:pPr>
    <w:rPr>
      <w:sz w:val="16"/>
      <w:szCs w:val="16"/>
    </w:rPr>
  </w:style>
  <w:style w:type="paragraph" w:customStyle="1" w:styleId="RecommendationNumber">
    <w:name w:val="Recommendation Number"/>
    <w:basedOn w:val="BodyText"/>
    <w:next w:val="BodyText"/>
    <w:rsid w:val="004D232A"/>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D232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D232A"/>
    <w:rPr>
      <w:rFonts w:ascii="Arial" w:eastAsia="Times New Roman" w:hAnsi="Arial" w:cs="Times New Roman"/>
      <w:sz w:val="16"/>
      <w:szCs w:val="16"/>
    </w:rPr>
  </w:style>
  <w:style w:type="character" w:customStyle="1" w:styleId="NoteLabel">
    <w:name w:val="Note Label"/>
    <w:basedOn w:val="DefaultParagraphFont"/>
    <w:rsid w:val="004D232A"/>
    <w:rPr>
      <w:rFonts w:ascii="Arial" w:hAnsi="Arial"/>
      <w:b/>
      <w:color w:val="auto"/>
      <w:spacing w:val="0"/>
      <w:position w:val="4"/>
      <w:sz w:val="16"/>
      <w:szCs w:val="16"/>
    </w:rPr>
  </w:style>
  <w:style w:type="paragraph" w:customStyle="1" w:styleId="Source">
    <w:name w:val="Source"/>
    <w:basedOn w:val="Normal"/>
    <w:next w:val="BodyText"/>
    <w:rsid w:val="004D232A"/>
    <w:pPr>
      <w:keepLines/>
      <w:spacing w:before="40" w:after="60" w:line="200" w:lineRule="atLeast"/>
    </w:pPr>
    <w:rPr>
      <w:rFonts w:ascii="Arial" w:eastAsia="Times New Roman" w:hAnsi="Arial" w:cs="Times New Roman"/>
      <w:sz w:val="16"/>
      <w:szCs w:val="16"/>
    </w:rPr>
  </w:style>
  <w:style w:type="character" w:customStyle="1" w:styleId="Subtitlebox">
    <w:name w:val="Subtitle box"/>
    <w:aliases w:val="chart &amp; table"/>
    <w:basedOn w:val="DefaultParagraphFont"/>
    <w:semiHidden/>
    <w:rsid w:val="004D232A"/>
    <w:rPr>
      <w:rFonts w:ascii="Arial" w:hAnsi="Arial"/>
      <w:b/>
      <w:sz w:val="19"/>
      <w:szCs w:val="19"/>
    </w:rPr>
  </w:style>
  <w:style w:type="paragraph" w:customStyle="1" w:styleId="Chart">
    <w:name w:val="Chart"/>
    <w:basedOn w:val="Normal"/>
    <w:semiHidden/>
    <w:rsid w:val="004D232A"/>
    <w:pPr>
      <w:spacing w:after="0" w:line="240" w:lineRule="auto"/>
      <w:jc w:val="center"/>
    </w:pPr>
    <w:rPr>
      <w:rFonts w:ascii="Arial" w:eastAsia="Times New Roman" w:hAnsi="Arial" w:cs="Times New Roman"/>
      <w:sz w:val="18"/>
      <w:szCs w:val="18"/>
      <w:lang w:eastAsia="en-AU"/>
    </w:rPr>
  </w:style>
  <w:style w:type="paragraph" w:customStyle="1" w:styleId="ChartListBullet">
    <w:name w:val="Chart List Bullet"/>
    <w:basedOn w:val="ChartText"/>
    <w:semiHidden/>
    <w:rsid w:val="004D232A"/>
    <w:pPr>
      <w:numPr>
        <w:numId w:val="24"/>
      </w:numPr>
      <w:spacing w:before="60"/>
    </w:pPr>
  </w:style>
  <w:style w:type="paragraph" w:customStyle="1" w:styleId="BoxListBullet2">
    <w:name w:val="Box List Bullet 2"/>
    <w:basedOn w:val="ListBullet2"/>
    <w:rsid w:val="004D232A"/>
    <w:pPr>
      <w:spacing w:before="40" w:line="270" w:lineRule="atLeast"/>
    </w:pPr>
    <w:rPr>
      <w:rFonts w:ascii="Arial" w:hAnsi="Arial"/>
      <w:sz w:val="20"/>
      <w:szCs w:val="20"/>
    </w:rPr>
  </w:style>
  <w:style w:type="paragraph" w:styleId="ListNumber2">
    <w:name w:val="List Number 2"/>
    <w:basedOn w:val="ListNumber"/>
    <w:rsid w:val="004D232A"/>
    <w:pPr>
      <w:numPr>
        <w:numId w:val="19"/>
      </w:numPr>
      <w:tabs>
        <w:tab w:val="clear" w:pos="567"/>
        <w:tab w:val="num" w:pos="360"/>
      </w:tabs>
      <w:spacing w:before="60"/>
      <w:ind w:left="283"/>
    </w:pPr>
  </w:style>
  <w:style w:type="paragraph" w:styleId="TOC5">
    <w:name w:val="toc 5"/>
    <w:basedOn w:val="TOC4"/>
    <w:next w:val="BodyText"/>
    <w:rsid w:val="004D232A"/>
    <w:pPr>
      <w:tabs>
        <w:tab w:val="clear" w:pos="425"/>
        <w:tab w:val="left" w:pos="709"/>
      </w:tabs>
      <w:spacing w:before="120"/>
      <w:ind w:left="709" w:hanging="284"/>
    </w:pPr>
  </w:style>
  <w:style w:type="paragraph" w:styleId="TOC4">
    <w:name w:val="toc 4"/>
    <w:basedOn w:val="TOC1"/>
    <w:next w:val="BodyText"/>
    <w:rsid w:val="004D232A"/>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4D232A"/>
    <w:pPr>
      <w:tabs>
        <w:tab w:val="left" w:pos="397"/>
        <w:tab w:val="right" w:pos="7938"/>
      </w:tabs>
      <w:spacing w:before="180" w:after="0" w:line="240" w:lineRule="atLeast"/>
      <w:ind w:left="397" w:right="284" w:hanging="397"/>
    </w:pPr>
    <w:rPr>
      <w:rFonts w:ascii="Arial" w:eastAsia="Times New Roman" w:hAnsi="Arial" w:cs="Times New Roman"/>
      <w:b/>
      <w:color w:val="00408A"/>
      <w:sz w:val="21"/>
      <w:szCs w:val="21"/>
      <w:lang w:eastAsia="en-AU"/>
    </w:rPr>
  </w:style>
  <w:style w:type="paragraph" w:styleId="TOC2">
    <w:name w:val="toc 2"/>
    <w:basedOn w:val="TOC1"/>
    <w:uiPriority w:val="39"/>
    <w:rsid w:val="004D232A"/>
    <w:pPr>
      <w:tabs>
        <w:tab w:val="clear" w:pos="397"/>
        <w:tab w:val="left" w:pos="907"/>
      </w:tabs>
      <w:spacing w:before="60"/>
      <w:ind w:left="907" w:hanging="510"/>
    </w:pPr>
    <w:rPr>
      <w:b w:val="0"/>
      <w:color w:val="auto"/>
    </w:rPr>
  </w:style>
  <w:style w:type="character" w:styleId="Hyperlink">
    <w:name w:val="Hyperlink"/>
    <w:basedOn w:val="DefaultParagraphFont"/>
    <w:rsid w:val="004D232A"/>
    <w:rPr>
      <w:color w:val="00408A"/>
      <w:u w:val="none"/>
    </w:rPr>
  </w:style>
  <w:style w:type="paragraph" w:customStyle="1" w:styleId="TableDataColumnHeading">
    <w:name w:val="Table Data Column Heading"/>
    <w:basedOn w:val="TableDataEntries"/>
    <w:rsid w:val="004D232A"/>
    <w:pPr>
      <w:spacing w:before="80" w:after="80"/>
    </w:pPr>
    <w:rPr>
      <w:b/>
    </w:rPr>
  </w:style>
  <w:style w:type="paragraph" w:customStyle="1" w:styleId="TableDataEntries">
    <w:name w:val="Table Data Entries"/>
    <w:basedOn w:val="TableTextEntries"/>
    <w:rsid w:val="004D232A"/>
    <w:pPr>
      <w:jc w:val="right"/>
    </w:pPr>
  </w:style>
  <w:style w:type="paragraph" w:customStyle="1" w:styleId="TableTextEntries">
    <w:name w:val="Table Text Entries"/>
    <w:basedOn w:val="Normal"/>
    <w:rsid w:val="004D232A"/>
    <w:pPr>
      <w:keepLines/>
      <w:spacing w:before="40" w:after="40" w:line="210" w:lineRule="atLeast"/>
    </w:pPr>
    <w:rPr>
      <w:rFonts w:ascii="Arial" w:eastAsia="Times New Roman" w:hAnsi="Arial" w:cs="Times New Roman"/>
      <w:sz w:val="19"/>
      <w:szCs w:val="19"/>
    </w:rPr>
  </w:style>
  <w:style w:type="paragraph" w:customStyle="1" w:styleId="TableHeading1">
    <w:name w:val="Table Heading 1"/>
    <w:basedOn w:val="TableTextEntries"/>
    <w:next w:val="TableTextEntries"/>
    <w:rsid w:val="004D232A"/>
    <w:pPr>
      <w:spacing w:before="180"/>
    </w:pPr>
    <w:rPr>
      <w:b/>
    </w:rPr>
  </w:style>
  <w:style w:type="paragraph" w:customStyle="1" w:styleId="TableHeading2">
    <w:name w:val="Table Heading 2"/>
    <w:basedOn w:val="TableHeading1"/>
    <w:next w:val="TableTextEntries"/>
    <w:rsid w:val="004D232A"/>
    <w:pPr>
      <w:spacing w:before="80"/>
    </w:pPr>
    <w:rPr>
      <w:b w:val="0"/>
      <w:i/>
    </w:rPr>
  </w:style>
  <w:style w:type="paragraph" w:customStyle="1" w:styleId="TableListBullet">
    <w:name w:val="Table List Bullet"/>
    <w:basedOn w:val="TableTextEntries"/>
    <w:rsid w:val="004D232A"/>
    <w:pPr>
      <w:numPr>
        <w:numId w:val="5"/>
      </w:numPr>
    </w:pPr>
  </w:style>
  <w:style w:type="paragraph" w:customStyle="1" w:styleId="TableListBullet2">
    <w:name w:val="Table List Bullet 2"/>
    <w:basedOn w:val="TableListBullet"/>
    <w:rsid w:val="004D232A"/>
    <w:pPr>
      <w:numPr>
        <w:numId w:val="6"/>
      </w:numPr>
    </w:pPr>
  </w:style>
  <w:style w:type="paragraph" w:customStyle="1" w:styleId="TableListNumber">
    <w:name w:val="Table List Number"/>
    <w:basedOn w:val="TableListBullet"/>
    <w:rsid w:val="004D232A"/>
    <w:pPr>
      <w:numPr>
        <w:numId w:val="15"/>
      </w:numPr>
    </w:pPr>
  </w:style>
  <w:style w:type="paragraph" w:customStyle="1" w:styleId="TableTextColumnHeading">
    <w:name w:val="Table Text Column Heading"/>
    <w:basedOn w:val="TableDataColumnHeading"/>
    <w:rsid w:val="004D232A"/>
    <w:pPr>
      <w:jc w:val="left"/>
    </w:pPr>
  </w:style>
  <w:style w:type="paragraph" w:customStyle="1" w:styleId="BoxHeading1">
    <w:name w:val="Box Heading 1"/>
    <w:basedOn w:val="BoxText"/>
    <w:next w:val="BoxText"/>
    <w:rsid w:val="004D232A"/>
    <w:pPr>
      <w:spacing w:before="280" w:line="260" w:lineRule="atLeast"/>
    </w:pPr>
    <w:rPr>
      <w:b/>
      <w:lang w:eastAsia="en-US"/>
    </w:rPr>
  </w:style>
  <w:style w:type="paragraph" w:customStyle="1" w:styleId="BoxListBullet">
    <w:name w:val="Box List Bullet"/>
    <w:basedOn w:val="ListBullet"/>
    <w:rsid w:val="004D232A"/>
    <w:pPr>
      <w:spacing w:before="80" w:line="270" w:lineRule="atLeast"/>
    </w:pPr>
    <w:rPr>
      <w:rFonts w:ascii="Arial" w:hAnsi="Arial"/>
      <w:sz w:val="20"/>
      <w:szCs w:val="20"/>
    </w:rPr>
  </w:style>
  <w:style w:type="character" w:styleId="CommentReference">
    <w:name w:val="annotation reference"/>
    <w:basedOn w:val="DefaultParagraphFont"/>
    <w:semiHidden/>
    <w:rsid w:val="004D232A"/>
    <w:rPr>
      <w:rFonts w:ascii="Arial" w:hAnsi="Arial"/>
      <w:b/>
      <w:vanish/>
      <w:color w:val="FF00FF"/>
      <w:sz w:val="20"/>
      <w:szCs w:val="20"/>
    </w:rPr>
  </w:style>
  <w:style w:type="paragraph" w:styleId="CommentText">
    <w:name w:val="annotation text"/>
    <w:basedOn w:val="BodyText"/>
    <w:link w:val="CommentTextChar"/>
    <w:semiHidden/>
    <w:rsid w:val="004D232A"/>
    <w:pPr>
      <w:spacing w:before="120" w:line="240" w:lineRule="atLeast"/>
      <w:ind w:left="567" w:hanging="567"/>
    </w:pPr>
    <w:rPr>
      <w:lang w:eastAsia="en-US"/>
    </w:rPr>
  </w:style>
  <w:style w:type="character" w:customStyle="1" w:styleId="CommentTextChar">
    <w:name w:val="Comment Text Char"/>
    <w:basedOn w:val="DefaultParagraphFont"/>
    <w:link w:val="CommentText"/>
    <w:semiHidden/>
    <w:rsid w:val="004D232A"/>
    <w:rPr>
      <w:rFonts w:ascii="Book Antiqua" w:eastAsia="Times New Roman" w:hAnsi="Book Antiqua" w:cs="Times New Roman"/>
      <w:szCs w:val="21"/>
    </w:rPr>
  </w:style>
  <w:style w:type="paragraph" w:customStyle="1" w:styleId="Contents">
    <w:name w:val="Contents"/>
    <w:basedOn w:val="Heading1nonumber"/>
    <w:semiHidden/>
    <w:rsid w:val="004D232A"/>
    <w:pPr>
      <w:tabs>
        <w:tab w:val="left" w:pos="0"/>
      </w:tabs>
      <w:spacing w:after="1300"/>
    </w:pPr>
    <w:rPr>
      <w:lang w:eastAsia="en-US"/>
    </w:rPr>
  </w:style>
  <w:style w:type="paragraph" w:customStyle="1" w:styleId="Equation">
    <w:name w:val="Equation"/>
    <w:basedOn w:val="BodyText"/>
    <w:next w:val="BodyText"/>
    <w:rsid w:val="004D232A"/>
    <w:pPr>
      <w:numPr>
        <w:numId w:val="7"/>
      </w:numPr>
      <w:tabs>
        <w:tab w:val="left" w:pos="851"/>
      </w:tabs>
      <w:jc w:val="left"/>
    </w:pPr>
    <w:rPr>
      <w:lang w:eastAsia="en-US"/>
    </w:rPr>
  </w:style>
  <w:style w:type="paragraph" w:customStyle="1" w:styleId="KeyPoint">
    <w:name w:val="Key Point"/>
    <w:basedOn w:val="Normal"/>
    <w:semiHidden/>
    <w:rsid w:val="004D232A"/>
    <w:pPr>
      <w:numPr>
        <w:numId w:val="8"/>
      </w:numPr>
      <w:spacing w:before="240" w:after="0" w:line="280" w:lineRule="atLeast"/>
      <w:jc w:val="both"/>
    </w:pPr>
    <w:rPr>
      <w:rFonts w:ascii="Arial" w:eastAsia="Times New Roman" w:hAnsi="Arial" w:cs="Times New Roman"/>
      <w:b/>
      <w:color w:val="666666"/>
      <w:sz w:val="21"/>
      <w:szCs w:val="21"/>
    </w:rPr>
  </w:style>
  <w:style w:type="paragraph" w:customStyle="1" w:styleId="TableUnit">
    <w:name w:val="Table Unit"/>
    <w:basedOn w:val="Normal"/>
    <w:next w:val="TableDataEntries"/>
    <w:semiHidden/>
    <w:rsid w:val="004D232A"/>
    <w:pPr>
      <w:keepNext/>
      <w:keepLines/>
      <w:spacing w:before="80" w:after="80" w:line="210" w:lineRule="atLeast"/>
      <w:jc w:val="right"/>
    </w:pPr>
    <w:rPr>
      <w:rFonts w:ascii="Arial" w:eastAsia="Times New Roman" w:hAnsi="Arial" w:cs="Times New Roman"/>
      <w:sz w:val="19"/>
      <w:szCs w:val="19"/>
    </w:rPr>
  </w:style>
  <w:style w:type="paragraph" w:styleId="ListNumber3">
    <w:name w:val="List Number 3"/>
    <w:basedOn w:val="ListNumber2"/>
    <w:rsid w:val="004D232A"/>
    <w:pPr>
      <w:numPr>
        <w:numId w:val="9"/>
      </w:numPr>
    </w:pPr>
  </w:style>
  <w:style w:type="paragraph" w:styleId="TOC3">
    <w:name w:val="toc 3"/>
    <w:basedOn w:val="TOC2"/>
    <w:semiHidden/>
    <w:rsid w:val="004D232A"/>
    <w:pPr>
      <w:tabs>
        <w:tab w:val="clear" w:pos="907"/>
        <w:tab w:val="left" w:pos="1531"/>
      </w:tabs>
      <w:spacing w:before="40"/>
      <w:ind w:left="1531" w:hanging="624"/>
    </w:pPr>
  </w:style>
  <w:style w:type="paragraph" w:styleId="TableofFigures">
    <w:name w:val="table of figures"/>
    <w:basedOn w:val="TOC2"/>
    <w:semiHidden/>
    <w:rsid w:val="004D232A"/>
    <w:pPr>
      <w:tabs>
        <w:tab w:val="left" w:pos="1191"/>
      </w:tabs>
      <w:ind w:left="1191" w:hanging="1191"/>
    </w:pPr>
  </w:style>
  <w:style w:type="paragraph" w:customStyle="1" w:styleId="PartTitle">
    <w:name w:val="Part Title"/>
    <w:basedOn w:val="Subtitle"/>
    <w:semiHidden/>
    <w:rsid w:val="004D232A"/>
    <w:pPr>
      <w:spacing w:before="0"/>
      <w:jc w:val="right"/>
    </w:pPr>
  </w:style>
  <w:style w:type="paragraph" w:customStyle="1" w:styleId="TableListNumber2">
    <w:name w:val="Table List Number 2"/>
    <w:basedOn w:val="TableListNumber"/>
    <w:rsid w:val="004D232A"/>
    <w:pPr>
      <w:numPr>
        <w:numId w:val="14"/>
      </w:numPr>
    </w:pPr>
  </w:style>
  <w:style w:type="paragraph" w:styleId="TOC6">
    <w:name w:val="toc 6"/>
    <w:basedOn w:val="TOC4"/>
    <w:next w:val="TOC1"/>
    <w:semiHidden/>
    <w:rsid w:val="004D232A"/>
  </w:style>
  <w:style w:type="paragraph" w:styleId="TOC7">
    <w:name w:val="toc 7"/>
    <w:basedOn w:val="TOC5"/>
    <w:next w:val="Normal"/>
    <w:semiHidden/>
    <w:rsid w:val="004D232A"/>
    <w:pPr>
      <w:spacing w:before="80"/>
    </w:pPr>
  </w:style>
  <w:style w:type="paragraph" w:styleId="TOC8">
    <w:name w:val="toc 8"/>
    <w:basedOn w:val="Normal"/>
    <w:next w:val="Normal"/>
    <w:autoRedefine/>
    <w:semiHidden/>
    <w:rsid w:val="004D232A"/>
    <w:pPr>
      <w:spacing w:after="0" w:line="240" w:lineRule="auto"/>
      <w:ind w:left="1680"/>
    </w:pPr>
    <w:rPr>
      <w:rFonts w:ascii="Book Antiqua" w:eastAsia="Times New Roman" w:hAnsi="Book Antiqua" w:cs="Times New Roman"/>
      <w:szCs w:val="24"/>
      <w:lang w:eastAsia="en-AU"/>
    </w:rPr>
  </w:style>
  <w:style w:type="paragraph" w:styleId="TOC9">
    <w:name w:val="toc 9"/>
    <w:basedOn w:val="Normal"/>
    <w:next w:val="Normal"/>
    <w:semiHidden/>
    <w:rsid w:val="004D232A"/>
    <w:pPr>
      <w:spacing w:before="40" w:after="40" w:line="240" w:lineRule="atLeast"/>
    </w:pPr>
    <w:rPr>
      <w:rFonts w:ascii="Arial" w:eastAsia="Times New Roman" w:hAnsi="Arial" w:cs="Times New Roman"/>
      <w:sz w:val="18"/>
      <w:szCs w:val="18"/>
      <w:lang w:eastAsia="en-AU"/>
    </w:rPr>
  </w:style>
  <w:style w:type="paragraph" w:customStyle="1" w:styleId="ChartListBullet2">
    <w:name w:val="Chart List Bullet 2"/>
    <w:basedOn w:val="ChartListBullet"/>
    <w:semiHidden/>
    <w:rsid w:val="004D232A"/>
    <w:pPr>
      <w:numPr>
        <w:numId w:val="25"/>
      </w:numPr>
      <w:spacing w:before="40"/>
    </w:pPr>
  </w:style>
  <w:style w:type="paragraph" w:customStyle="1" w:styleId="QuoteBullet">
    <w:name w:val="Quote Bullet"/>
    <w:basedOn w:val="Quote"/>
    <w:rsid w:val="004D232A"/>
    <w:pPr>
      <w:numPr>
        <w:numId w:val="10"/>
      </w:numPr>
    </w:pPr>
  </w:style>
  <w:style w:type="paragraph" w:customStyle="1" w:styleId="BoxHeading2">
    <w:name w:val="Box Heading 2"/>
    <w:basedOn w:val="BoxHeading1"/>
    <w:next w:val="BoxText"/>
    <w:rsid w:val="004D232A"/>
    <w:pPr>
      <w:spacing w:before="240"/>
    </w:pPr>
    <w:rPr>
      <w:b w:val="0"/>
      <w:i/>
    </w:rPr>
  </w:style>
  <w:style w:type="paragraph" w:customStyle="1" w:styleId="BoxListNumber">
    <w:name w:val="Box List Number"/>
    <w:basedOn w:val="BoxText"/>
    <w:rsid w:val="004D232A"/>
    <w:pPr>
      <w:numPr>
        <w:numId w:val="12"/>
      </w:numPr>
      <w:spacing w:before="80"/>
    </w:pPr>
  </w:style>
  <w:style w:type="paragraph" w:customStyle="1" w:styleId="BoxListNumber2">
    <w:name w:val="Box List Number 2"/>
    <w:basedOn w:val="BoxListNumber"/>
    <w:rsid w:val="004D232A"/>
    <w:pPr>
      <w:numPr>
        <w:numId w:val="11"/>
      </w:numPr>
    </w:pPr>
  </w:style>
  <w:style w:type="paragraph" w:customStyle="1" w:styleId="PartSubtitle">
    <w:name w:val="Part Subtitle"/>
    <w:basedOn w:val="PartTitle"/>
    <w:semiHidden/>
    <w:rsid w:val="004D232A"/>
    <w:pPr>
      <w:spacing w:before="360"/>
    </w:pPr>
  </w:style>
  <w:style w:type="paragraph" w:customStyle="1" w:styleId="QuoteHangingIndent">
    <w:name w:val="Quote Hanging Indent"/>
    <w:basedOn w:val="Quote"/>
    <w:next w:val="Normal"/>
    <w:rsid w:val="004D232A"/>
    <w:pPr>
      <w:ind w:left="851" w:hanging="567"/>
    </w:pPr>
  </w:style>
  <w:style w:type="paragraph" w:customStyle="1" w:styleId="RecommendationBullet">
    <w:name w:val="Recommendation Bullet"/>
    <w:basedOn w:val="Normal"/>
    <w:rsid w:val="004D232A"/>
    <w:pPr>
      <w:numPr>
        <w:numId w:val="20"/>
      </w:numPr>
      <w:spacing w:before="120" w:after="0" w:line="280" w:lineRule="atLeast"/>
      <w:jc w:val="both"/>
    </w:pPr>
    <w:rPr>
      <w:rFonts w:ascii="Arial" w:eastAsia="Times New Roman" w:hAnsi="Arial" w:cs="Times New Roman"/>
      <w:color w:val="00408A"/>
      <w:sz w:val="21"/>
      <w:szCs w:val="21"/>
      <w:lang w:eastAsia="en-AU"/>
    </w:rPr>
  </w:style>
  <w:style w:type="paragraph" w:customStyle="1" w:styleId="SeekCommentBullet">
    <w:name w:val="Seek Comment Bullet"/>
    <w:basedOn w:val="RecommendationBullet"/>
    <w:rsid w:val="004D232A"/>
    <w:pPr>
      <w:numPr>
        <w:numId w:val="17"/>
      </w:numPr>
    </w:pPr>
    <w:rPr>
      <w:color w:val="auto"/>
    </w:rPr>
  </w:style>
  <w:style w:type="character" w:customStyle="1" w:styleId="Notelabel0">
    <w:name w:val="Note label"/>
    <w:basedOn w:val="DefaultParagraphFont"/>
    <w:semiHidden/>
    <w:rsid w:val="004D232A"/>
    <w:rPr>
      <w:rFonts w:ascii="Arial" w:hAnsi="Arial"/>
      <w:b/>
      <w:color w:val="auto"/>
      <w:spacing w:val="0"/>
      <w:position w:val="4"/>
      <w:sz w:val="16"/>
      <w:szCs w:val="16"/>
    </w:rPr>
  </w:style>
  <w:style w:type="table" w:styleId="TableGrid">
    <w:name w:val="Table Grid"/>
    <w:basedOn w:val="TableNormal"/>
    <w:uiPriority w:val="59"/>
    <w:rsid w:val="004D232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4D232A"/>
    <w:pPr>
      <w:keepNext/>
    </w:pPr>
  </w:style>
  <w:style w:type="paragraph" w:customStyle="1" w:styleId="Abbreviation">
    <w:name w:val="Abbreviation"/>
    <w:basedOn w:val="Normal"/>
    <w:rsid w:val="004D232A"/>
    <w:pPr>
      <w:spacing w:before="240" w:after="0" w:line="280" w:lineRule="atLeast"/>
      <w:ind w:left="1418" w:hanging="1418"/>
      <w:jc w:val="both"/>
    </w:pPr>
    <w:rPr>
      <w:rFonts w:ascii="Book Antiqua" w:eastAsia="Times New Roman" w:hAnsi="Book Antiqua" w:cs="Times New Roman"/>
      <w:szCs w:val="21"/>
      <w:lang w:eastAsia="en-AU"/>
    </w:rPr>
  </w:style>
  <w:style w:type="paragraph" w:customStyle="1" w:styleId="BoxTitle">
    <w:name w:val="Box Title"/>
    <w:basedOn w:val="Caption"/>
    <w:rsid w:val="004D232A"/>
    <w:pPr>
      <w:keepNext/>
      <w:spacing w:before="140" w:after="60"/>
      <w:ind w:left="1219" w:hanging="1219"/>
    </w:pPr>
  </w:style>
  <w:style w:type="paragraph" w:customStyle="1" w:styleId="FigureTitle">
    <w:name w:val="Figure Title"/>
    <w:basedOn w:val="Caption"/>
    <w:rsid w:val="004D232A"/>
    <w:pPr>
      <w:keepNext/>
      <w:ind w:left="1389" w:hanging="1389"/>
    </w:pPr>
  </w:style>
  <w:style w:type="paragraph" w:styleId="NormalIndent">
    <w:name w:val="Normal Indent"/>
    <w:basedOn w:val="Normal"/>
    <w:semiHidden/>
    <w:rsid w:val="004D232A"/>
    <w:pPr>
      <w:spacing w:after="0" w:line="240" w:lineRule="auto"/>
      <w:ind w:left="720"/>
    </w:pPr>
    <w:rPr>
      <w:rFonts w:ascii="Book Antiqua" w:eastAsia="Times New Roman" w:hAnsi="Book Antiqua" w:cs="Times New Roman"/>
      <w:szCs w:val="24"/>
      <w:lang w:eastAsia="en-AU"/>
    </w:rPr>
  </w:style>
  <w:style w:type="paragraph" w:customStyle="1" w:styleId="BoxQuote">
    <w:name w:val="Box Quote"/>
    <w:basedOn w:val="BoxText"/>
    <w:next w:val="BoxText"/>
    <w:rsid w:val="004D232A"/>
    <w:pPr>
      <w:spacing w:before="60" w:line="250" w:lineRule="atLeast"/>
      <w:ind w:left="284"/>
    </w:pPr>
    <w:rPr>
      <w:sz w:val="18"/>
      <w:szCs w:val="18"/>
    </w:rPr>
  </w:style>
  <w:style w:type="paragraph" w:customStyle="1" w:styleId="BodytextIPART">
    <w:name w:val="Body text IPART"/>
    <w:basedOn w:val="BodyText"/>
    <w:next w:val="BodyText"/>
    <w:semiHidden/>
    <w:rsid w:val="004D232A"/>
  </w:style>
  <w:style w:type="paragraph" w:customStyle="1" w:styleId="Referencenumber">
    <w:name w:val="Reference number"/>
    <w:basedOn w:val="Report"/>
    <w:semiHidden/>
    <w:rsid w:val="004D232A"/>
    <w:pPr>
      <w:spacing w:line="240" w:lineRule="atLeast"/>
    </w:pPr>
    <w:rPr>
      <w:b w:val="0"/>
      <w:sz w:val="22"/>
      <w:szCs w:val="22"/>
    </w:rPr>
  </w:style>
  <w:style w:type="paragraph" w:customStyle="1" w:styleId="Determinationnumber">
    <w:name w:val="Determination number"/>
    <w:basedOn w:val="Report"/>
    <w:semiHidden/>
    <w:rsid w:val="004D232A"/>
  </w:style>
  <w:style w:type="paragraph" w:styleId="CommentSubject">
    <w:name w:val="annotation subject"/>
    <w:basedOn w:val="CommentText"/>
    <w:next w:val="CommentText"/>
    <w:link w:val="CommentSubjectChar"/>
    <w:semiHidden/>
    <w:rsid w:val="004D232A"/>
    <w:pPr>
      <w:spacing w:before="0" w:line="240" w:lineRule="auto"/>
      <w:ind w:left="0" w:firstLine="0"/>
      <w:jc w:val="left"/>
    </w:pPr>
    <w:rPr>
      <w:rFonts w:ascii="Times New Roman" w:hAnsi="Times New Roman"/>
      <w:b/>
      <w:bCs/>
      <w:sz w:val="20"/>
      <w:szCs w:val="20"/>
      <w:lang w:eastAsia="en-AU"/>
    </w:rPr>
  </w:style>
  <w:style w:type="character" w:customStyle="1" w:styleId="CommentSubjectChar">
    <w:name w:val="Comment Subject Char"/>
    <w:basedOn w:val="CommentTextChar"/>
    <w:link w:val="CommentSubject"/>
    <w:semiHidden/>
    <w:rsid w:val="004D232A"/>
    <w:rPr>
      <w:rFonts w:ascii="Times New Roman" w:eastAsia="Times New Roman" w:hAnsi="Times New Roman" w:cs="Times New Roman"/>
      <w:b/>
      <w:bCs/>
      <w:sz w:val="20"/>
      <w:szCs w:val="20"/>
      <w:lang w:eastAsia="en-AU"/>
    </w:rPr>
  </w:style>
  <w:style w:type="paragraph" w:styleId="BalloonText">
    <w:name w:val="Balloon Text"/>
    <w:basedOn w:val="Normal"/>
    <w:link w:val="BalloonTextChar"/>
    <w:semiHidden/>
    <w:rsid w:val="004D232A"/>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4D232A"/>
    <w:rPr>
      <w:rFonts w:ascii="Tahoma" w:eastAsia="Times New Roman" w:hAnsi="Tahoma" w:cs="Tahoma"/>
      <w:sz w:val="16"/>
      <w:szCs w:val="16"/>
      <w:lang w:eastAsia="en-AU"/>
    </w:rPr>
  </w:style>
  <w:style w:type="paragraph" w:customStyle="1" w:styleId="ChartText">
    <w:name w:val="Chart Text"/>
    <w:basedOn w:val="Normal"/>
    <w:semiHidden/>
    <w:rsid w:val="004D232A"/>
    <w:pPr>
      <w:spacing w:before="100" w:after="0" w:line="200" w:lineRule="atLeast"/>
    </w:pPr>
    <w:rPr>
      <w:rFonts w:ascii="Arial" w:eastAsia="Times New Roman" w:hAnsi="Arial" w:cs="Times New Roman"/>
      <w:sz w:val="18"/>
      <w:szCs w:val="18"/>
    </w:rPr>
  </w:style>
  <w:style w:type="paragraph" w:customStyle="1" w:styleId="ChartBoldText">
    <w:name w:val="Chart Bold Text"/>
    <w:basedOn w:val="ChartText"/>
    <w:next w:val="ChartText"/>
    <w:semiHidden/>
    <w:rsid w:val="004D232A"/>
    <w:pPr>
      <w:spacing w:before="0"/>
      <w:jc w:val="center"/>
    </w:pPr>
    <w:rPr>
      <w:b/>
    </w:rPr>
  </w:style>
  <w:style w:type="paragraph" w:customStyle="1" w:styleId="ChartHighlight">
    <w:name w:val="Chart Highlight"/>
    <w:basedOn w:val="ChartBoldText"/>
    <w:semiHidden/>
    <w:rsid w:val="004D232A"/>
    <w:pPr>
      <w:spacing w:line="220" w:lineRule="atLeast"/>
    </w:pPr>
    <w:rPr>
      <w:caps/>
      <w:color w:val="FFFFFF"/>
      <w:sz w:val="20"/>
      <w:szCs w:val="20"/>
    </w:rPr>
  </w:style>
  <w:style w:type="paragraph" w:customStyle="1" w:styleId="LCHeading1">
    <w:name w:val="LC Heading 1"/>
    <w:basedOn w:val="BodyText"/>
    <w:next w:val="BodyText"/>
    <w:semiHidden/>
    <w:rsid w:val="004D232A"/>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4D232A"/>
    <w:pPr>
      <w:spacing w:before="240"/>
      <w:outlineLvl w:val="1"/>
    </w:pPr>
    <w:rPr>
      <w:sz w:val="21"/>
      <w:szCs w:val="21"/>
    </w:rPr>
  </w:style>
  <w:style w:type="paragraph" w:customStyle="1" w:styleId="LCHeading3">
    <w:name w:val="LC Heading 3"/>
    <w:basedOn w:val="BodyText"/>
    <w:semiHidden/>
    <w:rsid w:val="004D232A"/>
    <w:pPr>
      <w:tabs>
        <w:tab w:val="num" w:pos="425"/>
      </w:tabs>
      <w:ind w:left="425" w:hanging="425"/>
      <w:outlineLvl w:val="2"/>
    </w:pPr>
    <w:rPr>
      <w:szCs w:val="20"/>
      <w:lang w:eastAsia="en-US"/>
    </w:rPr>
  </w:style>
  <w:style w:type="paragraph" w:customStyle="1" w:styleId="LCHeading4">
    <w:name w:val="LC Heading 4"/>
    <w:basedOn w:val="LCHeading3"/>
    <w:semiHidden/>
    <w:rsid w:val="004D232A"/>
    <w:pPr>
      <w:tabs>
        <w:tab w:val="clear" w:pos="425"/>
        <w:tab w:val="num" w:pos="851"/>
      </w:tabs>
      <w:ind w:left="851" w:hanging="426"/>
      <w:outlineLvl w:val="3"/>
    </w:pPr>
  </w:style>
  <w:style w:type="paragraph" w:customStyle="1" w:styleId="LCHeading5">
    <w:name w:val="LC Heading 5"/>
    <w:basedOn w:val="LCHeading4"/>
    <w:semiHidden/>
    <w:rsid w:val="004D232A"/>
    <w:pPr>
      <w:tabs>
        <w:tab w:val="clear" w:pos="851"/>
        <w:tab w:val="num" w:pos="1276"/>
      </w:tabs>
      <w:ind w:left="1276" w:hanging="425"/>
      <w:outlineLvl w:val="4"/>
    </w:pPr>
    <w:rPr>
      <w:szCs w:val="21"/>
    </w:rPr>
  </w:style>
  <w:style w:type="paragraph" w:customStyle="1" w:styleId="LCHeading6">
    <w:name w:val="LC Heading 6"/>
    <w:basedOn w:val="LCHeading5"/>
    <w:semiHidden/>
    <w:rsid w:val="004D232A"/>
    <w:pPr>
      <w:tabs>
        <w:tab w:val="clear" w:pos="1276"/>
        <w:tab w:val="num" w:pos="1701"/>
      </w:tabs>
      <w:ind w:left="1701"/>
      <w:outlineLvl w:val="5"/>
    </w:pPr>
  </w:style>
  <w:style w:type="paragraph" w:customStyle="1" w:styleId="NoteNumber">
    <w:name w:val="Note Number"/>
    <w:basedOn w:val="TableTextEntries"/>
    <w:link w:val="NoteNumberCharChar"/>
    <w:rsid w:val="004D232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D232A"/>
    <w:rPr>
      <w:rFonts w:ascii="Arial" w:eastAsia="Times New Roman" w:hAnsi="Arial" w:cs="Times New Roman"/>
      <w:sz w:val="16"/>
      <w:szCs w:val="16"/>
    </w:rPr>
  </w:style>
  <w:style w:type="paragraph" w:customStyle="1" w:styleId="SeekCommentHeading">
    <w:name w:val="Seek Comment Heading"/>
    <w:basedOn w:val="RecommendationHeading"/>
    <w:next w:val="SeekCommentNumber"/>
    <w:rsid w:val="004D232A"/>
  </w:style>
  <w:style w:type="paragraph" w:customStyle="1" w:styleId="RecommendationHeading">
    <w:name w:val="Recommendation Heading"/>
    <w:basedOn w:val="BodyText"/>
    <w:next w:val="RecommendationNumber"/>
    <w:rsid w:val="004D232A"/>
    <w:pPr>
      <w:keepNext/>
      <w:jc w:val="left"/>
    </w:pPr>
    <w:rPr>
      <w:rFonts w:ascii="Arial" w:hAnsi="Arial"/>
    </w:rPr>
  </w:style>
  <w:style w:type="paragraph" w:customStyle="1" w:styleId="ChartListNumber">
    <w:name w:val="Chart List Number"/>
    <w:basedOn w:val="ChartText"/>
    <w:semiHidden/>
    <w:rsid w:val="004D232A"/>
    <w:pPr>
      <w:numPr>
        <w:numId w:val="26"/>
      </w:numPr>
      <w:spacing w:before="60"/>
    </w:pPr>
  </w:style>
  <w:style w:type="paragraph" w:customStyle="1" w:styleId="FindingBullet">
    <w:name w:val="Finding Bullet"/>
    <w:basedOn w:val="RecommendationBullet"/>
    <w:rsid w:val="004D232A"/>
    <w:pPr>
      <w:numPr>
        <w:numId w:val="16"/>
      </w:numPr>
    </w:pPr>
  </w:style>
  <w:style w:type="paragraph" w:customStyle="1" w:styleId="FindingHeading">
    <w:name w:val="Finding Heading"/>
    <w:basedOn w:val="RecommendationHeading"/>
    <w:next w:val="FindingNumber"/>
    <w:rsid w:val="004D232A"/>
  </w:style>
  <w:style w:type="paragraph" w:customStyle="1" w:styleId="FindingNumber">
    <w:name w:val="Finding Number"/>
    <w:basedOn w:val="Normal"/>
    <w:next w:val="BodyText"/>
    <w:rsid w:val="004D232A"/>
    <w:pPr>
      <w:numPr>
        <w:numId w:val="22"/>
      </w:numPr>
      <w:spacing w:before="120" w:after="0" w:line="280" w:lineRule="atLeast"/>
      <w:jc w:val="both"/>
    </w:pPr>
    <w:rPr>
      <w:rFonts w:ascii="Arial" w:eastAsia="Times New Roman" w:hAnsi="Arial" w:cs="Times New Roman"/>
      <w:color w:val="00408A"/>
      <w:sz w:val="21"/>
      <w:szCs w:val="21"/>
      <w:lang w:eastAsia="en-AU"/>
    </w:rPr>
  </w:style>
  <w:style w:type="paragraph" w:customStyle="1" w:styleId="SeekCommentNumber">
    <w:name w:val="Seek Comment Number"/>
    <w:basedOn w:val="Normal"/>
    <w:next w:val="BodyText"/>
    <w:rsid w:val="004D232A"/>
    <w:pPr>
      <w:numPr>
        <w:numId w:val="18"/>
      </w:numPr>
      <w:spacing w:before="120" w:after="0" w:line="280" w:lineRule="atLeast"/>
      <w:jc w:val="both"/>
    </w:pPr>
    <w:rPr>
      <w:rFonts w:ascii="Arial" w:eastAsia="Times New Roman" w:hAnsi="Arial" w:cs="Times New Roman"/>
      <w:sz w:val="21"/>
      <w:szCs w:val="21"/>
      <w:lang w:eastAsia="en-AU"/>
    </w:rPr>
  </w:style>
  <w:style w:type="character" w:customStyle="1" w:styleId="ListBulletChar">
    <w:name w:val="List Bullet Char"/>
    <w:basedOn w:val="BodyTextChar"/>
    <w:link w:val="ListBullet"/>
    <w:rsid w:val="004D232A"/>
    <w:rPr>
      <w:rFonts w:ascii="Book Antiqua" w:eastAsia="Times New Roman" w:hAnsi="Book Antiqua" w:cs="Times New Roman"/>
      <w:szCs w:val="21"/>
      <w:lang w:eastAsia="en-AU"/>
    </w:rPr>
  </w:style>
  <w:style w:type="paragraph" w:styleId="ListParagraph">
    <w:name w:val="List Paragraph"/>
    <w:basedOn w:val="Normal"/>
    <w:uiPriority w:val="34"/>
    <w:qFormat/>
    <w:rsid w:val="004D232A"/>
    <w:pPr>
      <w:ind w:left="720"/>
      <w:contextualSpacing/>
    </w:pPr>
  </w:style>
  <w:style w:type="paragraph" w:customStyle="1" w:styleId="Default">
    <w:name w:val="Default"/>
    <w:rsid w:val="004D232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Revision">
    <w:name w:val="Revision"/>
    <w:hidden/>
    <w:uiPriority w:val="99"/>
    <w:semiHidden/>
    <w:rsid w:val="004D232A"/>
    <w:pPr>
      <w:spacing w:after="0" w:line="240" w:lineRule="auto"/>
    </w:pPr>
    <w:rPr>
      <w:rFonts w:ascii="Book Antiqua" w:eastAsia="Times New Roman" w:hAnsi="Book Antiqua" w:cs="Times New Roman"/>
      <w:szCs w:val="24"/>
      <w:lang w:eastAsia="en-AU"/>
    </w:rPr>
  </w:style>
  <w:style w:type="character" w:styleId="FollowedHyperlink">
    <w:name w:val="FollowedHyperlink"/>
    <w:basedOn w:val="DefaultParagraphFont"/>
    <w:rsid w:val="004D23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table of figures"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4D232A"/>
    <w:pPr>
      <w:keepNext/>
      <w:numPr>
        <w:numId w:val="1"/>
      </w:numPr>
      <w:spacing w:before="720" w:after="60" w:line="400" w:lineRule="atLeast"/>
      <w:outlineLvl w:val="0"/>
    </w:pPr>
    <w:rPr>
      <w:rFonts w:ascii="Arial" w:eastAsia="Times New Roman" w:hAnsi="Arial" w:cs="Arial"/>
      <w:b/>
      <w:bCs/>
      <w:color w:val="00408A"/>
      <w:kern w:val="32"/>
      <w:sz w:val="30"/>
      <w:szCs w:val="30"/>
      <w:lang w:eastAsia="en-AU"/>
    </w:rPr>
  </w:style>
  <w:style w:type="paragraph" w:styleId="Heading2">
    <w:name w:val="heading 2"/>
    <w:basedOn w:val="Heading1"/>
    <w:next w:val="BodyText"/>
    <w:link w:val="Heading2Char"/>
    <w:qFormat/>
    <w:rsid w:val="004D232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232A"/>
    <w:pPr>
      <w:numPr>
        <w:ilvl w:val="2"/>
      </w:numPr>
      <w:spacing w:line="260" w:lineRule="atLeast"/>
      <w:outlineLvl w:val="2"/>
    </w:pPr>
    <w:rPr>
      <w:sz w:val="21"/>
      <w:szCs w:val="21"/>
    </w:rPr>
  </w:style>
  <w:style w:type="paragraph" w:styleId="Heading4">
    <w:name w:val="heading 4"/>
    <w:basedOn w:val="Heading3"/>
    <w:next w:val="BodyText"/>
    <w:link w:val="Heading4Char"/>
    <w:qFormat/>
    <w:rsid w:val="004D232A"/>
    <w:pPr>
      <w:numPr>
        <w:ilvl w:val="3"/>
      </w:numPr>
      <w:spacing w:before="360"/>
      <w:outlineLvl w:val="3"/>
    </w:pPr>
    <w:rPr>
      <w:b w:val="0"/>
      <w:sz w:val="22"/>
    </w:rPr>
  </w:style>
  <w:style w:type="paragraph" w:styleId="Heading5">
    <w:name w:val="heading 5"/>
    <w:basedOn w:val="BodyText"/>
    <w:next w:val="BodyText"/>
    <w:link w:val="Heading5Char"/>
    <w:qFormat/>
    <w:rsid w:val="004D232A"/>
    <w:pPr>
      <w:keepNext/>
      <w:numPr>
        <w:ilvl w:val="4"/>
        <w:numId w:val="1"/>
      </w:numPr>
      <w:spacing w:line="260" w:lineRule="atLeast"/>
      <w:outlineLvl w:val="4"/>
    </w:pPr>
    <w:rPr>
      <w:b/>
      <w:bCs/>
      <w:iCs/>
    </w:rPr>
  </w:style>
  <w:style w:type="paragraph" w:styleId="Heading6">
    <w:name w:val="heading 6"/>
    <w:basedOn w:val="Heading1"/>
    <w:next w:val="BodyText"/>
    <w:link w:val="Heading6Char"/>
    <w:qFormat/>
    <w:rsid w:val="004D232A"/>
    <w:pPr>
      <w:pageBreakBefore/>
      <w:numPr>
        <w:ilvl w:val="5"/>
      </w:numPr>
      <w:spacing w:before="0"/>
      <w:outlineLvl w:val="5"/>
    </w:pPr>
    <w:rPr>
      <w:bCs w:val="0"/>
    </w:rPr>
  </w:style>
  <w:style w:type="paragraph" w:styleId="Heading7">
    <w:name w:val="heading 7"/>
    <w:basedOn w:val="Heading2"/>
    <w:next w:val="BodyText"/>
    <w:link w:val="Heading7Char"/>
    <w:qFormat/>
    <w:rsid w:val="004D232A"/>
    <w:pPr>
      <w:numPr>
        <w:ilvl w:val="6"/>
      </w:numPr>
      <w:spacing w:line="260" w:lineRule="atLeast"/>
      <w:outlineLvl w:val="6"/>
    </w:pPr>
  </w:style>
  <w:style w:type="paragraph" w:styleId="Heading8">
    <w:name w:val="heading 8"/>
    <w:basedOn w:val="Heading3"/>
    <w:next w:val="BodyText"/>
    <w:link w:val="Heading8Char"/>
    <w:qFormat/>
    <w:rsid w:val="004D232A"/>
    <w:pPr>
      <w:numPr>
        <w:ilvl w:val="7"/>
      </w:numPr>
      <w:outlineLvl w:val="7"/>
    </w:pPr>
    <w:rPr>
      <w:sz w:val="22"/>
    </w:rPr>
  </w:style>
  <w:style w:type="paragraph" w:styleId="Heading9">
    <w:name w:val="heading 9"/>
    <w:basedOn w:val="Heading4"/>
    <w:next w:val="BodyText"/>
    <w:link w:val="Heading9Char"/>
    <w:qFormat/>
    <w:rsid w:val="004D232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232A"/>
    <w:rPr>
      <w:rFonts w:ascii="Arial" w:eastAsia="Times New Roman" w:hAnsi="Arial" w:cs="Arial"/>
      <w:b/>
      <w:bCs/>
      <w:color w:val="00408A"/>
      <w:kern w:val="32"/>
      <w:sz w:val="30"/>
      <w:szCs w:val="30"/>
      <w:lang w:eastAsia="en-AU"/>
    </w:rPr>
  </w:style>
  <w:style w:type="character" w:customStyle="1" w:styleId="Heading2Char">
    <w:name w:val="Heading 2 Char"/>
    <w:basedOn w:val="DefaultParagraphFont"/>
    <w:link w:val="Heading2"/>
    <w:rsid w:val="004D232A"/>
    <w:rPr>
      <w:rFonts w:ascii="Arial" w:eastAsia="Times New Roman" w:hAnsi="Arial" w:cs="Times New Roman"/>
      <w:b/>
      <w:color w:val="00408A"/>
      <w:kern w:val="28"/>
      <w:sz w:val="24"/>
      <w:szCs w:val="24"/>
      <w:lang w:eastAsia="en-AU"/>
    </w:rPr>
  </w:style>
  <w:style w:type="character" w:customStyle="1" w:styleId="Heading3Char">
    <w:name w:val="Heading 3 Char"/>
    <w:basedOn w:val="DefaultParagraphFont"/>
    <w:link w:val="Heading3"/>
    <w:rsid w:val="004D232A"/>
    <w:rPr>
      <w:rFonts w:ascii="Arial" w:eastAsia="Times New Roman" w:hAnsi="Arial" w:cs="Times New Roman"/>
      <w:b/>
      <w:color w:val="00408A"/>
      <w:kern w:val="28"/>
      <w:sz w:val="21"/>
      <w:szCs w:val="21"/>
      <w:lang w:eastAsia="en-AU"/>
    </w:rPr>
  </w:style>
  <w:style w:type="character" w:customStyle="1" w:styleId="Heading4Char">
    <w:name w:val="Heading 4 Char"/>
    <w:basedOn w:val="DefaultParagraphFont"/>
    <w:link w:val="Heading4"/>
    <w:rsid w:val="004D232A"/>
    <w:rPr>
      <w:rFonts w:ascii="Arial" w:eastAsia="Times New Roman" w:hAnsi="Arial" w:cs="Times New Roman"/>
      <w:color w:val="00408A"/>
      <w:kern w:val="28"/>
      <w:szCs w:val="21"/>
      <w:lang w:eastAsia="en-AU"/>
    </w:rPr>
  </w:style>
  <w:style w:type="character" w:customStyle="1" w:styleId="Heading5Char">
    <w:name w:val="Heading 5 Char"/>
    <w:basedOn w:val="DefaultParagraphFont"/>
    <w:link w:val="Heading5"/>
    <w:rsid w:val="004D232A"/>
    <w:rPr>
      <w:rFonts w:ascii="Book Antiqua" w:eastAsia="Times New Roman" w:hAnsi="Book Antiqua" w:cs="Times New Roman"/>
      <w:b/>
      <w:bCs/>
      <w:iCs/>
      <w:szCs w:val="21"/>
      <w:lang w:eastAsia="en-AU"/>
    </w:rPr>
  </w:style>
  <w:style w:type="character" w:customStyle="1" w:styleId="Heading6Char">
    <w:name w:val="Heading 6 Char"/>
    <w:basedOn w:val="DefaultParagraphFont"/>
    <w:link w:val="Heading6"/>
    <w:rsid w:val="004D232A"/>
    <w:rPr>
      <w:rFonts w:ascii="Arial" w:eastAsia="Times New Roman" w:hAnsi="Arial" w:cs="Arial"/>
      <w:b/>
      <w:color w:val="00408A"/>
      <w:kern w:val="32"/>
      <w:sz w:val="30"/>
      <w:szCs w:val="30"/>
      <w:lang w:eastAsia="en-AU"/>
    </w:rPr>
  </w:style>
  <w:style w:type="character" w:customStyle="1" w:styleId="Heading7Char">
    <w:name w:val="Heading 7 Char"/>
    <w:basedOn w:val="DefaultParagraphFont"/>
    <w:link w:val="Heading7"/>
    <w:rsid w:val="004D232A"/>
    <w:rPr>
      <w:rFonts w:ascii="Arial" w:eastAsia="Times New Roman" w:hAnsi="Arial" w:cs="Times New Roman"/>
      <w:b/>
      <w:color w:val="00408A"/>
      <w:kern w:val="28"/>
      <w:sz w:val="24"/>
      <w:szCs w:val="24"/>
      <w:lang w:eastAsia="en-AU"/>
    </w:rPr>
  </w:style>
  <w:style w:type="character" w:customStyle="1" w:styleId="Heading8Char">
    <w:name w:val="Heading 8 Char"/>
    <w:basedOn w:val="DefaultParagraphFont"/>
    <w:link w:val="Heading8"/>
    <w:rsid w:val="004D232A"/>
    <w:rPr>
      <w:rFonts w:ascii="Arial" w:eastAsia="Times New Roman" w:hAnsi="Arial" w:cs="Times New Roman"/>
      <w:b/>
      <w:color w:val="00408A"/>
      <w:kern w:val="28"/>
      <w:szCs w:val="21"/>
      <w:lang w:eastAsia="en-AU"/>
    </w:rPr>
  </w:style>
  <w:style w:type="character" w:customStyle="1" w:styleId="Heading9Char">
    <w:name w:val="Heading 9 Char"/>
    <w:basedOn w:val="DefaultParagraphFont"/>
    <w:link w:val="Heading9"/>
    <w:rsid w:val="004D232A"/>
    <w:rPr>
      <w:rFonts w:ascii="Arial" w:eastAsia="Times New Roman" w:hAnsi="Arial" w:cs="Times New Roman"/>
      <w:color w:val="00408A"/>
      <w:kern w:val="28"/>
      <w:szCs w:val="21"/>
      <w:lang w:eastAsia="en-AU"/>
    </w:rPr>
  </w:style>
  <w:style w:type="numbering" w:customStyle="1" w:styleId="NoList1">
    <w:name w:val="No List1"/>
    <w:next w:val="NoList"/>
    <w:uiPriority w:val="99"/>
    <w:semiHidden/>
    <w:unhideWhenUsed/>
    <w:rsid w:val="004D232A"/>
  </w:style>
  <w:style w:type="paragraph" w:styleId="BodyText">
    <w:name w:val="Body Text"/>
    <w:basedOn w:val="Normal"/>
    <w:link w:val="BodyTextChar"/>
    <w:qFormat/>
    <w:rsid w:val="004D232A"/>
    <w:pPr>
      <w:spacing w:before="240" w:after="0" w:line="280" w:lineRule="atLeast"/>
      <w:jc w:val="both"/>
    </w:pPr>
    <w:rPr>
      <w:rFonts w:ascii="Book Antiqua" w:eastAsia="Times New Roman" w:hAnsi="Book Antiqua" w:cs="Times New Roman"/>
      <w:szCs w:val="21"/>
      <w:lang w:eastAsia="en-AU"/>
    </w:rPr>
  </w:style>
  <w:style w:type="character" w:customStyle="1" w:styleId="BodyTextChar">
    <w:name w:val="Body Text Char"/>
    <w:basedOn w:val="DefaultParagraphFont"/>
    <w:link w:val="BodyText"/>
    <w:rsid w:val="004D232A"/>
    <w:rPr>
      <w:rFonts w:ascii="Book Antiqua" w:eastAsia="Times New Roman" w:hAnsi="Book Antiqua" w:cs="Times New Roman"/>
      <w:szCs w:val="21"/>
      <w:lang w:eastAsia="en-AU"/>
    </w:rPr>
  </w:style>
  <w:style w:type="paragraph" w:styleId="Header">
    <w:name w:val="header"/>
    <w:basedOn w:val="TOC2"/>
    <w:link w:val="HeaderChar"/>
    <w:semiHidden/>
    <w:rsid w:val="004D232A"/>
    <w:pPr>
      <w:tabs>
        <w:tab w:val="clear" w:pos="907"/>
        <w:tab w:val="clear" w:pos="7938"/>
      </w:tabs>
      <w:spacing w:before="40" w:after="40"/>
      <w:ind w:left="0" w:right="0" w:firstLine="0"/>
    </w:pPr>
    <w:rPr>
      <w:sz w:val="18"/>
      <w:szCs w:val="18"/>
    </w:rPr>
  </w:style>
  <w:style w:type="character" w:customStyle="1" w:styleId="HeaderChar">
    <w:name w:val="Header Char"/>
    <w:basedOn w:val="DefaultParagraphFont"/>
    <w:link w:val="Header"/>
    <w:semiHidden/>
    <w:rsid w:val="004D232A"/>
    <w:rPr>
      <w:rFonts w:ascii="Arial" w:eastAsia="Times New Roman" w:hAnsi="Arial" w:cs="Times New Roman"/>
      <w:sz w:val="18"/>
      <w:szCs w:val="18"/>
      <w:lang w:eastAsia="en-AU"/>
    </w:rPr>
  </w:style>
  <w:style w:type="paragraph" w:styleId="Footer">
    <w:name w:val="footer"/>
    <w:basedOn w:val="TOC2"/>
    <w:link w:val="FooterChar"/>
    <w:uiPriority w:val="99"/>
    <w:rsid w:val="004D232A"/>
    <w:pPr>
      <w:widowControl w:val="0"/>
      <w:tabs>
        <w:tab w:val="clear" w:pos="907"/>
        <w:tab w:val="clear" w:pos="7938"/>
      </w:tabs>
      <w:spacing w:before="40" w:after="40"/>
      <w:ind w:left="0" w:right="0" w:firstLine="0"/>
    </w:pPr>
    <w:rPr>
      <w:sz w:val="18"/>
      <w:szCs w:val="18"/>
    </w:rPr>
  </w:style>
  <w:style w:type="character" w:customStyle="1" w:styleId="FooterChar">
    <w:name w:val="Footer Char"/>
    <w:basedOn w:val="DefaultParagraphFont"/>
    <w:link w:val="Footer"/>
    <w:uiPriority w:val="99"/>
    <w:rsid w:val="004D232A"/>
    <w:rPr>
      <w:rFonts w:ascii="Arial" w:eastAsia="Times New Roman" w:hAnsi="Arial" w:cs="Times New Roman"/>
      <w:sz w:val="18"/>
      <w:szCs w:val="18"/>
      <w:lang w:eastAsia="en-AU"/>
    </w:rPr>
  </w:style>
  <w:style w:type="paragraph" w:styleId="Subtitle">
    <w:name w:val="Subtitle"/>
    <w:basedOn w:val="Title"/>
    <w:link w:val="SubtitleChar"/>
    <w:qFormat/>
    <w:rsid w:val="004D232A"/>
    <w:pPr>
      <w:spacing w:before="120" w:line="400" w:lineRule="atLeast"/>
    </w:pPr>
    <w:rPr>
      <w:sz w:val="30"/>
      <w:szCs w:val="30"/>
    </w:rPr>
  </w:style>
  <w:style w:type="character" w:customStyle="1" w:styleId="SubtitleChar">
    <w:name w:val="Subtitle Char"/>
    <w:basedOn w:val="DefaultParagraphFont"/>
    <w:link w:val="Subtitle"/>
    <w:rsid w:val="004D232A"/>
    <w:rPr>
      <w:rFonts w:ascii="Arial" w:eastAsia="Times New Roman" w:hAnsi="Arial" w:cs="Arial"/>
      <w:b/>
      <w:bCs/>
      <w:color w:val="00408A"/>
      <w:kern w:val="28"/>
      <w:sz w:val="30"/>
      <w:szCs w:val="30"/>
      <w:lang w:eastAsia="en-AU"/>
    </w:rPr>
  </w:style>
  <w:style w:type="paragraph" w:styleId="Title">
    <w:name w:val="Title"/>
    <w:basedOn w:val="Normal"/>
    <w:next w:val="Subtitle"/>
    <w:link w:val="TitleChar"/>
    <w:qFormat/>
    <w:rsid w:val="004D232A"/>
    <w:pPr>
      <w:spacing w:before="2722" w:after="0" w:line="520" w:lineRule="atLeast"/>
    </w:pPr>
    <w:rPr>
      <w:rFonts w:ascii="Arial" w:eastAsia="Times New Roman" w:hAnsi="Arial" w:cs="Arial"/>
      <w:b/>
      <w:bCs/>
      <w:color w:val="00408A"/>
      <w:kern w:val="28"/>
      <w:sz w:val="44"/>
      <w:szCs w:val="44"/>
      <w:lang w:eastAsia="en-AU"/>
    </w:rPr>
  </w:style>
  <w:style w:type="character" w:customStyle="1" w:styleId="TitleChar">
    <w:name w:val="Title Char"/>
    <w:basedOn w:val="DefaultParagraphFont"/>
    <w:link w:val="Title"/>
    <w:rsid w:val="004D232A"/>
    <w:rPr>
      <w:rFonts w:ascii="Arial" w:eastAsia="Times New Roman" w:hAnsi="Arial" w:cs="Arial"/>
      <w:b/>
      <w:bCs/>
      <w:color w:val="00408A"/>
      <w:kern w:val="28"/>
      <w:sz w:val="44"/>
      <w:szCs w:val="44"/>
      <w:lang w:eastAsia="en-AU"/>
    </w:rPr>
  </w:style>
  <w:style w:type="paragraph" w:customStyle="1" w:styleId="Report">
    <w:name w:val="Report"/>
    <w:basedOn w:val="Normal"/>
    <w:semiHidden/>
    <w:rsid w:val="004D232A"/>
    <w:pPr>
      <w:spacing w:after="0" w:line="340" w:lineRule="atLeast"/>
    </w:pPr>
    <w:rPr>
      <w:rFonts w:ascii="Arial" w:eastAsia="Times New Roman" w:hAnsi="Arial" w:cs="Times New Roman"/>
      <w:b/>
      <w:color w:val="7C7C7C"/>
      <w:sz w:val="28"/>
      <w:szCs w:val="28"/>
      <w:lang w:eastAsia="en-AU"/>
    </w:rPr>
  </w:style>
  <w:style w:type="paragraph" w:styleId="Date">
    <w:name w:val="Date"/>
    <w:basedOn w:val="Report"/>
    <w:link w:val="DateChar"/>
    <w:semiHidden/>
    <w:rsid w:val="004D232A"/>
    <w:rPr>
      <w:b w:val="0"/>
    </w:rPr>
  </w:style>
  <w:style w:type="character" w:customStyle="1" w:styleId="DateChar">
    <w:name w:val="Date Char"/>
    <w:basedOn w:val="DefaultParagraphFont"/>
    <w:link w:val="Date"/>
    <w:semiHidden/>
    <w:rsid w:val="004D232A"/>
    <w:rPr>
      <w:rFonts w:ascii="Arial" w:eastAsia="Times New Roman" w:hAnsi="Arial" w:cs="Times New Roman"/>
      <w:color w:val="7C7C7C"/>
      <w:sz w:val="28"/>
      <w:szCs w:val="28"/>
      <w:lang w:eastAsia="en-AU"/>
    </w:rPr>
  </w:style>
  <w:style w:type="paragraph" w:customStyle="1" w:styleId="Reference">
    <w:name w:val="Reference"/>
    <w:basedOn w:val="BodyText"/>
    <w:rsid w:val="004D232A"/>
    <w:pPr>
      <w:spacing w:before="120" w:line="260" w:lineRule="atLeast"/>
      <w:ind w:left="284" w:hanging="284"/>
    </w:pPr>
    <w:rPr>
      <w:sz w:val="20"/>
    </w:rPr>
  </w:style>
  <w:style w:type="paragraph" w:styleId="FootnoteText">
    <w:name w:val="footnote text"/>
    <w:basedOn w:val="Normal"/>
    <w:link w:val="FootnoteTextChar"/>
    <w:uiPriority w:val="99"/>
    <w:rsid w:val="004D232A"/>
    <w:pPr>
      <w:keepLines/>
      <w:spacing w:after="0" w:line="200" w:lineRule="atLeast"/>
      <w:ind w:left="284" w:hanging="284"/>
      <w:jc w:val="both"/>
    </w:pPr>
    <w:rPr>
      <w:rFonts w:ascii="Book Antiqua" w:eastAsia="Times New Roman" w:hAnsi="Book Antiqua" w:cs="Times New Roman"/>
      <w:sz w:val="18"/>
      <w:szCs w:val="17"/>
      <w:lang w:eastAsia="en-AU"/>
    </w:rPr>
  </w:style>
  <w:style w:type="character" w:customStyle="1" w:styleId="FootnoteTextChar">
    <w:name w:val="Footnote Text Char"/>
    <w:basedOn w:val="DefaultParagraphFont"/>
    <w:link w:val="FootnoteText"/>
    <w:uiPriority w:val="99"/>
    <w:rsid w:val="004D232A"/>
    <w:rPr>
      <w:rFonts w:ascii="Book Antiqua" w:eastAsia="Times New Roman" w:hAnsi="Book Antiqua" w:cs="Times New Roman"/>
      <w:sz w:val="18"/>
      <w:szCs w:val="17"/>
      <w:lang w:eastAsia="en-AU"/>
    </w:rPr>
  </w:style>
  <w:style w:type="character" w:styleId="FootnoteReference">
    <w:name w:val="footnote reference"/>
    <w:basedOn w:val="DefaultParagraphFont"/>
    <w:uiPriority w:val="99"/>
    <w:rsid w:val="004D232A"/>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4D232A"/>
    <w:pPr>
      <w:pageBreakBefore/>
      <w:numPr>
        <w:numId w:val="0"/>
      </w:numPr>
    </w:pPr>
    <w:rPr>
      <w:rFonts w:cs="Times New Roman"/>
      <w:bCs w:val="0"/>
      <w:kern w:val="28"/>
    </w:rPr>
  </w:style>
  <w:style w:type="paragraph" w:customStyle="1" w:styleId="Heading2nonumber">
    <w:name w:val="Heading 2 (no number)"/>
    <w:basedOn w:val="Heading2"/>
    <w:next w:val="BodyText"/>
    <w:rsid w:val="004D232A"/>
    <w:pPr>
      <w:numPr>
        <w:ilvl w:val="0"/>
        <w:numId w:val="0"/>
      </w:numPr>
    </w:pPr>
  </w:style>
  <w:style w:type="paragraph" w:customStyle="1" w:styleId="Heading3nonumber">
    <w:name w:val="Heading 3 (no number)"/>
    <w:basedOn w:val="Heading3"/>
    <w:next w:val="BodyText"/>
    <w:rsid w:val="004D232A"/>
    <w:pPr>
      <w:numPr>
        <w:ilvl w:val="0"/>
        <w:numId w:val="0"/>
      </w:numPr>
    </w:pPr>
  </w:style>
  <w:style w:type="paragraph" w:customStyle="1" w:styleId="Heading8nonumber">
    <w:name w:val="Heading 8 (no number)"/>
    <w:basedOn w:val="Heading8"/>
    <w:next w:val="BodyText"/>
    <w:rsid w:val="004D232A"/>
    <w:pPr>
      <w:numPr>
        <w:ilvl w:val="0"/>
        <w:numId w:val="0"/>
      </w:numPr>
    </w:pPr>
  </w:style>
  <w:style w:type="paragraph" w:customStyle="1" w:styleId="Heading7nonumber">
    <w:name w:val="Heading 7 (no number)"/>
    <w:basedOn w:val="Heading7"/>
    <w:next w:val="BodyText"/>
    <w:rsid w:val="004D232A"/>
    <w:pPr>
      <w:numPr>
        <w:ilvl w:val="0"/>
        <w:numId w:val="0"/>
      </w:numPr>
    </w:pPr>
  </w:style>
  <w:style w:type="character" w:styleId="PageNumber">
    <w:name w:val="page number"/>
    <w:basedOn w:val="DefaultParagraphFont"/>
    <w:semiHidden/>
    <w:rsid w:val="004D232A"/>
    <w:rPr>
      <w:rFonts w:ascii="Arial" w:hAnsi="Arial"/>
      <w:b/>
      <w:spacing w:val="0"/>
      <w:position w:val="0"/>
      <w:sz w:val="18"/>
      <w:szCs w:val="15"/>
    </w:rPr>
  </w:style>
  <w:style w:type="paragraph" w:styleId="ListBullet">
    <w:name w:val="List Bullet"/>
    <w:basedOn w:val="BodyText"/>
    <w:link w:val="ListBulletChar"/>
    <w:rsid w:val="004D232A"/>
    <w:pPr>
      <w:keepLines/>
      <w:numPr>
        <w:numId w:val="4"/>
      </w:numPr>
      <w:spacing w:before="120"/>
    </w:pPr>
  </w:style>
  <w:style w:type="paragraph" w:styleId="ListBullet2">
    <w:name w:val="List Bullet 2"/>
    <w:basedOn w:val="ListBullet"/>
    <w:rsid w:val="004D232A"/>
    <w:pPr>
      <w:keepLines w:val="0"/>
      <w:numPr>
        <w:numId w:val="2"/>
      </w:numPr>
      <w:tabs>
        <w:tab w:val="left" w:pos="284"/>
      </w:tabs>
      <w:spacing w:before="60"/>
      <w:ind w:left="568" w:hanging="284"/>
    </w:pPr>
  </w:style>
  <w:style w:type="paragraph" w:styleId="ListNumber">
    <w:name w:val="List Number"/>
    <w:basedOn w:val="ListBullet"/>
    <w:rsid w:val="004D232A"/>
    <w:pPr>
      <w:numPr>
        <w:numId w:val="3"/>
      </w:numPr>
    </w:pPr>
  </w:style>
  <w:style w:type="paragraph" w:styleId="Quote">
    <w:name w:val="Quote"/>
    <w:basedOn w:val="BodyText"/>
    <w:next w:val="BodyText"/>
    <w:link w:val="QuoteChar"/>
    <w:qFormat/>
    <w:rsid w:val="004D232A"/>
    <w:pPr>
      <w:spacing w:before="120" w:line="260" w:lineRule="atLeast"/>
      <w:ind w:left="284"/>
    </w:pPr>
    <w:rPr>
      <w:sz w:val="20"/>
      <w:szCs w:val="19"/>
    </w:rPr>
  </w:style>
  <w:style w:type="character" w:customStyle="1" w:styleId="QuoteChar">
    <w:name w:val="Quote Char"/>
    <w:basedOn w:val="DefaultParagraphFont"/>
    <w:link w:val="Quote"/>
    <w:rsid w:val="004D232A"/>
    <w:rPr>
      <w:rFonts w:ascii="Book Antiqua" w:eastAsia="Times New Roman" w:hAnsi="Book Antiqua" w:cs="Times New Roman"/>
      <w:sz w:val="20"/>
      <w:szCs w:val="19"/>
      <w:lang w:eastAsia="en-AU"/>
    </w:rPr>
  </w:style>
  <w:style w:type="paragraph" w:customStyle="1" w:styleId="ChapterSummary">
    <w:name w:val="Chapter Summary"/>
    <w:basedOn w:val="Normal"/>
    <w:next w:val="BodyText"/>
    <w:semiHidden/>
    <w:rsid w:val="004D232A"/>
    <w:pPr>
      <w:spacing w:before="240" w:after="0" w:line="280" w:lineRule="atLeast"/>
      <w:jc w:val="both"/>
    </w:pPr>
    <w:rPr>
      <w:rFonts w:ascii="Arial" w:eastAsia="Times New Roman" w:hAnsi="Arial" w:cs="Times New Roman"/>
      <w:b/>
      <w:color w:val="666666"/>
      <w:sz w:val="21"/>
      <w:szCs w:val="21"/>
    </w:rPr>
  </w:style>
  <w:style w:type="paragraph" w:customStyle="1" w:styleId="BoxText">
    <w:name w:val="Box Text"/>
    <w:basedOn w:val="Normal"/>
    <w:rsid w:val="004D232A"/>
    <w:pPr>
      <w:spacing w:before="140" w:after="0" w:line="270" w:lineRule="atLeast"/>
      <w:jc w:val="both"/>
    </w:pPr>
    <w:rPr>
      <w:rFonts w:ascii="Arial" w:eastAsia="Times New Roman" w:hAnsi="Arial" w:cs="Times New Roman"/>
      <w:sz w:val="20"/>
      <w:szCs w:val="20"/>
      <w:lang w:eastAsia="en-AU"/>
    </w:rPr>
  </w:style>
  <w:style w:type="paragraph" w:styleId="Caption">
    <w:name w:val="caption"/>
    <w:basedOn w:val="Normal"/>
    <w:next w:val="Normal"/>
    <w:qFormat/>
    <w:rsid w:val="004D232A"/>
    <w:pPr>
      <w:spacing w:before="320" w:after="80" w:line="260" w:lineRule="atLeast"/>
      <w:ind w:left="1304" w:hanging="1304"/>
    </w:pPr>
    <w:rPr>
      <w:rFonts w:ascii="Arial" w:eastAsia="Times New Roman" w:hAnsi="Arial" w:cs="Times New Roman"/>
      <w:b/>
      <w:sz w:val="21"/>
      <w:szCs w:val="21"/>
      <w:lang w:eastAsia="en-AU"/>
    </w:rPr>
  </w:style>
  <w:style w:type="paragraph" w:customStyle="1" w:styleId="Invisiblepara">
    <w:name w:val="Invisible para"/>
    <w:basedOn w:val="BodyText"/>
    <w:next w:val="BodyText"/>
    <w:semiHidden/>
    <w:rsid w:val="004D232A"/>
    <w:pPr>
      <w:keepNext/>
      <w:spacing w:before="320" w:line="80" w:lineRule="exact"/>
    </w:pPr>
    <w:rPr>
      <w:szCs w:val="20"/>
    </w:rPr>
  </w:style>
  <w:style w:type="paragraph" w:customStyle="1" w:styleId="BoxNoteSource">
    <w:name w:val="Box Note/Source"/>
    <w:basedOn w:val="BoxText"/>
    <w:rsid w:val="004D232A"/>
    <w:pPr>
      <w:spacing w:before="280" w:line="200" w:lineRule="atLeast"/>
    </w:pPr>
    <w:rPr>
      <w:sz w:val="16"/>
      <w:szCs w:val="16"/>
    </w:rPr>
  </w:style>
  <w:style w:type="paragraph" w:customStyle="1" w:styleId="RecommendationNumber">
    <w:name w:val="Recommendation Number"/>
    <w:basedOn w:val="BodyText"/>
    <w:next w:val="BodyText"/>
    <w:rsid w:val="004D232A"/>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D232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D232A"/>
    <w:rPr>
      <w:rFonts w:ascii="Arial" w:eastAsia="Times New Roman" w:hAnsi="Arial" w:cs="Times New Roman"/>
      <w:sz w:val="16"/>
      <w:szCs w:val="16"/>
    </w:rPr>
  </w:style>
  <w:style w:type="character" w:customStyle="1" w:styleId="NoteLabel">
    <w:name w:val="Note Label"/>
    <w:basedOn w:val="DefaultParagraphFont"/>
    <w:rsid w:val="004D232A"/>
    <w:rPr>
      <w:rFonts w:ascii="Arial" w:hAnsi="Arial"/>
      <w:b/>
      <w:color w:val="auto"/>
      <w:spacing w:val="0"/>
      <w:position w:val="4"/>
      <w:sz w:val="16"/>
      <w:szCs w:val="16"/>
    </w:rPr>
  </w:style>
  <w:style w:type="paragraph" w:customStyle="1" w:styleId="Source">
    <w:name w:val="Source"/>
    <w:basedOn w:val="Normal"/>
    <w:next w:val="BodyText"/>
    <w:rsid w:val="004D232A"/>
    <w:pPr>
      <w:keepLines/>
      <w:spacing w:before="40" w:after="60" w:line="200" w:lineRule="atLeast"/>
    </w:pPr>
    <w:rPr>
      <w:rFonts w:ascii="Arial" w:eastAsia="Times New Roman" w:hAnsi="Arial" w:cs="Times New Roman"/>
      <w:sz w:val="16"/>
      <w:szCs w:val="16"/>
    </w:rPr>
  </w:style>
  <w:style w:type="character" w:customStyle="1" w:styleId="Subtitlebox">
    <w:name w:val="Subtitle box"/>
    <w:aliases w:val="chart &amp; table"/>
    <w:basedOn w:val="DefaultParagraphFont"/>
    <w:semiHidden/>
    <w:rsid w:val="004D232A"/>
    <w:rPr>
      <w:rFonts w:ascii="Arial" w:hAnsi="Arial"/>
      <w:b/>
      <w:sz w:val="19"/>
      <w:szCs w:val="19"/>
    </w:rPr>
  </w:style>
  <w:style w:type="paragraph" w:customStyle="1" w:styleId="Chart">
    <w:name w:val="Chart"/>
    <w:basedOn w:val="Normal"/>
    <w:semiHidden/>
    <w:rsid w:val="004D232A"/>
    <w:pPr>
      <w:spacing w:after="0" w:line="240" w:lineRule="auto"/>
      <w:jc w:val="center"/>
    </w:pPr>
    <w:rPr>
      <w:rFonts w:ascii="Arial" w:eastAsia="Times New Roman" w:hAnsi="Arial" w:cs="Times New Roman"/>
      <w:sz w:val="18"/>
      <w:szCs w:val="18"/>
      <w:lang w:eastAsia="en-AU"/>
    </w:rPr>
  </w:style>
  <w:style w:type="paragraph" w:customStyle="1" w:styleId="ChartListBullet">
    <w:name w:val="Chart List Bullet"/>
    <w:basedOn w:val="ChartText"/>
    <w:semiHidden/>
    <w:rsid w:val="004D232A"/>
    <w:pPr>
      <w:numPr>
        <w:numId w:val="24"/>
      </w:numPr>
      <w:spacing w:before="60"/>
    </w:pPr>
  </w:style>
  <w:style w:type="paragraph" w:customStyle="1" w:styleId="BoxListBullet2">
    <w:name w:val="Box List Bullet 2"/>
    <w:basedOn w:val="ListBullet2"/>
    <w:rsid w:val="004D232A"/>
    <w:pPr>
      <w:spacing w:before="40" w:line="270" w:lineRule="atLeast"/>
    </w:pPr>
    <w:rPr>
      <w:rFonts w:ascii="Arial" w:hAnsi="Arial"/>
      <w:sz w:val="20"/>
      <w:szCs w:val="20"/>
    </w:rPr>
  </w:style>
  <w:style w:type="paragraph" w:styleId="ListNumber2">
    <w:name w:val="List Number 2"/>
    <w:basedOn w:val="ListNumber"/>
    <w:rsid w:val="004D232A"/>
    <w:pPr>
      <w:numPr>
        <w:numId w:val="19"/>
      </w:numPr>
      <w:tabs>
        <w:tab w:val="clear" w:pos="567"/>
        <w:tab w:val="num" w:pos="360"/>
      </w:tabs>
      <w:spacing w:before="60"/>
      <w:ind w:left="283"/>
    </w:pPr>
  </w:style>
  <w:style w:type="paragraph" w:styleId="TOC5">
    <w:name w:val="toc 5"/>
    <w:basedOn w:val="TOC4"/>
    <w:next w:val="BodyText"/>
    <w:rsid w:val="004D232A"/>
    <w:pPr>
      <w:tabs>
        <w:tab w:val="clear" w:pos="425"/>
        <w:tab w:val="left" w:pos="709"/>
      </w:tabs>
      <w:spacing w:before="120"/>
      <w:ind w:left="709" w:hanging="284"/>
    </w:pPr>
  </w:style>
  <w:style w:type="paragraph" w:styleId="TOC4">
    <w:name w:val="toc 4"/>
    <w:basedOn w:val="TOC1"/>
    <w:next w:val="BodyText"/>
    <w:rsid w:val="004D232A"/>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4D232A"/>
    <w:pPr>
      <w:tabs>
        <w:tab w:val="left" w:pos="397"/>
        <w:tab w:val="right" w:pos="7938"/>
      </w:tabs>
      <w:spacing w:before="180" w:after="0" w:line="240" w:lineRule="atLeast"/>
      <w:ind w:left="397" w:right="284" w:hanging="397"/>
    </w:pPr>
    <w:rPr>
      <w:rFonts w:ascii="Arial" w:eastAsia="Times New Roman" w:hAnsi="Arial" w:cs="Times New Roman"/>
      <w:b/>
      <w:color w:val="00408A"/>
      <w:sz w:val="21"/>
      <w:szCs w:val="21"/>
      <w:lang w:eastAsia="en-AU"/>
    </w:rPr>
  </w:style>
  <w:style w:type="paragraph" w:styleId="TOC2">
    <w:name w:val="toc 2"/>
    <w:basedOn w:val="TOC1"/>
    <w:uiPriority w:val="39"/>
    <w:rsid w:val="004D232A"/>
    <w:pPr>
      <w:tabs>
        <w:tab w:val="clear" w:pos="397"/>
        <w:tab w:val="left" w:pos="907"/>
      </w:tabs>
      <w:spacing w:before="60"/>
      <w:ind w:left="907" w:hanging="510"/>
    </w:pPr>
    <w:rPr>
      <w:b w:val="0"/>
      <w:color w:val="auto"/>
    </w:rPr>
  </w:style>
  <w:style w:type="character" w:styleId="Hyperlink">
    <w:name w:val="Hyperlink"/>
    <w:basedOn w:val="DefaultParagraphFont"/>
    <w:rsid w:val="004D232A"/>
    <w:rPr>
      <w:color w:val="00408A"/>
      <w:u w:val="none"/>
    </w:rPr>
  </w:style>
  <w:style w:type="paragraph" w:customStyle="1" w:styleId="TableDataColumnHeading">
    <w:name w:val="Table Data Column Heading"/>
    <w:basedOn w:val="TableDataEntries"/>
    <w:rsid w:val="004D232A"/>
    <w:pPr>
      <w:spacing w:before="80" w:after="80"/>
    </w:pPr>
    <w:rPr>
      <w:b/>
    </w:rPr>
  </w:style>
  <w:style w:type="paragraph" w:customStyle="1" w:styleId="TableDataEntries">
    <w:name w:val="Table Data Entries"/>
    <w:basedOn w:val="TableTextEntries"/>
    <w:rsid w:val="004D232A"/>
    <w:pPr>
      <w:jc w:val="right"/>
    </w:pPr>
  </w:style>
  <w:style w:type="paragraph" w:customStyle="1" w:styleId="TableTextEntries">
    <w:name w:val="Table Text Entries"/>
    <w:basedOn w:val="Normal"/>
    <w:rsid w:val="004D232A"/>
    <w:pPr>
      <w:keepLines/>
      <w:spacing w:before="40" w:after="40" w:line="210" w:lineRule="atLeast"/>
    </w:pPr>
    <w:rPr>
      <w:rFonts w:ascii="Arial" w:eastAsia="Times New Roman" w:hAnsi="Arial" w:cs="Times New Roman"/>
      <w:sz w:val="19"/>
      <w:szCs w:val="19"/>
    </w:rPr>
  </w:style>
  <w:style w:type="paragraph" w:customStyle="1" w:styleId="TableHeading1">
    <w:name w:val="Table Heading 1"/>
    <w:basedOn w:val="TableTextEntries"/>
    <w:next w:val="TableTextEntries"/>
    <w:rsid w:val="004D232A"/>
    <w:pPr>
      <w:spacing w:before="180"/>
    </w:pPr>
    <w:rPr>
      <w:b/>
    </w:rPr>
  </w:style>
  <w:style w:type="paragraph" w:customStyle="1" w:styleId="TableHeading2">
    <w:name w:val="Table Heading 2"/>
    <w:basedOn w:val="TableHeading1"/>
    <w:next w:val="TableTextEntries"/>
    <w:rsid w:val="004D232A"/>
    <w:pPr>
      <w:spacing w:before="80"/>
    </w:pPr>
    <w:rPr>
      <w:b w:val="0"/>
      <w:i/>
    </w:rPr>
  </w:style>
  <w:style w:type="paragraph" w:customStyle="1" w:styleId="TableListBullet">
    <w:name w:val="Table List Bullet"/>
    <w:basedOn w:val="TableTextEntries"/>
    <w:rsid w:val="004D232A"/>
    <w:pPr>
      <w:numPr>
        <w:numId w:val="5"/>
      </w:numPr>
    </w:pPr>
  </w:style>
  <w:style w:type="paragraph" w:customStyle="1" w:styleId="TableListBullet2">
    <w:name w:val="Table List Bullet 2"/>
    <w:basedOn w:val="TableListBullet"/>
    <w:rsid w:val="004D232A"/>
    <w:pPr>
      <w:numPr>
        <w:numId w:val="6"/>
      </w:numPr>
    </w:pPr>
  </w:style>
  <w:style w:type="paragraph" w:customStyle="1" w:styleId="TableListNumber">
    <w:name w:val="Table List Number"/>
    <w:basedOn w:val="TableListBullet"/>
    <w:rsid w:val="004D232A"/>
    <w:pPr>
      <w:numPr>
        <w:numId w:val="15"/>
      </w:numPr>
    </w:pPr>
  </w:style>
  <w:style w:type="paragraph" w:customStyle="1" w:styleId="TableTextColumnHeading">
    <w:name w:val="Table Text Column Heading"/>
    <w:basedOn w:val="TableDataColumnHeading"/>
    <w:rsid w:val="004D232A"/>
    <w:pPr>
      <w:jc w:val="left"/>
    </w:pPr>
  </w:style>
  <w:style w:type="paragraph" w:customStyle="1" w:styleId="BoxHeading1">
    <w:name w:val="Box Heading 1"/>
    <w:basedOn w:val="BoxText"/>
    <w:next w:val="BoxText"/>
    <w:rsid w:val="004D232A"/>
    <w:pPr>
      <w:spacing w:before="280" w:line="260" w:lineRule="atLeast"/>
    </w:pPr>
    <w:rPr>
      <w:b/>
      <w:lang w:eastAsia="en-US"/>
    </w:rPr>
  </w:style>
  <w:style w:type="paragraph" w:customStyle="1" w:styleId="BoxListBullet">
    <w:name w:val="Box List Bullet"/>
    <w:basedOn w:val="ListBullet"/>
    <w:rsid w:val="004D232A"/>
    <w:pPr>
      <w:spacing w:before="80" w:line="270" w:lineRule="atLeast"/>
    </w:pPr>
    <w:rPr>
      <w:rFonts w:ascii="Arial" w:hAnsi="Arial"/>
      <w:sz w:val="20"/>
      <w:szCs w:val="20"/>
    </w:rPr>
  </w:style>
  <w:style w:type="character" w:styleId="CommentReference">
    <w:name w:val="annotation reference"/>
    <w:basedOn w:val="DefaultParagraphFont"/>
    <w:semiHidden/>
    <w:rsid w:val="004D232A"/>
    <w:rPr>
      <w:rFonts w:ascii="Arial" w:hAnsi="Arial"/>
      <w:b/>
      <w:vanish/>
      <w:color w:val="FF00FF"/>
      <w:sz w:val="20"/>
      <w:szCs w:val="20"/>
    </w:rPr>
  </w:style>
  <w:style w:type="paragraph" w:styleId="CommentText">
    <w:name w:val="annotation text"/>
    <w:basedOn w:val="BodyText"/>
    <w:link w:val="CommentTextChar"/>
    <w:semiHidden/>
    <w:rsid w:val="004D232A"/>
    <w:pPr>
      <w:spacing w:before="120" w:line="240" w:lineRule="atLeast"/>
      <w:ind w:left="567" w:hanging="567"/>
    </w:pPr>
    <w:rPr>
      <w:lang w:eastAsia="en-US"/>
    </w:rPr>
  </w:style>
  <w:style w:type="character" w:customStyle="1" w:styleId="CommentTextChar">
    <w:name w:val="Comment Text Char"/>
    <w:basedOn w:val="DefaultParagraphFont"/>
    <w:link w:val="CommentText"/>
    <w:semiHidden/>
    <w:rsid w:val="004D232A"/>
    <w:rPr>
      <w:rFonts w:ascii="Book Antiqua" w:eastAsia="Times New Roman" w:hAnsi="Book Antiqua" w:cs="Times New Roman"/>
      <w:szCs w:val="21"/>
    </w:rPr>
  </w:style>
  <w:style w:type="paragraph" w:customStyle="1" w:styleId="Contents">
    <w:name w:val="Contents"/>
    <w:basedOn w:val="Heading1nonumber"/>
    <w:semiHidden/>
    <w:rsid w:val="004D232A"/>
    <w:pPr>
      <w:tabs>
        <w:tab w:val="left" w:pos="0"/>
      </w:tabs>
      <w:spacing w:after="1300"/>
    </w:pPr>
    <w:rPr>
      <w:lang w:eastAsia="en-US"/>
    </w:rPr>
  </w:style>
  <w:style w:type="paragraph" w:customStyle="1" w:styleId="Equation">
    <w:name w:val="Equation"/>
    <w:basedOn w:val="BodyText"/>
    <w:next w:val="BodyText"/>
    <w:rsid w:val="004D232A"/>
    <w:pPr>
      <w:numPr>
        <w:numId w:val="7"/>
      </w:numPr>
      <w:tabs>
        <w:tab w:val="left" w:pos="851"/>
      </w:tabs>
      <w:jc w:val="left"/>
    </w:pPr>
    <w:rPr>
      <w:lang w:eastAsia="en-US"/>
    </w:rPr>
  </w:style>
  <w:style w:type="paragraph" w:customStyle="1" w:styleId="KeyPoint">
    <w:name w:val="Key Point"/>
    <w:basedOn w:val="Normal"/>
    <w:semiHidden/>
    <w:rsid w:val="004D232A"/>
    <w:pPr>
      <w:numPr>
        <w:numId w:val="8"/>
      </w:numPr>
      <w:spacing w:before="240" w:after="0" w:line="280" w:lineRule="atLeast"/>
      <w:jc w:val="both"/>
    </w:pPr>
    <w:rPr>
      <w:rFonts w:ascii="Arial" w:eastAsia="Times New Roman" w:hAnsi="Arial" w:cs="Times New Roman"/>
      <w:b/>
      <w:color w:val="666666"/>
      <w:sz w:val="21"/>
      <w:szCs w:val="21"/>
    </w:rPr>
  </w:style>
  <w:style w:type="paragraph" w:customStyle="1" w:styleId="TableUnit">
    <w:name w:val="Table Unit"/>
    <w:basedOn w:val="Normal"/>
    <w:next w:val="TableDataEntries"/>
    <w:semiHidden/>
    <w:rsid w:val="004D232A"/>
    <w:pPr>
      <w:keepNext/>
      <w:keepLines/>
      <w:spacing w:before="80" w:after="80" w:line="210" w:lineRule="atLeast"/>
      <w:jc w:val="right"/>
    </w:pPr>
    <w:rPr>
      <w:rFonts w:ascii="Arial" w:eastAsia="Times New Roman" w:hAnsi="Arial" w:cs="Times New Roman"/>
      <w:sz w:val="19"/>
      <w:szCs w:val="19"/>
    </w:rPr>
  </w:style>
  <w:style w:type="paragraph" w:styleId="ListNumber3">
    <w:name w:val="List Number 3"/>
    <w:basedOn w:val="ListNumber2"/>
    <w:rsid w:val="004D232A"/>
    <w:pPr>
      <w:numPr>
        <w:numId w:val="9"/>
      </w:numPr>
    </w:pPr>
  </w:style>
  <w:style w:type="paragraph" w:styleId="TOC3">
    <w:name w:val="toc 3"/>
    <w:basedOn w:val="TOC2"/>
    <w:semiHidden/>
    <w:rsid w:val="004D232A"/>
    <w:pPr>
      <w:tabs>
        <w:tab w:val="clear" w:pos="907"/>
        <w:tab w:val="left" w:pos="1531"/>
      </w:tabs>
      <w:spacing w:before="40"/>
      <w:ind w:left="1531" w:hanging="624"/>
    </w:pPr>
  </w:style>
  <w:style w:type="paragraph" w:styleId="TableofFigures">
    <w:name w:val="table of figures"/>
    <w:basedOn w:val="TOC2"/>
    <w:semiHidden/>
    <w:rsid w:val="004D232A"/>
    <w:pPr>
      <w:tabs>
        <w:tab w:val="left" w:pos="1191"/>
      </w:tabs>
      <w:ind w:left="1191" w:hanging="1191"/>
    </w:pPr>
  </w:style>
  <w:style w:type="paragraph" w:customStyle="1" w:styleId="PartTitle">
    <w:name w:val="Part Title"/>
    <w:basedOn w:val="Subtitle"/>
    <w:semiHidden/>
    <w:rsid w:val="004D232A"/>
    <w:pPr>
      <w:spacing w:before="0"/>
      <w:jc w:val="right"/>
    </w:pPr>
  </w:style>
  <w:style w:type="paragraph" w:customStyle="1" w:styleId="TableListNumber2">
    <w:name w:val="Table List Number 2"/>
    <w:basedOn w:val="TableListNumber"/>
    <w:rsid w:val="004D232A"/>
    <w:pPr>
      <w:numPr>
        <w:numId w:val="14"/>
      </w:numPr>
    </w:pPr>
  </w:style>
  <w:style w:type="paragraph" w:styleId="TOC6">
    <w:name w:val="toc 6"/>
    <w:basedOn w:val="TOC4"/>
    <w:next w:val="TOC1"/>
    <w:semiHidden/>
    <w:rsid w:val="004D232A"/>
  </w:style>
  <w:style w:type="paragraph" w:styleId="TOC7">
    <w:name w:val="toc 7"/>
    <w:basedOn w:val="TOC5"/>
    <w:next w:val="Normal"/>
    <w:semiHidden/>
    <w:rsid w:val="004D232A"/>
    <w:pPr>
      <w:spacing w:before="80"/>
    </w:pPr>
  </w:style>
  <w:style w:type="paragraph" w:styleId="TOC8">
    <w:name w:val="toc 8"/>
    <w:basedOn w:val="Normal"/>
    <w:next w:val="Normal"/>
    <w:autoRedefine/>
    <w:semiHidden/>
    <w:rsid w:val="004D232A"/>
    <w:pPr>
      <w:spacing w:after="0" w:line="240" w:lineRule="auto"/>
      <w:ind w:left="1680"/>
    </w:pPr>
    <w:rPr>
      <w:rFonts w:ascii="Book Antiqua" w:eastAsia="Times New Roman" w:hAnsi="Book Antiqua" w:cs="Times New Roman"/>
      <w:szCs w:val="24"/>
      <w:lang w:eastAsia="en-AU"/>
    </w:rPr>
  </w:style>
  <w:style w:type="paragraph" w:styleId="TOC9">
    <w:name w:val="toc 9"/>
    <w:basedOn w:val="Normal"/>
    <w:next w:val="Normal"/>
    <w:semiHidden/>
    <w:rsid w:val="004D232A"/>
    <w:pPr>
      <w:spacing w:before="40" w:after="40" w:line="240" w:lineRule="atLeast"/>
    </w:pPr>
    <w:rPr>
      <w:rFonts w:ascii="Arial" w:eastAsia="Times New Roman" w:hAnsi="Arial" w:cs="Times New Roman"/>
      <w:sz w:val="18"/>
      <w:szCs w:val="18"/>
      <w:lang w:eastAsia="en-AU"/>
    </w:rPr>
  </w:style>
  <w:style w:type="paragraph" w:customStyle="1" w:styleId="ChartListBullet2">
    <w:name w:val="Chart List Bullet 2"/>
    <w:basedOn w:val="ChartListBullet"/>
    <w:semiHidden/>
    <w:rsid w:val="004D232A"/>
    <w:pPr>
      <w:numPr>
        <w:numId w:val="25"/>
      </w:numPr>
      <w:spacing w:before="40"/>
    </w:pPr>
  </w:style>
  <w:style w:type="paragraph" w:customStyle="1" w:styleId="QuoteBullet">
    <w:name w:val="Quote Bullet"/>
    <w:basedOn w:val="Quote"/>
    <w:rsid w:val="004D232A"/>
    <w:pPr>
      <w:numPr>
        <w:numId w:val="10"/>
      </w:numPr>
    </w:pPr>
  </w:style>
  <w:style w:type="paragraph" w:customStyle="1" w:styleId="BoxHeading2">
    <w:name w:val="Box Heading 2"/>
    <w:basedOn w:val="BoxHeading1"/>
    <w:next w:val="BoxText"/>
    <w:rsid w:val="004D232A"/>
    <w:pPr>
      <w:spacing w:before="240"/>
    </w:pPr>
    <w:rPr>
      <w:b w:val="0"/>
      <w:i/>
    </w:rPr>
  </w:style>
  <w:style w:type="paragraph" w:customStyle="1" w:styleId="BoxListNumber">
    <w:name w:val="Box List Number"/>
    <w:basedOn w:val="BoxText"/>
    <w:rsid w:val="004D232A"/>
    <w:pPr>
      <w:numPr>
        <w:numId w:val="12"/>
      </w:numPr>
      <w:spacing w:before="80"/>
    </w:pPr>
  </w:style>
  <w:style w:type="paragraph" w:customStyle="1" w:styleId="BoxListNumber2">
    <w:name w:val="Box List Number 2"/>
    <w:basedOn w:val="BoxListNumber"/>
    <w:rsid w:val="004D232A"/>
    <w:pPr>
      <w:numPr>
        <w:numId w:val="11"/>
      </w:numPr>
    </w:pPr>
  </w:style>
  <w:style w:type="paragraph" w:customStyle="1" w:styleId="PartSubtitle">
    <w:name w:val="Part Subtitle"/>
    <w:basedOn w:val="PartTitle"/>
    <w:semiHidden/>
    <w:rsid w:val="004D232A"/>
    <w:pPr>
      <w:spacing w:before="360"/>
    </w:pPr>
  </w:style>
  <w:style w:type="paragraph" w:customStyle="1" w:styleId="QuoteHangingIndent">
    <w:name w:val="Quote Hanging Indent"/>
    <w:basedOn w:val="Quote"/>
    <w:next w:val="Normal"/>
    <w:rsid w:val="004D232A"/>
    <w:pPr>
      <w:ind w:left="851" w:hanging="567"/>
    </w:pPr>
  </w:style>
  <w:style w:type="paragraph" w:customStyle="1" w:styleId="RecommendationBullet">
    <w:name w:val="Recommendation Bullet"/>
    <w:basedOn w:val="Normal"/>
    <w:rsid w:val="004D232A"/>
    <w:pPr>
      <w:numPr>
        <w:numId w:val="20"/>
      </w:numPr>
      <w:spacing w:before="120" w:after="0" w:line="280" w:lineRule="atLeast"/>
      <w:jc w:val="both"/>
    </w:pPr>
    <w:rPr>
      <w:rFonts w:ascii="Arial" w:eastAsia="Times New Roman" w:hAnsi="Arial" w:cs="Times New Roman"/>
      <w:color w:val="00408A"/>
      <w:sz w:val="21"/>
      <w:szCs w:val="21"/>
      <w:lang w:eastAsia="en-AU"/>
    </w:rPr>
  </w:style>
  <w:style w:type="paragraph" w:customStyle="1" w:styleId="SeekCommentBullet">
    <w:name w:val="Seek Comment Bullet"/>
    <w:basedOn w:val="RecommendationBullet"/>
    <w:rsid w:val="004D232A"/>
    <w:pPr>
      <w:numPr>
        <w:numId w:val="17"/>
      </w:numPr>
    </w:pPr>
    <w:rPr>
      <w:color w:val="auto"/>
    </w:rPr>
  </w:style>
  <w:style w:type="character" w:customStyle="1" w:styleId="Notelabel0">
    <w:name w:val="Note label"/>
    <w:basedOn w:val="DefaultParagraphFont"/>
    <w:semiHidden/>
    <w:rsid w:val="004D232A"/>
    <w:rPr>
      <w:rFonts w:ascii="Arial" w:hAnsi="Arial"/>
      <w:b/>
      <w:color w:val="auto"/>
      <w:spacing w:val="0"/>
      <w:position w:val="4"/>
      <w:sz w:val="16"/>
      <w:szCs w:val="16"/>
    </w:rPr>
  </w:style>
  <w:style w:type="table" w:styleId="TableGrid">
    <w:name w:val="Table Grid"/>
    <w:basedOn w:val="TableNormal"/>
    <w:uiPriority w:val="59"/>
    <w:rsid w:val="004D232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4D232A"/>
    <w:pPr>
      <w:keepNext/>
    </w:pPr>
  </w:style>
  <w:style w:type="paragraph" w:customStyle="1" w:styleId="Abbreviation">
    <w:name w:val="Abbreviation"/>
    <w:basedOn w:val="Normal"/>
    <w:rsid w:val="004D232A"/>
    <w:pPr>
      <w:spacing w:before="240" w:after="0" w:line="280" w:lineRule="atLeast"/>
      <w:ind w:left="1418" w:hanging="1418"/>
      <w:jc w:val="both"/>
    </w:pPr>
    <w:rPr>
      <w:rFonts w:ascii="Book Antiqua" w:eastAsia="Times New Roman" w:hAnsi="Book Antiqua" w:cs="Times New Roman"/>
      <w:szCs w:val="21"/>
      <w:lang w:eastAsia="en-AU"/>
    </w:rPr>
  </w:style>
  <w:style w:type="paragraph" w:customStyle="1" w:styleId="BoxTitle">
    <w:name w:val="Box Title"/>
    <w:basedOn w:val="Caption"/>
    <w:rsid w:val="004D232A"/>
    <w:pPr>
      <w:keepNext/>
      <w:spacing w:before="140" w:after="60"/>
      <w:ind w:left="1219" w:hanging="1219"/>
    </w:pPr>
  </w:style>
  <w:style w:type="paragraph" w:customStyle="1" w:styleId="FigureTitle">
    <w:name w:val="Figure Title"/>
    <w:basedOn w:val="Caption"/>
    <w:rsid w:val="004D232A"/>
    <w:pPr>
      <w:keepNext/>
      <w:ind w:left="1389" w:hanging="1389"/>
    </w:pPr>
  </w:style>
  <w:style w:type="paragraph" w:styleId="NormalIndent">
    <w:name w:val="Normal Indent"/>
    <w:basedOn w:val="Normal"/>
    <w:semiHidden/>
    <w:rsid w:val="004D232A"/>
    <w:pPr>
      <w:spacing w:after="0" w:line="240" w:lineRule="auto"/>
      <w:ind w:left="720"/>
    </w:pPr>
    <w:rPr>
      <w:rFonts w:ascii="Book Antiqua" w:eastAsia="Times New Roman" w:hAnsi="Book Antiqua" w:cs="Times New Roman"/>
      <w:szCs w:val="24"/>
      <w:lang w:eastAsia="en-AU"/>
    </w:rPr>
  </w:style>
  <w:style w:type="paragraph" w:customStyle="1" w:styleId="BoxQuote">
    <w:name w:val="Box Quote"/>
    <w:basedOn w:val="BoxText"/>
    <w:next w:val="BoxText"/>
    <w:rsid w:val="004D232A"/>
    <w:pPr>
      <w:spacing w:before="60" w:line="250" w:lineRule="atLeast"/>
      <w:ind w:left="284"/>
    </w:pPr>
    <w:rPr>
      <w:sz w:val="18"/>
      <w:szCs w:val="18"/>
    </w:rPr>
  </w:style>
  <w:style w:type="paragraph" w:customStyle="1" w:styleId="BodytextIPART">
    <w:name w:val="Body text IPART"/>
    <w:basedOn w:val="BodyText"/>
    <w:next w:val="BodyText"/>
    <w:semiHidden/>
    <w:rsid w:val="004D232A"/>
  </w:style>
  <w:style w:type="paragraph" w:customStyle="1" w:styleId="Referencenumber">
    <w:name w:val="Reference number"/>
    <w:basedOn w:val="Report"/>
    <w:semiHidden/>
    <w:rsid w:val="004D232A"/>
    <w:pPr>
      <w:spacing w:line="240" w:lineRule="atLeast"/>
    </w:pPr>
    <w:rPr>
      <w:b w:val="0"/>
      <w:sz w:val="22"/>
      <w:szCs w:val="22"/>
    </w:rPr>
  </w:style>
  <w:style w:type="paragraph" w:customStyle="1" w:styleId="Determinationnumber">
    <w:name w:val="Determination number"/>
    <w:basedOn w:val="Report"/>
    <w:semiHidden/>
    <w:rsid w:val="004D232A"/>
  </w:style>
  <w:style w:type="paragraph" w:styleId="CommentSubject">
    <w:name w:val="annotation subject"/>
    <w:basedOn w:val="CommentText"/>
    <w:next w:val="CommentText"/>
    <w:link w:val="CommentSubjectChar"/>
    <w:semiHidden/>
    <w:rsid w:val="004D232A"/>
    <w:pPr>
      <w:spacing w:before="0" w:line="240" w:lineRule="auto"/>
      <w:ind w:left="0" w:firstLine="0"/>
      <w:jc w:val="left"/>
    </w:pPr>
    <w:rPr>
      <w:rFonts w:ascii="Times New Roman" w:hAnsi="Times New Roman"/>
      <w:b/>
      <w:bCs/>
      <w:sz w:val="20"/>
      <w:szCs w:val="20"/>
      <w:lang w:eastAsia="en-AU"/>
    </w:rPr>
  </w:style>
  <w:style w:type="character" w:customStyle="1" w:styleId="CommentSubjectChar">
    <w:name w:val="Comment Subject Char"/>
    <w:basedOn w:val="CommentTextChar"/>
    <w:link w:val="CommentSubject"/>
    <w:semiHidden/>
    <w:rsid w:val="004D232A"/>
    <w:rPr>
      <w:rFonts w:ascii="Times New Roman" w:eastAsia="Times New Roman" w:hAnsi="Times New Roman" w:cs="Times New Roman"/>
      <w:b/>
      <w:bCs/>
      <w:sz w:val="20"/>
      <w:szCs w:val="20"/>
      <w:lang w:eastAsia="en-AU"/>
    </w:rPr>
  </w:style>
  <w:style w:type="paragraph" w:styleId="BalloonText">
    <w:name w:val="Balloon Text"/>
    <w:basedOn w:val="Normal"/>
    <w:link w:val="BalloonTextChar"/>
    <w:semiHidden/>
    <w:rsid w:val="004D232A"/>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4D232A"/>
    <w:rPr>
      <w:rFonts w:ascii="Tahoma" w:eastAsia="Times New Roman" w:hAnsi="Tahoma" w:cs="Tahoma"/>
      <w:sz w:val="16"/>
      <w:szCs w:val="16"/>
      <w:lang w:eastAsia="en-AU"/>
    </w:rPr>
  </w:style>
  <w:style w:type="paragraph" w:customStyle="1" w:styleId="ChartText">
    <w:name w:val="Chart Text"/>
    <w:basedOn w:val="Normal"/>
    <w:semiHidden/>
    <w:rsid w:val="004D232A"/>
    <w:pPr>
      <w:spacing w:before="100" w:after="0" w:line="200" w:lineRule="atLeast"/>
    </w:pPr>
    <w:rPr>
      <w:rFonts w:ascii="Arial" w:eastAsia="Times New Roman" w:hAnsi="Arial" w:cs="Times New Roman"/>
      <w:sz w:val="18"/>
      <w:szCs w:val="18"/>
    </w:rPr>
  </w:style>
  <w:style w:type="paragraph" w:customStyle="1" w:styleId="ChartBoldText">
    <w:name w:val="Chart Bold Text"/>
    <w:basedOn w:val="ChartText"/>
    <w:next w:val="ChartText"/>
    <w:semiHidden/>
    <w:rsid w:val="004D232A"/>
    <w:pPr>
      <w:spacing w:before="0"/>
      <w:jc w:val="center"/>
    </w:pPr>
    <w:rPr>
      <w:b/>
    </w:rPr>
  </w:style>
  <w:style w:type="paragraph" w:customStyle="1" w:styleId="ChartHighlight">
    <w:name w:val="Chart Highlight"/>
    <w:basedOn w:val="ChartBoldText"/>
    <w:semiHidden/>
    <w:rsid w:val="004D232A"/>
    <w:pPr>
      <w:spacing w:line="220" w:lineRule="atLeast"/>
    </w:pPr>
    <w:rPr>
      <w:caps/>
      <w:color w:val="FFFFFF"/>
      <w:sz w:val="20"/>
      <w:szCs w:val="20"/>
    </w:rPr>
  </w:style>
  <w:style w:type="paragraph" w:customStyle="1" w:styleId="LCHeading1">
    <w:name w:val="LC Heading 1"/>
    <w:basedOn w:val="BodyText"/>
    <w:next w:val="BodyText"/>
    <w:semiHidden/>
    <w:rsid w:val="004D232A"/>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4D232A"/>
    <w:pPr>
      <w:spacing w:before="240"/>
      <w:outlineLvl w:val="1"/>
    </w:pPr>
    <w:rPr>
      <w:sz w:val="21"/>
      <w:szCs w:val="21"/>
    </w:rPr>
  </w:style>
  <w:style w:type="paragraph" w:customStyle="1" w:styleId="LCHeading3">
    <w:name w:val="LC Heading 3"/>
    <w:basedOn w:val="BodyText"/>
    <w:semiHidden/>
    <w:rsid w:val="004D232A"/>
    <w:pPr>
      <w:tabs>
        <w:tab w:val="num" w:pos="425"/>
      </w:tabs>
      <w:ind w:left="425" w:hanging="425"/>
      <w:outlineLvl w:val="2"/>
    </w:pPr>
    <w:rPr>
      <w:szCs w:val="20"/>
      <w:lang w:eastAsia="en-US"/>
    </w:rPr>
  </w:style>
  <w:style w:type="paragraph" w:customStyle="1" w:styleId="LCHeading4">
    <w:name w:val="LC Heading 4"/>
    <w:basedOn w:val="LCHeading3"/>
    <w:semiHidden/>
    <w:rsid w:val="004D232A"/>
    <w:pPr>
      <w:tabs>
        <w:tab w:val="clear" w:pos="425"/>
        <w:tab w:val="num" w:pos="851"/>
      </w:tabs>
      <w:ind w:left="851" w:hanging="426"/>
      <w:outlineLvl w:val="3"/>
    </w:pPr>
  </w:style>
  <w:style w:type="paragraph" w:customStyle="1" w:styleId="LCHeading5">
    <w:name w:val="LC Heading 5"/>
    <w:basedOn w:val="LCHeading4"/>
    <w:semiHidden/>
    <w:rsid w:val="004D232A"/>
    <w:pPr>
      <w:tabs>
        <w:tab w:val="clear" w:pos="851"/>
        <w:tab w:val="num" w:pos="1276"/>
      </w:tabs>
      <w:ind w:left="1276" w:hanging="425"/>
      <w:outlineLvl w:val="4"/>
    </w:pPr>
    <w:rPr>
      <w:szCs w:val="21"/>
    </w:rPr>
  </w:style>
  <w:style w:type="paragraph" w:customStyle="1" w:styleId="LCHeading6">
    <w:name w:val="LC Heading 6"/>
    <w:basedOn w:val="LCHeading5"/>
    <w:semiHidden/>
    <w:rsid w:val="004D232A"/>
    <w:pPr>
      <w:tabs>
        <w:tab w:val="clear" w:pos="1276"/>
        <w:tab w:val="num" w:pos="1701"/>
      </w:tabs>
      <w:ind w:left="1701"/>
      <w:outlineLvl w:val="5"/>
    </w:pPr>
  </w:style>
  <w:style w:type="paragraph" w:customStyle="1" w:styleId="NoteNumber">
    <w:name w:val="Note Number"/>
    <w:basedOn w:val="TableTextEntries"/>
    <w:link w:val="NoteNumberCharChar"/>
    <w:rsid w:val="004D232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D232A"/>
    <w:rPr>
      <w:rFonts w:ascii="Arial" w:eastAsia="Times New Roman" w:hAnsi="Arial" w:cs="Times New Roman"/>
      <w:sz w:val="16"/>
      <w:szCs w:val="16"/>
    </w:rPr>
  </w:style>
  <w:style w:type="paragraph" w:customStyle="1" w:styleId="SeekCommentHeading">
    <w:name w:val="Seek Comment Heading"/>
    <w:basedOn w:val="RecommendationHeading"/>
    <w:next w:val="SeekCommentNumber"/>
    <w:rsid w:val="004D232A"/>
  </w:style>
  <w:style w:type="paragraph" w:customStyle="1" w:styleId="RecommendationHeading">
    <w:name w:val="Recommendation Heading"/>
    <w:basedOn w:val="BodyText"/>
    <w:next w:val="RecommendationNumber"/>
    <w:rsid w:val="004D232A"/>
    <w:pPr>
      <w:keepNext/>
      <w:jc w:val="left"/>
    </w:pPr>
    <w:rPr>
      <w:rFonts w:ascii="Arial" w:hAnsi="Arial"/>
    </w:rPr>
  </w:style>
  <w:style w:type="paragraph" w:customStyle="1" w:styleId="ChartListNumber">
    <w:name w:val="Chart List Number"/>
    <w:basedOn w:val="ChartText"/>
    <w:semiHidden/>
    <w:rsid w:val="004D232A"/>
    <w:pPr>
      <w:numPr>
        <w:numId w:val="26"/>
      </w:numPr>
      <w:spacing w:before="60"/>
    </w:pPr>
  </w:style>
  <w:style w:type="paragraph" w:customStyle="1" w:styleId="FindingBullet">
    <w:name w:val="Finding Bullet"/>
    <w:basedOn w:val="RecommendationBullet"/>
    <w:rsid w:val="004D232A"/>
    <w:pPr>
      <w:numPr>
        <w:numId w:val="16"/>
      </w:numPr>
    </w:pPr>
  </w:style>
  <w:style w:type="paragraph" w:customStyle="1" w:styleId="FindingHeading">
    <w:name w:val="Finding Heading"/>
    <w:basedOn w:val="RecommendationHeading"/>
    <w:next w:val="FindingNumber"/>
    <w:rsid w:val="004D232A"/>
  </w:style>
  <w:style w:type="paragraph" w:customStyle="1" w:styleId="FindingNumber">
    <w:name w:val="Finding Number"/>
    <w:basedOn w:val="Normal"/>
    <w:next w:val="BodyText"/>
    <w:rsid w:val="004D232A"/>
    <w:pPr>
      <w:numPr>
        <w:numId w:val="22"/>
      </w:numPr>
      <w:spacing w:before="120" w:after="0" w:line="280" w:lineRule="atLeast"/>
      <w:jc w:val="both"/>
    </w:pPr>
    <w:rPr>
      <w:rFonts w:ascii="Arial" w:eastAsia="Times New Roman" w:hAnsi="Arial" w:cs="Times New Roman"/>
      <w:color w:val="00408A"/>
      <w:sz w:val="21"/>
      <w:szCs w:val="21"/>
      <w:lang w:eastAsia="en-AU"/>
    </w:rPr>
  </w:style>
  <w:style w:type="paragraph" w:customStyle="1" w:styleId="SeekCommentNumber">
    <w:name w:val="Seek Comment Number"/>
    <w:basedOn w:val="Normal"/>
    <w:next w:val="BodyText"/>
    <w:rsid w:val="004D232A"/>
    <w:pPr>
      <w:numPr>
        <w:numId w:val="18"/>
      </w:numPr>
      <w:spacing w:before="120" w:after="0" w:line="280" w:lineRule="atLeast"/>
      <w:jc w:val="both"/>
    </w:pPr>
    <w:rPr>
      <w:rFonts w:ascii="Arial" w:eastAsia="Times New Roman" w:hAnsi="Arial" w:cs="Times New Roman"/>
      <w:sz w:val="21"/>
      <w:szCs w:val="21"/>
      <w:lang w:eastAsia="en-AU"/>
    </w:rPr>
  </w:style>
  <w:style w:type="character" w:customStyle="1" w:styleId="ListBulletChar">
    <w:name w:val="List Bullet Char"/>
    <w:basedOn w:val="BodyTextChar"/>
    <w:link w:val="ListBullet"/>
    <w:rsid w:val="004D232A"/>
    <w:rPr>
      <w:rFonts w:ascii="Book Antiqua" w:eastAsia="Times New Roman" w:hAnsi="Book Antiqua" w:cs="Times New Roman"/>
      <w:szCs w:val="21"/>
      <w:lang w:eastAsia="en-AU"/>
    </w:rPr>
  </w:style>
  <w:style w:type="paragraph" w:styleId="ListParagraph">
    <w:name w:val="List Paragraph"/>
    <w:basedOn w:val="Normal"/>
    <w:uiPriority w:val="34"/>
    <w:qFormat/>
    <w:rsid w:val="004D232A"/>
    <w:pPr>
      <w:ind w:left="720"/>
      <w:contextualSpacing/>
    </w:pPr>
  </w:style>
  <w:style w:type="paragraph" w:customStyle="1" w:styleId="Default">
    <w:name w:val="Default"/>
    <w:rsid w:val="004D232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Revision">
    <w:name w:val="Revision"/>
    <w:hidden/>
    <w:uiPriority w:val="99"/>
    <w:semiHidden/>
    <w:rsid w:val="004D232A"/>
    <w:pPr>
      <w:spacing w:after="0" w:line="240" w:lineRule="auto"/>
    </w:pPr>
    <w:rPr>
      <w:rFonts w:ascii="Book Antiqua" w:eastAsia="Times New Roman" w:hAnsi="Book Antiqua" w:cs="Times New Roman"/>
      <w:szCs w:val="24"/>
      <w:lang w:eastAsia="en-AU"/>
    </w:rPr>
  </w:style>
  <w:style w:type="character" w:styleId="FollowedHyperlink">
    <w:name w:val="FollowedHyperlink"/>
    <w:basedOn w:val="DefaultParagraphFont"/>
    <w:rsid w:val="004D23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part.nsw.gov.au/Home/Industries/Local_Govt" TargetMode="External"/><Relationship Id="rId26" Type="http://schemas.openxmlformats.org/officeDocument/2006/relationships/image" Target="media/image3.png"/><Relationship Id="rId39"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image" Target="cid:image012.png@01D045F3.0413083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yperlink" Target="mailto:himali_ranasinghe@ipart.nsw.gov.au" TargetMode="External"/><Relationship Id="rId29" Type="http://schemas.openxmlformats.org/officeDocument/2006/relationships/image" Target="media/image6.png"/><Relationship Id="rId41" Type="http://schemas.openxmlformats.org/officeDocument/2006/relationships/image" Target="cid:image003.png@01D045F3.0413083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cid:image008.png@01D045F3.04130830"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hyperlink" Target="http://www.ipart.nsw.gov.au/files/948b8fb1-2e6e-4647-b9d3-a10000a2552a/Local_Government_-_Council_Portal_User_Guide_-_November_2012.pdf" TargetMode="External"/><Relationship Id="rId31" Type="http://schemas.openxmlformats.org/officeDocument/2006/relationships/image" Target="media/image8.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ipart.nsw.gov.au/" TargetMode="Externa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cid:image005.png@01D045F3.04130830" TargetMode="External"/><Relationship Id="rId48" Type="http://schemas.openxmlformats.org/officeDocument/2006/relationships/image" Target="media/image21.emf"/><Relationship Id="rId8" Type="http://schemas.openxmlformats.org/officeDocument/2006/relationships/header" Target="head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ustainablemelbourne.com/visions/the-melbourne-principles-for-sustainable-cities/"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 Id="rId5" Type="http://schemas.openxmlformats.org/officeDocument/2006/relationships/hyperlink" Target="http://www.planning.nsw.gov.au" TargetMode="External"/><Relationship Id="rId4" Type="http://schemas.openxmlformats.org/officeDocument/2006/relationships/hyperlink" Target="http://www.rba.gov.au/publications/rdp/2002/pdf/rdp2002-0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47</Pages>
  <Words>12012</Words>
  <Characters>68470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Lachlan Gibson</dc:creator>
  <cp:lastModifiedBy>Lachlan Gibson</cp:lastModifiedBy>
  <cp:revision>9</cp:revision>
  <cp:lastPrinted>2015-02-16T01:59:00Z</cp:lastPrinted>
  <dcterms:created xsi:type="dcterms:W3CDTF">2015-02-15T22:16:00Z</dcterms:created>
  <dcterms:modified xsi:type="dcterms:W3CDTF">2015-02-16T01:59:00Z</dcterms:modified>
</cp:coreProperties>
</file>