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F9" w:rsidRDefault="00F423F9"/>
    <w:tbl>
      <w:tblPr>
        <w:tblW w:w="7088" w:type="dxa"/>
        <w:tblInd w:w="1928" w:type="dxa"/>
        <w:tblLayout w:type="fixed"/>
        <w:tblLook w:val="01E0"/>
      </w:tblPr>
      <w:tblGrid>
        <w:gridCol w:w="7088"/>
      </w:tblGrid>
      <w:tr w:rsidR="00493377" w:rsidRPr="00455178" w:rsidTr="00F423F9">
        <w:trPr>
          <w:cantSplit/>
          <w:trHeight w:hRule="exact" w:val="6691"/>
        </w:trPr>
        <w:tc>
          <w:tcPr>
            <w:tcW w:w="7088" w:type="dxa"/>
            <w:tcMar>
              <w:left w:w="0" w:type="dxa"/>
              <w:right w:w="0" w:type="dxa"/>
            </w:tcMar>
          </w:tcPr>
          <w:p w:rsidR="00F423F9" w:rsidRDefault="00F423F9">
            <w:pPr>
              <w:pStyle w:val="Title"/>
            </w:pPr>
            <w:r w:rsidRPr="00F423F9">
              <w:rPr>
                <w:noProof/>
              </w:rPr>
              <w:drawing>
                <wp:anchor distT="36576" distB="36576" distL="36576" distR="36576" simplePos="0" relativeHeight="251661312" behindDoc="0" locked="0" layoutInCell="1" allowOverlap="1">
                  <wp:simplePos x="0" y="0"/>
                  <wp:positionH relativeFrom="column">
                    <wp:posOffset>1312476</wp:posOffset>
                  </wp:positionH>
                  <wp:positionV relativeFrom="paragraph">
                    <wp:posOffset>727731</wp:posOffset>
                  </wp:positionV>
                  <wp:extent cx="1789653" cy="1627833"/>
                  <wp:effectExtent l="19050" t="0" r="0" b="0"/>
                  <wp:wrapNone/>
                  <wp:docPr id="1" name="Picture 2" descr="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89653" cy="1627833"/>
                          </a:xfrm>
                          <a:prstGeom prst="rect">
                            <a:avLst/>
                          </a:prstGeom>
                          <a:noFill/>
                          <a:ln w="9525" algn="in">
                            <a:noFill/>
                            <a:miter lim="800000"/>
                            <a:headEnd/>
                            <a:tailEnd/>
                          </a:ln>
                          <a:effectLst/>
                        </pic:spPr>
                      </pic:pic>
                    </a:graphicData>
                  </a:graphic>
                </wp:anchor>
              </w:drawing>
            </w:r>
          </w:p>
          <w:p w:rsidR="00F423F9" w:rsidRDefault="00F423F9" w:rsidP="00F423F9">
            <w:pPr>
              <w:pStyle w:val="Title"/>
              <w:spacing w:before="200"/>
            </w:pPr>
          </w:p>
          <w:p w:rsidR="00F423F9" w:rsidRDefault="00F423F9" w:rsidP="00F423F9">
            <w:pPr>
              <w:pStyle w:val="Title"/>
              <w:spacing w:before="200"/>
              <w:jc w:val="center"/>
            </w:pPr>
            <w:r>
              <w:t>JERILDERIE SHIRE COUNCIL</w:t>
            </w:r>
          </w:p>
          <w:p w:rsidR="00493377" w:rsidRPr="000E20ED" w:rsidRDefault="000F359C" w:rsidP="00F423F9">
            <w:pPr>
              <w:pStyle w:val="Title"/>
              <w:spacing w:before="200"/>
              <w:jc w:val="center"/>
            </w:pPr>
            <w:r>
              <w:t>Special Variation Application Form – Part B</w:t>
            </w:r>
          </w:p>
          <w:p w:rsidR="00493377" w:rsidRPr="000E20ED" w:rsidRDefault="00F423F9" w:rsidP="00F423F9">
            <w:pPr>
              <w:pStyle w:val="Subtitle"/>
              <w:jc w:val="center"/>
              <w:rPr>
                <w:b w:val="0"/>
              </w:rPr>
            </w:pPr>
            <w:r>
              <w:t xml:space="preserve">Council Applications for </w:t>
            </w:r>
            <w:r w:rsidR="000F359C">
              <w:t>201</w:t>
            </w:r>
            <w:r w:rsidR="00466341">
              <w:t>5</w:t>
            </w:r>
            <w:r w:rsidR="000F359C">
              <w:t>/1</w:t>
            </w:r>
            <w:r w:rsidR="00466341">
              <w:t>6</w:t>
            </w:r>
          </w:p>
        </w:tc>
      </w:tr>
      <w:tr w:rsidR="00493377" w:rsidRPr="000E20ED" w:rsidTr="00F423F9">
        <w:trPr>
          <w:cantSplit/>
          <w:trHeight w:val="5103"/>
        </w:trPr>
        <w:tc>
          <w:tcPr>
            <w:tcW w:w="7088" w:type="dxa"/>
            <w:tcMar>
              <w:left w:w="0" w:type="dxa"/>
              <w:right w:w="0" w:type="dxa"/>
            </w:tcMar>
          </w:tcPr>
          <w:p w:rsidR="00F423F9" w:rsidRDefault="00F423F9">
            <w:pPr>
              <w:pStyle w:val="Report"/>
            </w:pPr>
          </w:p>
          <w:p w:rsidR="00F423F9" w:rsidRDefault="00F423F9">
            <w:pPr>
              <w:pStyle w:val="Report"/>
            </w:pPr>
          </w:p>
          <w:p w:rsidR="007C55F5" w:rsidRPr="00F423F9" w:rsidRDefault="00F423F9">
            <w:pPr>
              <w:pStyle w:val="Report"/>
              <w:rPr>
                <w:rFonts w:cs="Arial"/>
                <w:b w:val="0"/>
                <w:color w:val="002060"/>
              </w:rPr>
            </w:pPr>
            <w:r w:rsidRPr="00F423F9">
              <w:rPr>
                <w:rFonts w:cs="Arial"/>
                <w:b w:val="0"/>
                <w:color w:val="002060"/>
              </w:rPr>
              <w:t>Submitted to IPART:         16</w:t>
            </w:r>
            <w:r w:rsidR="007C55F5" w:rsidRPr="00F423F9">
              <w:rPr>
                <w:rFonts w:cs="Arial"/>
                <w:b w:val="0"/>
                <w:color w:val="002060"/>
              </w:rPr>
              <w:t xml:space="preserve"> February 2015</w:t>
            </w:r>
          </w:p>
          <w:p w:rsidR="00493377" w:rsidRPr="00F423F9" w:rsidRDefault="000F359C">
            <w:pPr>
              <w:pStyle w:val="Report"/>
              <w:rPr>
                <w:rFonts w:cs="Arial"/>
                <w:b w:val="0"/>
                <w:color w:val="002060"/>
              </w:rPr>
            </w:pPr>
            <w:r w:rsidRPr="00F423F9">
              <w:rPr>
                <w:rFonts w:cs="Arial"/>
                <w:b w:val="0"/>
                <w:color w:val="002060"/>
              </w:rPr>
              <w:t>Council Contact Person</w:t>
            </w:r>
            <w:r w:rsidR="00AE08A1" w:rsidRPr="00F423F9">
              <w:rPr>
                <w:rFonts w:cs="Arial"/>
                <w:b w:val="0"/>
                <w:color w:val="002060"/>
              </w:rPr>
              <w:t xml:space="preserve">: </w:t>
            </w:r>
            <w:r w:rsidR="00F423F9" w:rsidRPr="00F423F9">
              <w:rPr>
                <w:rFonts w:cs="Arial"/>
                <w:b w:val="0"/>
                <w:color w:val="002060"/>
              </w:rPr>
              <w:t xml:space="preserve">  </w:t>
            </w:r>
            <w:r w:rsidR="00AE08A1" w:rsidRPr="00F423F9">
              <w:rPr>
                <w:rFonts w:cs="Arial"/>
                <w:b w:val="0"/>
                <w:color w:val="002060"/>
              </w:rPr>
              <w:t>Craig Moffitt</w:t>
            </w:r>
          </w:p>
          <w:p w:rsidR="000F359C" w:rsidRPr="00F423F9" w:rsidRDefault="000F359C" w:rsidP="000F359C">
            <w:pPr>
              <w:pStyle w:val="Report"/>
              <w:rPr>
                <w:rFonts w:cs="Arial"/>
                <w:b w:val="0"/>
                <w:color w:val="002060"/>
              </w:rPr>
            </w:pPr>
            <w:r w:rsidRPr="00F423F9">
              <w:rPr>
                <w:rFonts w:cs="Arial"/>
                <w:b w:val="0"/>
                <w:color w:val="002060"/>
              </w:rPr>
              <w:t>Council Contact Phone:</w:t>
            </w:r>
            <w:r w:rsidR="00F423F9" w:rsidRPr="00F423F9">
              <w:rPr>
                <w:rFonts w:cs="Arial"/>
                <w:b w:val="0"/>
                <w:color w:val="002060"/>
              </w:rPr>
              <w:t xml:space="preserve">    </w:t>
            </w:r>
            <w:r w:rsidR="00AE08A1" w:rsidRPr="00F423F9">
              <w:rPr>
                <w:rFonts w:cs="Arial"/>
                <w:b w:val="0"/>
                <w:color w:val="002060"/>
              </w:rPr>
              <w:t>0358 861200</w:t>
            </w:r>
          </w:p>
          <w:p w:rsidR="000F359C" w:rsidRPr="00F423F9" w:rsidRDefault="000F359C" w:rsidP="000F359C">
            <w:pPr>
              <w:pStyle w:val="Report"/>
              <w:rPr>
                <w:rFonts w:cs="Arial"/>
                <w:b w:val="0"/>
                <w:color w:val="002060"/>
              </w:rPr>
            </w:pPr>
            <w:r w:rsidRPr="00F423F9">
              <w:rPr>
                <w:rFonts w:cs="Arial"/>
                <w:b w:val="0"/>
                <w:color w:val="002060"/>
              </w:rPr>
              <w:t>Council Contact Email:</w:t>
            </w:r>
            <w:r w:rsidR="00AE08A1" w:rsidRPr="00F423F9">
              <w:rPr>
                <w:rFonts w:cs="Arial"/>
                <w:b w:val="0"/>
                <w:color w:val="002060"/>
              </w:rPr>
              <w:t xml:space="preserve"> </w:t>
            </w:r>
            <w:r w:rsidR="00F423F9" w:rsidRPr="00F423F9">
              <w:rPr>
                <w:rFonts w:cs="Arial"/>
                <w:b w:val="0"/>
                <w:color w:val="002060"/>
              </w:rPr>
              <w:t xml:space="preserve">    </w:t>
            </w:r>
            <w:r w:rsidR="00AE08A1" w:rsidRPr="00F423F9">
              <w:rPr>
                <w:rFonts w:cs="Arial"/>
                <w:b w:val="0"/>
                <w:color w:val="002060"/>
              </w:rPr>
              <w:t>mail@jerilderie.nsw.gov.au</w:t>
            </w:r>
          </w:p>
          <w:p w:rsidR="00493377" w:rsidRPr="008B5D72" w:rsidRDefault="00493377">
            <w:pPr>
              <w:pStyle w:val="Date"/>
            </w:pPr>
          </w:p>
        </w:tc>
      </w:tr>
    </w:tbl>
    <w:p w:rsidR="00493377" w:rsidRPr="008A215E" w:rsidRDefault="00493377" w:rsidP="00841F9E">
      <w:pPr>
        <w:pStyle w:val="Heading6"/>
        <w:keepNext w:val="0"/>
        <w:pageBreakBefore w:val="0"/>
        <w:widowControl w:val="0"/>
        <w:numPr>
          <w:ilvl w:val="0"/>
          <w:numId w:val="0"/>
        </w:numPr>
        <w:spacing w:after="0" w:line="14" w:lineRule="exact"/>
        <w:rPr>
          <w:b w:val="0"/>
          <w:color w:val="FFFFFF"/>
          <w:position w:val="6"/>
        </w:rPr>
      </w:pPr>
    </w:p>
    <w:p w:rsidR="00BD6C09" w:rsidRDefault="00BD6C09" w:rsidP="00841F9E">
      <w:pPr>
        <w:sectPr w:rsidR="00BD6C09" w:rsidSect="00841F9E">
          <w:headerReference w:type="default" r:id="rId9"/>
          <w:pgSz w:w="11907" w:h="16840" w:code="9"/>
          <w:pgMar w:top="2268" w:right="1418" w:bottom="1418" w:left="1418" w:header="1134" w:footer="284" w:gutter="567"/>
          <w:pgNumType w:fmt="lowerRoman"/>
          <w:cols w:space="708"/>
          <w:docGrid w:linePitch="360"/>
        </w:sectPr>
      </w:pPr>
    </w:p>
    <w:p w:rsidR="00493377" w:rsidRPr="000E20ED" w:rsidRDefault="00493377" w:rsidP="00841F9E">
      <w:pPr>
        <w:pStyle w:val="BodytextIPART"/>
        <w:spacing w:before="400"/>
      </w:pPr>
      <w:r w:rsidRPr="000E20ED">
        <w:lastRenderedPageBreak/>
        <w:t xml:space="preserve"> Independent Pricing and Regulatory Tribunal of New South Wales </w:t>
      </w:r>
      <w:r w:rsidR="000F359C">
        <w:t>2014</w:t>
      </w:r>
    </w:p>
    <w:p w:rsidR="00493377" w:rsidRPr="004F54ED" w:rsidRDefault="00493377" w:rsidP="00841F9E">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rsidP="00841F9E">
      <w:pPr>
        <w:pStyle w:val="BodytextIPART"/>
      </w:pPr>
      <w:r w:rsidRPr="000E20ED">
        <w:t xml:space="preserve">ISBN </w:t>
      </w:r>
      <w:r w:rsidR="0019015E"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0019015E" w:rsidRPr="000E20ED">
        <w:fldChar w:fldCharType="end"/>
      </w:r>
    </w:p>
    <w:p w:rsidR="00493377" w:rsidRPr="000705E4" w:rsidRDefault="00493377" w:rsidP="00841F9E">
      <w:pPr>
        <w:pStyle w:val="BodytextIPART"/>
      </w:pPr>
      <w:r w:rsidRPr="000E20ED">
        <w:t xml:space="preserve">The </w:t>
      </w:r>
      <w:r w:rsidRPr="000705E4">
        <w:t>Tribunal members for this review are:</w:t>
      </w:r>
    </w:p>
    <w:p w:rsidR="00BC1489" w:rsidRPr="000705E4" w:rsidRDefault="00311A55" w:rsidP="00841F9E">
      <w:pPr>
        <w:pStyle w:val="BodytextIPART"/>
        <w:spacing w:before="80"/>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proofErr w:type="spellStart"/>
      <w:r w:rsidR="00800E5E" w:rsidRPr="000705E4">
        <w:rPr>
          <w:lang w:eastAsia="en-US"/>
        </w:rPr>
        <w:t>Boxall</w:t>
      </w:r>
      <w:proofErr w:type="spellEnd"/>
      <w:r w:rsidR="00800E5E" w:rsidRPr="000705E4">
        <w:rPr>
          <w:lang w:eastAsia="en-US"/>
        </w:rPr>
        <w:t xml:space="preserve"> AO</w:t>
      </w:r>
      <w:r w:rsidR="00BC1489" w:rsidRPr="000705E4">
        <w:rPr>
          <w:lang w:eastAsia="en-US"/>
        </w:rPr>
        <w:t>, Chairman</w:t>
      </w:r>
    </w:p>
    <w:p w:rsidR="00493377" w:rsidRPr="000705E4" w:rsidRDefault="00862B00" w:rsidP="00841F9E">
      <w:pPr>
        <w:pStyle w:val="BodytextIPART"/>
        <w:spacing w:before="80"/>
        <w:rPr>
          <w:lang w:eastAsia="en-US"/>
        </w:rPr>
      </w:pPr>
      <w:r w:rsidRPr="000705E4">
        <w:rPr>
          <w:lang w:eastAsia="en-US"/>
        </w:rPr>
        <w:t>Ms Catherine Jones</w:t>
      </w:r>
    </w:p>
    <w:p w:rsidR="00493377" w:rsidRPr="000705E4" w:rsidRDefault="00493377" w:rsidP="00841F9E">
      <w:pPr>
        <w:pStyle w:val="BodytextIPART"/>
      </w:pPr>
      <w:r w:rsidRPr="000705E4">
        <w:t>Inquiries regarding this document should be directed to a staff member:</w:t>
      </w:r>
    </w:p>
    <w:p w:rsidR="00493377" w:rsidRDefault="007B447B" w:rsidP="00841F9E">
      <w:pPr>
        <w:pStyle w:val="BodytextIPART"/>
        <w:tabs>
          <w:tab w:val="left" w:pos="3119"/>
        </w:tabs>
        <w:spacing w:before="80"/>
      </w:pPr>
      <w:r w:rsidRPr="000705E4">
        <w:t xml:space="preserve">Michael </w:t>
      </w:r>
      <w:proofErr w:type="spellStart"/>
      <w:r w:rsidRPr="000705E4">
        <w:t>Seery</w:t>
      </w:r>
      <w:proofErr w:type="spellEnd"/>
      <w:r w:rsidR="00493377" w:rsidRPr="000705E4">
        <w:tab/>
        <w:t>(02) 9290 </w:t>
      </w:r>
      <w:r w:rsidRPr="000705E4">
        <w:t>8421</w:t>
      </w:r>
    </w:p>
    <w:p w:rsidR="00944FF5" w:rsidRPr="006958FA" w:rsidRDefault="00944FF5" w:rsidP="00841F9E">
      <w:pPr>
        <w:pStyle w:val="BodytextIPART"/>
        <w:tabs>
          <w:tab w:val="left" w:pos="3119"/>
        </w:tabs>
        <w:spacing w:before="80"/>
      </w:pPr>
      <w:r>
        <w:t xml:space="preserve">Tony </w:t>
      </w:r>
      <w:proofErr w:type="spellStart"/>
      <w:r>
        <w:t>Camenzuli</w:t>
      </w:r>
      <w:proofErr w:type="spellEnd"/>
      <w:r>
        <w:tab/>
        <w:t>(02) 9113 7706</w:t>
      </w:r>
    </w:p>
    <w:p w:rsidR="00493377" w:rsidRPr="000705E4" w:rsidRDefault="00BB3C37" w:rsidP="00841F9E">
      <w:pPr>
        <w:pStyle w:val="BodytextIPART"/>
        <w:tabs>
          <w:tab w:val="left" w:pos="3119"/>
        </w:tabs>
        <w:spacing w:before="80"/>
      </w:pPr>
      <w:proofErr w:type="spellStart"/>
      <w:r w:rsidRPr="000705E4">
        <w:t>Kumi</w:t>
      </w:r>
      <w:proofErr w:type="spellEnd"/>
      <w:r w:rsidRPr="000705E4">
        <w:t xml:space="preserve"> </w:t>
      </w:r>
      <w:proofErr w:type="spellStart"/>
      <w:r w:rsidRPr="000705E4">
        <w:t>Cuthbertson</w:t>
      </w:r>
      <w:proofErr w:type="spellEnd"/>
      <w:r w:rsidRPr="000705E4">
        <w:tab/>
      </w:r>
      <w:r w:rsidRPr="000705E4">
        <w:tab/>
      </w:r>
      <w:r w:rsidR="00493377" w:rsidRPr="000705E4">
        <w:t>(02) 9290 </w:t>
      </w:r>
      <w:r w:rsidRPr="000705E4">
        <w:t>8479</w:t>
      </w:r>
    </w:p>
    <w:p w:rsidR="00493377" w:rsidRPr="000705E4" w:rsidRDefault="00493377" w:rsidP="00841F9E">
      <w:pPr>
        <w:pStyle w:val="BodytextIPART"/>
        <w:framePr w:hSpace="181" w:wrap="around" w:hAnchor="text" w:yAlign="bottom"/>
      </w:pPr>
      <w:r w:rsidRPr="000705E4">
        <w:t>Independent Pricing and Regulatory Tribunal of New South Wales</w:t>
      </w:r>
    </w:p>
    <w:p w:rsidR="00493377" w:rsidRPr="000705E4" w:rsidRDefault="00493377" w:rsidP="00841F9E">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rsidP="00841F9E">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rsidP="00841F9E">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19015E" w:rsidP="00841F9E">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rsidSect="00841F9E">
          <w:headerReference w:type="even" r:id="rId11"/>
          <w:headerReference w:type="default" r:id="rId12"/>
          <w:footerReference w:type="even" r:id="rId13"/>
          <w:footerReference w:type="default" r:id="rId14"/>
          <w:pgSz w:w="11907" w:h="16840" w:code="9"/>
          <w:pgMar w:top="965" w:right="1418" w:bottom="1418" w:left="1418" w:header="567" w:footer="284" w:gutter="567"/>
          <w:pgNumType w:fmt="lowerRoman"/>
          <w:cols w:space="708"/>
          <w:docGrid w:linePitch="360"/>
        </w:sectPr>
      </w:pPr>
    </w:p>
    <w:p w:rsidR="00493377" w:rsidRDefault="0019015E" w:rsidP="0092086B">
      <w:pPr>
        <w:pStyle w:val="Contents"/>
        <w:spacing w:before="0" w:after="520"/>
      </w:pPr>
      <w:r>
        <w:rPr>
          <w:noProof/>
          <w:lang w:eastAsia="en-AU"/>
        </w:rPr>
        <w:lastRenderedPageBreak/>
        <w:pict>
          <v:rect id="Rectangle 1913" o:spid="_x0000_s1026" style="position:absolute;margin-left:0;margin-top:-70.9pt;width:595.3pt;height:56.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w:r>
      <w:r w:rsidR="00493377" w:rsidRPr="000E20ED">
        <w:t>Contents</w:t>
      </w:r>
    </w:p>
    <w:p w:rsidR="00F423F9" w:rsidRDefault="0019015E">
      <w:pPr>
        <w:pStyle w:val="TOC1"/>
        <w:rPr>
          <w:rFonts w:asciiTheme="minorHAnsi" w:eastAsiaTheme="minorEastAsia" w:hAnsiTheme="minorHAnsi" w:cstheme="minorBidi"/>
          <w:b w:val="0"/>
          <w:noProof/>
          <w:color w:val="auto"/>
          <w:sz w:val="22"/>
          <w:szCs w:val="22"/>
        </w:rPr>
      </w:pPr>
      <w:r w:rsidRPr="0019015E">
        <w:fldChar w:fldCharType="begin"/>
      </w:r>
      <w:r w:rsidR="00493377" w:rsidRPr="002F428B">
        <w:instrText xml:space="preserve"> TOC \o "2-2" \t "Heading 1,1,Heading 6,2,Heading 1 (no number),1,Part Subtitle,1"  \* MERGEFORMAT  \* MERGEFORMAT </w:instrText>
      </w:r>
      <w:r w:rsidRPr="0019015E">
        <w:fldChar w:fldCharType="separate"/>
      </w:r>
      <w:r w:rsidR="00F423F9">
        <w:rPr>
          <w:noProof/>
        </w:rPr>
        <w:t>1</w:t>
      </w:r>
      <w:r w:rsidR="00F423F9">
        <w:rPr>
          <w:rFonts w:asciiTheme="minorHAnsi" w:eastAsiaTheme="minorEastAsia" w:hAnsiTheme="minorHAnsi" w:cstheme="minorBidi"/>
          <w:b w:val="0"/>
          <w:noProof/>
          <w:color w:val="auto"/>
          <w:sz w:val="22"/>
          <w:szCs w:val="22"/>
        </w:rPr>
        <w:tab/>
      </w:r>
      <w:r w:rsidR="00F423F9">
        <w:rPr>
          <w:noProof/>
        </w:rPr>
        <w:t>Introduction</w:t>
      </w:r>
      <w:r w:rsidR="00F423F9">
        <w:rPr>
          <w:noProof/>
        </w:rPr>
        <w:tab/>
      </w:r>
      <w:r>
        <w:rPr>
          <w:noProof/>
        </w:rPr>
        <w:fldChar w:fldCharType="begin"/>
      </w:r>
      <w:r w:rsidR="00F423F9">
        <w:rPr>
          <w:noProof/>
        </w:rPr>
        <w:instrText xml:space="preserve"> PAGEREF _Toc411847901 \h </w:instrText>
      </w:r>
      <w:r>
        <w:rPr>
          <w:noProof/>
        </w:rPr>
      </w:r>
      <w:r>
        <w:rPr>
          <w:noProof/>
        </w:rPr>
        <w:fldChar w:fldCharType="separate"/>
      </w:r>
      <w:r w:rsidR="00F423F9">
        <w:rPr>
          <w:noProof/>
        </w:rPr>
        <w:t>1</w:t>
      </w:r>
      <w:r>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sidR="0019015E">
        <w:rPr>
          <w:noProof/>
        </w:rPr>
        <w:fldChar w:fldCharType="begin"/>
      </w:r>
      <w:r>
        <w:rPr>
          <w:noProof/>
        </w:rPr>
        <w:instrText xml:space="preserve"> PAGEREF _Toc411847902 \h </w:instrText>
      </w:r>
      <w:r w:rsidR="0019015E">
        <w:rPr>
          <w:noProof/>
        </w:rPr>
      </w:r>
      <w:r w:rsidR="0019015E">
        <w:rPr>
          <w:noProof/>
        </w:rPr>
        <w:fldChar w:fldCharType="separate"/>
      </w:r>
      <w:r>
        <w:rPr>
          <w:noProof/>
        </w:rPr>
        <w:t>1</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sidR="0019015E">
        <w:rPr>
          <w:noProof/>
        </w:rPr>
        <w:fldChar w:fldCharType="begin"/>
      </w:r>
      <w:r>
        <w:rPr>
          <w:noProof/>
        </w:rPr>
        <w:instrText xml:space="preserve"> PAGEREF _Toc411847903 \h </w:instrText>
      </w:r>
      <w:r w:rsidR="0019015E">
        <w:rPr>
          <w:noProof/>
        </w:rPr>
      </w:r>
      <w:r w:rsidR="0019015E">
        <w:rPr>
          <w:noProof/>
        </w:rPr>
        <w:fldChar w:fldCharType="separate"/>
      </w:r>
      <w:r>
        <w:rPr>
          <w:noProof/>
        </w:rPr>
        <w:t>2</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sidR="0019015E">
        <w:rPr>
          <w:noProof/>
        </w:rPr>
        <w:fldChar w:fldCharType="begin"/>
      </w:r>
      <w:r>
        <w:rPr>
          <w:noProof/>
        </w:rPr>
        <w:instrText xml:space="preserve"> PAGEREF _Toc411847904 \h </w:instrText>
      </w:r>
      <w:r w:rsidR="0019015E">
        <w:rPr>
          <w:noProof/>
        </w:rPr>
      </w:r>
      <w:r w:rsidR="0019015E">
        <w:rPr>
          <w:noProof/>
        </w:rPr>
        <w:fldChar w:fldCharType="separate"/>
      </w:r>
      <w:r>
        <w:rPr>
          <w:noProof/>
        </w:rPr>
        <w:t>3</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sidR="0019015E">
        <w:rPr>
          <w:noProof/>
        </w:rPr>
        <w:fldChar w:fldCharType="begin"/>
      </w:r>
      <w:r>
        <w:rPr>
          <w:noProof/>
        </w:rPr>
        <w:instrText xml:space="preserve"> PAGEREF _Toc411847905 \h </w:instrText>
      </w:r>
      <w:r w:rsidR="0019015E">
        <w:rPr>
          <w:noProof/>
        </w:rPr>
      </w:r>
      <w:r w:rsidR="0019015E">
        <w:rPr>
          <w:noProof/>
        </w:rPr>
        <w:fldChar w:fldCharType="separate"/>
      </w:r>
      <w:r>
        <w:rPr>
          <w:noProof/>
        </w:rPr>
        <w:t>3</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sidR="0019015E">
        <w:rPr>
          <w:noProof/>
        </w:rPr>
        <w:fldChar w:fldCharType="begin"/>
      </w:r>
      <w:r>
        <w:rPr>
          <w:noProof/>
        </w:rPr>
        <w:instrText xml:space="preserve"> PAGEREF _Toc411847906 \h </w:instrText>
      </w:r>
      <w:r w:rsidR="0019015E">
        <w:rPr>
          <w:noProof/>
        </w:rPr>
      </w:r>
      <w:r w:rsidR="0019015E">
        <w:rPr>
          <w:noProof/>
        </w:rPr>
        <w:fldChar w:fldCharType="separate"/>
      </w:r>
      <w:r>
        <w:rPr>
          <w:noProof/>
        </w:rPr>
        <w:t>3</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sidR="0019015E">
        <w:rPr>
          <w:noProof/>
        </w:rPr>
        <w:fldChar w:fldCharType="begin"/>
      </w:r>
      <w:r>
        <w:rPr>
          <w:noProof/>
        </w:rPr>
        <w:instrText xml:space="preserve"> PAGEREF _Toc411847907 \h </w:instrText>
      </w:r>
      <w:r w:rsidR="0019015E">
        <w:rPr>
          <w:noProof/>
        </w:rPr>
      </w:r>
      <w:r w:rsidR="0019015E">
        <w:rPr>
          <w:noProof/>
        </w:rPr>
        <w:fldChar w:fldCharType="separate"/>
      </w:r>
      <w:r>
        <w:rPr>
          <w:noProof/>
        </w:rPr>
        <w:t>5</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sidR="0019015E">
        <w:rPr>
          <w:noProof/>
        </w:rPr>
        <w:fldChar w:fldCharType="begin"/>
      </w:r>
      <w:r>
        <w:rPr>
          <w:noProof/>
        </w:rPr>
        <w:instrText xml:space="preserve"> PAGEREF _Toc411847908 \h </w:instrText>
      </w:r>
      <w:r w:rsidR="0019015E">
        <w:rPr>
          <w:noProof/>
        </w:rPr>
      </w:r>
      <w:r w:rsidR="0019015E">
        <w:rPr>
          <w:noProof/>
        </w:rPr>
        <w:fldChar w:fldCharType="separate"/>
      </w:r>
      <w:r>
        <w:rPr>
          <w:noProof/>
        </w:rPr>
        <w:t>5</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sidR="0019015E">
        <w:rPr>
          <w:noProof/>
        </w:rPr>
        <w:fldChar w:fldCharType="begin"/>
      </w:r>
      <w:r>
        <w:rPr>
          <w:noProof/>
        </w:rPr>
        <w:instrText xml:space="preserve"> PAGEREF _Toc411847909 \h </w:instrText>
      </w:r>
      <w:r w:rsidR="0019015E">
        <w:rPr>
          <w:noProof/>
        </w:rPr>
      </w:r>
      <w:r w:rsidR="0019015E">
        <w:rPr>
          <w:noProof/>
        </w:rPr>
        <w:fldChar w:fldCharType="separate"/>
      </w:r>
      <w:r>
        <w:rPr>
          <w:noProof/>
        </w:rPr>
        <w:t>6</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sidR="0019015E">
        <w:rPr>
          <w:noProof/>
        </w:rPr>
        <w:fldChar w:fldCharType="begin"/>
      </w:r>
      <w:r>
        <w:rPr>
          <w:noProof/>
        </w:rPr>
        <w:instrText xml:space="preserve"> PAGEREF _Toc411847910 \h </w:instrText>
      </w:r>
      <w:r w:rsidR="0019015E">
        <w:rPr>
          <w:noProof/>
        </w:rPr>
      </w:r>
      <w:r w:rsidR="0019015E">
        <w:rPr>
          <w:noProof/>
        </w:rPr>
        <w:fldChar w:fldCharType="separate"/>
      </w:r>
      <w:r>
        <w:rPr>
          <w:noProof/>
        </w:rPr>
        <w:t>7</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sidR="0019015E">
        <w:rPr>
          <w:noProof/>
        </w:rPr>
        <w:fldChar w:fldCharType="begin"/>
      </w:r>
      <w:r>
        <w:rPr>
          <w:noProof/>
        </w:rPr>
        <w:instrText xml:space="preserve"> PAGEREF _Toc411847911 \h </w:instrText>
      </w:r>
      <w:r w:rsidR="0019015E">
        <w:rPr>
          <w:noProof/>
        </w:rPr>
      </w:r>
      <w:r w:rsidR="0019015E">
        <w:rPr>
          <w:noProof/>
        </w:rPr>
        <w:fldChar w:fldCharType="separate"/>
      </w:r>
      <w:r>
        <w:rPr>
          <w:noProof/>
        </w:rPr>
        <w:t>8</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sidR="0019015E">
        <w:rPr>
          <w:noProof/>
        </w:rPr>
        <w:fldChar w:fldCharType="begin"/>
      </w:r>
      <w:r>
        <w:rPr>
          <w:noProof/>
        </w:rPr>
        <w:instrText xml:space="preserve"> PAGEREF _Toc411847912 \h </w:instrText>
      </w:r>
      <w:r w:rsidR="0019015E">
        <w:rPr>
          <w:noProof/>
        </w:rPr>
      </w:r>
      <w:r w:rsidR="0019015E">
        <w:rPr>
          <w:noProof/>
        </w:rPr>
        <w:fldChar w:fldCharType="separate"/>
      </w:r>
      <w:r>
        <w:rPr>
          <w:noProof/>
        </w:rPr>
        <w:t>10</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sidR="0019015E">
        <w:rPr>
          <w:noProof/>
        </w:rPr>
        <w:fldChar w:fldCharType="begin"/>
      </w:r>
      <w:r>
        <w:rPr>
          <w:noProof/>
        </w:rPr>
        <w:instrText xml:space="preserve"> PAGEREF _Toc411847913 \h </w:instrText>
      </w:r>
      <w:r w:rsidR="0019015E">
        <w:rPr>
          <w:noProof/>
        </w:rPr>
      </w:r>
      <w:r w:rsidR="0019015E">
        <w:rPr>
          <w:noProof/>
        </w:rPr>
        <w:fldChar w:fldCharType="separate"/>
      </w:r>
      <w:r>
        <w:rPr>
          <w:noProof/>
        </w:rPr>
        <w:t>10</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The consultation strategy</w:t>
      </w:r>
      <w:r>
        <w:rPr>
          <w:noProof/>
        </w:rPr>
        <w:tab/>
      </w:r>
      <w:r w:rsidR="0019015E">
        <w:rPr>
          <w:noProof/>
        </w:rPr>
        <w:fldChar w:fldCharType="begin"/>
      </w:r>
      <w:r>
        <w:rPr>
          <w:noProof/>
        </w:rPr>
        <w:instrText xml:space="preserve"> PAGEREF _Toc411847914 \h </w:instrText>
      </w:r>
      <w:r w:rsidR="0019015E">
        <w:rPr>
          <w:noProof/>
        </w:rPr>
      </w:r>
      <w:r w:rsidR="0019015E">
        <w:rPr>
          <w:noProof/>
        </w:rPr>
        <w:fldChar w:fldCharType="separate"/>
      </w:r>
      <w:r>
        <w:rPr>
          <w:noProof/>
        </w:rPr>
        <w:t>12</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sidR="0019015E">
        <w:rPr>
          <w:noProof/>
        </w:rPr>
        <w:fldChar w:fldCharType="begin"/>
      </w:r>
      <w:r>
        <w:rPr>
          <w:noProof/>
        </w:rPr>
        <w:instrText xml:space="preserve"> PAGEREF _Toc411847915 \h </w:instrText>
      </w:r>
      <w:r w:rsidR="0019015E">
        <w:rPr>
          <w:noProof/>
        </w:rPr>
      </w:r>
      <w:r w:rsidR="0019015E">
        <w:rPr>
          <w:noProof/>
        </w:rPr>
        <w:fldChar w:fldCharType="separate"/>
      </w:r>
      <w:r>
        <w:rPr>
          <w:noProof/>
        </w:rPr>
        <w:t>13</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sidR="0019015E">
        <w:rPr>
          <w:noProof/>
        </w:rPr>
        <w:fldChar w:fldCharType="begin"/>
      </w:r>
      <w:r>
        <w:rPr>
          <w:noProof/>
        </w:rPr>
        <w:instrText xml:space="preserve"> PAGEREF _Toc411847916 \h </w:instrText>
      </w:r>
      <w:r w:rsidR="0019015E">
        <w:rPr>
          <w:noProof/>
        </w:rPr>
      </w:r>
      <w:r w:rsidR="0019015E">
        <w:rPr>
          <w:noProof/>
        </w:rPr>
        <w:fldChar w:fldCharType="separate"/>
      </w:r>
      <w:r>
        <w:rPr>
          <w:noProof/>
        </w:rPr>
        <w:t>14</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sidR="0019015E">
        <w:rPr>
          <w:noProof/>
        </w:rPr>
        <w:fldChar w:fldCharType="begin"/>
      </w:r>
      <w:r>
        <w:rPr>
          <w:noProof/>
        </w:rPr>
        <w:instrText xml:space="preserve"> PAGEREF _Toc411847917 \h </w:instrText>
      </w:r>
      <w:r w:rsidR="0019015E">
        <w:rPr>
          <w:noProof/>
        </w:rPr>
      </w:r>
      <w:r w:rsidR="0019015E">
        <w:rPr>
          <w:noProof/>
        </w:rPr>
        <w:fldChar w:fldCharType="separate"/>
      </w:r>
      <w:r>
        <w:rPr>
          <w:noProof/>
        </w:rPr>
        <w:t>14</w:t>
      </w:r>
      <w:r w:rsidR="0019015E">
        <w:rPr>
          <w:noProof/>
        </w:rPr>
        <w:fldChar w:fldCharType="end"/>
      </w:r>
    </w:p>
    <w:p w:rsidR="00F423F9" w:rsidRDefault="00F423F9">
      <w:pPr>
        <w:pStyle w:val="TOC2"/>
        <w:rPr>
          <w:noProof/>
        </w:rPr>
      </w:pPr>
      <w:r>
        <w:rPr>
          <w:noProof/>
        </w:rPr>
        <w:t>5.2</w:t>
      </w:r>
      <w:r>
        <w:rPr>
          <w:rFonts w:asciiTheme="minorHAnsi" w:eastAsiaTheme="minorEastAsia" w:hAnsiTheme="minorHAnsi" w:cstheme="minorBidi"/>
          <w:noProof/>
          <w:sz w:val="22"/>
          <w:szCs w:val="22"/>
        </w:rPr>
        <w:tab/>
      </w:r>
      <w:r>
        <w:rPr>
          <w:noProof/>
        </w:rPr>
        <w:t xml:space="preserve">Consideration of affordability and the community’s capacity and </w:t>
      </w:r>
      <w:r>
        <w:rPr>
          <w:noProof/>
        </w:rPr>
        <w:tab/>
      </w:r>
    </w:p>
    <w:p w:rsidR="00F423F9" w:rsidRDefault="00F423F9">
      <w:pPr>
        <w:pStyle w:val="TOC2"/>
        <w:rPr>
          <w:rFonts w:asciiTheme="minorHAnsi" w:eastAsiaTheme="minorEastAsia" w:hAnsiTheme="minorHAnsi" w:cstheme="minorBidi"/>
          <w:noProof/>
          <w:sz w:val="22"/>
          <w:szCs w:val="22"/>
        </w:rPr>
      </w:pPr>
      <w:r>
        <w:rPr>
          <w:noProof/>
        </w:rPr>
        <w:t>willingness to pay</w:t>
      </w:r>
      <w:r>
        <w:rPr>
          <w:noProof/>
        </w:rPr>
        <w:tab/>
      </w:r>
      <w:r w:rsidR="0019015E">
        <w:rPr>
          <w:noProof/>
        </w:rPr>
        <w:fldChar w:fldCharType="begin"/>
      </w:r>
      <w:r>
        <w:rPr>
          <w:noProof/>
        </w:rPr>
        <w:instrText xml:space="preserve"> PAGEREF _Toc411847918 \h </w:instrText>
      </w:r>
      <w:r w:rsidR="0019015E">
        <w:rPr>
          <w:noProof/>
        </w:rPr>
      </w:r>
      <w:r w:rsidR="0019015E">
        <w:rPr>
          <w:noProof/>
        </w:rPr>
        <w:fldChar w:fldCharType="separate"/>
      </w:r>
      <w:r>
        <w:rPr>
          <w:noProof/>
        </w:rPr>
        <w:t>16</w:t>
      </w:r>
      <w:r w:rsidR="0019015E">
        <w:rPr>
          <w:noProof/>
        </w:rPr>
        <w:fldChar w:fldCharType="end"/>
      </w:r>
    </w:p>
    <w:p w:rsidR="00F423F9" w:rsidRDefault="00F423F9">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sidR="0019015E">
        <w:rPr>
          <w:noProof/>
        </w:rPr>
        <w:fldChar w:fldCharType="begin"/>
      </w:r>
      <w:r>
        <w:rPr>
          <w:noProof/>
        </w:rPr>
        <w:instrText xml:space="preserve"> PAGEREF _Toc411847919 \h </w:instrText>
      </w:r>
      <w:r w:rsidR="0019015E">
        <w:rPr>
          <w:noProof/>
        </w:rPr>
      </w:r>
      <w:r w:rsidR="0019015E">
        <w:rPr>
          <w:noProof/>
        </w:rPr>
        <w:fldChar w:fldCharType="separate"/>
      </w:r>
      <w:r>
        <w:rPr>
          <w:noProof/>
        </w:rPr>
        <w:t>17</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sidR="0019015E">
        <w:rPr>
          <w:noProof/>
        </w:rPr>
        <w:fldChar w:fldCharType="begin"/>
      </w:r>
      <w:r>
        <w:rPr>
          <w:noProof/>
        </w:rPr>
        <w:instrText xml:space="preserve"> PAGEREF _Toc411847920 \h </w:instrText>
      </w:r>
      <w:r w:rsidR="0019015E">
        <w:rPr>
          <w:noProof/>
        </w:rPr>
      </w:r>
      <w:r w:rsidR="0019015E">
        <w:rPr>
          <w:noProof/>
        </w:rPr>
        <w:fldChar w:fldCharType="separate"/>
      </w:r>
      <w:r>
        <w:rPr>
          <w:noProof/>
        </w:rPr>
        <w:t>17</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sidR="0019015E">
        <w:rPr>
          <w:noProof/>
        </w:rPr>
        <w:fldChar w:fldCharType="begin"/>
      </w:r>
      <w:r>
        <w:rPr>
          <w:noProof/>
        </w:rPr>
        <w:instrText xml:space="preserve"> PAGEREF _Toc411847921 \h </w:instrText>
      </w:r>
      <w:r w:rsidR="0019015E">
        <w:rPr>
          <w:noProof/>
        </w:rPr>
      </w:r>
      <w:r w:rsidR="0019015E">
        <w:rPr>
          <w:noProof/>
        </w:rPr>
        <w:fldChar w:fldCharType="separate"/>
      </w:r>
      <w:r>
        <w:rPr>
          <w:noProof/>
        </w:rPr>
        <w:t>18</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sidR="0019015E">
        <w:rPr>
          <w:noProof/>
        </w:rPr>
        <w:fldChar w:fldCharType="begin"/>
      </w:r>
      <w:r>
        <w:rPr>
          <w:noProof/>
        </w:rPr>
        <w:instrText xml:space="preserve"> PAGEREF _Toc411847922 \h </w:instrText>
      </w:r>
      <w:r w:rsidR="0019015E">
        <w:rPr>
          <w:noProof/>
        </w:rPr>
      </w:r>
      <w:r w:rsidR="0019015E">
        <w:rPr>
          <w:noProof/>
        </w:rPr>
        <w:fldChar w:fldCharType="separate"/>
      </w:r>
      <w:r>
        <w:rPr>
          <w:noProof/>
        </w:rPr>
        <w:t>20</w:t>
      </w:r>
      <w:r w:rsidR="0019015E">
        <w:rPr>
          <w:noProof/>
        </w:rPr>
        <w:fldChar w:fldCharType="end"/>
      </w:r>
    </w:p>
    <w:p w:rsidR="00F423F9" w:rsidRDefault="00F423F9">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sidR="0019015E">
        <w:rPr>
          <w:noProof/>
        </w:rPr>
        <w:fldChar w:fldCharType="begin"/>
      </w:r>
      <w:r>
        <w:rPr>
          <w:noProof/>
        </w:rPr>
        <w:instrText xml:space="preserve"> PAGEREF _Toc411847923 \h </w:instrText>
      </w:r>
      <w:r w:rsidR="0019015E">
        <w:rPr>
          <w:noProof/>
        </w:rPr>
      </w:r>
      <w:r w:rsidR="0019015E">
        <w:rPr>
          <w:noProof/>
        </w:rPr>
        <w:fldChar w:fldCharType="separate"/>
      </w:r>
      <w:r>
        <w:rPr>
          <w:noProof/>
        </w:rPr>
        <w:t>21</w:t>
      </w:r>
      <w:r w:rsidR="0019015E">
        <w:rPr>
          <w:noProof/>
        </w:rPr>
        <w:fldChar w:fldCharType="end"/>
      </w:r>
    </w:p>
    <w:p w:rsidR="002F428B" w:rsidRPr="002F428B" w:rsidRDefault="0019015E" w:rsidP="002F428B">
      <w:pPr>
        <w:sectPr w:rsidR="002F428B" w:rsidRPr="002F428B" w:rsidSect="00841F9E">
          <w:headerReference w:type="even" r:id="rId15"/>
          <w:headerReference w:type="default" r:id="rId16"/>
          <w:headerReference w:type="first" r:id="rId17"/>
          <w:footerReference w:type="first" r:id="rId18"/>
          <w:type w:val="oddPage"/>
          <w:pgSz w:w="11907" w:h="16840" w:code="9"/>
          <w:pgMar w:top="851" w:right="1418" w:bottom="1418" w:left="1418" w:header="1134" w:footer="284" w:gutter="567"/>
          <w:pgNumType w:fmt="lowerRoman"/>
          <w:cols w:space="708"/>
          <w:docGrid w:linePitch="360"/>
        </w:sectPr>
      </w:pPr>
      <w:r w:rsidRPr="002F428B">
        <w:fldChar w:fldCharType="end"/>
      </w:r>
    </w:p>
    <w:p w:rsidR="00342A57" w:rsidRPr="000124D5" w:rsidRDefault="000F359C" w:rsidP="000124D5">
      <w:pPr>
        <w:pStyle w:val="Heading1"/>
      </w:pPr>
      <w:bookmarkStart w:id="0" w:name="_Toc411847901"/>
      <w:r w:rsidRPr="000124D5">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11847902"/>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56A43">
      <w:pPr>
        <w:pStyle w:val="BodyText"/>
        <w:keepNext/>
        <w:spacing w:before="200"/>
        <w:ind w:right="-284"/>
      </w:pPr>
      <w:r w:rsidRPr="00BE4076">
        <w:lastRenderedPageBreak/>
        <w:t>This application form consists of:</w:t>
      </w:r>
    </w:p>
    <w:p w:rsidR="00D60EA5" w:rsidRPr="00BE4076" w:rsidRDefault="00D60EA5" w:rsidP="00D56A43">
      <w:pPr>
        <w:pStyle w:val="ListBullet"/>
        <w:keepNext/>
        <w:ind w:right="-284"/>
      </w:pPr>
      <w:r w:rsidRPr="00BE4076">
        <w:t xml:space="preserve">Section 2 </w:t>
      </w:r>
      <w:r w:rsidR="000D36F7">
        <w:t>–</w:t>
      </w:r>
      <w:r w:rsidRPr="00BE4076">
        <w:t xml:space="preserve"> </w:t>
      </w:r>
      <w:r w:rsidR="000D36F7">
        <w:t>Preliminaries</w:t>
      </w:r>
    </w:p>
    <w:p w:rsidR="00D60EA5" w:rsidRPr="00BE4076" w:rsidRDefault="00D60EA5" w:rsidP="00D56A43">
      <w:pPr>
        <w:pStyle w:val="ListBullet"/>
        <w:keepNext/>
        <w:ind w:right="-284"/>
      </w:pPr>
      <w:r w:rsidRPr="00BE4076">
        <w:t>Section 3 – Assessment criterion 1</w:t>
      </w:r>
    </w:p>
    <w:p w:rsidR="00D60EA5" w:rsidRPr="00BE4076" w:rsidRDefault="00D60EA5" w:rsidP="00D56A43">
      <w:pPr>
        <w:pStyle w:val="ListBullet"/>
        <w:keepNext/>
        <w:ind w:right="-284"/>
      </w:pPr>
      <w:r w:rsidRPr="00BE4076">
        <w:t>Section 4 – Assessment criterion 2</w:t>
      </w:r>
    </w:p>
    <w:p w:rsidR="00D60EA5" w:rsidRPr="00BE4076" w:rsidRDefault="00D60EA5" w:rsidP="00D56A43">
      <w:pPr>
        <w:pStyle w:val="ListBullet"/>
        <w:keepNext/>
        <w:ind w:right="-284"/>
      </w:pPr>
      <w:r w:rsidRPr="00BE4076">
        <w:t>Section 5 – Assessment criterion 3</w:t>
      </w:r>
    </w:p>
    <w:p w:rsidR="00D60EA5" w:rsidRPr="00BE4076" w:rsidRDefault="00D60EA5" w:rsidP="00D56A43">
      <w:pPr>
        <w:pStyle w:val="ListBullet"/>
        <w:keepNext/>
        <w:ind w:right="-284"/>
      </w:pPr>
      <w:r w:rsidRPr="00BE4076">
        <w:t>Section 6 – Assessment criterion 4</w:t>
      </w:r>
    </w:p>
    <w:p w:rsidR="00D60EA5" w:rsidRPr="00BE4076" w:rsidRDefault="00D60EA5" w:rsidP="00D56A43">
      <w:pPr>
        <w:pStyle w:val="ListBullet"/>
        <w:keepNext/>
        <w:ind w:right="-284"/>
      </w:pPr>
      <w:r w:rsidRPr="00BE4076">
        <w:t>Section 7 – Assessment criterion 5</w:t>
      </w:r>
    </w:p>
    <w:p w:rsidR="00D60EA5" w:rsidRPr="00BE4076" w:rsidRDefault="00547A5C" w:rsidP="00D56A43">
      <w:pPr>
        <w:pStyle w:val="ListBullet"/>
        <w:keepNext/>
        <w:ind w:right="-284"/>
      </w:pPr>
      <w:proofErr w:type="spellStart"/>
      <w:r w:rsidRPr="00BE4076">
        <w:t>S</w:t>
      </w:r>
      <w:r w:rsidR="00841F9E" w:rsidRPr="000705E4">
        <w:t>ounc</w:t>
      </w:r>
      <w:r w:rsidRPr="00BE4076">
        <w:t>ection</w:t>
      </w:r>
      <w:proofErr w:type="spellEnd"/>
      <w:r w:rsidRPr="00BE4076">
        <w:t xml:space="preserve"> 8 –</w:t>
      </w:r>
      <w:r w:rsidR="00266497">
        <w:t xml:space="preserve"> </w:t>
      </w:r>
      <w:r w:rsidR="00446CA1" w:rsidRPr="00BE4076">
        <w:t>List of attachments</w:t>
      </w:r>
    </w:p>
    <w:p w:rsidR="00446CA1" w:rsidRPr="00BE4076" w:rsidRDefault="00D60EA5" w:rsidP="00D56A43">
      <w:pPr>
        <w:pStyle w:val="ListBullet"/>
        <w:keepNext/>
        <w:ind w:right="-284"/>
      </w:pPr>
      <w:r w:rsidRPr="00BE4076">
        <w:t xml:space="preserve">Section </w:t>
      </w:r>
      <w:r w:rsidR="00266497">
        <w:t>9</w:t>
      </w:r>
      <w:r w:rsidRPr="00BE4076">
        <w:t xml:space="preserve"> –</w:t>
      </w:r>
      <w:r w:rsidR="00446CA1" w:rsidRPr="00BE4076">
        <w:t xml:space="preserve"> Certification.</w:t>
      </w:r>
    </w:p>
    <w:p w:rsidR="00D60EA5" w:rsidRPr="000124D5" w:rsidRDefault="004739D9" w:rsidP="000124D5">
      <w:pPr>
        <w:pStyle w:val="Heading2"/>
      </w:pPr>
      <w:bookmarkStart w:id="2" w:name="_Toc366160403"/>
      <w:bookmarkStart w:id="3" w:name="_Toc411847903"/>
      <w:r w:rsidRPr="000124D5">
        <w:t xml:space="preserve">Using the </w:t>
      </w:r>
      <w:r w:rsidR="00B86F58" w:rsidRPr="000124D5">
        <w:t>C</w:t>
      </w:r>
      <w:r w:rsidR="00841F9E" w:rsidRPr="000124D5">
        <w:t>ounci</w:t>
      </w:r>
      <w:r w:rsidR="00B86F58" w:rsidRPr="000124D5">
        <w:t xml:space="preserve">l </w:t>
      </w:r>
      <w:r w:rsidRPr="000124D5">
        <w:t>Portal to s</w:t>
      </w:r>
      <w:r w:rsidR="00D60EA5" w:rsidRPr="000124D5">
        <w:t>ubmit the application</w:t>
      </w:r>
      <w:bookmarkEnd w:id="2"/>
      <w:bookmarkEnd w:id="3"/>
    </w:p>
    <w:p w:rsidR="00D60EA5" w:rsidRDefault="004739D9" w:rsidP="00D56A43">
      <w:pPr>
        <w:pStyle w:val="BodyText"/>
        <w:spacing w:before="200"/>
        <w:ind w:right="-284"/>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56A43">
      <w:pPr>
        <w:pStyle w:val="BodyText"/>
        <w:spacing w:before="200"/>
        <w:ind w:right="-284"/>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56A43">
      <w:pPr>
        <w:pStyle w:val="BodyText"/>
        <w:spacing w:before="200"/>
        <w:ind w:right="-284"/>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56A43">
      <w:pPr>
        <w:pStyle w:val="BodyText"/>
        <w:spacing w:before="200"/>
        <w:ind w:right="-284"/>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56A43">
      <w:pPr>
        <w:pStyle w:val="BodyText"/>
        <w:spacing w:before="200"/>
        <w:ind w:right="-284"/>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841F9E">
      <w:pPr>
        <w:pStyle w:val="BodyText"/>
        <w:spacing w:before="120" w:line="240" w:lineRule="auto"/>
        <w:ind w:left="720" w:right="-284"/>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bookmarkStart w:id="4" w:name="_GoBack"/>
      <w:bookmarkEnd w:id="4"/>
      <w:r w:rsidR="004C409E">
        <w:t>1230</w:t>
      </w:r>
    </w:p>
    <w:p w:rsidR="00D60EA5" w:rsidRDefault="00094297" w:rsidP="00841F9E">
      <w:pPr>
        <w:pStyle w:val="BodyText"/>
        <w:spacing w:before="120" w:line="240" w:lineRule="auto"/>
        <w:ind w:left="720" w:right="-284"/>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92086B" w:rsidRPr="0092086B" w:rsidRDefault="00D60EA5" w:rsidP="00841F9E">
      <w:pPr>
        <w:pStyle w:val="BodyText"/>
        <w:spacing w:before="120" w:line="240" w:lineRule="auto"/>
        <w:ind w:right="-284"/>
        <w:rPr>
          <w:b/>
        </w:rPr>
      </w:pPr>
      <w:r w:rsidRPr="00266497">
        <w:t xml:space="preserve">We must receive your application via the Council Portal no later than </w:t>
      </w:r>
      <w:r w:rsidR="006036D6" w:rsidRPr="00841F9E">
        <w:t>COB</w:t>
      </w:r>
      <w:r w:rsidRPr="00841F9E">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545710">
      <w:pPr>
        <w:pStyle w:val="BodyText"/>
        <w:spacing w:before="120" w:line="240" w:lineRule="auto"/>
        <w:ind w:right="-284"/>
      </w:pPr>
      <w:r w:rsidRPr="000705E4">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 xml:space="preserve">Confidential content may include part of a document that discloses the personal identity or other personal information pertaining to a member of the </w:t>
      </w:r>
      <w:r w:rsidR="0078506E" w:rsidRPr="0092086B">
        <w:t xml:space="preserve">public or whole documents such as a council working document and/or a document that includes commercial-in-confidence content. </w:t>
      </w:r>
      <w:r w:rsidR="00545710">
        <w:t xml:space="preserve">  </w:t>
      </w:r>
      <w:proofErr w:type="gramStart"/>
      <w:r w:rsidR="0078506E" w:rsidRPr="0092086B">
        <w:t xml:space="preserve">Councils </w:t>
      </w:r>
      <w:r w:rsidR="00545710">
        <w:t xml:space="preserve"> </w:t>
      </w:r>
      <w:r w:rsidR="0078506E" w:rsidRPr="0092086B">
        <w:t>should</w:t>
      </w:r>
      <w:proofErr w:type="gramEnd"/>
      <w:r w:rsidR="0078506E" w:rsidRPr="0092086B">
        <w:t xml:space="preserve"> </w:t>
      </w:r>
      <w:r w:rsidR="00545710">
        <w:t xml:space="preserve"> </w:t>
      </w:r>
      <w:r w:rsidR="0078506E" w:rsidRPr="0092086B">
        <w:t xml:space="preserve">ensure </w:t>
      </w:r>
      <w:r w:rsidR="00545710">
        <w:t xml:space="preserve"> </w:t>
      </w:r>
      <w:r w:rsidR="0078506E" w:rsidRPr="0092086B">
        <w:t xml:space="preserve">that </w:t>
      </w:r>
      <w:r w:rsidR="00545710">
        <w:t xml:space="preserve"> </w:t>
      </w:r>
      <w:r w:rsidR="0078506E" w:rsidRPr="0092086B">
        <w:t>documents</w:t>
      </w:r>
      <w:r w:rsidR="00545710">
        <w:t xml:space="preserve"> </w:t>
      </w:r>
      <w:r w:rsidR="0078506E" w:rsidRPr="0092086B">
        <w:t xml:space="preserve"> provided</w:t>
      </w:r>
      <w:r w:rsidR="00545710">
        <w:t xml:space="preserve">  </w:t>
      </w:r>
      <w:r w:rsidR="0078506E" w:rsidRPr="0092086B">
        <w:t xml:space="preserve"> to</w:t>
      </w:r>
      <w:r w:rsidR="00545710">
        <w:t xml:space="preserve"> </w:t>
      </w:r>
      <w:r w:rsidR="0078506E" w:rsidRPr="0092086B">
        <w:t xml:space="preserve"> </w:t>
      </w:r>
      <w:r w:rsidR="00545710">
        <w:t xml:space="preserve"> </w:t>
      </w:r>
      <w:r w:rsidR="0078506E" w:rsidRPr="0092086B">
        <w:t>IPART do</w:t>
      </w:r>
      <w:r w:rsidR="00545710">
        <w:t xml:space="preserve"> </w:t>
      </w:r>
      <w:r w:rsidR="0078506E" w:rsidRPr="0092086B">
        <w:t xml:space="preserve"> not</w:t>
      </w:r>
      <w:r w:rsidR="00545710">
        <w:t xml:space="preserve">      e</w:t>
      </w:r>
      <w:r w:rsidR="0078506E" w:rsidRPr="0092086B">
        <w:t>xpose confidential content.</w:t>
      </w:r>
    </w:p>
    <w:p w:rsidR="0060289A" w:rsidRDefault="00D60EA5" w:rsidP="00351E17">
      <w:pPr>
        <w:pStyle w:val="BodyText"/>
        <w:spacing w:before="200"/>
      </w:pPr>
      <w:r w:rsidRPr="000705E4">
        <w:lastRenderedPageBreak/>
        <w:t>Councils should also post their application on their own website for the community</w:t>
      </w:r>
      <w:r w:rsidRPr="009307D3">
        <w:t xml:space="preserve"> to </w:t>
      </w:r>
      <w:r w:rsidR="00C108DF">
        <w:t>access</w:t>
      </w:r>
      <w:r w:rsidRPr="009307D3">
        <w:t>.</w:t>
      </w:r>
    </w:p>
    <w:p w:rsidR="000F359C" w:rsidRPr="000124D5" w:rsidRDefault="007C0BD4" w:rsidP="000124D5">
      <w:pPr>
        <w:pStyle w:val="Heading1"/>
      </w:pPr>
      <w:bookmarkStart w:id="5" w:name="_Toc411847904"/>
      <w:r w:rsidRPr="000124D5">
        <w:t>P</w:t>
      </w:r>
      <w:r w:rsidR="0020452B" w:rsidRPr="000124D5">
        <w:t>reliminaries</w:t>
      </w:r>
      <w:bookmarkEnd w:id="5"/>
    </w:p>
    <w:p w:rsidR="0020452B" w:rsidRPr="000124D5" w:rsidRDefault="0020452B" w:rsidP="000124D5">
      <w:pPr>
        <w:pStyle w:val="Heading2"/>
      </w:pPr>
      <w:bookmarkStart w:id="6" w:name="_Toc411847905"/>
      <w:r w:rsidRPr="000124D5">
        <w:t>Focus on Integrated Planning and Reporting</w:t>
      </w:r>
      <w:bookmarkEnd w:id="6"/>
    </w:p>
    <w:p w:rsidR="00452CBD" w:rsidRPr="00C646F9" w:rsidRDefault="00F57C50" w:rsidP="000124D5">
      <w:pPr>
        <w:pStyle w:val="BodyText"/>
        <w:tabs>
          <w:tab w:val="num" w:pos="-142"/>
        </w:tabs>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0124D5">
      <w:pPr>
        <w:pStyle w:val="BodyText"/>
        <w:tabs>
          <w:tab w:val="num" w:pos="-142"/>
        </w:tabs>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0124D5" w:rsidRDefault="00B157B7" w:rsidP="000124D5">
      <w:pPr>
        <w:pStyle w:val="Heading2"/>
      </w:pPr>
      <w:bookmarkStart w:id="7" w:name="_Toc411847906"/>
      <w:r w:rsidRPr="000124D5">
        <w:t>Key purpose of special variation</w:t>
      </w:r>
      <w:bookmarkEnd w:id="7"/>
    </w:p>
    <w:p w:rsidR="00B157B7" w:rsidRDefault="00B157B7" w:rsidP="000124D5">
      <w:pPr>
        <w:pStyle w:val="BodyText"/>
        <w:tabs>
          <w:tab w:val="num" w:pos="0"/>
        </w:tabs>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0124D5">
      <w:pPr>
        <w:pStyle w:val="BodyText"/>
        <w:tabs>
          <w:tab w:val="num" w:pos="0"/>
        </w:tabs>
        <w:spacing w:before="0"/>
      </w:pPr>
    </w:p>
    <w:tbl>
      <w:tblPr>
        <w:tblStyle w:val="TableGrid"/>
        <w:tblW w:w="0" w:type="auto"/>
        <w:tblInd w:w="1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993"/>
      </w:tblGrid>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Maintain existing services</w:t>
            </w:r>
          </w:p>
        </w:tc>
        <w:tc>
          <w:tcPr>
            <w:tcW w:w="993" w:type="dxa"/>
          </w:tcPr>
          <w:p w:rsidR="00B157B7" w:rsidRPr="00B84AA8" w:rsidRDefault="0019015E" w:rsidP="000124D5">
            <w:pPr>
              <w:pStyle w:val="BodyText"/>
              <w:tabs>
                <w:tab w:val="num" w:pos="0"/>
              </w:tabs>
              <w:spacing w:before="60" w:after="60"/>
              <w:jc w:val="center"/>
            </w:pPr>
            <w:r>
              <w:fldChar w:fldCharType="begin">
                <w:ffData>
                  <w:name w:val="Check4"/>
                  <w:enabled/>
                  <w:calcOnExit w:val="0"/>
                  <w:checkBox>
                    <w:sizeAuto/>
                    <w:default w:val="1"/>
                  </w:checkBox>
                </w:ffData>
              </w:fldChar>
            </w:r>
            <w:bookmarkStart w:id="8" w:name="Check4"/>
            <w:r w:rsidR="00E2503E">
              <w:instrText xml:space="preserve"> FORMCHECKBOX </w:instrText>
            </w:r>
            <w:r>
              <w:fldChar w:fldCharType="separate"/>
            </w:r>
            <w:r>
              <w:fldChar w:fldCharType="end"/>
            </w:r>
            <w:bookmarkEnd w:id="8"/>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Enhance financial sustainability</w:t>
            </w:r>
          </w:p>
        </w:tc>
        <w:tc>
          <w:tcPr>
            <w:tcW w:w="993" w:type="dxa"/>
          </w:tcPr>
          <w:p w:rsidR="00B157B7" w:rsidRPr="00B84AA8" w:rsidRDefault="0019015E" w:rsidP="000124D5">
            <w:pPr>
              <w:pStyle w:val="BodyText"/>
              <w:tabs>
                <w:tab w:val="num" w:pos="0"/>
              </w:tabs>
              <w:spacing w:before="60" w:after="60"/>
              <w:jc w:val="center"/>
            </w:pPr>
            <w:r>
              <w:fldChar w:fldCharType="begin">
                <w:ffData>
                  <w:name w:val=""/>
                  <w:enabled/>
                  <w:calcOnExit w:val="0"/>
                  <w:checkBox>
                    <w:sizeAuto/>
                    <w:default w:val="1"/>
                  </w:checkBox>
                </w:ffData>
              </w:fldChar>
            </w:r>
            <w:r w:rsidR="00E2503E">
              <w:instrText xml:space="preserve"> FORMCHECKBOX </w:instrText>
            </w:r>
            <w:r>
              <w:fldChar w:fldCharType="separate"/>
            </w:r>
            <w:r>
              <w:fldChar w:fldCharType="end"/>
            </w:r>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 xml:space="preserve">Environmental </w:t>
            </w:r>
            <w:r w:rsidR="00183983">
              <w:t xml:space="preserve">services or </w:t>
            </w:r>
            <w:r w:rsidRPr="00B84AA8">
              <w:t>works</w:t>
            </w:r>
          </w:p>
        </w:tc>
        <w:tc>
          <w:tcPr>
            <w:tcW w:w="993" w:type="dxa"/>
          </w:tcPr>
          <w:p w:rsidR="00B157B7" w:rsidRPr="00B84AA8" w:rsidRDefault="0019015E" w:rsidP="000124D5">
            <w:pPr>
              <w:pStyle w:val="BodyText"/>
              <w:tabs>
                <w:tab w:val="num" w:pos="0"/>
              </w:tabs>
              <w:spacing w:before="60" w:after="60"/>
              <w:jc w:val="center"/>
            </w:pPr>
            <w:r w:rsidRPr="00B84AA8">
              <w:fldChar w:fldCharType="begin">
                <w:ffData>
                  <w:name w:val="Check3"/>
                  <w:enabled/>
                  <w:calcOnExit w:val="0"/>
                  <w:checkBox>
                    <w:sizeAuto/>
                    <w:default w:val="0"/>
                  </w:checkBox>
                </w:ffData>
              </w:fldChar>
            </w:r>
            <w:bookmarkStart w:id="9" w:name="Check3"/>
            <w:r w:rsidR="00B157B7" w:rsidRPr="00B84AA8">
              <w:instrText xml:space="preserve"> FORMCHECKBOX </w:instrText>
            </w:r>
            <w:r>
              <w:fldChar w:fldCharType="separate"/>
            </w:r>
            <w:r w:rsidRPr="00B84AA8">
              <w:fldChar w:fldCharType="end"/>
            </w:r>
            <w:bookmarkEnd w:id="9"/>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Infrastructure maintenance / renewal</w:t>
            </w:r>
          </w:p>
        </w:tc>
        <w:tc>
          <w:tcPr>
            <w:tcW w:w="993" w:type="dxa"/>
          </w:tcPr>
          <w:p w:rsidR="00B157B7" w:rsidRPr="00B84AA8" w:rsidRDefault="0019015E" w:rsidP="000124D5">
            <w:pPr>
              <w:pStyle w:val="BodyText"/>
              <w:tabs>
                <w:tab w:val="num" w:pos="0"/>
              </w:tabs>
              <w:spacing w:before="60" w:after="60"/>
              <w:jc w:val="center"/>
            </w:pPr>
            <w:r>
              <w:fldChar w:fldCharType="begin">
                <w:ffData>
                  <w:name w:val="Check1"/>
                  <w:enabled/>
                  <w:calcOnExit w:val="0"/>
                  <w:checkBox>
                    <w:sizeAuto/>
                    <w:default w:val="1"/>
                  </w:checkBox>
                </w:ffData>
              </w:fldChar>
            </w:r>
            <w:bookmarkStart w:id="10" w:name="Check1"/>
            <w:r w:rsidR="00E2503E">
              <w:instrText xml:space="preserve"> FORMCHECKBOX </w:instrText>
            </w:r>
            <w:r>
              <w:fldChar w:fldCharType="separate"/>
            </w:r>
            <w:r>
              <w:fldChar w:fldCharType="end"/>
            </w:r>
            <w:bookmarkEnd w:id="10"/>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Reduce infrastructure backlogs</w:t>
            </w:r>
          </w:p>
        </w:tc>
        <w:tc>
          <w:tcPr>
            <w:tcW w:w="993" w:type="dxa"/>
          </w:tcPr>
          <w:p w:rsidR="00B157B7" w:rsidRPr="00B84AA8" w:rsidRDefault="0019015E" w:rsidP="000124D5">
            <w:pPr>
              <w:pStyle w:val="BodyText"/>
              <w:tabs>
                <w:tab w:val="num" w:pos="0"/>
              </w:tabs>
              <w:spacing w:before="60" w:after="60"/>
              <w:jc w:val="center"/>
            </w:pPr>
            <w:r w:rsidRPr="00B84AA8">
              <w:fldChar w:fldCharType="begin">
                <w:ffData>
                  <w:name w:val="Check2"/>
                  <w:enabled/>
                  <w:calcOnExit w:val="0"/>
                  <w:checkBox>
                    <w:sizeAuto/>
                    <w:default w:val="0"/>
                    <w:checked w:val="0"/>
                  </w:checkBox>
                </w:ffData>
              </w:fldChar>
            </w:r>
            <w:r w:rsidR="00B157B7" w:rsidRPr="00B84AA8">
              <w:instrText xml:space="preserve"> FORMCHECKBOX </w:instrText>
            </w:r>
            <w:r>
              <w:fldChar w:fldCharType="separate"/>
            </w:r>
            <w:r w:rsidRPr="00B84AA8">
              <w:fldChar w:fldCharType="end"/>
            </w:r>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New infrastructure investment</w:t>
            </w:r>
          </w:p>
        </w:tc>
        <w:tc>
          <w:tcPr>
            <w:tcW w:w="993" w:type="dxa"/>
          </w:tcPr>
          <w:p w:rsidR="00B157B7" w:rsidRPr="00B84AA8" w:rsidRDefault="0019015E" w:rsidP="000124D5">
            <w:pPr>
              <w:pStyle w:val="BodyText"/>
              <w:tabs>
                <w:tab w:val="num" w:pos="0"/>
              </w:tabs>
              <w:spacing w:before="60" w:after="60"/>
              <w:jc w:val="center"/>
            </w:pPr>
            <w:r w:rsidRPr="00B84AA8">
              <w:fldChar w:fldCharType="begin">
                <w:ffData>
                  <w:name w:val="Check2"/>
                  <w:enabled/>
                  <w:calcOnExit w:val="0"/>
                  <w:checkBox>
                    <w:sizeAuto/>
                    <w:default w:val="0"/>
                    <w:checked w:val="0"/>
                  </w:checkBox>
                </w:ffData>
              </w:fldChar>
            </w:r>
            <w:bookmarkStart w:id="11" w:name="Check2"/>
            <w:r w:rsidR="00B157B7" w:rsidRPr="00B84AA8">
              <w:instrText xml:space="preserve"> FORMCHECKBOX </w:instrText>
            </w:r>
            <w:r>
              <w:fldChar w:fldCharType="separate"/>
            </w:r>
            <w:r w:rsidRPr="00B84AA8">
              <w:fldChar w:fldCharType="end"/>
            </w:r>
            <w:bookmarkEnd w:id="11"/>
          </w:p>
        </w:tc>
      </w:tr>
      <w:tr w:rsidR="00B157B7" w:rsidRPr="00B84AA8" w:rsidTr="000124D5">
        <w:tc>
          <w:tcPr>
            <w:tcW w:w="5103" w:type="dxa"/>
            <w:vAlign w:val="center"/>
          </w:tcPr>
          <w:p w:rsidR="00B157B7" w:rsidRPr="00B84AA8" w:rsidRDefault="00B157B7" w:rsidP="000124D5">
            <w:pPr>
              <w:pStyle w:val="TableTextEntries"/>
              <w:tabs>
                <w:tab w:val="num" w:pos="0"/>
              </w:tabs>
              <w:spacing w:before="60" w:after="60"/>
            </w:pPr>
            <w:r w:rsidRPr="00B84AA8">
              <w:t>Other (specify)</w:t>
            </w:r>
          </w:p>
        </w:tc>
        <w:tc>
          <w:tcPr>
            <w:tcW w:w="993" w:type="dxa"/>
          </w:tcPr>
          <w:p w:rsidR="00B157B7" w:rsidRPr="00B84AA8" w:rsidRDefault="0019015E" w:rsidP="000124D5">
            <w:pPr>
              <w:pStyle w:val="BodyText"/>
              <w:tabs>
                <w:tab w:val="num" w:pos="0"/>
              </w:tabs>
              <w:spacing w:before="60" w:after="60"/>
              <w:jc w:val="center"/>
            </w:pPr>
            <w:r w:rsidRPr="00B84AA8">
              <w:fldChar w:fldCharType="begin">
                <w:ffData>
                  <w:name w:val="Check5"/>
                  <w:enabled/>
                  <w:calcOnExit w:val="0"/>
                  <w:checkBox>
                    <w:sizeAuto/>
                    <w:default w:val="0"/>
                  </w:checkBox>
                </w:ffData>
              </w:fldChar>
            </w:r>
            <w:bookmarkStart w:id="12" w:name="Check5"/>
            <w:r w:rsidR="00B157B7" w:rsidRPr="00B84AA8">
              <w:instrText xml:space="preserve"> FORMCHECKBOX </w:instrText>
            </w:r>
            <w:r>
              <w:fldChar w:fldCharType="separate"/>
            </w:r>
            <w:r w:rsidRPr="00B84AA8">
              <w:fldChar w:fldCharType="end"/>
            </w:r>
            <w:bookmarkEnd w:id="12"/>
          </w:p>
        </w:tc>
      </w:tr>
    </w:tbl>
    <w:p w:rsidR="007F05F6" w:rsidRDefault="008B1F5A" w:rsidP="00545710">
      <w:pPr>
        <w:pStyle w:val="BodyText"/>
        <w:tabs>
          <w:tab w:val="num" w:pos="0"/>
        </w:tabs>
        <w:ind w:right="-142"/>
        <w:rPr>
          <w:color w:val="000000" w:themeColor="text1"/>
        </w:rPr>
      </w:pPr>
      <w:r w:rsidRPr="0092086B">
        <w:rPr>
          <w:color w:val="000000" w:themeColor="text1"/>
        </w:rPr>
        <w:t>You should s</w:t>
      </w:r>
      <w:r w:rsidR="006A0281" w:rsidRPr="0092086B">
        <w:rPr>
          <w:color w:val="000000" w:themeColor="text1"/>
        </w:rPr>
        <w:t xml:space="preserve">ummarise </w:t>
      </w:r>
      <w:r w:rsidR="00B157B7" w:rsidRPr="0092086B">
        <w:rPr>
          <w:color w:val="000000" w:themeColor="text1"/>
        </w:rPr>
        <w:t xml:space="preserve">below the key </w:t>
      </w:r>
      <w:r w:rsidR="006A0281" w:rsidRPr="0092086B">
        <w:rPr>
          <w:color w:val="000000" w:themeColor="text1"/>
        </w:rPr>
        <w:t>aspects of the council’s application</w:t>
      </w:r>
      <w:r w:rsidR="007F05F6" w:rsidRPr="0092086B">
        <w:rPr>
          <w:color w:val="000000" w:themeColor="text1"/>
        </w:rPr>
        <w:t xml:space="preserve">, including the purpose and the </w:t>
      </w:r>
      <w:r w:rsidR="00B157B7" w:rsidRPr="0092086B">
        <w:rPr>
          <w:color w:val="000000" w:themeColor="text1"/>
        </w:rPr>
        <w:t xml:space="preserve">steps undertaken </w:t>
      </w:r>
      <w:r w:rsidR="007F05F6" w:rsidRPr="0092086B">
        <w:rPr>
          <w:color w:val="000000" w:themeColor="text1"/>
        </w:rPr>
        <w:t xml:space="preserve">in </w:t>
      </w:r>
      <w:r w:rsidR="006A0281" w:rsidRPr="0092086B">
        <w:rPr>
          <w:color w:val="000000" w:themeColor="text1"/>
        </w:rPr>
        <w:t>reach</w:t>
      </w:r>
      <w:r w:rsidR="007F05F6" w:rsidRPr="0092086B">
        <w:rPr>
          <w:color w:val="000000" w:themeColor="text1"/>
        </w:rPr>
        <w:t xml:space="preserve">ing </w:t>
      </w:r>
      <w:r w:rsidR="006A0281" w:rsidRPr="0092086B">
        <w:rPr>
          <w:color w:val="000000" w:themeColor="text1"/>
        </w:rPr>
        <w:t xml:space="preserve">a decision to make an application.  </w:t>
      </w:r>
    </w:p>
    <w:p w:rsidR="003F6F7D" w:rsidRDefault="003F6F7D" w:rsidP="000124D5">
      <w:pPr>
        <w:tabs>
          <w:tab w:val="num" w:pos="0"/>
        </w:tabs>
        <w:ind w:right="-142"/>
        <w:jc w:val="both"/>
        <w:rPr>
          <w:rFonts w:ascii="Arial" w:hAnsi="Arial" w:cs="Arial"/>
          <w:color w:val="002060"/>
          <w:sz w:val="21"/>
          <w:szCs w:val="21"/>
        </w:rPr>
      </w:pPr>
    </w:p>
    <w:p w:rsidR="0065395B" w:rsidRPr="003F6F7D" w:rsidRDefault="0065395B" w:rsidP="000124D5">
      <w:pPr>
        <w:tabs>
          <w:tab w:val="num" w:pos="0"/>
        </w:tabs>
        <w:ind w:right="-142"/>
        <w:jc w:val="both"/>
        <w:rPr>
          <w:rFonts w:ascii="Arial" w:hAnsi="Arial" w:cs="Arial"/>
          <w:color w:val="002060"/>
          <w:sz w:val="21"/>
          <w:szCs w:val="21"/>
        </w:rPr>
      </w:pPr>
      <w:r w:rsidRPr="003F6F7D">
        <w:rPr>
          <w:rFonts w:ascii="Arial" w:hAnsi="Arial" w:cs="Arial"/>
          <w:color w:val="002060"/>
          <w:sz w:val="21"/>
          <w:szCs w:val="21"/>
        </w:rPr>
        <w:t>Jerilderie S</w:t>
      </w:r>
      <w:r w:rsidR="00E00950" w:rsidRPr="003F6F7D">
        <w:rPr>
          <w:rFonts w:ascii="Arial" w:hAnsi="Arial" w:cs="Arial"/>
          <w:color w:val="002060"/>
          <w:sz w:val="21"/>
          <w:szCs w:val="21"/>
        </w:rPr>
        <w:t>hire Council adopted its first C</w:t>
      </w:r>
      <w:r w:rsidRPr="003F6F7D">
        <w:rPr>
          <w:rFonts w:ascii="Arial" w:hAnsi="Arial" w:cs="Arial"/>
          <w:color w:val="002060"/>
          <w:sz w:val="21"/>
          <w:szCs w:val="21"/>
        </w:rPr>
        <w:t xml:space="preserve">ommunity </w:t>
      </w:r>
      <w:r w:rsidR="00E00950" w:rsidRPr="003F6F7D">
        <w:rPr>
          <w:rFonts w:ascii="Arial" w:hAnsi="Arial" w:cs="Arial"/>
          <w:color w:val="002060"/>
          <w:sz w:val="21"/>
          <w:szCs w:val="21"/>
        </w:rPr>
        <w:t>S</w:t>
      </w:r>
      <w:r w:rsidRPr="003F6F7D">
        <w:rPr>
          <w:rFonts w:ascii="Arial" w:hAnsi="Arial" w:cs="Arial"/>
          <w:color w:val="002060"/>
          <w:sz w:val="21"/>
          <w:szCs w:val="21"/>
        </w:rPr>
        <w:t xml:space="preserve">trategic </w:t>
      </w:r>
      <w:r w:rsidR="00E00950" w:rsidRPr="003F6F7D">
        <w:rPr>
          <w:rFonts w:ascii="Arial" w:hAnsi="Arial" w:cs="Arial"/>
          <w:color w:val="002060"/>
          <w:sz w:val="21"/>
          <w:szCs w:val="21"/>
        </w:rPr>
        <w:t>P</w:t>
      </w:r>
      <w:r w:rsidRPr="003F6F7D">
        <w:rPr>
          <w:rFonts w:ascii="Arial" w:hAnsi="Arial" w:cs="Arial"/>
          <w:color w:val="002060"/>
          <w:sz w:val="21"/>
          <w:szCs w:val="21"/>
        </w:rPr>
        <w:t>lan (CSP) in June 2012, after extensive consultation with the community.  Within this document are the expectations of our community</w:t>
      </w:r>
      <w:r w:rsidR="00E00950" w:rsidRPr="003F6F7D">
        <w:rPr>
          <w:rFonts w:ascii="Arial" w:hAnsi="Arial" w:cs="Arial"/>
          <w:color w:val="002060"/>
          <w:sz w:val="21"/>
          <w:szCs w:val="21"/>
        </w:rPr>
        <w:t xml:space="preserve">, </w:t>
      </w:r>
      <w:r w:rsidRPr="003F6F7D">
        <w:rPr>
          <w:rFonts w:ascii="Arial" w:hAnsi="Arial" w:cs="Arial"/>
          <w:color w:val="002060"/>
          <w:sz w:val="21"/>
          <w:szCs w:val="21"/>
        </w:rPr>
        <w:t xml:space="preserve">with </w:t>
      </w:r>
      <w:r w:rsidR="00504C01" w:rsidRPr="003F6F7D">
        <w:rPr>
          <w:rFonts w:ascii="Arial" w:hAnsi="Arial" w:cs="Arial"/>
          <w:color w:val="002060"/>
          <w:sz w:val="21"/>
          <w:szCs w:val="21"/>
        </w:rPr>
        <w:t xml:space="preserve">one key outcome </w:t>
      </w:r>
      <w:r w:rsidRPr="003F6F7D">
        <w:rPr>
          <w:rFonts w:ascii="Arial" w:hAnsi="Arial" w:cs="Arial"/>
          <w:color w:val="002060"/>
          <w:sz w:val="21"/>
          <w:szCs w:val="21"/>
        </w:rPr>
        <w:t>being that our roads are consistently</w:t>
      </w:r>
      <w:r w:rsidR="00376BB1" w:rsidRPr="003F6F7D">
        <w:rPr>
          <w:rFonts w:ascii="Arial" w:hAnsi="Arial" w:cs="Arial"/>
          <w:color w:val="002060"/>
          <w:sz w:val="21"/>
          <w:szCs w:val="21"/>
        </w:rPr>
        <w:t xml:space="preserve"> </w:t>
      </w:r>
      <w:r w:rsidR="003F6F7D" w:rsidRPr="003F6F7D">
        <w:rPr>
          <w:rFonts w:ascii="Arial" w:hAnsi="Arial" w:cs="Arial"/>
          <w:color w:val="002060"/>
          <w:sz w:val="21"/>
          <w:szCs w:val="21"/>
        </w:rPr>
        <w:t>maintained to a high standard (attachment # 1).</w:t>
      </w:r>
    </w:p>
    <w:p w:rsidR="0065395B" w:rsidRPr="0065395B" w:rsidRDefault="0065395B" w:rsidP="000124D5">
      <w:pPr>
        <w:tabs>
          <w:tab w:val="num" w:pos="0"/>
        </w:tabs>
        <w:jc w:val="both"/>
        <w:rPr>
          <w:rFonts w:ascii="Arial" w:hAnsi="Arial" w:cs="Arial"/>
          <w:color w:val="002060"/>
          <w:sz w:val="24"/>
        </w:rPr>
      </w:pPr>
    </w:p>
    <w:p w:rsidR="0065395B" w:rsidRDefault="0065395B" w:rsidP="00351E17">
      <w:pPr>
        <w:tabs>
          <w:tab w:val="num" w:pos="0"/>
        </w:tabs>
        <w:ind w:right="-709"/>
        <w:jc w:val="both"/>
        <w:rPr>
          <w:rFonts w:ascii="Arial" w:hAnsi="Arial" w:cs="Arial"/>
          <w:color w:val="002060"/>
          <w:sz w:val="21"/>
          <w:szCs w:val="21"/>
        </w:rPr>
      </w:pPr>
      <w:r w:rsidRPr="003F6F7D">
        <w:rPr>
          <w:rFonts w:ascii="Arial" w:hAnsi="Arial" w:cs="Arial"/>
          <w:color w:val="002060"/>
          <w:sz w:val="21"/>
          <w:szCs w:val="21"/>
        </w:rPr>
        <w:t>The NSW Treasury Corporation’s</w:t>
      </w:r>
      <w:r w:rsidR="003F6F7D" w:rsidRPr="003F6F7D">
        <w:rPr>
          <w:rFonts w:ascii="Arial" w:hAnsi="Arial" w:cs="Arial"/>
          <w:color w:val="002060"/>
          <w:sz w:val="21"/>
          <w:szCs w:val="21"/>
        </w:rPr>
        <w:t xml:space="preserve"> (</w:t>
      </w:r>
      <w:proofErr w:type="spellStart"/>
      <w:r w:rsidR="003F6F7D" w:rsidRPr="003F6F7D">
        <w:rPr>
          <w:rFonts w:ascii="Arial" w:hAnsi="Arial" w:cs="Arial"/>
          <w:color w:val="002060"/>
          <w:sz w:val="21"/>
          <w:szCs w:val="21"/>
        </w:rPr>
        <w:t>TCorp</w:t>
      </w:r>
      <w:proofErr w:type="spellEnd"/>
      <w:r w:rsidR="003F6F7D" w:rsidRPr="003F6F7D">
        <w:rPr>
          <w:rFonts w:ascii="Arial" w:hAnsi="Arial" w:cs="Arial"/>
          <w:color w:val="002060"/>
          <w:sz w:val="21"/>
          <w:szCs w:val="21"/>
        </w:rPr>
        <w:t>) Financial Assessment (attachment # 4),</w:t>
      </w:r>
      <w:r w:rsidRPr="003F6F7D">
        <w:rPr>
          <w:rFonts w:ascii="Arial" w:hAnsi="Arial" w:cs="Arial"/>
          <w:color w:val="002060"/>
          <w:sz w:val="21"/>
          <w:szCs w:val="21"/>
        </w:rPr>
        <w:t xml:space="preserve"> received in April 2013</w:t>
      </w:r>
      <w:proofErr w:type="gramStart"/>
      <w:r w:rsidR="00E00950" w:rsidRPr="003F6F7D">
        <w:rPr>
          <w:rFonts w:ascii="Arial" w:hAnsi="Arial" w:cs="Arial"/>
          <w:color w:val="002060"/>
          <w:sz w:val="21"/>
          <w:szCs w:val="21"/>
        </w:rPr>
        <w:t xml:space="preserve">, </w:t>
      </w:r>
      <w:r w:rsidRPr="003F6F7D">
        <w:rPr>
          <w:rFonts w:ascii="Arial" w:hAnsi="Arial" w:cs="Arial"/>
          <w:color w:val="002060"/>
          <w:sz w:val="21"/>
          <w:szCs w:val="21"/>
        </w:rPr>
        <w:t xml:space="preserve"> indicates</w:t>
      </w:r>
      <w:proofErr w:type="gramEnd"/>
      <w:r w:rsidRPr="003F6F7D">
        <w:rPr>
          <w:rFonts w:ascii="Arial" w:hAnsi="Arial" w:cs="Arial"/>
          <w:color w:val="002060"/>
          <w:sz w:val="21"/>
          <w:szCs w:val="21"/>
        </w:rPr>
        <w:t xml:space="preserve"> Council to be sustainable in the short term, but facing increasing pressure over the long term.  It also notes that Council </w:t>
      </w:r>
      <w:r w:rsidR="00376BB1" w:rsidRPr="003F6F7D">
        <w:rPr>
          <w:rFonts w:ascii="Arial" w:hAnsi="Arial" w:cs="Arial"/>
          <w:color w:val="002060"/>
          <w:sz w:val="21"/>
          <w:szCs w:val="21"/>
        </w:rPr>
        <w:t xml:space="preserve">will not spend sufficient amounts on capital expenditure to </w:t>
      </w:r>
      <w:r w:rsidR="00376BB1" w:rsidRPr="003F6F7D">
        <w:rPr>
          <w:rFonts w:ascii="Arial" w:hAnsi="Arial" w:cs="Arial"/>
          <w:color w:val="002060"/>
          <w:sz w:val="21"/>
          <w:szCs w:val="21"/>
        </w:rPr>
        <w:lastRenderedPageBreak/>
        <w:t xml:space="preserve">renew and replace its existing assets and it </w:t>
      </w:r>
      <w:r w:rsidRPr="003F6F7D">
        <w:rPr>
          <w:rFonts w:ascii="Arial" w:hAnsi="Arial" w:cs="Arial"/>
          <w:color w:val="002060"/>
          <w:sz w:val="21"/>
          <w:szCs w:val="21"/>
        </w:rPr>
        <w:t>does not have the capacity to undertake additional borrowings</w:t>
      </w:r>
      <w:r w:rsidR="00376BB1" w:rsidRPr="003F6F7D">
        <w:rPr>
          <w:rFonts w:ascii="Arial" w:hAnsi="Arial" w:cs="Arial"/>
          <w:color w:val="002060"/>
          <w:sz w:val="21"/>
          <w:szCs w:val="21"/>
        </w:rPr>
        <w:t>.</w:t>
      </w:r>
      <w:r w:rsidRPr="003F6F7D">
        <w:rPr>
          <w:rFonts w:ascii="Arial" w:hAnsi="Arial" w:cs="Arial"/>
          <w:color w:val="002060"/>
          <w:sz w:val="21"/>
          <w:szCs w:val="21"/>
        </w:rPr>
        <w:t xml:space="preserve"> </w:t>
      </w:r>
    </w:p>
    <w:p w:rsidR="005F21B7" w:rsidRPr="003F6F7D" w:rsidRDefault="005F21B7" w:rsidP="005F21B7">
      <w:pPr>
        <w:ind w:left="-567" w:right="-142"/>
        <w:jc w:val="both"/>
        <w:rPr>
          <w:rFonts w:ascii="Arial" w:hAnsi="Arial" w:cs="Arial"/>
          <w:color w:val="002060"/>
          <w:sz w:val="21"/>
          <w:szCs w:val="21"/>
        </w:rPr>
      </w:pPr>
    </w:p>
    <w:p w:rsidR="0065395B" w:rsidRPr="003F6F7D" w:rsidRDefault="0065395B" w:rsidP="0092086B">
      <w:pPr>
        <w:ind w:right="-709"/>
        <w:jc w:val="both"/>
        <w:rPr>
          <w:rFonts w:ascii="Arial" w:hAnsi="Arial" w:cs="Arial"/>
          <w:color w:val="002060"/>
          <w:sz w:val="21"/>
          <w:szCs w:val="21"/>
        </w:rPr>
      </w:pPr>
      <w:r w:rsidRPr="003F6F7D">
        <w:rPr>
          <w:rFonts w:ascii="Arial" w:hAnsi="Arial" w:cs="Arial"/>
          <w:color w:val="002060"/>
          <w:sz w:val="21"/>
          <w:szCs w:val="21"/>
        </w:rPr>
        <w:t>Council adopted its Asset Managem</w:t>
      </w:r>
      <w:r w:rsidR="00E00950" w:rsidRPr="003F6F7D">
        <w:rPr>
          <w:rFonts w:ascii="Arial" w:hAnsi="Arial" w:cs="Arial"/>
          <w:color w:val="002060"/>
          <w:sz w:val="21"/>
          <w:szCs w:val="21"/>
        </w:rPr>
        <w:t>ent Plans</w:t>
      </w:r>
      <w:r w:rsidR="003F6F7D" w:rsidRPr="003F6F7D">
        <w:rPr>
          <w:rFonts w:ascii="Arial" w:hAnsi="Arial" w:cs="Arial"/>
          <w:color w:val="002060"/>
          <w:sz w:val="21"/>
          <w:szCs w:val="21"/>
        </w:rPr>
        <w:t xml:space="preserve"> (AMP)</w:t>
      </w:r>
      <w:r w:rsidR="00E00950" w:rsidRPr="003F6F7D">
        <w:rPr>
          <w:rFonts w:ascii="Arial" w:hAnsi="Arial" w:cs="Arial"/>
          <w:color w:val="002060"/>
          <w:sz w:val="21"/>
          <w:szCs w:val="21"/>
        </w:rPr>
        <w:t xml:space="preserve"> in June 2014.  The</w:t>
      </w:r>
      <w:r w:rsidR="003F6F7D" w:rsidRPr="003F6F7D">
        <w:rPr>
          <w:rFonts w:ascii="Arial" w:hAnsi="Arial" w:cs="Arial"/>
          <w:color w:val="002060"/>
          <w:sz w:val="21"/>
          <w:szCs w:val="21"/>
        </w:rPr>
        <w:t xml:space="preserve"> Transport AMP (attachment # 10)</w:t>
      </w:r>
      <w:r w:rsidRPr="003F6F7D">
        <w:rPr>
          <w:rFonts w:ascii="Arial" w:hAnsi="Arial" w:cs="Arial"/>
          <w:color w:val="002060"/>
          <w:sz w:val="21"/>
          <w:szCs w:val="21"/>
        </w:rPr>
        <w:t xml:space="preserve"> clearly indicate</w:t>
      </w:r>
      <w:r w:rsidR="003F6F7D" w:rsidRPr="003F6F7D">
        <w:rPr>
          <w:rFonts w:ascii="Arial" w:hAnsi="Arial" w:cs="Arial"/>
          <w:color w:val="002060"/>
          <w:sz w:val="21"/>
          <w:szCs w:val="21"/>
        </w:rPr>
        <w:t>s</w:t>
      </w:r>
      <w:r w:rsidRPr="003F6F7D">
        <w:rPr>
          <w:rFonts w:ascii="Arial" w:hAnsi="Arial" w:cs="Arial"/>
          <w:color w:val="002060"/>
          <w:sz w:val="21"/>
          <w:szCs w:val="21"/>
        </w:rPr>
        <w:t xml:space="preserve"> a funding shortfall of $7.38m over the next 10 years for priority renewals of transport infrastructure</w:t>
      </w:r>
      <w:r w:rsidR="00E00950" w:rsidRPr="003F6F7D">
        <w:rPr>
          <w:rFonts w:ascii="Arial" w:hAnsi="Arial" w:cs="Arial"/>
          <w:color w:val="002060"/>
          <w:sz w:val="21"/>
          <w:szCs w:val="21"/>
        </w:rPr>
        <w:t>,</w:t>
      </w:r>
      <w:r w:rsidRPr="003F6F7D">
        <w:rPr>
          <w:rFonts w:ascii="Arial" w:hAnsi="Arial" w:cs="Arial"/>
          <w:color w:val="002060"/>
          <w:sz w:val="21"/>
          <w:szCs w:val="21"/>
        </w:rPr>
        <w:t xml:space="preserve"> together with $1.23m funding shortfall over the next 10 years for priority upgrading of transport infrastructure.</w:t>
      </w:r>
    </w:p>
    <w:p w:rsidR="0065395B" w:rsidRPr="003F6F7D" w:rsidRDefault="0065395B" w:rsidP="0092086B">
      <w:pPr>
        <w:ind w:right="-709"/>
        <w:jc w:val="both"/>
        <w:rPr>
          <w:rFonts w:ascii="Arial" w:hAnsi="Arial" w:cs="Arial"/>
          <w:color w:val="002060"/>
          <w:sz w:val="21"/>
          <w:szCs w:val="21"/>
        </w:rPr>
      </w:pPr>
    </w:p>
    <w:p w:rsidR="00EF05F1" w:rsidRPr="003F6F7D" w:rsidRDefault="003F6F7D" w:rsidP="0092086B">
      <w:pPr>
        <w:ind w:right="-709"/>
        <w:jc w:val="both"/>
        <w:rPr>
          <w:rFonts w:ascii="Arial" w:hAnsi="Arial" w:cs="Arial"/>
          <w:color w:val="002060"/>
          <w:sz w:val="21"/>
          <w:szCs w:val="21"/>
        </w:rPr>
      </w:pPr>
      <w:r w:rsidRPr="003F6F7D">
        <w:rPr>
          <w:rFonts w:ascii="Arial" w:hAnsi="Arial" w:cs="Arial"/>
          <w:color w:val="002060"/>
          <w:sz w:val="21"/>
          <w:szCs w:val="21"/>
        </w:rPr>
        <w:t xml:space="preserve">Council has </w:t>
      </w:r>
      <w:r w:rsidR="00376BB1" w:rsidRPr="003F6F7D">
        <w:rPr>
          <w:rFonts w:ascii="Arial" w:hAnsi="Arial" w:cs="Arial"/>
          <w:color w:val="002060"/>
          <w:sz w:val="21"/>
          <w:szCs w:val="21"/>
        </w:rPr>
        <w:t>been reducing the funding for road renewals and upgrades for a number of years</w:t>
      </w:r>
      <w:r w:rsidR="00EF05F1" w:rsidRPr="003F6F7D">
        <w:rPr>
          <w:rFonts w:ascii="Arial" w:hAnsi="Arial" w:cs="Arial"/>
          <w:color w:val="002060"/>
          <w:sz w:val="21"/>
          <w:szCs w:val="21"/>
        </w:rPr>
        <w:t xml:space="preserve">.  Following the adoption of the Community Strategic Plan in 2012, it was clearly evident that the continued constrained budget would not allow sufficient funding to meet the community’s priorities. </w:t>
      </w:r>
    </w:p>
    <w:p w:rsidR="00376BB1" w:rsidRPr="003F6F7D" w:rsidRDefault="00EF05F1" w:rsidP="0092086B">
      <w:pPr>
        <w:ind w:right="-709"/>
        <w:jc w:val="both"/>
        <w:rPr>
          <w:rFonts w:ascii="Arial" w:hAnsi="Arial" w:cs="Arial"/>
          <w:color w:val="00B050"/>
          <w:sz w:val="21"/>
          <w:szCs w:val="21"/>
        </w:rPr>
      </w:pPr>
      <w:r w:rsidRPr="003F6F7D">
        <w:rPr>
          <w:rFonts w:ascii="Arial" w:hAnsi="Arial" w:cs="Arial"/>
          <w:color w:val="00B050"/>
          <w:sz w:val="21"/>
          <w:szCs w:val="21"/>
        </w:rPr>
        <w:t xml:space="preserve"> </w:t>
      </w:r>
    </w:p>
    <w:p w:rsidR="0065395B" w:rsidRPr="003F6F7D" w:rsidRDefault="00E00950" w:rsidP="0092086B">
      <w:pPr>
        <w:ind w:right="-709"/>
        <w:jc w:val="both"/>
        <w:rPr>
          <w:rFonts w:ascii="Arial" w:hAnsi="Arial" w:cs="Arial"/>
          <w:color w:val="002060"/>
          <w:sz w:val="21"/>
          <w:szCs w:val="21"/>
        </w:rPr>
      </w:pPr>
      <w:r w:rsidRPr="003F6F7D">
        <w:rPr>
          <w:rFonts w:ascii="Arial" w:hAnsi="Arial" w:cs="Arial"/>
          <w:color w:val="002060"/>
          <w:sz w:val="21"/>
          <w:szCs w:val="21"/>
        </w:rPr>
        <w:t>In preparing the 2014</w:t>
      </w:r>
      <w:r w:rsidR="003F6F7D" w:rsidRPr="003F6F7D">
        <w:rPr>
          <w:rFonts w:ascii="Arial" w:hAnsi="Arial" w:cs="Arial"/>
          <w:color w:val="002060"/>
          <w:sz w:val="21"/>
          <w:szCs w:val="21"/>
        </w:rPr>
        <w:t>-2018</w:t>
      </w:r>
      <w:r w:rsidRPr="003F6F7D">
        <w:rPr>
          <w:rFonts w:ascii="Arial" w:hAnsi="Arial" w:cs="Arial"/>
          <w:color w:val="002060"/>
          <w:sz w:val="21"/>
          <w:szCs w:val="21"/>
        </w:rPr>
        <w:t xml:space="preserve"> Delivery Program and Operational P</w:t>
      </w:r>
      <w:r w:rsidR="0065395B" w:rsidRPr="003F6F7D">
        <w:rPr>
          <w:rFonts w:ascii="Arial" w:hAnsi="Arial" w:cs="Arial"/>
          <w:color w:val="002060"/>
          <w:sz w:val="21"/>
          <w:szCs w:val="21"/>
        </w:rPr>
        <w:t xml:space="preserve">lan </w:t>
      </w:r>
      <w:r w:rsidR="003F6F7D" w:rsidRPr="003F6F7D">
        <w:rPr>
          <w:rFonts w:ascii="Arial" w:hAnsi="Arial" w:cs="Arial"/>
          <w:color w:val="002060"/>
          <w:sz w:val="21"/>
          <w:szCs w:val="21"/>
        </w:rPr>
        <w:t xml:space="preserve">(attachment # 2) </w:t>
      </w:r>
      <w:r w:rsidR="0065395B" w:rsidRPr="003F6F7D">
        <w:rPr>
          <w:rFonts w:ascii="Arial" w:hAnsi="Arial" w:cs="Arial"/>
          <w:color w:val="002060"/>
          <w:sz w:val="21"/>
          <w:szCs w:val="21"/>
        </w:rPr>
        <w:t xml:space="preserve">the option of </w:t>
      </w:r>
      <w:r w:rsidR="00EF05F1" w:rsidRPr="003F6F7D">
        <w:rPr>
          <w:rFonts w:ascii="Arial" w:hAnsi="Arial" w:cs="Arial"/>
          <w:color w:val="002060"/>
          <w:sz w:val="21"/>
          <w:szCs w:val="21"/>
        </w:rPr>
        <w:t>a further cut</w:t>
      </w:r>
      <w:r w:rsidR="0065395B" w:rsidRPr="003F6F7D">
        <w:rPr>
          <w:rFonts w:ascii="Arial" w:hAnsi="Arial" w:cs="Arial"/>
          <w:color w:val="002060"/>
          <w:sz w:val="21"/>
          <w:szCs w:val="21"/>
        </w:rPr>
        <w:t xml:space="preserve"> back</w:t>
      </w:r>
      <w:r w:rsidR="00EF05F1" w:rsidRPr="003F6F7D">
        <w:rPr>
          <w:rFonts w:ascii="Arial" w:hAnsi="Arial" w:cs="Arial"/>
          <w:color w:val="002060"/>
          <w:sz w:val="21"/>
          <w:szCs w:val="21"/>
        </w:rPr>
        <w:t xml:space="preserve"> of </w:t>
      </w:r>
      <w:r w:rsidR="0065395B" w:rsidRPr="003F6F7D">
        <w:rPr>
          <w:rFonts w:ascii="Arial" w:hAnsi="Arial" w:cs="Arial"/>
          <w:color w:val="002060"/>
          <w:sz w:val="21"/>
          <w:szCs w:val="21"/>
        </w:rPr>
        <w:t xml:space="preserve">services was </w:t>
      </w:r>
      <w:r w:rsidR="003F6F7D" w:rsidRPr="003F6F7D">
        <w:rPr>
          <w:rFonts w:ascii="Arial" w:hAnsi="Arial" w:cs="Arial"/>
          <w:color w:val="002060"/>
          <w:sz w:val="21"/>
          <w:szCs w:val="21"/>
        </w:rPr>
        <w:t xml:space="preserve">not </w:t>
      </w:r>
      <w:r w:rsidR="0065395B" w:rsidRPr="003F6F7D">
        <w:rPr>
          <w:rFonts w:ascii="Arial" w:hAnsi="Arial" w:cs="Arial"/>
          <w:color w:val="002060"/>
          <w:sz w:val="21"/>
          <w:szCs w:val="21"/>
        </w:rPr>
        <w:t>considered</w:t>
      </w:r>
      <w:r w:rsidR="003F6F7D" w:rsidRPr="003F6F7D">
        <w:rPr>
          <w:rFonts w:ascii="Arial" w:hAnsi="Arial" w:cs="Arial"/>
          <w:color w:val="002060"/>
          <w:sz w:val="21"/>
          <w:szCs w:val="21"/>
        </w:rPr>
        <w:t xml:space="preserve">, </w:t>
      </w:r>
      <w:r w:rsidR="0065395B" w:rsidRPr="003F6F7D">
        <w:rPr>
          <w:rFonts w:ascii="Arial" w:hAnsi="Arial" w:cs="Arial"/>
          <w:color w:val="002060"/>
          <w:sz w:val="21"/>
          <w:szCs w:val="21"/>
        </w:rPr>
        <w:t>as it would see</w:t>
      </w:r>
      <w:r w:rsidR="003F6F7D" w:rsidRPr="003F6F7D">
        <w:rPr>
          <w:rFonts w:ascii="Arial" w:hAnsi="Arial" w:cs="Arial"/>
          <w:color w:val="002060"/>
          <w:sz w:val="21"/>
          <w:szCs w:val="21"/>
        </w:rPr>
        <w:t xml:space="preserve"> capital renewals and restoration obligations not being met.</w:t>
      </w:r>
    </w:p>
    <w:p w:rsidR="00EF05F1" w:rsidRPr="003F6F7D" w:rsidRDefault="00EF05F1" w:rsidP="0092086B">
      <w:pPr>
        <w:ind w:right="-709"/>
        <w:jc w:val="both"/>
        <w:rPr>
          <w:rFonts w:ascii="Arial" w:hAnsi="Arial" w:cs="Arial"/>
          <w:color w:val="002060"/>
          <w:sz w:val="21"/>
          <w:szCs w:val="21"/>
        </w:rPr>
      </w:pPr>
    </w:p>
    <w:p w:rsidR="0065395B" w:rsidRPr="003F6F7D" w:rsidRDefault="0065395B" w:rsidP="0092086B">
      <w:pPr>
        <w:ind w:right="-709"/>
        <w:jc w:val="both"/>
        <w:rPr>
          <w:rFonts w:ascii="Arial" w:hAnsi="Arial" w:cs="Arial"/>
          <w:color w:val="002060"/>
          <w:sz w:val="21"/>
          <w:szCs w:val="21"/>
        </w:rPr>
      </w:pPr>
      <w:r w:rsidRPr="003F6F7D">
        <w:rPr>
          <w:rFonts w:ascii="Arial" w:hAnsi="Arial" w:cs="Arial"/>
          <w:color w:val="002060"/>
          <w:sz w:val="21"/>
          <w:szCs w:val="21"/>
        </w:rPr>
        <w:t>At the 2014</w:t>
      </w:r>
      <w:r w:rsidR="00E00950" w:rsidRPr="003F6F7D">
        <w:rPr>
          <w:rFonts w:ascii="Arial" w:hAnsi="Arial" w:cs="Arial"/>
          <w:color w:val="002060"/>
          <w:sz w:val="21"/>
          <w:szCs w:val="21"/>
        </w:rPr>
        <w:t xml:space="preserve"> </w:t>
      </w:r>
      <w:r w:rsidRPr="003F6F7D">
        <w:rPr>
          <w:rFonts w:ascii="Arial" w:hAnsi="Arial" w:cs="Arial"/>
          <w:color w:val="002060"/>
          <w:sz w:val="21"/>
          <w:szCs w:val="21"/>
        </w:rPr>
        <w:t>/</w:t>
      </w:r>
      <w:r w:rsidR="00E00950" w:rsidRPr="003F6F7D">
        <w:rPr>
          <w:rFonts w:ascii="Arial" w:hAnsi="Arial" w:cs="Arial"/>
          <w:color w:val="002060"/>
          <w:sz w:val="21"/>
          <w:szCs w:val="21"/>
        </w:rPr>
        <w:t xml:space="preserve"> </w:t>
      </w:r>
      <w:r w:rsidRPr="003F6F7D">
        <w:rPr>
          <w:rFonts w:ascii="Arial" w:hAnsi="Arial" w:cs="Arial"/>
          <w:color w:val="002060"/>
          <w:sz w:val="21"/>
          <w:szCs w:val="21"/>
        </w:rPr>
        <w:t>2015 budget workshops with Councillors</w:t>
      </w:r>
      <w:r w:rsidR="00E00950" w:rsidRPr="003F6F7D">
        <w:rPr>
          <w:rFonts w:ascii="Arial" w:hAnsi="Arial" w:cs="Arial"/>
          <w:color w:val="002060"/>
          <w:sz w:val="21"/>
          <w:szCs w:val="21"/>
        </w:rPr>
        <w:t xml:space="preserve">, </w:t>
      </w:r>
      <w:r w:rsidRPr="003F6F7D">
        <w:rPr>
          <w:rFonts w:ascii="Arial" w:hAnsi="Arial" w:cs="Arial"/>
          <w:color w:val="002060"/>
          <w:sz w:val="21"/>
          <w:szCs w:val="21"/>
        </w:rPr>
        <w:t xml:space="preserve">the option of </w:t>
      </w:r>
      <w:r w:rsidR="00C87721" w:rsidRPr="003F6F7D">
        <w:rPr>
          <w:rFonts w:ascii="Arial" w:hAnsi="Arial" w:cs="Arial"/>
          <w:color w:val="002060"/>
          <w:sz w:val="21"/>
          <w:szCs w:val="21"/>
        </w:rPr>
        <w:t xml:space="preserve">a special </w:t>
      </w:r>
      <w:r w:rsidRPr="003F6F7D">
        <w:rPr>
          <w:rFonts w:ascii="Arial" w:hAnsi="Arial" w:cs="Arial"/>
          <w:color w:val="002060"/>
          <w:sz w:val="21"/>
          <w:szCs w:val="21"/>
        </w:rPr>
        <w:t xml:space="preserve">rate </w:t>
      </w:r>
      <w:r w:rsidR="00C87721" w:rsidRPr="003F6F7D">
        <w:rPr>
          <w:rFonts w:ascii="Arial" w:hAnsi="Arial" w:cs="Arial"/>
          <w:color w:val="002060"/>
          <w:sz w:val="21"/>
          <w:szCs w:val="21"/>
        </w:rPr>
        <w:t>variation</w:t>
      </w:r>
      <w:r w:rsidRPr="003F6F7D">
        <w:rPr>
          <w:rFonts w:ascii="Arial" w:hAnsi="Arial" w:cs="Arial"/>
          <w:color w:val="002060"/>
          <w:sz w:val="21"/>
          <w:szCs w:val="21"/>
        </w:rPr>
        <w:t xml:space="preserve"> to </w:t>
      </w:r>
      <w:r w:rsidR="00C87721" w:rsidRPr="003F6F7D">
        <w:rPr>
          <w:rFonts w:ascii="Arial" w:hAnsi="Arial" w:cs="Arial"/>
          <w:color w:val="002060"/>
          <w:sz w:val="21"/>
          <w:szCs w:val="21"/>
        </w:rPr>
        <w:t>increase funding for</w:t>
      </w:r>
      <w:r w:rsidRPr="003F6F7D">
        <w:rPr>
          <w:rFonts w:ascii="Arial" w:hAnsi="Arial" w:cs="Arial"/>
          <w:color w:val="002060"/>
          <w:sz w:val="21"/>
          <w:szCs w:val="21"/>
        </w:rPr>
        <w:t xml:space="preserve"> road </w:t>
      </w:r>
      <w:r w:rsidR="0065744B" w:rsidRPr="003F6F7D">
        <w:rPr>
          <w:rFonts w:ascii="Arial" w:hAnsi="Arial" w:cs="Arial"/>
          <w:color w:val="002060"/>
          <w:sz w:val="21"/>
          <w:szCs w:val="21"/>
        </w:rPr>
        <w:t>reseals, re</w:t>
      </w:r>
      <w:r w:rsidR="00C85245">
        <w:rPr>
          <w:rFonts w:ascii="Arial" w:hAnsi="Arial" w:cs="Arial"/>
          <w:color w:val="002060"/>
          <w:sz w:val="21"/>
          <w:szCs w:val="21"/>
        </w:rPr>
        <w:t>-</w:t>
      </w:r>
      <w:r w:rsidR="0065744B" w:rsidRPr="003F6F7D">
        <w:rPr>
          <w:rFonts w:ascii="Arial" w:hAnsi="Arial" w:cs="Arial"/>
          <w:color w:val="002060"/>
          <w:sz w:val="21"/>
          <w:szCs w:val="21"/>
        </w:rPr>
        <w:t>sheeting and rehabilitation,</w:t>
      </w:r>
      <w:r w:rsidRPr="003F6F7D">
        <w:rPr>
          <w:rFonts w:ascii="Arial" w:hAnsi="Arial" w:cs="Arial"/>
          <w:color w:val="002060"/>
          <w:sz w:val="21"/>
          <w:szCs w:val="21"/>
        </w:rPr>
        <w:t xml:space="preserve"> was tabled for Council discussion and consideration.</w:t>
      </w:r>
    </w:p>
    <w:p w:rsidR="004B6D9F" w:rsidRPr="003F6F7D" w:rsidRDefault="004B6D9F" w:rsidP="0092086B">
      <w:pPr>
        <w:ind w:right="-709"/>
        <w:jc w:val="both"/>
        <w:rPr>
          <w:rFonts w:ascii="Arial" w:hAnsi="Arial" w:cs="Arial"/>
          <w:color w:val="002060"/>
          <w:sz w:val="21"/>
          <w:szCs w:val="21"/>
        </w:rPr>
      </w:pPr>
    </w:p>
    <w:p w:rsidR="0065395B" w:rsidRDefault="0065395B" w:rsidP="0092086B">
      <w:pPr>
        <w:ind w:right="-709"/>
        <w:jc w:val="both"/>
        <w:rPr>
          <w:rFonts w:ascii="Arial" w:hAnsi="Arial" w:cs="Arial"/>
          <w:color w:val="002060"/>
          <w:sz w:val="21"/>
          <w:szCs w:val="21"/>
        </w:rPr>
      </w:pPr>
      <w:r w:rsidRPr="003F6F7D">
        <w:rPr>
          <w:rFonts w:ascii="Arial" w:hAnsi="Arial" w:cs="Arial"/>
          <w:color w:val="002060"/>
          <w:sz w:val="21"/>
          <w:szCs w:val="21"/>
        </w:rPr>
        <w:t>Other options discussed included:</w:t>
      </w:r>
    </w:p>
    <w:p w:rsidR="005F21B7" w:rsidRPr="003F6F7D" w:rsidRDefault="005F21B7" w:rsidP="0092086B">
      <w:pPr>
        <w:ind w:right="-709"/>
        <w:jc w:val="both"/>
        <w:rPr>
          <w:rFonts w:ascii="Arial" w:hAnsi="Arial" w:cs="Arial"/>
          <w:color w:val="002060"/>
          <w:sz w:val="21"/>
          <w:szCs w:val="21"/>
        </w:rPr>
      </w:pPr>
    </w:p>
    <w:p w:rsidR="00E00950" w:rsidRPr="004B6D9F" w:rsidRDefault="00E00950" w:rsidP="0092086B">
      <w:pPr>
        <w:ind w:right="-709"/>
        <w:jc w:val="both"/>
        <w:rPr>
          <w:rFonts w:ascii="Arial" w:hAnsi="Arial" w:cs="Arial"/>
          <w:color w:val="002060"/>
          <w:sz w:val="12"/>
          <w:szCs w:val="12"/>
        </w:rPr>
      </w:pPr>
    </w:p>
    <w:tbl>
      <w:tblPr>
        <w:tblStyle w:val="TableGrid"/>
        <w:tblW w:w="9066" w:type="dxa"/>
        <w:tblInd w:w="114" w:type="dxa"/>
        <w:tblLook w:val="04A0"/>
      </w:tblPr>
      <w:tblGrid>
        <w:gridCol w:w="3396"/>
        <w:gridCol w:w="5670"/>
      </w:tblGrid>
      <w:tr w:rsidR="0065395B" w:rsidRPr="0065395B" w:rsidTr="00A02C55">
        <w:trPr>
          <w:trHeight w:val="483"/>
        </w:trPr>
        <w:tc>
          <w:tcPr>
            <w:tcW w:w="3396" w:type="dxa"/>
          </w:tcPr>
          <w:p w:rsidR="0065395B" w:rsidRPr="00E00950" w:rsidRDefault="0065395B" w:rsidP="0065395B">
            <w:pPr>
              <w:jc w:val="both"/>
              <w:rPr>
                <w:rFonts w:ascii="Arial" w:hAnsi="Arial" w:cs="Arial"/>
                <w:color w:val="002060"/>
                <w:sz w:val="21"/>
                <w:szCs w:val="21"/>
              </w:rPr>
            </w:pPr>
            <w:r w:rsidRPr="00E00950">
              <w:rPr>
                <w:rFonts w:ascii="Arial" w:hAnsi="Arial" w:cs="Arial"/>
                <w:color w:val="002060"/>
                <w:sz w:val="21"/>
                <w:szCs w:val="21"/>
              </w:rPr>
              <w:t>Increased fees and charges</w:t>
            </w:r>
          </w:p>
        </w:tc>
        <w:tc>
          <w:tcPr>
            <w:tcW w:w="5670" w:type="dxa"/>
          </w:tcPr>
          <w:p w:rsidR="0065395B" w:rsidRDefault="00A02C55" w:rsidP="001A65FB">
            <w:pPr>
              <w:rPr>
                <w:rFonts w:ascii="Arial" w:hAnsi="Arial" w:cs="Arial"/>
                <w:color w:val="002060"/>
                <w:sz w:val="21"/>
                <w:szCs w:val="21"/>
              </w:rPr>
            </w:pPr>
            <w:r>
              <w:rPr>
                <w:rFonts w:ascii="Arial" w:hAnsi="Arial" w:cs="Arial"/>
                <w:color w:val="002060"/>
                <w:sz w:val="21"/>
                <w:szCs w:val="21"/>
              </w:rPr>
              <w:t>There is limited opportunity available</w:t>
            </w:r>
            <w:r w:rsidR="0065395B" w:rsidRPr="00E00950">
              <w:rPr>
                <w:rFonts w:ascii="Arial" w:hAnsi="Arial" w:cs="Arial"/>
                <w:color w:val="002060"/>
                <w:sz w:val="21"/>
                <w:szCs w:val="21"/>
              </w:rPr>
              <w:t xml:space="preserve"> to Council </w:t>
            </w:r>
            <w:r>
              <w:rPr>
                <w:rFonts w:ascii="Arial" w:hAnsi="Arial" w:cs="Arial"/>
                <w:color w:val="002060"/>
                <w:sz w:val="21"/>
                <w:szCs w:val="21"/>
              </w:rPr>
              <w:t xml:space="preserve">to increase this revenue </w:t>
            </w:r>
            <w:proofErr w:type="gramStart"/>
            <w:r>
              <w:rPr>
                <w:rFonts w:ascii="Arial" w:hAnsi="Arial" w:cs="Arial"/>
                <w:color w:val="002060"/>
                <w:sz w:val="21"/>
                <w:szCs w:val="21"/>
              </w:rPr>
              <w:t>stream,</w:t>
            </w:r>
            <w:proofErr w:type="gramEnd"/>
            <w:r>
              <w:rPr>
                <w:rFonts w:ascii="Arial" w:hAnsi="Arial" w:cs="Arial"/>
                <w:color w:val="002060"/>
                <w:sz w:val="21"/>
                <w:szCs w:val="21"/>
              </w:rPr>
              <w:t xml:space="preserve"> predominately RMS contracted works and private works</w:t>
            </w:r>
            <w:r w:rsidR="0065395B" w:rsidRPr="00E00950">
              <w:rPr>
                <w:rFonts w:ascii="Arial" w:hAnsi="Arial" w:cs="Arial"/>
                <w:color w:val="002060"/>
                <w:sz w:val="21"/>
                <w:szCs w:val="21"/>
              </w:rPr>
              <w:t>.</w:t>
            </w:r>
            <w:r>
              <w:rPr>
                <w:rFonts w:ascii="Arial" w:hAnsi="Arial" w:cs="Arial"/>
                <w:color w:val="002060"/>
                <w:sz w:val="21"/>
                <w:szCs w:val="21"/>
              </w:rPr>
              <w:t xml:space="preserve">  RMS contracted works and private works are currently undertaken at maximum available opportunities.</w:t>
            </w:r>
          </w:p>
          <w:p w:rsidR="001A65FB" w:rsidRPr="00E00950" w:rsidRDefault="001A65FB" w:rsidP="001A65FB">
            <w:pPr>
              <w:rPr>
                <w:rFonts w:ascii="Arial" w:hAnsi="Arial" w:cs="Arial"/>
                <w:color w:val="002060"/>
                <w:sz w:val="21"/>
                <w:szCs w:val="21"/>
              </w:rPr>
            </w:pPr>
          </w:p>
        </w:tc>
      </w:tr>
      <w:tr w:rsidR="0065395B" w:rsidRPr="0065395B" w:rsidTr="00A02C55">
        <w:trPr>
          <w:trHeight w:val="1225"/>
        </w:trPr>
        <w:tc>
          <w:tcPr>
            <w:tcW w:w="3396" w:type="dxa"/>
          </w:tcPr>
          <w:p w:rsidR="0065395B" w:rsidRPr="00E00950" w:rsidRDefault="0065395B" w:rsidP="0065395B">
            <w:pPr>
              <w:jc w:val="both"/>
              <w:rPr>
                <w:rFonts w:ascii="Arial" w:hAnsi="Arial" w:cs="Arial"/>
                <w:color w:val="002060"/>
                <w:sz w:val="21"/>
                <w:szCs w:val="21"/>
              </w:rPr>
            </w:pPr>
            <w:r w:rsidRPr="00E00950">
              <w:rPr>
                <w:rFonts w:ascii="Arial" w:hAnsi="Arial" w:cs="Arial"/>
                <w:color w:val="002060"/>
                <w:sz w:val="21"/>
                <w:szCs w:val="21"/>
              </w:rPr>
              <w:t>Increased grant funds</w:t>
            </w:r>
          </w:p>
        </w:tc>
        <w:tc>
          <w:tcPr>
            <w:tcW w:w="5670" w:type="dxa"/>
          </w:tcPr>
          <w:p w:rsidR="0065395B" w:rsidRPr="00E00950" w:rsidRDefault="0065395B" w:rsidP="001A65FB">
            <w:pPr>
              <w:rPr>
                <w:rFonts w:ascii="Arial" w:hAnsi="Arial" w:cs="Arial"/>
                <w:color w:val="002060"/>
                <w:sz w:val="21"/>
                <w:szCs w:val="21"/>
              </w:rPr>
            </w:pPr>
            <w:r w:rsidRPr="00E00950">
              <w:rPr>
                <w:rFonts w:ascii="Arial" w:hAnsi="Arial" w:cs="Arial"/>
                <w:color w:val="002060"/>
                <w:sz w:val="21"/>
                <w:szCs w:val="21"/>
              </w:rPr>
              <w:t xml:space="preserve">Most grants that could be utilised by Council are $ for $ grants and Council is unable to meet its obligation to find 50% of the budget for works.  </w:t>
            </w:r>
            <w:r w:rsidR="00A02C55">
              <w:rPr>
                <w:rFonts w:ascii="Arial" w:hAnsi="Arial" w:cs="Arial"/>
                <w:color w:val="002060"/>
                <w:sz w:val="21"/>
                <w:szCs w:val="21"/>
              </w:rPr>
              <w:t>There</w:t>
            </w:r>
            <w:r w:rsidRPr="00E00950">
              <w:rPr>
                <w:rFonts w:ascii="Arial" w:hAnsi="Arial" w:cs="Arial"/>
                <w:color w:val="002060"/>
                <w:sz w:val="21"/>
                <w:szCs w:val="21"/>
              </w:rPr>
              <w:t xml:space="preserve"> are very few grants available for maintenance works</w:t>
            </w:r>
            <w:r w:rsidR="00A02C55">
              <w:rPr>
                <w:rFonts w:ascii="Arial" w:hAnsi="Arial" w:cs="Arial"/>
                <w:color w:val="002060"/>
                <w:sz w:val="21"/>
                <w:szCs w:val="21"/>
              </w:rPr>
              <w:t>.</w:t>
            </w:r>
          </w:p>
        </w:tc>
      </w:tr>
      <w:tr w:rsidR="0065395B" w:rsidRPr="0065395B" w:rsidTr="001A65FB">
        <w:trPr>
          <w:trHeight w:val="1586"/>
        </w:trPr>
        <w:tc>
          <w:tcPr>
            <w:tcW w:w="3396" w:type="dxa"/>
          </w:tcPr>
          <w:p w:rsidR="0065395B" w:rsidRPr="00E00950" w:rsidRDefault="0065395B" w:rsidP="00A02C55">
            <w:pPr>
              <w:jc w:val="both"/>
              <w:rPr>
                <w:rFonts w:ascii="Arial" w:hAnsi="Arial" w:cs="Arial"/>
                <w:color w:val="002060"/>
                <w:sz w:val="21"/>
                <w:szCs w:val="21"/>
              </w:rPr>
            </w:pPr>
            <w:r w:rsidRPr="00E00950">
              <w:rPr>
                <w:rFonts w:ascii="Arial" w:hAnsi="Arial" w:cs="Arial"/>
                <w:color w:val="002060"/>
                <w:sz w:val="21"/>
                <w:szCs w:val="21"/>
              </w:rPr>
              <w:t xml:space="preserve">Reduce </w:t>
            </w:r>
            <w:r w:rsidR="00A02C55">
              <w:rPr>
                <w:rFonts w:ascii="Arial" w:hAnsi="Arial" w:cs="Arial"/>
                <w:color w:val="002060"/>
                <w:sz w:val="21"/>
                <w:szCs w:val="21"/>
              </w:rPr>
              <w:t>staffing levels</w:t>
            </w:r>
          </w:p>
        </w:tc>
        <w:tc>
          <w:tcPr>
            <w:tcW w:w="5670" w:type="dxa"/>
          </w:tcPr>
          <w:p w:rsidR="00A02C55" w:rsidRDefault="00A02C55" w:rsidP="001A65FB">
            <w:pPr>
              <w:rPr>
                <w:rFonts w:ascii="Arial" w:hAnsi="Arial" w:cs="Arial"/>
                <w:color w:val="002060"/>
                <w:sz w:val="21"/>
                <w:szCs w:val="21"/>
              </w:rPr>
            </w:pPr>
            <w:r>
              <w:rPr>
                <w:rFonts w:ascii="Arial" w:hAnsi="Arial" w:cs="Arial"/>
                <w:color w:val="002060"/>
                <w:sz w:val="21"/>
                <w:szCs w:val="21"/>
              </w:rPr>
              <w:t xml:space="preserve">Some reduction in staff hours has occurred over the past 5 </w:t>
            </w:r>
            <w:proofErr w:type="gramStart"/>
            <w:r w:rsidR="001A65FB">
              <w:rPr>
                <w:rFonts w:ascii="Arial" w:hAnsi="Arial" w:cs="Arial"/>
                <w:color w:val="002060"/>
                <w:sz w:val="21"/>
                <w:szCs w:val="21"/>
              </w:rPr>
              <w:t>years,</w:t>
            </w:r>
            <w:proofErr w:type="gramEnd"/>
            <w:r w:rsidR="001A65FB">
              <w:rPr>
                <w:rFonts w:ascii="Arial" w:hAnsi="Arial" w:cs="Arial"/>
                <w:color w:val="002060"/>
                <w:sz w:val="21"/>
                <w:szCs w:val="21"/>
              </w:rPr>
              <w:t xml:space="preserve"> however Council staffing is at a minimum </w:t>
            </w:r>
            <w:r w:rsidR="00C85245">
              <w:rPr>
                <w:rFonts w:ascii="Arial" w:hAnsi="Arial" w:cs="Arial"/>
                <w:color w:val="002060"/>
                <w:sz w:val="21"/>
                <w:szCs w:val="21"/>
              </w:rPr>
              <w:t>level, the average for Councils in our category.</w:t>
            </w:r>
          </w:p>
          <w:p w:rsidR="0065395B" w:rsidRPr="00E00950" w:rsidRDefault="001A65FB" w:rsidP="001A65FB">
            <w:pPr>
              <w:rPr>
                <w:rFonts w:ascii="Arial" w:hAnsi="Arial" w:cs="Arial"/>
                <w:color w:val="002060"/>
                <w:sz w:val="21"/>
                <w:szCs w:val="21"/>
              </w:rPr>
            </w:pPr>
            <w:r>
              <w:rPr>
                <w:rFonts w:ascii="Arial" w:hAnsi="Arial" w:cs="Arial"/>
                <w:color w:val="002060"/>
                <w:sz w:val="21"/>
                <w:szCs w:val="21"/>
              </w:rPr>
              <w:br/>
              <w:t xml:space="preserve">Further reduction of staff would lead to reduced service levels and a lack of </w:t>
            </w:r>
            <w:r w:rsidR="0065395B" w:rsidRPr="00E00950">
              <w:rPr>
                <w:rFonts w:ascii="Arial" w:hAnsi="Arial" w:cs="Arial"/>
                <w:color w:val="002060"/>
                <w:sz w:val="21"/>
                <w:szCs w:val="21"/>
              </w:rPr>
              <w:t xml:space="preserve">suitably qualified and trained staff to undertake </w:t>
            </w:r>
            <w:r>
              <w:rPr>
                <w:rFonts w:ascii="Arial" w:hAnsi="Arial" w:cs="Arial"/>
                <w:color w:val="002060"/>
                <w:sz w:val="21"/>
                <w:szCs w:val="21"/>
              </w:rPr>
              <w:t>specialised tasks.</w:t>
            </w:r>
          </w:p>
        </w:tc>
      </w:tr>
      <w:tr w:rsidR="00E00950" w:rsidTr="001A65FB">
        <w:trPr>
          <w:trHeight w:val="1239"/>
        </w:trPr>
        <w:tc>
          <w:tcPr>
            <w:tcW w:w="3396" w:type="dxa"/>
          </w:tcPr>
          <w:p w:rsidR="00E00950" w:rsidRPr="00E00950" w:rsidRDefault="00E00950" w:rsidP="00BE3CCA">
            <w:pPr>
              <w:jc w:val="both"/>
              <w:rPr>
                <w:rFonts w:ascii="Arial" w:hAnsi="Arial" w:cs="Arial"/>
                <w:color w:val="002060"/>
                <w:sz w:val="20"/>
                <w:szCs w:val="20"/>
              </w:rPr>
            </w:pPr>
            <w:r w:rsidRPr="00E00950">
              <w:rPr>
                <w:rFonts w:ascii="Arial" w:hAnsi="Arial" w:cs="Arial"/>
                <w:color w:val="002060"/>
                <w:sz w:val="20"/>
                <w:szCs w:val="20"/>
              </w:rPr>
              <w:t>Outsourcing</w:t>
            </w:r>
          </w:p>
        </w:tc>
        <w:tc>
          <w:tcPr>
            <w:tcW w:w="5670" w:type="dxa"/>
          </w:tcPr>
          <w:p w:rsidR="001A65FB" w:rsidRDefault="00E00950" w:rsidP="001A65FB">
            <w:pPr>
              <w:tabs>
                <w:tab w:val="left" w:pos="4967"/>
              </w:tabs>
              <w:ind w:right="-728"/>
              <w:rPr>
                <w:rFonts w:ascii="Arial" w:hAnsi="Arial" w:cs="Arial"/>
                <w:color w:val="002060"/>
                <w:sz w:val="20"/>
                <w:szCs w:val="20"/>
              </w:rPr>
            </w:pPr>
            <w:r w:rsidRPr="00E00950">
              <w:rPr>
                <w:rFonts w:ascii="Arial" w:hAnsi="Arial" w:cs="Arial"/>
                <w:color w:val="002060"/>
                <w:sz w:val="20"/>
                <w:szCs w:val="20"/>
              </w:rPr>
              <w:t>Council has been proactive in outsourcing</w:t>
            </w:r>
            <w:r w:rsidR="004B6D9F">
              <w:rPr>
                <w:rFonts w:ascii="Arial" w:hAnsi="Arial" w:cs="Arial"/>
                <w:color w:val="002060"/>
                <w:sz w:val="20"/>
                <w:szCs w:val="20"/>
              </w:rPr>
              <w:t xml:space="preserve"> its expertise to neighbouring S</w:t>
            </w:r>
            <w:r w:rsidRPr="00E00950">
              <w:rPr>
                <w:rFonts w:ascii="Arial" w:hAnsi="Arial" w:cs="Arial"/>
                <w:color w:val="002060"/>
                <w:sz w:val="20"/>
                <w:szCs w:val="20"/>
              </w:rPr>
              <w:t xml:space="preserve">hires and </w:t>
            </w:r>
            <w:r w:rsidR="001A65FB">
              <w:rPr>
                <w:rFonts w:ascii="Arial" w:hAnsi="Arial" w:cs="Arial"/>
                <w:color w:val="002060"/>
                <w:sz w:val="20"/>
                <w:szCs w:val="20"/>
              </w:rPr>
              <w:t>to other State Government agencies to</w:t>
            </w:r>
          </w:p>
          <w:p w:rsidR="001A65FB" w:rsidRDefault="001A65FB" w:rsidP="001A65FB">
            <w:pPr>
              <w:tabs>
                <w:tab w:val="left" w:pos="4967"/>
              </w:tabs>
              <w:ind w:right="-728"/>
              <w:rPr>
                <w:rFonts w:ascii="Arial" w:hAnsi="Arial" w:cs="Arial"/>
                <w:color w:val="002060"/>
                <w:sz w:val="20"/>
                <w:szCs w:val="20"/>
              </w:rPr>
            </w:pPr>
            <w:proofErr w:type="gramStart"/>
            <w:r>
              <w:rPr>
                <w:rFonts w:ascii="Arial" w:hAnsi="Arial" w:cs="Arial"/>
                <w:color w:val="002060"/>
                <w:sz w:val="20"/>
                <w:szCs w:val="20"/>
              </w:rPr>
              <w:t>t</w:t>
            </w:r>
            <w:r w:rsidR="00E00950" w:rsidRPr="00E00950">
              <w:rPr>
                <w:rFonts w:ascii="Arial" w:hAnsi="Arial" w:cs="Arial"/>
                <w:color w:val="002060"/>
                <w:sz w:val="20"/>
                <w:szCs w:val="20"/>
              </w:rPr>
              <w:t>o</w:t>
            </w:r>
            <w:proofErr w:type="gramEnd"/>
            <w:r w:rsidR="00E00950" w:rsidRPr="00E00950">
              <w:rPr>
                <w:rFonts w:ascii="Arial" w:hAnsi="Arial" w:cs="Arial"/>
                <w:color w:val="002060"/>
                <w:sz w:val="20"/>
                <w:szCs w:val="20"/>
              </w:rPr>
              <w:t xml:space="preserve"> bring additional income</w:t>
            </w:r>
            <w:r>
              <w:rPr>
                <w:rFonts w:ascii="Arial" w:hAnsi="Arial" w:cs="Arial"/>
                <w:color w:val="002060"/>
                <w:sz w:val="20"/>
                <w:szCs w:val="20"/>
              </w:rPr>
              <w:t xml:space="preserve"> </w:t>
            </w:r>
            <w:r w:rsidR="00E00950" w:rsidRPr="00E00950">
              <w:rPr>
                <w:rFonts w:ascii="Arial" w:hAnsi="Arial" w:cs="Arial"/>
                <w:color w:val="002060"/>
                <w:sz w:val="20"/>
                <w:szCs w:val="20"/>
              </w:rPr>
              <w:t>into the Council</w:t>
            </w:r>
            <w:r>
              <w:rPr>
                <w:rFonts w:ascii="Arial" w:hAnsi="Arial" w:cs="Arial"/>
                <w:color w:val="002060"/>
                <w:sz w:val="20"/>
                <w:szCs w:val="20"/>
              </w:rPr>
              <w:t>.</w:t>
            </w:r>
          </w:p>
          <w:p w:rsidR="001A65FB" w:rsidRDefault="001A65FB" w:rsidP="001A65FB">
            <w:pPr>
              <w:tabs>
                <w:tab w:val="left" w:pos="4967"/>
              </w:tabs>
              <w:ind w:right="-728"/>
              <w:rPr>
                <w:rFonts w:ascii="Arial" w:hAnsi="Arial" w:cs="Arial"/>
                <w:color w:val="002060"/>
                <w:sz w:val="20"/>
                <w:szCs w:val="20"/>
              </w:rPr>
            </w:pPr>
          </w:p>
          <w:p w:rsidR="001A65FB" w:rsidRDefault="001A65FB" w:rsidP="001A65FB">
            <w:pPr>
              <w:tabs>
                <w:tab w:val="left" w:pos="4967"/>
              </w:tabs>
              <w:ind w:right="-728"/>
              <w:rPr>
                <w:rFonts w:ascii="Arial" w:hAnsi="Arial" w:cs="Arial"/>
                <w:color w:val="002060"/>
                <w:sz w:val="20"/>
                <w:szCs w:val="20"/>
              </w:rPr>
            </w:pPr>
            <w:r>
              <w:rPr>
                <w:rFonts w:ascii="Arial" w:hAnsi="Arial" w:cs="Arial"/>
                <w:color w:val="002060"/>
                <w:sz w:val="20"/>
                <w:szCs w:val="20"/>
              </w:rPr>
              <w:t>This option provided only a minimal income stream.</w:t>
            </w:r>
          </w:p>
          <w:p w:rsidR="00E00950" w:rsidRPr="00E00950" w:rsidRDefault="00E00950" w:rsidP="001A65FB">
            <w:pPr>
              <w:tabs>
                <w:tab w:val="left" w:pos="4967"/>
              </w:tabs>
              <w:ind w:right="-728"/>
              <w:rPr>
                <w:rFonts w:ascii="Arial" w:hAnsi="Arial" w:cs="Arial"/>
                <w:color w:val="002060"/>
                <w:sz w:val="20"/>
                <w:szCs w:val="20"/>
              </w:rPr>
            </w:pPr>
          </w:p>
        </w:tc>
      </w:tr>
    </w:tbl>
    <w:p w:rsidR="00E00950" w:rsidRDefault="00E00950" w:rsidP="001A65FB">
      <w:pPr>
        <w:ind w:left="-567"/>
        <w:jc w:val="both"/>
        <w:rPr>
          <w:rFonts w:ascii="Arial" w:hAnsi="Arial" w:cs="Arial"/>
          <w:color w:val="002060"/>
          <w:sz w:val="24"/>
        </w:rPr>
      </w:pPr>
    </w:p>
    <w:p w:rsidR="0065395B" w:rsidRDefault="0065395B" w:rsidP="00BE0131">
      <w:pPr>
        <w:ind w:right="-709"/>
        <w:jc w:val="both"/>
        <w:rPr>
          <w:rFonts w:ascii="Arial" w:hAnsi="Arial" w:cs="Arial"/>
          <w:color w:val="002060"/>
          <w:sz w:val="21"/>
          <w:szCs w:val="21"/>
        </w:rPr>
      </w:pPr>
      <w:r w:rsidRPr="003F6F7D">
        <w:rPr>
          <w:rFonts w:ascii="Arial" w:hAnsi="Arial" w:cs="Arial"/>
          <w:color w:val="002060"/>
          <w:sz w:val="21"/>
          <w:szCs w:val="21"/>
        </w:rPr>
        <w:t>After budget workshops and Council</w:t>
      </w:r>
      <w:r w:rsidR="001A65FB" w:rsidRPr="003F6F7D">
        <w:rPr>
          <w:rFonts w:ascii="Arial" w:hAnsi="Arial" w:cs="Arial"/>
          <w:color w:val="002060"/>
          <w:sz w:val="21"/>
          <w:szCs w:val="21"/>
        </w:rPr>
        <w:t>’s</w:t>
      </w:r>
      <w:r w:rsidRPr="003F6F7D">
        <w:rPr>
          <w:rFonts w:ascii="Arial" w:hAnsi="Arial" w:cs="Arial"/>
          <w:color w:val="002060"/>
          <w:sz w:val="21"/>
          <w:szCs w:val="21"/>
        </w:rPr>
        <w:t xml:space="preserve"> </w:t>
      </w:r>
      <w:r w:rsidR="001A65FB" w:rsidRPr="003F6F7D">
        <w:rPr>
          <w:rFonts w:ascii="Arial" w:hAnsi="Arial" w:cs="Arial"/>
          <w:color w:val="002060"/>
          <w:sz w:val="21"/>
          <w:szCs w:val="21"/>
        </w:rPr>
        <w:t>meeting of 22 April 2014</w:t>
      </w:r>
      <w:r w:rsidR="000B2705" w:rsidRPr="003F6F7D">
        <w:rPr>
          <w:rFonts w:ascii="Arial" w:hAnsi="Arial" w:cs="Arial"/>
          <w:color w:val="002060"/>
          <w:sz w:val="21"/>
          <w:szCs w:val="21"/>
        </w:rPr>
        <w:t xml:space="preserve">, it was determined </w:t>
      </w:r>
      <w:r w:rsidRPr="003F6F7D">
        <w:rPr>
          <w:rFonts w:ascii="Arial" w:hAnsi="Arial" w:cs="Arial"/>
          <w:color w:val="002060"/>
          <w:sz w:val="21"/>
          <w:szCs w:val="21"/>
        </w:rPr>
        <w:t xml:space="preserve">to propose a </w:t>
      </w:r>
      <w:r w:rsidR="003F6F7D" w:rsidRPr="003F6F7D">
        <w:rPr>
          <w:rFonts w:ascii="Arial" w:hAnsi="Arial" w:cs="Arial"/>
          <w:color w:val="002060"/>
          <w:sz w:val="21"/>
          <w:szCs w:val="21"/>
        </w:rPr>
        <w:t xml:space="preserve">permanent special rate variation of </w:t>
      </w:r>
      <w:r w:rsidRPr="003F6F7D">
        <w:rPr>
          <w:rFonts w:ascii="Arial" w:hAnsi="Arial" w:cs="Arial"/>
          <w:color w:val="002060"/>
          <w:sz w:val="21"/>
          <w:szCs w:val="21"/>
        </w:rPr>
        <w:t xml:space="preserve">10% </w:t>
      </w:r>
      <w:r w:rsidR="000B2705" w:rsidRPr="003F6F7D">
        <w:rPr>
          <w:rFonts w:ascii="Arial" w:hAnsi="Arial" w:cs="Arial"/>
          <w:color w:val="002060"/>
          <w:sz w:val="21"/>
          <w:szCs w:val="21"/>
        </w:rPr>
        <w:t>(including the rate peg)</w:t>
      </w:r>
      <w:r w:rsidRPr="003F6F7D">
        <w:rPr>
          <w:rFonts w:ascii="Arial" w:hAnsi="Arial" w:cs="Arial"/>
          <w:color w:val="002060"/>
          <w:sz w:val="21"/>
          <w:szCs w:val="21"/>
        </w:rPr>
        <w:t xml:space="preserve"> for 2 consecutive years</w:t>
      </w:r>
      <w:r w:rsidR="000B2705" w:rsidRPr="003F6F7D">
        <w:rPr>
          <w:rFonts w:ascii="Arial" w:hAnsi="Arial" w:cs="Arial"/>
          <w:color w:val="002060"/>
          <w:sz w:val="21"/>
          <w:szCs w:val="21"/>
        </w:rPr>
        <w:t>, 2015/16 and 2016/17.</w:t>
      </w:r>
    </w:p>
    <w:p w:rsidR="002039BE" w:rsidRDefault="002039BE" w:rsidP="00BE0131">
      <w:pPr>
        <w:ind w:right="-709"/>
        <w:jc w:val="both"/>
        <w:rPr>
          <w:rFonts w:ascii="Arial" w:hAnsi="Arial" w:cs="Arial"/>
          <w:color w:val="002060"/>
          <w:sz w:val="21"/>
          <w:szCs w:val="21"/>
        </w:rPr>
      </w:pPr>
    </w:p>
    <w:p w:rsidR="005F21B7" w:rsidRDefault="005F21B7" w:rsidP="00BE0131">
      <w:pPr>
        <w:ind w:right="-709"/>
        <w:jc w:val="both"/>
        <w:rPr>
          <w:rFonts w:ascii="Arial" w:hAnsi="Arial" w:cs="Arial"/>
          <w:color w:val="002060"/>
          <w:sz w:val="21"/>
          <w:szCs w:val="21"/>
        </w:rPr>
      </w:pPr>
    </w:p>
    <w:p w:rsidR="002039BE" w:rsidRPr="003F6F7D" w:rsidRDefault="002039BE" w:rsidP="00BE0131">
      <w:pPr>
        <w:ind w:right="-709"/>
        <w:jc w:val="both"/>
        <w:rPr>
          <w:rFonts w:ascii="Arial" w:hAnsi="Arial" w:cs="Arial"/>
          <w:color w:val="002060"/>
          <w:sz w:val="21"/>
          <w:szCs w:val="21"/>
        </w:rPr>
      </w:pPr>
    </w:p>
    <w:p w:rsidR="007F05F6" w:rsidRPr="000124D5" w:rsidRDefault="007F05F6" w:rsidP="000124D5">
      <w:pPr>
        <w:pStyle w:val="Heading2"/>
      </w:pPr>
      <w:bookmarkStart w:id="13" w:name="_Toc304287283"/>
      <w:bookmarkStart w:id="14" w:name="_Toc366160409"/>
      <w:bookmarkStart w:id="15" w:name="_Toc411847907"/>
      <w:r w:rsidRPr="000124D5">
        <w:lastRenderedPageBreak/>
        <w:t>Capital expenditure</w:t>
      </w:r>
      <w:bookmarkEnd w:id="13"/>
      <w:r w:rsidRPr="000124D5">
        <w:t xml:space="preserve"> review</w:t>
      </w:r>
      <w:bookmarkEnd w:id="14"/>
      <w:bookmarkEnd w:id="15"/>
    </w:p>
    <w:p w:rsidR="007F05F6" w:rsidRDefault="008B1F5A" w:rsidP="000124D5">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0124D5">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tbl>
      <w:tblPr>
        <w:tblpPr w:leftFromText="180" w:rightFromText="180" w:vertAnchor="text" w:horzAnchor="margin" w:tblpY="520"/>
        <w:tblW w:w="8897" w:type="dxa"/>
        <w:tblLayout w:type="fixed"/>
        <w:tblLook w:val="01E0"/>
      </w:tblPr>
      <w:tblGrid>
        <w:gridCol w:w="7191"/>
        <w:gridCol w:w="851"/>
        <w:gridCol w:w="855"/>
      </w:tblGrid>
      <w:tr w:rsidR="00D56A43" w:rsidTr="001105C0">
        <w:trPr>
          <w:trHeight w:val="613"/>
        </w:trPr>
        <w:tc>
          <w:tcPr>
            <w:tcW w:w="7191" w:type="dxa"/>
          </w:tcPr>
          <w:p w:rsidR="00D56A43" w:rsidRDefault="00D56A43" w:rsidP="001105C0">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p w:rsidR="00D56A43" w:rsidRDefault="00D56A43" w:rsidP="001105C0">
            <w:pPr>
              <w:pStyle w:val="TableTextEntries"/>
            </w:pPr>
          </w:p>
        </w:tc>
        <w:tc>
          <w:tcPr>
            <w:tcW w:w="851" w:type="dxa"/>
          </w:tcPr>
          <w:p w:rsidR="00D56A43" w:rsidRPr="00C404AF" w:rsidRDefault="00D56A43" w:rsidP="001105C0">
            <w:pPr>
              <w:pStyle w:val="TableTextEntries"/>
              <w:rPr>
                <w:rFonts w:cs="Arial"/>
              </w:rPr>
            </w:pPr>
            <w:r w:rsidRPr="00C404AF">
              <w:rPr>
                <w:rFonts w:cs="Arial"/>
              </w:rPr>
              <w:t>Yes</w:t>
            </w:r>
            <w:r>
              <w:rPr>
                <w:rFonts w:cs="Arial"/>
              </w:rPr>
              <w:t xml:space="preserve"> </w:t>
            </w:r>
            <w:r w:rsidR="0019015E">
              <w:rPr>
                <w:rFonts w:cs="Arial"/>
              </w:rPr>
              <w:fldChar w:fldCharType="begin">
                <w:ffData>
                  <w:name w:val="Check6"/>
                  <w:enabled/>
                  <w:calcOnExit w:val="0"/>
                  <w:checkBox>
                    <w:sizeAuto/>
                    <w:default w:val="0"/>
                  </w:checkBox>
                </w:ffData>
              </w:fldChar>
            </w:r>
            <w:r>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p>
        </w:tc>
        <w:tc>
          <w:tcPr>
            <w:tcW w:w="855" w:type="dxa"/>
          </w:tcPr>
          <w:p w:rsidR="00D56A43" w:rsidRDefault="00D56A43" w:rsidP="001105C0">
            <w:pPr>
              <w:pStyle w:val="TableTextEntries"/>
            </w:pPr>
            <w:r>
              <w:rPr>
                <w:rFonts w:cs="Arial"/>
              </w:rPr>
              <w:t xml:space="preserve">No </w:t>
            </w:r>
            <w:r w:rsidR="0019015E">
              <w:rPr>
                <w:rFonts w:cs="Arial"/>
              </w:rPr>
              <w:fldChar w:fldCharType="begin">
                <w:ffData>
                  <w:name w:val="Check7"/>
                  <w:enabled/>
                  <w:calcOnExit w:val="0"/>
                  <w:checkBox>
                    <w:sizeAuto/>
                    <w:default w:val="1"/>
                  </w:checkBox>
                </w:ffData>
              </w:fldChar>
            </w:r>
            <w:bookmarkStart w:id="16" w:name="Check7"/>
            <w:r>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bookmarkEnd w:id="16"/>
          </w:p>
        </w:tc>
      </w:tr>
      <w:tr w:rsidR="00D56A43" w:rsidTr="001105C0">
        <w:tc>
          <w:tcPr>
            <w:tcW w:w="7191" w:type="dxa"/>
          </w:tcPr>
          <w:p w:rsidR="00D56A43" w:rsidRPr="00557678" w:rsidRDefault="00D56A43" w:rsidP="001105C0">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D56A43" w:rsidRPr="00C404AF" w:rsidRDefault="00D56A43" w:rsidP="001105C0">
            <w:pPr>
              <w:pStyle w:val="TableTextEntries"/>
              <w:rPr>
                <w:rFonts w:cs="Arial"/>
              </w:rPr>
            </w:pPr>
            <w:r w:rsidRPr="00C404AF">
              <w:rPr>
                <w:rFonts w:cs="Arial"/>
              </w:rPr>
              <w:t>Yes</w:t>
            </w:r>
            <w:r>
              <w:rPr>
                <w:rFonts w:cs="Arial"/>
              </w:rPr>
              <w:t xml:space="preserve"> </w:t>
            </w:r>
            <w:r w:rsidR="0019015E">
              <w:rPr>
                <w:rFonts w:cs="Arial"/>
              </w:rPr>
              <w:fldChar w:fldCharType="begin">
                <w:ffData>
                  <w:name w:val="Check6"/>
                  <w:enabled/>
                  <w:calcOnExit w:val="0"/>
                  <w:checkBox>
                    <w:sizeAuto/>
                    <w:default w:val="0"/>
                  </w:checkBox>
                </w:ffData>
              </w:fldChar>
            </w:r>
            <w:r>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p>
        </w:tc>
        <w:tc>
          <w:tcPr>
            <w:tcW w:w="855" w:type="dxa"/>
          </w:tcPr>
          <w:p w:rsidR="00D56A43" w:rsidRDefault="00D56A43" w:rsidP="001105C0">
            <w:pPr>
              <w:pStyle w:val="TableTextEntries"/>
            </w:pPr>
            <w:r>
              <w:rPr>
                <w:rFonts w:cs="Arial"/>
              </w:rPr>
              <w:t xml:space="preserve">No </w:t>
            </w:r>
            <w:r w:rsidR="0019015E">
              <w:rPr>
                <w:rFonts w:cs="Arial"/>
              </w:rPr>
              <w:fldChar w:fldCharType="begin">
                <w:ffData>
                  <w:name w:val="Check7"/>
                  <w:enabled/>
                  <w:calcOnExit w:val="0"/>
                  <w:checkBox>
                    <w:sizeAuto/>
                    <w:default w:val="0"/>
                  </w:checkBox>
                </w:ffData>
              </w:fldChar>
            </w:r>
            <w:r>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p>
        </w:tc>
      </w:tr>
    </w:tbl>
    <w:p w:rsidR="000F359C" w:rsidRPr="000124D5" w:rsidRDefault="00E3295D" w:rsidP="000124D5">
      <w:pPr>
        <w:pStyle w:val="Heading1"/>
      </w:pPr>
      <w:bookmarkStart w:id="17" w:name="_Toc411847908"/>
      <w:r w:rsidRPr="000124D5">
        <w:t xml:space="preserve">Assessment Criterion 1: </w:t>
      </w:r>
      <w:r w:rsidR="000F359C" w:rsidRPr="000124D5">
        <w:t>Need for the variation</w:t>
      </w:r>
      <w:bookmarkEnd w:id="17"/>
    </w:p>
    <w:p w:rsidR="00E3295D" w:rsidRPr="00E3295D" w:rsidRDefault="00235528" w:rsidP="000124D5">
      <w:pPr>
        <w:pStyle w:val="BodyText"/>
        <w:tabs>
          <w:tab w:val="num" w:pos="0"/>
        </w:tabs>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0124D5">
      <w:pPr>
        <w:pStyle w:val="Quote"/>
        <w:tabs>
          <w:tab w:val="num" w:pos="0"/>
        </w:tabs>
        <w:ind w:left="0"/>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0124D5">
      <w:pPr>
        <w:pStyle w:val="QuoteBullet"/>
        <w:ind w:left="0" w:firstLine="0"/>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0124D5">
      <w:pPr>
        <w:pStyle w:val="QuoteBullet"/>
        <w:tabs>
          <w:tab w:val="num" w:pos="0"/>
        </w:tabs>
        <w:ind w:left="0" w:firstLine="0"/>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0124D5">
      <w:pPr>
        <w:pStyle w:val="Quote"/>
        <w:tabs>
          <w:tab w:val="num" w:pos="-567"/>
        </w:tabs>
        <w:ind w:left="0"/>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0124D5">
      <w:pPr>
        <w:pStyle w:val="Quote"/>
        <w:tabs>
          <w:tab w:val="num" w:pos="-567"/>
        </w:tabs>
        <w:ind w:left="0"/>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D42D8A" w:rsidRDefault="00F169FD" w:rsidP="000124D5">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w:t>
      </w:r>
      <w:proofErr w:type="spellStart"/>
      <w:r w:rsidRPr="00266497">
        <w:t>TCorp</w:t>
      </w:r>
      <w:proofErr w:type="spellEnd"/>
      <w:r w:rsidRPr="00266497">
        <w:t>).</w:t>
      </w:r>
    </w:p>
    <w:p w:rsidR="001105C0" w:rsidRDefault="001105C0" w:rsidP="000124D5">
      <w:pPr>
        <w:pStyle w:val="BodyText"/>
      </w:pPr>
    </w:p>
    <w:p w:rsidR="00B822FE" w:rsidRDefault="00F169FD" w:rsidP="001105C0">
      <w:pPr>
        <w:pStyle w:val="BodyText"/>
        <w:ind w:left="426" w:right="-568"/>
      </w:pPr>
      <w:r w:rsidRPr="00266497">
        <w:lastRenderedPageBreak/>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 xml:space="preserve">ents especially the Long Term Financial Plan (LTFP) </w:t>
      </w:r>
      <w:r w:rsidR="00D42D8A">
        <w:t xml:space="preserve">   </w:t>
      </w:r>
      <w:r w:rsidR="00261E25" w:rsidRPr="00266497">
        <w:t>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0124D5" w:rsidRDefault="00261E25" w:rsidP="001105C0">
      <w:pPr>
        <w:pStyle w:val="Heading2"/>
        <w:ind w:left="426" w:firstLine="0"/>
      </w:pPr>
      <w:bookmarkStart w:id="18" w:name="_Toc366160406"/>
      <w:bookmarkStart w:id="19" w:name="_Toc411847909"/>
      <w:r w:rsidRPr="000124D5">
        <w:t>Case for special variation</w:t>
      </w:r>
      <w:r w:rsidR="0057581B" w:rsidRPr="000124D5">
        <w:t xml:space="preserve"> - </w:t>
      </w:r>
      <w:r w:rsidR="00FE2452" w:rsidRPr="000124D5">
        <w:t>c</w:t>
      </w:r>
      <w:r w:rsidR="00D60EA5" w:rsidRPr="000124D5">
        <w:t>ommunity need</w:t>
      </w:r>
      <w:bookmarkEnd w:id="18"/>
      <w:bookmarkEnd w:id="19"/>
    </w:p>
    <w:p w:rsidR="004C7104" w:rsidRDefault="004C7104" w:rsidP="001105C0">
      <w:pPr>
        <w:pStyle w:val="BodyText"/>
        <w:ind w:left="426" w:right="-567"/>
      </w:pPr>
      <w:r>
        <w:t xml:space="preserve">Summarise </w:t>
      </w:r>
      <w:r w:rsidR="00AF5DD9">
        <w:t xml:space="preserve">and explain </w:t>
      </w:r>
      <w:r>
        <w:t>below:</w:t>
      </w:r>
    </w:p>
    <w:p w:rsidR="0057581B" w:rsidRDefault="0057581B" w:rsidP="001105C0">
      <w:pPr>
        <w:pStyle w:val="ListBullet"/>
        <w:ind w:left="426" w:right="-567" w:firstLine="0"/>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1105C0">
      <w:pPr>
        <w:pStyle w:val="ListBullet"/>
        <w:ind w:left="426" w:right="-567" w:firstLine="0"/>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1105C0">
      <w:pPr>
        <w:pStyle w:val="ListBullet"/>
        <w:ind w:left="426" w:right="-567" w:firstLine="0"/>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1105C0">
      <w:pPr>
        <w:pStyle w:val="ListBullet"/>
        <w:ind w:left="426" w:right="-567" w:firstLine="0"/>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FD324D">
      <w:pPr>
        <w:pStyle w:val="BodyText"/>
        <w:ind w:left="426" w:right="-567"/>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65395B" w:rsidRPr="003F6F7D" w:rsidRDefault="0065395B" w:rsidP="001105C0">
      <w:pPr>
        <w:ind w:left="426" w:right="-709"/>
        <w:jc w:val="both"/>
        <w:rPr>
          <w:rFonts w:ascii="Arial" w:hAnsi="Arial" w:cs="Arial"/>
          <w:color w:val="002060"/>
          <w:sz w:val="21"/>
          <w:szCs w:val="21"/>
        </w:rPr>
      </w:pPr>
      <w:bookmarkStart w:id="20" w:name="_Toc366160408"/>
    </w:p>
    <w:p w:rsidR="00605FCE" w:rsidRPr="003F6F7D" w:rsidRDefault="00605FCE" w:rsidP="001105C0">
      <w:pPr>
        <w:ind w:left="426" w:right="-568"/>
        <w:jc w:val="both"/>
        <w:rPr>
          <w:rFonts w:ascii="Arial" w:hAnsi="Arial" w:cs="Arial"/>
          <w:color w:val="002060"/>
          <w:sz w:val="21"/>
          <w:szCs w:val="21"/>
        </w:rPr>
      </w:pPr>
      <w:r w:rsidRPr="003F6F7D">
        <w:rPr>
          <w:rFonts w:ascii="Arial" w:hAnsi="Arial" w:cs="Arial"/>
          <w:color w:val="002060"/>
          <w:sz w:val="21"/>
          <w:szCs w:val="21"/>
        </w:rPr>
        <w:t>For a number of years Council has identified the challenge of funding infrastructure and services.</w:t>
      </w:r>
      <w:r w:rsidR="00395BD6" w:rsidRPr="003F6F7D">
        <w:rPr>
          <w:rFonts w:ascii="Arial" w:hAnsi="Arial" w:cs="Arial"/>
          <w:color w:val="002060"/>
          <w:sz w:val="21"/>
          <w:szCs w:val="21"/>
        </w:rPr>
        <w:t xml:space="preserve">  </w:t>
      </w:r>
    </w:p>
    <w:p w:rsidR="00761D97" w:rsidRPr="003F6F7D" w:rsidRDefault="00761D97" w:rsidP="001105C0">
      <w:pPr>
        <w:ind w:left="426" w:right="-568"/>
        <w:jc w:val="both"/>
        <w:rPr>
          <w:rFonts w:ascii="Arial" w:hAnsi="Arial" w:cs="Arial"/>
          <w:color w:val="002060"/>
          <w:sz w:val="21"/>
          <w:szCs w:val="21"/>
        </w:rPr>
      </w:pPr>
    </w:p>
    <w:p w:rsidR="00761D97" w:rsidRPr="003F6F7D" w:rsidRDefault="00761D97" w:rsidP="001105C0">
      <w:pPr>
        <w:ind w:left="426" w:right="-568"/>
        <w:jc w:val="both"/>
        <w:rPr>
          <w:rFonts w:ascii="Arial" w:hAnsi="Arial" w:cs="Arial"/>
          <w:color w:val="002060"/>
          <w:sz w:val="21"/>
          <w:szCs w:val="21"/>
        </w:rPr>
      </w:pPr>
      <w:r w:rsidRPr="003F6F7D">
        <w:rPr>
          <w:rFonts w:ascii="Arial" w:hAnsi="Arial" w:cs="Arial"/>
          <w:color w:val="002060"/>
          <w:sz w:val="21"/>
          <w:szCs w:val="21"/>
        </w:rPr>
        <w:t xml:space="preserve">The </w:t>
      </w:r>
      <w:r w:rsidR="003F6F7D">
        <w:rPr>
          <w:rFonts w:ascii="Arial" w:hAnsi="Arial" w:cs="Arial"/>
          <w:color w:val="002060"/>
          <w:sz w:val="21"/>
          <w:szCs w:val="21"/>
        </w:rPr>
        <w:t>CSP</w:t>
      </w:r>
      <w:r w:rsidRPr="003F6F7D">
        <w:rPr>
          <w:rFonts w:ascii="Arial" w:hAnsi="Arial" w:cs="Arial"/>
          <w:color w:val="002060"/>
          <w:sz w:val="21"/>
          <w:szCs w:val="21"/>
        </w:rPr>
        <w:t xml:space="preserve"> details the expectations of our community</w:t>
      </w:r>
      <w:proofErr w:type="gramStart"/>
      <w:r w:rsidRPr="003F6F7D">
        <w:rPr>
          <w:rFonts w:ascii="Arial" w:hAnsi="Arial" w:cs="Arial"/>
          <w:color w:val="002060"/>
          <w:sz w:val="21"/>
          <w:szCs w:val="21"/>
        </w:rPr>
        <w:t>,  with</w:t>
      </w:r>
      <w:proofErr w:type="gramEnd"/>
      <w:r w:rsidRPr="003F6F7D">
        <w:rPr>
          <w:rFonts w:ascii="Arial" w:hAnsi="Arial" w:cs="Arial"/>
          <w:color w:val="002060"/>
          <w:sz w:val="21"/>
          <w:szCs w:val="21"/>
        </w:rPr>
        <w:t xml:space="preserve"> one key outcome being that our roads are consistently maintained to a high standard.  </w:t>
      </w:r>
      <w:r w:rsidR="003F6F7D">
        <w:rPr>
          <w:rFonts w:ascii="Arial" w:hAnsi="Arial" w:cs="Arial"/>
          <w:color w:val="002060"/>
          <w:sz w:val="21"/>
          <w:szCs w:val="21"/>
        </w:rPr>
        <w:t xml:space="preserve">In the past </w:t>
      </w:r>
      <w:r w:rsidRPr="003F6F7D">
        <w:rPr>
          <w:rFonts w:ascii="Arial" w:hAnsi="Arial" w:cs="Arial"/>
          <w:color w:val="002060"/>
          <w:sz w:val="21"/>
          <w:szCs w:val="21"/>
        </w:rPr>
        <w:t xml:space="preserve">Council’s road condition has been maintained to a high </w:t>
      </w:r>
      <w:proofErr w:type="gramStart"/>
      <w:r w:rsidRPr="003F6F7D">
        <w:rPr>
          <w:rFonts w:ascii="Arial" w:hAnsi="Arial" w:cs="Arial"/>
          <w:color w:val="002060"/>
          <w:sz w:val="21"/>
          <w:szCs w:val="21"/>
        </w:rPr>
        <w:t>standard,</w:t>
      </w:r>
      <w:proofErr w:type="gramEnd"/>
      <w:r w:rsidRPr="003F6F7D">
        <w:rPr>
          <w:rFonts w:ascii="Arial" w:hAnsi="Arial" w:cs="Arial"/>
          <w:color w:val="002060"/>
          <w:sz w:val="21"/>
          <w:szCs w:val="21"/>
        </w:rPr>
        <w:t xml:space="preserve"> however Council officers have become concerned that the reduced funding levels for resealing and </w:t>
      </w:r>
      <w:proofErr w:type="spellStart"/>
      <w:r w:rsidRPr="003F6F7D">
        <w:rPr>
          <w:rFonts w:ascii="Arial" w:hAnsi="Arial" w:cs="Arial"/>
          <w:color w:val="002060"/>
          <w:sz w:val="21"/>
          <w:szCs w:val="21"/>
        </w:rPr>
        <w:t>resheeting</w:t>
      </w:r>
      <w:proofErr w:type="spellEnd"/>
      <w:r w:rsidRPr="003F6F7D">
        <w:rPr>
          <w:rFonts w:ascii="Arial" w:hAnsi="Arial" w:cs="Arial"/>
          <w:color w:val="002060"/>
          <w:sz w:val="21"/>
          <w:szCs w:val="21"/>
        </w:rPr>
        <w:t xml:space="preserve"> will impact on condition ratings in the very near future.  </w:t>
      </w:r>
    </w:p>
    <w:p w:rsidR="00761D97" w:rsidRPr="003F6F7D" w:rsidRDefault="00761D97" w:rsidP="001105C0">
      <w:pPr>
        <w:ind w:left="426" w:right="-568"/>
        <w:jc w:val="both"/>
        <w:rPr>
          <w:rFonts w:ascii="Arial" w:hAnsi="Arial" w:cs="Arial"/>
          <w:color w:val="002060"/>
          <w:sz w:val="21"/>
          <w:szCs w:val="21"/>
        </w:rPr>
      </w:pPr>
    </w:p>
    <w:p w:rsidR="00761D97" w:rsidRPr="00E2286B" w:rsidRDefault="00761D97" w:rsidP="001105C0">
      <w:pPr>
        <w:ind w:left="426" w:right="-568"/>
        <w:jc w:val="both"/>
        <w:rPr>
          <w:rFonts w:ascii="Arial" w:hAnsi="Arial" w:cs="Arial"/>
          <w:color w:val="002060"/>
          <w:sz w:val="21"/>
          <w:szCs w:val="21"/>
        </w:rPr>
      </w:pPr>
      <w:r w:rsidRPr="00E2286B">
        <w:rPr>
          <w:rFonts w:ascii="Arial" w:hAnsi="Arial" w:cs="Arial"/>
          <w:color w:val="002060"/>
          <w:sz w:val="21"/>
          <w:szCs w:val="21"/>
        </w:rPr>
        <w:t xml:space="preserve">Council’s </w:t>
      </w:r>
      <w:r w:rsidR="003F6F7D" w:rsidRPr="00E2286B">
        <w:rPr>
          <w:rFonts w:ascii="Arial" w:hAnsi="Arial" w:cs="Arial"/>
          <w:color w:val="002060"/>
          <w:sz w:val="21"/>
          <w:szCs w:val="21"/>
        </w:rPr>
        <w:t>Transport AMP</w:t>
      </w:r>
      <w:r w:rsidRPr="00E2286B">
        <w:rPr>
          <w:rFonts w:ascii="Arial" w:hAnsi="Arial" w:cs="Arial"/>
          <w:color w:val="002060"/>
          <w:sz w:val="21"/>
          <w:szCs w:val="21"/>
        </w:rPr>
        <w:t xml:space="preserve"> confirm</w:t>
      </w:r>
      <w:r w:rsidR="003F6F7D" w:rsidRPr="00E2286B">
        <w:rPr>
          <w:rFonts w:ascii="Arial" w:hAnsi="Arial" w:cs="Arial"/>
          <w:color w:val="002060"/>
          <w:sz w:val="21"/>
          <w:szCs w:val="21"/>
        </w:rPr>
        <w:t>s</w:t>
      </w:r>
      <w:r w:rsidRPr="00E2286B">
        <w:rPr>
          <w:rFonts w:ascii="Arial" w:hAnsi="Arial" w:cs="Arial"/>
          <w:color w:val="002060"/>
          <w:sz w:val="21"/>
          <w:szCs w:val="21"/>
        </w:rPr>
        <w:t xml:space="preserve"> the requirement for an additional </w:t>
      </w:r>
      <w:r w:rsidR="00395BD6" w:rsidRPr="00E2286B">
        <w:rPr>
          <w:rFonts w:ascii="Arial" w:hAnsi="Arial" w:cs="Arial"/>
          <w:color w:val="002060"/>
          <w:sz w:val="21"/>
          <w:szCs w:val="21"/>
        </w:rPr>
        <w:t>$700K per annum, to maintain Council</w:t>
      </w:r>
      <w:r w:rsidR="00DD14B7" w:rsidRPr="00E2286B">
        <w:rPr>
          <w:rFonts w:ascii="Arial" w:hAnsi="Arial" w:cs="Arial"/>
          <w:color w:val="002060"/>
          <w:sz w:val="21"/>
          <w:szCs w:val="21"/>
        </w:rPr>
        <w:t>’</w:t>
      </w:r>
      <w:r w:rsidR="00395BD6" w:rsidRPr="00E2286B">
        <w:rPr>
          <w:rFonts w:ascii="Arial" w:hAnsi="Arial" w:cs="Arial"/>
          <w:color w:val="002060"/>
          <w:sz w:val="21"/>
          <w:szCs w:val="21"/>
        </w:rPr>
        <w:t>s roads at their current condition rating.</w:t>
      </w:r>
    </w:p>
    <w:p w:rsidR="00395BD6" w:rsidRPr="003F6F7D" w:rsidRDefault="00395BD6" w:rsidP="001105C0">
      <w:pPr>
        <w:ind w:left="426" w:right="-568"/>
        <w:jc w:val="both"/>
        <w:rPr>
          <w:rFonts w:ascii="Arial" w:hAnsi="Arial" w:cs="Arial"/>
          <w:color w:val="002060"/>
          <w:sz w:val="21"/>
          <w:szCs w:val="21"/>
        </w:rPr>
      </w:pPr>
    </w:p>
    <w:p w:rsidR="00395BD6" w:rsidRPr="003F6F7D" w:rsidRDefault="00395BD6" w:rsidP="001105C0">
      <w:pPr>
        <w:ind w:left="426" w:right="-568"/>
        <w:jc w:val="both"/>
        <w:rPr>
          <w:rFonts w:ascii="Arial" w:hAnsi="Arial" w:cs="Arial"/>
          <w:color w:val="002060"/>
          <w:sz w:val="21"/>
          <w:szCs w:val="21"/>
        </w:rPr>
      </w:pPr>
      <w:r w:rsidRPr="003F6F7D">
        <w:rPr>
          <w:rFonts w:ascii="Arial" w:hAnsi="Arial" w:cs="Arial"/>
          <w:color w:val="002060"/>
          <w:sz w:val="21"/>
          <w:szCs w:val="21"/>
        </w:rPr>
        <w:t>Council’s Long Term Financial Plan</w:t>
      </w:r>
      <w:r w:rsidR="003F6F7D">
        <w:rPr>
          <w:rFonts w:ascii="Arial" w:hAnsi="Arial" w:cs="Arial"/>
          <w:color w:val="002060"/>
          <w:sz w:val="21"/>
          <w:szCs w:val="21"/>
        </w:rPr>
        <w:t xml:space="preserve"> (LTFP) (attachment # 3), </w:t>
      </w:r>
      <w:r w:rsidRPr="003F6F7D">
        <w:rPr>
          <w:rFonts w:ascii="Arial" w:hAnsi="Arial" w:cs="Arial"/>
          <w:color w:val="002060"/>
          <w:sz w:val="21"/>
          <w:szCs w:val="21"/>
        </w:rPr>
        <w:t>indicates a cash deficit of up to $2million</w:t>
      </w:r>
      <w:proofErr w:type="gramStart"/>
      <w:r w:rsidRPr="003F6F7D">
        <w:rPr>
          <w:rFonts w:ascii="Arial" w:hAnsi="Arial" w:cs="Arial"/>
          <w:color w:val="002060"/>
          <w:sz w:val="21"/>
          <w:szCs w:val="21"/>
        </w:rPr>
        <w:t>,  without</w:t>
      </w:r>
      <w:proofErr w:type="gramEnd"/>
      <w:r w:rsidRPr="003F6F7D">
        <w:rPr>
          <w:rFonts w:ascii="Arial" w:hAnsi="Arial" w:cs="Arial"/>
          <w:color w:val="002060"/>
          <w:sz w:val="21"/>
          <w:szCs w:val="21"/>
        </w:rPr>
        <w:t xml:space="preserve"> the impact of additional rate income.</w:t>
      </w:r>
    </w:p>
    <w:p w:rsidR="00395BD6" w:rsidRPr="003F6F7D" w:rsidRDefault="00395BD6" w:rsidP="001105C0">
      <w:pPr>
        <w:ind w:left="426" w:right="-568"/>
        <w:jc w:val="both"/>
        <w:rPr>
          <w:rFonts w:ascii="Arial" w:hAnsi="Arial" w:cs="Arial"/>
          <w:color w:val="002060"/>
          <w:sz w:val="21"/>
          <w:szCs w:val="21"/>
        </w:rPr>
      </w:pPr>
    </w:p>
    <w:p w:rsidR="003A69B8" w:rsidRPr="003F6F7D" w:rsidRDefault="003A69B8" w:rsidP="001105C0">
      <w:pPr>
        <w:ind w:left="426" w:right="-568"/>
        <w:jc w:val="both"/>
        <w:rPr>
          <w:rFonts w:ascii="Arial" w:hAnsi="Arial" w:cs="Arial"/>
          <w:color w:val="002060"/>
          <w:sz w:val="21"/>
          <w:szCs w:val="21"/>
        </w:rPr>
      </w:pPr>
      <w:r w:rsidRPr="003F6F7D">
        <w:rPr>
          <w:rFonts w:ascii="Arial" w:hAnsi="Arial" w:cs="Arial"/>
          <w:color w:val="002060"/>
          <w:sz w:val="21"/>
          <w:szCs w:val="21"/>
        </w:rPr>
        <w:t xml:space="preserve">The </w:t>
      </w:r>
      <w:proofErr w:type="spellStart"/>
      <w:r w:rsidR="00B942D9">
        <w:rPr>
          <w:rFonts w:ascii="Arial" w:hAnsi="Arial" w:cs="Arial"/>
          <w:color w:val="002060"/>
          <w:sz w:val="21"/>
          <w:szCs w:val="21"/>
        </w:rPr>
        <w:t>TCorp</w:t>
      </w:r>
      <w:proofErr w:type="spellEnd"/>
      <w:r w:rsidRPr="003F6F7D">
        <w:rPr>
          <w:rFonts w:ascii="Arial" w:hAnsi="Arial" w:cs="Arial"/>
          <w:color w:val="002060"/>
          <w:sz w:val="21"/>
          <w:szCs w:val="21"/>
        </w:rPr>
        <w:t xml:space="preserve"> Financial Assessment, received in April 2013,  notes that Council does not have the capacity to undertake additional borrowings, in addition to that already included in the </w:t>
      </w:r>
      <w:r w:rsidR="00B942D9">
        <w:rPr>
          <w:rFonts w:ascii="Arial" w:hAnsi="Arial" w:cs="Arial"/>
          <w:color w:val="002060"/>
          <w:sz w:val="21"/>
          <w:szCs w:val="21"/>
        </w:rPr>
        <w:t>LTFP.</w:t>
      </w:r>
      <w:r w:rsidRPr="003F6F7D">
        <w:rPr>
          <w:rFonts w:ascii="Arial" w:hAnsi="Arial" w:cs="Arial"/>
          <w:color w:val="002060"/>
          <w:sz w:val="21"/>
          <w:szCs w:val="21"/>
        </w:rPr>
        <w:t xml:space="preserve"> </w:t>
      </w:r>
    </w:p>
    <w:p w:rsidR="003A69B8" w:rsidRPr="003F6F7D" w:rsidRDefault="003A69B8" w:rsidP="001105C0">
      <w:pPr>
        <w:ind w:left="426" w:right="-568"/>
        <w:jc w:val="both"/>
        <w:rPr>
          <w:rFonts w:ascii="Arial" w:hAnsi="Arial" w:cs="Arial"/>
          <w:color w:val="002060"/>
          <w:sz w:val="21"/>
          <w:szCs w:val="21"/>
        </w:rPr>
      </w:pPr>
    </w:p>
    <w:p w:rsidR="003A69B8" w:rsidRPr="003F6F7D" w:rsidRDefault="00B942D9" w:rsidP="001105C0">
      <w:pPr>
        <w:ind w:left="426" w:right="-568"/>
        <w:jc w:val="both"/>
        <w:rPr>
          <w:rFonts w:ascii="Arial" w:hAnsi="Arial" w:cs="Arial"/>
          <w:color w:val="002060"/>
          <w:sz w:val="21"/>
          <w:szCs w:val="21"/>
        </w:rPr>
      </w:pPr>
      <w:r>
        <w:rPr>
          <w:rFonts w:ascii="Arial" w:hAnsi="Arial" w:cs="Arial"/>
          <w:color w:val="002060"/>
          <w:sz w:val="21"/>
          <w:szCs w:val="21"/>
        </w:rPr>
        <w:t xml:space="preserve">Following </w:t>
      </w:r>
      <w:proofErr w:type="spellStart"/>
      <w:r w:rsidR="003A69B8" w:rsidRPr="003F6F7D">
        <w:rPr>
          <w:rFonts w:ascii="Arial" w:hAnsi="Arial" w:cs="Arial"/>
          <w:color w:val="002060"/>
          <w:sz w:val="21"/>
          <w:szCs w:val="21"/>
        </w:rPr>
        <w:t>TCorp</w:t>
      </w:r>
      <w:r>
        <w:rPr>
          <w:rFonts w:ascii="Arial" w:hAnsi="Arial" w:cs="Arial"/>
          <w:color w:val="002060"/>
          <w:sz w:val="21"/>
          <w:szCs w:val="21"/>
        </w:rPr>
        <w:t>’s</w:t>
      </w:r>
      <w:proofErr w:type="spellEnd"/>
      <w:r w:rsidR="003A69B8" w:rsidRPr="003F6F7D">
        <w:rPr>
          <w:rFonts w:ascii="Arial" w:hAnsi="Arial" w:cs="Arial"/>
          <w:color w:val="002060"/>
          <w:sz w:val="21"/>
          <w:szCs w:val="21"/>
        </w:rPr>
        <w:t xml:space="preserve"> financial assessment,</w:t>
      </w:r>
      <w:r w:rsidR="007C55F5">
        <w:rPr>
          <w:rFonts w:ascii="Arial" w:hAnsi="Arial" w:cs="Arial"/>
          <w:color w:val="002060"/>
          <w:sz w:val="21"/>
          <w:szCs w:val="21"/>
        </w:rPr>
        <w:t xml:space="preserve"> Council is reluctant to use borrowings to maintain levels of service, conscious that loan interest payments reduces capacity to fund maintenance and renewals.</w:t>
      </w:r>
    </w:p>
    <w:p w:rsidR="00761D97" w:rsidRPr="003F6F7D" w:rsidRDefault="00761D97" w:rsidP="001105C0">
      <w:pPr>
        <w:ind w:left="426" w:right="-568"/>
        <w:jc w:val="both"/>
        <w:rPr>
          <w:rFonts w:ascii="Arial" w:hAnsi="Arial" w:cs="Arial"/>
          <w:color w:val="002060"/>
          <w:sz w:val="21"/>
          <w:szCs w:val="21"/>
        </w:rPr>
      </w:pPr>
    </w:p>
    <w:p w:rsidR="0065395B" w:rsidRPr="00E2286B" w:rsidRDefault="0065395B" w:rsidP="001105C0">
      <w:pPr>
        <w:ind w:left="426" w:right="-568"/>
        <w:jc w:val="both"/>
        <w:rPr>
          <w:rFonts w:ascii="Arial" w:hAnsi="Arial" w:cs="Arial"/>
          <w:color w:val="002060"/>
          <w:sz w:val="21"/>
          <w:szCs w:val="21"/>
        </w:rPr>
      </w:pPr>
      <w:r w:rsidRPr="00E2286B">
        <w:rPr>
          <w:rFonts w:ascii="Arial" w:hAnsi="Arial" w:cs="Arial"/>
          <w:color w:val="002060"/>
          <w:sz w:val="21"/>
          <w:szCs w:val="21"/>
        </w:rPr>
        <w:t>Council has reviewed its services and alternative revenue source</w:t>
      </w:r>
      <w:r w:rsidR="00232550" w:rsidRPr="00E2286B">
        <w:rPr>
          <w:rFonts w:ascii="Arial" w:hAnsi="Arial" w:cs="Arial"/>
          <w:color w:val="002060"/>
          <w:sz w:val="21"/>
          <w:szCs w:val="21"/>
        </w:rPr>
        <w:t>s</w:t>
      </w:r>
      <w:r w:rsidR="00B942D9" w:rsidRPr="00E2286B">
        <w:rPr>
          <w:rFonts w:ascii="Arial" w:hAnsi="Arial" w:cs="Arial"/>
          <w:color w:val="002060"/>
          <w:sz w:val="21"/>
          <w:szCs w:val="21"/>
        </w:rPr>
        <w:t>.</w:t>
      </w:r>
    </w:p>
    <w:p w:rsidR="001105C0" w:rsidRDefault="001105C0" w:rsidP="001105C0">
      <w:pPr>
        <w:ind w:left="426" w:right="-568"/>
        <w:jc w:val="both"/>
        <w:rPr>
          <w:rFonts w:ascii="Arial" w:hAnsi="Arial" w:cs="Arial"/>
          <w:color w:val="FF0000"/>
          <w:sz w:val="21"/>
          <w:szCs w:val="21"/>
        </w:rPr>
      </w:pPr>
    </w:p>
    <w:p w:rsidR="00C1555C" w:rsidRDefault="00C1555C" w:rsidP="001105C0">
      <w:pPr>
        <w:ind w:left="426" w:right="-568"/>
        <w:jc w:val="both"/>
        <w:rPr>
          <w:rFonts w:ascii="Arial" w:hAnsi="Arial" w:cs="Arial"/>
          <w:color w:val="FF0000"/>
          <w:sz w:val="21"/>
          <w:szCs w:val="21"/>
        </w:rPr>
      </w:pPr>
    </w:p>
    <w:p w:rsidR="001105C0" w:rsidRPr="00DD14B7" w:rsidRDefault="001105C0" w:rsidP="001105C0">
      <w:pPr>
        <w:ind w:left="426" w:right="-568"/>
        <w:jc w:val="both"/>
        <w:rPr>
          <w:rFonts w:ascii="Arial" w:hAnsi="Arial" w:cs="Arial"/>
          <w:color w:val="FF0000"/>
          <w:sz w:val="21"/>
          <w:szCs w:val="21"/>
        </w:rPr>
      </w:pPr>
    </w:p>
    <w:p w:rsidR="00232550" w:rsidRPr="0065395B" w:rsidRDefault="00232550" w:rsidP="001105C0">
      <w:pPr>
        <w:ind w:left="426" w:right="-568"/>
        <w:jc w:val="both"/>
        <w:rPr>
          <w:rFonts w:ascii="Arial" w:hAnsi="Arial" w:cs="Arial"/>
          <w:color w:val="002060"/>
          <w:sz w:val="24"/>
        </w:rPr>
      </w:pPr>
    </w:p>
    <w:p w:rsidR="0065395B" w:rsidRDefault="0065395B" w:rsidP="001105C0">
      <w:pPr>
        <w:ind w:right="-1"/>
        <w:jc w:val="both"/>
        <w:rPr>
          <w:rFonts w:ascii="Arial" w:hAnsi="Arial" w:cs="Arial"/>
          <w:b/>
          <w:color w:val="002060"/>
          <w:sz w:val="24"/>
        </w:rPr>
      </w:pPr>
      <w:r w:rsidRPr="0065395B">
        <w:rPr>
          <w:rFonts w:ascii="Arial" w:hAnsi="Arial" w:cs="Arial"/>
          <w:b/>
          <w:color w:val="002060"/>
          <w:sz w:val="24"/>
        </w:rPr>
        <w:lastRenderedPageBreak/>
        <w:t>Jerilderie Community Strategic Plan 2012-2030</w:t>
      </w:r>
    </w:p>
    <w:p w:rsidR="0065395B" w:rsidRDefault="0065395B" w:rsidP="001105C0">
      <w:pPr>
        <w:ind w:right="-1"/>
        <w:jc w:val="both"/>
        <w:rPr>
          <w:rFonts w:ascii="Arial" w:hAnsi="Arial" w:cs="Arial"/>
          <w:color w:val="002060"/>
          <w:sz w:val="21"/>
          <w:szCs w:val="21"/>
        </w:rPr>
      </w:pPr>
      <w:r w:rsidRPr="00B942D9">
        <w:rPr>
          <w:rFonts w:ascii="Arial" w:hAnsi="Arial" w:cs="Arial"/>
          <w:color w:val="002060"/>
          <w:sz w:val="21"/>
          <w:szCs w:val="21"/>
        </w:rPr>
        <w:t>The following 2 objectives are considered by Council to be part of Council’s core business</w:t>
      </w:r>
      <w:r w:rsidR="00FC0342" w:rsidRPr="00B942D9">
        <w:rPr>
          <w:rFonts w:ascii="Arial" w:hAnsi="Arial" w:cs="Arial"/>
          <w:color w:val="002060"/>
          <w:sz w:val="21"/>
          <w:szCs w:val="21"/>
        </w:rPr>
        <w:t>, and are</w:t>
      </w:r>
      <w:r w:rsidRPr="00B942D9">
        <w:rPr>
          <w:rFonts w:ascii="Arial" w:hAnsi="Arial" w:cs="Arial"/>
          <w:color w:val="002060"/>
          <w:sz w:val="21"/>
          <w:szCs w:val="21"/>
        </w:rPr>
        <w:t xml:space="preserve"> two of the largest expenses borne by Council.  Council have assessed that </w:t>
      </w:r>
      <w:r w:rsidR="00B942D9">
        <w:rPr>
          <w:rFonts w:ascii="Arial" w:hAnsi="Arial" w:cs="Arial"/>
          <w:color w:val="002060"/>
          <w:sz w:val="21"/>
          <w:szCs w:val="21"/>
        </w:rPr>
        <w:t>the</w:t>
      </w:r>
      <w:r w:rsidRPr="00B942D9">
        <w:rPr>
          <w:rFonts w:ascii="Arial" w:hAnsi="Arial" w:cs="Arial"/>
          <w:color w:val="002060"/>
          <w:sz w:val="21"/>
          <w:szCs w:val="21"/>
        </w:rPr>
        <w:t xml:space="preserve"> </w:t>
      </w:r>
      <w:r w:rsidR="00311420" w:rsidRPr="00B942D9">
        <w:rPr>
          <w:rFonts w:ascii="Arial" w:hAnsi="Arial" w:cs="Arial"/>
          <w:color w:val="002060"/>
          <w:sz w:val="21"/>
          <w:szCs w:val="21"/>
        </w:rPr>
        <w:t xml:space="preserve">proposed </w:t>
      </w:r>
      <w:r w:rsidRPr="00B942D9">
        <w:rPr>
          <w:rFonts w:ascii="Arial" w:hAnsi="Arial" w:cs="Arial"/>
          <w:color w:val="002060"/>
          <w:sz w:val="21"/>
          <w:szCs w:val="21"/>
        </w:rPr>
        <w:t>rate increase will be used</w:t>
      </w:r>
      <w:r w:rsidR="00B942D9">
        <w:rPr>
          <w:rFonts w:ascii="Arial" w:hAnsi="Arial" w:cs="Arial"/>
          <w:color w:val="002060"/>
          <w:sz w:val="21"/>
          <w:szCs w:val="21"/>
        </w:rPr>
        <w:t xml:space="preserve"> primarily</w:t>
      </w:r>
      <w:r w:rsidRPr="00B942D9">
        <w:rPr>
          <w:rFonts w:ascii="Arial" w:hAnsi="Arial" w:cs="Arial"/>
          <w:color w:val="002060"/>
          <w:sz w:val="21"/>
          <w:szCs w:val="21"/>
        </w:rPr>
        <w:t xml:space="preserve"> to fund works to meet the community’s expectations in relation to these two objectives</w:t>
      </w:r>
      <w:r w:rsidR="00FC0342" w:rsidRPr="00B942D9">
        <w:rPr>
          <w:rFonts w:ascii="Arial" w:hAnsi="Arial" w:cs="Arial"/>
          <w:color w:val="002060"/>
          <w:sz w:val="21"/>
          <w:szCs w:val="21"/>
        </w:rPr>
        <w:t xml:space="preserve">: </w:t>
      </w:r>
    </w:p>
    <w:p w:rsidR="002039BE" w:rsidRDefault="002039BE" w:rsidP="005F21B7">
      <w:pPr>
        <w:ind w:right="-568"/>
        <w:jc w:val="both"/>
        <w:rPr>
          <w:rFonts w:ascii="Arial" w:hAnsi="Arial" w:cs="Arial"/>
          <w:color w:val="002060"/>
          <w:sz w:val="21"/>
          <w:szCs w:val="21"/>
        </w:rPr>
      </w:pPr>
    </w:p>
    <w:p w:rsidR="0065395B" w:rsidRPr="00B942D9" w:rsidRDefault="0065395B" w:rsidP="005F21B7">
      <w:pPr>
        <w:tabs>
          <w:tab w:val="left" w:pos="8505"/>
        </w:tabs>
        <w:ind w:right="-568"/>
        <w:jc w:val="both"/>
        <w:rPr>
          <w:rFonts w:ascii="Arial" w:hAnsi="Arial" w:cs="Arial"/>
          <w:color w:val="002060"/>
          <w:sz w:val="21"/>
          <w:szCs w:val="21"/>
          <w:u w:val="single"/>
        </w:rPr>
      </w:pPr>
      <w:r w:rsidRPr="00B942D9">
        <w:rPr>
          <w:rFonts w:ascii="Arial" w:hAnsi="Arial" w:cs="Arial"/>
          <w:color w:val="002060"/>
          <w:sz w:val="21"/>
          <w:szCs w:val="21"/>
          <w:u w:val="single"/>
        </w:rPr>
        <w:t>2.2.1 Infrastructure that facilitates a community that is physically active</w:t>
      </w:r>
    </w:p>
    <w:p w:rsidR="0065395B" w:rsidRDefault="0065395B" w:rsidP="001105C0">
      <w:pPr>
        <w:tabs>
          <w:tab w:val="left" w:pos="8505"/>
        </w:tabs>
        <w:ind w:right="-1"/>
        <w:jc w:val="both"/>
        <w:rPr>
          <w:rFonts w:ascii="Arial" w:hAnsi="Arial" w:cs="Arial"/>
          <w:color w:val="002060"/>
          <w:sz w:val="21"/>
          <w:szCs w:val="21"/>
        </w:rPr>
      </w:pPr>
      <w:r w:rsidRPr="00B942D9">
        <w:rPr>
          <w:rFonts w:ascii="Arial" w:hAnsi="Arial" w:cs="Arial"/>
          <w:color w:val="002060"/>
          <w:sz w:val="21"/>
          <w:szCs w:val="21"/>
        </w:rPr>
        <w:t>This objective requires Council to maintain the pedestrian network in the town a</w:t>
      </w:r>
      <w:r w:rsidR="00DD14B7">
        <w:rPr>
          <w:rFonts w:ascii="Arial" w:hAnsi="Arial" w:cs="Arial"/>
          <w:color w:val="002060"/>
          <w:sz w:val="21"/>
          <w:szCs w:val="21"/>
        </w:rPr>
        <w:t>nd to maintain parks, gardens and recreational facilities.</w:t>
      </w:r>
    </w:p>
    <w:p w:rsidR="005F21B7" w:rsidRDefault="005F21B7" w:rsidP="005F21B7">
      <w:pPr>
        <w:tabs>
          <w:tab w:val="left" w:pos="8505"/>
        </w:tabs>
        <w:ind w:right="-568"/>
        <w:jc w:val="both"/>
        <w:rPr>
          <w:rFonts w:ascii="Arial" w:hAnsi="Arial" w:cs="Arial"/>
          <w:color w:val="002060"/>
          <w:sz w:val="21"/>
          <w:szCs w:val="21"/>
        </w:rPr>
      </w:pPr>
    </w:p>
    <w:p w:rsidR="0065395B" w:rsidRPr="00DD14B7" w:rsidRDefault="005E136A" w:rsidP="000124D5">
      <w:pPr>
        <w:ind w:right="-1"/>
        <w:jc w:val="both"/>
        <w:rPr>
          <w:rFonts w:ascii="Arial" w:hAnsi="Arial" w:cs="Arial"/>
          <w:color w:val="002060"/>
          <w:sz w:val="21"/>
          <w:szCs w:val="21"/>
        </w:rPr>
      </w:pPr>
      <w:r w:rsidRPr="00DD14B7">
        <w:rPr>
          <w:rFonts w:ascii="Arial" w:hAnsi="Arial" w:cs="Arial"/>
          <w:color w:val="002060"/>
          <w:sz w:val="21"/>
          <w:szCs w:val="21"/>
        </w:rPr>
        <w:t>Key infrastructure in this category</w:t>
      </w:r>
      <w:r w:rsidR="0065395B" w:rsidRPr="00DD14B7">
        <w:rPr>
          <w:rFonts w:ascii="Arial" w:hAnsi="Arial" w:cs="Arial"/>
          <w:color w:val="002060"/>
          <w:sz w:val="21"/>
          <w:szCs w:val="21"/>
        </w:rPr>
        <w:t xml:space="preserve"> in the Shire is ag</w:t>
      </w:r>
      <w:r w:rsidR="00311420" w:rsidRPr="00DD14B7">
        <w:rPr>
          <w:rFonts w:ascii="Arial" w:hAnsi="Arial" w:cs="Arial"/>
          <w:color w:val="002060"/>
          <w:sz w:val="21"/>
          <w:szCs w:val="21"/>
        </w:rPr>
        <w:t>e</w:t>
      </w:r>
      <w:r w:rsidR="0065395B" w:rsidRPr="00DD14B7">
        <w:rPr>
          <w:rFonts w:ascii="Arial" w:hAnsi="Arial" w:cs="Arial"/>
          <w:color w:val="002060"/>
          <w:sz w:val="21"/>
          <w:szCs w:val="21"/>
        </w:rPr>
        <w:t xml:space="preserve">ing and in </w:t>
      </w:r>
      <w:r w:rsidRPr="00DD14B7">
        <w:rPr>
          <w:rFonts w:ascii="Arial" w:hAnsi="Arial" w:cs="Arial"/>
          <w:color w:val="002060"/>
          <w:sz w:val="21"/>
          <w:szCs w:val="21"/>
        </w:rPr>
        <w:t>two</w:t>
      </w:r>
      <w:r w:rsidR="0065395B" w:rsidRPr="00DD14B7">
        <w:rPr>
          <w:rFonts w:ascii="Arial" w:hAnsi="Arial" w:cs="Arial"/>
          <w:color w:val="002060"/>
          <w:sz w:val="21"/>
          <w:szCs w:val="21"/>
        </w:rPr>
        <w:t xml:space="preserve"> cases requires major upgrade works, i.e. the swimming pool and netball courts.  These works under the current budget cannot be undertake</w:t>
      </w:r>
      <w:r w:rsidR="00311420" w:rsidRPr="00DD14B7">
        <w:rPr>
          <w:rFonts w:ascii="Arial" w:hAnsi="Arial" w:cs="Arial"/>
          <w:color w:val="002060"/>
          <w:sz w:val="21"/>
          <w:szCs w:val="21"/>
        </w:rPr>
        <w:t>n</w:t>
      </w:r>
      <w:r w:rsidR="0065395B" w:rsidRPr="00DD14B7">
        <w:rPr>
          <w:rFonts w:ascii="Arial" w:hAnsi="Arial" w:cs="Arial"/>
          <w:color w:val="002060"/>
          <w:sz w:val="21"/>
          <w:szCs w:val="21"/>
        </w:rPr>
        <w:t xml:space="preserve"> unless </w:t>
      </w:r>
      <w:r w:rsidR="0065395B" w:rsidRPr="007C55F5">
        <w:rPr>
          <w:rFonts w:ascii="Arial" w:hAnsi="Arial" w:cs="Arial"/>
          <w:color w:val="002060"/>
          <w:sz w:val="21"/>
          <w:szCs w:val="21"/>
          <w:u w:val="single"/>
        </w:rPr>
        <w:t>full</w:t>
      </w:r>
      <w:r w:rsidR="0065395B" w:rsidRPr="00DD14B7">
        <w:rPr>
          <w:rFonts w:ascii="Arial" w:hAnsi="Arial" w:cs="Arial"/>
          <w:color w:val="002060"/>
          <w:sz w:val="21"/>
          <w:szCs w:val="21"/>
        </w:rPr>
        <w:t xml:space="preserve"> grant funding is obtained for the projects.</w:t>
      </w:r>
    </w:p>
    <w:p w:rsidR="000124D5" w:rsidRPr="00DD14B7" w:rsidRDefault="000124D5" w:rsidP="005F21B7">
      <w:pPr>
        <w:ind w:right="-568"/>
        <w:jc w:val="both"/>
        <w:rPr>
          <w:rFonts w:ascii="Arial" w:hAnsi="Arial" w:cs="Arial"/>
          <w:color w:val="002060"/>
          <w:sz w:val="21"/>
          <w:szCs w:val="21"/>
        </w:rPr>
      </w:pPr>
    </w:p>
    <w:p w:rsidR="0065395B" w:rsidRPr="00DD14B7" w:rsidRDefault="0065395B" w:rsidP="000124D5">
      <w:pPr>
        <w:ind w:right="-1"/>
        <w:jc w:val="both"/>
        <w:rPr>
          <w:rFonts w:ascii="Arial" w:hAnsi="Arial" w:cs="Arial"/>
          <w:color w:val="002060"/>
          <w:sz w:val="21"/>
          <w:szCs w:val="21"/>
          <w:u w:val="single"/>
        </w:rPr>
      </w:pPr>
      <w:r w:rsidRPr="00DD14B7">
        <w:rPr>
          <w:rFonts w:ascii="Arial" w:hAnsi="Arial" w:cs="Arial"/>
          <w:color w:val="002060"/>
          <w:sz w:val="21"/>
          <w:szCs w:val="21"/>
          <w:u w:val="single"/>
        </w:rPr>
        <w:t>2.3.1 Deliver roads that ensure safe and enjoyable vehicul</w:t>
      </w:r>
      <w:r w:rsidR="00FC0342" w:rsidRPr="00DD14B7">
        <w:rPr>
          <w:rFonts w:ascii="Arial" w:hAnsi="Arial" w:cs="Arial"/>
          <w:color w:val="002060"/>
          <w:sz w:val="21"/>
          <w:szCs w:val="21"/>
          <w:u w:val="single"/>
        </w:rPr>
        <w:t>ar passage throughout the Shire</w:t>
      </w:r>
    </w:p>
    <w:p w:rsidR="000124D5" w:rsidRPr="00DD14B7" w:rsidRDefault="000124D5" w:rsidP="000124D5">
      <w:pPr>
        <w:ind w:right="-1"/>
        <w:jc w:val="both"/>
        <w:rPr>
          <w:rFonts w:ascii="Arial" w:hAnsi="Arial" w:cs="Arial"/>
          <w:color w:val="002060"/>
          <w:sz w:val="21"/>
          <w:szCs w:val="21"/>
          <w:u w:val="single"/>
        </w:rPr>
      </w:pPr>
    </w:p>
    <w:p w:rsidR="00E2286B" w:rsidRDefault="0065395B" w:rsidP="000124D5">
      <w:pPr>
        <w:ind w:right="-1"/>
        <w:jc w:val="both"/>
        <w:rPr>
          <w:rFonts w:ascii="Arial" w:hAnsi="Arial" w:cs="Arial"/>
          <w:color w:val="002060"/>
          <w:sz w:val="21"/>
          <w:szCs w:val="21"/>
        </w:rPr>
      </w:pPr>
      <w:r w:rsidRPr="00DD14B7">
        <w:rPr>
          <w:rFonts w:ascii="Arial" w:hAnsi="Arial" w:cs="Arial"/>
          <w:color w:val="002060"/>
          <w:sz w:val="21"/>
          <w:szCs w:val="21"/>
        </w:rPr>
        <w:t>Council’s extensive road network</w:t>
      </w:r>
      <w:r w:rsidR="00311420" w:rsidRPr="00DD14B7">
        <w:rPr>
          <w:rFonts w:ascii="Arial" w:hAnsi="Arial" w:cs="Arial"/>
          <w:color w:val="002060"/>
          <w:sz w:val="21"/>
          <w:szCs w:val="21"/>
        </w:rPr>
        <w:t xml:space="preserve"> requires a significant allocation of funding.</w:t>
      </w:r>
      <w:r w:rsidRPr="00DD14B7">
        <w:rPr>
          <w:rFonts w:ascii="Arial" w:hAnsi="Arial" w:cs="Arial"/>
          <w:color w:val="002060"/>
          <w:sz w:val="21"/>
          <w:szCs w:val="21"/>
        </w:rPr>
        <w:t xml:space="preserve">   Like a num</w:t>
      </w:r>
      <w:r w:rsidR="00FC0342" w:rsidRPr="00DD14B7">
        <w:rPr>
          <w:rFonts w:ascii="Arial" w:hAnsi="Arial" w:cs="Arial"/>
          <w:color w:val="002060"/>
          <w:sz w:val="21"/>
          <w:szCs w:val="21"/>
        </w:rPr>
        <w:t xml:space="preserve">ber of rural Councils, </w:t>
      </w:r>
      <w:r w:rsidRPr="00DD14B7">
        <w:rPr>
          <w:rFonts w:ascii="Arial" w:hAnsi="Arial" w:cs="Arial"/>
          <w:color w:val="002060"/>
          <w:sz w:val="21"/>
          <w:szCs w:val="21"/>
        </w:rPr>
        <w:t>Jerilderie’s road ne</w:t>
      </w:r>
      <w:r w:rsidR="00FC0342" w:rsidRPr="00DD14B7">
        <w:rPr>
          <w:rFonts w:ascii="Arial" w:hAnsi="Arial" w:cs="Arial"/>
          <w:color w:val="002060"/>
          <w:sz w:val="21"/>
          <w:szCs w:val="21"/>
        </w:rPr>
        <w:t>t</w:t>
      </w:r>
      <w:r w:rsidRPr="00DD14B7">
        <w:rPr>
          <w:rFonts w:ascii="Arial" w:hAnsi="Arial" w:cs="Arial"/>
          <w:color w:val="002060"/>
          <w:sz w:val="21"/>
          <w:szCs w:val="21"/>
        </w:rPr>
        <w:t>work is large compared to</w:t>
      </w:r>
      <w:r w:rsidR="00FC0342" w:rsidRPr="00DD14B7">
        <w:rPr>
          <w:rFonts w:ascii="Arial" w:hAnsi="Arial" w:cs="Arial"/>
          <w:color w:val="002060"/>
          <w:sz w:val="21"/>
          <w:szCs w:val="21"/>
        </w:rPr>
        <w:t xml:space="preserve"> the overall population of the S</w:t>
      </w:r>
      <w:r w:rsidRPr="00DD14B7">
        <w:rPr>
          <w:rFonts w:ascii="Arial" w:hAnsi="Arial" w:cs="Arial"/>
          <w:color w:val="002060"/>
          <w:sz w:val="21"/>
          <w:szCs w:val="21"/>
        </w:rPr>
        <w:t>hire</w:t>
      </w:r>
      <w:r w:rsidR="00FC0342" w:rsidRPr="00DD14B7">
        <w:rPr>
          <w:rFonts w:ascii="Arial" w:hAnsi="Arial" w:cs="Arial"/>
          <w:color w:val="002060"/>
          <w:sz w:val="21"/>
          <w:szCs w:val="21"/>
        </w:rPr>
        <w:t>,</w:t>
      </w:r>
      <w:r w:rsidRPr="00DD14B7">
        <w:rPr>
          <w:rFonts w:ascii="Arial" w:hAnsi="Arial" w:cs="Arial"/>
          <w:color w:val="002060"/>
          <w:sz w:val="21"/>
          <w:szCs w:val="21"/>
        </w:rPr>
        <w:t xml:space="preserve"> and is utilised by large vehicles including road trains and b-doubles. </w:t>
      </w:r>
    </w:p>
    <w:p w:rsidR="00E2286B" w:rsidRDefault="00E2286B" w:rsidP="000124D5">
      <w:pPr>
        <w:ind w:right="-1"/>
        <w:jc w:val="both"/>
        <w:rPr>
          <w:rFonts w:ascii="Arial" w:hAnsi="Arial" w:cs="Arial"/>
          <w:color w:val="002060"/>
          <w:sz w:val="21"/>
          <w:szCs w:val="21"/>
        </w:rPr>
      </w:pPr>
    </w:p>
    <w:p w:rsidR="00E2286B" w:rsidRDefault="0065395B" w:rsidP="000124D5">
      <w:pPr>
        <w:ind w:right="-1"/>
        <w:jc w:val="both"/>
        <w:rPr>
          <w:rFonts w:ascii="Arial" w:hAnsi="Arial" w:cs="Arial"/>
          <w:color w:val="002060"/>
          <w:sz w:val="21"/>
          <w:szCs w:val="21"/>
        </w:rPr>
      </w:pPr>
      <w:r w:rsidRPr="00DD14B7">
        <w:rPr>
          <w:rFonts w:ascii="Arial" w:hAnsi="Arial" w:cs="Arial"/>
          <w:color w:val="002060"/>
          <w:sz w:val="21"/>
          <w:szCs w:val="21"/>
        </w:rPr>
        <w:t>The rural roads are important to the Shire’s overall economic wellbeing</w:t>
      </w:r>
      <w:r w:rsidR="00FC0342" w:rsidRPr="00DD14B7">
        <w:rPr>
          <w:rFonts w:ascii="Arial" w:hAnsi="Arial" w:cs="Arial"/>
          <w:color w:val="002060"/>
          <w:sz w:val="21"/>
          <w:szCs w:val="21"/>
        </w:rPr>
        <w:t>,</w:t>
      </w:r>
      <w:r w:rsidRPr="00DD14B7">
        <w:rPr>
          <w:rFonts w:ascii="Arial" w:hAnsi="Arial" w:cs="Arial"/>
          <w:color w:val="002060"/>
          <w:sz w:val="21"/>
          <w:szCs w:val="21"/>
        </w:rPr>
        <w:t xml:space="preserve"> as all a</w:t>
      </w:r>
      <w:r w:rsidR="00FC0342" w:rsidRPr="00DD14B7">
        <w:rPr>
          <w:rFonts w:ascii="Arial" w:hAnsi="Arial" w:cs="Arial"/>
          <w:color w:val="002060"/>
          <w:sz w:val="21"/>
          <w:szCs w:val="21"/>
        </w:rPr>
        <w:t>gricultural produce within the S</w:t>
      </w:r>
      <w:r w:rsidRPr="00DD14B7">
        <w:rPr>
          <w:rFonts w:ascii="Arial" w:hAnsi="Arial" w:cs="Arial"/>
          <w:color w:val="002060"/>
          <w:sz w:val="21"/>
          <w:szCs w:val="21"/>
        </w:rPr>
        <w:t xml:space="preserve">hire is transported via the road network.  Primary producers require safe and accessible roads to maintain their livelihoods. </w:t>
      </w:r>
    </w:p>
    <w:p w:rsidR="00E2286B" w:rsidRDefault="00E2286B" w:rsidP="000124D5">
      <w:pPr>
        <w:ind w:right="-1"/>
        <w:jc w:val="both"/>
        <w:rPr>
          <w:rFonts w:ascii="Arial" w:hAnsi="Arial" w:cs="Arial"/>
          <w:color w:val="002060"/>
          <w:sz w:val="21"/>
          <w:szCs w:val="21"/>
        </w:rPr>
      </w:pPr>
    </w:p>
    <w:p w:rsidR="00E2286B" w:rsidRDefault="00E821F8" w:rsidP="000124D5">
      <w:pPr>
        <w:ind w:right="-1"/>
        <w:jc w:val="both"/>
        <w:rPr>
          <w:rFonts w:ascii="Arial" w:hAnsi="Arial" w:cs="Arial"/>
          <w:color w:val="002060"/>
          <w:sz w:val="21"/>
          <w:szCs w:val="21"/>
        </w:rPr>
      </w:pPr>
      <w:r w:rsidRPr="00DD14B7">
        <w:rPr>
          <w:rFonts w:ascii="Arial" w:hAnsi="Arial" w:cs="Arial"/>
          <w:color w:val="002060"/>
          <w:sz w:val="21"/>
          <w:szCs w:val="21"/>
        </w:rPr>
        <w:t xml:space="preserve">Council historically has had a resealing program </w:t>
      </w:r>
      <w:r w:rsidR="0065395B" w:rsidRPr="00DD14B7">
        <w:rPr>
          <w:rFonts w:ascii="Arial" w:hAnsi="Arial" w:cs="Arial"/>
          <w:color w:val="002060"/>
          <w:sz w:val="21"/>
          <w:szCs w:val="21"/>
        </w:rPr>
        <w:t>of 12-15 years and</w:t>
      </w:r>
      <w:r w:rsidRPr="00DD14B7">
        <w:rPr>
          <w:rFonts w:ascii="Arial" w:hAnsi="Arial" w:cs="Arial"/>
          <w:color w:val="002060"/>
          <w:sz w:val="21"/>
          <w:szCs w:val="21"/>
        </w:rPr>
        <w:t xml:space="preserve"> a</w:t>
      </w:r>
      <w:r w:rsidR="0065395B" w:rsidRPr="00DD14B7">
        <w:rPr>
          <w:rFonts w:ascii="Arial" w:hAnsi="Arial" w:cs="Arial"/>
          <w:color w:val="002060"/>
          <w:sz w:val="21"/>
          <w:szCs w:val="21"/>
        </w:rPr>
        <w:t xml:space="preserve"> re</w:t>
      </w:r>
      <w:r w:rsidR="007C55F5">
        <w:rPr>
          <w:rFonts w:ascii="Arial" w:hAnsi="Arial" w:cs="Arial"/>
          <w:color w:val="002060"/>
          <w:sz w:val="21"/>
          <w:szCs w:val="21"/>
        </w:rPr>
        <w:t>-</w:t>
      </w:r>
      <w:r w:rsidR="0065395B" w:rsidRPr="00DD14B7">
        <w:rPr>
          <w:rFonts w:ascii="Arial" w:hAnsi="Arial" w:cs="Arial"/>
          <w:color w:val="002060"/>
          <w:sz w:val="21"/>
          <w:szCs w:val="21"/>
        </w:rPr>
        <w:t xml:space="preserve">sheeting program of 8-10 years.  This is considered to be </w:t>
      </w:r>
      <w:r w:rsidRPr="00DD14B7">
        <w:rPr>
          <w:rFonts w:ascii="Arial" w:hAnsi="Arial" w:cs="Arial"/>
          <w:color w:val="002060"/>
          <w:sz w:val="21"/>
          <w:szCs w:val="21"/>
        </w:rPr>
        <w:t>an optimum</w:t>
      </w:r>
      <w:r w:rsidR="0065395B" w:rsidRPr="00DD14B7">
        <w:rPr>
          <w:rFonts w:ascii="Arial" w:hAnsi="Arial" w:cs="Arial"/>
          <w:color w:val="002060"/>
          <w:sz w:val="21"/>
          <w:szCs w:val="21"/>
        </w:rPr>
        <w:t xml:space="preserve"> level of service. </w:t>
      </w:r>
    </w:p>
    <w:p w:rsidR="00E2286B" w:rsidRDefault="00E2286B" w:rsidP="000124D5">
      <w:pPr>
        <w:ind w:right="-1"/>
        <w:jc w:val="both"/>
        <w:rPr>
          <w:rFonts w:ascii="Arial" w:hAnsi="Arial" w:cs="Arial"/>
          <w:color w:val="002060"/>
          <w:sz w:val="21"/>
          <w:szCs w:val="21"/>
        </w:rPr>
      </w:pPr>
    </w:p>
    <w:p w:rsidR="00E2286B" w:rsidRDefault="00E821F8" w:rsidP="000124D5">
      <w:pPr>
        <w:ind w:right="-1"/>
        <w:jc w:val="both"/>
        <w:rPr>
          <w:rFonts w:ascii="Arial" w:hAnsi="Arial" w:cs="Arial"/>
          <w:color w:val="002060"/>
          <w:sz w:val="21"/>
          <w:szCs w:val="21"/>
        </w:rPr>
      </w:pPr>
      <w:r w:rsidRPr="00DD14B7">
        <w:rPr>
          <w:rFonts w:ascii="Arial" w:hAnsi="Arial" w:cs="Arial"/>
          <w:color w:val="002060"/>
          <w:sz w:val="21"/>
          <w:szCs w:val="21"/>
        </w:rPr>
        <w:t>The current level of service has been reduced to beyond 20 years for both resealing and re</w:t>
      </w:r>
      <w:r w:rsidR="007C55F5">
        <w:rPr>
          <w:rFonts w:ascii="Arial" w:hAnsi="Arial" w:cs="Arial"/>
          <w:color w:val="002060"/>
          <w:sz w:val="21"/>
          <w:szCs w:val="21"/>
        </w:rPr>
        <w:t>-</w:t>
      </w:r>
      <w:r w:rsidRPr="00DD14B7">
        <w:rPr>
          <w:rFonts w:ascii="Arial" w:hAnsi="Arial" w:cs="Arial"/>
          <w:color w:val="002060"/>
          <w:sz w:val="21"/>
          <w:szCs w:val="21"/>
        </w:rPr>
        <w:t xml:space="preserve">sheeting, a less than adequate level.  </w:t>
      </w:r>
    </w:p>
    <w:p w:rsidR="00E2286B" w:rsidRDefault="00E2286B" w:rsidP="000124D5">
      <w:pPr>
        <w:ind w:right="-1"/>
        <w:jc w:val="both"/>
        <w:rPr>
          <w:rFonts w:ascii="Arial" w:hAnsi="Arial" w:cs="Arial"/>
          <w:color w:val="002060"/>
          <w:sz w:val="21"/>
          <w:szCs w:val="21"/>
        </w:rPr>
      </w:pPr>
    </w:p>
    <w:p w:rsidR="0065395B" w:rsidRPr="00DD14B7" w:rsidRDefault="0065395B" w:rsidP="000124D5">
      <w:pPr>
        <w:ind w:right="-1"/>
        <w:jc w:val="both"/>
        <w:rPr>
          <w:rFonts w:ascii="Arial" w:hAnsi="Arial" w:cs="Arial"/>
          <w:color w:val="002060"/>
          <w:sz w:val="21"/>
          <w:szCs w:val="21"/>
        </w:rPr>
      </w:pPr>
      <w:r w:rsidRPr="00DD14B7">
        <w:rPr>
          <w:rFonts w:ascii="Arial" w:hAnsi="Arial" w:cs="Arial"/>
          <w:color w:val="002060"/>
          <w:sz w:val="21"/>
          <w:szCs w:val="21"/>
        </w:rPr>
        <w:t>If no additional revenue can be sourced</w:t>
      </w:r>
      <w:r w:rsidR="00A1315E" w:rsidRPr="00DD14B7">
        <w:rPr>
          <w:rFonts w:ascii="Arial" w:hAnsi="Arial" w:cs="Arial"/>
          <w:color w:val="002060"/>
          <w:sz w:val="21"/>
          <w:szCs w:val="21"/>
        </w:rPr>
        <w:t>,</w:t>
      </w:r>
      <w:r w:rsidRPr="00DD14B7">
        <w:rPr>
          <w:rFonts w:ascii="Arial" w:hAnsi="Arial" w:cs="Arial"/>
          <w:color w:val="002060"/>
          <w:sz w:val="21"/>
          <w:szCs w:val="21"/>
        </w:rPr>
        <w:t xml:space="preserve"> the resealing </w:t>
      </w:r>
      <w:r w:rsidR="00E821F8" w:rsidRPr="00DD14B7">
        <w:rPr>
          <w:rFonts w:ascii="Arial" w:hAnsi="Arial" w:cs="Arial"/>
          <w:color w:val="002060"/>
          <w:sz w:val="21"/>
          <w:szCs w:val="21"/>
        </w:rPr>
        <w:t>and re</w:t>
      </w:r>
      <w:r w:rsidR="007C55F5">
        <w:rPr>
          <w:rFonts w:ascii="Arial" w:hAnsi="Arial" w:cs="Arial"/>
          <w:color w:val="002060"/>
          <w:sz w:val="21"/>
          <w:szCs w:val="21"/>
        </w:rPr>
        <w:t>-</w:t>
      </w:r>
      <w:r w:rsidR="00E821F8" w:rsidRPr="00DD14B7">
        <w:rPr>
          <w:rFonts w:ascii="Arial" w:hAnsi="Arial" w:cs="Arial"/>
          <w:color w:val="002060"/>
          <w:sz w:val="21"/>
          <w:szCs w:val="21"/>
        </w:rPr>
        <w:t xml:space="preserve">sheeting </w:t>
      </w:r>
      <w:r w:rsidRPr="00DD14B7">
        <w:rPr>
          <w:rFonts w:ascii="Arial" w:hAnsi="Arial" w:cs="Arial"/>
          <w:color w:val="002060"/>
          <w:sz w:val="21"/>
          <w:szCs w:val="21"/>
        </w:rPr>
        <w:t>program</w:t>
      </w:r>
      <w:r w:rsidR="00E821F8" w:rsidRPr="00DD14B7">
        <w:rPr>
          <w:rFonts w:ascii="Arial" w:hAnsi="Arial" w:cs="Arial"/>
          <w:color w:val="002060"/>
          <w:sz w:val="21"/>
          <w:szCs w:val="21"/>
        </w:rPr>
        <w:t>s will blow out towards 30 years, at which point Council faces the real prospect of being unable to hold the level of service without major injection of capital funds.</w:t>
      </w:r>
    </w:p>
    <w:p w:rsidR="00E821F8" w:rsidRPr="00DD14B7" w:rsidRDefault="00E821F8" w:rsidP="000124D5">
      <w:pPr>
        <w:ind w:right="-1"/>
        <w:jc w:val="both"/>
        <w:rPr>
          <w:rFonts w:ascii="Arial" w:hAnsi="Arial" w:cs="Arial"/>
          <w:color w:val="002060"/>
          <w:sz w:val="21"/>
          <w:szCs w:val="21"/>
        </w:rPr>
      </w:pPr>
    </w:p>
    <w:p w:rsidR="00E821F8" w:rsidRPr="00DD14B7" w:rsidRDefault="00E821F8" w:rsidP="000124D5">
      <w:pPr>
        <w:ind w:right="-1"/>
        <w:jc w:val="both"/>
        <w:rPr>
          <w:rFonts w:ascii="Arial" w:hAnsi="Arial" w:cs="Arial"/>
          <w:color w:val="002060"/>
          <w:sz w:val="21"/>
          <w:szCs w:val="21"/>
        </w:rPr>
      </w:pPr>
      <w:r w:rsidRPr="00DD14B7">
        <w:rPr>
          <w:rFonts w:ascii="Arial" w:hAnsi="Arial" w:cs="Arial"/>
          <w:color w:val="002060"/>
          <w:sz w:val="21"/>
          <w:szCs w:val="21"/>
        </w:rPr>
        <w:t>The rate increase will allow Council to maintain level of road maintenance services within a 20 year program.</w:t>
      </w:r>
    </w:p>
    <w:p w:rsidR="0065395B" w:rsidRPr="00AF6FBA" w:rsidRDefault="0065395B" w:rsidP="000124D5">
      <w:pPr>
        <w:ind w:right="-1"/>
        <w:jc w:val="both"/>
        <w:rPr>
          <w:rFonts w:ascii="Arial" w:hAnsi="Arial" w:cs="Arial"/>
          <w:color w:val="002060"/>
          <w:sz w:val="21"/>
          <w:szCs w:val="21"/>
        </w:rPr>
      </w:pPr>
    </w:p>
    <w:p w:rsidR="0065395B" w:rsidRPr="00AF6FBA" w:rsidRDefault="00B942D9" w:rsidP="000124D5">
      <w:pPr>
        <w:ind w:right="-1"/>
        <w:jc w:val="both"/>
        <w:rPr>
          <w:rFonts w:ascii="Arial" w:hAnsi="Arial" w:cs="Arial"/>
          <w:color w:val="002060"/>
          <w:sz w:val="21"/>
          <w:szCs w:val="21"/>
        </w:rPr>
      </w:pPr>
      <w:r w:rsidRPr="00AF6FBA">
        <w:rPr>
          <w:rFonts w:ascii="Arial" w:hAnsi="Arial" w:cs="Arial"/>
          <w:color w:val="002060"/>
          <w:sz w:val="21"/>
          <w:szCs w:val="21"/>
        </w:rPr>
        <w:t>The permanent s</w:t>
      </w:r>
      <w:r w:rsidR="00FC0342" w:rsidRPr="00AF6FBA">
        <w:rPr>
          <w:rFonts w:ascii="Arial" w:hAnsi="Arial" w:cs="Arial"/>
          <w:color w:val="002060"/>
          <w:sz w:val="21"/>
          <w:szCs w:val="21"/>
        </w:rPr>
        <w:t xml:space="preserve">pecial </w:t>
      </w:r>
      <w:r w:rsidRPr="00AF6FBA">
        <w:rPr>
          <w:rFonts w:ascii="Arial" w:hAnsi="Arial" w:cs="Arial"/>
          <w:color w:val="002060"/>
          <w:sz w:val="21"/>
          <w:szCs w:val="21"/>
        </w:rPr>
        <w:t>r</w:t>
      </w:r>
      <w:r w:rsidR="00FC0342" w:rsidRPr="00AF6FBA">
        <w:rPr>
          <w:rFonts w:ascii="Arial" w:hAnsi="Arial" w:cs="Arial"/>
          <w:color w:val="002060"/>
          <w:sz w:val="21"/>
          <w:szCs w:val="21"/>
        </w:rPr>
        <w:t>ate</w:t>
      </w:r>
      <w:r w:rsidRPr="00AF6FBA">
        <w:rPr>
          <w:rFonts w:ascii="Arial" w:hAnsi="Arial" w:cs="Arial"/>
          <w:color w:val="FF0000"/>
          <w:sz w:val="21"/>
          <w:szCs w:val="21"/>
        </w:rPr>
        <w:t xml:space="preserve"> </w:t>
      </w:r>
      <w:r w:rsidRPr="00AF6FBA">
        <w:rPr>
          <w:rFonts w:ascii="Arial" w:hAnsi="Arial" w:cs="Arial"/>
          <w:color w:val="002060"/>
          <w:sz w:val="21"/>
          <w:szCs w:val="21"/>
        </w:rPr>
        <w:t>variation</w:t>
      </w:r>
      <w:r w:rsidR="0065395B" w:rsidRPr="00AF6FBA">
        <w:rPr>
          <w:rFonts w:ascii="Arial" w:hAnsi="Arial" w:cs="Arial"/>
          <w:color w:val="002060"/>
          <w:sz w:val="21"/>
          <w:szCs w:val="21"/>
        </w:rPr>
        <w:t xml:space="preserve"> is required to ensure that the community of Jerilderie Shire can</w:t>
      </w:r>
      <w:r w:rsidR="00FC0342" w:rsidRPr="00AF6FBA">
        <w:rPr>
          <w:rFonts w:ascii="Arial" w:hAnsi="Arial" w:cs="Arial"/>
          <w:color w:val="002060"/>
          <w:sz w:val="21"/>
          <w:szCs w:val="21"/>
        </w:rPr>
        <w:t xml:space="preserve"> remain active and to ensure the</w:t>
      </w:r>
      <w:r w:rsidR="00E2286B">
        <w:rPr>
          <w:rFonts w:ascii="Arial" w:hAnsi="Arial" w:cs="Arial"/>
          <w:color w:val="002060"/>
          <w:sz w:val="21"/>
          <w:szCs w:val="21"/>
        </w:rPr>
        <w:t xml:space="preserve"> road network is maintained at a standard to adequately support the rural community to</w:t>
      </w:r>
      <w:r w:rsidR="0065395B" w:rsidRPr="00AF6FBA">
        <w:rPr>
          <w:rFonts w:ascii="Arial" w:hAnsi="Arial" w:cs="Arial"/>
          <w:color w:val="002060"/>
          <w:sz w:val="21"/>
          <w:szCs w:val="21"/>
        </w:rPr>
        <w:t xml:space="preserve"> maintain its financial wellbeing.</w:t>
      </w:r>
    </w:p>
    <w:p w:rsidR="00D60EA5" w:rsidRPr="000124D5" w:rsidRDefault="003B7983" w:rsidP="000124D5">
      <w:pPr>
        <w:pStyle w:val="Heading2"/>
      </w:pPr>
      <w:bookmarkStart w:id="21" w:name="_Toc411847910"/>
      <w:r w:rsidRPr="000124D5">
        <w:t>F</w:t>
      </w:r>
      <w:r w:rsidR="00D60EA5" w:rsidRPr="000124D5">
        <w:t>inancial sustainability</w:t>
      </w:r>
      <w:bookmarkEnd w:id="20"/>
      <w:bookmarkEnd w:id="21"/>
    </w:p>
    <w:p w:rsidR="00D60EA5" w:rsidRDefault="00D60EA5" w:rsidP="000124D5">
      <w:pPr>
        <w:pStyle w:val="BodyText"/>
        <w:tabs>
          <w:tab w:val="num" w:pos="0"/>
        </w:tabs>
        <w:ind w:right="-1"/>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1105C0" w:rsidRDefault="001105C0" w:rsidP="000124D5">
      <w:pPr>
        <w:pStyle w:val="BodyText"/>
        <w:tabs>
          <w:tab w:val="num" w:pos="0"/>
        </w:tabs>
        <w:ind w:right="-1"/>
      </w:pPr>
    </w:p>
    <w:p w:rsidR="001105C0" w:rsidRDefault="001105C0" w:rsidP="000124D5">
      <w:pPr>
        <w:pStyle w:val="BodyText"/>
        <w:tabs>
          <w:tab w:val="num" w:pos="0"/>
        </w:tabs>
        <w:ind w:right="-1"/>
      </w:pPr>
    </w:p>
    <w:p w:rsidR="001105C0" w:rsidRDefault="001105C0" w:rsidP="000124D5">
      <w:pPr>
        <w:pStyle w:val="BodyText"/>
        <w:tabs>
          <w:tab w:val="num" w:pos="0"/>
        </w:tabs>
        <w:ind w:right="-1"/>
      </w:pPr>
    </w:p>
    <w:p w:rsidR="001105C0" w:rsidRDefault="001105C0" w:rsidP="000124D5">
      <w:pPr>
        <w:pStyle w:val="BodyText"/>
        <w:tabs>
          <w:tab w:val="num" w:pos="0"/>
        </w:tabs>
        <w:ind w:right="-1"/>
      </w:pPr>
    </w:p>
    <w:p w:rsidR="00F93834" w:rsidRPr="00F93834" w:rsidRDefault="008B1F5A" w:rsidP="001105C0">
      <w:pPr>
        <w:pStyle w:val="BodyText"/>
        <w:tabs>
          <w:tab w:val="num" w:pos="284"/>
        </w:tabs>
        <w:ind w:left="426" w:right="-568"/>
      </w:pPr>
      <w:r>
        <w:t>You should e</w:t>
      </w:r>
      <w:r w:rsidR="00576F7F">
        <w:t>xplain below</w:t>
      </w:r>
      <w:r w:rsidR="00F93834" w:rsidRPr="00F93834">
        <w:t>:</w:t>
      </w:r>
    </w:p>
    <w:p w:rsidR="00330E5C" w:rsidRPr="008B1F5A" w:rsidRDefault="00330E5C" w:rsidP="001105C0">
      <w:pPr>
        <w:pStyle w:val="ListBullet"/>
        <w:ind w:left="426" w:right="-568" w:firstLine="0"/>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1105C0">
      <w:pPr>
        <w:pStyle w:val="ListBullet"/>
        <w:ind w:left="426" w:right="-568" w:firstLine="0"/>
      </w:pPr>
      <w:r w:rsidRPr="008B1F5A">
        <w:t>A</w:t>
      </w:r>
      <w:r w:rsidR="00D60EA5" w:rsidRPr="008B1F5A">
        <w:t>ny external assessment</w:t>
      </w:r>
      <w:r w:rsidR="00330E5C" w:rsidRPr="008B1F5A">
        <w:t xml:space="preserve"> of the council’s financial sustainability</w:t>
      </w:r>
      <w:r w:rsidR="00D60EA5" w:rsidRPr="008B1F5A">
        <w:t>, eg</w:t>
      </w:r>
      <w:r w:rsidR="00B84AA8" w:rsidRPr="008B1F5A">
        <w:t>,</w:t>
      </w:r>
      <w:r w:rsidR="00A452DF" w:rsidRPr="008B1F5A">
        <w:t xml:space="preserve"> by auditors or </w:t>
      </w:r>
      <w:proofErr w:type="spellStart"/>
      <w:r w:rsidR="00A452DF" w:rsidRPr="008B1F5A">
        <w:t>TCorp</w:t>
      </w:r>
      <w:proofErr w:type="spellEnd"/>
      <w:r w:rsidRPr="008B1F5A">
        <w:t xml:space="preserve">.  Indicate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Default="00511A12" w:rsidP="001105C0">
      <w:pPr>
        <w:pStyle w:val="ListBullet"/>
        <w:ind w:left="426" w:right="-568" w:firstLine="0"/>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2039BE" w:rsidRDefault="002039BE" w:rsidP="001105C0">
      <w:pPr>
        <w:tabs>
          <w:tab w:val="num" w:pos="284"/>
        </w:tabs>
        <w:ind w:left="426" w:right="-568"/>
        <w:jc w:val="both"/>
        <w:rPr>
          <w:rFonts w:ascii="Arial" w:hAnsi="Arial" w:cs="Arial"/>
          <w:color w:val="002060"/>
          <w:sz w:val="21"/>
          <w:szCs w:val="21"/>
        </w:rPr>
      </w:pPr>
    </w:p>
    <w:p w:rsidR="0065395B" w:rsidRPr="00B942D9" w:rsidRDefault="0065395B" w:rsidP="001105C0">
      <w:pPr>
        <w:tabs>
          <w:tab w:val="num" w:pos="284"/>
        </w:tabs>
        <w:ind w:left="426" w:right="-568"/>
        <w:jc w:val="both"/>
        <w:rPr>
          <w:rFonts w:ascii="Arial" w:hAnsi="Arial" w:cs="Arial"/>
          <w:color w:val="002060"/>
          <w:sz w:val="21"/>
          <w:szCs w:val="21"/>
        </w:rPr>
      </w:pPr>
      <w:proofErr w:type="spellStart"/>
      <w:r w:rsidRPr="00B942D9">
        <w:rPr>
          <w:rFonts w:ascii="Arial" w:hAnsi="Arial" w:cs="Arial"/>
          <w:color w:val="002060"/>
          <w:sz w:val="21"/>
          <w:szCs w:val="21"/>
        </w:rPr>
        <w:t>TCorp’s</w:t>
      </w:r>
      <w:proofErr w:type="spellEnd"/>
      <w:r w:rsidRPr="00B942D9">
        <w:rPr>
          <w:rFonts w:ascii="Arial" w:hAnsi="Arial" w:cs="Arial"/>
          <w:color w:val="002060"/>
          <w:sz w:val="21"/>
          <w:szCs w:val="21"/>
        </w:rPr>
        <w:t xml:space="preserve"> financial assessment provided in April 2013, determined that Council’s Financial Sustainability Rating was moderate</w:t>
      </w:r>
      <w:r w:rsidR="003973E5" w:rsidRPr="00B942D9">
        <w:rPr>
          <w:rFonts w:ascii="Arial" w:hAnsi="Arial" w:cs="Arial"/>
          <w:color w:val="002060"/>
          <w:sz w:val="21"/>
          <w:szCs w:val="21"/>
        </w:rPr>
        <w:t xml:space="preserve">, </w:t>
      </w:r>
      <w:r w:rsidRPr="00B942D9">
        <w:rPr>
          <w:rFonts w:ascii="Arial" w:hAnsi="Arial" w:cs="Arial"/>
          <w:color w:val="002060"/>
          <w:sz w:val="21"/>
          <w:szCs w:val="21"/>
        </w:rPr>
        <w:t>however the outlook for the f</w:t>
      </w:r>
      <w:r w:rsidR="003973E5" w:rsidRPr="00B942D9">
        <w:rPr>
          <w:rFonts w:ascii="Arial" w:hAnsi="Arial" w:cs="Arial"/>
          <w:color w:val="002060"/>
          <w:sz w:val="21"/>
          <w:szCs w:val="21"/>
        </w:rPr>
        <w:t xml:space="preserve">uture was negative.  The </w:t>
      </w:r>
      <w:proofErr w:type="spellStart"/>
      <w:r w:rsidR="003973E5" w:rsidRPr="00B942D9">
        <w:rPr>
          <w:rFonts w:ascii="Arial" w:hAnsi="Arial" w:cs="Arial"/>
          <w:color w:val="002060"/>
          <w:sz w:val="21"/>
          <w:szCs w:val="21"/>
        </w:rPr>
        <w:t>TCorp</w:t>
      </w:r>
      <w:proofErr w:type="spellEnd"/>
      <w:r w:rsidR="003973E5" w:rsidRPr="00B942D9">
        <w:rPr>
          <w:rFonts w:ascii="Arial" w:hAnsi="Arial" w:cs="Arial"/>
          <w:color w:val="002060"/>
          <w:sz w:val="21"/>
          <w:szCs w:val="21"/>
        </w:rPr>
        <w:t xml:space="preserve"> R</w:t>
      </w:r>
      <w:r w:rsidRPr="00B942D9">
        <w:rPr>
          <w:rFonts w:ascii="Arial" w:hAnsi="Arial" w:cs="Arial"/>
          <w:color w:val="002060"/>
          <w:sz w:val="21"/>
          <w:szCs w:val="21"/>
        </w:rPr>
        <w:t xml:space="preserve">eport determined that the forecast continuing operating deficits are likely to affect Council’s ability to continue delivering services at its current level.  In the view of </w:t>
      </w:r>
      <w:proofErr w:type="spellStart"/>
      <w:r w:rsidRPr="00B942D9">
        <w:rPr>
          <w:rFonts w:ascii="Arial" w:hAnsi="Arial" w:cs="Arial"/>
          <w:color w:val="002060"/>
          <w:sz w:val="21"/>
          <w:szCs w:val="21"/>
        </w:rPr>
        <w:t>TCorp</w:t>
      </w:r>
      <w:proofErr w:type="spellEnd"/>
      <w:r w:rsidRPr="00B942D9">
        <w:rPr>
          <w:rFonts w:ascii="Arial" w:hAnsi="Arial" w:cs="Arial"/>
          <w:color w:val="002060"/>
          <w:sz w:val="21"/>
          <w:szCs w:val="21"/>
        </w:rPr>
        <w:t>, Council will be sustainable only in the short term, facing greater pressures in the long term.</w:t>
      </w:r>
    </w:p>
    <w:p w:rsidR="00FF505D" w:rsidRPr="00B942D9" w:rsidRDefault="00FF505D" w:rsidP="001105C0">
      <w:pPr>
        <w:tabs>
          <w:tab w:val="num" w:pos="284"/>
        </w:tabs>
        <w:ind w:left="426" w:right="-568"/>
        <w:jc w:val="both"/>
        <w:rPr>
          <w:rFonts w:ascii="Arial" w:hAnsi="Arial" w:cs="Arial"/>
          <w:color w:val="002060"/>
          <w:sz w:val="21"/>
          <w:szCs w:val="21"/>
        </w:rPr>
      </w:pPr>
    </w:p>
    <w:p w:rsidR="0065395B" w:rsidRPr="00B942D9" w:rsidRDefault="00B942D9" w:rsidP="001105C0">
      <w:pPr>
        <w:tabs>
          <w:tab w:val="num" w:pos="284"/>
        </w:tabs>
        <w:ind w:left="426" w:right="-568"/>
        <w:jc w:val="both"/>
        <w:rPr>
          <w:rFonts w:ascii="Arial" w:hAnsi="Arial" w:cs="Arial"/>
          <w:color w:val="002060"/>
          <w:sz w:val="21"/>
          <w:szCs w:val="21"/>
        </w:rPr>
      </w:pPr>
      <w:r>
        <w:rPr>
          <w:rFonts w:ascii="Arial" w:hAnsi="Arial" w:cs="Arial"/>
          <w:color w:val="002060"/>
          <w:sz w:val="21"/>
          <w:szCs w:val="21"/>
        </w:rPr>
        <w:t>Council’s LTFP</w:t>
      </w:r>
      <w:r w:rsidR="0065395B" w:rsidRPr="00B942D9">
        <w:rPr>
          <w:rFonts w:ascii="Arial" w:hAnsi="Arial" w:cs="Arial"/>
          <w:color w:val="002060"/>
          <w:sz w:val="21"/>
          <w:szCs w:val="21"/>
        </w:rPr>
        <w:t xml:space="preserve"> was modelled on three scenarios.  Scenario 1 includes a calculation with assumptions that include the rate peg amount only.  Scenario 2 includes a calculation with a special rate variation of 10% for year 2015/2016.  Scenario 3 includes calculations with special rate variations of 10% for years 2015/2016 </w:t>
      </w:r>
      <w:r w:rsidR="00BE3CCA" w:rsidRPr="00B942D9">
        <w:rPr>
          <w:rFonts w:ascii="Arial" w:hAnsi="Arial" w:cs="Arial"/>
          <w:color w:val="002060"/>
          <w:sz w:val="21"/>
          <w:szCs w:val="21"/>
        </w:rPr>
        <w:t xml:space="preserve">and </w:t>
      </w:r>
      <w:r w:rsidR="0065395B" w:rsidRPr="00B942D9">
        <w:rPr>
          <w:rFonts w:ascii="Arial" w:hAnsi="Arial" w:cs="Arial"/>
          <w:color w:val="002060"/>
          <w:sz w:val="21"/>
          <w:szCs w:val="21"/>
        </w:rPr>
        <w:t>2016/2017.</w:t>
      </w:r>
    </w:p>
    <w:p w:rsidR="00BE3CCA" w:rsidRPr="00B942D9" w:rsidRDefault="00BE3CCA" w:rsidP="001105C0">
      <w:pPr>
        <w:tabs>
          <w:tab w:val="num" w:pos="-567"/>
          <w:tab w:val="num" w:pos="284"/>
        </w:tabs>
        <w:ind w:left="426" w:right="-568"/>
        <w:jc w:val="both"/>
        <w:rPr>
          <w:rFonts w:ascii="Arial" w:hAnsi="Arial" w:cs="Arial"/>
          <w:color w:val="002060"/>
          <w:sz w:val="21"/>
          <w:szCs w:val="21"/>
        </w:rPr>
      </w:pPr>
    </w:p>
    <w:p w:rsidR="0065395B" w:rsidRDefault="00BE3CCA" w:rsidP="001105C0">
      <w:pPr>
        <w:tabs>
          <w:tab w:val="num" w:pos="284"/>
        </w:tabs>
        <w:ind w:left="426" w:right="-568"/>
        <w:jc w:val="both"/>
        <w:rPr>
          <w:rFonts w:ascii="Arial" w:hAnsi="Arial" w:cs="Arial"/>
          <w:color w:val="002060"/>
          <w:sz w:val="21"/>
          <w:szCs w:val="21"/>
        </w:rPr>
      </w:pPr>
      <w:r w:rsidRPr="00B942D9">
        <w:rPr>
          <w:rFonts w:ascii="Arial" w:hAnsi="Arial" w:cs="Arial"/>
          <w:color w:val="002060"/>
          <w:sz w:val="21"/>
          <w:szCs w:val="21"/>
        </w:rPr>
        <w:t>Cash flow projections for both S</w:t>
      </w:r>
      <w:r w:rsidR="0065395B" w:rsidRPr="00B942D9">
        <w:rPr>
          <w:rFonts w:ascii="Arial" w:hAnsi="Arial" w:cs="Arial"/>
          <w:color w:val="002060"/>
          <w:sz w:val="21"/>
          <w:szCs w:val="21"/>
        </w:rPr>
        <w:t>cenario</w:t>
      </w:r>
      <w:r w:rsidRPr="00B942D9">
        <w:rPr>
          <w:rFonts w:ascii="Arial" w:hAnsi="Arial" w:cs="Arial"/>
          <w:color w:val="002060"/>
          <w:sz w:val="21"/>
          <w:szCs w:val="21"/>
        </w:rPr>
        <w:t>s</w:t>
      </w:r>
      <w:r w:rsidR="0065395B" w:rsidRPr="00B942D9">
        <w:rPr>
          <w:rFonts w:ascii="Arial" w:hAnsi="Arial" w:cs="Arial"/>
          <w:color w:val="002060"/>
          <w:sz w:val="21"/>
          <w:szCs w:val="21"/>
        </w:rPr>
        <w:t xml:space="preserve"> 1 and 2 indicate an unsustainable position over the long term.  Scenario 3 indicates a positive cash flow position which will</w:t>
      </w:r>
      <w:r w:rsidR="006070B1" w:rsidRPr="00B942D9">
        <w:rPr>
          <w:rFonts w:ascii="Arial" w:hAnsi="Arial" w:cs="Arial"/>
          <w:color w:val="002060"/>
          <w:sz w:val="21"/>
          <w:szCs w:val="21"/>
        </w:rPr>
        <w:t>,</w:t>
      </w:r>
      <w:r w:rsidR="0065395B" w:rsidRPr="00B942D9">
        <w:rPr>
          <w:rFonts w:ascii="Arial" w:hAnsi="Arial" w:cs="Arial"/>
          <w:color w:val="002060"/>
          <w:sz w:val="21"/>
          <w:szCs w:val="21"/>
        </w:rPr>
        <w:t xml:space="preserve"> in fact</w:t>
      </w:r>
      <w:r w:rsidR="006070B1" w:rsidRPr="00B942D9">
        <w:rPr>
          <w:rFonts w:ascii="Arial" w:hAnsi="Arial" w:cs="Arial"/>
          <w:color w:val="002060"/>
          <w:sz w:val="21"/>
          <w:szCs w:val="21"/>
        </w:rPr>
        <w:t>,</w:t>
      </w:r>
      <w:r w:rsidR="0065395B" w:rsidRPr="00B942D9">
        <w:rPr>
          <w:rFonts w:ascii="Arial" w:hAnsi="Arial" w:cs="Arial"/>
          <w:color w:val="002060"/>
          <w:sz w:val="21"/>
          <w:szCs w:val="21"/>
        </w:rPr>
        <w:t xml:space="preserve"> allow for additional infrastructure renewal programmes to be implemented.</w:t>
      </w:r>
    </w:p>
    <w:p w:rsidR="00DD14B7" w:rsidRDefault="00DD14B7" w:rsidP="001105C0">
      <w:pPr>
        <w:tabs>
          <w:tab w:val="num" w:pos="284"/>
        </w:tabs>
        <w:ind w:left="426" w:right="-568"/>
        <w:jc w:val="both"/>
        <w:rPr>
          <w:rFonts w:ascii="Arial" w:hAnsi="Arial" w:cs="Arial"/>
          <w:color w:val="002060"/>
          <w:sz w:val="21"/>
          <w:szCs w:val="21"/>
        </w:rPr>
      </w:pPr>
    </w:p>
    <w:p w:rsidR="00DD14B7" w:rsidRDefault="00DD14B7" w:rsidP="001105C0">
      <w:pPr>
        <w:tabs>
          <w:tab w:val="num" w:pos="284"/>
        </w:tabs>
        <w:ind w:left="426" w:right="-568"/>
        <w:jc w:val="both"/>
        <w:rPr>
          <w:rFonts w:ascii="Arial" w:hAnsi="Arial" w:cs="Arial"/>
          <w:color w:val="002060"/>
          <w:sz w:val="21"/>
          <w:szCs w:val="21"/>
        </w:rPr>
      </w:pPr>
      <w:r w:rsidRPr="00DD14B7">
        <w:rPr>
          <w:rFonts w:ascii="Arial" w:hAnsi="Arial" w:cs="Arial"/>
          <w:b/>
          <w:color w:val="002060"/>
          <w:sz w:val="21"/>
          <w:szCs w:val="21"/>
          <w:u w:val="single"/>
        </w:rPr>
        <w:t>Please note</w:t>
      </w:r>
      <w:r w:rsidRPr="00DD14B7">
        <w:rPr>
          <w:rFonts w:ascii="Arial" w:hAnsi="Arial" w:cs="Arial"/>
          <w:b/>
          <w:color w:val="002060"/>
          <w:sz w:val="21"/>
          <w:szCs w:val="21"/>
        </w:rPr>
        <w:t>:</w:t>
      </w:r>
      <w:r>
        <w:rPr>
          <w:rFonts w:ascii="Arial" w:hAnsi="Arial" w:cs="Arial"/>
          <w:color w:val="002060"/>
          <w:sz w:val="21"/>
          <w:szCs w:val="21"/>
        </w:rPr>
        <w:t xml:space="preserve">  Council’s adopted LTFP covers the financial years 2014/2015 – 2023/2024.  Application Part </w:t>
      </w:r>
      <w:proofErr w:type="gramStart"/>
      <w:r>
        <w:rPr>
          <w:rFonts w:ascii="Arial" w:hAnsi="Arial" w:cs="Arial"/>
          <w:color w:val="002060"/>
          <w:sz w:val="21"/>
          <w:szCs w:val="21"/>
        </w:rPr>
        <w:t>A</w:t>
      </w:r>
      <w:proofErr w:type="gramEnd"/>
      <w:r>
        <w:rPr>
          <w:rFonts w:ascii="Arial" w:hAnsi="Arial" w:cs="Arial"/>
          <w:color w:val="002060"/>
          <w:sz w:val="21"/>
          <w:szCs w:val="21"/>
        </w:rPr>
        <w:t xml:space="preserve"> WK7 therefore includes only 9 years from the base year.</w:t>
      </w:r>
    </w:p>
    <w:p w:rsidR="00576F7F" w:rsidRPr="000124D5" w:rsidRDefault="00576F7F" w:rsidP="001105C0">
      <w:pPr>
        <w:pStyle w:val="Heading2"/>
        <w:tabs>
          <w:tab w:val="num" w:pos="284"/>
        </w:tabs>
        <w:ind w:left="426" w:right="-568" w:firstLine="0"/>
      </w:pPr>
      <w:bookmarkStart w:id="22" w:name="_Toc411847911"/>
      <w:r w:rsidRPr="000124D5">
        <w:t>Financial indicators</w:t>
      </w:r>
      <w:bookmarkEnd w:id="22"/>
    </w:p>
    <w:p w:rsidR="00D60EA5" w:rsidRDefault="00D60EA5" w:rsidP="001105C0">
      <w:pPr>
        <w:pStyle w:val="BodyText"/>
        <w:tabs>
          <w:tab w:val="num" w:pos="284"/>
        </w:tabs>
        <w:ind w:left="426" w:right="-568"/>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1105C0">
      <w:pPr>
        <w:pStyle w:val="ListBullet"/>
        <w:ind w:left="426" w:right="-568" w:firstLine="0"/>
      </w:pPr>
      <w:r w:rsidRPr="00761C02">
        <w:t xml:space="preserve">Operating balance ratio </w:t>
      </w:r>
      <w:r>
        <w:t xml:space="preserve">excluding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1105C0">
      <w:pPr>
        <w:pStyle w:val="ListBullet"/>
        <w:ind w:left="426" w:right="-568" w:firstLine="0"/>
      </w:pPr>
      <w:r w:rsidRPr="00266497">
        <w:t>Unrestricted current ratio (the unrestricted current assets divided by unrestricted current liabilities)</w:t>
      </w:r>
      <w:r w:rsidR="00B84AA8" w:rsidRPr="00266497">
        <w:t>.</w:t>
      </w:r>
    </w:p>
    <w:p w:rsidR="00D60EA5" w:rsidRPr="00266497" w:rsidRDefault="00D60EA5" w:rsidP="001105C0">
      <w:pPr>
        <w:pStyle w:val="ListBullet"/>
        <w:tabs>
          <w:tab w:val="num" w:pos="-142"/>
        </w:tabs>
        <w:ind w:left="426" w:right="-568" w:firstLine="0"/>
      </w:pPr>
      <w:r w:rsidRPr="00266497">
        <w:t>Rates and annual charges ratio (rates and annual charges divided by operating revenue)</w:t>
      </w:r>
      <w:r w:rsidR="00B84AA8" w:rsidRPr="00266497">
        <w:t>.</w:t>
      </w:r>
    </w:p>
    <w:p w:rsidR="00D60EA5" w:rsidRPr="00266497" w:rsidRDefault="00D60EA5" w:rsidP="001105C0">
      <w:pPr>
        <w:pStyle w:val="ListBullet"/>
        <w:tabs>
          <w:tab w:val="num" w:pos="-142"/>
        </w:tabs>
        <w:ind w:left="426" w:right="-568" w:firstLine="0"/>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1105C0">
      <w:pPr>
        <w:pStyle w:val="ListBullet"/>
        <w:tabs>
          <w:tab w:val="num" w:pos="-142"/>
        </w:tabs>
        <w:ind w:left="426" w:right="-568" w:firstLine="0"/>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0124D5" w:rsidRDefault="00D60EA5" w:rsidP="001105C0">
      <w:pPr>
        <w:pStyle w:val="ListBullet"/>
        <w:tabs>
          <w:tab w:val="num" w:pos="-142"/>
        </w:tabs>
        <w:ind w:left="426" w:right="-568" w:firstLine="0"/>
      </w:pPr>
      <w:r w:rsidRPr="00761C02">
        <w:t xml:space="preserve">Asset renewal ratio </w:t>
      </w:r>
      <w:r>
        <w:t>(</w:t>
      </w:r>
      <w:r w:rsidRPr="00761C02">
        <w:t>asset renewals expenditure divided by depreciation, amortisation and impairment expenses</w:t>
      </w:r>
      <w:r>
        <w:t>).</w:t>
      </w:r>
    </w:p>
    <w:p w:rsidR="001105C0" w:rsidRDefault="001105C0" w:rsidP="001105C0">
      <w:pPr>
        <w:pStyle w:val="ListBullet"/>
        <w:numPr>
          <w:ilvl w:val="0"/>
          <w:numId w:val="0"/>
        </w:numPr>
        <w:tabs>
          <w:tab w:val="num" w:pos="284"/>
        </w:tabs>
        <w:ind w:right="-568"/>
      </w:pPr>
    </w:p>
    <w:p w:rsidR="001105C0" w:rsidRDefault="001105C0" w:rsidP="001105C0">
      <w:pPr>
        <w:pStyle w:val="ListBullet"/>
        <w:numPr>
          <w:ilvl w:val="0"/>
          <w:numId w:val="0"/>
        </w:numPr>
        <w:tabs>
          <w:tab w:val="num" w:pos="284"/>
        </w:tabs>
        <w:ind w:right="-568"/>
      </w:pPr>
    </w:p>
    <w:p w:rsidR="00DD14B7" w:rsidRDefault="0065395B" w:rsidP="001105C0">
      <w:pPr>
        <w:ind w:right="-568"/>
        <w:jc w:val="both"/>
        <w:rPr>
          <w:rFonts w:ascii="Arial" w:hAnsi="Arial" w:cs="Arial"/>
          <w:color w:val="002060"/>
          <w:sz w:val="21"/>
          <w:szCs w:val="21"/>
        </w:rPr>
      </w:pPr>
      <w:r w:rsidRPr="00B942D9">
        <w:rPr>
          <w:rFonts w:ascii="Arial" w:hAnsi="Arial" w:cs="Arial"/>
          <w:color w:val="002060"/>
          <w:sz w:val="21"/>
          <w:szCs w:val="21"/>
        </w:rPr>
        <w:t>The following graph shows the proposed cash availability by</w:t>
      </w:r>
      <w:r w:rsidR="006070B1" w:rsidRPr="00B942D9">
        <w:rPr>
          <w:rFonts w:ascii="Arial" w:hAnsi="Arial" w:cs="Arial"/>
          <w:color w:val="002060"/>
          <w:sz w:val="21"/>
          <w:szCs w:val="21"/>
        </w:rPr>
        <w:t xml:space="preserve"> each of the scenarios </w:t>
      </w:r>
      <w:r w:rsidR="00DD14B7">
        <w:rPr>
          <w:rFonts w:ascii="Arial" w:hAnsi="Arial" w:cs="Arial"/>
          <w:color w:val="002060"/>
          <w:sz w:val="21"/>
          <w:szCs w:val="21"/>
        </w:rPr>
        <w:t>p</w:t>
      </w:r>
      <w:r w:rsidR="006070B1" w:rsidRPr="00B942D9">
        <w:rPr>
          <w:rFonts w:ascii="Arial" w:hAnsi="Arial" w:cs="Arial"/>
          <w:color w:val="002060"/>
          <w:sz w:val="21"/>
          <w:szCs w:val="21"/>
        </w:rPr>
        <w:t>roposed:</w:t>
      </w:r>
      <w:r w:rsidR="001105C0">
        <w:rPr>
          <w:rFonts w:ascii="Arial" w:hAnsi="Arial" w:cs="Arial"/>
          <w:noProof/>
          <w:color w:val="002060"/>
          <w:sz w:val="21"/>
          <w:szCs w:val="21"/>
        </w:rPr>
        <w:drawing>
          <wp:anchor distT="0" distB="0" distL="114300" distR="114300" simplePos="0" relativeHeight="251659264" behindDoc="1" locked="0" layoutInCell="1" allowOverlap="1">
            <wp:simplePos x="0" y="0"/>
            <wp:positionH relativeFrom="column">
              <wp:posOffset>-96520</wp:posOffset>
            </wp:positionH>
            <wp:positionV relativeFrom="paragraph">
              <wp:posOffset>349885</wp:posOffset>
            </wp:positionV>
            <wp:extent cx="5812155" cy="2752725"/>
            <wp:effectExtent l="19050" t="0" r="17145" b="0"/>
            <wp:wrapTight wrapText="bothSides">
              <wp:wrapPolygon edited="0">
                <wp:start x="-71" y="0"/>
                <wp:lineTo x="-71" y="21525"/>
                <wp:lineTo x="21664" y="21525"/>
                <wp:lineTo x="21664" y="0"/>
                <wp:lineTo x="-71" y="0"/>
              </wp:wrapPolygon>
            </wp:wrapTight>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1105C0" w:rsidRDefault="001105C0" w:rsidP="000124D5">
      <w:pPr>
        <w:ind w:right="-1"/>
        <w:jc w:val="both"/>
        <w:rPr>
          <w:rFonts w:ascii="Arial" w:hAnsi="Arial" w:cs="Arial"/>
          <w:color w:val="002060"/>
          <w:sz w:val="21"/>
          <w:szCs w:val="21"/>
        </w:rPr>
      </w:pPr>
    </w:p>
    <w:p w:rsidR="001105C0" w:rsidRDefault="001105C0" w:rsidP="000124D5">
      <w:pPr>
        <w:ind w:right="-1"/>
        <w:jc w:val="both"/>
        <w:rPr>
          <w:rFonts w:ascii="Arial" w:hAnsi="Arial" w:cs="Arial"/>
          <w:color w:val="002060"/>
          <w:sz w:val="21"/>
          <w:szCs w:val="21"/>
        </w:rPr>
      </w:pPr>
    </w:p>
    <w:p w:rsidR="000124D5" w:rsidRDefault="0065395B" w:rsidP="000124D5">
      <w:pPr>
        <w:ind w:right="-1"/>
        <w:jc w:val="both"/>
        <w:rPr>
          <w:rFonts w:ascii="Arial" w:hAnsi="Arial" w:cs="Arial"/>
          <w:color w:val="002060"/>
          <w:sz w:val="21"/>
          <w:szCs w:val="21"/>
        </w:rPr>
      </w:pPr>
      <w:r w:rsidRPr="00B942D9">
        <w:rPr>
          <w:rFonts w:ascii="Arial" w:hAnsi="Arial" w:cs="Arial"/>
          <w:color w:val="002060"/>
          <w:sz w:val="21"/>
          <w:szCs w:val="21"/>
        </w:rPr>
        <w:t xml:space="preserve">The operating balance ratio (excluding capital items) for the general fund shows an improving ratio over the long term as shown below. (Treasury’s bench </w:t>
      </w:r>
      <w:proofErr w:type="gramStart"/>
      <w:r w:rsidRPr="00B942D9">
        <w:rPr>
          <w:rFonts w:ascii="Arial" w:hAnsi="Arial" w:cs="Arial"/>
          <w:color w:val="002060"/>
          <w:sz w:val="21"/>
          <w:szCs w:val="21"/>
        </w:rPr>
        <w:t>mark</w:t>
      </w:r>
      <w:r w:rsidR="000124D5">
        <w:rPr>
          <w:rFonts w:ascii="Arial" w:hAnsi="Arial" w:cs="Arial"/>
          <w:color w:val="002060"/>
          <w:sz w:val="21"/>
          <w:szCs w:val="21"/>
        </w:rPr>
        <w:t xml:space="preserve"> </w:t>
      </w:r>
      <w:r w:rsidRPr="00B942D9">
        <w:rPr>
          <w:rFonts w:ascii="Arial" w:hAnsi="Arial" w:cs="Arial"/>
          <w:color w:val="002060"/>
          <w:sz w:val="21"/>
          <w:szCs w:val="21"/>
        </w:rPr>
        <w:t xml:space="preserve"> is</w:t>
      </w:r>
      <w:proofErr w:type="gramEnd"/>
      <w:r w:rsidRPr="00B942D9">
        <w:rPr>
          <w:rFonts w:ascii="Arial" w:hAnsi="Arial" w:cs="Arial"/>
          <w:color w:val="002060"/>
          <w:sz w:val="21"/>
          <w:szCs w:val="21"/>
        </w:rPr>
        <w:t xml:space="preserve"> </w:t>
      </w:r>
      <w:r w:rsidR="000124D5">
        <w:rPr>
          <w:rFonts w:ascii="Arial" w:hAnsi="Arial" w:cs="Arial"/>
          <w:color w:val="002060"/>
          <w:sz w:val="21"/>
          <w:szCs w:val="21"/>
        </w:rPr>
        <w:t xml:space="preserve"> </w:t>
      </w:r>
      <w:r w:rsidRPr="00B942D9">
        <w:rPr>
          <w:rFonts w:ascii="Arial" w:hAnsi="Arial" w:cs="Arial"/>
          <w:color w:val="002060"/>
          <w:sz w:val="21"/>
          <w:szCs w:val="21"/>
        </w:rPr>
        <w:t>better</w:t>
      </w:r>
      <w:r w:rsidR="000124D5">
        <w:rPr>
          <w:rFonts w:ascii="Arial" w:hAnsi="Arial" w:cs="Arial"/>
          <w:color w:val="002060"/>
          <w:sz w:val="21"/>
          <w:szCs w:val="21"/>
        </w:rPr>
        <w:t xml:space="preserve"> </w:t>
      </w:r>
      <w:r w:rsidRPr="00B942D9">
        <w:rPr>
          <w:rFonts w:ascii="Arial" w:hAnsi="Arial" w:cs="Arial"/>
          <w:color w:val="002060"/>
          <w:sz w:val="21"/>
          <w:szCs w:val="21"/>
        </w:rPr>
        <w:t xml:space="preserve"> than</w:t>
      </w:r>
    </w:p>
    <w:p w:rsidR="006070B1" w:rsidRPr="00B942D9" w:rsidRDefault="0065395B" w:rsidP="000124D5">
      <w:pPr>
        <w:ind w:right="-1"/>
        <w:jc w:val="both"/>
        <w:rPr>
          <w:rFonts w:ascii="Arial" w:hAnsi="Arial" w:cs="Arial"/>
          <w:color w:val="002060"/>
          <w:sz w:val="21"/>
          <w:szCs w:val="21"/>
        </w:rPr>
      </w:pPr>
      <w:r w:rsidRPr="00B942D9">
        <w:rPr>
          <w:rFonts w:ascii="Arial" w:hAnsi="Arial" w:cs="Arial"/>
          <w:color w:val="002060"/>
          <w:sz w:val="21"/>
          <w:szCs w:val="21"/>
        </w:rPr>
        <w:t xml:space="preserve"> -</w:t>
      </w:r>
      <w:proofErr w:type="gramStart"/>
      <w:r w:rsidRPr="00B942D9">
        <w:rPr>
          <w:rFonts w:ascii="Arial" w:hAnsi="Arial" w:cs="Arial"/>
          <w:color w:val="002060"/>
          <w:sz w:val="21"/>
          <w:szCs w:val="21"/>
        </w:rPr>
        <w:t>4%</w:t>
      </w:r>
      <w:proofErr w:type="gramEnd"/>
      <w:r w:rsidRPr="00B942D9">
        <w:rPr>
          <w:rFonts w:ascii="Arial" w:hAnsi="Arial" w:cs="Arial"/>
          <w:color w:val="002060"/>
          <w:sz w:val="21"/>
          <w:szCs w:val="21"/>
        </w:rPr>
        <w:t xml:space="preserve">.) </w:t>
      </w:r>
    </w:p>
    <w:p w:rsidR="0065395B" w:rsidRPr="0065395B" w:rsidRDefault="0065395B" w:rsidP="0065395B">
      <w:pPr>
        <w:jc w:val="both"/>
        <w:rPr>
          <w:rFonts w:ascii="Arial" w:hAnsi="Arial" w:cs="Arial"/>
          <w:color w:val="002060"/>
          <w:sz w:val="24"/>
        </w:rPr>
      </w:pPr>
      <w:r w:rsidRPr="0065395B">
        <w:rPr>
          <w:rFonts w:ascii="Arial" w:hAnsi="Arial" w:cs="Arial"/>
          <w:color w:val="002060"/>
          <w:sz w:val="24"/>
        </w:rPr>
        <w:t xml:space="preserve"> </w:t>
      </w:r>
    </w:p>
    <w:tbl>
      <w:tblPr>
        <w:tblStyle w:val="TableGrid"/>
        <w:tblW w:w="0" w:type="auto"/>
        <w:tblLook w:val="04A0"/>
      </w:tblPr>
      <w:tblGrid>
        <w:gridCol w:w="1094"/>
        <w:gridCol w:w="788"/>
        <w:gridCol w:w="780"/>
        <w:gridCol w:w="780"/>
        <w:gridCol w:w="779"/>
        <w:gridCol w:w="779"/>
        <w:gridCol w:w="779"/>
        <w:gridCol w:w="779"/>
        <w:gridCol w:w="779"/>
        <w:gridCol w:w="763"/>
        <w:gridCol w:w="763"/>
      </w:tblGrid>
      <w:tr w:rsidR="0065395B" w:rsidRPr="0065395B" w:rsidTr="0065395B">
        <w:tc>
          <w:tcPr>
            <w:tcW w:w="1165" w:type="dxa"/>
          </w:tcPr>
          <w:p w:rsidR="0065395B" w:rsidRPr="0065395B" w:rsidRDefault="0065395B" w:rsidP="0065395B">
            <w:pPr>
              <w:rPr>
                <w:rFonts w:ascii="Arial" w:hAnsi="Arial" w:cs="Arial"/>
                <w:b/>
                <w:color w:val="002060"/>
                <w:sz w:val="18"/>
                <w:szCs w:val="18"/>
              </w:rPr>
            </w:pPr>
          </w:p>
        </w:tc>
        <w:tc>
          <w:tcPr>
            <w:tcW w:w="819" w:type="dxa"/>
          </w:tcPr>
          <w:p w:rsidR="0065395B" w:rsidRPr="0065395B" w:rsidRDefault="0065395B" w:rsidP="0065395B">
            <w:pPr>
              <w:jc w:val="center"/>
              <w:rPr>
                <w:rFonts w:ascii="Arial" w:hAnsi="Arial" w:cs="Arial"/>
                <w:b/>
                <w:color w:val="002060"/>
                <w:sz w:val="20"/>
                <w:szCs w:val="20"/>
              </w:rPr>
            </w:pPr>
            <w:r w:rsidRPr="0065395B">
              <w:rPr>
                <w:rFonts w:ascii="Arial" w:hAnsi="Arial" w:cs="Arial"/>
                <w:b/>
                <w:color w:val="002060"/>
                <w:sz w:val="20"/>
                <w:szCs w:val="20"/>
              </w:rPr>
              <w:t>2015</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2016</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2017</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2018</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2019</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2020</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2021</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2022</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2023</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2024</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1</w:t>
            </w:r>
          </w:p>
        </w:tc>
        <w:tc>
          <w:tcPr>
            <w:tcW w:w="819"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-14.21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-14.23</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-13.97</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-12.56</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-13.54</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-12.26</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-11.72</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-10.41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-9.86</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-9.58</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2</w:t>
            </w:r>
          </w:p>
        </w:tc>
        <w:tc>
          <w:tcPr>
            <w:tcW w:w="819" w:type="dxa"/>
          </w:tcPr>
          <w:p w:rsidR="0065395B" w:rsidRPr="0065395B" w:rsidRDefault="0065395B" w:rsidP="0065395B">
            <w:pPr>
              <w:rPr>
                <w:rFonts w:ascii="Arial" w:hAnsi="Arial" w:cs="Arial"/>
                <w:color w:val="002060"/>
                <w:sz w:val="20"/>
                <w:szCs w:val="20"/>
              </w:rPr>
            </w:pPr>
            <w:r w:rsidRPr="0065395B">
              <w:rPr>
                <w:rFonts w:ascii="Arial" w:hAnsi="Arial" w:cs="Arial"/>
                <w:color w:val="002060"/>
                <w:sz w:val="20"/>
                <w:szCs w:val="20"/>
              </w:rPr>
              <w:t>-14.21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-12.31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-12.04</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-10.64</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-11.59</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-10.33</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-9.78</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-8.49</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-7.94</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-7.66</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3</w:t>
            </w:r>
          </w:p>
        </w:tc>
        <w:tc>
          <w:tcPr>
            <w:tcW w:w="819"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-14.21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-12.31</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-10.05</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-8.66</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-9.58</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-8.33</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-7.78</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-6.50</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-5.95</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-5.67</w:t>
            </w:r>
          </w:p>
        </w:tc>
      </w:tr>
    </w:tbl>
    <w:p w:rsidR="000124D5" w:rsidRDefault="000124D5" w:rsidP="000124D5">
      <w:pPr>
        <w:jc w:val="both"/>
        <w:rPr>
          <w:rFonts w:ascii="Arial" w:hAnsi="Arial" w:cs="Arial"/>
          <w:color w:val="002060"/>
          <w:sz w:val="21"/>
          <w:szCs w:val="21"/>
        </w:rPr>
      </w:pPr>
    </w:p>
    <w:p w:rsidR="00E821F8" w:rsidRDefault="00E821F8" w:rsidP="000124D5">
      <w:pPr>
        <w:jc w:val="both"/>
        <w:rPr>
          <w:rFonts w:ascii="Arial" w:hAnsi="Arial" w:cs="Arial"/>
          <w:color w:val="002060"/>
          <w:sz w:val="21"/>
          <w:szCs w:val="21"/>
        </w:rPr>
      </w:pPr>
    </w:p>
    <w:p w:rsidR="0065395B" w:rsidRPr="00B942D9" w:rsidRDefault="0065395B" w:rsidP="000124D5">
      <w:pPr>
        <w:jc w:val="both"/>
        <w:rPr>
          <w:rFonts w:ascii="Arial" w:hAnsi="Arial" w:cs="Arial"/>
          <w:color w:val="002060"/>
          <w:sz w:val="21"/>
          <w:szCs w:val="21"/>
        </w:rPr>
      </w:pPr>
      <w:r w:rsidRPr="00B942D9">
        <w:rPr>
          <w:rFonts w:ascii="Arial" w:hAnsi="Arial" w:cs="Arial"/>
          <w:color w:val="002060"/>
          <w:sz w:val="21"/>
          <w:szCs w:val="21"/>
        </w:rPr>
        <w:t xml:space="preserve">Similarly the rates and annual charges ratio and the own source operating revenue ratio show an improvement over the 10 year period if the special rate variation is imposed. </w:t>
      </w:r>
    </w:p>
    <w:p w:rsidR="006070B1" w:rsidRPr="0065395B" w:rsidRDefault="006070B1" w:rsidP="0065395B">
      <w:pPr>
        <w:jc w:val="both"/>
        <w:rPr>
          <w:rFonts w:ascii="Arial" w:hAnsi="Arial" w:cs="Arial"/>
          <w:color w:val="002060"/>
          <w:sz w:val="24"/>
        </w:rPr>
      </w:pPr>
    </w:p>
    <w:p w:rsidR="0065395B" w:rsidRDefault="0065395B" w:rsidP="0065395B">
      <w:pPr>
        <w:jc w:val="center"/>
        <w:rPr>
          <w:rFonts w:ascii="Arial" w:hAnsi="Arial" w:cs="Arial"/>
          <w:b/>
          <w:color w:val="002060"/>
          <w:sz w:val="24"/>
        </w:rPr>
      </w:pPr>
      <w:r w:rsidRPr="0065395B">
        <w:rPr>
          <w:rFonts w:ascii="Arial" w:hAnsi="Arial" w:cs="Arial"/>
          <w:b/>
          <w:color w:val="002060"/>
          <w:sz w:val="24"/>
        </w:rPr>
        <w:t>Rates and Annual Charges Ratio</w:t>
      </w:r>
      <w:r w:rsidR="00B45178">
        <w:rPr>
          <w:rFonts w:ascii="Arial" w:hAnsi="Arial" w:cs="Arial"/>
          <w:b/>
          <w:color w:val="002060"/>
          <w:sz w:val="24"/>
        </w:rPr>
        <w:t xml:space="preserve"> </w:t>
      </w:r>
      <w:proofErr w:type="gramStart"/>
      <w:r w:rsidR="00B45178">
        <w:rPr>
          <w:rFonts w:ascii="Arial" w:hAnsi="Arial" w:cs="Arial"/>
          <w:b/>
          <w:color w:val="002060"/>
          <w:sz w:val="24"/>
        </w:rPr>
        <w:t>( %</w:t>
      </w:r>
      <w:proofErr w:type="gramEnd"/>
      <w:r w:rsidR="00B45178">
        <w:rPr>
          <w:rFonts w:ascii="Arial" w:hAnsi="Arial" w:cs="Arial"/>
          <w:b/>
          <w:color w:val="002060"/>
          <w:sz w:val="24"/>
        </w:rPr>
        <w:t xml:space="preserve"> )</w:t>
      </w:r>
    </w:p>
    <w:p w:rsidR="00DD14B7" w:rsidRPr="0065395B" w:rsidRDefault="00DD14B7" w:rsidP="0065395B">
      <w:pPr>
        <w:jc w:val="center"/>
        <w:rPr>
          <w:rFonts w:ascii="Arial" w:hAnsi="Arial" w:cs="Arial"/>
          <w:b/>
          <w:color w:val="002060"/>
          <w:sz w:val="24"/>
        </w:rPr>
      </w:pPr>
    </w:p>
    <w:tbl>
      <w:tblPr>
        <w:tblStyle w:val="TableGrid"/>
        <w:tblW w:w="8755" w:type="dxa"/>
        <w:tblLook w:val="04A0"/>
      </w:tblPr>
      <w:tblGrid>
        <w:gridCol w:w="940"/>
        <w:gridCol w:w="723"/>
        <w:gridCol w:w="722"/>
        <w:gridCol w:w="722"/>
        <w:gridCol w:w="721"/>
        <w:gridCol w:w="721"/>
        <w:gridCol w:w="721"/>
        <w:gridCol w:w="721"/>
        <w:gridCol w:w="721"/>
        <w:gridCol w:w="721"/>
        <w:gridCol w:w="1322"/>
      </w:tblGrid>
      <w:tr w:rsidR="0065395B" w:rsidRPr="0065395B" w:rsidTr="002039BE">
        <w:tc>
          <w:tcPr>
            <w:tcW w:w="940" w:type="dxa"/>
          </w:tcPr>
          <w:p w:rsidR="0065395B" w:rsidRPr="0065395B" w:rsidRDefault="0065395B" w:rsidP="0065395B">
            <w:pPr>
              <w:rPr>
                <w:rFonts w:ascii="Arial" w:hAnsi="Arial" w:cs="Arial"/>
                <w:b/>
                <w:color w:val="002060"/>
                <w:sz w:val="18"/>
                <w:szCs w:val="18"/>
              </w:rPr>
            </w:pPr>
          </w:p>
        </w:tc>
        <w:tc>
          <w:tcPr>
            <w:tcW w:w="723" w:type="dxa"/>
          </w:tcPr>
          <w:p w:rsidR="0065395B" w:rsidRPr="0065395B" w:rsidRDefault="0065395B" w:rsidP="0065395B">
            <w:pPr>
              <w:jc w:val="center"/>
              <w:rPr>
                <w:rFonts w:ascii="Arial" w:hAnsi="Arial" w:cs="Arial"/>
                <w:b/>
                <w:color w:val="002060"/>
                <w:sz w:val="20"/>
                <w:szCs w:val="20"/>
              </w:rPr>
            </w:pPr>
            <w:r w:rsidRPr="0065395B">
              <w:rPr>
                <w:rFonts w:ascii="Arial" w:hAnsi="Arial" w:cs="Arial"/>
                <w:b/>
                <w:color w:val="002060"/>
                <w:sz w:val="20"/>
                <w:szCs w:val="20"/>
              </w:rPr>
              <w:t>2015</w:t>
            </w:r>
          </w:p>
        </w:tc>
        <w:tc>
          <w:tcPr>
            <w:tcW w:w="722"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2016</w:t>
            </w:r>
          </w:p>
        </w:tc>
        <w:tc>
          <w:tcPr>
            <w:tcW w:w="722"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2017</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2018</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2019</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2020</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2021</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2022</w:t>
            </w:r>
          </w:p>
        </w:tc>
        <w:tc>
          <w:tcPr>
            <w:tcW w:w="721"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2023</w:t>
            </w:r>
          </w:p>
        </w:tc>
        <w:tc>
          <w:tcPr>
            <w:tcW w:w="1322"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2024</w:t>
            </w:r>
          </w:p>
        </w:tc>
      </w:tr>
      <w:tr w:rsidR="0065395B" w:rsidRPr="0065395B" w:rsidTr="002039BE">
        <w:tc>
          <w:tcPr>
            <w:tcW w:w="940"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1</w:t>
            </w:r>
          </w:p>
        </w:tc>
        <w:tc>
          <w:tcPr>
            <w:tcW w:w="723"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25.87</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26.34</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26.58</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26.71</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26.91</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27.01</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27.18</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27.27</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27.43</w:t>
            </w:r>
          </w:p>
        </w:tc>
        <w:tc>
          <w:tcPr>
            <w:tcW w:w="13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27.53</w:t>
            </w:r>
          </w:p>
        </w:tc>
      </w:tr>
      <w:tr w:rsidR="0065395B" w:rsidRPr="0065395B" w:rsidTr="002039BE">
        <w:tc>
          <w:tcPr>
            <w:tcW w:w="940"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2</w:t>
            </w:r>
          </w:p>
        </w:tc>
        <w:tc>
          <w:tcPr>
            <w:tcW w:w="723" w:type="dxa"/>
          </w:tcPr>
          <w:p w:rsidR="0065395B" w:rsidRPr="0065395B" w:rsidRDefault="00351E17" w:rsidP="00351E17">
            <w:pPr>
              <w:rPr>
                <w:rFonts w:ascii="Arial" w:hAnsi="Arial" w:cs="Arial"/>
                <w:color w:val="002060"/>
                <w:sz w:val="20"/>
                <w:szCs w:val="20"/>
              </w:rPr>
            </w:pPr>
            <w:r>
              <w:rPr>
                <w:rFonts w:ascii="Arial" w:hAnsi="Arial" w:cs="Arial"/>
                <w:color w:val="002060"/>
                <w:sz w:val="20"/>
                <w:szCs w:val="20"/>
              </w:rPr>
              <w:t>2</w:t>
            </w:r>
            <w:r w:rsidR="0065395B" w:rsidRPr="0065395B">
              <w:rPr>
                <w:rFonts w:ascii="Arial" w:hAnsi="Arial" w:cs="Arial"/>
                <w:color w:val="002060"/>
                <w:sz w:val="20"/>
                <w:szCs w:val="20"/>
              </w:rPr>
              <w:t>5.87</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27.57</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27.82</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27.95</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28.17</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28.27</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28.45</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28.54</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28.70</w:t>
            </w:r>
          </w:p>
        </w:tc>
        <w:tc>
          <w:tcPr>
            <w:tcW w:w="13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28.81</w:t>
            </w:r>
          </w:p>
        </w:tc>
      </w:tr>
      <w:tr w:rsidR="0065395B" w:rsidRPr="0065395B" w:rsidTr="002039BE">
        <w:tc>
          <w:tcPr>
            <w:tcW w:w="940"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3</w:t>
            </w:r>
          </w:p>
        </w:tc>
        <w:tc>
          <w:tcPr>
            <w:tcW w:w="723"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25.87</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27.56</w:t>
            </w:r>
          </w:p>
        </w:tc>
        <w:tc>
          <w:tcPr>
            <w:tcW w:w="7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29.11</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29.23</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29.45</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29.54</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29.74</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29.82</w:t>
            </w:r>
          </w:p>
        </w:tc>
        <w:tc>
          <w:tcPr>
            <w:tcW w:w="721"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30.00</w:t>
            </w:r>
          </w:p>
        </w:tc>
        <w:tc>
          <w:tcPr>
            <w:tcW w:w="1322"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30.09</w:t>
            </w:r>
          </w:p>
        </w:tc>
      </w:tr>
    </w:tbl>
    <w:p w:rsidR="00AF6FBA" w:rsidRDefault="00AF6FBA" w:rsidP="0065395B">
      <w:pPr>
        <w:jc w:val="center"/>
        <w:rPr>
          <w:rFonts w:ascii="Arial" w:hAnsi="Arial" w:cs="Arial"/>
          <w:b/>
          <w:color w:val="002060"/>
          <w:sz w:val="24"/>
        </w:rPr>
      </w:pPr>
    </w:p>
    <w:p w:rsidR="0065395B" w:rsidRDefault="0065395B" w:rsidP="0065395B">
      <w:pPr>
        <w:jc w:val="center"/>
        <w:rPr>
          <w:rFonts w:ascii="Arial" w:hAnsi="Arial" w:cs="Arial"/>
          <w:b/>
          <w:color w:val="002060"/>
          <w:sz w:val="20"/>
          <w:szCs w:val="20"/>
        </w:rPr>
      </w:pPr>
      <w:r w:rsidRPr="0065395B">
        <w:rPr>
          <w:rFonts w:ascii="Arial" w:hAnsi="Arial" w:cs="Arial"/>
          <w:b/>
          <w:color w:val="002060"/>
          <w:sz w:val="24"/>
        </w:rPr>
        <w:t xml:space="preserve">Own Source Operating Revenue </w:t>
      </w:r>
      <w:proofErr w:type="gramStart"/>
      <w:r w:rsidR="00B45178">
        <w:rPr>
          <w:rFonts w:ascii="Arial" w:hAnsi="Arial" w:cs="Arial"/>
          <w:b/>
          <w:color w:val="002060"/>
          <w:sz w:val="20"/>
          <w:szCs w:val="20"/>
        </w:rPr>
        <w:t>( %</w:t>
      </w:r>
      <w:proofErr w:type="gramEnd"/>
      <w:r w:rsidR="00B45178">
        <w:rPr>
          <w:rFonts w:ascii="Arial" w:hAnsi="Arial" w:cs="Arial"/>
          <w:b/>
          <w:color w:val="002060"/>
          <w:sz w:val="20"/>
          <w:szCs w:val="20"/>
        </w:rPr>
        <w:t xml:space="preserve"> )</w:t>
      </w:r>
    </w:p>
    <w:p w:rsidR="00DD14B7" w:rsidRPr="00B45178" w:rsidRDefault="00DD14B7" w:rsidP="0065395B">
      <w:pPr>
        <w:jc w:val="center"/>
        <w:rPr>
          <w:rFonts w:ascii="Arial" w:hAnsi="Arial" w:cs="Arial"/>
          <w:b/>
          <w:color w:val="002060"/>
          <w:sz w:val="24"/>
        </w:rPr>
      </w:pPr>
    </w:p>
    <w:tbl>
      <w:tblPr>
        <w:tblStyle w:val="TableGrid"/>
        <w:tblW w:w="0" w:type="auto"/>
        <w:tblLook w:val="04A0"/>
      </w:tblPr>
      <w:tblGrid>
        <w:gridCol w:w="1085"/>
        <w:gridCol w:w="785"/>
        <w:gridCol w:w="777"/>
        <w:gridCol w:w="777"/>
        <w:gridCol w:w="777"/>
        <w:gridCol w:w="777"/>
        <w:gridCol w:w="777"/>
        <w:gridCol w:w="777"/>
        <w:gridCol w:w="777"/>
        <w:gridCol w:w="777"/>
        <w:gridCol w:w="777"/>
      </w:tblGrid>
      <w:tr w:rsidR="0065395B" w:rsidRPr="0065395B" w:rsidTr="0065395B">
        <w:tc>
          <w:tcPr>
            <w:tcW w:w="1165" w:type="dxa"/>
          </w:tcPr>
          <w:p w:rsidR="0065395B" w:rsidRPr="0065395B" w:rsidRDefault="0065395B" w:rsidP="0065395B">
            <w:pPr>
              <w:rPr>
                <w:rFonts w:ascii="Arial" w:hAnsi="Arial" w:cs="Arial"/>
                <w:b/>
                <w:color w:val="002060"/>
                <w:sz w:val="18"/>
                <w:szCs w:val="18"/>
              </w:rPr>
            </w:pPr>
          </w:p>
        </w:tc>
        <w:tc>
          <w:tcPr>
            <w:tcW w:w="819" w:type="dxa"/>
          </w:tcPr>
          <w:p w:rsidR="0065395B" w:rsidRPr="0065395B" w:rsidRDefault="0065395B" w:rsidP="0065395B">
            <w:pPr>
              <w:jc w:val="center"/>
              <w:rPr>
                <w:rFonts w:ascii="Arial" w:hAnsi="Arial" w:cs="Arial"/>
                <w:b/>
                <w:color w:val="002060"/>
                <w:sz w:val="20"/>
                <w:szCs w:val="20"/>
              </w:rPr>
            </w:pPr>
            <w:r w:rsidRPr="0065395B">
              <w:rPr>
                <w:rFonts w:ascii="Arial" w:hAnsi="Arial" w:cs="Arial"/>
                <w:b/>
                <w:color w:val="002060"/>
                <w:sz w:val="20"/>
                <w:szCs w:val="20"/>
              </w:rPr>
              <w:t>2015</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2016</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2017</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2018</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2019</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2020</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2021</w:t>
            </w:r>
          </w:p>
        </w:tc>
        <w:tc>
          <w:tcPr>
            <w:tcW w:w="806"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2022</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2023</w:t>
            </w:r>
          </w:p>
        </w:tc>
        <w:tc>
          <w:tcPr>
            <w:tcW w:w="807" w:type="dxa"/>
          </w:tcPr>
          <w:p w:rsidR="0065395B" w:rsidRPr="0065395B" w:rsidRDefault="0065395B" w:rsidP="0065395B">
            <w:pPr>
              <w:jc w:val="center"/>
              <w:rPr>
                <w:b/>
                <w:color w:val="002060"/>
                <w:sz w:val="20"/>
                <w:szCs w:val="20"/>
              </w:rPr>
            </w:pPr>
            <w:r w:rsidRPr="0065395B">
              <w:rPr>
                <w:rFonts w:ascii="Arial" w:hAnsi="Arial" w:cs="Arial"/>
                <w:b/>
                <w:color w:val="002060"/>
                <w:sz w:val="20"/>
                <w:szCs w:val="20"/>
              </w:rPr>
              <w:t>2024</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1</w:t>
            </w:r>
          </w:p>
        </w:tc>
        <w:tc>
          <w:tcPr>
            <w:tcW w:w="819"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44.78</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49.99</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50.04</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50.11</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49.95</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49.87</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49.73</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49.70</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49.55</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49.49</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2</w:t>
            </w:r>
          </w:p>
        </w:tc>
        <w:tc>
          <w:tcPr>
            <w:tcW w:w="819" w:type="dxa"/>
          </w:tcPr>
          <w:p w:rsidR="0065395B" w:rsidRPr="0065395B" w:rsidRDefault="0065395B" w:rsidP="0065395B">
            <w:pPr>
              <w:rPr>
                <w:rFonts w:ascii="Arial" w:hAnsi="Arial" w:cs="Arial"/>
                <w:color w:val="002060"/>
                <w:sz w:val="20"/>
                <w:szCs w:val="20"/>
              </w:rPr>
            </w:pPr>
            <w:r w:rsidRPr="0065395B">
              <w:rPr>
                <w:rFonts w:ascii="Arial" w:hAnsi="Arial" w:cs="Arial"/>
                <w:color w:val="002060"/>
                <w:sz w:val="20"/>
                <w:szCs w:val="20"/>
              </w:rPr>
              <w:t>44.78</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50.74</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50.80</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50.88</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50.73</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50.65</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50.52</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50.49</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50.36</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50.30</w:t>
            </w:r>
          </w:p>
        </w:tc>
      </w:tr>
      <w:tr w:rsidR="0065395B" w:rsidRPr="0065395B" w:rsidTr="0065395B">
        <w:tc>
          <w:tcPr>
            <w:tcW w:w="1165" w:type="dxa"/>
          </w:tcPr>
          <w:p w:rsidR="0065395B" w:rsidRPr="0065395B" w:rsidRDefault="0065395B" w:rsidP="0065395B">
            <w:pPr>
              <w:jc w:val="center"/>
              <w:rPr>
                <w:rFonts w:ascii="Arial" w:hAnsi="Arial" w:cs="Arial"/>
                <w:color w:val="002060"/>
                <w:sz w:val="18"/>
                <w:szCs w:val="18"/>
              </w:rPr>
            </w:pPr>
            <w:r w:rsidRPr="0065395B">
              <w:rPr>
                <w:rFonts w:ascii="Arial" w:hAnsi="Arial" w:cs="Arial"/>
                <w:color w:val="002060"/>
                <w:sz w:val="18"/>
                <w:szCs w:val="18"/>
              </w:rPr>
              <w:t>Scenario 3</w:t>
            </w:r>
          </w:p>
        </w:tc>
        <w:tc>
          <w:tcPr>
            <w:tcW w:w="819"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44.78</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50.72</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51.59</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51.66</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51.51</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51.42</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51.32</w:t>
            </w:r>
          </w:p>
        </w:tc>
        <w:tc>
          <w:tcPr>
            <w:tcW w:w="806"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51.28</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51.17</w:t>
            </w:r>
          </w:p>
        </w:tc>
        <w:tc>
          <w:tcPr>
            <w:tcW w:w="807" w:type="dxa"/>
          </w:tcPr>
          <w:p w:rsidR="0065395B" w:rsidRPr="0065395B" w:rsidRDefault="0065395B" w:rsidP="0065395B">
            <w:pPr>
              <w:jc w:val="center"/>
              <w:rPr>
                <w:rFonts w:ascii="Arial" w:hAnsi="Arial" w:cs="Arial"/>
                <w:color w:val="002060"/>
                <w:sz w:val="20"/>
                <w:szCs w:val="20"/>
              </w:rPr>
            </w:pPr>
            <w:r w:rsidRPr="0065395B">
              <w:rPr>
                <w:rFonts w:ascii="Arial" w:hAnsi="Arial" w:cs="Arial"/>
                <w:color w:val="002060"/>
                <w:sz w:val="20"/>
                <w:szCs w:val="20"/>
              </w:rPr>
              <w:t>51.10</w:t>
            </w:r>
          </w:p>
        </w:tc>
      </w:tr>
    </w:tbl>
    <w:p w:rsidR="0065395B" w:rsidRPr="0065395B" w:rsidRDefault="0065395B" w:rsidP="0065395B">
      <w:pPr>
        <w:jc w:val="both"/>
        <w:rPr>
          <w:rFonts w:ascii="Arial" w:hAnsi="Arial" w:cs="Arial"/>
          <w:color w:val="002060"/>
          <w:sz w:val="24"/>
        </w:rPr>
      </w:pPr>
    </w:p>
    <w:p w:rsidR="002039BE" w:rsidRDefault="002039BE" w:rsidP="002039BE">
      <w:pPr>
        <w:ind w:right="-567"/>
        <w:jc w:val="both"/>
        <w:rPr>
          <w:rFonts w:ascii="Arial" w:hAnsi="Arial" w:cs="Arial"/>
          <w:color w:val="002060"/>
          <w:sz w:val="21"/>
          <w:szCs w:val="21"/>
        </w:rPr>
      </w:pPr>
    </w:p>
    <w:p w:rsidR="0065395B" w:rsidRDefault="0065395B" w:rsidP="00C1555C">
      <w:pPr>
        <w:ind w:right="-567"/>
        <w:jc w:val="both"/>
        <w:rPr>
          <w:rFonts w:ascii="Arial" w:hAnsi="Arial" w:cs="Arial"/>
          <w:color w:val="002060"/>
          <w:sz w:val="21"/>
          <w:szCs w:val="21"/>
        </w:rPr>
      </w:pPr>
      <w:r w:rsidRPr="00B942D9">
        <w:rPr>
          <w:rFonts w:ascii="Arial" w:hAnsi="Arial" w:cs="Arial"/>
          <w:color w:val="002060"/>
          <w:sz w:val="21"/>
          <w:szCs w:val="21"/>
        </w:rPr>
        <w:t xml:space="preserve">Importantly, the proposed special rate variation allows for increased funds being made available for asset renewal.  When reviewing the </w:t>
      </w:r>
      <w:r w:rsidR="00B942D9" w:rsidRPr="00B942D9">
        <w:rPr>
          <w:rFonts w:ascii="Arial" w:hAnsi="Arial" w:cs="Arial"/>
          <w:color w:val="002060"/>
          <w:sz w:val="21"/>
          <w:szCs w:val="21"/>
        </w:rPr>
        <w:t>Asset Renewal R</w:t>
      </w:r>
      <w:r w:rsidRPr="00B942D9">
        <w:rPr>
          <w:rFonts w:ascii="Arial" w:hAnsi="Arial" w:cs="Arial"/>
          <w:color w:val="002060"/>
          <w:sz w:val="21"/>
          <w:szCs w:val="21"/>
        </w:rPr>
        <w:t>atio, the proportion spent on infrastructure asset renewal as compared to the assets deterioration (depreciation), indicates improvement over 10 years allowing</w:t>
      </w:r>
      <w:r w:rsidR="006070B1" w:rsidRPr="00B942D9">
        <w:rPr>
          <w:rFonts w:ascii="Arial" w:hAnsi="Arial" w:cs="Arial"/>
          <w:color w:val="002060"/>
          <w:sz w:val="21"/>
          <w:szCs w:val="21"/>
        </w:rPr>
        <w:t xml:space="preserve"> for the return to the community’s</w:t>
      </w:r>
      <w:r w:rsidR="005E136A">
        <w:rPr>
          <w:rFonts w:ascii="Arial" w:hAnsi="Arial" w:cs="Arial"/>
          <w:color w:val="002060"/>
          <w:sz w:val="21"/>
          <w:szCs w:val="21"/>
        </w:rPr>
        <w:t xml:space="preserve"> </w:t>
      </w:r>
      <w:proofErr w:type="gramStart"/>
      <w:r w:rsidR="005E136A">
        <w:rPr>
          <w:rFonts w:ascii="Arial" w:hAnsi="Arial" w:cs="Arial"/>
          <w:color w:val="002060"/>
          <w:sz w:val="21"/>
          <w:szCs w:val="21"/>
        </w:rPr>
        <w:t xml:space="preserve">expected </w:t>
      </w:r>
      <w:r w:rsidRPr="00B942D9">
        <w:rPr>
          <w:rFonts w:ascii="Arial" w:hAnsi="Arial" w:cs="Arial"/>
          <w:color w:val="002060"/>
          <w:sz w:val="21"/>
          <w:szCs w:val="21"/>
        </w:rPr>
        <w:t xml:space="preserve"> maintenance</w:t>
      </w:r>
      <w:proofErr w:type="gramEnd"/>
      <w:r w:rsidRPr="00B942D9">
        <w:rPr>
          <w:rFonts w:ascii="Arial" w:hAnsi="Arial" w:cs="Arial"/>
          <w:color w:val="002060"/>
          <w:sz w:val="21"/>
          <w:szCs w:val="21"/>
        </w:rPr>
        <w:t xml:space="preserve"> levels. </w:t>
      </w:r>
    </w:p>
    <w:p w:rsidR="00C1555C" w:rsidRPr="00B942D9" w:rsidRDefault="00C1555C" w:rsidP="00C1555C">
      <w:pPr>
        <w:ind w:right="-567"/>
        <w:jc w:val="both"/>
        <w:rPr>
          <w:rFonts w:ascii="Arial" w:hAnsi="Arial" w:cs="Arial"/>
          <w:color w:val="002060"/>
          <w:sz w:val="21"/>
          <w:szCs w:val="21"/>
        </w:rPr>
      </w:pPr>
    </w:p>
    <w:p w:rsidR="0065395B" w:rsidRDefault="0065395B" w:rsidP="002039BE">
      <w:pPr>
        <w:ind w:firstLine="426"/>
        <w:jc w:val="center"/>
        <w:rPr>
          <w:rFonts w:ascii="Arial" w:hAnsi="Arial" w:cs="Arial"/>
          <w:color w:val="002060"/>
          <w:sz w:val="20"/>
          <w:szCs w:val="20"/>
        </w:rPr>
      </w:pPr>
      <w:r w:rsidRPr="0065395B">
        <w:rPr>
          <w:rFonts w:ascii="Arial" w:hAnsi="Arial" w:cs="Arial"/>
          <w:b/>
          <w:color w:val="002060"/>
          <w:sz w:val="24"/>
        </w:rPr>
        <w:t xml:space="preserve">Asset Renewal Ratio </w:t>
      </w:r>
      <w:r w:rsidRPr="0065395B">
        <w:rPr>
          <w:rFonts w:ascii="Arial" w:hAnsi="Arial" w:cs="Arial"/>
          <w:color w:val="002060"/>
          <w:sz w:val="20"/>
          <w:szCs w:val="20"/>
        </w:rPr>
        <w:t>(Bench mark = &gt;1)</w:t>
      </w:r>
    </w:p>
    <w:p w:rsidR="002039BE" w:rsidRDefault="002039BE" w:rsidP="002039BE">
      <w:pPr>
        <w:ind w:firstLine="426"/>
        <w:jc w:val="center"/>
        <w:rPr>
          <w:rFonts w:ascii="Arial" w:hAnsi="Arial" w:cs="Arial"/>
          <w:color w:val="002060"/>
          <w:sz w:val="20"/>
          <w:szCs w:val="20"/>
        </w:rPr>
      </w:pPr>
    </w:p>
    <w:tbl>
      <w:tblPr>
        <w:tblStyle w:val="TableGrid"/>
        <w:tblW w:w="0" w:type="auto"/>
        <w:tblLook w:val="04A0"/>
      </w:tblPr>
      <w:tblGrid>
        <w:gridCol w:w="951"/>
        <w:gridCol w:w="777"/>
        <w:gridCol w:w="776"/>
        <w:gridCol w:w="777"/>
        <w:gridCol w:w="777"/>
        <w:gridCol w:w="777"/>
        <w:gridCol w:w="777"/>
        <w:gridCol w:w="777"/>
        <w:gridCol w:w="777"/>
        <w:gridCol w:w="777"/>
        <w:gridCol w:w="777"/>
      </w:tblGrid>
      <w:tr w:rsidR="002039BE" w:rsidRPr="0065395B" w:rsidTr="00E821F8">
        <w:tc>
          <w:tcPr>
            <w:tcW w:w="951" w:type="dxa"/>
          </w:tcPr>
          <w:p w:rsidR="002039BE" w:rsidRPr="0065395B" w:rsidRDefault="002039BE" w:rsidP="00E821F8">
            <w:pPr>
              <w:rPr>
                <w:rFonts w:ascii="Arial" w:hAnsi="Arial" w:cs="Arial"/>
                <w:b/>
                <w:color w:val="002060"/>
                <w:sz w:val="18"/>
                <w:szCs w:val="18"/>
              </w:rPr>
            </w:pPr>
          </w:p>
        </w:tc>
        <w:tc>
          <w:tcPr>
            <w:tcW w:w="777" w:type="dxa"/>
          </w:tcPr>
          <w:p w:rsidR="002039BE" w:rsidRPr="0065395B" w:rsidRDefault="002039BE" w:rsidP="00E821F8">
            <w:pPr>
              <w:jc w:val="center"/>
              <w:rPr>
                <w:rFonts w:ascii="Arial" w:hAnsi="Arial" w:cs="Arial"/>
                <w:b/>
                <w:color w:val="002060"/>
                <w:sz w:val="20"/>
                <w:szCs w:val="20"/>
              </w:rPr>
            </w:pPr>
            <w:r w:rsidRPr="0065395B">
              <w:rPr>
                <w:rFonts w:ascii="Arial" w:hAnsi="Arial" w:cs="Arial"/>
                <w:b/>
                <w:color w:val="002060"/>
                <w:sz w:val="20"/>
                <w:szCs w:val="20"/>
              </w:rPr>
              <w:t>2015</w:t>
            </w:r>
          </w:p>
        </w:tc>
        <w:tc>
          <w:tcPr>
            <w:tcW w:w="776"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2016</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2017</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2018</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2019</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2020</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2021</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2022</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2023</w:t>
            </w:r>
          </w:p>
        </w:tc>
        <w:tc>
          <w:tcPr>
            <w:tcW w:w="777" w:type="dxa"/>
          </w:tcPr>
          <w:p w:rsidR="002039BE" w:rsidRPr="0065395B" w:rsidRDefault="002039BE" w:rsidP="00E821F8">
            <w:pPr>
              <w:jc w:val="center"/>
              <w:rPr>
                <w:b/>
                <w:color w:val="002060"/>
                <w:sz w:val="20"/>
                <w:szCs w:val="20"/>
              </w:rPr>
            </w:pPr>
            <w:r w:rsidRPr="0065395B">
              <w:rPr>
                <w:rFonts w:ascii="Arial" w:hAnsi="Arial" w:cs="Arial"/>
                <w:b/>
                <w:color w:val="002060"/>
                <w:sz w:val="20"/>
                <w:szCs w:val="20"/>
              </w:rPr>
              <w:t>2024</w:t>
            </w:r>
          </w:p>
        </w:tc>
      </w:tr>
      <w:tr w:rsidR="002039BE" w:rsidRPr="0065395B" w:rsidTr="00E821F8">
        <w:tc>
          <w:tcPr>
            <w:tcW w:w="951" w:type="dxa"/>
          </w:tcPr>
          <w:p w:rsidR="002039BE" w:rsidRPr="0065395B" w:rsidRDefault="002039BE" w:rsidP="00E821F8">
            <w:pPr>
              <w:jc w:val="center"/>
              <w:rPr>
                <w:rFonts w:ascii="Arial" w:hAnsi="Arial" w:cs="Arial"/>
                <w:color w:val="002060"/>
                <w:sz w:val="18"/>
                <w:szCs w:val="18"/>
              </w:rPr>
            </w:pPr>
            <w:r w:rsidRPr="0065395B">
              <w:rPr>
                <w:rFonts w:ascii="Arial" w:hAnsi="Arial" w:cs="Arial"/>
                <w:color w:val="002060"/>
                <w:sz w:val="18"/>
                <w:szCs w:val="18"/>
              </w:rPr>
              <w:t>Scenario 3</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1.39:1</w:t>
            </w:r>
          </w:p>
        </w:tc>
        <w:tc>
          <w:tcPr>
            <w:tcW w:w="776"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1.11:1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1.07:1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1.18:1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1.09:1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1.08:1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1.13:1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1.14:1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1.23:1</w:t>
            </w:r>
          </w:p>
        </w:tc>
        <w:tc>
          <w:tcPr>
            <w:tcW w:w="777" w:type="dxa"/>
          </w:tcPr>
          <w:p w:rsidR="002039BE" w:rsidRPr="0065395B" w:rsidRDefault="002039BE" w:rsidP="00E821F8">
            <w:pPr>
              <w:jc w:val="center"/>
              <w:rPr>
                <w:rFonts w:ascii="Arial" w:hAnsi="Arial" w:cs="Arial"/>
                <w:color w:val="002060"/>
                <w:sz w:val="20"/>
                <w:szCs w:val="20"/>
              </w:rPr>
            </w:pPr>
            <w:r w:rsidRPr="0065395B">
              <w:rPr>
                <w:rFonts w:ascii="Arial" w:hAnsi="Arial" w:cs="Arial"/>
                <w:color w:val="002060"/>
                <w:sz w:val="20"/>
                <w:szCs w:val="20"/>
              </w:rPr>
              <w:t>1.23:1</w:t>
            </w:r>
          </w:p>
        </w:tc>
      </w:tr>
    </w:tbl>
    <w:p w:rsidR="00E821F8" w:rsidRDefault="00E821F8" w:rsidP="002039BE">
      <w:pPr>
        <w:ind w:firstLine="426"/>
        <w:jc w:val="center"/>
        <w:rPr>
          <w:rFonts w:ascii="Arial" w:hAnsi="Arial" w:cs="Arial"/>
          <w:color w:val="002060"/>
          <w:sz w:val="21"/>
          <w:szCs w:val="21"/>
        </w:rPr>
      </w:pPr>
    </w:p>
    <w:p w:rsidR="002039BE" w:rsidRDefault="00E821F8" w:rsidP="00E821F8">
      <w:pPr>
        <w:rPr>
          <w:rFonts w:ascii="Arial" w:hAnsi="Arial" w:cs="Arial"/>
          <w:color w:val="002060"/>
          <w:sz w:val="21"/>
          <w:szCs w:val="21"/>
        </w:rPr>
      </w:pPr>
      <w:r w:rsidRPr="007C55F5">
        <w:rPr>
          <w:rFonts w:ascii="Arial" w:hAnsi="Arial" w:cs="Arial"/>
          <w:color w:val="002060"/>
          <w:sz w:val="21"/>
          <w:szCs w:val="21"/>
          <w:u w:val="single"/>
        </w:rPr>
        <w:t>Please note</w:t>
      </w:r>
      <w:r w:rsidR="007C55F5">
        <w:rPr>
          <w:rFonts w:ascii="Arial" w:hAnsi="Arial" w:cs="Arial"/>
          <w:color w:val="002060"/>
          <w:sz w:val="21"/>
          <w:szCs w:val="21"/>
        </w:rPr>
        <w:t xml:space="preserve">:  </w:t>
      </w:r>
      <w:r w:rsidRPr="00B942D9">
        <w:rPr>
          <w:rFonts w:ascii="Arial" w:hAnsi="Arial" w:cs="Arial"/>
          <w:color w:val="002060"/>
          <w:sz w:val="21"/>
          <w:szCs w:val="21"/>
        </w:rPr>
        <w:t xml:space="preserve"> 2015 Ratio includes one off restoration co</w:t>
      </w:r>
      <w:r w:rsidR="007C55F5">
        <w:rPr>
          <w:rFonts w:ascii="Arial" w:hAnsi="Arial" w:cs="Arial"/>
          <w:color w:val="002060"/>
          <w:sz w:val="21"/>
          <w:szCs w:val="21"/>
        </w:rPr>
        <w:t>st of swimming pool of $900,000 (fully funded by external grants),</w:t>
      </w:r>
    </w:p>
    <w:p w:rsidR="004B58E6" w:rsidRPr="000124D5" w:rsidRDefault="004B58E6" w:rsidP="000124D5">
      <w:pPr>
        <w:pStyle w:val="Heading2"/>
      </w:pPr>
      <w:bookmarkStart w:id="23" w:name="_Toc411847912"/>
      <w:r w:rsidRPr="000124D5">
        <w:t>Contribution plan costs above the cap</w:t>
      </w:r>
      <w:bookmarkEnd w:id="23"/>
    </w:p>
    <w:p w:rsidR="004B58E6" w:rsidRPr="008B1F5A" w:rsidRDefault="008B1F5A" w:rsidP="00DD14B7">
      <w:pPr>
        <w:pStyle w:val="BodyText"/>
        <w:ind w:right="-568"/>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DD14B7">
      <w:pPr>
        <w:pStyle w:val="BodyText"/>
        <w:ind w:right="-568"/>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D14B7">
      <w:pPr>
        <w:pStyle w:val="BoxText"/>
        <w:ind w:right="-568"/>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D14B7">
      <w:pPr>
        <w:pStyle w:val="ListBullet"/>
        <w:tabs>
          <w:tab w:val="clear" w:pos="284"/>
          <w:tab w:val="num" w:pos="0"/>
        </w:tabs>
        <w:ind w:left="0" w:right="-568" w:firstLine="0"/>
      </w:pPr>
      <w:r w:rsidRPr="00BD468D">
        <w:t>a copy of the council’s section 94 contributions plan</w:t>
      </w:r>
    </w:p>
    <w:p w:rsidR="00D77B17" w:rsidRPr="008B1F5A" w:rsidRDefault="00D77B17" w:rsidP="00DD14B7">
      <w:pPr>
        <w:pStyle w:val="ListBullet"/>
        <w:tabs>
          <w:tab w:val="clear" w:pos="284"/>
          <w:tab w:val="num" w:pos="0"/>
        </w:tabs>
        <w:ind w:left="0" w:right="-568" w:firstLine="0"/>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D14B7">
      <w:pPr>
        <w:pStyle w:val="ListBullet"/>
        <w:tabs>
          <w:tab w:val="clear" w:pos="284"/>
        </w:tabs>
        <w:ind w:left="0" w:right="-568" w:firstLine="0"/>
      </w:pPr>
      <w:r w:rsidRPr="008B1F5A">
        <w:t>details of any other funding sources that the council is proposing to use</w:t>
      </w:r>
    </w:p>
    <w:p w:rsidR="00D77B17" w:rsidRDefault="00D77B17" w:rsidP="00DD14B7">
      <w:pPr>
        <w:pStyle w:val="ListBullet"/>
        <w:tabs>
          <w:tab w:val="clear" w:pos="284"/>
          <w:tab w:val="num" w:pos="0"/>
        </w:tabs>
        <w:ind w:left="0" w:right="-568" w:firstLine="0"/>
      </w:pPr>
      <w:proofErr w:type="gramStart"/>
      <w:r w:rsidRPr="008B1F5A">
        <w:t>any</w:t>
      </w:r>
      <w:proofErr w:type="gramEnd"/>
      <w:r w:rsidRPr="008B1F5A">
        <w:t xml:space="preserve"> reference to the proposed contributions (which were previously to be funded by developers) in the council’s planning documents (eg, LTFP and Asset Management Plan (AMP)</w:t>
      </w:r>
      <w:r w:rsidR="00BF47D1" w:rsidRPr="008B1F5A">
        <w:t>.</w:t>
      </w:r>
    </w:p>
    <w:p w:rsidR="0065395B" w:rsidRDefault="0065395B" w:rsidP="000124D5">
      <w:pPr>
        <w:pStyle w:val="ListBullet"/>
        <w:numPr>
          <w:ilvl w:val="0"/>
          <w:numId w:val="0"/>
        </w:numPr>
        <w:ind w:right="-567"/>
        <w:rPr>
          <w:rFonts w:ascii="Arial" w:hAnsi="Arial" w:cs="Arial"/>
          <w:color w:val="002060"/>
          <w:sz w:val="21"/>
        </w:rPr>
      </w:pPr>
      <w:r w:rsidRPr="00B942D9">
        <w:rPr>
          <w:rFonts w:ascii="Arial" w:hAnsi="Arial" w:cs="Arial"/>
          <w:color w:val="002060"/>
          <w:sz w:val="21"/>
        </w:rPr>
        <w:t xml:space="preserve">Jerilderie Shire Council does not </w:t>
      </w:r>
      <w:r w:rsidR="006070B1" w:rsidRPr="00B942D9">
        <w:rPr>
          <w:rFonts w:ascii="Arial" w:hAnsi="Arial" w:cs="Arial"/>
          <w:color w:val="002060"/>
          <w:sz w:val="21"/>
        </w:rPr>
        <w:t>have a Section 94 Contribution P</w:t>
      </w:r>
      <w:r w:rsidRPr="00B942D9">
        <w:rPr>
          <w:rFonts w:ascii="Arial" w:hAnsi="Arial" w:cs="Arial"/>
          <w:color w:val="002060"/>
          <w:sz w:val="21"/>
        </w:rPr>
        <w:t xml:space="preserve">lan as there is </w:t>
      </w:r>
      <w:r w:rsidR="00B942D9" w:rsidRPr="00B942D9">
        <w:rPr>
          <w:rFonts w:ascii="Arial" w:hAnsi="Arial" w:cs="Arial"/>
          <w:color w:val="002060"/>
          <w:sz w:val="21"/>
        </w:rPr>
        <w:t xml:space="preserve">minimal </w:t>
      </w:r>
      <w:r w:rsidRPr="00B942D9">
        <w:rPr>
          <w:rFonts w:ascii="Arial" w:hAnsi="Arial" w:cs="Arial"/>
          <w:color w:val="002060"/>
          <w:sz w:val="21"/>
        </w:rPr>
        <w:t>subd</w:t>
      </w:r>
      <w:r w:rsidR="00BE3CCA" w:rsidRPr="00B942D9">
        <w:rPr>
          <w:rFonts w:ascii="Arial" w:hAnsi="Arial" w:cs="Arial"/>
          <w:color w:val="002060"/>
          <w:sz w:val="21"/>
        </w:rPr>
        <w:t>ivision development within the S</w:t>
      </w:r>
      <w:r w:rsidRPr="00B942D9">
        <w:rPr>
          <w:rFonts w:ascii="Arial" w:hAnsi="Arial" w:cs="Arial"/>
          <w:color w:val="002060"/>
          <w:sz w:val="21"/>
        </w:rPr>
        <w:t xml:space="preserve">hire.  The </w:t>
      </w:r>
      <w:r w:rsidR="005E136A">
        <w:rPr>
          <w:rFonts w:ascii="Arial" w:hAnsi="Arial" w:cs="Arial"/>
          <w:color w:val="002060"/>
          <w:sz w:val="21"/>
        </w:rPr>
        <w:t>urban</w:t>
      </w:r>
      <w:r w:rsidRPr="00B942D9">
        <w:rPr>
          <w:rFonts w:ascii="Arial" w:hAnsi="Arial" w:cs="Arial"/>
          <w:color w:val="002060"/>
          <w:sz w:val="21"/>
        </w:rPr>
        <w:t xml:space="preserve"> land development is undertaken by </w:t>
      </w:r>
      <w:r w:rsidR="00B45178" w:rsidRPr="00B942D9">
        <w:rPr>
          <w:rFonts w:ascii="Arial" w:hAnsi="Arial" w:cs="Arial"/>
          <w:color w:val="002060"/>
          <w:sz w:val="21"/>
        </w:rPr>
        <w:t>Council</w:t>
      </w:r>
      <w:r w:rsidRPr="00B942D9">
        <w:rPr>
          <w:rFonts w:ascii="Arial" w:hAnsi="Arial" w:cs="Arial"/>
          <w:color w:val="002060"/>
          <w:sz w:val="21"/>
        </w:rPr>
        <w:t xml:space="preserve"> to help </w:t>
      </w:r>
      <w:r w:rsidR="00B45178" w:rsidRPr="00B942D9">
        <w:rPr>
          <w:rFonts w:ascii="Arial" w:hAnsi="Arial" w:cs="Arial"/>
          <w:color w:val="002060"/>
          <w:sz w:val="21"/>
        </w:rPr>
        <w:t>re</w:t>
      </w:r>
      <w:r w:rsidRPr="00B942D9">
        <w:rPr>
          <w:rFonts w:ascii="Arial" w:hAnsi="Arial" w:cs="Arial"/>
          <w:color w:val="002060"/>
          <w:sz w:val="21"/>
        </w:rPr>
        <w:t xml:space="preserve">tain and attract people to the township of Jerilderie.  </w:t>
      </w:r>
    </w:p>
    <w:p w:rsidR="000F359C" w:rsidRPr="000124D5" w:rsidRDefault="000F359C" w:rsidP="000124D5">
      <w:pPr>
        <w:pStyle w:val="Heading1"/>
      </w:pPr>
      <w:bookmarkStart w:id="24" w:name="_Toc411847913"/>
      <w:r w:rsidRPr="000124D5">
        <w:t>Assessment criterion 2: Community awareness and engagement</w:t>
      </w:r>
      <w:bookmarkEnd w:id="24"/>
    </w:p>
    <w:p w:rsidR="00D60EA5" w:rsidRPr="00B606B0" w:rsidRDefault="00235528" w:rsidP="005F21B7">
      <w:pPr>
        <w:pStyle w:val="BodyText"/>
        <w:tabs>
          <w:tab w:val="num" w:pos="0"/>
        </w:tabs>
        <w:spacing w:after="240"/>
        <w:ind w:right="-568"/>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Default="00D60EA5" w:rsidP="005F21B7">
      <w:pPr>
        <w:pStyle w:val="Quote"/>
        <w:tabs>
          <w:tab w:val="num" w:pos="0"/>
        </w:tabs>
        <w:ind w:left="0" w:right="-568"/>
        <w:rPr>
          <w:rFonts w:ascii="Arial" w:hAnsi="Arial"/>
          <w:i/>
        </w:rPr>
      </w:pPr>
      <w:proofErr w:type="gramStart"/>
      <w:r w:rsidRPr="006D3A62">
        <w:rPr>
          <w:rFonts w:ascii="Arial" w:hAnsi="Arial"/>
          <w:i/>
        </w:rPr>
        <w:t>Evidence that the community is aware of the need for and extent of a rate rise.</w:t>
      </w:r>
      <w:proofErr w:type="gramEnd"/>
      <w:r w:rsidRPr="006D3A62">
        <w:rPr>
          <w:rFonts w:ascii="Arial" w:hAnsi="Arial"/>
          <w:i/>
        </w:rPr>
        <w:t xml:space="preserv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C1555C" w:rsidRPr="00C1555C" w:rsidRDefault="00C1555C" w:rsidP="00C1555C">
      <w:pPr>
        <w:pStyle w:val="BodyText"/>
      </w:pPr>
    </w:p>
    <w:p w:rsidR="00D60EA5" w:rsidRDefault="004F1E3F" w:rsidP="001105C0">
      <w:pPr>
        <w:pStyle w:val="BodyText"/>
        <w:tabs>
          <w:tab w:val="num" w:pos="0"/>
        </w:tabs>
        <w:ind w:right="-143"/>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1105C0">
      <w:pPr>
        <w:pStyle w:val="ListBullet"/>
        <w:tabs>
          <w:tab w:val="num" w:pos="0"/>
        </w:tabs>
        <w:ind w:left="0" w:right="-143" w:firstLine="0"/>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1105C0">
      <w:pPr>
        <w:pStyle w:val="ListBullet"/>
        <w:tabs>
          <w:tab w:val="num" w:pos="0"/>
        </w:tabs>
        <w:ind w:left="0" w:right="-143" w:firstLine="0"/>
      </w:pPr>
      <w:r>
        <w:t xml:space="preserve">it </w:t>
      </w:r>
      <w:r w:rsidR="00B84AA8">
        <w:t>p</w:t>
      </w:r>
      <w:r w:rsidR="00D60EA5">
        <w:t>rovided opportunities for input and gathered input/feedback from the community about the proposal</w:t>
      </w:r>
    </w:p>
    <w:p w:rsidR="00D60EA5" w:rsidRDefault="009E7E19" w:rsidP="001105C0">
      <w:pPr>
        <w:pStyle w:val="ListBullet"/>
        <w:tabs>
          <w:tab w:val="num" w:pos="0"/>
        </w:tabs>
        <w:ind w:left="0" w:right="-143" w:firstLine="0"/>
      </w:pPr>
      <w:proofErr w:type="gramStart"/>
      <w:r>
        <w:t>the</w:t>
      </w:r>
      <w:proofErr w:type="gramEnd"/>
      <w:r>
        <w:t xml:space="preserve"> IP&amp;R documents clearly set out the extent of the requested rate increases</w:t>
      </w:r>
      <w:r w:rsidR="0065063C">
        <w:t>.</w:t>
      </w:r>
    </w:p>
    <w:p w:rsidR="00901623" w:rsidRDefault="00D60EA5" w:rsidP="001105C0">
      <w:pPr>
        <w:pStyle w:val="BodyText"/>
        <w:tabs>
          <w:tab w:val="num" w:pos="0"/>
        </w:tabs>
        <w:ind w:right="-143"/>
      </w:pPr>
      <w:r>
        <w:t>In assessing the evidence, we will consider how transparent the engagement with the community has been, especially in relation to explaining:</w:t>
      </w:r>
      <w:r w:rsidR="00216DCF">
        <w:t xml:space="preserve"> </w:t>
      </w:r>
    </w:p>
    <w:p w:rsidR="00D60EA5" w:rsidRPr="00901623" w:rsidRDefault="00D60EA5" w:rsidP="001105C0">
      <w:pPr>
        <w:pStyle w:val="ListBullet"/>
        <w:tabs>
          <w:tab w:val="num" w:pos="0"/>
        </w:tabs>
        <w:ind w:left="0" w:right="-143" w:firstLine="0"/>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1105C0">
      <w:pPr>
        <w:pStyle w:val="ListBullet"/>
        <w:tabs>
          <w:tab w:val="num" w:pos="0"/>
        </w:tabs>
        <w:ind w:left="0" w:right="-143" w:firstLine="0"/>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1105C0">
      <w:pPr>
        <w:pStyle w:val="ListBullet"/>
        <w:tabs>
          <w:tab w:val="num" w:pos="0"/>
        </w:tabs>
        <w:ind w:left="0" w:right="-143" w:firstLine="0"/>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1105C0">
      <w:pPr>
        <w:pStyle w:val="ListBullet"/>
        <w:tabs>
          <w:tab w:val="num" w:pos="0"/>
        </w:tabs>
        <w:ind w:left="0" w:right="-143" w:firstLine="0"/>
      </w:pPr>
      <w:r w:rsidRPr="00266497">
        <w:t>the</w:t>
      </w:r>
      <w:r w:rsidR="00D60EA5" w:rsidRPr="00266497">
        <w:t xml:space="preserve"> rate levels that would apply without the special variation</w:t>
      </w:r>
    </w:p>
    <w:p w:rsidR="00D60EA5" w:rsidRDefault="00D60EA5" w:rsidP="001105C0">
      <w:pPr>
        <w:pStyle w:val="ListBullet"/>
        <w:tabs>
          <w:tab w:val="num" w:pos="0"/>
        </w:tabs>
        <w:ind w:left="0" w:right="-143" w:firstLine="0"/>
      </w:pPr>
      <w:proofErr w:type="gramStart"/>
      <w:r w:rsidRPr="00266497">
        <w:t>proposed</w:t>
      </w:r>
      <w:proofErr w:type="gramEnd"/>
      <w:r w:rsidRPr="00266497">
        <w:t xml:space="preserve"> increases in any other council charges (eg, waste management, water and sewer</w:t>
      </w:r>
      <w:r w:rsidRPr="00901623">
        <w:t>), especially if these are likely to exceed the increase in the CPI.</w:t>
      </w:r>
    </w:p>
    <w:tbl>
      <w:tblPr>
        <w:tblpPr w:leftFromText="180" w:rightFromText="180" w:vertAnchor="text" w:horzAnchor="margin" w:tblpY="1386"/>
        <w:tblW w:w="9214" w:type="dxa"/>
        <w:tblLayout w:type="fixed"/>
        <w:tblCellMar>
          <w:left w:w="28" w:type="dxa"/>
          <w:right w:w="28" w:type="dxa"/>
        </w:tblCellMar>
        <w:tblLook w:val="0000"/>
      </w:tblPr>
      <w:tblGrid>
        <w:gridCol w:w="9214"/>
      </w:tblGrid>
      <w:tr w:rsidR="00351E17" w:rsidRPr="00122C88" w:rsidTr="00351E17">
        <w:trPr>
          <w:cantSplit/>
        </w:trPr>
        <w:tc>
          <w:tcPr>
            <w:tcW w:w="9214" w:type="dxa"/>
            <w:tcBorders>
              <w:top w:val="single" w:sz="24" w:space="0" w:color="7C7C7C"/>
            </w:tcBorders>
            <w:shd w:val="clear" w:color="auto" w:fill="auto"/>
            <w:tcMar>
              <w:left w:w="0" w:type="dxa"/>
              <w:right w:w="0" w:type="dxa"/>
            </w:tcMar>
          </w:tcPr>
          <w:p w:rsidR="00351E17" w:rsidRPr="00131AFC" w:rsidRDefault="0019015E" w:rsidP="00351E17">
            <w:pPr>
              <w:pStyle w:val="BoxTitle"/>
            </w:pPr>
            <w:r>
              <w:fldChar w:fldCharType="begin"/>
            </w:r>
            <w:r w:rsidR="00351E17">
              <w:instrText xml:space="preserve"> IF 1 = 1 "Box </w:instrText>
            </w:r>
            <w:r>
              <w:fldChar w:fldCharType="begin"/>
            </w:r>
            <w:r w:rsidR="00351E17">
              <w:instrText xml:space="preserve"> IF </w:instrText>
            </w:r>
            <w:r>
              <w:fldChar w:fldCharType="begin"/>
            </w:r>
            <w:r w:rsidR="00351E17">
              <w:instrText xml:space="preserve"> STYLEREF "Heading 6" \l \n </w:instrText>
            </w:r>
            <w:r>
              <w:fldChar w:fldCharType="separate"/>
            </w:r>
            <w:r w:rsidR="00F423F9">
              <w:rPr>
                <w:noProof/>
              </w:rPr>
              <w:instrText>0</w:instrText>
            </w:r>
            <w:r>
              <w:fldChar w:fldCharType="end"/>
            </w:r>
            <w:r w:rsidR="00351E17">
              <w:instrText xml:space="preserve"> = 0 "</w:instrText>
            </w:r>
            <w:r>
              <w:fldChar w:fldCharType="begin"/>
            </w:r>
            <w:r w:rsidR="00351E17">
              <w:instrText xml:space="preserve"> IF </w:instrText>
            </w:r>
            <w:r>
              <w:fldChar w:fldCharType="begin"/>
            </w:r>
            <w:r w:rsidR="00351E17">
              <w:instrText xml:space="preserve"> STYLEREF "Heading 1" \l \n </w:instrText>
            </w:r>
            <w:r>
              <w:fldChar w:fldCharType="separate"/>
            </w:r>
            <w:r w:rsidR="00F423F9">
              <w:rPr>
                <w:noProof/>
              </w:rPr>
              <w:instrText>4</w:instrText>
            </w:r>
            <w:r>
              <w:fldChar w:fldCharType="end"/>
            </w:r>
            <w:r w:rsidR="00351E17">
              <w:instrText xml:space="preserve"> = 0 "" "</w:instrText>
            </w:r>
            <w:r>
              <w:fldChar w:fldCharType="begin"/>
            </w:r>
            <w:r w:rsidR="00351E17">
              <w:instrText xml:space="preserve"> STYLEREF "Heading 1" \l \n </w:instrText>
            </w:r>
            <w:r>
              <w:fldChar w:fldCharType="separate"/>
            </w:r>
            <w:r w:rsidR="00F423F9">
              <w:rPr>
                <w:noProof/>
              </w:rPr>
              <w:instrText>4</w:instrText>
            </w:r>
            <w:r>
              <w:fldChar w:fldCharType="end"/>
            </w:r>
            <w:r w:rsidR="00351E17">
              <w:instrText xml:space="preserve">." </w:instrText>
            </w:r>
            <w:r>
              <w:fldChar w:fldCharType="separate"/>
            </w:r>
            <w:r w:rsidR="00F423F9">
              <w:rPr>
                <w:noProof/>
              </w:rPr>
              <w:instrText>4.</w:instrText>
            </w:r>
            <w:r>
              <w:fldChar w:fldCharType="end"/>
            </w:r>
            <w:r w:rsidR="00351E17">
              <w:instrText>" "</w:instrText>
            </w:r>
            <w:r>
              <w:fldChar w:fldCharType="begin"/>
            </w:r>
            <w:r w:rsidR="00351E17">
              <w:instrText xml:space="preserve"> STYLEREF "Heading 6" \l \n </w:instrText>
            </w:r>
            <w:r>
              <w:fldChar w:fldCharType="separate"/>
            </w:r>
            <w:r w:rsidR="00351E17">
              <w:rPr>
                <w:b w:val="0"/>
                <w:bCs/>
                <w:noProof/>
                <w:lang w:val="en-US"/>
              </w:rPr>
              <w:instrText>Error! No text of specified style in document.</w:instrText>
            </w:r>
            <w:r>
              <w:fldChar w:fldCharType="end"/>
            </w:r>
            <w:r w:rsidR="00351E17">
              <w:instrText xml:space="preserve">." </w:instrText>
            </w:r>
            <w:r>
              <w:fldChar w:fldCharType="separate"/>
            </w:r>
            <w:r w:rsidR="00F423F9">
              <w:rPr>
                <w:noProof/>
              </w:rPr>
              <w:instrText>4.</w:instrText>
            </w:r>
            <w:r>
              <w:fldChar w:fldCharType="end"/>
            </w:r>
            <w:r>
              <w:fldChar w:fldCharType="begin"/>
            </w:r>
            <w:r w:rsidR="00351E17">
              <w:instrText xml:space="preserve"> SEQ Box \* ARABIC \s </w:instrText>
            </w:r>
            <w:r>
              <w:fldChar w:fldCharType="begin"/>
            </w:r>
            <w:r w:rsidR="00351E17">
              <w:instrText xml:space="preserve"> IF </w:instrText>
            </w:r>
            <w:r>
              <w:fldChar w:fldCharType="begin"/>
            </w:r>
            <w:r w:rsidR="00351E17">
              <w:instrText xml:space="preserve"> STYLEREF "Heading 6" \l \n </w:instrText>
            </w:r>
            <w:r>
              <w:fldChar w:fldCharType="separate"/>
            </w:r>
            <w:r w:rsidR="00F423F9">
              <w:rPr>
                <w:noProof/>
              </w:rPr>
              <w:instrText>0</w:instrText>
            </w:r>
            <w:r>
              <w:fldChar w:fldCharType="end"/>
            </w:r>
            <w:r w:rsidR="00351E17">
              <w:instrText xml:space="preserve"> = 0 "</w:instrText>
            </w:r>
            <w:r>
              <w:fldChar w:fldCharType="begin"/>
            </w:r>
            <w:r w:rsidR="00351E17">
              <w:instrText xml:space="preserve"> IF </w:instrText>
            </w:r>
            <w:r>
              <w:fldChar w:fldCharType="begin"/>
            </w:r>
            <w:r w:rsidR="00351E17">
              <w:instrText xml:space="preserve"> STYLEREF "Heading 1" \l \n </w:instrText>
            </w:r>
            <w:r>
              <w:fldChar w:fldCharType="separate"/>
            </w:r>
            <w:r w:rsidR="00F423F9">
              <w:rPr>
                <w:noProof/>
              </w:rPr>
              <w:instrText>4</w:instrText>
            </w:r>
            <w:r>
              <w:fldChar w:fldCharType="end"/>
            </w:r>
            <w:r w:rsidR="00351E17">
              <w:instrText xml:space="preserve"> = 0 "" "1" </w:instrText>
            </w:r>
            <w:r>
              <w:fldChar w:fldCharType="separate"/>
            </w:r>
            <w:r w:rsidR="00F423F9">
              <w:rPr>
                <w:noProof/>
              </w:rPr>
              <w:instrText>1</w:instrText>
            </w:r>
            <w:r>
              <w:fldChar w:fldCharType="end"/>
            </w:r>
            <w:r w:rsidR="00351E17">
              <w:instrText xml:space="preserve">" "6" </w:instrText>
            </w:r>
            <w:r>
              <w:fldChar w:fldCharType="separate"/>
            </w:r>
            <w:r w:rsidR="00F423F9">
              <w:rPr>
                <w:noProof/>
              </w:rPr>
              <w:instrText>1</w:instrText>
            </w:r>
            <w:r>
              <w:fldChar w:fldCharType="end"/>
            </w:r>
            <w:r w:rsidR="00351E17">
              <w:instrText xml:space="preserve"> </w:instrText>
            </w:r>
            <w:r>
              <w:fldChar w:fldCharType="separate"/>
            </w:r>
            <w:r w:rsidR="00F423F9">
              <w:rPr>
                <w:noProof/>
              </w:rPr>
              <w:instrText>1</w:instrText>
            </w:r>
            <w:r>
              <w:fldChar w:fldCharType="end"/>
            </w:r>
            <w:r w:rsidR="00351E17">
              <w:instrText xml:space="preserve">" "" </w:instrText>
            </w:r>
            <w:r>
              <w:fldChar w:fldCharType="separate"/>
            </w:r>
            <w:bookmarkStart w:id="25" w:name="_Box6820"/>
            <w:r w:rsidR="00F423F9">
              <w:rPr>
                <w:noProof/>
              </w:rPr>
              <w:t>Box 4.1</w:t>
            </w:r>
            <w:bookmarkEnd w:id="25"/>
            <w:r>
              <w:fldChar w:fldCharType="end"/>
            </w:r>
            <w:r w:rsidR="00351E17" w:rsidRPr="00122C88">
              <w:tab/>
            </w:r>
            <w:r w:rsidR="00351E17">
              <w:t>Where a council is renewing or replacing an expiring special variation</w:t>
            </w:r>
          </w:p>
        </w:tc>
      </w:tr>
      <w:tr w:rsidR="00351E17" w:rsidRPr="00385582" w:rsidTr="00351E17">
        <w:trPr>
          <w:cantSplit/>
        </w:trPr>
        <w:tc>
          <w:tcPr>
            <w:tcW w:w="9214" w:type="dxa"/>
            <w:shd w:val="clear" w:color="auto" w:fill="auto"/>
            <w:tcMar>
              <w:left w:w="0" w:type="dxa"/>
              <w:right w:w="0" w:type="dxa"/>
            </w:tcMar>
          </w:tcPr>
          <w:p w:rsidR="00351E17" w:rsidRPr="002D00DA" w:rsidRDefault="00351E17" w:rsidP="00351E17">
            <w:pPr>
              <w:pStyle w:val="BoxText"/>
              <w:jc w:val="left"/>
            </w:pPr>
            <w:r w:rsidRPr="00385582">
              <w:t>The council</w:t>
            </w:r>
            <w:r>
              <w:t>’s application</w:t>
            </w:r>
            <w:r w:rsidRPr="00385582">
              <w:t xml:space="preserve"> shoul</w:t>
            </w:r>
            <w:r w:rsidRPr="002D00DA">
              <w:t xml:space="preserve">d </w:t>
            </w:r>
            <w:r>
              <w:t xml:space="preserve">show how you have </w:t>
            </w:r>
            <w:r w:rsidRPr="002D00DA">
              <w:t>explain</w:t>
            </w:r>
            <w:r>
              <w:t>ed</w:t>
            </w:r>
            <w:r w:rsidRPr="002D00DA">
              <w:t xml:space="preserve"> to its community:</w:t>
            </w:r>
          </w:p>
          <w:p w:rsidR="00351E17" w:rsidRPr="002D00DA" w:rsidRDefault="00351E17" w:rsidP="00351E17">
            <w:pPr>
              <w:pStyle w:val="BoxListBullet"/>
              <w:jc w:val="left"/>
            </w:pPr>
            <w:r w:rsidRPr="002D00DA">
              <w:t xml:space="preserve">There is a special variation due to expire at the end of the current financial year or during the period covered by the proposed special variation.  This needs to include when </w:t>
            </w:r>
            <w:r>
              <w:t xml:space="preserve">the expiring special variation was originally </w:t>
            </w:r>
            <w:r w:rsidRPr="002D00DA">
              <w:t>approved, for what purpose and the percentage of (General Fund)</w:t>
            </w:r>
            <w:r>
              <w:t xml:space="preserve"> </w:t>
            </w:r>
            <w:r w:rsidRPr="002D00DA">
              <w:t>general income originally approved.</w:t>
            </w:r>
          </w:p>
          <w:p w:rsidR="00351E17" w:rsidRDefault="00351E17" w:rsidP="00351E17">
            <w:pPr>
              <w:pStyle w:val="BoxListBullet"/>
              <w:jc w:val="lef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351E17" w:rsidRPr="00440FC8" w:rsidRDefault="00351E17" w:rsidP="00351E17">
            <w:pPr>
              <w:pStyle w:val="BoxListBullet"/>
              <w:jc w:val="left"/>
            </w:pPr>
            <w:r>
              <w:t>Whether the temporary</w:t>
            </w:r>
            <w:r w:rsidRPr="00440FC8">
              <w:t xml:space="preserve"> expiring special variation is being replaced with a</w:t>
            </w:r>
            <w:r>
              <w:t>nother</w:t>
            </w:r>
            <w:r w:rsidRPr="00440FC8">
              <w:t xml:space="preserve"> </w:t>
            </w:r>
            <w:r>
              <w:t xml:space="preserve">temporary or a </w:t>
            </w:r>
            <w:r w:rsidRPr="00440FC8">
              <w:t>permanent increase to the rate base</w:t>
            </w:r>
            <w:r>
              <w:t>.</w:t>
            </w:r>
          </w:p>
          <w:p w:rsidR="00351E17" w:rsidRPr="002D00DA" w:rsidRDefault="00351E17" w:rsidP="00351E17">
            <w:pPr>
              <w:pStyle w:val="BoxListBullet"/>
              <w:jc w:val="lef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351E17" w:rsidRPr="002D00DA" w:rsidRDefault="00351E17" w:rsidP="00351E17">
            <w:pPr>
              <w:pStyle w:val="BoxListBullet"/>
              <w:jc w:val="left"/>
            </w:pPr>
            <w:r w:rsidRPr="002D00DA">
              <w:t xml:space="preserve">If the </w:t>
            </w:r>
            <w:r>
              <w:t xml:space="preserve">proposed </w:t>
            </w:r>
            <w:r w:rsidRPr="002D00DA">
              <w:t xml:space="preserve">special variation </w:t>
            </w:r>
            <w:r>
              <w:t>was</w:t>
            </w:r>
            <w:r w:rsidRPr="002D00DA">
              <w:t xml:space="preserve"> not approved </w:t>
            </w:r>
            <w:r>
              <w:t xml:space="preserve">ie, </w:t>
            </w:r>
            <w:r w:rsidRPr="002D00DA">
              <w:t>only the rate peg applie</w:t>
            </w:r>
            <w:r>
              <w:t>s</w:t>
            </w:r>
            <w:r w:rsidRPr="002D00DA">
              <w:t>, the year-on-year change in rates would be lower, or that rates may fall.</w:t>
            </w:r>
          </w:p>
          <w:p w:rsidR="00351E17" w:rsidRPr="00385582" w:rsidRDefault="00351E17" w:rsidP="00351E17">
            <w:pPr>
              <w:pStyle w:val="BoxText"/>
              <w:jc w:val="left"/>
            </w:pPr>
            <w:r w:rsidRPr="002D00DA">
              <w:t>The council also</w:t>
            </w:r>
            <w:r w:rsidRPr="002845D8">
              <w:t xml:space="preserve"> must attach, to its application to IPART, a copy of the Instrument of Approval that has been signed by the Minister or IPART Chairman.</w:t>
            </w:r>
          </w:p>
        </w:tc>
      </w:tr>
      <w:tr w:rsidR="00351E17" w:rsidTr="00351E17">
        <w:trPr>
          <w:cantSplit/>
          <w:trHeight w:hRule="exact" w:val="198"/>
        </w:trPr>
        <w:tc>
          <w:tcPr>
            <w:tcW w:w="9214" w:type="dxa"/>
            <w:tcBorders>
              <w:bottom w:val="single" w:sz="24" w:space="0" w:color="7C7C7C"/>
            </w:tcBorders>
            <w:shd w:val="clear" w:color="auto" w:fill="auto"/>
            <w:tcMar>
              <w:left w:w="0" w:type="dxa"/>
              <w:right w:w="0" w:type="dxa"/>
            </w:tcMar>
          </w:tcPr>
          <w:p w:rsidR="00351E17" w:rsidRDefault="00351E17" w:rsidP="00351E17">
            <w:pPr>
              <w:pStyle w:val="Source"/>
              <w:keepNext/>
              <w:ind w:left="-57"/>
            </w:pPr>
          </w:p>
        </w:tc>
      </w:tr>
    </w:tbl>
    <w:p w:rsidR="007C25F0" w:rsidRDefault="00351E17" w:rsidP="001105C0">
      <w:pPr>
        <w:pStyle w:val="BodyText"/>
        <w:tabs>
          <w:tab w:val="num" w:pos="0"/>
        </w:tabs>
        <w:ind w:right="-143"/>
      </w:pPr>
      <w:r w:rsidRPr="002D00DA">
        <w:t xml:space="preserve"> </w:t>
      </w:r>
      <w:r w:rsidR="007C25F0" w:rsidRPr="002D00DA">
        <w:t xml:space="preserve">More information about how the council may engage the community is to be found in the OLG </w:t>
      </w:r>
      <w:r w:rsidR="007C25F0" w:rsidRPr="00270B1F">
        <w:rPr>
          <w:i/>
        </w:rPr>
        <w:t>Guidelines</w:t>
      </w:r>
      <w:r w:rsidR="007C25F0" w:rsidRPr="002D00DA">
        <w:t xml:space="preserve">, the IP&amp;R manual, and </w:t>
      </w:r>
      <w:r w:rsidR="007C25F0" w:rsidRPr="006019BE">
        <w:t xml:space="preserve">IPART’s Fact Sheet </w:t>
      </w:r>
      <w:r w:rsidR="007C25F0" w:rsidRPr="00270B1F">
        <w:rPr>
          <w:i/>
        </w:rPr>
        <w:t>Community Awareness and Engagement</w:t>
      </w:r>
      <w:r w:rsidR="001F1E22">
        <w:rPr>
          <w:i/>
        </w:rPr>
        <w:t xml:space="preserve"> for special variation applications</w:t>
      </w:r>
      <w:r w:rsidR="007C25F0" w:rsidRPr="006019BE">
        <w:t>, October 2014.</w:t>
      </w:r>
    </w:p>
    <w:p w:rsidR="00D60EA5" w:rsidRPr="000124D5" w:rsidRDefault="00D60EA5" w:rsidP="001105C0">
      <w:pPr>
        <w:pStyle w:val="Heading2"/>
        <w:ind w:right="-427" w:hanging="567"/>
      </w:pPr>
      <w:bookmarkStart w:id="26" w:name="_Toc366160411"/>
      <w:bookmarkStart w:id="27" w:name="_Toc411847914"/>
      <w:r w:rsidRPr="000124D5">
        <w:lastRenderedPageBreak/>
        <w:t>The consultation strategy</w:t>
      </w:r>
      <w:bookmarkEnd w:id="26"/>
      <w:bookmarkEnd w:id="27"/>
    </w:p>
    <w:p w:rsidR="00D60EA5" w:rsidRPr="002D00DA" w:rsidRDefault="003D55F5" w:rsidP="001105C0">
      <w:pPr>
        <w:pStyle w:val="BodyText"/>
        <w:ind w:left="142" w:right="-427"/>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Default="00A76397" w:rsidP="001105C0">
      <w:pPr>
        <w:pStyle w:val="BodyText"/>
        <w:ind w:left="142" w:right="-427"/>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6E61CA" w:rsidRPr="006E61CA" w:rsidRDefault="006E61CA" w:rsidP="001105C0">
      <w:pPr>
        <w:ind w:left="142" w:right="-427"/>
        <w:jc w:val="both"/>
        <w:rPr>
          <w:rFonts w:ascii="Arial" w:hAnsi="Arial" w:cs="Arial"/>
          <w:color w:val="002060"/>
          <w:sz w:val="12"/>
          <w:szCs w:val="12"/>
        </w:rPr>
      </w:pPr>
    </w:p>
    <w:p w:rsidR="0046199E" w:rsidRPr="00B942D9" w:rsidRDefault="0057576E" w:rsidP="001105C0">
      <w:pPr>
        <w:ind w:left="142" w:right="-427"/>
        <w:jc w:val="both"/>
        <w:rPr>
          <w:rFonts w:ascii="Arial" w:hAnsi="Arial" w:cs="Arial"/>
          <w:color w:val="002060"/>
          <w:sz w:val="21"/>
          <w:szCs w:val="21"/>
        </w:rPr>
      </w:pPr>
      <w:r w:rsidRPr="00B942D9">
        <w:rPr>
          <w:rFonts w:ascii="Arial" w:hAnsi="Arial" w:cs="Arial"/>
          <w:color w:val="002060"/>
          <w:sz w:val="21"/>
          <w:szCs w:val="21"/>
        </w:rPr>
        <w:t>Council commenced its community awareness and engagement with the exhibition of the draft Delivery Program and Operational Plan 2014-2018.</w:t>
      </w:r>
      <w:r w:rsidR="0046199E" w:rsidRPr="00B942D9">
        <w:rPr>
          <w:rFonts w:ascii="Arial" w:hAnsi="Arial" w:cs="Arial"/>
          <w:color w:val="002060"/>
          <w:sz w:val="21"/>
          <w:szCs w:val="21"/>
        </w:rPr>
        <w:t xml:space="preserve">  This document clearly outlines the need for the special rate variation  (</w:t>
      </w:r>
      <w:r w:rsidR="00C27090">
        <w:rPr>
          <w:rFonts w:ascii="Arial" w:hAnsi="Arial" w:cs="Arial"/>
          <w:color w:val="002060"/>
          <w:sz w:val="21"/>
          <w:szCs w:val="21"/>
        </w:rPr>
        <w:t xml:space="preserve">attachment # 2 - </w:t>
      </w:r>
      <w:r w:rsidR="0046199E" w:rsidRPr="00B942D9">
        <w:rPr>
          <w:rFonts w:ascii="Arial" w:hAnsi="Arial" w:cs="Arial"/>
          <w:color w:val="002060"/>
          <w:sz w:val="21"/>
          <w:szCs w:val="21"/>
        </w:rPr>
        <w:t xml:space="preserve"> page 2, Message from the Mayor).</w:t>
      </w:r>
    </w:p>
    <w:p w:rsidR="0046199E" w:rsidRPr="006E61CA" w:rsidRDefault="0046199E" w:rsidP="001105C0">
      <w:pPr>
        <w:ind w:left="142" w:right="-427"/>
        <w:jc w:val="both"/>
        <w:rPr>
          <w:rFonts w:ascii="Arial" w:hAnsi="Arial" w:cs="Arial"/>
          <w:color w:val="002060"/>
          <w:sz w:val="12"/>
          <w:szCs w:val="12"/>
        </w:rPr>
      </w:pPr>
    </w:p>
    <w:p w:rsidR="00B45178" w:rsidRPr="009F553F" w:rsidRDefault="00B942D9" w:rsidP="001105C0">
      <w:pPr>
        <w:ind w:left="142" w:right="-427"/>
        <w:jc w:val="both"/>
        <w:rPr>
          <w:rFonts w:ascii="Arial" w:hAnsi="Arial" w:cs="Arial"/>
          <w:color w:val="002060"/>
          <w:sz w:val="21"/>
          <w:szCs w:val="21"/>
        </w:rPr>
      </w:pPr>
      <w:r>
        <w:rPr>
          <w:rFonts w:ascii="Arial" w:hAnsi="Arial" w:cs="Arial"/>
          <w:color w:val="002060"/>
          <w:sz w:val="21"/>
          <w:szCs w:val="21"/>
        </w:rPr>
        <w:t>Public e</w:t>
      </w:r>
      <w:r w:rsidR="0046199E" w:rsidRPr="00B942D9">
        <w:rPr>
          <w:rFonts w:ascii="Arial" w:hAnsi="Arial" w:cs="Arial"/>
          <w:color w:val="002060"/>
          <w:sz w:val="21"/>
          <w:szCs w:val="21"/>
        </w:rPr>
        <w:t xml:space="preserve">xhibition of the draft Delivery Program and Operational Plan occurred from 29 April 2014 with the submission period closing 16 June 2014.  </w:t>
      </w:r>
      <w:r w:rsidR="00B45178" w:rsidRPr="00B942D9">
        <w:rPr>
          <w:rFonts w:ascii="Arial" w:hAnsi="Arial" w:cs="Arial"/>
          <w:color w:val="002060"/>
          <w:sz w:val="21"/>
          <w:szCs w:val="21"/>
        </w:rPr>
        <w:t xml:space="preserve">The community were invited to make </w:t>
      </w:r>
      <w:r>
        <w:rPr>
          <w:rFonts w:ascii="Arial" w:hAnsi="Arial" w:cs="Arial"/>
          <w:color w:val="002060"/>
          <w:sz w:val="21"/>
          <w:szCs w:val="21"/>
        </w:rPr>
        <w:t xml:space="preserve">submissions on the </w:t>
      </w:r>
      <w:r w:rsidR="0057576E" w:rsidRPr="00B942D9">
        <w:rPr>
          <w:rFonts w:ascii="Arial" w:hAnsi="Arial" w:cs="Arial"/>
          <w:color w:val="002060"/>
          <w:sz w:val="21"/>
          <w:szCs w:val="21"/>
        </w:rPr>
        <w:t xml:space="preserve">draft Delivery </w:t>
      </w:r>
      <w:r w:rsidR="00B45178" w:rsidRPr="00B942D9">
        <w:rPr>
          <w:rFonts w:ascii="Arial" w:hAnsi="Arial" w:cs="Arial"/>
          <w:color w:val="002060"/>
          <w:sz w:val="21"/>
          <w:szCs w:val="21"/>
        </w:rPr>
        <w:t xml:space="preserve">Program and </w:t>
      </w:r>
      <w:r w:rsidR="0057576E" w:rsidRPr="00B942D9">
        <w:rPr>
          <w:rFonts w:ascii="Arial" w:hAnsi="Arial" w:cs="Arial"/>
          <w:color w:val="002060"/>
          <w:sz w:val="21"/>
          <w:szCs w:val="21"/>
        </w:rPr>
        <w:t>Operational</w:t>
      </w:r>
      <w:r w:rsidR="00B45178" w:rsidRPr="00B942D9">
        <w:rPr>
          <w:rFonts w:ascii="Arial" w:hAnsi="Arial" w:cs="Arial"/>
          <w:color w:val="002060"/>
          <w:sz w:val="21"/>
          <w:szCs w:val="21"/>
        </w:rPr>
        <w:t xml:space="preserve"> Plan </w:t>
      </w:r>
      <w:r w:rsidR="0046199E" w:rsidRPr="00B942D9">
        <w:rPr>
          <w:rFonts w:ascii="Arial" w:hAnsi="Arial" w:cs="Arial"/>
          <w:color w:val="002060"/>
          <w:sz w:val="21"/>
          <w:szCs w:val="21"/>
        </w:rPr>
        <w:t>and proposed special rate variation</w:t>
      </w:r>
      <w:r>
        <w:rPr>
          <w:rFonts w:ascii="Arial" w:hAnsi="Arial" w:cs="Arial"/>
          <w:color w:val="002060"/>
          <w:sz w:val="21"/>
          <w:szCs w:val="21"/>
        </w:rPr>
        <w:t xml:space="preserve"> by </w:t>
      </w:r>
      <w:r w:rsidR="00E14DDF">
        <w:rPr>
          <w:rFonts w:ascii="Arial" w:hAnsi="Arial" w:cs="Arial"/>
          <w:color w:val="002060"/>
          <w:sz w:val="21"/>
          <w:szCs w:val="21"/>
        </w:rPr>
        <w:t xml:space="preserve">16 </w:t>
      </w:r>
      <w:r w:rsidR="006D2498">
        <w:rPr>
          <w:rFonts w:ascii="Arial" w:hAnsi="Arial" w:cs="Arial"/>
          <w:color w:val="002060"/>
          <w:sz w:val="21"/>
          <w:szCs w:val="21"/>
        </w:rPr>
        <w:t xml:space="preserve">June 2014.  In addition, consultation </w:t>
      </w:r>
      <w:r>
        <w:rPr>
          <w:rFonts w:ascii="Arial" w:hAnsi="Arial" w:cs="Arial"/>
          <w:color w:val="002060"/>
          <w:sz w:val="21"/>
          <w:szCs w:val="21"/>
        </w:rPr>
        <w:t>on the permanent special rate variation</w:t>
      </w:r>
      <w:r w:rsidR="006D2498">
        <w:rPr>
          <w:rFonts w:ascii="Arial" w:hAnsi="Arial" w:cs="Arial"/>
          <w:color w:val="002060"/>
          <w:sz w:val="21"/>
          <w:szCs w:val="21"/>
        </w:rPr>
        <w:t xml:space="preserve"> </w:t>
      </w:r>
      <w:r w:rsidR="006D2498" w:rsidRPr="009F553F">
        <w:rPr>
          <w:rFonts w:ascii="Arial" w:hAnsi="Arial" w:cs="Arial"/>
          <w:color w:val="002060"/>
          <w:sz w:val="21"/>
          <w:szCs w:val="21"/>
        </w:rPr>
        <w:t>included:</w:t>
      </w:r>
    </w:p>
    <w:p w:rsidR="006D2498" w:rsidRPr="009F553F" w:rsidRDefault="006D2498" w:rsidP="001105C0">
      <w:pPr>
        <w:ind w:left="142" w:right="-427"/>
        <w:jc w:val="both"/>
        <w:rPr>
          <w:rFonts w:ascii="Arial" w:hAnsi="Arial" w:cs="Arial"/>
          <w:color w:val="002060"/>
          <w:sz w:val="12"/>
          <w:szCs w:val="12"/>
        </w:rPr>
      </w:pPr>
    </w:p>
    <w:p w:rsidR="009F553F" w:rsidRDefault="00B45178" w:rsidP="001105C0">
      <w:pPr>
        <w:pStyle w:val="ListParagraph"/>
        <w:numPr>
          <w:ilvl w:val="0"/>
          <w:numId w:val="28"/>
        </w:numPr>
        <w:ind w:left="142" w:right="-427" w:firstLine="0"/>
        <w:jc w:val="both"/>
        <w:rPr>
          <w:rFonts w:ascii="Arial" w:hAnsi="Arial" w:cs="Arial"/>
          <w:color w:val="002060"/>
          <w:sz w:val="21"/>
          <w:szCs w:val="21"/>
        </w:rPr>
      </w:pPr>
      <w:r w:rsidRPr="009F553F">
        <w:rPr>
          <w:rFonts w:ascii="Arial" w:hAnsi="Arial" w:cs="Arial"/>
          <w:color w:val="002060"/>
          <w:sz w:val="21"/>
          <w:szCs w:val="21"/>
        </w:rPr>
        <w:t xml:space="preserve">Public meetings – 21 May 2014 and 25 September </w:t>
      </w:r>
      <w:r w:rsidR="009F553F">
        <w:rPr>
          <w:rFonts w:ascii="Arial" w:hAnsi="Arial" w:cs="Arial"/>
          <w:color w:val="002060"/>
          <w:sz w:val="21"/>
          <w:szCs w:val="21"/>
        </w:rPr>
        <w:t>2014</w:t>
      </w:r>
    </w:p>
    <w:p w:rsidR="0057576E" w:rsidRPr="00BB248C" w:rsidRDefault="0057576E" w:rsidP="001105C0">
      <w:pPr>
        <w:pStyle w:val="ListParagraph"/>
        <w:numPr>
          <w:ilvl w:val="0"/>
          <w:numId w:val="28"/>
        </w:numPr>
        <w:ind w:left="142" w:right="-427" w:firstLine="0"/>
        <w:jc w:val="both"/>
        <w:rPr>
          <w:rFonts w:ascii="Arial" w:hAnsi="Arial" w:cs="Arial"/>
          <w:color w:val="002060"/>
          <w:sz w:val="21"/>
          <w:szCs w:val="21"/>
        </w:rPr>
      </w:pPr>
      <w:r w:rsidRPr="00B942D9">
        <w:rPr>
          <w:rFonts w:ascii="Arial" w:hAnsi="Arial" w:cs="Arial"/>
          <w:color w:val="002060"/>
          <w:sz w:val="21"/>
          <w:szCs w:val="21"/>
        </w:rPr>
        <w:t>Media Release 29-04-14</w:t>
      </w:r>
      <w:r w:rsidR="00BB248C">
        <w:rPr>
          <w:rFonts w:ascii="Arial" w:hAnsi="Arial" w:cs="Arial"/>
          <w:color w:val="002060"/>
          <w:sz w:val="21"/>
          <w:szCs w:val="21"/>
        </w:rPr>
        <w:t xml:space="preserve">  (attachment # 5)</w:t>
      </w:r>
    </w:p>
    <w:p w:rsidR="0057576E" w:rsidRPr="00BB248C" w:rsidRDefault="0057576E" w:rsidP="001105C0">
      <w:pPr>
        <w:pStyle w:val="ListParagraph"/>
        <w:numPr>
          <w:ilvl w:val="0"/>
          <w:numId w:val="28"/>
        </w:numPr>
        <w:ind w:left="142" w:right="-427" w:firstLine="0"/>
        <w:jc w:val="both"/>
        <w:rPr>
          <w:rFonts w:ascii="Arial" w:hAnsi="Arial" w:cs="Arial"/>
          <w:color w:val="002060"/>
          <w:sz w:val="21"/>
          <w:szCs w:val="21"/>
        </w:rPr>
      </w:pPr>
      <w:r w:rsidRPr="00B942D9">
        <w:rPr>
          <w:rFonts w:ascii="Arial" w:hAnsi="Arial" w:cs="Arial"/>
          <w:color w:val="002060"/>
          <w:sz w:val="21"/>
          <w:szCs w:val="21"/>
        </w:rPr>
        <w:t>Letter to Ratepayers and Residents x 3</w:t>
      </w:r>
      <w:r w:rsidR="00BB248C">
        <w:rPr>
          <w:rFonts w:ascii="Arial" w:hAnsi="Arial" w:cs="Arial"/>
          <w:color w:val="002060"/>
          <w:sz w:val="21"/>
          <w:szCs w:val="21"/>
        </w:rPr>
        <w:t xml:space="preserve">  (attachment # 5)</w:t>
      </w:r>
    </w:p>
    <w:p w:rsidR="002039BE" w:rsidRPr="00410C97" w:rsidRDefault="002039BE" w:rsidP="001105C0">
      <w:pPr>
        <w:pStyle w:val="ListParagraph"/>
        <w:numPr>
          <w:ilvl w:val="0"/>
          <w:numId w:val="28"/>
        </w:numPr>
        <w:ind w:left="142" w:right="-427" w:firstLine="0"/>
        <w:jc w:val="both"/>
        <w:rPr>
          <w:rFonts w:ascii="Arial" w:hAnsi="Arial" w:cs="Arial"/>
          <w:color w:val="002060"/>
          <w:sz w:val="21"/>
          <w:szCs w:val="21"/>
        </w:rPr>
      </w:pPr>
      <w:r>
        <w:rPr>
          <w:rFonts w:ascii="Arial" w:hAnsi="Arial" w:cs="Arial"/>
          <w:color w:val="002060"/>
          <w:sz w:val="21"/>
          <w:szCs w:val="21"/>
        </w:rPr>
        <w:t xml:space="preserve">Mayor’s Jerilderie </w:t>
      </w:r>
      <w:r w:rsidRPr="00410C97">
        <w:rPr>
          <w:rFonts w:ascii="Arial" w:hAnsi="Arial" w:cs="Arial"/>
          <w:color w:val="002060"/>
          <w:sz w:val="21"/>
          <w:szCs w:val="21"/>
        </w:rPr>
        <w:t xml:space="preserve">Journals x </w:t>
      </w:r>
      <w:r w:rsidR="009F553F" w:rsidRPr="00410C97">
        <w:rPr>
          <w:rFonts w:ascii="Arial" w:hAnsi="Arial" w:cs="Arial"/>
          <w:color w:val="002060"/>
          <w:sz w:val="21"/>
          <w:szCs w:val="21"/>
        </w:rPr>
        <w:t>4</w:t>
      </w:r>
      <w:r w:rsidR="00BB248C" w:rsidRPr="00410C97">
        <w:rPr>
          <w:rFonts w:ascii="Arial" w:hAnsi="Arial" w:cs="Arial"/>
          <w:color w:val="002060"/>
          <w:sz w:val="21"/>
          <w:szCs w:val="21"/>
        </w:rPr>
        <w:t xml:space="preserve"> (attachment # 5)</w:t>
      </w:r>
    </w:p>
    <w:p w:rsidR="002039BE" w:rsidRPr="00410C97" w:rsidRDefault="002039BE" w:rsidP="001105C0">
      <w:pPr>
        <w:pStyle w:val="ListParagraph"/>
        <w:numPr>
          <w:ilvl w:val="0"/>
          <w:numId w:val="28"/>
        </w:numPr>
        <w:ind w:left="142" w:right="-427" w:firstLine="0"/>
        <w:jc w:val="both"/>
        <w:rPr>
          <w:rFonts w:ascii="Arial" w:hAnsi="Arial" w:cs="Arial"/>
          <w:color w:val="002060"/>
          <w:sz w:val="21"/>
          <w:szCs w:val="21"/>
        </w:rPr>
      </w:pPr>
      <w:r w:rsidRPr="00410C97">
        <w:rPr>
          <w:rFonts w:ascii="Arial" w:hAnsi="Arial" w:cs="Arial"/>
          <w:color w:val="002060"/>
          <w:sz w:val="21"/>
          <w:szCs w:val="21"/>
        </w:rPr>
        <w:t xml:space="preserve">Media Reports-Southern Riverina News x </w:t>
      </w:r>
      <w:r w:rsidR="009F553F" w:rsidRPr="00410C97">
        <w:rPr>
          <w:rFonts w:ascii="Arial" w:hAnsi="Arial" w:cs="Arial"/>
          <w:color w:val="002060"/>
          <w:sz w:val="21"/>
          <w:szCs w:val="21"/>
        </w:rPr>
        <w:t>7</w:t>
      </w:r>
      <w:r w:rsidR="00BB248C" w:rsidRPr="00410C97">
        <w:rPr>
          <w:rFonts w:ascii="Arial" w:hAnsi="Arial" w:cs="Arial"/>
          <w:color w:val="002060"/>
          <w:sz w:val="21"/>
          <w:szCs w:val="21"/>
        </w:rPr>
        <w:t xml:space="preserve">  (attachment # 5)</w:t>
      </w:r>
    </w:p>
    <w:p w:rsidR="002039BE" w:rsidRPr="00BB248C" w:rsidRDefault="002039BE" w:rsidP="001105C0">
      <w:pPr>
        <w:pStyle w:val="ListParagraph"/>
        <w:numPr>
          <w:ilvl w:val="0"/>
          <w:numId w:val="28"/>
        </w:numPr>
        <w:ind w:left="142" w:right="-427" w:firstLine="0"/>
        <w:jc w:val="both"/>
        <w:rPr>
          <w:rFonts w:ascii="Arial" w:hAnsi="Arial" w:cs="Arial"/>
          <w:color w:val="002060"/>
          <w:sz w:val="21"/>
          <w:szCs w:val="21"/>
        </w:rPr>
      </w:pPr>
      <w:r w:rsidRPr="00410C97">
        <w:rPr>
          <w:rFonts w:ascii="Arial" w:hAnsi="Arial" w:cs="Arial"/>
          <w:color w:val="002060"/>
          <w:sz w:val="21"/>
          <w:szCs w:val="21"/>
        </w:rPr>
        <w:t>Council Newsletters</w:t>
      </w:r>
      <w:r>
        <w:rPr>
          <w:rFonts w:ascii="Arial" w:hAnsi="Arial" w:cs="Arial"/>
          <w:color w:val="002060"/>
          <w:sz w:val="21"/>
          <w:szCs w:val="21"/>
        </w:rPr>
        <w:t xml:space="preserve"> x 2 (July and November 2014)</w:t>
      </w:r>
      <w:r w:rsidR="00BB248C">
        <w:rPr>
          <w:rFonts w:ascii="Arial" w:hAnsi="Arial" w:cs="Arial"/>
          <w:color w:val="002060"/>
          <w:sz w:val="21"/>
          <w:szCs w:val="21"/>
        </w:rPr>
        <w:t xml:space="preserve"> (attachment # 5)</w:t>
      </w:r>
    </w:p>
    <w:p w:rsidR="002039BE" w:rsidRDefault="009F553F" w:rsidP="001105C0">
      <w:pPr>
        <w:pStyle w:val="ListParagraph"/>
        <w:numPr>
          <w:ilvl w:val="0"/>
          <w:numId w:val="28"/>
        </w:numPr>
        <w:ind w:left="142" w:right="-427" w:firstLine="0"/>
        <w:jc w:val="both"/>
        <w:rPr>
          <w:rFonts w:ascii="Arial" w:hAnsi="Arial" w:cs="Arial"/>
          <w:color w:val="002060"/>
          <w:sz w:val="21"/>
          <w:szCs w:val="21"/>
        </w:rPr>
      </w:pPr>
      <w:r>
        <w:rPr>
          <w:rFonts w:ascii="Arial" w:hAnsi="Arial" w:cs="Arial"/>
          <w:color w:val="002060"/>
          <w:sz w:val="21"/>
          <w:szCs w:val="21"/>
        </w:rPr>
        <w:t xml:space="preserve">Public </w:t>
      </w:r>
      <w:r w:rsidR="002039BE">
        <w:rPr>
          <w:rFonts w:ascii="Arial" w:hAnsi="Arial" w:cs="Arial"/>
          <w:color w:val="002060"/>
          <w:sz w:val="21"/>
          <w:szCs w:val="21"/>
        </w:rPr>
        <w:t>Survey</w:t>
      </w:r>
      <w:r>
        <w:rPr>
          <w:rFonts w:ascii="Arial" w:hAnsi="Arial" w:cs="Arial"/>
          <w:color w:val="002060"/>
          <w:sz w:val="21"/>
          <w:szCs w:val="21"/>
        </w:rPr>
        <w:t xml:space="preserve"> August 2014</w:t>
      </w:r>
      <w:r w:rsidR="002039BE">
        <w:rPr>
          <w:rFonts w:ascii="Arial" w:hAnsi="Arial" w:cs="Arial"/>
          <w:color w:val="002060"/>
          <w:sz w:val="21"/>
          <w:szCs w:val="21"/>
        </w:rPr>
        <w:t xml:space="preserve"> (attachment </w:t>
      </w:r>
      <w:r w:rsidR="00C02972">
        <w:rPr>
          <w:rFonts w:ascii="Arial" w:hAnsi="Arial" w:cs="Arial"/>
          <w:color w:val="002060"/>
          <w:sz w:val="21"/>
          <w:szCs w:val="21"/>
        </w:rPr>
        <w:t xml:space="preserve"># </w:t>
      </w:r>
      <w:r w:rsidR="002039BE">
        <w:rPr>
          <w:rFonts w:ascii="Arial" w:hAnsi="Arial" w:cs="Arial"/>
          <w:color w:val="002060"/>
          <w:sz w:val="21"/>
          <w:szCs w:val="21"/>
        </w:rPr>
        <w:t>6)</w:t>
      </w:r>
    </w:p>
    <w:p w:rsidR="002039BE" w:rsidRDefault="002039BE" w:rsidP="001105C0">
      <w:pPr>
        <w:pStyle w:val="ListParagraph"/>
        <w:numPr>
          <w:ilvl w:val="0"/>
          <w:numId w:val="28"/>
        </w:numPr>
        <w:ind w:left="142" w:right="-427" w:firstLine="0"/>
        <w:jc w:val="both"/>
        <w:rPr>
          <w:rFonts w:ascii="Arial" w:hAnsi="Arial" w:cs="Arial"/>
          <w:color w:val="002060"/>
          <w:sz w:val="21"/>
          <w:szCs w:val="21"/>
        </w:rPr>
      </w:pPr>
      <w:r>
        <w:rPr>
          <w:rFonts w:ascii="Arial" w:hAnsi="Arial" w:cs="Arial"/>
          <w:color w:val="002060"/>
          <w:sz w:val="21"/>
          <w:szCs w:val="21"/>
        </w:rPr>
        <w:t>Radio and television coverage</w:t>
      </w:r>
    </w:p>
    <w:p w:rsidR="00E2286B" w:rsidRPr="00B942D9" w:rsidRDefault="00E2286B" w:rsidP="001105C0">
      <w:pPr>
        <w:pStyle w:val="ListParagraph"/>
        <w:numPr>
          <w:ilvl w:val="0"/>
          <w:numId w:val="28"/>
        </w:numPr>
        <w:ind w:left="142" w:right="-427" w:firstLine="0"/>
        <w:jc w:val="both"/>
        <w:rPr>
          <w:rFonts w:ascii="Arial" w:hAnsi="Arial" w:cs="Arial"/>
          <w:color w:val="002060"/>
          <w:sz w:val="21"/>
          <w:szCs w:val="21"/>
        </w:rPr>
      </w:pPr>
      <w:r>
        <w:rPr>
          <w:rFonts w:ascii="Arial" w:hAnsi="Arial" w:cs="Arial"/>
          <w:color w:val="002060"/>
          <w:sz w:val="21"/>
          <w:szCs w:val="21"/>
        </w:rPr>
        <w:t>Website and social media</w:t>
      </w:r>
    </w:p>
    <w:p w:rsidR="0065395B" w:rsidRPr="00B942D9" w:rsidRDefault="0065395B" w:rsidP="001105C0">
      <w:pPr>
        <w:ind w:left="142" w:right="-427"/>
        <w:jc w:val="both"/>
        <w:rPr>
          <w:rFonts w:ascii="Arial" w:hAnsi="Arial" w:cs="Arial"/>
          <w:b/>
          <w:color w:val="002060"/>
          <w:sz w:val="21"/>
          <w:szCs w:val="21"/>
        </w:rPr>
      </w:pPr>
      <w:r w:rsidRPr="00B942D9">
        <w:rPr>
          <w:rFonts w:ascii="Arial" w:hAnsi="Arial" w:cs="Arial"/>
          <w:b/>
          <w:color w:val="002060"/>
          <w:sz w:val="21"/>
          <w:szCs w:val="21"/>
        </w:rPr>
        <w:t>Community Meetings</w:t>
      </w:r>
    </w:p>
    <w:p w:rsidR="0065395B" w:rsidRDefault="00EF05F1" w:rsidP="001105C0">
      <w:pPr>
        <w:ind w:left="142" w:right="-427"/>
        <w:jc w:val="both"/>
        <w:rPr>
          <w:rFonts w:ascii="Arial" w:hAnsi="Arial" w:cs="Arial"/>
          <w:color w:val="002060"/>
          <w:sz w:val="21"/>
          <w:szCs w:val="21"/>
        </w:rPr>
      </w:pPr>
      <w:r w:rsidRPr="00B942D9">
        <w:rPr>
          <w:rFonts w:ascii="Arial" w:hAnsi="Arial" w:cs="Arial"/>
          <w:color w:val="002060"/>
          <w:sz w:val="21"/>
          <w:szCs w:val="21"/>
        </w:rPr>
        <w:t>The first</w:t>
      </w:r>
      <w:r w:rsidR="0065395B" w:rsidRPr="00B942D9">
        <w:rPr>
          <w:rFonts w:ascii="Arial" w:hAnsi="Arial" w:cs="Arial"/>
          <w:color w:val="002060"/>
          <w:sz w:val="21"/>
          <w:szCs w:val="21"/>
        </w:rPr>
        <w:t xml:space="preserve"> meeting was held in the Civic Hall on 21 May 2014 at 7pm</w:t>
      </w:r>
      <w:r w:rsidR="0065395B" w:rsidRPr="004E2642">
        <w:rPr>
          <w:rFonts w:ascii="Arial" w:hAnsi="Arial" w:cs="Arial"/>
          <w:color w:val="002060"/>
          <w:sz w:val="21"/>
          <w:szCs w:val="21"/>
        </w:rPr>
        <w:t xml:space="preserve">.  Approximately 60 people attended the meeting and raised various issues.    Attached is the </w:t>
      </w:r>
      <w:proofErr w:type="gramStart"/>
      <w:r w:rsidR="0065395B" w:rsidRPr="004E2642">
        <w:rPr>
          <w:rFonts w:ascii="Arial" w:hAnsi="Arial" w:cs="Arial"/>
          <w:color w:val="002060"/>
          <w:sz w:val="21"/>
          <w:szCs w:val="21"/>
        </w:rPr>
        <w:t>powerpoint</w:t>
      </w:r>
      <w:proofErr w:type="gramEnd"/>
      <w:r w:rsidR="0065395B" w:rsidRPr="004E2642">
        <w:rPr>
          <w:rFonts w:ascii="Arial" w:hAnsi="Arial" w:cs="Arial"/>
          <w:color w:val="002060"/>
          <w:sz w:val="21"/>
          <w:szCs w:val="21"/>
        </w:rPr>
        <w:t xml:space="preserve"> presentation </w:t>
      </w:r>
      <w:r w:rsidR="004E2642" w:rsidRPr="004E2642">
        <w:rPr>
          <w:rFonts w:ascii="Arial" w:hAnsi="Arial" w:cs="Arial"/>
          <w:color w:val="002060"/>
          <w:sz w:val="21"/>
          <w:szCs w:val="21"/>
        </w:rPr>
        <w:t xml:space="preserve">for </w:t>
      </w:r>
      <w:r w:rsidR="0065395B" w:rsidRPr="004E2642">
        <w:rPr>
          <w:rFonts w:ascii="Arial" w:hAnsi="Arial" w:cs="Arial"/>
          <w:color w:val="002060"/>
          <w:sz w:val="21"/>
          <w:szCs w:val="21"/>
        </w:rPr>
        <w:t>the meeting</w:t>
      </w:r>
      <w:r w:rsidR="004E2642">
        <w:rPr>
          <w:rFonts w:ascii="Arial" w:hAnsi="Arial" w:cs="Arial"/>
          <w:color w:val="002060"/>
          <w:sz w:val="21"/>
          <w:szCs w:val="21"/>
        </w:rPr>
        <w:t xml:space="preserve"> (attachment # 13).</w:t>
      </w:r>
    </w:p>
    <w:p w:rsidR="004E2642" w:rsidRPr="004E2642" w:rsidRDefault="004E2642" w:rsidP="001105C0">
      <w:pPr>
        <w:ind w:left="142" w:right="-427"/>
        <w:jc w:val="both"/>
        <w:rPr>
          <w:rFonts w:ascii="Arial" w:hAnsi="Arial" w:cs="Arial"/>
          <w:color w:val="002060"/>
          <w:sz w:val="21"/>
          <w:szCs w:val="21"/>
        </w:rPr>
      </w:pPr>
    </w:p>
    <w:p w:rsidR="0065395B" w:rsidRPr="00B942D9" w:rsidRDefault="00476A29" w:rsidP="001105C0">
      <w:pPr>
        <w:ind w:left="142" w:right="-427"/>
        <w:jc w:val="both"/>
        <w:rPr>
          <w:rFonts w:ascii="Arial" w:hAnsi="Arial" w:cs="Arial"/>
          <w:color w:val="002060"/>
          <w:sz w:val="21"/>
          <w:szCs w:val="21"/>
        </w:rPr>
      </w:pPr>
      <w:r w:rsidRPr="00B942D9">
        <w:rPr>
          <w:rFonts w:ascii="Arial" w:hAnsi="Arial" w:cs="Arial"/>
          <w:color w:val="002060"/>
          <w:sz w:val="21"/>
          <w:szCs w:val="21"/>
        </w:rPr>
        <w:t>This</w:t>
      </w:r>
      <w:r w:rsidR="0065395B" w:rsidRPr="00B942D9">
        <w:rPr>
          <w:rFonts w:ascii="Arial" w:hAnsi="Arial" w:cs="Arial"/>
          <w:color w:val="002060"/>
          <w:sz w:val="21"/>
          <w:szCs w:val="21"/>
        </w:rPr>
        <w:t xml:space="preserve"> presentation outlines </w:t>
      </w:r>
      <w:r w:rsidRPr="00B942D9">
        <w:rPr>
          <w:rFonts w:ascii="Arial" w:hAnsi="Arial" w:cs="Arial"/>
          <w:color w:val="002060"/>
          <w:sz w:val="21"/>
          <w:szCs w:val="21"/>
        </w:rPr>
        <w:t xml:space="preserve">that </w:t>
      </w:r>
      <w:r w:rsidR="0065395B" w:rsidRPr="00B942D9">
        <w:rPr>
          <w:rFonts w:ascii="Arial" w:hAnsi="Arial" w:cs="Arial"/>
          <w:color w:val="002060"/>
          <w:sz w:val="21"/>
          <w:szCs w:val="21"/>
        </w:rPr>
        <w:t xml:space="preserve">Jerilderie Shire has </w:t>
      </w:r>
      <w:r w:rsidRPr="00B942D9">
        <w:rPr>
          <w:rFonts w:ascii="Arial" w:hAnsi="Arial" w:cs="Arial"/>
          <w:color w:val="002060"/>
          <w:sz w:val="21"/>
          <w:szCs w:val="21"/>
        </w:rPr>
        <w:t>foregone rate rises in the past.  In</w:t>
      </w:r>
      <w:r w:rsidR="0065395B" w:rsidRPr="00B942D9">
        <w:rPr>
          <w:rFonts w:ascii="Arial" w:hAnsi="Arial" w:cs="Arial"/>
          <w:color w:val="002060"/>
          <w:sz w:val="21"/>
          <w:szCs w:val="21"/>
        </w:rPr>
        <w:t xml:space="preserve"> the years 1983-1987 the rates were not increased by the statutory limit or rate cap.  In 1986 rates were not increased at all.  </w:t>
      </w:r>
      <w:r w:rsidR="0065395B" w:rsidRPr="00DD14B7">
        <w:rPr>
          <w:rFonts w:ascii="Arial" w:hAnsi="Arial" w:cs="Arial"/>
          <w:color w:val="002060"/>
          <w:sz w:val="21"/>
          <w:szCs w:val="21"/>
        </w:rPr>
        <w:t>This means that Council has foregone income to the value of $</w:t>
      </w:r>
      <w:r w:rsidRPr="00DD14B7">
        <w:rPr>
          <w:rFonts w:ascii="Arial" w:hAnsi="Arial" w:cs="Arial"/>
          <w:color w:val="002060"/>
          <w:sz w:val="21"/>
          <w:szCs w:val="21"/>
        </w:rPr>
        <w:t>2.4</w:t>
      </w:r>
      <w:r w:rsidR="0065395B" w:rsidRPr="00DD14B7">
        <w:rPr>
          <w:rFonts w:ascii="Arial" w:hAnsi="Arial" w:cs="Arial"/>
          <w:color w:val="002060"/>
          <w:sz w:val="21"/>
          <w:szCs w:val="21"/>
        </w:rPr>
        <w:t xml:space="preserve"> million </w:t>
      </w:r>
      <w:r w:rsidR="00FC0A32" w:rsidRPr="00DD14B7">
        <w:rPr>
          <w:rFonts w:ascii="Arial" w:hAnsi="Arial" w:cs="Arial"/>
          <w:color w:val="002060"/>
          <w:sz w:val="21"/>
          <w:szCs w:val="21"/>
        </w:rPr>
        <w:t>over this time</w:t>
      </w:r>
      <w:r w:rsidR="00E821F8" w:rsidRPr="00DD14B7">
        <w:rPr>
          <w:rFonts w:ascii="Arial" w:hAnsi="Arial" w:cs="Arial"/>
          <w:color w:val="002060"/>
          <w:sz w:val="21"/>
          <w:szCs w:val="21"/>
        </w:rPr>
        <w:t>.  The annual foregone income grew to 15%</w:t>
      </w:r>
      <w:r w:rsidR="00DD14B7" w:rsidRPr="00DD14B7">
        <w:rPr>
          <w:rFonts w:ascii="Arial" w:hAnsi="Arial" w:cs="Arial"/>
          <w:color w:val="002060"/>
          <w:sz w:val="21"/>
          <w:szCs w:val="21"/>
        </w:rPr>
        <w:t xml:space="preserve"> of rates income</w:t>
      </w:r>
      <w:r w:rsidR="00E821F8" w:rsidRPr="00DD14B7">
        <w:rPr>
          <w:rFonts w:ascii="Arial" w:hAnsi="Arial" w:cs="Arial"/>
          <w:color w:val="002060"/>
          <w:sz w:val="21"/>
          <w:szCs w:val="21"/>
        </w:rPr>
        <w:t xml:space="preserve"> in the first 5 years, fluctuating to between 10% and 15% for the next 25 years.</w:t>
      </w:r>
      <w:r w:rsidR="00FC0A32">
        <w:rPr>
          <w:rFonts w:ascii="Arial" w:hAnsi="Arial" w:cs="Arial"/>
          <w:color w:val="002060"/>
          <w:sz w:val="21"/>
          <w:szCs w:val="21"/>
        </w:rPr>
        <w:t xml:space="preserve"> </w:t>
      </w:r>
    </w:p>
    <w:p w:rsidR="00476A29" w:rsidRPr="00B942D9" w:rsidRDefault="00476A29" w:rsidP="001105C0">
      <w:pPr>
        <w:ind w:left="142" w:right="-427"/>
        <w:jc w:val="both"/>
        <w:rPr>
          <w:rFonts w:ascii="Arial" w:hAnsi="Arial" w:cs="Arial"/>
          <w:color w:val="002060"/>
          <w:sz w:val="21"/>
          <w:szCs w:val="21"/>
        </w:rPr>
      </w:pPr>
    </w:p>
    <w:p w:rsidR="0065395B" w:rsidRPr="00B942D9" w:rsidRDefault="0065395B" w:rsidP="001105C0">
      <w:pPr>
        <w:ind w:left="142" w:right="-427"/>
        <w:jc w:val="both"/>
        <w:rPr>
          <w:rFonts w:ascii="Arial" w:hAnsi="Arial" w:cs="Arial"/>
          <w:color w:val="002060"/>
          <w:sz w:val="21"/>
          <w:szCs w:val="21"/>
        </w:rPr>
      </w:pPr>
      <w:r w:rsidRPr="00B942D9">
        <w:rPr>
          <w:rFonts w:ascii="Arial" w:hAnsi="Arial" w:cs="Arial"/>
          <w:color w:val="002060"/>
          <w:sz w:val="21"/>
          <w:szCs w:val="21"/>
        </w:rPr>
        <w:t>The second community meeting was held in the Civic Hall on 25 September 2014 at 7pm</w:t>
      </w:r>
      <w:r w:rsidR="00476A29" w:rsidRPr="00B942D9">
        <w:rPr>
          <w:rFonts w:ascii="Arial" w:hAnsi="Arial" w:cs="Arial"/>
          <w:color w:val="002060"/>
          <w:sz w:val="21"/>
          <w:szCs w:val="21"/>
        </w:rPr>
        <w:t>, with 58 people in attendance</w:t>
      </w:r>
      <w:r w:rsidRPr="00B942D9">
        <w:rPr>
          <w:rFonts w:ascii="Arial" w:hAnsi="Arial" w:cs="Arial"/>
          <w:color w:val="002060"/>
          <w:sz w:val="21"/>
          <w:szCs w:val="21"/>
        </w:rPr>
        <w:t xml:space="preserve">. </w:t>
      </w:r>
      <w:r w:rsidR="008A3AA0" w:rsidRPr="004E2642">
        <w:rPr>
          <w:rFonts w:ascii="Arial" w:hAnsi="Arial" w:cs="Arial"/>
          <w:color w:val="002060"/>
          <w:sz w:val="21"/>
          <w:szCs w:val="21"/>
        </w:rPr>
        <w:t xml:space="preserve">Attached is the </w:t>
      </w:r>
      <w:proofErr w:type="gramStart"/>
      <w:r w:rsidR="008A3AA0" w:rsidRPr="004E2642">
        <w:rPr>
          <w:rFonts w:ascii="Arial" w:hAnsi="Arial" w:cs="Arial"/>
          <w:color w:val="002060"/>
          <w:sz w:val="21"/>
          <w:szCs w:val="21"/>
        </w:rPr>
        <w:t>powerpoint</w:t>
      </w:r>
      <w:proofErr w:type="gramEnd"/>
      <w:r w:rsidR="008A3AA0" w:rsidRPr="004E2642">
        <w:rPr>
          <w:rFonts w:ascii="Arial" w:hAnsi="Arial" w:cs="Arial"/>
          <w:color w:val="002060"/>
          <w:sz w:val="21"/>
          <w:szCs w:val="21"/>
        </w:rPr>
        <w:t xml:space="preserve"> presentation for the meeting</w:t>
      </w:r>
      <w:r w:rsidR="008A3AA0">
        <w:rPr>
          <w:rFonts w:ascii="Arial" w:hAnsi="Arial" w:cs="Arial"/>
          <w:color w:val="002060"/>
          <w:sz w:val="21"/>
          <w:szCs w:val="21"/>
        </w:rPr>
        <w:t xml:space="preserve"> (attachment # 13).</w:t>
      </w:r>
    </w:p>
    <w:p w:rsidR="0065395B" w:rsidRPr="00B942D9" w:rsidRDefault="0065395B" w:rsidP="001105C0">
      <w:pPr>
        <w:ind w:left="142" w:right="-427"/>
        <w:jc w:val="both"/>
        <w:rPr>
          <w:rFonts w:ascii="Arial" w:hAnsi="Arial" w:cs="Arial"/>
          <w:color w:val="002060"/>
          <w:sz w:val="21"/>
          <w:szCs w:val="21"/>
        </w:rPr>
      </w:pPr>
    </w:p>
    <w:p w:rsidR="0065395B" w:rsidRPr="00B942D9" w:rsidRDefault="0065395B" w:rsidP="001105C0">
      <w:pPr>
        <w:ind w:left="142" w:right="-427"/>
        <w:jc w:val="both"/>
        <w:rPr>
          <w:rFonts w:ascii="Arial" w:hAnsi="Arial" w:cs="Arial"/>
          <w:b/>
          <w:color w:val="002060"/>
          <w:sz w:val="21"/>
          <w:szCs w:val="21"/>
        </w:rPr>
      </w:pPr>
      <w:r w:rsidRPr="00B942D9">
        <w:rPr>
          <w:rFonts w:ascii="Arial" w:hAnsi="Arial" w:cs="Arial"/>
          <w:b/>
          <w:color w:val="002060"/>
          <w:sz w:val="21"/>
          <w:szCs w:val="21"/>
        </w:rPr>
        <w:t>Survey</w:t>
      </w:r>
    </w:p>
    <w:p w:rsidR="00476A29" w:rsidRDefault="0065395B" w:rsidP="001105C0">
      <w:pPr>
        <w:ind w:left="142" w:right="-427"/>
        <w:jc w:val="both"/>
        <w:rPr>
          <w:rFonts w:ascii="Arial" w:hAnsi="Arial" w:cs="Arial"/>
          <w:color w:val="002060"/>
          <w:sz w:val="21"/>
          <w:szCs w:val="21"/>
        </w:rPr>
      </w:pPr>
      <w:r w:rsidRPr="00B942D9">
        <w:rPr>
          <w:rFonts w:ascii="Arial" w:hAnsi="Arial" w:cs="Arial"/>
          <w:color w:val="002060"/>
          <w:sz w:val="21"/>
          <w:szCs w:val="21"/>
        </w:rPr>
        <w:t>A survey was sent out with the annual rate notice</w:t>
      </w:r>
      <w:r w:rsidR="008A3AA0">
        <w:rPr>
          <w:rFonts w:ascii="Arial" w:hAnsi="Arial" w:cs="Arial"/>
          <w:color w:val="002060"/>
          <w:sz w:val="21"/>
          <w:szCs w:val="21"/>
        </w:rPr>
        <w:t xml:space="preserve"> (attachment # 6). </w:t>
      </w:r>
      <w:r w:rsidRPr="00B942D9">
        <w:rPr>
          <w:rFonts w:ascii="Arial" w:hAnsi="Arial" w:cs="Arial"/>
          <w:color w:val="002060"/>
          <w:sz w:val="21"/>
          <w:szCs w:val="21"/>
        </w:rPr>
        <w:t xml:space="preserve"> </w:t>
      </w:r>
      <w:r w:rsidR="00F123E0" w:rsidRPr="00B942D9">
        <w:rPr>
          <w:rFonts w:ascii="Arial" w:hAnsi="Arial" w:cs="Arial"/>
          <w:color w:val="002060"/>
          <w:sz w:val="21"/>
          <w:szCs w:val="21"/>
        </w:rPr>
        <w:t xml:space="preserve">91 </w:t>
      </w:r>
      <w:r w:rsidRPr="00B942D9">
        <w:rPr>
          <w:rFonts w:ascii="Arial" w:hAnsi="Arial" w:cs="Arial"/>
          <w:color w:val="002060"/>
          <w:sz w:val="21"/>
          <w:szCs w:val="21"/>
        </w:rPr>
        <w:t>surveys in total were returned</w:t>
      </w:r>
      <w:r w:rsidR="00A349F5">
        <w:rPr>
          <w:rFonts w:ascii="Arial" w:hAnsi="Arial" w:cs="Arial"/>
          <w:color w:val="002060"/>
          <w:sz w:val="21"/>
          <w:szCs w:val="21"/>
        </w:rPr>
        <w:t xml:space="preserve"> (8.3%).</w:t>
      </w:r>
    </w:p>
    <w:p w:rsidR="00C1555C" w:rsidRDefault="00C1555C" w:rsidP="001105C0">
      <w:pPr>
        <w:ind w:left="142" w:right="-427"/>
        <w:jc w:val="both"/>
        <w:rPr>
          <w:rFonts w:ascii="Arial" w:hAnsi="Arial" w:cs="Arial"/>
          <w:color w:val="002060"/>
          <w:sz w:val="21"/>
          <w:szCs w:val="21"/>
        </w:rPr>
      </w:pPr>
    </w:p>
    <w:p w:rsidR="00351E17" w:rsidRDefault="00351E17" w:rsidP="001105C0">
      <w:pPr>
        <w:ind w:left="142" w:right="-427"/>
        <w:jc w:val="both"/>
        <w:rPr>
          <w:rFonts w:ascii="Arial" w:hAnsi="Arial" w:cs="Arial"/>
          <w:color w:val="002060"/>
          <w:sz w:val="21"/>
          <w:szCs w:val="21"/>
        </w:rPr>
      </w:pPr>
    </w:p>
    <w:p w:rsidR="00351E17" w:rsidRDefault="00351E17" w:rsidP="001105C0">
      <w:pPr>
        <w:ind w:left="142" w:right="-427"/>
        <w:jc w:val="both"/>
        <w:rPr>
          <w:rFonts w:ascii="Arial" w:hAnsi="Arial" w:cs="Arial"/>
          <w:color w:val="002060"/>
          <w:sz w:val="21"/>
          <w:szCs w:val="21"/>
        </w:rPr>
      </w:pPr>
    </w:p>
    <w:p w:rsidR="00351E17" w:rsidRDefault="00351E17" w:rsidP="001105C0">
      <w:pPr>
        <w:ind w:left="142" w:right="-427"/>
        <w:jc w:val="both"/>
        <w:rPr>
          <w:rFonts w:ascii="Arial" w:hAnsi="Arial" w:cs="Arial"/>
          <w:color w:val="002060"/>
          <w:sz w:val="21"/>
          <w:szCs w:val="21"/>
        </w:rPr>
      </w:pPr>
    </w:p>
    <w:p w:rsidR="00C1555C" w:rsidRDefault="00C1555C" w:rsidP="001105C0">
      <w:pPr>
        <w:ind w:left="142" w:right="-427"/>
        <w:jc w:val="both"/>
        <w:rPr>
          <w:rFonts w:ascii="Arial" w:hAnsi="Arial" w:cs="Arial"/>
          <w:color w:val="002060"/>
          <w:sz w:val="21"/>
          <w:szCs w:val="21"/>
        </w:rPr>
      </w:pPr>
    </w:p>
    <w:p w:rsidR="00C1555C" w:rsidRDefault="00C1555C" w:rsidP="001105C0">
      <w:pPr>
        <w:ind w:left="142" w:right="-427"/>
        <w:jc w:val="both"/>
        <w:rPr>
          <w:rFonts w:ascii="Arial" w:hAnsi="Arial" w:cs="Arial"/>
          <w:color w:val="002060"/>
          <w:sz w:val="21"/>
          <w:szCs w:val="21"/>
        </w:rPr>
      </w:pPr>
    </w:p>
    <w:p w:rsidR="0065395B" w:rsidRPr="00B942D9" w:rsidRDefault="0065395B" w:rsidP="00C1555C">
      <w:pPr>
        <w:ind w:right="-427"/>
        <w:jc w:val="both"/>
        <w:rPr>
          <w:rFonts w:ascii="Arial" w:hAnsi="Arial" w:cs="Arial"/>
          <w:b/>
          <w:color w:val="002060"/>
          <w:sz w:val="21"/>
          <w:szCs w:val="21"/>
        </w:rPr>
      </w:pPr>
      <w:r w:rsidRPr="00B942D9">
        <w:rPr>
          <w:rFonts w:ascii="Arial" w:hAnsi="Arial" w:cs="Arial"/>
          <w:b/>
          <w:color w:val="002060"/>
          <w:sz w:val="21"/>
          <w:szCs w:val="21"/>
        </w:rPr>
        <w:lastRenderedPageBreak/>
        <w:t>Other</w:t>
      </w:r>
    </w:p>
    <w:p w:rsidR="0065395B" w:rsidRDefault="00476A29" w:rsidP="00C1555C">
      <w:pPr>
        <w:jc w:val="both"/>
        <w:rPr>
          <w:rFonts w:ascii="Arial" w:hAnsi="Arial" w:cs="Arial"/>
          <w:color w:val="002060"/>
          <w:sz w:val="21"/>
          <w:szCs w:val="21"/>
        </w:rPr>
      </w:pPr>
      <w:r w:rsidRPr="00B942D9">
        <w:rPr>
          <w:rFonts w:ascii="Arial" w:hAnsi="Arial" w:cs="Arial"/>
          <w:color w:val="002060"/>
          <w:sz w:val="21"/>
          <w:szCs w:val="21"/>
        </w:rPr>
        <w:t>Various media reports</w:t>
      </w:r>
      <w:r w:rsidR="0065395B" w:rsidRPr="00B942D9">
        <w:rPr>
          <w:rFonts w:ascii="Arial" w:hAnsi="Arial" w:cs="Arial"/>
          <w:color w:val="002060"/>
          <w:sz w:val="21"/>
          <w:szCs w:val="21"/>
        </w:rPr>
        <w:t xml:space="preserve"> were published in the local paper regarding the special rate</w:t>
      </w:r>
      <w:r w:rsidR="00C1555C">
        <w:rPr>
          <w:rFonts w:ascii="Arial" w:hAnsi="Arial" w:cs="Arial"/>
          <w:color w:val="002060"/>
          <w:sz w:val="21"/>
          <w:szCs w:val="21"/>
        </w:rPr>
        <w:t xml:space="preserve"> </w:t>
      </w:r>
      <w:r w:rsidR="0065395B" w:rsidRPr="00B942D9">
        <w:rPr>
          <w:rFonts w:ascii="Arial" w:hAnsi="Arial" w:cs="Arial"/>
          <w:color w:val="002060"/>
          <w:sz w:val="21"/>
          <w:szCs w:val="21"/>
        </w:rPr>
        <w:t>variation</w:t>
      </w:r>
      <w:r w:rsidR="008A3AA0">
        <w:rPr>
          <w:rFonts w:ascii="Arial" w:hAnsi="Arial" w:cs="Arial"/>
          <w:color w:val="002060"/>
          <w:sz w:val="21"/>
          <w:szCs w:val="21"/>
        </w:rPr>
        <w:t xml:space="preserve"> (attachment # 5)</w:t>
      </w:r>
    </w:p>
    <w:p w:rsidR="0046199E" w:rsidRPr="00B942D9" w:rsidRDefault="0046199E" w:rsidP="001105C0">
      <w:pPr>
        <w:ind w:left="142" w:right="-427"/>
        <w:jc w:val="both"/>
        <w:rPr>
          <w:rFonts w:ascii="Arial" w:hAnsi="Arial" w:cs="Arial"/>
          <w:color w:val="002060"/>
          <w:sz w:val="21"/>
          <w:szCs w:val="21"/>
        </w:rPr>
      </w:pPr>
    </w:p>
    <w:p w:rsidR="0065395B" w:rsidRDefault="0065395B" w:rsidP="001105C0">
      <w:pPr>
        <w:ind w:right="-1"/>
        <w:jc w:val="both"/>
        <w:rPr>
          <w:rFonts w:ascii="Arial" w:hAnsi="Arial" w:cs="Arial"/>
          <w:color w:val="002060"/>
          <w:sz w:val="21"/>
          <w:szCs w:val="21"/>
        </w:rPr>
      </w:pPr>
      <w:r w:rsidRPr="00B942D9">
        <w:rPr>
          <w:rFonts w:ascii="Arial" w:hAnsi="Arial" w:cs="Arial"/>
          <w:color w:val="002060"/>
          <w:sz w:val="21"/>
          <w:szCs w:val="21"/>
        </w:rPr>
        <w:t xml:space="preserve">There have been a number of private meetings between ratepayers, Councillors and Council Officers.    These meetings </w:t>
      </w:r>
      <w:r w:rsidR="005C3FC4" w:rsidRPr="00B942D9">
        <w:rPr>
          <w:rFonts w:ascii="Arial" w:hAnsi="Arial" w:cs="Arial"/>
          <w:color w:val="002060"/>
          <w:sz w:val="21"/>
          <w:szCs w:val="21"/>
        </w:rPr>
        <w:t>are</w:t>
      </w:r>
      <w:r w:rsidRPr="00B942D9">
        <w:rPr>
          <w:rFonts w:ascii="Arial" w:hAnsi="Arial" w:cs="Arial"/>
          <w:color w:val="002060"/>
          <w:sz w:val="21"/>
          <w:szCs w:val="21"/>
        </w:rPr>
        <w:t xml:space="preserve"> offered to all ratepayers and members of the public</w:t>
      </w:r>
      <w:r w:rsidR="005C3FC4" w:rsidRPr="00B942D9">
        <w:rPr>
          <w:rFonts w:ascii="Arial" w:hAnsi="Arial" w:cs="Arial"/>
          <w:color w:val="002060"/>
          <w:sz w:val="21"/>
          <w:szCs w:val="21"/>
        </w:rPr>
        <w:t xml:space="preserve"> </w:t>
      </w:r>
      <w:r w:rsidRPr="00B942D9">
        <w:rPr>
          <w:rFonts w:ascii="Arial" w:hAnsi="Arial" w:cs="Arial"/>
          <w:color w:val="002060"/>
          <w:sz w:val="21"/>
          <w:szCs w:val="21"/>
        </w:rPr>
        <w:t>enquiring a</w:t>
      </w:r>
      <w:r w:rsidR="005C3FC4" w:rsidRPr="00B942D9">
        <w:rPr>
          <w:rFonts w:ascii="Arial" w:hAnsi="Arial" w:cs="Arial"/>
          <w:color w:val="002060"/>
          <w:sz w:val="21"/>
          <w:szCs w:val="21"/>
        </w:rPr>
        <w:t>bout the special rate variation and/or the impact on their individual rate assessment/s.</w:t>
      </w:r>
      <w:r w:rsidR="0046199E" w:rsidRPr="00B942D9">
        <w:rPr>
          <w:rFonts w:ascii="Arial" w:hAnsi="Arial" w:cs="Arial"/>
          <w:color w:val="002060"/>
          <w:sz w:val="21"/>
          <w:szCs w:val="21"/>
        </w:rPr>
        <w:t xml:space="preserve">  </w:t>
      </w:r>
    </w:p>
    <w:p w:rsidR="008A3AA0" w:rsidRDefault="008A3AA0" w:rsidP="001105C0">
      <w:pPr>
        <w:ind w:right="-1"/>
        <w:jc w:val="both"/>
        <w:rPr>
          <w:rFonts w:ascii="Arial" w:hAnsi="Arial" w:cs="Arial"/>
          <w:color w:val="002060"/>
          <w:sz w:val="21"/>
          <w:szCs w:val="21"/>
        </w:rPr>
      </w:pPr>
    </w:p>
    <w:p w:rsidR="008A3AA0" w:rsidRDefault="008A3AA0" w:rsidP="001105C0">
      <w:pPr>
        <w:ind w:right="-1"/>
        <w:jc w:val="both"/>
        <w:rPr>
          <w:rFonts w:ascii="Arial" w:hAnsi="Arial" w:cs="Arial"/>
          <w:color w:val="002060"/>
          <w:sz w:val="21"/>
          <w:szCs w:val="21"/>
        </w:rPr>
      </w:pPr>
      <w:r w:rsidRPr="00B942D9">
        <w:rPr>
          <w:rFonts w:ascii="Arial" w:hAnsi="Arial" w:cs="Arial"/>
          <w:color w:val="002060"/>
          <w:sz w:val="21"/>
          <w:szCs w:val="21"/>
        </w:rPr>
        <w:t xml:space="preserve">At the October meeting of Council, a presentation was </w:t>
      </w:r>
      <w:r>
        <w:rPr>
          <w:rFonts w:ascii="Arial" w:hAnsi="Arial" w:cs="Arial"/>
          <w:color w:val="002060"/>
          <w:sz w:val="21"/>
          <w:szCs w:val="21"/>
        </w:rPr>
        <w:t>received from</w:t>
      </w:r>
      <w:r w:rsidRPr="00B942D9">
        <w:rPr>
          <w:rFonts w:ascii="Arial" w:hAnsi="Arial" w:cs="Arial"/>
          <w:color w:val="002060"/>
          <w:sz w:val="21"/>
          <w:szCs w:val="21"/>
        </w:rPr>
        <w:t xml:space="preserve"> two rural ratepayers in response to the proposed </w:t>
      </w:r>
      <w:r>
        <w:rPr>
          <w:rFonts w:ascii="Arial" w:hAnsi="Arial" w:cs="Arial"/>
          <w:color w:val="002060"/>
          <w:sz w:val="21"/>
          <w:szCs w:val="21"/>
        </w:rPr>
        <w:t xml:space="preserve">permanent </w:t>
      </w:r>
      <w:r w:rsidRPr="00B942D9">
        <w:rPr>
          <w:rFonts w:ascii="Arial" w:hAnsi="Arial" w:cs="Arial"/>
          <w:color w:val="002060"/>
          <w:sz w:val="21"/>
          <w:szCs w:val="21"/>
        </w:rPr>
        <w:t>special rate variation.</w:t>
      </w:r>
    </w:p>
    <w:p w:rsidR="008A3AA0" w:rsidRDefault="008A3AA0" w:rsidP="001105C0">
      <w:pPr>
        <w:ind w:right="-1"/>
        <w:jc w:val="both"/>
        <w:rPr>
          <w:rFonts w:ascii="Arial" w:hAnsi="Arial" w:cs="Arial"/>
          <w:color w:val="002060"/>
          <w:sz w:val="21"/>
          <w:szCs w:val="21"/>
        </w:rPr>
      </w:pPr>
    </w:p>
    <w:p w:rsidR="008A3AA0" w:rsidRPr="00B942D9" w:rsidRDefault="008A3AA0" w:rsidP="001105C0">
      <w:pPr>
        <w:ind w:right="-1"/>
        <w:jc w:val="both"/>
        <w:rPr>
          <w:rFonts w:ascii="Arial" w:hAnsi="Arial" w:cs="Arial"/>
          <w:color w:val="002060"/>
          <w:sz w:val="21"/>
          <w:szCs w:val="21"/>
        </w:rPr>
      </w:pPr>
      <w:r w:rsidRPr="00351E17">
        <w:rPr>
          <w:rFonts w:ascii="Arial" w:hAnsi="Arial" w:cs="Arial"/>
          <w:color w:val="FF0000"/>
          <w:sz w:val="21"/>
          <w:szCs w:val="21"/>
        </w:rPr>
        <w:t>Attachment # 14</w:t>
      </w:r>
      <w:r>
        <w:rPr>
          <w:rFonts w:ascii="Arial" w:hAnsi="Arial" w:cs="Arial"/>
          <w:color w:val="002060"/>
          <w:sz w:val="21"/>
          <w:szCs w:val="21"/>
        </w:rPr>
        <w:t>-</w:t>
      </w:r>
      <w:r w:rsidRPr="00351E17">
        <w:rPr>
          <w:rFonts w:ascii="Arial" w:hAnsi="Arial" w:cs="Arial"/>
          <w:color w:val="FF0000"/>
          <w:sz w:val="21"/>
          <w:szCs w:val="21"/>
        </w:rPr>
        <w:t xml:space="preserve">Confidential </w:t>
      </w:r>
      <w:r w:rsidR="00351E17" w:rsidRPr="00351E17">
        <w:rPr>
          <w:rFonts w:ascii="Arial" w:hAnsi="Arial" w:cs="Arial"/>
          <w:color w:val="FF0000"/>
          <w:sz w:val="21"/>
          <w:szCs w:val="21"/>
        </w:rPr>
        <w:t>Individual Assessments</w:t>
      </w:r>
      <w:r w:rsidRPr="00351E17">
        <w:rPr>
          <w:rFonts w:ascii="Arial" w:hAnsi="Arial" w:cs="Arial"/>
          <w:color w:val="FF0000"/>
          <w:sz w:val="21"/>
          <w:szCs w:val="21"/>
        </w:rPr>
        <w:t xml:space="preserve"> Spreadsheet</w:t>
      </w:r>
    </w:p>
    <w:p w:rsidR="008A3AA0" w:rsidRPr="00B942D9" w:rsidRDefault="008A3AA0" w:rsidP="006E61CA">
      <w:pPr>
        <w:ind w:right="-710"/>
        <w:jc w:val="both"/>
        <w:rPr>
          <w:rFonts w:ascii="Arial" w:hAnsi="Arial" w:cs="Arial"/>
          <w:color w:val="002060"/>
          <w:sz w:val="21"/>
          <w:szCs w:val="21"/>
        </w:rPr>
      </w:pPr>
      <w:r w:rsidRPr="00B942D9">
        <w:rPr>
          <w:rFonts w:ascii="Arial" w:hAnsi="Arial" w:cs="Arial"/>
          <w:color w:val="002060"/>
          <w:sz w:val="21"/>
          <w:szCs w:val="21"/>
        </w:rPr>
        <w:t xml:space="preserve">    </w:t>
      </w:r>
    </w:p>
    <w:p w:rsidR="00D60EA5" w:rsidRPr="00B81691" w:rsidRDefault="00D60EA5" w:rsidP="001105C0">
      <w:pPr>
        <w:pStyle w:val="Heading2"/>
      </w:pPr>
      <w:bookmarkStart w:id="28" w:name="_Toc366160413"/>
      <w:bookmarkStart w:id="29" w:name="_Toc411847915"/>
      <w:r w:rsidRPr="00B81691">
        <w:t>Feedback from the community consultations</w:t>
      </w:r>
      <w:bookmarkEnd w:id="28"/>
      <w:bookmarkEnd w:id="29"/>
    </w:p>
    <w:p w:rsidR="00D60EA5" w:rsidRDefault="00D60EA5" w:rsidP="001105C0">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1105C0">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39061F" w:rsidRPr="008A3AA0" w:rsidRDefault="005C3FC4" w:rsidP="001105C0">
      <w:pPr>
        <w:pStyle w:val="BodyText"/>
        <w:rPr>
          <w:rFonts w:ascii="Arial" w:hAnsi="Arial" w:cs="Arial"/>
          <w:color w:val="002060"/>
          <w:sz w:val="21"/>
        </w:rPr>
      </w:pPr>
      <w:r w:rsidRPr="008A3AA0">
        <w:rPr>
          <w:rFonts w:ascii="Arial" w:hAnsi="Arial" w:cs="Arial"/>
          <w:color w:val="002060"/>
          <w:sz w:val="21"/>
        </w:rPr>
        <w:t>The most effective methods of</w:t>
      </w:r>
      <w:r w:rsidR="008A3AA0" w:rsidRPr="008A3AA0">
        <w:rPr>
          <w:rFonts w:ascii="Arial" w:hAnsi="Arial" w:cs="Arial"/>
          <w:color w:val="002060"/>
          <w:sz w:val="21"/>
        </w:rPr>
        <w:t xml:space="preserve"> gaining</w:t>
      </w:r>
      <w:r w:rsidRPr="008A3AA0">
        <w:rPr>
          <w:rFonts w:ascii="Arial" w:hAnsi="Arial" w:cs="Arial"/>
          <w:color w:val="002060"/>
          <w:sz w:val="21"/>
        </w:rPr>
        <w:t xml:space="preserve"> community input were the community meetings, submissions made regarding the Delivery Program and Operational Plan and the community survey.</w:t>
      </w:r>
    </w:p>
    <w:p w:rsidR="00F123E0" w:rsidRDefault="00F123E0" w:rsidP="001105C0">
      <w:pPr>
        <w:jc w:val="both"/>
        <w:rPr>
          <w:rFonts w:ascii="Arial" w:hAnsi="Arial" w:cs="Arial"/>
          <w:color w:val="002060"/>
          <w:sz w:val="24"/>
        </w:rPr>
      </w:pPr>
    </w:p>
    <w:p w:rsidR="005C3FC4" w:rsidRPr="008A3AA0" w:rsidRDefault="005C3FC4" w:rsidP="001105C0">
      <w:pPr>
        <w:jc w:val="both"/>
        <w:rPr>
          <w:rFonts w:ascii="Arial" w:hAnsi="Arial" w:cs="Arial"/>
          <w:color w:val="00B050"/>
          <w:sz w:val="21"/>
          <w:szCs w:val="21"/>
        </w:rPr>
      </w:pPr>
      <w:r w:rsidRPr="008A3AA0">
        <w:rPr>
          <w:rFonts w:ascii="Arial" w:hAnsi="Arial" w:cs="Arial"/>
          <w:color w:val="002060"/>
          <w:sz w:val="21"/>
          <w:szCs w:val="21"/>
        </w:rPr>
        <w:t xml:space="preserve">The submissions received during the exhibition period for the Delivery Program and Operational Plan were presented to Council at its meeting of 24 June 2014. </w:t>
      </w:r>
      <w:r w:rsidR="008A3AA0" w:rsidRPr="008A3AA0">
        <w:rPr>
          <w:rFonts w:ascii="Arial" w:hAnsi="Arial" w:cs="Arial"/>
          <w:color w:val="002060"/>
          <w:sz w:val="21"/>
          <w:szCs w:val="21"/>
        </w:rPr>
        <w:t xml:space="preserve">This report outlined the need for additional public meetings at a time more appropriate for the rural ratepayers of the Shire and consideration of other forms of communications, including a survey.  </w:t>
      </w:r>
      <w:r w:rsidR="00F123E0" w:rsidRPr="008A3AA0">
        <w:rPr>
          <w:rFonts w:ascii="Arial" w:hAnsi="Arial" w:cs="Arial"/>
          <w:color w:val="002060"/>
          <w:sz w:val="21"/>
          <w:szCs w:val="21"/>
        </w:rPr>
        <w:t>All but 1 of the 25 submissions raised concerns a</w:t>
      </w:r>
      <w:r w:rsidR="00B81691">
        <w:rPr>
          <w:rFonts w:ascii="Arial" w:hAnsi="Arial" w:cs="Arial"/>
          <w:color w:val="002060"/>
          <w:sz w:val="21"/>
          <w:szCs w:val="21"/>
        </w:rPr>
        <w:t>bout the proposed rate increase</w:t>
      </w:r>
      <w:r w:rsidR="00F123E0" w:rsidRPr="008A3AA0">
        <w:rPr>
          <w:rFonts w:ascii="Arial" w:hAnsi="Arial" w:cs="Arial"/>
          <w:color w:val="002060"/>
          <w:sz w:val="21"/>
          <w:szCs w:val="21"/>
        </w:rPr>
        <w:t xml:space="preserve"> </w:t>
      </w:r>
      <w:r w:rsidR="008A3AA0">
        <w:rPr>
          <w:rFonts w:ascii="Arial" w:hAnsi="Arial" w:cs="Arial"/>
          <w:color w:val="002060"/>
          <w:sz w:val="21"/>
          <w:szCs w:val="21"/>
        </w:rPr>
        <w:t>(a</w:t>
      </w:r>
      <w:r w:rsidR="008A3AA0" w:rsidRPr="008A3AA0">
        <w:rPr>
          <w:rFonts w:ascii="Arial" w:hAnsi="Arial" w:cs="Arial"/>
          <w:color w:val="002060"/>
          <w:sz w:val="21"/>
          <w:szCs w:val="21"/>
        </w:rPr>
        <w:t>ttachment # 6)</w:t>
      </w:r>
      <w:r w:rsidR="00B81691">
        <w:rPr>
          <w:rFonts w:ascii="Arial" w:hAnsi="Arial" w:cs="Arial"/>
          <w:color w:val="002060"/>
          <w:sz w:val="21"/>
          <w:szCs w:val="21"/>
        </w:rPr>
        <w:t>.</w:t>
      </w:r>
    </w:p>
    <w:p w:rsidR="005C3FC4" w:rsidRPr="008A3AA0" w:rsidRDefault="005C3FC4" w:rsidP="001105C0">
      <w:pPr>
        <w:jc w:val="both"/>
        <w:rPr>
          <w:rFonts w:ascii="Arial" w:hAnsi="Arial" w:cs="Arial"/>
          <w:color w:val="00B050"/>
          <w:sz w:val="21"/>
          <w:szCs w:val="21"/>
        </w:rPr>
      </w:pPr>
    </w:p>
    <w:p w:rsidR="0039061F" w:rsidRDefault="0039061F" w:rsidP="001105C0">
      <w:pPr>
        <w:jc w:val="both"/>
        <w:rPr>
          <w:rFonts w:ascii="Arial" w:hAnsi="Arial" w:cs="Arial"/>
          <w:color w:val="002060"/>
          <w:sz w:val="21"/>
          <w:szCs w:val="21"/>
        </w:rPr>
      </w:pPr>
      <w:r w:rsidRPr="008A3AA0">
        <w:rPr>
          <w:rFonts w:ascii="Arial" w:hAnsi="Arial" w:cs="Arial"/>
          <w:color w:val="002060"/>
          <w:sz w:val="21"/>
          <w:szCs w:val="21"/>
        </w:rPr>
        <w:t>In August 2014 a survey was provided to the residents and ratepayers of Jerilderie Shi</w:t>
      </w:r>
      <w:r w:rsidR="00F123E0" w:rsidRPr="008A3AA0">
        <w:rPr>
          <w:rFonts w:ascii="Arial" w:hAnsi="Arial" w:cs="Arial"/>
          <w:color w:val="002060"/>
          <w:sz w:val="21"/>
          <w:szCs w:val="21"/>
        </w:rPr>
        <w:t>re.  Of the 91 surveys returned, 28</w:t>
      </w:r>
      <w:r w:rsidRPr="008A3AA0">
        <w:rPr>
          <w:rFonts w:ascii="Arial" w:hAnsi="Arial" w:cs="Arial"/>
          <w:color w:val="002060"/>
          <w:sz w:val="21"/>
          <w:szCs w:val="21"/>
        </w:rPr>
        <w:t xml:space="preserve"> (</w:t>
      </w:r>
      <w:r w:rsidR="00516484" w:rsidRPr="008A3AA0">
        <w:rPr>
          <w:rFonts w:ascii="Arial" w:hAnsi="Arial" w:cs="Arial"/>
          <w:color w:val="002060"/>
          <w:sz w:val="21"/>
          <w:szCs w:val="21"/>
        </w:rPr>
        <w:t>31%)</w:t>
      </w:r>
      <w:r w:rsidRPr="008A3AA0">
        <w:rPr>
          <w:rFonts w:ascii="Arial" w:hAnsi="Arial" w:cs="Arial"/>
          <w:color w:val="002060"/>
          <w:sz w:val="21"/>
          <w:szCs w:val="21"/>
        </w:rPr>
        <w:t xml:space="preserve"> agreed with the special rate variation, 55 (6</w:t>
      </w:r>
      <w:r w:rsidR="00516484" w:rsidRPr="008A3AA0">
        <w:rPr>
          <w:rFonts w:ascii="Arial" w:hAnsi="Arial" w:cs="Arial"/>
          <w:color w:val="002060"/>
          <w:sz w:val="21"/>
          <w:szCs w:val="21"/>
        </w:rPr>
        <w:t>0</w:t>
      </w:r>
      <w:r w:rsidR="003D4F5C" w:rsidRPr="008A3AA0">
        <w:rPr>
          <w:rFonts w:ascii="Arial" w:hAnsi="Arial" w:cs="Arial"/>
          <w:color w:val="002060"/>
          <w:sz w:val="21"/>
          <w:szCs w:val="21"/>
        </w:rPr>
        <w:t>%) w</w:t>
      </w:r>
      <w:r w:rsidRPr="008A3AA0">
        <w:rPr>
          <w:rFonts w:ascii="Arial" w:hAnsi="Arial" w:cs="Arial"/>
          <w:color w:val="002060"/>
          <w:sz w:val="21"/>
          <w:szCs w:val="21"/>
        </w:rPr>
        <w:t>ere op</w:t>
      </w:r>
      <w:r w:rsidR="003D4F5C" w:rsidRPr="008A3AA0">
        <w:rPr>
          <w:rFonts w:ascii="Arial" w:hAnsi="Arial" w:cs="Arial"/>
          <w:color w:val="002060"/>
          <w:sz w:val="21"/>
          <w:szCs w:val="21"/>
        </w:rPr>
        <w:t xml:space="preserve">posed to the rate variation, </w:t>
      </w:r>
      <w:r w:rsidR="00F123E0" w:rsidRPr="008A3AA0">
        <w:rPr>
          <w:rFonts w:ascii="Arial" w:hAnsi="Arial" w:cs="Arial"/>
          <w:color w:val="002060"/>
          <w:sz w:val="21"/>
          <w:szCs w:val="21"/>
        </w:rPr>
        <w:t>8</w:t>
      </w:r>
      <w:r w:rsidRPr="008A3AA0">
        <w:rPr>
          <w:rFonts w:ascii="Arial" w:hAnsi="Arial" w:cs="Arial"/>
          <w:color w:val="002060"/>
          <w:sz w:val="21"/>
          <w:szCs w:val="21"/>
        </w:rPr>
        <w:t xml:space="preserve"> (</w:t>
      </w:r>
      <w:r w:rsidR="00516484" w:rsidRPr="008A3AA0">
        <w:rPr>
          <w:rFonts w:ascii="Arial" w:hAnsi="Arial" w:cs="Arial"/>
          <w:color w:val="002060"/>
          <w:sz w:val="21"/>
          <w:szCs w:val="21"/>
        </w:rPr>
        <w:t>9</w:t>
      </w:r>
      <w:r w:rsidRPr="008A3AA0">
        <w:rPr>
          <w:rFonts w:ascii="Arial" w:hAnsi="Arial" w:cs="Arial"/>
          <w:color w:val="002060"/>
          <w:sz w:val="21"/>
          <w:szCs w:val="21"/>
        </w:rPr>
        <w:t>%) no comment</w:t>
      </w:r>
      <w:r w:rsidR="008A3AA0">
        <w:rPr>
          <w:rFonts w:ascii="Arial" w:hAnsi="Arial" w:cs="Arial"/>
          <w:color w:val="002060"/>
          <w:sz w:val="21"/>
          <w:szCs w:val="21"/>
        </w:rPr>
        <w:t>.</w:t>
      </w:r>
      <w:r w:rsidR="00C85245">
        <w:rPr>
          <w:rFonts w:ascii="Arial" w:hAnsi="Arial" w:cs="Arial"/>
          <w:color w:val="002060"/>
          <w:sz w:val="21"/>
          <w:szCs w:val="21"/>
        </w:rPr>
        <w:t xml:space="preserve">  91 surveys equates to 8</w:t>
      </w:r>
      <w:r w:rsidR="00A349F5">
        <w:rPr>
          <w:rFonts w:ascii="Arial" w:hAnsi="Arial" w:cs="Arial"/>
          <w:color w:val="002060"/>
          <w:sz w:val="21"/>
          <w:szCs w:val="21"/>
        </w:rPr>
        <w:t>.3</w:t>
      </w:r>
      <w:r w:rsidR="00C85245">
        <w:rPr>
          <w:rFonts w:ascii="Arial" w:hAnsi="Arial" w:cs="Arial"/>
          <w:color w:val="002060"/>
          <w:sz w:val="21"/>
          <w:szCs w:val="21"/>
        </w:rPr>
        <w:t>% of rate assessments.</w:t>
      </w:r>
    </w:p>
    <w:p w:rsidR="00C1555C" w:rsidRDefault="00C1555C" w:rsidP="001105C0">
      <w:pPr>
        <w:jc w:val="both"/>
        <w:rPr>
          <w:rFonts w:ascii="Arial" w:hAnsi="Arial" w:cs="Arial"/>
          <w:color w:val="002060"/>
          <w:sz w:val="21"/>
          <w:szCs w:val="21"/>
        </w:rPr>
      </w:pPr>
    </w:p>
    <w:p w:rsidR="00C1555C" w:rsidRDefault="00C1555C" w:rsidP="001105C0">
      <w:pPr>
        <w:jc w:val="both"/>
        <w:rPr>
          <w:rFonts w:ascii="Arial" w:hAnsi="Arial" w:cs="Arial"/>
          <w:color w:val="002060"/>
          <w:sz w:val="21"/>
          <w:szCs w:val="21"/>
        </w:rPr>
      </w:pPr>
    </w:p>
    <w:p w:rsidR="00C1555C" w:rsidRDefault="00C1555C" w:rsidP="001105C0">
      <w:pPr>
        <w:jc w:val="both"/>
        <w:rPr>
          <w:rFonts w:ascii="Arial" w:hAnsi="Arial" w:cs="Arial"/>
          <w:color w:val="002060"/>
          <w:sz w:val="21"/>
          <w:szCs w:val="21"/>
        </w:rPr>
      </w:pPr>
    </w:p>
    <w:p w:rsidR="00C1555C" w:rsidRDefault="00C1555C" w:rsidP="001105C0">
      <w:pPr>
        <w:jc w:val="both"/>
        <w:rPr>
          <w:rFonts w:ascii="Arial" w:hAnsi="Arial" w:cs="Arial"/>
          <w:color w:val="002060"/>
          <w:sz w:val="21"/>
          <w:szCs w:val="21"/>
        </w:rPr>
      </w:pPr>
    </w:p>
    <w:p w:rsidR="00C1555C" w:rsidRDefault="00C1555C" w:rsidP="001105C0">
      <w:pPr>
        <w:jc w:val="both"/>
        <w:rPr>
          <w:rFonts w:ascii="Arial" w:hAnsi="Arial" w:cs="Arial"/>
          <w:color w:val="002060"/>
          <w:sz w:val="21"/>
          <w:szCs w:val="21"/>
        </w:rPr>
      </w:pPr>
    </w:p>
    <w:p w:rsidR="00E2286B" w:rsidRDefault="00E2286B" w:rsidP="001105C0">
      <w:pPr>
        <w:jc w:val="both"/>
        <w:rPr>
          <w:rFonts w:ascii="Arial" w:hAnsi="Arial" w:cs="Arial"/>
          <w:color w:val="002060"/>
          <w:sz w:val="21"/>
          <w:szCs w:val="21"/>
        </w:rPr>
      </w:pPr>
    </w:p>
    <w:p w:rsidR="00B81691" w:rsidRDefault="00B81691" w:rsidP="001105C0">
      <w:pPr>
        <w:jc w:val="both"/>
        <w:rPr>
          <w:rFonts w:ascii="Arial" w:hAnsi="Arial" w:cs="Arial"/>
          <w:color w:val="002060"/>
          <w:sz w:val="21"/>
          <w:szCs w:val="21"/>
        </w:rPr>
      </w:pPr>
    </w:p>
    <w:p w:rsidR="00351E17" w:rsidRDefault="00351E17" w:rsidP="001105C0">
      <w:pPr>
        <w:jc w:val="both"/>
        <w:rPr>
          <w:rFonts w:ascii="Arial" w:hAnsi="Arial" w:cs="Arial"/>
          <w:color w:val="002060"/>
          <w:sz w:val="21"/>
          <w:szCs w:val="21"/>
        </w:rPr>
      </w:pPr>
    </w:p>
    <w:p w:rsidR="00A92C50" w:rsidRDefault="00A92C50" w:rsidP="001105C0">
      <w:pPr>
        <w:jc w:val="both"/>
        <w:rPr>
          <w:rFonts w:ascii="Arial" w:hAnsi="Arial" w:cs="Arial"/>
          <w:color w:val="002060"/>
          <w:sz w:val="21"/>
          <w:szCs w:val="21"/>
        </w:rPr>
      </w:pPr>
      <w:r w:rsidRPr="00B942D9">
        <w:rPr>
          <w:rFonts w:ascii="Arial" w:hAnsi="Arial" w:cs="Arial"/>
          <w:color w:val="002060"/>
          <w:sz w:val="21"/>
          <w:szCs w:val="21"/>
        </w:rPr>
        <w:t xml:space="preserve">The results of the survey were presented to </w:t>
      </w:r>
      <w:r>
        <w:rPr>
          <w:rFonts w:ascii="Arial" w:hAnsi="Arial" w:cs="Arial"/>
          <w:color w:val="002060"/>
          <w:sz w:val="21"/>
          <w:szCs w:val="21"/>
        </w:rPr>
        <w:t>the October meeting of Council (below):</w:t>
      </w:r>
    </w:p>
    <w:p w:rsidR="00A92C50" w:rsidRDefault="00A92C50" w:rsidP="0039061F">
      <w:pPr>
        <w:jc w:val="both"/>
        <w:rPr>
          <w:rFonts w:ascii="Arial" w:hAnsi="Arial" w:cs="Arial"/>
          <w:color w:val="002060"/>
          <w:sz w:val="21"/>
          <w:szCs w:val="21"/>
        </w:rPr>
      </w:pPr>
    </w:p>
    <w:p w:rsidR="00A92C50" w:rsidRDefault="00A92C50" w:rsidP="0039061F">
      <w:pPr>
        <w:jc w:val="both"/>
        <w:rPr>
          <w:rFonts w:ascii="Arial" w:hAnsi="Arial" w:cs="Arial"/>
          <w:color w:val="002060"/>
          <w:sz w:val="21"/>
          <w:szCs w:val="21"/>
        </w:rPr>
      </w:pPr>
      <w:r>
        <w:rPr>
          <w:noProof/>
        </w:rPr>
        <w:drawing>
          <wp:inline distT="0" distB="0" distL="0" distR="0">
            <wp:extent cx="5427157" cy="2605587"/>
            <wp:effectExtent l="19050" t="0" r="21143" b="4263"/>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206AB" w:rsidRDefault="002206AB" w:rsidP="0039061F">
      <w:pPr>
        <w:jc w:val="both"/>
        <w:rPr>
          <w:rFonts w:ascii="Arial" w:hAnsi="Arial" w:cs="Arial"/>
          <w:color w:val="002060"/>
          <w:sz w:val="21"/>
          <w:szCs w:val="21"/>
        </w:rPr>
      </w:pPr>
    </w:p>
    <w:p w:rsidR="002206AB" w:rsidRDefault="002206AB" w:rsidP="0039061F">
      <w:pPr>
        <w:jc w:val="both"/>
        <w:rPr>
          <w:rFonts w:ascii="Arial" w:hAnsi="Arial" w:cs="Arial"/>
          <w:color w:val="002060"/>
          <w:sz w:val="21"/>
          <w:szCs w:val="21"/>
        </w:rPr>
      </w:pPr>
    </w:p>
    <w:p w:rsidR="00C2523E" w:rsidRPr="00E2286B" w:rsidRDefault="00F123E0" w:rsidP="00DD14B7">
      <w:pPr>
        <w:ind w:right="-427"/>
        <w:jc w:val="both"/>
        <w:rPr>
          <w:rFonts w:ascii="Arial" w:hAnsi="Arial" w:cs="Arial"/>
          <w:color w:val="002060"/>
          <w:sz w:val="21"/>
          <w:szCs w:val="21"/>
        </w:rPr>
      </w:pPr>
      <w:r w:rsidRPr="00E2286B">
        <w:rPr>
          <w:rFonts w:ascii="Arial" w:hAnsi="Arial" w:cs="Arial"/>
          <w:color w:val="002060"/>
          <w:sz w:val="21"/>
          <w:szCs w:val="21"/>
        </w:rPr>
        <w:t>Feedback from the community</w:t>
      </w:r>
      <w:r w:rsidR="00C2523E" w:rsidRPr="00E2286B">
        <w:rPr>
          <w:rFonts w:ascii="Arial" w:hAnsi="Arial" w:cs="Arial"/>
          <w:color w:val="002060"/>
          <w:sz w:val="21"/>
          <w:szCs w:val="21"/>
        </w:rPr>
        <w:t xml:space="preserve"> meetings </w:t>
      </w:r>
      <w:r w:rsidRPr="00E2286B">
        <w:rPr>
          <w:rFonts w:ascii="Arial" w:hAnsi="Arial" w:cs="Arial"/>
          <w:color w:val="002060"/>
          <w:sz w:val="21"/>
          <w:szCs w:val="21"/>
        </w:rPr>
        <w:t xml:space="preserve">was received </w:t>
      </w:r>
      <w:r w:rsidR="00A92C50" w:rsidRPr="00E2286B">
        <w:rPr>
          <w:rFonts w:ascii="Arial" w:hAnsi="Arial" w:cs="Arial"/>
          <w:color w:val="002060"/>
          <w:sz w:val="21"/>
          <w:szCs w:val="21"/>
        </w:rPr>
        <w:t>(</w:t>
      </w:r>
      <w:r w:rsidR="00E14DDF" w:rsidRPr="00E2286B">
        <w:rPr>
          <w:rFonts w:ascii="Arial" w:hAnsi="Arial" w:cs="Arial"/>
          <w:color w:val="002060"/>
          <w:sz w:val="21"/>
          <w:szCs w:val="21"/>
        </w:rPr>
        <w:t>attachment # 6)</w:t>
      </w:r>
      <w:r w:rsidR="00DD14B7" w:rsidRPr="00E2286B">
        <w:rPr>
          <w:rFonts w:ascii="Arial" w:hAnsi="Arial" w:cs="Arial"/>
          <w:color w:val="002060"/>
          <w:sz w:val="21"/>
          <w:szCs w:val="21"/>
        </w:rPr>
        <w:t xml:space="preserve"> and </w:t>
      </w:r>
      <w:proofErr w:type="gramStart"/>
      <w:r w:rsidR="00DD14B7" w:rsidRPr="00E2286B">
        <w:rPr>
          <w:rFonts w:ascii="Arial" w:hAnsi="Arial" w:cs="Arial"/>
          <w:color w:val="002060"/>
          <w:sz w:val="21"/>
          <w:szCs w:val="21"/>
        </w:rPr>
        <w:t xml:space="preserve">general discussions </w:t>
      </w:r>
      <w:r w:rsidR="00E2286B" w:rsidRPr="00E2286B">
        <w:rPr>
          <w:rFonts w:ascii="Arial" w:hAnsi="Arial" w:cs="Arial"/>
          <w:color w:val="002060"/>
          <w:sz w:val="21"/>
          <w:szCs w:val="21"/>
        </w:rPr>
        <w:t>indicates</w:t>
      </w:r>
      <w:proofErr w:type="gramEnd"/>
      <w:r w:rsidR="00E2286B" w:rsidRPr="00E2286B">
        <w:rPr>
          <w:rFonts w:ascii="Arial" w:hAnsi="Arial" w:cs="Arial"/>
          <w:color w:val="002060"/>
          <w:sz w:val="21"/>
          <w:szCs w:val="21"/>
        </w:rPr>
        <w:t xml:space="preserve"> 40</w:t>
      </w:r>
      <w:r w:rsidR="00DD14B7" w:rsidRPr="00E2286B">
        <w:rPr>
          <w:rFonts w:ascii="Arial" w:hAnsi="Arial" w:cs="Arial"/>
          <w:color w:val="002060"/>
          <w:sz w:val="21"/>
          <w:szCs w:val="21"/>
        </w:rPr>
        <w:t xml:space="preserve"> of </w:t>
      </w:r>
      <w:r w:rsidR="00E2286B" w:rsidRPr="00E2286B">
        <w:rPr>
          <w:rFonts w:ascii="Arial" w:hAnsi="Arial" w:cs="Arial"/>
          <w:color w:val="002060"/>
          <w:sz w:val="21"/>
          <w:szCs w:val="21"/>
        </w:rPr>
        <w:t xml:space="preserve">the </w:t>
      </w:r>
      <w:r w:rsidR="00DD14B7" w:rsidRPr="00E2286B">
        <w:rPr>
          <w:rFonts w:ascii="Arial" w:hAnsi="Arial" w:cs="Arial"/>
          <w:color w:val="002060"/>
          <w:sz w:val="21"/>
          <w:szCs w:val="21"/>
        </w:rPr>
        <w:t>attendees were opposed to the 2 x 10% rate increases.</w:t>
      </w:r>
    </w:p>
    <w:p w:rsidR="000F359C" w:rsidRPr="00B81691" w:rsidRDefault="008A3AA0" w:rsidP="00B81691">
      <w:pPr>
        <w:pStyle w:val="Heading1"/>
      </w:pPr>
      <w:r w:rsidRPr="00B81691">
        <w:rPr>
          <w:szCs w:val="21"/>
        </w:rPr>
        <w:t xml:space="preserve"> </w:t>
      </w:r>
      <w:bookmarkStart w:id="30" w:name="_Toc411847916"/>
      <w:r w:rsidR="000F359C" w:rsidRPr="00B81691">
        <w:t>Assessment criterion</w:t>
      </w:r>
      <w:r w:rsidR="00D60EA5" w:rsidRPr="00B81691">
        <w:t xml:space="preserve"> 3: Impact on ratepayers</w:t>
      </w:r>
      <w:bookmarkEnd w:id="30"/>
    </w:p>
    <w:p w:rsidR="00D60EA5" w:rsidRPr="00916FAE" w:rsidRDefault="00235528" w:rsidP="00DD14B7">
      <w:pPr>
        <w:pStyle w:val="BodyText"/>
        <w:tabs>
          <w:tab w:val="num" w:pos="0"/>
        </w:tabs>
        <w:spacing w:after="240"/>
        <w:ind w:right="-427"/>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DD14B7">
      <w:pPr>
        <w:pStyle w:val="Quote"/>
        <w:tabs>
          <w:tab w:val="num" w:pos="0"/>
        </w:tabs>
        <w:ind w:left="0" w:right="-427"/>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DD14B7">
      <w:pPr>
        <w:pStyle w:val="QuoteBullet"/>
        <w:tabs>
          <w:tab w:val="num" w:pos="0"/>
        </w:tabs>
        <w:ind w:left="0" w:right="-427" w:firstLine="0"/>
        <w:rPr>
          <w:rFonts w:ascii="Arial" w:hAnsi="Arial" w:cs="Arial"/>
          <w:i/>
        </w:rPr>
      </w:pPr>
      <w:r w:rsidRPr="0071760B">
        <w:rPr>
          <w:rFonts w:ascii="Arial" w:hAnsi="Arial" w:cs="Arial"/>
          <w:i/>
        </w:rPr>
        <w:t>clearly show the impact of any rises upon the community</w:t>
      </w:r>
    </w:p>
    <w:p w:rsidR="00634155" w:rsidRPr="0071760B" w:rsidRDefault="00634155" w:rsidP="00DD14B7">
      <w:pPr>
        <w:pStyle w:val="QuoteBullet"/>
        <w:tabs>
          <w:tab w:val="num" w:pos="0"/>
        </w:tabs>
        <w:ind w:left="0" w:right="-427" w:firstLine="0"/>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DD14B7">
      <w:pPr>
        <w:pStyle w:val="QuoteBullet"/>
        <w:tabs>
          <w:tab w:val="clear" w:pos="567"/>
          <w:tab w:val="num" w:pos="0"/>
        </w:tabs>
        <w:ind w:left="0" w:right="-427" w:firstLine="0"/>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local community’s capacity to pay.</w:t>
      </w:r>
    </w:p>
    <w:p w:rsidR="00D60EA5" w:rsidRPr="00916FAE" w:rsidRDefault="009E7E19" w:rsidP="00DD14B7">
      <w:pPr>
        <w:pStyle w:val="BodyText"/>
        <w:tabs>
          <w:tab w:val="num" w:pos="0"/>
        </w:tabs>
        <w:ind w:right="-427"/>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B81691" w:rsidRDefault="00D60EA5" w:rsidP="00DD14B7">
      <w:pPr>
        <w:pStyle w:val="Heading2"/>
        <w:ind w:right="-427"/>
      </w:pPr>
      <w:bookmarkStart w:id="31" w:name="_Toc366160417"/>
      <w:bookmarkStart w:id="32" w:name="_Toc411847917"/>
      <w:r w:rsidRPr="00B81691">
        <w:t>Impact on rates</w:t>
      </w:r>
      <w:bookmarkEnd w:id="31"/>
      <w:bookmarkEnd w:id="32"/>
    </w:p>
    <w:p w:rsidR="00D60EA5" w:rsidRPr="00266497" w:rsidRDefault="00D60EA5" w:rsidP="00DD14B7">
      <w:pPr>
        <w:pStyle w:val="BodyText"/>
        <w:tabs>
          <w:tab w:val="left" w:pos="8504"/>
        </w:tabs>
        <w:ind w:right="-427"/>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C1555C">
      <w:pPr>
        <w:pStyle w:val="BodyText"/>
        <w:tabs>
          <w:tab w:val="left" w:pos="8504"/>
        </w:tabs>
        <w:ind w:right="-142"/>
      </w:pPr>
      <w:r w:rsidRPr="00266497">
        <w:lastRenderedPageBreak/>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C1555C">
      <w:pPr>
        <w:pStyle w:val="BodyText"/>
        <w:keepNext/>
        <w:keepLines/>
        <w:tabs>
          <w:tab w:val="left" w:pos="8504"/>
        </w:tabs>
        <w:ind w:right="-143"/>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C1555C">
      <w:pPr>
        <w:pStyle w:val="BodyText"/>
        <w:keepNext/>
        <w:keepLines/>
        <w:tabs>
          <w:tab w:val="left" w:pos="8504"/>
        </w:tabs>
        <w:ind w:right="-143"/>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BB248C" w:rsidRDefault="00BB248C" w:rsidP="00DD14B7">
      <w:pPr>
        <w:tabs>
          <w:tab w:val="left" w:pos="8504"/>
        </w:tabs>
        <w:ind w:right="-427"/>
        <w:jc w:val="both"/>
        <w:rPr>
          <w:rFonts w:ascii="Arial" w:hAnsi="Arial" w:cs="Arial"/>
          <w:color w:val="002060"/>
          <w:sz w:val="21"/>
          <w:szCs w:val="21"/>
        </w:rPr>
      </w:pPr>
    </w:p>
    <w:p w:rsidR="0039061F" w:rsidRPr="004E7B28" w:rsidRDefault="008718CC" w:rsidP="00C1555C">
      <w:pPr>
        <w:tabs>
          <w:tab w:val="left" w:pos="8504"/>
        </w:tabs>
        <w:ind w:right="-143"/>
        <w:jc w:val="both"/>
        <w:rPr>
          <w:rFonts w:ascii="Arial" w:hAnsi="Arial" w:cs="Arial"/>
          <w:color w:val="002060"/>
          <w:sz w:val="21"/>
          <w:szCs w:val="21"/>
        </w:rPr>
      </w:pPr>
      <w:r w:rsidRPr="004E7B28">
        <w:rPr>
          <w:rFonts w:ascii="Arial" w:hAnsi="Arial" w:cs="Arial"/>
          <w:color w:val="002060"/>
          <w:sz w:val="21"/>
          <w:szCs w:val="21"/>
        </w:rPr>
        <w:t>The</w:t>
      </w:r>
      <w:r w:rsidR="00A92C50" w:rsidRPr="004E7B28">
        <w:rPr>
          <w:rFonts w:ascii="Arial" w:hAnsi="Arial" w:cs="Arial"/>
          <w:color w:val="002060"/>
          <w:sz w:val="21"/>
          <w:szCs w:val="21"/>
        </w:rPr>
        <w:t xml:space="preserve"> permanent special rate variation</w:t>
      </w:r>
      <w:r w:rsidR="0039061F" w:rsidRPr="004E7B28">
        <w:rPr>
          <w:rFonts w:ascii="Arial" w:hAnsi="Arial" w:cs="Arial"/>
          <w:color w:val="002060"/>
          <w:sz w:val="21"/>
          <w:szCs w:val="21"/>
        </w:rPr>
        <w:t xml:space="preserve"> wil</w:t>
      </w:r>
      <w:r w:rsidRPr="004E7B28">
        <w:rPr>
          <w:rFonts w:ascii="Arial" w:hAnsi="Arial" w:cs="Arial"/>
          <w:color w:val="002060"/>
          <w:sz w:val="21"/>
          <w:szCs w:val="21"/>
        </w:rPr>
        <w:t>l see an overall increase of $</w:t>
      </w:r>
      <w:r w:rsidR="00E2286B">
        <w:rPr>
          <w:rFonts w:ascii="Arial" w:hAnsi="Arial" w:cs="Arial"/>
          <w:color w:val="002060"/>
          <w:sz w:val="21"/>
          <w:szCs w:val="21"/>
        </w:rPr>
        <w:t>127,929</w:t>
      </w:r>
      <w:r w:rsidR="0039061F" w:rsidRPr="004E7B28">
        <w:rPr>
          <w:rFonts w:ascii="Arial" w:hAnsi="Arial" w:cs="Arial"/>
          <w:color w:val="002060"/>
          <w:sz w:val="21"/>
          <w:szCs w:val="21"/>
        </w:rPr>
        <w:t xml:space="preserve"> in 2015/2016 and $</w:t>
      </w:r>
      <w:r w:rsidR="00E2286B">
        <w:rPr>
          <w:rFonts w:ascii="Arial" w:hAnsi="Arial" w:cs="Arial"/>
          <w:color w:val="002060"/>
          <w:sz w:val="21"/>
          <w:szCs w:val="21"/>
        </w:rPr>
        <w:t>261,361</w:t>
      </w:r>
      <w:r w:rsidR="0039061F" w:rsidRPr="004E7B28">
        <w:rPr>
          <w:rFonts w:ascii="Arial" w:hAnsi="Arial" w:cs="Arial"/>
          <w:color w:val="002060"/>
          <w:sz w:val="21"/>
          <w:szCs w:val="21"/>
        </w:rPr>
        <w:t xml:space="preserve"> in 2016/2017.</w:t>
      </w:r>
    </w:p>
    <w:p w:rsidR="008718CC" w:rsidRPr="004E7B28" w:rsidRDefault="008718CC" w:rsidP="00DD14B7">
      <w:pPr>
        <w:tabs>
          <w:tab w:val="left" w:pos="8504"/>
        </w:tabs>
        <w:ind w:right="-427"/>
        <w:rPr>
          <w:rFonts w:ascii="Arial" w:hAnsi="Arial" w:cs="Arial"/>
          <w:color w:val="002060"/>
          <w:sz w:val="21"/>
          <w:szCs w:val="21"/>
        </w:rPr>
      </w:pPr>
    </w:p>
    <w:p w:rsidR="0039061F" w:rsidRPr="004E7B28" w:rsidRDefault="0039061F" w:rsidP="00DD14B7">
      <w:pPr>
        <w:tabs>
          <w:tab w:val="left" w:pos="9072"/>
        </w:tabs>
        <w:ind w:right="-427"/>
        <w:rPr>
          <w:rFonts w:ascii="Arial" w:hAnsi="Arial" w:cs="Arial"/>
          <w:color w:val="002060"/>
          <w:sz w:val="21"/>
          <w:szCs w:val="21"/>
        </w:rPr>
      </w:pPr>
      <w:r w:rsidRPr="004E7B28">
        <w:rPr>
          <w:rFonts w:ascii="Arial" w:hAnsi="Arial" w:cs="Arial"/>
          <w:color w:val="002060"/>
          <w:sz w:val="21"/>
          <w:szCs w:val="21"/>
        </w:rPr>
        <w:t xml:space="preserve">Average rate increase in the residential area will be approximately $19 in </w:t>
      </w:r>
      <w:r w:rsidR="00A92C50" w:rsidRPr="004E7B28">
        <w:rPr>
          <w:rFonts w:ascii="Arial" w:hAnsi="Arial" w:cs="Arial"/>
          <w:color w:val="002060"/>
          <w:sz w:val="21"/>
          <w:szCs w:val="21"/>
        </w:rPr>
        <w:t>2015/16 and $38 in 2016/17.</w:t>
      </w:r>
      <w:r w:rsidRPr="004E7B28">
        <w:rPr>
          <w:rFonts w:ascii="Arial" w:hAnsi="Arial" w:cs="Arial"/>
          <w:color w:val="002060"/>
          <w:sz w:val="21"/>
          <w:szCs w:val="21"/>
        </w:rPr>
        <w:t xml:space="preserve"> </w:t>
      </w:r>
    </w:p>
    <w:p w:rsidR="008718CC" w:rsidRPr="004E7B28" w:rsidRDefault="008718CC" w:rsidP="00DD14B7">
      <w:pPr>
        <w:tabs>
          <w:tab w:val="left" w:pos="8504"/>
        </w:tabs>
        <w:ind w:right="-427"/>
        <w:rPr>
          <w:rFonts w:ascii="Arial" w:hAnsi="Arial" w:cs="Arial"/>
          <w:color w:val="002060"/>
          <w:sz w:val="21"/>
          <w:szCs w:val="21"/>
        </w:rPr>
      </w:pPr>
    </w:p>
    <w:p w:rsidR="0039061F" w:rsidRPr="004E7B28" w:rsidRDefault="0039061F" w:rsidP="001105C0">
      <w:pPr>
        <w:tabs>
          <w:tab w:val="left" w:pos="8504"/>
        </w:tabs>
        <w:ind w:right="-143"/>
        <w:jc w:val="both"/>
        <w:rPr>
          <w:rFonts w:ascii="Arial" w:hAnsi="Arial" w:cs="Arial"/>
          <w:color w:val="002060"/>
          <w:sz w:val="21"/>
          <w:szCs w:val="21"/>
        </w:rPr>
      </w:pPr>
      <w:r w:rsidRPr="004E7B28">
        <w:rPr>
          <w:rFonts w:ascii="Arial" w:hAnsi="Arial" w:cs="Arial"/>
          <w:color w:val="002060"/>
          <w:sz w:val="21"/>
          <w:szCs w:val="21"/>
        </w:rPr>
        <w:t xml:space="preserve">The biggest increase will be in our rural areas.  There are 7 farmland sub categories </w:t>
      </w:r>
      <w:r w:rsidR="008718CC" w:rsidRPr="004E7B28">
        <w:rPr>
          <w:rFonts w:ascii="Arial" w:hAnsi="Arial" w:cs="Arial"/>
          <w:color w:val="002060"/>
          <w:sz w:val="21"/>
          <w:szCs w:val="21"/>
        </w:rPr>
        <w:t>within the Shire</w:t>
      </w:r>
      <w:r w:rsidRPr="004E7B28">
        <w:rPr>
          <w:rFonts w:ascii="Arial" w:hAnsi="Arial" w:cs="Arial"/>
          <w:color w:val="002060"/>
          <w:sz w:val="21"/>
          <w:szCs w:val="21"/>
        </w:rPr>
        <w:t xml:space="preserve">.  The average increase for each sub category is shown in the media release </w:t>
      </w:r>
      <w:r w:rsidR="00A92C50" w:rsidRPr="004E7B28">
        <w:rPr>
          <w:rFonts w:ascii="Arial" w:hAnsi="Arial" w:cs="Arial"/>
          <w:color w:val="002060"/>
          <w:sz w:val="21"/>
          <w:szCs w:val="21"/>
        </w:rPr>
        <w:t xml:space="preserve">dated </w:t>
      </w:r>
      <w:r w:rsidR="004E7B28" w:rsidRPr="004E7B28">
        <w:rPr>
          <w:rFonts w:ascii="Arial" w:hAnsi="Arial" w:cs="Arial"/>
          <w:color w:val="002060"/>
          <w:sz w:val="21"/>
          <w:szCs w:val="21"/>
        </w:rPr>
        <w:t>10 February 2015 (attachment # 5).</w:t>
      </w:r>
      <w:r w:rsidRPr="004E7B28">
        <w:rPr>
          <w:rFonts w:ascii="Arial" w:hAnsi="Arial" w:cs="Arial"/>
          <w:color w:val="00B050"/>
          <w:sz w:val="21"/>
          <w:szCs w:val="21"/>
        </w:rPr>
        <w:t xml:space="preserve">  </w:t>
      </w:r>
      <w:r w:rsidRPr="004E7B28">
        <w:rPr>
          <w:rFonts w:ascii="Arial" w:hAnsi="Arial" w:cs="Arial"/>
          <w:color w:val="002060"/>
          <w:sz w:val="21"/>
          <w:szCs w:val="21"/>
        </w:rPr>
        <w:t>Average cumulative increases in the rural se</w:t>
      </w:r>
      <w:r w:rsidR="00DD14B7">
        <w:rPr>
          <w:rFonts w:ascii="Arial" w:hAnsi="Arial" w:cs="Arial"/>
          <w:color w:val="002060"/>
          <w:sz w:val="21"/>
          <w:szCs w:val="21"/>
        </w:rPr>
        <w:t>ctor range from $196 to $2,927 per assessment.</w:t>
      </w:r>
    </w:p>
    <w:p w:rsidR="008718CC" w:rsidRPr="004E7B28" w:rsidRDefault="008718CC" w:rsidP="001105C0">
      <w:pPr>
        <w:tabs>
          <w:tab w:val="left" w:pos="8504"/>
        </w:tabs>
        <w:ind w:right="-143"/>
        <w:rPr>
          <w:rFonts w:ascii="Arial" w:hAnsi="Arial" w:cs="Arial"/>
          <w:color w:val="002060"/>
          <w:sz w:val="21"/>
          <w:szCs w:val="21"/>
        </w:rPr>
      </w:pPr>
    </w:p>
    <w:p w:rsidR="00D60EA5" w:rsidRDefault="004E7B28" w:rsidP="001105C0">
      <w:pPr>
        <w:tabs>
          <w:tab w:val="left" w:pos="8504"/>
        </w:tabs>
        <w:ind w:right="-143"/>
        <w:jc w:val="both"/>
        <w:rPr>
          <w:rFonts w:ascii="Arial" w:hAnsi="Arial" w:cs="Arial"/>
          <w:color w:val="002060"/>
          <w:sz w:val="21"/>
          <w:szCs w:val="21"/>
        </w:rPr>
      </w:pPr>
      <w:r>
        <w:rPr>
          <w:rFonts w:ascii="Arial" w:hAnsi="Arial" w:cs="Arial"/>
          <w:color w:val="002060"/>
          <w:sz w:val="21"/>
          <w:szCs w:val="21"/>
        </w:rPr>
        <w:t xml:space="preserve">See </w:t>
      </w:r>
      <w:r w:rsidR="00351E17" w:rsidRPr="00351E17">
        <w:rPr>
          <w:rFonts w:ascii="Arial" w:hAnsi="Arial" w:cs="Arial"/>
          <w:color w:val="FF0000"/>
          <w:sz w:val="21"/>
          <w:szCs w:val="21"/>
        </w:rPr>
        <w:t>Confidential Individual Assessments Spreadsheet</w:t>
      </w:r>
      <w:r w:rsidR="00351E17">
        <w:rPr>
          <w:rFonts w:ascii="Arial" w:hAnsi="Arial" w:cs="Arial"/>
          <w:color w:val="002060"/>
          <w:sz w:val="21"/>
          <w:szCs w:val="21"/>
        </w:rPr>
        <w:t xml:space="preserve"> </w:t>
      </w:r>
      <w:r w:rsidRPr="00351E17">
        <w:rPr>
          <w:rFonts w:ascii="Arial" w:hAnsi="Arial" w:cs="Arial"/>
          <w:color w:val="FF0000"/>
          <w:sz w:val="21"/>
          <w:szCs w:val="21"/>
        </w:rPr>
        <w:t>(attachment # 14)</w:t>
      </w:r>
      <w:r>
        <w:rPr>
          <w:rFonts w:ascii="Arial" w:hAnsi="Arial" w:cs="Arial"/>
          <w:color w:val="002060"/>
          <w:sz w:val="21"/>
          <w:szCs w:val="21"/>
        </w:rPr>
        <w:t xml:space="preserve"> </w:t>
      </w:r>
      <w:r w:rsidR="0039061F" w:rsidRPr="004E7B28">
        <w:rPr>
          <w:rFonts w:ascii="Arial" w:hAnsi="Arial" w:cs="Arial"/>
          <w:color w:val="002060"/>
          <w:sz w:val="21"/>
          <w:szCs w:val="21"/>
        </w:rPr>
        <w:t>which includes each individual assessment showing the proposed increases.</w:t>
      </w:r>
    </w:p>
    <w:p w:rsidR="001869DC" w:rsidRDefault="001869DC" w:rsidP="001105C0">
      <w:pPr>
        <w:tabs>
          <w:tab w:val="left" w:pos="8504"/>
        </w:tabs>
        <w:ind w:right="-143"/>
        <w:jc w:val="both"/>
        <w:rPr>
          <w:rFonts w:ascii="Arial" w:hAnsi="Arial" w:cs="Arial"/>
          <w:color w:val="002060"/>
          <w:sz w:val="21"/>
          <w:szCs w:val="21"/>
        </w:rPr>
      </w:pPr>
    </w:p>
    <w:p w:rsidR="001869DC" w:rsidRDefault="001869DC" w:rsidP="001105C0">
      <w:pPr>
        <w:tabs>
          <w:tab w:val="left" w:pos="8504"/>
        </w:tabs>
        <w:ind w:right="-143"/>
        <w:jc w:val="both"/>
        <w:rPr>
          <w:rFonts w:ascii="Arial" w:hAnsi="Arial" w:cs="Arial"/>
          <w:color w:val="002060"/>
          <w:sz w:val="21"/>
          <w:szCs w:val="21"/>
        </w:rPr>
      </w:pPr>
      <w:r>
        <w:rPr>
          <w:rFonts w:ascii="Arial" w:hAnsi="Arial" w:cs="Arial"/>
          <w:color w:val="002060"/>
          <w:sz w:val="21"/>
          <w:szCs w:val="21"/>
        </w:rPr>
        <w:t xml:space="preserve">Council has prepared a worksheet based on Part </w:t>
      </w:r>
      <w:proofErr w:type="gramStart"/>
      <w:r>
        <w:rPr>
          <w:rFonts w:ascii="Arial" w:hAnsi="Arial" w:cs="Arial"/>
          <w:color w:val="002060"/>
          <w:sz w:val="21"/>
          <w:szCs w:val="21"/>
        </w:rPr>
        <w:t>A</w:t>
      </w:r>
      <w:proofErr w:type="gramEnd"/>
      <w:r>
        <w:rPr>
          <w:rFonts w:ascii="Arial" w:hAnsi="Arial" w:cs="Arial"/>
          <w:color w:val="002060"/>
          <w:sz w:val="21"/>
          <w:szCs w:val="21"/>
        </w:rPr>
        <w:t xml:space="preserve"> Application WK5</w:t>
      </w:r>
      <w:r w:rsidR="00DD14B7">
        <w:rPr>
          <w:rFonts w:ascii="Arial" w:hAnsi="Arial" w:cs="Arial"/>
          <w:color w:val="002060"/>
          <w:sz w:val="21"/>
          <w:szCs w:val="21"/>
        </w:rPr>
        <w:t>a</w:t>
      </w:r>
      <w:r>
        <w:rPr>
          <w:rFonts w:ascii="Arial" w:hAnsi="Arial" w:cs="Arial"/>
          <w:color w:val="002060"/>
          <w:sz w:val="21"/>
          <w:szCs w:val="21"/>
        </w:rPr>
        <w:t xml:space="preserve"> </w:t>
      </w:r>
      <w:r w:rsidR="00C51F8A">
        <w:rPr>
          <w:rFonts w:ascii="Arial" w:hAnsi="Arial" w:cs="Arial"/>
          <w:color w:val="002060"/>
          <w:sz w:val="21"/>
          <w:szCs w:val="21"/>
        </w:rPr>
        <w:t>which</w:t>
      </w:r>
      <w:r>
        <w:rPr>
          <w:rFonts w:ascii="Arial" w:hAnsi="Arial" w:cs="Arial"/>
          <w:color w:val="002060"/>
          <w:sz w:val="21"/>
          <w:szCs w:val="21"/>
        </w:rPr>
        <w:t xml:space="preserve"> shows more indicative land values attributable to Jerilderie Shire Council for rate impacts (attachment # 16). </w:t>
      </w:r>
    </w:p>
    <w:p w:rsidR="00D60EA5" w:rsidRPr="00B17EC1" w:rsidRDefault="00D60EA5" w:rsidP="001869DC">
      <w:pPr>
        <w:pStyle w:val="Heading3"/>
        <w:ind w:right="-143"/>
      </w:pPr>
      <w:r w:rsidRPr="00B17EC1">
        <w:t>Minimum Rates</w:t>
      </w:r>
    </w:p>
    <w:p w:rsidR="00D60EA5" w:rsidRPr="00916FAE" w:rsidRDefault="00D60EA5" w:rsidP="006E61CA">
      <w:pPr>
        <w:pStyle w:val="BodyText"/>
        <w:tabs>
          <w:tab w:val="left" w:pos="8504"/>
        </w:tabs>
        <w:ind w:right="-568"/>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6E61CA">
      <w:pPr>
        <w:pStyle w:val="BodyText"/>
        <w:tabs>
          <w:tab w:val="left" w:pos="8504"/>
        </w:tabs>
        <w:spacing w:before="0"/>
        <w:ind w:right="-568"/>
      </w:pP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6"/>
        <w:gridCol w:w="1833"/>
        <w:gridCol w:w="1338"/>
      </w:tblGrid>
      <w:tr w:rsidR="00B84AA8" w:rsidRPr="00916FAE" w:rsidTr="006E61CA">
        <w:trPr>
          <w:trHeight w:val="352"/>
        </w:trPr>
        <w:tc>
          <w:tcPr>
            <w:tcW w:w="5616" w:type="dxa"/>
          </w:tcPr>
          <w:p w:rsidR="00B84AA8" w:rsidRPr="00916FAE" w:rsidRDefault="00B84AA8" w:rsidP="006E61CA">
            <w:pPr>
              <w:pStyle w:val="TableTextEntries"/>
              <w:tabs>
                <w:tab w:val="left" w:pos="8504"/>
              </w:tabs>
              <w:ind w:right="-568"/>
            </w:pPr>
            <w:r w:rsidRPr="00916FAE">
              <w:t xml:space="preserve">Does the council have </w:t>
            </w:r>
            <w:r w:rsidR="00F834EE" w:rsidRPr="00916FAE">
              <w:t xml:space="preserve">residential </w:t>
            </w:r>
            <w:r w:rsidRPr="00916FAE">
              <w:t>minimum rates?</w:t>
            </w:r>
          </w:p>
        </w:tc>
        <w:tc>
          <w:tcPr>
            <w:tcW w:w="1833" w:type="dxa"/>
          </w:tcPr>
          <w:p w:rsidR="00B84AA8" w:rsidRPr="00916FAE" w:rsidRDefault="00B84AA8" w:rsidP="006E61CA">
            <w:pPr>
              <w:pStyle w:val="TableTextEntries"/>
              <w:tabs>
                <w:tab w:val="left" w:pos="8504"/>
              </w:tabs>
              <w:ind w:right="-568"/>
            </w:pPr>
            <w:r w:rsidRPr="00916FAE">
              <w:t xml:space="preserve">Yes </w:t>
            </w:r>
            <w:r w:rsidR="0019015E" w:rsidRPr="00916FAE">
              <w:fldChar w:fldCharType="begin">
                <w:ffData>
                  <w:name w:val="Check6"/>
                  <w:enabled/>
                  <w:calcOnExit w:val="0"/>
                  <w:checkBox>
                    <w:sizeAuto/>
                    <w:default w:val="0"/>
                  </w:checkBox>
                </w:ffData>
              </w:fldChar>
            </w:r>
            <w:r w:rsidRPr="00916FAE">
              <w:instrText xml:space="preserve"> FORMCHECKBOX </w:instrText>
            </w:r>
            <w:r w:rsidR="0019015E">
              <w:fldChar w:fldCharType="separate"/>
            </w:r>
            <w:r w:rsidR="0019015E" w:rsidRPr="00916FAE">
              <w:fldChar w:fldCharType="end"/>
            </w:r>
            <w:r w:rsidRPr="00916FAE">
              <w:t xml:space="preserve"> </w:t>
            </w:r>
          </w:p>
        </w:tc>
        <w:tc>
          <w:tcPr>
            <w:tcW w:w="1338" w:type="dxa"/>
          </w:tcPr>
          <w:p w:rsidR="00B84AA8" w:rsidRPr="00916FAE" w:rsidRDefault="00B84AA8" w:rsidP="006E61CA">
            <w:pPr>
              <w:pStyle w:val="TableTextEntries"/>
              <w:tabs>
                <w:tab w:val="left" w:pos="8504"/>
              </w:tabs>
              <w:ind w:right="-568"/>
              <w:rPr>
                <w:rFonts w:ascii="Myriad Pro" w:hAnsi="Myriad Pro"/>
                <w:sz w:val="24"/>
              </w:rPr>
            </w:pPr>
            <w:r w:rsidRPr="00916FAE">
              <w:t xml:space="preserve">No </w:t>
            </w:r>
            <w:r w:rsidR="0019015E">
              <w:fldChar w:fldCharType="begin">
                <w:ffData>
                  <w:name w:val=""/>
                  <w:enabled/>
                  <w:calcOnExit w:val="0"/>
                  <w:checkBox>
                    <w:sizeAuto/>
                    <w:default w:val="1"/>
                  </w:checkBox>
                </w:ffData>
              </w:fldChar>
            </w:r>
            <w:r w:rsidR="0039061F">
              <w:instrText xml:space="preserve"> FORMCHECKBOX </w:instrText>
            </w:r>
            <w:r w:rsidR="0019015E">
              <w:fldChar w:fldCharType="separate"/>
            </w:r>
            <w:r w:rsidR="0019015E">
              <w:fldChar w:fldCharType="end"/>
            </w:r>
          </w:p>
        </w:tc>
      </w:tr>
    </w:tbl>
    <w:p w:rsidR="009B31B5" w:rsidRPr="00916FAE" w:rsidRDefault="009B31B5" w:rsidP="006E61CA">
      <w:pPr>
        <w:pStyle w:val="TableTextEntries"/>
        <w:tabs>
          <w:tab w:val="left" w:pos="8504"/>
        </w:tabs>
        <w:ind w:right="-568"/>
      </w:pPr>
    </w:p>
    <w:p w:rsidR="002C26DA" w:rsidRPr="00916FAE" w:rsidRDefault="00D60EA5" w:rsidP="006E61CA">
      <w:pPr>
        <w:pStyle w:val="TableTextEntries"/>
        <w:tabs>
          <w:tab w:val="left" w:pos="8504"/>
        </w:tabs>
        <w:ind w:right="-568"/>
      </w:pPr>
      <w:r w:rsidRPr="00916FAE">
        <w:t xml:space="preserve">If </w:t>
      </w:r>
      <w:proofErr w:type="gramStart"/>
      <w:r w:rsidRPr="00916FAE">
        <w:rPr>
          <w:i/>
        </w:rPr>
        <w:t>Yes</w:t>
      </w:r>
      <w:proofErr w:type="gramEnd"/>
      <w:r w:rsidRPr="00916FAE">
        <w:t xml:space="preserve">, </w:t>
      </w:r>
      <w:r w:rsidR="0039061F">
        <w:t>d</w:t>
      </w:r>
      <w:r w:rsidR="002C26DA" w:rsidRPr="00916FAE">
        <w:t xml:space="preserve">oes the council propose to increase the minimum </w:t>
      </w:r>
      <w:r w:rsidR="00F834EE" w:rsidRPr="00916FAE">
        <w:t xml:space="preserve">residential </w:t>
      </w:r>
      <w:r w:rsidR="002C26DA" w:rsidRPr="00916FAE">
        <w:t>rate by:</w:t>
      </w:r>
    </w:p>
    <w:p w:rsidR="009B31B5" w:rsidRPr="00916FAE" w:rsidRDefault="009B31B5" w:rsidP="006E61CA">
      <w:pPr>
        <w:pStyle w:val="TableTextEntries"/>
        <w:tabs>
          <w:tab w:val="left" w:pos="8504"/>
        </w:tabs>
        <w:ind w:right="-568"/>
      </w:pPr>
    </w:p>
    <w:p w:rsidR="002C26DA" w:rsidRPr="00916FAE" w:rsidRDefault="002C26DA" w:rsidP="006E61CA">
      <w:pPr>
        <w:pStyle w:val="TableTextEntries"/>
        <w:tabs>
          <w:tab w:val="left" w:pos="8504"/>
        </w:tabs>
        <w:ind w:right="-568" w:firstLine="284"/>
      </w:pPr>
      <w:r w:rsidRPr="00916FAE">
        <w:t xml:space="preserve">The rate peg </w:t>
      </w:r>
      <w:r w:rsidR="00F834EE" w:rsidRPr="00916FAE">
        <w:t>percentage</w:t>
      </w:r>
      <w:r w:rsidR="00DF532D" w:rsidRPr="00916FAE">
        <w:t xml:space="preserve"> </w:t>
      </w:r>
      <w:r w:rsidRPr="00916FAE">
        <w:t xml:space="preserve"> </w:t>
      </w:r>
      <w:r w:rsidR="0019015E" w:rsidRPr="00916FAE">
        <w:fldChar w:fldCharType="begin">
          <w:ffData>
            <w:name w:val="Check6"/>
            <w:enabled/>
            <w:calcOnExit w:val="0"/>
            <w:checkBox>
              <w:sizeAuto/>
              <w:default w:val="0"/>
            </w:checkBox>
          </w:ffData>
        </w:fldChar>
      </w:r>
      <w:r w:rsidRPr="00916FAE">
        <w:instrText xml:space="preserve"> FORMCHECKBOX </w:instrText>
      </w:r>
      <w:r w:rsidR="0019015E">
        <w:fldChar w:fldCharType="separate"/>
      </w:r>
      <w:r w:rsidR="0019015E" w:rsidRPr="00916FAE">
        <w:fldChar w:fldCharType="end"/>
      </w:r>
    </w:p>
    <w:p w:rsidR="002C26DA" w:rsidRPr="00916FAE" w:rsidRDefault="002C26DA" w:rsidP="006E61CA">
      <w:pPr>
        <w:pStyle w:val="TableTextEntries"/>
        <w:tabs>
          <w:tab w:val="left" w:pos="8504"/>
        </w:tabs>
        <w:ind w:right="-568" w:firstLine="284"/>
      </w:pPr>
      <w:r w:rsidRPr="00916FAE">
        <w:t xml:space="preserve">The special variation </w:t>
      </w:r>
      <w:r w:rsidR="00F834EE" w:rsidRPr="00916FAE">
        <w:t>percentage</w:t>
      </w:r>
      <w:r w:rsidRPr="00916FAE">
        <w:t xml:space="preserve"> </w:t>
      </w:r>
      <w:r w:rsidR="0019015E" w:rsidRPr="00916FAE">
        <w:fldChar w:fldCharType="begin">
          <w:ffData>
            <w:name w:val="Check6"/>
            <w:enabled/>
            <w:calcOnExit w:val="0"/>
            <w:checkBox>
              <w:sizeAuto/>
              <w:default w:val="0"/>
            </w:checkBox>
          </w:ffData>
        </w:fldChar>
      </w:r>
      <w:r w:rsidRPr="00916FAE">
        <w:instrText xml:space="preserve"> FORMCHECKBOX </w:instrText>
      </w:r>
      <w:r w:rsidR="0019015E">
        <w:fldChar w:fldCharType="separate"/>
      </w:r>
      <w:r w:rsidR="0019015E" w:rsidRPr="00916FAE">
        <w:fldChar w:fldCharType="end"/>
      </w:r>
    </w:p>
    <w:p w:rsidR="002C26DA" w:rsidRPr="00916FAE" w:rsidRDefault="00DF532D" w:rsidP="006E61CA">
      <w:pPr>
        <w:pStyle w:val="TableTextEntries"/>
        <w:tabs>
          <w:tab w:val="left" w:pos="8504"/>
        </w:tabs>
        <w:ind w:right="-568" w:firstLine="284"/>
      </w:pPr>
      <w:r w:rsidRPr="00916FAE">
        <w:t xml:space="preserve">Another amount </w:t>
      </w:r>
      <w:r w:rsidR="002C26DA" w:rsidRPr="00916FAE">
        <w:t xml:space="preserve"> </w:t>
      </w:r>
      <w:r w:rsidR="0019015E" w:rsidRPr="00916FAE">
        <w:fldChar w:fldCharType="begin">
          <w:ffData>
            <w:name w:val="Check6"/>
            <w:enabled/>
            <w:calcOnExit w:val="0"/>
            <w:checkBox>
              <w:sizeAuto/>
              <w:default w:val="0"/>
            </w:checkBox>
          </w:ffData>
        </w:fldChar>
      </w:r>
      <w:r w:rsidR="002C26DA" w:rsidRPr="00916FAE">
        <w:instrText xml:space="preserve"> FORMCHECKBOX </w:instrText>
      </w:r>
      <w:r w:rsidR="0019015E">
        <w:fldChar w:fldCharType="separate"/>
      </w:r>
      <w:r w:rsidR="0019015E" w:rsidRPr="00916FAE">
        <w:fldChar w:fldCharType="end"/>
      </w:r>
      <w:r w:rsidR="00ED5959" w:rsidRPr="00916FAE">
        <w:t xml:space="preserve">   Indicate this amount _____________</w:t>
      </w:r>
    </w:p>
    <w:p w:rsidR="009B31B5" w:rsidRPr="00916FAE" w:rsidRDefault="009B31B5" w:rsidP="006E61CA">
      <w:pPr>
        <w:pStyle w:val="TableTextEntries"/>
        <w:tabs>
          <w:tab w:val="left" w:pos="8504"/>
        </w:tabs>
        <w:ind w:right="-568"/>
      </w:pPr>
    </w:p>
    <w:p w:rsidR="00C774B5" w:rsidRDefault="00C774B5" w:rsidP="006E61CA">
      <w:pPr>
        <w:pStyle w:val="TableTextEntries"/>
        <w:tabs>
          <w:tab w:val="left" w:pos="8504"/>
        </w:tabs>
        <w:ind w:right="-568"/>
      </w:pPr>
      <w:r w:rsidRPr="00916FAE">
        <w:t xml:space="preserve">What will the </w:t>
      </w:r>
      <w:r w:rsidR="00F834EE" w:rsidRPr="00916FAE">
        <w:t xml:space="preserve">residential </w:t>
      </w:r>
      <w:r w:rsidRPr="00916FAE">
        <w:t>minimum rate be after the increase? _________</w:t>
      </w:r>
    </w:p>
    <w:p w:rsidR="002C26DA" w:rsidRDefault="00916FAE" w:rsidP="00B81691">
      <w:pPr>
        <w:pStyle w:val="BodyText"/>
        <w:tabs>
          <w:tab w:val="left" w:pos="8504"/>
        </w:tabs>
        <w:ind w:right="-1"/>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B81691">
      <w:pPr>
        <w:pStyle w:val="BodyText"/>
        <w:ind w:right="-1"/>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Pr="00B81691" w:rsidRDefault="001C6AB3" w:rsidP="00C1555C">
      <w:pPr>
        <w:pStyle w:val="Heading2"/>
        <w:tabs>
          <w:tab w:val="clear" w:pos="709"/>
          <w:tab w:val="num" w:pos="993"/>
        </w:tabs>
        <w:ind w:left="993"/>
      </w:pPr>
      <w:bookmarkStart w:id="33" w:name="_Toc366160418"/>
      <w:bookmarkStart w:id="34" w:name="_Toc411847918"/>
      <w:r w:rsidRPr="00B81691">
        <w:lastRenderedPageBreak/>
        <w:t xml:space="preserve">Consideration of </w:t>
      </w:r>
      <w:r w:rsidR="006A1B80" w:rsidRPr="00B81691">
        <w:t xml:space="preserve">affordability and </w:t>
      </w:r>
      <w:r w:rsidRPr="00B81691">
        <w:t xml:space="preserve">the </w:t>
      </w:r>
      <w:r w:rsidR="00D60EA5" w:rsidRPr="00B81691">
        <w:t>community</w:t>
      </w:r>
      <w:r w:rsidRPr="00B81691">
        <w:t>’s</w:t>
      </w:r>
      <w:r w:rsidR="00D60EA5" w:rsidRPr="00B81691">
        <w:t xml:space="preserve"> capacity </w:t>
      </w:r>
      <w:r w:rsidRPr="00B81691">
        <w:t xml:space="preserve">and willingness </w:t>
      </w:r>
      <w:r w:rsidR="00D60EA5" w:rsidRPr="00B81691">
        <w:t>to pay</w:t>
      </w:r>
      <w:bookmarkEnd w:id="33"/>
      <w:bookmarkEnd w:id="34"/>
    </w:p>
    <w:p w:rsidR="006A1B80" w:rsidRPr="00916FAE" w:rsidRDefault="00A40BA8" w:rsidP="00C1555C">
      <w:pPr>
        <w:pStyle w:val="BodyText"/>
        <w:ind w:left="284" w:right="-427"/>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C1555C">
      <w:pPr>
        <w:pStyle w:val="BodyText"/>
        <w:ind w:left="284" w:right="-427"/>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C1555C">
      <w:pPr>
        <w:pStyle w:val="BodyText"/>
        <w:ind w:left="284" w:right="-427"/>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1105C0">
      <w:pPr>
        <w:pStyle w:val="BodyText"/>
        <w:ind w:left="284" w:right="-427"/>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CB5D31" w:rsidRDefault="00CB5D31" w:rsidP="001105C0">
      <w:pPr>
        <w:pStyle w:val="BodyText"/>
        <w:ind w:left="284" w:right="-427"/>
      </w:pPr>
    </w:p>
    <w:p w:rsidR="0039061F" w:rsidRPr="004E7B28" w:rsidRDefault="0039061F" w:rsidP="001105C0">
      <w:pPr>
        <w:ind w:left="284" w:right="-427"/>
        <w:jc w:val="both"/>
        <w:rPr>
          <w:rFonts w:ascii="Arial" w:hAnsi="Arial" w:cs="Arial"/>
          <w:color w:val="002060"/>
          <w:sz w:val="21"/>
          <w:szCs w:val="21"/>
        </w:rPr>
      </w:pPr>
      <w:r w:rsidRPr="004E7B28">
        <w:rPr>
          <w:rFonts w:ascii="Arial" w:hAnsi="Arial" w:cs="Arial"/>
          <w:color w:val="002060"/>
          <w:sz w:val="21"/>
          <w:szCs w:val="21"/>
        </w:rPr>
        <w:t xml:space="preserve">The increase in the residential rate is considered minimal.  At an average of $19 </w:t>
      </w:r>
      <w:r w:rsidR="0060266E" w:rsidRPr="004E7B28">
        <w:rPr>
          <w:rFonts w:ascii="Arial" w:hAnsi="Arial" w:cs="Arial"/>
          <w:color w:val="002060"/>
          <w:sz w:val="21"/>
          <w:szCs w:val="21"/>
        </w:rPr>
        <w:t>in 2015/</w:t>
      </w:r>
      <w:proofErr w:type="gramStart"/>
      <w:r w:rsidR="0060266E" w:rsidRPr="004E7B28">
        <w:rPr>
          <w:rFonts w:ascii="Arial" w:hAnsi="Arial" w:cs="Arial"/>
          <w:color w:val="002060"/>
          <w:sz w:val="21"/>
          <w:szCs w:val="21"/>
        </w:rPr>
        <w:t xml:space="preserve">16 </w:t>
      </w:r>
      <w:r w:rsidRPr="004E7B28">
        <w:rPr>
          <w:rFonts w:ascii="Arial" w:hAnsi="Arial" w:cs="Arial"/>
          <w:color w:val="002060"/>
          <w:sz w:val="21"/>
          <w:szCs w:val="21"/>
        </w:rPr>
        <w:t xml:space="preserve"> and</w:t>
      </w:r>
      <w:proofErr w:type="gramEnd"/>
      <w:r w:rsidRPr="004E7B28">
        <w:rPr>
          <w:rFonts w:ascii="Arial" w:hAnsi="Arial" w:cs="Arial"/>
          <w:color w:val="002060"/>
          <w:sz w:val="21"/>
          <w:szCs w:val="21"/>
        </w:rPr>
        <w:t xml:space="preserve"> $38 </w:t>
      </w:r>
      <w:r w:rsidR="0060266E" w:rsidRPr="004E7B28">
        <w:rPr>
          <w:rFonts w:ascii="Arial" w:hAnsi="Arial" w:cs="Arial"/>
          <w:color w:val="002060"/>
          <w:sz w:val="21"/>
          <w:szCs w:val="21"/>
        </w:rPr>
        <w:t xml:space="preserve">in 2016/17, </w:t>
      </w:r>
      <w:r w:rsidRPr="004E7B28">
        <w:rPr>
          <w:rFonts w:ascii="Arial" w:hAnsi="Arial" w:cs="Arial"/>
          <w:color w:val="002060"/>
          <w:sz w:val="21"/>
          <w:szCs w:val="21"/>
        </w:rPr>
        <w:t xml:space="preserve"> the capacity of ratepayers to fund this increase is considered reasonable.  Council has considered the overall increase for a residential property owner and advises that whilst an increase of approximately 5% for water charges and usage will be applied, sewer charges and waste charges will remain at the current level for the foreseeable future.</w:t>
      </w:r>
    </w:p>
    <w:p w:rsidR="003F548B" w:rsidRPr="004E7B28" w:rsidRDefault="003F548B" w:rsidP="001105C0">
      <w:pPr>
        <w:ind w:left="284" w:right="-427"/>
        <w:jc w:val="both"/>
        <w:rPr>
          <w:rFonts w:ascii="Arial" w:hAnsi="Arial" w:cs="Arial"/>
          <w:color w:val="002060"/>
          <w:sz w:val="21"/>
          <w:szCs w:val="21"/>
        </w:rPr>
      </w:pPr>
    </w:p>
    <w:p w:rsidR="0039061F" w:rsidRPr="004E7B28" w:rsidRDefault="0039061F" w:rsidP="00A349F5">
      <w:pPr>
        <w:ind w:left="284" w:right="-427"/>
        <w:jc w:val="both"/>
        <w:rPr>
          <w:rFonts w:ascii="Arial" w:hAnsi="Arial" w:cs="Arial"/>
          <w:color w:val="002060"/>
          <w:sz w:val="21"/>
          <w:szCs w:val="21"/>
        </w:rPr>
      </w:pPr>
      <w:r w:rsidRPr="004E7B28">
        <w:rPr>
          <w:rFonts w:ascii="Arial" w:hAnsi="Arial" w:cs="Arial"/>
          <w:color w:val="002060"/>
          <w:sz w:val="21"/>
          <w:szCs w:val="21"/>
        </w:rPr>
        <w:t>With business rates rising on average $34</w:t>
      </w:r>
      <w:r w:rsidR="003F548B" w:rsidRPr="004E7B28">
        <w:rPr>
          <w:rFonts w:ascii="Arial" w:hAnsi="Arial" w:cs="Arial"/>
          <w:color w:val="002060"/>
          <w:sz w:val="21"/>
          <w:szCs w:val="21"/>
        </w:rPr>
        <w:t xml:space="preserve"> in 2015/</w:t>
      </w:r>
      <w:proofErr w:type="gramStart"/>
      <w:r w:rsidR="003F548B" w:rsidRPr="004E7B28">
        <w:rPr>
          <w:rFonts w:ascii="Arial" w:hAnsi="Arial" w:cs="Arial"/>
          <w:color w:val="002060"/>
          <w:sz w:val="21"/>
          <w:szCs w:val="21"/>
        </w:rPr>
        <w:t xml:space="preserve">16 </w:t>
      </w:r>
      <w:r w:rsidRPr="004E7B28">
        <w:rPr>
          <w:rFonts w:ascii="Arial" w:hAnsi="Arial" w:cs="Arial"/>
          <w:color w:val="002060"/>
          <w:sz w:val="21"/>
          <w:szCs w:val="21"/>
        </w:rPr>
        <w:t xml:space="preserve"> and</w:t>
      </w:r>
      <w:proofErr w:type="gramEnd"/>
      <w:r w:rsidRPr="004E7B28">
        <w:rPr>
          <w:rFonts w:ascii="Arial" w:hAnsi="Arial" w:cs="Arial"/>
          <w:color w:val="002060"/>
          <w:sz w:val="21"/>
          <w:szCs w:val="21"/>
        </w:rPr>
        <w:t xml:space="preserve"> $59 </w:t>
      </w:r>
      <w:r w:rsidR="003F548B" w:rsidRPr="004E7B28">
        <w:rPr>
          <w:rFonts w:ascii="Arial" w:hAnsi="Arial" w:cs="Arial"/>
          <w:color w:val="002060"/>
          <w:sz w:val="21"/>
          <w:szCs w:val="21"/>
        </w:rPr>
        <w:t xml:space="preserve">in 2016/17, </w:t>
      </w:r>
      <w:r w:rsidRPr="004E7B28">
        <w:rPr>
          <w:rFonts w:ascii="Arial" w:hAnsi="Arial" w:cs="Arial"/>
          <w:color w:val="002060"/>
          <w:sz w:val="21"/>
          <w:szCs w:val="21"/>
        </w:rPr>
        <w:t xml:space="preserve"> it is considered affordable given the</w:t>
      </w:r>
      <w:r w:rsidR="003F548B" w:rsidRPr="004E7B28">
        <w:rPr>
          <w:rFonts w:ascii="Arial" w:hAnsi="Arial" w:cs="Arial"/>
          <w:color w:val="002060"/>
          <w:sz w:val="21"/>
          <w:szCs w:val="21"/>
        </w:rPr>
        <w:t>ir</w:t>
      </w:r>
      <w:r w:rsidRPr="004E7B28">
        <w:rPr>
          <w:rFonts w:ascii="Arial" w:hAnsi="Arial" w:cs="Arial"/>
          <w:color w:val="002060"/>
          <w:sz w:val="21"/>
          <w:szCs w:val="21"/>
        </w:rPr>
        <w:t xml:space="preserve"> capacity to generate income.</w:t>
      </w:r>
    </w:p>
    <w:p w:rsidR="0060266E" w:rsidRPr="004E7B28" w:rsidRDefault="0060266E" w:rsidP="001105C0">
      <w:pPr>
        <w:ind w:left="284" w:right="-427"/>
        <w:rPr>
          <w:rFonts w:ascii="Arial" w:hAnsi="Arial" w:cs="Arial"/>
          <w:color w:val="002060"/>
          <w:sz w:val="21"/>
          <w:szCs w:val="21"/>
        </w:rPr>
      </w:pPr>
    </w:p>
    <w:p w:rsidR="0039061F" w:rsidRDefault="00E2286B" w:rsidP="001105C0">
      <w:pPr>
        <w:ind w:left="284" w:right="-427"/>
        <w:jc w:val="both"/>
        <w:rPr>
          <w:rFonts w:ascii="Arial" w:hAnsi="Arial" w:cs="Arial"/>
          <w:color w:val="002060"/>
          <w:sz w:val="21"/>
          <w:szCs w:val="21"/>
        </w:rPr>
      </w:pPr>
      <w:r w:rsidRPr="00E2286B">
        <w:rPr>
          <w:rFonts w:ascii="Arial" w:hAnsi="Arial" w:cs="Arial"/>
          <w:color w:val="002060"/>
          <w:sz w:val="21"/>
          <w:szCs w:val="21"/>
        </w:rPr>
        <w:t>Rates are</w:t>
      </w:r>
      <w:r w:rsidR="00FC0A32" w:rsidRPr="00E2286B">
        <w:rPr>
          <w:rFonts w:ascii="Arial" w:hAnsi="Arial" w:cs="Arial"/>
          <w:color w:val="002060"/>
          <w:sz w:val="21"/>
          <w:szCs w:val="21"/>
        </w:rPr>
        <w:t xml:space="preserve"> a wealth tax, </w:t>
      </w:r>
      <w:r w:rsidR="008E4082" w:rsidRPr="00E2286B">
        <w:rPr>
          <w:rFonts w:ascii="Arial" w:hAnsi="Arial" w:cs="Arial"/>
          <w:color w:val="002060"/>
          <w:sz w:val="21"/>
          <w:szCs w:val="21"/>
        </w:rPr>
        <w:t xml:space="preserve">and </w:t>
      </w:r>
      <w:r w:rsidR="00FC0A32" w:rsidRPr="00E2286B">
        <w:rPr>
          <w:rFonts w:ascii="Arial" w:hAnsi="Arial" w:cs="Arial"/>
          <w:color w:val="002060"/>
          <w:sz w:val="21"/>
          <w:szCs w:val="21"/>
        </w:rPr>
        <w:t xml:space="preserve">capacity to pay is measured by land value.  Land value in rural areas is a measure of capacity to produce income.  </w:t>
      </w:r>
      <w:r w:rsidRPr="00E2286B">
        <w:rPr>
          <w:rFonts w:ascii="Arial" w:hAnsi="Arial" w:cs="Arial"/>
          <w:color w:val="002060"/>
          <w:sz w:val="21"/>
          <w:szCs w:val="21"/>
        </w:rPr>
        <w:t>Rural</w:t>
      </w:r>
      <w:r w:rsidR="0039061F" w:rsidRPr="00E2286B">
        <w:rPr>
          <w:rFonts w:ascii="Arial" w:hAnsi="Arial" w:cs="Arial"/>
          <w:color w:val="002060"/>
          <w:sz w:val="21"/>
          <w:szCs w:val="21"/>
        </w:rPr>
        <w:t xml:space="preserve"> landowners will bear the greatest impact of the increases</w:t>
      </w:r>
      <w:r w:rsidR="003F548B" w:rsidRPr="00E2286B">
        <w:rPr>
          <w:rFonts w:ascii="Arial" w:hAnsi="Arial" w:cs="Arial"/>
          <w:color w:val="002060"/>
          <w:sz w:val="21"/>
          <w:szCs w:val="21"/>
        </w:rPr>
        <w:t>, with</w:t>
      </w:r>
      <w:r w:rsidR="0039061F" w:rsidRPr="004E7B28">
        <w:rPr>
          <w:rFonts w:ascii="Arial" w:hAnsi="Arial" w:cs="Arial"/>
          <w:color w:val="002060"/>
          <w:sz w:val="21"/>
          <w:szCs w:val="21"/>
        </w:rPr>
        <w:t xml:space="preserve"> </w:t>
      </w:r>
      <w:r w:rsidR="003F548B" w:rsidRPr="004E7B28">
        <w:rPr>
          <w:rFonts w:ascii="Arial" w:hAnsi="Arial" w:cs="Arial"/>
          <w:color w:val="002060"/>
          <w:sz w:val="21"/>
          <w:szCs w:val="21"/>
        </w:rPr>
        <w:t xml:space="preserve">approximately </w:t>
      </w:r>
      <w:r w:rsidR="0039061F" w:rsidRPr="004E7B28">
        <w:rPr>
          <w:rFonts w:ascii="Arial" w:hAnsi="Arial" w:cs="Arial"/>
          <w:color w:val="002060"/>
          <w:sz w:val="21"/>
          <w:szCs w:val="21"/>
        </w:rPr>
        <w:t xml:space="preserve">90% of rates income generated from the farming sector. </w:t>
      </w:r>
      <w:r w:rsidR="003F548B" w:rsidRPr="004E7B28">
        <w:rPr>
          <w:rFonts w:ascii="Arial" w:hAnsi="Arial" w:cs="Arial"/>
          <w:color w:val="002060"/>
          <w:sz w:val="21"/>
          <w:szCs w:val="21"/>
        </w:rPr>
        <w:t xml:space="preserve">  </w:t>
      </w:r>
      <w:r w:rsidR="0039061F" w:rsidRPr="004E7B28">
        <w:rPr>
          <w:rFonts w:ascii="Arial" w:hAnsi="Arial" w:cs="Arial"/>
          <w:color w:val="002060"/>
          <w:sz w:val="21"/>
          <w:szCs w:val="21"/>
        </w:rPr>
        <w:t xml:space="preserve"> Council considers these categories of landowners have capacity to pay</w:t>
      </w:r>
      <w:r w:rsidR="003F548B" w:rsidRPr="004E7B28">
        <w:rPr>
          <w:rFonts w:ascii="Arial" w:hAnsi="Arial" w:cs="Arial"/>
          <w:color w:val="002060"/>
          <w:sz w:val="21"/>
          <w:szCs w:val="21"/>
        </w:rPr>
        <w:t xml:space="preserve">, </w:t>
      </w:r>
      <w:r w:rsidR="0039061F" w:rsidRPr="004E7B28">
        <w:rPr>
          <w:rFonts w:ascii="Arial" w:hAnsi="Arial" w:cs="Arial"/>
          <w:color w:val="002060"/>
          <w:sz w:val="21"/>
          <w:szCs w:val="21"/>
        </w:rPr>
        <w:t xml:space="preserve">due largely to the </w:t>
      </w:r>
      <w:r w:rsidR="0039061F" w:rsidRPr="00E2286B">
        <w:rPr>
          <w:rFonts w:ascii="Arial" w:hAnsi="Arial" w:cs="Arial"/>
          <w:color w:val="002060"/>
          <w:sz w:val="21"/>
          <w:szCs w:val="21"/>
        </w:rPr>
        <w:t xml:space="preserve">current </w:t>
      </w:r>
      <w:r w:rsidR="00FC0A32" w:rsidRPr="00E2286B">
        <w:rPr>
          <w:rFonts w:ascii="Arial" w:hAnsi="Arial" w:cs="Arial"/>
          <w:color w:val="002060"/>
          <w:sz w:val="21"/>
          <w:szCs w:val="21"/>
        </w:rPr>
        <w:t xml:space="preserve">return to good </w:t>
      </w:r>
      <w:r w:rsidR="0039061F" w:rsidRPr="00E2286B">
        <w:rPr>
          <w:rFonts w:ascii="Arial" w:hAnsi="Arial" w:cs="Arial"/>
          <w:color w:val="002060"/>
          <w:sz w:val="21"/>
          <w:szCs w:val="21"/>
        </w:rPr>
        <w:t>conditions</w:t>
      </w:r>
      <w:r w:rsidR="003F548B" w:rsidRPr="00E2286B">
        <w:rPr>
          <w:rFonts w:ascii="Arial" w:hAnsi="Arial" w:cs="Arial"/>
          <w:color w:val="002060"/>
          <w:sz w:val="21"/>
          <w:szCs w:val="21"/>
        </w:rPr>
        <w:t>,</w:t>
      </w:r>
      <w:r w:rsidR="0039061F" w:rsidRPr="00E2286B">
        <w:rPr>
          <w:rFonts w:ascii="Arial" w:hAnsi="Arial" w:cs="Arial"/>
          <w:color w:val="002060"/>
          <w:sz w:val="21"/>
          <w:szCs w:val="21"/>
        </w:rPr>
        <w:t xml:space="preserve"> together with </w:t>
      </w:r>
      <w:r w:rsidR="003F548B" w:rsidRPr="00E2286B">
        <w:rPr>
          <w:rFonts w:ascii="Arial" w:hAnsi="Arial" w:cs="Arial"/>
          <w:color w:val="002060"/>
          <w:sz w:val="21"/>
          <w:szCs w:val="21"/>
        </w:rPr>
        <w:t xml:space="preserve">current </w:t>
      </w:r>
      <w:r w:rsidR="007C55F5">
        <w:rPr>
          <w:rFonts w:ascii="Arial" w:hAnsi="Arial" w:cs="Arial"/>
          <w:color w:val="002060"/>
          <w:sz w:val="21"/>
          <w:szCs w:val="21"/>
        </w:rPr>
        <w:t xml:space="preserve">generally </w:t>
      </w:r>
      <w:r w:rsidR="008E4082" w:rsidRPr="00E2286B">
        <w:rPr>
          <w:rFonts w:ascii="Arial" w:hAnsi="Arial" w:cs="Arial"/>
          <w:color w:val="002060"/>
          <w:sz w:val="21"/>
          <w:szCs w:val="21"/>
        </w:rPr>
        <w:t>robust</w:t>
      </w:r>
      <w:r w:rsidR="007D07FD" w:rsidRPr="00E2286B">
        <w:rPr>
          <w:rFonts w:ascii="Arial" w:hAnsi="Arial" w:cs="Arial"/>
          <w:color w:val="002060"/>
          <w:sz w:val="21"/>
          <w:szCs w:val="21"/>
        </w:rPr>
        <w:t xml:space="preserve"> prices</w:t>
      </w:r>
      <w:r w:rsidR="0039061F" w:rsidRPr="004E7B28">
        <w:rPr>
          <w:rFonts w:ascii="Arial" w:hAnsi="Arial" w:cs="Arial"/>
          <w:color w:val="002060"/>
          <w:sz w:val="21"/>
          <w:szCs w:val="21"/>
        </w:rPr>
        <w:t xml:space="preserve"> for</w:t>
      </w:r>
      <w:r w:rsidR="003F548B" w:rsidRPr="004E7B28">
        <w:rPr>
          <w:rFonts w:ascii="Arial" w:hAnsi="Arial" w:cs="Arial"/>
          <w:color w:val="002060"/>
          <w:sz w:val="21"/>
          <w:szCs w:val="21"/>
        </w:rPr>
        <w:t xml:space="preserve"> </w:t>
      </w:r>
      <w:r w:rsidR="0039061F" w:rsidRPr="004E7B28">
        <w:rPr>
          <w:rFonts w:ascii="Arial" w:hAnsi="Arial" w:cs="Arial"/>
          <w:color w:val="002060"/>
          <w:sz w:val="21"/>
          <w:szCs w:val="21"/>
        </w:rPr>
        <w:t xml:space="preserve">agricultural </w:t>
      </w:r>
      <w:r w:rsidR="003F548B" w:rsidRPr="004E7B28">
        <w:rPr>
          <w:rFonts w:ascii="Arial" w:hAnsi="Arial" w:cs="Arial"/>
          <w:color w:val="002060"/>
          <w:sz w:val="21"/>
          <w:szCs w:val="21"/>
        </w:rPr>
        <w:t>commodities.</w:t>
      </w:r>
      <w:r w:rsidR="0039061F" w:rsidRPr="004E7B28">
        <w:rPr>
          <w:rFonts w:ascii="Arial" w:hAnsi="Arial" w:cs="Arial"/>
          <w:color w:val="002060"/>
          <w:sz w:val="21"/>
          <w:szCs w:val="21"/>
        </w:rPr>
        <w:t xml:space="preserve">  </w:t>
      </w:r>
    </w:p>
    <w:p w:rsidR="00E14DDF" w:rsidRDefault="00E14DDF" w:rsidP="001105C0">
      <w:pPr>
        <w:ind w:left="284" w:right="-427"/>
        <w:jc w:val="both"/>
        <w:rPr>
          <w:rFonts w:ascii="Arial" w:hAnsi="Arial" w:cs="Arial"/>
          <w:color w:val="002060"/>
          <w:sz w:val="21"/>
          <w:szCs w:val="21"/>
        </w:rPr>
      </w:pPr>
    </w:p>
    <w:p w:rsidR="0039061F" w:rsidRPr="00425A6E" w:rsidRDefault="0039061F" w:rsidP="001105C0">
      <w:pPr>
        <w:tabs>
          <w:tab w:val="left" w:pos="8504"/>
        </w:tabs>
        <w:ind w:left="284" w:right="-427"/>
        <w:jc w:val="both"/>
        <w:rPr>
          <w:rFonts w:ascii="Arial" w:hAnsi="Arial" w:cs="Arial"/>
          <w:color w:val="002060"/>
          <w:sz w:val="21"/>
          <w:szCs w:val="21"/>
        </w:rPr>
      </w:pPr>
      <w:r w:rsidRPr="00425A6E">
        <w:rPr>
          <w:rFonts w:ascii="Arial" w:hAnsi="Arial" w:cs="Arial"/>
          <w:color w:val="002060"/>
          <w:sz w:val="21"/>
          <w:szCs w:val="21"/>
        </w:rPr>
        <w:t>While there is some unwillingness to pay the proposed increase</w:t>
      </w:r>
      <w:r w:rsidR="003F548B" w:rsidRPr="00425A6E">
        <w:rPr>
          <w:rFonts w:ascii="Arial" w:hAnsi="Arial" w:cs="Arial"/>
          <w:color w:val="002060"/>
          <w:sz w:val="21"/>
          <w:szCs w:val="21"/>
        </w:rPr>
        <w:t xml:space="preserve"> in</w:t>
      </w:r>
      <w:r w:rsidRPr="00425A6E">
        <w:rPr>
          <w:rFonts w:ascii="Arial" w:hAnsi="Arial" w:cs="Arial"/>
          <w:color w:val="002060"/>
          <w:sz w:val="21"/>
          <w:szCs w:val="21"/>
        </w:rPr>
        <w:t xml:space="preserve"> rates, Council considers that the largest expense going into the future will be maintaining the rural road network in the Shire.  </w:t>
      </w:r>
    </w:p>
    <w:p w:rsidR="0060266E" w:rsidRPr="00BB248C" w:rsidRDefault="0060266E" w:rsidP="001105C0">
      <w:pPr>
        <w:tabs>
          <w:tab w:val="left" w:pos="8504"/>
        </w:tabs>
        <w:ind w:left="284" w:right="-427"/>
        <w:rPr>
          <w:rFonts w:ascii="Arial" w:hAnsi="Arial" w:cs="Arial"/>
          <w:color w:val="002060"/>
          <w:sz w:val="21"/>
          <w:szCs w:val="21"/>
        </w:rPr>
      </w:pPr>
    </w:p>
    <w:p w:rsidR="0060266E" w:rsidRDefault="00425A6E" w:rsidP="001105C0">
      <w:pPr>
        <w:tabs>
          <w:tab w:val="left" w:pos="8504"/>
        </w:tabs>
        <w:ind w:left="284" w:right="-427"/>
        <w:jc w:val="both"/>
        <w:rPr>
          <w:rFonts w:ascii="Arial" w:hAnsi="Arial" w:cs="Arial"/>
          <w:color w:val="002060"/>
          <w:sz w:val="21"/>
          <w:szCs w:val="21"/>
        </w:rPr>
      </w:pPr>
      <w:r>
        <w:rPr>
          <w:rFonts w:ascii="Arial" w:hAnsi="Arial" w:cs="Arial"/>
          <w:color w:val="002060"/>
          <w:sz w:val="21"/>
          <w:szCs w:val="21"/>
        </w:rPr>
        <w:t>Changing farming practices require higher mass v</w:t>
      </w:r>
      <w:r w:rsidR="0039061F" w:rsidRPr="00425A6E">
        <w:rPr>
          <w:rFonts w:ascii="Arial" w:hAnsi="Arial" w:cs="Arial"/>
          <w:color w:val="002060"/>
          <w:sz w:val="21"/>
          <w:szCs w:val="21"/>
        </w:rPr>
        <w:t>ehicles to acce</w:t>
      </w:r>
      <w:r w:rsidR="00F93EB6" w:rsidRPr="00425A6E">
        <w:rPr>
          <w:rFonts w:ascii="Arial" w:hAnsi="Arial" w:cs="Arial"/>
          <w:color w:val="002060"/>
          <w:sz w:val="21"/>
          <w:szCs w:val="21"/>
        </w:rPr>
        <w:t>ss ad</w:t>
      </w:r>
      <w:r>
        <w:rPr>
          <w:rFonts w:ascii="Arial" w:hAnsi="Arial" w:cs="Arial"/>
          <w:color w:val="002060"/>
          <w:sz w:val="21"/>
          <w:szCs w:val="21"/>
        </w:rPr>
        <w:t xml:space="preserve">ditional roads within the Shire.  </w:t>
      </w:r>
      <w:r w:rsidR="00F93EB6" w:rsidRPr="00425A6E">
        <w:rPr>
          <w:rFonts w:ascii="Arial" w:hAnsi="Arial" w:cs="Arial"/>
          <w:color w:val="002060"/>
          <w:sz w:val="21"/>
          <w:szCs w:val="21"/>
        </w:rPr>
        <w:t xml:space="preserve"> </w:t>
      </w:r>
      <w:r w:rsidR="0039061F" w:rsidRPr="00425A6E">
        <w:rPr>
          <w:rFonts w:ascii="Arial" w:hAnsi="Arial" w:cs="Arial"/>
          <w:color w:val="002060"/>
          <w:sz w:val="21"/>
          <w:szCs w:val="21"/>
        </w:rPr>
        <w:t xml:space="preserve">These vehicles reduce the life of unsealed and sealed roads.  To ensure the road network is maintained to the  standard as noted </w:t>
      </w:r>
      <w:r w:rsidR="00F93EB6" w:rsidRPr="00425A6E">
        <w:rPr>
          <w:rFonts w:ascii="Arial" w:hAnsi="Arial" w:cs="Arial"/>
          <w:color w:val="002060"/>
          <w:sz w:val="21"/>
          <w:szCs w:val="21"/>
        </w:rPr>
        <w:t xml:space="preserve">in </w:t>
      </w:r>
      <w:r w:rsidR="00C51F8A">
        <w:rPr>
          <w:rFonts w:ascii="Arial" w:hAnsi="Arial" w:cs="Arial"/>
          <w:color w:val="002060"/>
          <w:sz w:val="21"/>
          <w:szCs w:val="21"/>
        </w:rPr>
        <w:t>attachment # 1 -</w:t>
      </w:r>
      <w:r w:rsidR="00F93EB6" w:rsidRPr="00425A6E">
        <w:rPr>
          <w:rFonts w:ascii="Arial" w:hAnsi="Arial" w:cs="Arial"/>
          <w:color w:val="002060"/>
          <w:sz w:val="21"/>
          <w:szCs w:val="21"/>
        </w:rPr>
        <w:t xml:space="preserve"> Community Strategic Plan (p</w:t>
      </w:r>
      <w:r w:rsidR="0039061F" w:rsidRPr="00425A6E">
        <w:rPr>
          <w:rFonts w:ascii="Arial" w:hAnsi="Arial" w:cs="Arial"/>
          <w:color w:val="002060"/>
          <w:sz w:val="21"/>
          <w:szCs w:val="21"/>
        </w:rPr>
        <w:t>age 17</w:t>
      </w:r>
      <w:r w:rsidR="00F93EB6" w:rsidRPr="00425A6E">
        <w:rPr>
          <w:rFonts w:ascii="Arial" w:hAnsi="Arial" w:cs="Arial"/>
          <w:color w:val="002060"/>
          <w:sz w:val="21"/>
          <w:szCs w:val="21"/>
        </w:rPr>
        <w:t xml:space="preserve">) </w:t>
      </w:r>
      <w:r w:rsidR="00F93EB6" w:rsidRPr="007D07FD">
        <w:rPr>
          <w:rFonts w:ascii="Arial" w:hAnsi="Arial" w:cs="Arial"/>
          <w:i/>
          <w:color w:val="002060"/>
          <w:sz w:val="21"/>
          <w:szCs w:val="21"/>
        </w:rPr>
        <w:t>“Our roads maintained to a consistently high standard”,</w:t>
      </w:r>
      <w:r w:rsidR="0039061F" w:rsidRPr="007D07FD">
        <w:rPr>
          <w:rFonts w:ascii="Arial" w:hAnsi="Arial" w:cs="Arial"/>
          <w:i/>
          <w:color w:val="002060"/>
          <w:sz w:val="21"/>
          <w:szCs w:val="21"/>
        </w:rPr>
        <w:t xml:space="preserve"> </w:t>
      </w:r>
      <w:r w:rsidR="0039061F" w:rsidRPr="007D07FD">
        <w:rPr>
          <w:rFonts w:ascii="Arial" w:hAnsi="Arial" w:cs="Arial"/>
          <w:color w:val="002060"/>
          <w:sz w:val="21"/>
          <w:szCs w:val="21"/>
        </w:rPr>
        <w:t xml:space="preserve">the </w:t>
      </w:r>
      <w:r w:rsidR="0039061F" w:rsidRPr="00425A6E">
        <w:rPr>
          <w:rFonts w:ascii="Arial" w:hAnsi="Arial" w:cs="Arial"/>
          <w:color w:val="002060"/>
          <w:sz w:val="21"/>
          <w:szCs w:val="21"/>
        </w:rPr>
        <w:t>rate increases proposed are required</w:t>
      </w:r>
      <w:r w:rsidR="00F93EB6" w:rsidRPr="00425A6E">
        <w:rPr>
          <w:rFonts w:ascii="Arial" w:hAnsi="Arial" w:cs="Arial"/>
          <w:color w:val="002060"/>
          <w:sz w:val="21"/>
          <w:szCs w:val="21"/>
        </w:rPr>
        <w:t xml:space="preserve"> to ensure sufficient funding </w:t>
      </w:r>
      <w:r w:rsidR="00D915EF" w:rsidRPr="00425A6E">
        <w:rPr>
          <w:rFonts w:ascii="Arial" w:hAnsi="Arial" w:cs="Arial"/>
          <w:color w:val="002060"/>
          <w:sz w:val="21"/>
          <w:szCs w:val="21"/>
        </w:rPr>
        <w:t>is available for</w:t>
      </w:r>
      <w:r w:rsidR="007D07FD">
        <w:rPr>
          <w:rFonts w:ascii="Arial" w:hAnsi="Arial" w:cs="Arial"/>
          <w:color w:val="002060"/>
          <w:sz w:val="21"/>
          <w:szCs w:val="21"/>
        </w:rPr>
        <w:t xml:space="preserve"> road network </w:t>
      </w:r>
      <w:r w:rsidR="00D915EF" w:rsidRPr="00425A6E">
        <w:rPr>
          <w:rFonts w:ascii="Arial" w:hAnsi="Arial" w:cs="Arial"/>
          <w:color w:val="002060"/>
          <w:sz w:val="21"/>
          <w:szCs w:val="21"/>
        </w:rPr>
        <w:t>renewals into the future.</w:t>
      </w:r>
    </w:p>
    <w:p w:rsidR="007D07FD" w:rsidRDefault="007D07FD" w:rsidP="001105C0">
      <w:pPr>
        <w:tabs>
          <w:tab w:val="left" w:pos="8504"/>
        </w:tabs>
        <w:ind w:left="284" w:right="-427"/>
        <w:jc w:val="both"/>
        <w:rPr>
          <w:rFonts w:ascii="Arial" w:hAnsi="Arial" w:cs="Arial"/>
          <w:color w:val="002060"/>
          <w:sz w:val="21"/>
          <w:szCs w:val="21"/>
        </w:rPr>
      </w:pPr>
    </w:p>
    <w:p w:rsidR="009356FB" w:rsidRPr="00E2286B" w:rsidRDefault="007D07FD" w:rsidP="001105C0">
      <w:pPr>
        <w:tabs>
          <w:tab w:val="left" w:pos="8504"/>
        </w:tabs>
        <w:ind w:left="284" w:right="-427"/>
        <w:jc w:val="both"/>
        <w:rPr>
          <w:rFonts w:ascii="Arial" w:hAnsi="Arial"/>
          <w:b/>
          <w:color w:val="00408A"/>
          <w:kern w:val="28"/>
          <w:sz w:val="24"/>
        </w:rPr>
      </w:pPr>
      <w:r w:rsidRPr="00E2286B">
        <w:rPr>
          <w:rFonts w:ascii="Arial" w:hAnsi="Arial" w:cs="Arial"/>
          <w:color w:val="002060"/>
          <w:sz w:val="21"/>
          <w:szCs w:val="21"/>
        </w:rPr>
        <w:t>Council has considered the increased rates compared to adjoining Local Government areas</w:t>
      </w:r>
      <w:r w:rsidR="001869DC" w:rsidRPr="00E2286B">
        <w:rPr>
          <w:rFonts w:ascii="Arial" w:hAnsi="Arial" w:cs="Arial"/>
          <w:color w:val="002060"/>
          <w:sz w:val="21"/>
          <w:szCs w:val="21"/>
        </w:rPr>
        <w:t xml:space="preserve"> </w:t>
      </w:r>
      <w:r w:rsidR="001869DC" w:rsidRPr="00351E17">
        <w:rPr>
          <w:rFonts w:ascii="Arial" w:hAnsi="Arial" w:cs="Arial"/>
          <w:color w:val="FF0000"/>
          <w:sz w:val="21"/>
          <w:szCs w:val="21"/>
        </w:rPr>
        <w:t>(confidential attachment # 15)</w:t>
      </w:r>
      <w:r w:rsidRPr="00351E17">
        <w:rPr>
          <w:rFonts w:ascii="Arial" w:hAnsi="Arial" w:cs="Arial"/>
          <w:color w:val="FF0000"/>
          <w:sz w:val="21"/>
          <w:szCs w:val="21"/>
        </w:rPr>
        <w:t>.</w:t>
      </w:r>
      <w:r w:rsidRPr="00E2286B">
        <w:rPr>
          <w:rFonts w:ascii="Arial" w:hAnsi="Arial" w:cs="Arial"/>
          <w:color w:val="002060"/>
          <w:sz w:val="21"/>
          <w:szCs w:val="21"/>
        </w:rPr>
        <w:t xml:space="preserve">  </w:t>
      </w:r>
      <w:r w:rsidR="009356FB" w:rsidRPr="00E2286B">
        <w:rPr>
          <w:rFonts w:ascii="Arial" w:hAnsi="Arial" w:cs="Arial"/>
          <w:color w:val="002060"/>
          <w:sz w:val="21"/>
          <w:szCs w:val="21"/>
        </w:rPr>
        <w:t xml:space="preserve">Comparison with neighbouring Shires indicates levels equal to </w:t>
      </w:r>
      <w:r w:rsidR="00E2286B" w:rsidRPr="00E2286B">
        <w:rPr>
          <w:rFonts w:ascii="Arial" w:hAnsi="Arial" w:cs="Arial"/>
          <w:color w:val="002060"/>
          <w:sz w:val="21"/>
          <w:szCs w:val="21"/>
        </w:rPr>
        <w:t>or</w:t>
      </w:r>
      <w:r w:rsidR="009356FB" w:rsidRPr="00E2286B">
        <w:rPr>
          <w:rFonts w:ascii="Arial" w:hAnsi="Arial" w:cs="Arial"/>
          <w:color w:val="002060"/>
          <w:sz w:val="21"/>
          <w:szCs w:val="21"/>
        </w:rPr>
        <w:t xml:space="preserve"> below after</w:t>
      </w:r>
      <w:r w:rsidR="00E2286B" w:rsidRPr="00E2286B">
        <w:rPr>
          <w:rFonts w:ascii="Arial" w:hAnsi="Arial" w:cs="Arial"/>
          <w:color w:val="002060"/>
          <w:sz w:val="21"/>
          <w:szCs w:val="21"/>
        </w:rPr>
        <w:t xml:space="preserve"> the</w:t>
      </w:r>
      <w:r w:rsidR="009356FB" w:rsidRPr="00E2286B">
        <w:rPr>
          <w:rFonts w:ascii="Arial" w:hAnsi="Arial" w:cs="Arial"/>
          <w:color w:val="002060"/>
          <w:sz w:val="21"/>
          <w:szCs w:val="21"/>
        </w:rPr>
        <w:t xml:space="preserve"> permanent special rate variation has been applied.   In the case of one neighbouring Shire, we are above</w:t>
      </w:r>
      <w:r w:rsidR="00E2286B" w:rsidRPr="00E2286B">
        <w:rPr>
          <w:rFonts w:ascii="Arial" w:hAnsi="Arial" w:cs="Arial"/>
          <w:color w:val="002060"/>
          <w:sz w:val="21"/>
          <w:szCs w:val="21"/>
        </w:rPr>
        <w:t>.</w:t>
      </w:r>
      <w:r w:rsidR="009356FB" w:rsidRPr="00E2286B">
        <w:rPr>
          <w:rFonts w:ascii="Arial" w:hAnsi="Arial"/>
          <w:b/>
          <w:color w:val="00408A"/>
          <w:kern w:val="28"/>
          <w:sz w:val="24"/>
        </w:rPr>
        <w:t xml:space="preserve">    </w:t>
      </w:r>
    </w:p>
    <w:p w:rsidR="00D60EA5" w:rsidRPr="00B81691" w:rsidRDefault="00D60EA5" w:rsidP="001105C0">
      <w:pPr>
        <w:pStyle w:val="Heading2"/>
        <w:tabs>
          <w:tab w:val="clear" w:pos="709"/>
        </w:tabs>
        <w:ind w:right="-427" w:hanging="425"/>
      </w:pPr>
      <w:bookmarkStart w:id="35" w:name="_Toc411847919"/>
      <w:r w:rsidRPr="00B81691">
        <w:lastRenderedPageBreak/>
        <w:t>Addressing hardship</w:t>
      </w:r>
      <w:bookmarkEnd w:id="35"/>
    </w:p>
    <w:p w:rsidR="00D60EA5" w:rsidRDefault="00D60EA5" w:rsidP="00C1555C">
      <w:pPr>
        <w:pStyle w:val="BodyText"/>
        <w:ind w:right="-143"/>
      </w:pPr>
      <w:r w:rsidRPr="005F72FF">
        <w:t>In addition to the statutory requirement for p</w:t>
      </w:r>
      <w:r w:rsidR="00FC2116">
        <w:t xml:space="preserve">ensioner rebates, most </w:t>
      </w:r>
      <w:proofErr w:type="gramStart"/>
      <w:r w:rsidR="00FC2116">
        <w:t>councils</w:t>
      </w:r>
      <w:proofErr w:type="gramEnd"/>
      <w:r w:rsidR="00FC2116">
        <w:t xml:space="preserve"> </w:t>
      </w:r>
      <w:r w:rsidRPr="005F72FF">
        <w:t>hav</w:t>
      </w:r>
      <w:r>
        <w:t>e a policy, formal or otherwise</w:t>
      </w:r>
      <w:r w:rsidR="00FC2116">
        <w:t xml:space="preserve"> to address issues of hardship</w:t>
      </w:r>
      <w:r w:rsidRPr="005F72FF">
        <w:t>.</w:t>
      </w:r>
    </w:p>
    <w:p w:rsidR="00D60EA5" w:rsidRPr="000431EA" w:rsidRDefault="00D60EA5" w:rsidP="00C1555C">
      <w:pPr>
        <w:pStyle w:val="BodyText"/>
        <w:keepNext/>
        <w:spacing w:before="0"/>
        <w:ind w:right="-143"/>
      </w:pPr>
    </w:p>
    <w:tbl>
      <w:tblPr>
        <w:tblW w:w="9073" w:type="dxa"/>
        <w:tblInd w:w="-34" w:type="dxa"/>
        <w:tblLook w:val="01E0"/>
      </w:tblPr>
      <w:tblGrid>
        <w:gridCol w:w="7939"/>
        <w:gridCol w:w="567"/>
        <w:gridCol w:w="567"/>
      </w:tblGrid>
      <w:tr w:rsidR="00B84AA8" w:rsidTr="001105C0">
        <w:tc>
          <w:tcPr>
            <w:tcW w:w="7939" w:type="dxa"/>
          </w:tcPr>
          <w:p w:rsidR="00B84AA8" w:rsidRPr="00B84AA8" w:rsidRDefault="00B84AA8" w:rsidP="00C1555C">
            <w:pPr>
              <w:pStyle w:val="TableTextEntries"/>
              <w:ind w:right="-143"/>
              <w:jc w:val="center"/>
            </w:pPr>
            <w:r w:rsidRPr="00B84AA8">
              <w:t>Doe</w:t>
            </w:r>
            <w:r>
              <w:t>s</w:t>
            </w:r>
            <w:r w:rsidRPr="00B84AA8">
              <w:t xml:space="preserve"> the council have a Hardship Policy?</w:t>
            </w:r>
          </w:p>
        </w:tc>
        <w:tc>
          <w:tcPr>
            <w:tcW w:w="567" w:type="dxa"/>
          </w:tcPr>
          <w:p w:rsidR="00B84AA8" w:rsidRPr="00B84AA8" w:rsidRDefault="00B84AA8" w:rsidP="00C1555C">
            <w:pPr>
              <w:pStyle w:val="TableTextEntries"/>
              <w:ind w:right="-143"/>
              <w:jc w:val="center"/>
              <w:rPr>
                <w:rFonts w:cs="Arial"/>
              </w:rPr>
            </w:pPr>
            <w:r w:rsidRPr="00B84AA8">
              <w:rPr>
                <w:rFonts w:cs="Arial"/>
              </w:rPr>
              <w:t xml:space="preserve">Yes </w:t>
            </w:r>
            <w:r w:rsidR="0019015E"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19015E">
              <w:rPr>
                <w:rFonts w:cs="Arial"/>
              </w:rPr>
            </w:r>
            <w:r w:rsidR="0019015E">
              <w:rPr>
                <w:rFonts w:cs="Arial"/>
              </w:rPr>
              <w:fldChar w:fldCharType="separate"/>
            </w:r>
            <w:r w:rsidR="0019015E" w:rsidRPr="00B84AA8">
              <w:rPr>
                <w:rFonts w:cs="Arial"/>
              </w:rPr>
              <w:fldChar w:fldCharType="end"/>
            </w:r>
          </w:p>
        </w:tc>
        <w:tc>
          <w:tcPr>
            <w:tcW w:w="567" w:type="dxa"/>
            <w:vAlign w:val="bottom"/>
          </w:tcPr>
          <w:p w:rsidR="00B84AA8" w:rsidRPr="00B84AA8" w:rsidRDefault="00B84AA8" w:rsidP="00C1555C">
            <w:pPr>
              <w:pStyle w:val="TableTextEntries"/>
              <w:ind w:right="-143"/>
              <w:jc w:val="center"/>
            </w:pPr>
            <w:r w:rsidRPr="00B84AA8">
              <w:rPr>
                <w:rFonts w:cs="Arial"/>
              </w:rPr>
              <w:t xml:space="preserve">No </w:t>
            </w:r>
            <w:r w:rsidR="0019015E">
              <w:rPr>
                <w:rFonts w:cs="Arial"/>
              </w:rPr>
              <w:fldChar w:fldCharType="begin">
                <w:ffData>
                  <w:name w:val=""/>
                  <w:enabled/>
                  <w:calcOnExit w:val="0"/>
                  <w:checkBox>
                    <w:sizeAuto/>
                    <w:default w:val="1"/>
                  </w:checkBox>
                </w:ffData>
              </w:fldChar>
            </w:r>
            <w:r w:rsidR="0039061F">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p>
        </w:tc>
      </w:tr>
      <w:tr w:rsidR="00284554" w:rsidTr="001105C0">
        <w:tc>
          <w:tcPr>
            <w:tcW w:w="7939" w:type="dxa"/>
          </w:tcPr>
          <w:p w:rsidR="00284554" w:rsidRPr="00B84AA8" w:rsidRDefault="00C37BFE" w:rsidP="00C1555C">
            <w:pPr>
              <w:pStyle w:val="TableTextEntries"/>
              <w:ind w:right="-143"/>
              <w:jc w:val="center"/>
              <w:rPr>
                <w:rFonts w:cs="Arial"/>
              </w:rPr>
            </w:pPr>
            <w:r>
              <w:rPr>
                <w:rFonts w:cs="Arial"/>
              </w:rPr>
              <w:t>If Yes, i</w:t>
            </w:r>
            <w:r w:rsidR="009B31B5">
              <w:rPr>
                <w:rFonts w:cs="Arial"/>
              </w:rPr>
              <w:t>s an interest charge applied</w:t>
            </w:r>
            <w:r w:rsidR="00284554">
              <w:rPr>
                <w:rFonts w:cs="Arial"/>
              </w:rPr>
              <w:t xml:space="preserve"> to late rate payments?</w:t>
            </w:r>
          </w:p>
        </w:tc>
        <w:tc>
          <w:tcPr>
            <w:tcW w:w="567" w:type="dxa"/>
          </w:tcPr>
          <w:p w:rsidR="00284554" w:rsidRPr="00B84AA8" w:rsidRDefault="00284554" w:rsidP="00C1555C">
            <w:pPr>
              <w:pStyle w:val="TableTextEntries"/>
              <w:ind w:right="-143"/>
              <w:jc w:val="center"/>
              <w:rPr>
                <w:rFonts w:cs="Arial"/>
              </w:rPr>
            </w:pPr>
            <w:r w:rsidRPr="00B84AA8">
              <w:rPr>
                <w:rFonts w:cs="Arial"/>
              </w:rPr>
              <w:t xml:space="preserve">Yes </w:t>
            </w:r>
            <w:r w:rsidR="0019015E"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19015E">
              <w:rPr>
                <w:rFonts w:cs="Arial"/>
              </w:rPr>
            </w:r>
            <w:r w:rsidR="0019015E">
              <w:rPr>
                <w:rFonts w:cs="Arial"/>
              </w:rPr>
              <w:fldChar w:fldCharType="separate"/>
            </w:r>
            <w:r w:rsidR="0019015E" w:rsidRPr="00B84AA8">
              <w:rPr>
                <w:rFonts w:cs="Arial"/>
              </w:rPr>
              <w:fldChar w:fldCharType="end"/>
            </w:r>
          </w:p>
        </w:tc>
        <w:tc>
          <w:tcPr>
            <w:tcW w:w="567" w:type="dxa"/>
            <w:vAlign w:val="bottom"/>
          </w:tcPr>
          <w:p w:rsidR="00284554" w:rsidRPr="00B84AA8" w:rsidRDefault="00284554" w:rsidP="00C1555C">
            <w:pPr>
              <w:pStyle w:val="TableTextEntries"/>
              <w:ind w:right="-143"/>
              <w:jc w:val="center"/>
            </w:pPr>
            <w:r w:rsidRPr="00B84AA8">
              <w:rPr>
                <w:rFonts w:cs="Arial"/>
              </w:rPr>
              <w:t xml:space="preserve">No </w:t>
            </w:r>
            <w:r w:rsidR="0019015E"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19015E">
              <w:rPr>
                <w:rFonts w:cs="Arial"/>
              </w:rPr>
            </w:r>
            <w:r w:rsidR="0019015E">
              <w:rPr>
                <w:rFonts w:cs="Arial"/>
              </w:rPr>
              <w:fldChar w:fldCharType="separate"/>
            </w:r>
            <w:r w:rsidR="0019015E" w:rsidRPr="00B84AA8">
              <w:rPr>
                <w:rFonts w:cs="Arial"/>
              </w:rPr>
              <w:fldChar w:fldCharType="end"/>
            </w:r>
          </w:p>
        </w:tc>
      </w:tr>
      <w:tr w:rsidR="00284554" w:rsidTr="001105C0">
        <w:tc>
          <w:tcPr>
            <w:tcW w:w="7939" w:type="dxa"/>
          </w:tcPr>
          <w:p w:rsidR="001105C0" w:rsidRDefault="00284554" w:rsidP="00C1555C">
            <w:pPr>
              <w:pStyle w:val="TableTextEntries"/>
              <w:ind w:right="-143"/>
              <w:jc w:val="center"/>
            </w:pPr>
            <w:r w:rsidRPr="00B84AA8">
              <w:t>Does the council propose to introduce any measures to limit the impact of the propo</w:t>
            </w:r>
            <w:r w:rsidR="009B31B5">
              <w:t>sed</w:t>
            </w:r>
          </w:p>
          <w:p w:rsidR="00284554" w:rsidRPr="00B84AA8" w:rsidRDefault="009B31B5" w:rsidP="00C1555C">
            <w:pPr>
              <w:pStyle w:val="TableTextEntries"/>
              <w:ind w:right="-143"/>
              <w:jc w:val="center"/>
            </w:pPr>
            <w:r>
              <w:t xml:space="preserve"> </w:t>
            </w:r>
            <w:proofErr w:type="gramStart"/>
            <w:r>
              <w:t>special</w:t>
            </w:r>
            <w:proofErr w:type="gramEnd"/>
            <w:r>
              <w:t xml:space="preserve"> variation on specific</w:t>
            </w:r>
            <w:r w:rsidR="00284554">
              <w:t xml:space="preserve"> groups</w:t>
            </w:r>
            <w:r w:rsidR="00827C5F">
              <w:t xml:space="preserve"> in the community</w:t>
            </w:r>
            <w:r w:rsidR="00284554">
              <w:t>?</w:t>
            </w:r>
          </w:p>
        </w:tc>
        <w:tc>
          <w:tcPr>
            <w:tcW w:w="567" w:type="dxa"/>
          </w:tcPr>
          <w:p w:rsidR="00284554" w:rsidRPr="00B84AA8" w:rsidRDefault="00284554" w:rsidP="00C1555C">
            <w:pPr>
              <w:pStyle w:val="TableTextEntries"/>
              <w:ind w:right="-143"/>
              <w:jc w:val="center"/>
            </w:pPr>
            <w:r w:rsidRPr="00B84AA8">
              <w:rPr>
                <w:rFonts w:cs="Arial"/>
              </w:rPr>
              <w:t xml:space="preserve">Yes </w:t>
            </w:r>
            <w:r w:rsidR="0019015E"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19015E">
              <w:rPr>
                <w:rFonts w:cs="Arial"/>
              </w:rPr>
            </w:r>
            <w:r w:rsidR="0019015E">
              <w:rPr>
                <w:rFonts w:cs="Arial"/>
              </w:rPr>
              <w:fldChar w:fldCharType="separate"/>
            </w:r>
            <w:r w:rsidR="0019015E" w:rsidRPr="00B84AA8">
              <w:rPr>
                <w:rFonts w:cs="Arial"/>
              </w:rPr>
              <w:fldChar w:fldCharType="end"/>
            </w:r>
          </w:p>
        </w:tc>
        <w:tc>
          <w:tcPr>
            <w:tcW w:w="567" w:type="dxa"/>
          </w:tcPr>
          <w:p w:rsidR="00284554" w:rsidRPr="00B84AA8" w:rsidRDefault="00284554" w:rsidP="00C1555C">
            <w:pPr>
              <w:pStyle w:val="TableTextEntries"/>
              <w:ind w:right="-143"/>
              <w:jc w:val="center"/>
            </w:pPr>
            <w:r w:rsidRPr="00B84AA8">
              <w:rPr>
                <w:rFonts w:cs="Arial"/>
              </w:rPr>
              <w:t xml:space="preserve">No </w:t>
            </w:r>
            <w:r w:rsidR="0019015E">
              <w:rPr>
                <w:rFonts w:cs="Arial"/>
              </w:rPr>
              <w:fldChar w:fldCharType="begin">
                <w:ffData>
                  <w:name w:val=""/>
                  <w:enabled/>
                  <w:calcOnExit w:val="0"/>
                  <w:checkBox>
                    <w:sizeAuto/>
                    <w:default w:val="1"/>
                  </w:checkBox>
                </w:ffData>
              </w:fldChar>
            </w:r>
            <w:r w:rsidR="0039061F">
              <w:rPr>
                <w:rFonts w:cs="Arial"/>
              </w:rPr>
              <w:instrText xml:space="preserve"> FORMCHECKBOX </w:instrText>
            </w:r>
            <w:r w:rsidR="0019015E">
              <w:rPr>
                <w:rFonts w:cs="Arial"/>
              </w:rPr>
            </w:r>
            <w:r w:rsidR="0019015E">
              <w:rPr>
                <w:rFonts w:cs="Arial"/>
              </w:rPr>
              <w:fldChar w:fldCharType="separate"/>
            </w:r>
            <w:r w:rsidR="0019015E">
              <w:rPr>
                <w:rFonts w:cs="Arial"/>
              </w:rPr>
              <w:fldChar w:fldCharType="end"/>
            </w:r>
          </w:p>
        </w:tc>
      </w:tr>
    </w:tbl>
    <w:p w:rsidR="00CA35DF" w:rsidRPr="00B17EC1" w:rsidRDefault="00916FAE" w:rsidP="00C1555C">
      <w:pPr>
        <w:pStyle w:val="BodyText"/>
        <w:ind w:right="-143"/>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C1555C">
      <w:pPr>
        <w:pStyle w:val="BodyText"/>
        <w:ind w:right="-143"/>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A349F5">
      <w:pPr>
        <w:pStyle w:val="BodyText"/>
        <w:ind w:right="-142"/>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B81691" w:rsidRDefault="00B81691" w:rsidP="00B81691">
      <w:pPr>
        <w:pStyle w:val="BodyText"/>
        <w:spacing w:before="0" w:line="240" w:lineRule="auto"/>
        <w:ind w:right="-1"/>
        <w:rPr>
          <w:rFonts w:ascii="Arial" w:hAnsi="Arial" w:cs="Arial"/>
          <w:color w:val="002060"/>
          <w:sz w:val="21"/>
        </w:rPr>
      </w:pPr>
    </w:p>
    <w:p w:rsidR="004E7B28" w:rsidRPr="004E7B28" w:rsidRDefault="004E7B28" w:rsidP="00C1555C">
      <w:pPr>
        <w:pStyle w:val="BodyText"/>
        <w:spacing w:before="0" w:line="240" w:lineRule="auto"/>
        <w:ind w:right="-143"/>
        <w:rPr>
          <w:color w:val="002060"/>
          <w:sz w:val="21"/>
        </w:rPr>
      </w:pPr>
      <w:r w:rsidRPr="004E7B28">
        <w:rPr>
          <w:rFonts w:ascii="Arial" w:hAnsi="Arial" w:cs="Arial"/>
          <w:color w:val="002060"/>
          <w:sz w:val="21"/>
        </w:rPr>
        <w:t xml:space="preserve">Council does not have a hardship policy.  Individual ratepayers can however, make application to Council to consider their position in relation to hardship.  </w:t>
      </w:r>
      <w:r w:rsidR="007C55F5">
        <w:rPr>
          <w:rFonts w:ascii="Arial" w:hAnsi="Arial" w:cs="Arial"/>
          <w:color w:val="002060"/>
          <w:sz w:val="21"/>
        </w:rPr>
        <w:t>There has been one request for hardship in the last 20 years from a rural ratepayer, resulting in agreement for delayed payments.</w:t>
      </w:r>
    </w:p>
    <w:p w:rsidR="00D60EA5" w:rsidRPr="00B81691" w:rsidRDefault="00D60EA5" w:rsidP="00B81691">
      <w:pPr>
        <w:pStyle w:val="Heading1"/>
      </w:pPr>
      <w:bookmarkStart w:id="36" w:name="_Toc411847920"/>
      <w:r w:rsidRPr="00B81691">
        <w:t xml:space="preserve">Assessment criterion 4: </w:t>
      </w:r>
      <w:r w:rsidR="00CA35DF" w:rsidRPr="00B81691">
        <w:t>Public exhibition of relevant IP&amp;R documents</w:t>
      </w:r>
      <w:bookmarkEnd w:id="36"/>
    </w:p>
    <w:p w:rsidR="00D60EA5" w:rsidRPr="00303275" w:rsidRDefault="00B73C72" w:rsidP="00B81691">
      <w:pPr>
        <w:pStyle w:val="BodyText"/>
        <w:spacing w:after="240"/>
        <w:ind w:right="-1"/>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B81691">
      <w:pPr>
        <w:pStyle w:val="Quote"/>
        <w:ind w:left="0" w:right="-1"/>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B81691">
      <w:pPr>
        <w:pStyle w:val="BodyText"/>
        <w:ind w:right="-1"/>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B81691">
      <w:pPr>
        <w:pStyle w:val="BodyText"/>
        <w:ind w:right="-1"/>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C1555C" w:rsidRDefault="00B73C72" w:rsidP="00B81691">
      <w:pPr>
        <w:pStyle w:val="BodyText"/>
        <w:ind w:right="-1"/>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w:t>
      </w:r>
    </w:p>
    <w:p w:rsidR="00DC1309" w:rsidRDefault="007970EE" w:rsidP="00C1555C">
      <w:pPr>
        <w:pStyle w:val="BodyText"/>
        <w:spacing w:before="0" w:line="240" w:lineRule="auto"/>
        <w:rPr>
          <w:rFonts w:cs="Arial"/>
          <w:color w:val="000000"/>
        </w:rPr>
      </w:pPr>
      <w:proofErr w:type="gramStart"/>
      <w:r w:rsidRPr="00303275">
        <w:rPr>
          <w:rFonts w:cs="Arial"/>
          <w:color w:val="000000"/>
        </w:rPr>
        <w:t>amendments</w:t>
      </w:r>
      <w:proofErr w:type="gramEnd"/>
      <w:r w:rsidRPr="00303275">
        <w:rPr>
          <w:rFonts w:cs="Arial"/>
          <w:color w:val="000000"/>
        </w:rPr>
        <w:t xml:space="preserve"> to </w:t>
      </w:r>
      <w:r w:rsidR="00DC1309" w:rsidRPr="00303275">
        <w:rPr>
          <w:rFonts w:cs="Arial"/>
          <w:color w:val="000000"/>
        </w:rPr>
        <w:t xml:space="preserve">the Long Term Financial Plan and Asset Management Plan/s do not require </w:t>
      </w:r>
      <w:r w:rsidR="00B73C72" w:rsidRPr="00303275">
        <w:rPr>
          <w:rFonts w:cs="Arial"/>
          <w:color w:val="000000"/>
        </w:rPr>
        <w:t xml:space="preserve">public </w:t>
      </w:r>
      <w:r w:rsidRPr="00303275">
        <w:rPr>
          <w:rFonts w:cs="Arial"/>
          <w:color w:val="000000"/>
        </w:rPr>
        <w:t>exhibit</w:t>
      </w:r>
      <w:r w:rsidR="00B73C72"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4E7B28" w:rsidRDefault="004E7B28" w:rsidP="00C1555C">
      <w:pPr>
        <w:pStyle w:val="BodyText"/>
        <w:rPr>
          <w:rFonts w:cs="Arial"/>
          <w:color w:val="000000"/>
        </w:rPr>
      </w:pPr>
    </w:p>
    <w:p w:rsidR="0039061F" w:rsidRPr="004E7B28" w:rsidRDefault="008E4082" w:rsidP="00C1555C">
      <w:pPr>
        <w:jc w:val="both"/>
        <w:rPr>
          <w:rFonts w:ascii="Arial" w:hAnsi="Arial" w:cs="Arial"/>
          <w:color w:val="002060"/>
          <w:sz w:val="21"/>
          <w:szCs w:val="21"/>
        </w:rPr>
      </w:pPr>
      <w:r>
        <w:rPr>
          <w:rFonts w:ascii="Arial" w:hAnsi="Arial" w:cs="Arial"/>
          <w:color w:val="002060"/>
          <w:sz w:val="21"/>
          <w:szCs w:val="21"/>
        </w:rPr>
        <w:t>The</w:t>
      </w:r>
      <w:r w:rsidR="0039061F" w:rsidRPr="004E7B28">
        <w:rPr>
          <w:rFonts w:ascii="Arial" w:hAnsi="Arial" w:cs="Arial"/>
          <w:color w:val="002060"/>
          <w:sz w:val="21"/>
          <w:szCs w:val="21"/>
        </w:rPr>
        <w:t xml:space="preserve"> Delivery Program and Operational </w:t>
      </w:r>
      <w:proofErr w:type="gramStart"/>
      <w:r w:rsidR="0039061F" w:rsidRPr="004E7B28">
        <w:rPr>
          <w:rFonts w:ascii="Arial" w:hAnsi="Arial" w:cs="Arial"/>
          <w:color w:val="002060"/>
          <w:sz w:val="21"/>
          <w:szCs w:val="21"/>
        </w:rPr>
        <w:t>Plan  2</w:t>
      </w:r>
      <w:r w:rsidR="003E0F70" w:rsidRPr="004E7B28">
        <w:rPr>
          <w:rFonts w:ascii="Arial" w:hAnsi="Arial" w:cs="Arial"/>
          <w:color w:val="002060"/>
          <w:sz w:val="21"/>
          <w:szCs w:val="21"/>
        </w:rPr>
        <w:t>014</w:t>
      </w:r>
      <w:proofErr w:type="gramEnd"/>
      <w:r w:rsidR="004E7B28">
        <w:rPr>
          <w:rFonts w:ascii="Arial" w:hAnsi="Arial" w:cs="Arial"/>
          <w:color w:val="002060"/>
          <w:sz w:val="21"/>
          <w:szCs w:val="21"/>
        </w:rPr>
        <w:t xml:space="preserve"> </w:t>
      </w:r>
      <w:r w:rsidR="003E0F70" w:rsidRPr="004E7B28">
        <w:rPr>
          <w:rFonts w:ascii="Arial" w:hAnsi="Arial" w:cs="Arial"/>
          <w:color w:val="002060"/>
          <w:sz w:val="21"/>
          <w:szCs w:val="21"/>
        </w:rPr>
        <w:t>-</w:t>
      </w:r>
      <w:r w:rsidR="004E7B28">
        <w:rPr>
          <w:rFonts w:ascii="Arial" w:hAnsi="Arial" w:cs="Arial"/>
          <w:color w:val="002060"/>
          <w:sz w:val="21"/>
          <w:szCs w:val="21"/>
        </w:rPr>
        <w:t xml:space="preserve"> </w:t>
      </w:r>
      <w:r w:rsidR="003E0F70" w:rsidRPr="004E7B28">
        <w:rPr>
          <w:rFonts w:ascii="Arial" w:hAnsi="Arial" w:cs="Arial"/>
          <w:color w:val="002060"/>
          <w:sz w:val="21"/>
          <w:szCs w:val="21"/>
        </w:rPr>
        <w:t>2018</w:t>
      </w:r>
      <w:r w:rsidR="0039061F" w:rsidRPr="004E7B28">
        <w:rPr>
          <w:rFonts w:ascii="Arial" w:hAnsi="Arial" w:cs="Arial"/>
          <w:color w:val="002060"/>
          <w:sz w:val="21"/>
          <w:szCs w:val="21"/>
        </w:rPr>
        <w:t xml:space="preserve"> clearly outlines the need</w:t>
      </w:r>
      <w:r w:rsidR="003E0F70" w:rsidRPr="004E7B28">
        <w:rPr>
          <w:rFonts w:ascii="Arial" w:hAnsi="Arial" w:cs="Arial"/>
          <w:color w:val="002060"/>
          <w:sz w:val="21"/>
          <w:szCs w:val="21"/>
        </w:rPr>
        <w:t xml:space="preserve"> for the special rate variation (see p</w:t>
      </w:r>
      <w:r w:rsidR="0039061F" w:rsidRPr="004E7B28">
        <w:rPr>
          <w:rFonts w:ascii="Arial" w:hAnsi="Arial" w:cs="Arial"/>
          <w:color w:val="002060"/>
          <w:sz w:val="21"/>
          <w:szCs w:val="21"/>
        </w:rPr>
        <w:t>age 2, Message from the Mayor)</w:t>
      </w:r>
      <w:r w:rsidR="003E0F70" w:rsidRPr="004E7B28">
        <w:rPr>
          <w:rFonts w:ascii="Arial" w:hAnsi="Arial" w:cs="Arial"/>
          <w:color w:val="002060"/>
          <w:sz w:val="21"/>
          <w:szCs w:val="21"/>
        </w:rPr>
        <w:t>.</w:t>
      </w:r>
    </w:p>
    <w:p w:rsidR="003E0F70" w:rsidRPr="004E7B28" w:rsidRDefault="003E0F70" w:rsidP="00C1555C">
      <w:pPr>
        <w:jc w:val="both"/>
        <w:rPr>
          <w:rFonts w:ascii="Arial" w:hAnsi="Arial" w:cs="Arial"/>
          <w:color w:val="002060"/>
          <w:sz w:val="21"/>
          <w:szCs w:val="21"/>
        </w:rPr>
      </w:pPr>
    </w:p>
    <w:p w:rsidR="0039061F" w:rsidRPr="004E7B28" w:rsidRDefault="0039061F" w:rsidP="00C1555C">
      <w:pPr>
        <w:jc w:val="both"/>
        <w:rPr>
          <w:rFonts w:ascii="Arial" w:hAnsi="Arial" w:cs="Arial"/>
          <w:color w:val="002060"/>
          <w:sz w:val="21"/>
          <w:szCs w:val="21"/>
        </w:rPr>
      </w:pPr>
      <w:r w:rsidRPr="004E7B28">
        <w:rPr>
          <w:rFonts w:ascii="Arial" w:hAnsi="Arial" w:cs="Arial"/>
          <w:color w:val="002060"/>
          <w:sz w:val="21"/>
          <w:szCs w:val="21"/>
        </w:rPr>
        <w:t>Community Consultation for the Delivery Program 2014-2018 and Operational Plan 2014/2015 was as follows:</w:t>
      </w:r>
    </w:p>
    <w:p w:rsidR="003E0F70" w:rsidRPr="004E7B28" w:rsidRDefault="003E0F70" w:rsidP="00C1555C">
      <w:pPr>
        <w:jc w:val="both"/>
        <w:rPr>
          <w:rFonts w:ascii="Arial" w:hAnsi="Arial" w:cs="Arial"/>
          <w:color w:val="002060"/>
          <w:sz w:val="21"/>
          <w:szCs w:val="21"/>
        </w:rPr>
      </w:pPr>
    </w:p>
    <w:p w:rsidR="003E0F70" w:rsidRPr="004E7B28" w:rsidRDefault="0039061F" w:rsidP="00C1555C">
      <w:pPr>
        <w:pStyle w:val="ListParagraph"/>
        <w:numPr>
          <w:ilvl w:val="0"/>
          <w:numId w:val="29"/>
        </w:numPr>
        <w:ind w:left="0" w:firstLine="0"/>
        <w:jc w:val="both"/>
        <w:rPr>
          <w:rFonts w:ascii="Arial" w:hAnsi="Arial" w:cs="Arial"/>
          <w:color w:val="002060"/>
          <w:sz w:val="21"/>
          <w:szCs w:val="21"/>
        </w:rPr>
      </w:pPr>
      <w:r w:rsidRPr="004E7B28">
        <w:rPr>
          <w:rFonts w:ascii="Arial" w:hAnsi="Arial" w:cs="Arial"/>
          <w:color w:val="002060"/>
          <w:sz w:val="21"/>
          <w:szCs w:val="21"/>
        </w:rPr>
        <w:t xml:space="preserve">Public Exhibition of this document occurred from 29 April 2014 with the submission period closing 16 June 2014.   </w:t>
      </w:r>
    </w:p>
    <w:p w:rsidR="003E0F70" w:rsidRPr="004E7B28" w:rsidRDefault="0039061F" w:rsidP="00C1555C">
      <w:pPr>
        <w:pStyle w:val="ListParagraph"/>
        <w:numPr>
          <w:ilvl w:val="0"/>
          <w:numId w:val="29"/>
        </w:numPr>
        <w:ind w:left="0" w:firstLine="0"/>
        <w:jc w:val="both"/>
        <w:rPr>
          <w:rFonts w:ascii="Arial" w:hAnsi="Arial" w:cs="Arial"/>
          <w:color w:val="002060"/>
          <w:sz w:val="21"/>
          <w:szCs w:val="21"/>
        </w:rPr>
      </w:pPr>
      <w:r w:rsidRPr="004E7B28">
        <w:rPr>
          <w:rFonts w:ascii="Arial" w:hAnsi="Arial" w:cs="Arial"/>
          <w:color w:val="002060"/>
          <w:sz w:val="21"/>
          <w:szCs w:val="21"/>
        </w:rPr>
        <w:t>25 Submissions were received during the exhi</w:t>
      </w:r>
      <w:r w:rsidR="003E0F70" w:rsidRPr="004E7B28">
        <w:rPr>
          <w:rFonts w:ascii="Arial" w:hAnsi="Arial" w:cs="Arial"/>
          <w:color w:val="002060"/>
          <w:sz w:val="21"/>
          <w:szCs w:val="21"/>
        </w:rPr>
        <w:t>bition period.  These were summa</w:t>
      </w:r>
      <w:r w:rsidRPr="004E7B28">
        <w:rPr>
          <w:rFonts w:ascii="Arial" w:hAnsi="Arial" w:cs="Arial"/>
          <w:color w:val="002060"/>
          <w:sz w:val="21"/>
          <w:szCs w:val="21"/>
        </w:rPr>
        <w:t xml:space="preserve">rised in the report to Council 24 June 2014. This report outlined the need </w:t>
      </w:r>
      <w:r w:rsidR="003E0F70" w:rsidRPr="004E7B28">
        <w:rPr>
          <w:rFonts w:ascii="Arial" w:hAnsi="Arial" w:cs="Arial"/>
          <w:color w:val="002060"/>
          <w:sz w:val="21"/>
          <w:szCs w:val="21"/>
        </w:rPr>
        <w:t>for</w:t>
      </w:r>
      <w:r w:rsidRPr="004E7B28">
        <w:rPr>
          <w:rFonts w:ascii="Arial" w:hAnsi="Arial" w:cs="Arial"/>
          <w:color w:val="002060"/>
          <w:sz w:val="21"/>
          <w:szCs w:val="21"/>
        </w:rPr>
        <w:t xml:space="preserve"> additional public meetings at a time more appropriate for the rural rate payers of the Shire and consideration of other forms of communications, including a survey. </w:t>
      </w:r>
    </w:p>
    <w:p w:rsidR="0039061F" w:rsidRPr="004E7B28" w:rsidRDefault="0039061F" w:rsidP="00C1555C">
      <w:pPr>
        <w:pStyle w:val="ListParagraph"/>
        <w:numPr>
          <w:ilvl w:val="0"/>
          <w:numId w:val="29"/>
        </w:numPr>
        <w:ind w:left="0" w:firstLine="0"/>
        <w:jc w:val="both"/>
        <w:rPr>
          <w:rFonts w:ascii="Arial" w:hAnsi="Arial" w:cs="Arial"/>
          <w:color w:val="002060"/>
          <w:sz w:val="21"/>
          <w:szCs w:val="21"/>
        </w:rPr>
      </w:pPr>
      <w:r w:rsidRPr="004E7B28">
        <w:rPr>
          <w:rFonts w:ascii="Arial" w:hAnsi="Arial" w:cs="Arial"/>
          <w:color w:val="002060"/>
          <w:sz w:val="21"/>
          <w:szCs w:val="21"/>
        </w:rPr>
        <w:t xml:space="preserve">Council </w:t>
      </w:r>
      <w:r w:rsidR="003E0F70" w:rsidRPr="004E7B28">
        <w:rPr>
          <w:rFonts w:ascii="Arial" w:hAnsi="Arial" w:cs="Arial"/>
          <w:color w:val="002060"/>
          <w:sz w:val="21"/>
          <w:szCs w:val="21"/>
        </w:rPr>
        <w:t>resolved to accept the Long Term Financial Plan and adopt the Delivery P</w:t>
      </w:r>
      <w:r w:rsidRPr="004E7B28">
        <w:rPr>
          <w:rFonts w:ascii="Arial" w:hAnsi="Arial" w:cs="Arial"/>
          <w:color w:val="002060"/>
          <w:sz w:val="21"/>
          <w:szCs w:val="21"/>
        </w:rPr>
        <w:t>rogram and Operational Plan  (Minute 71/06/14)</w:t>
      </w:r>
      <w:r w:rsidR="00CB5D31">
        <w:rPr>
          <w:rFonts w:ascii="Arial" w:hAnsi="Arial" w:cs="Arial"/>
          <w:color w:val="002060"/>
          <w:sz w:val="21"/>
          <w:szCs w:val="21"/>
        </w:rPr>
        <w:t xml:space="preserve"> (attachment # </w:t>
      </w:r>
      <w:r w:rsidR="008A6B3F">
        <w:rPr>
          <w:rFonts w:ascii="Arial" w:hAnsi="Arial" w:cs="Arial"/>
          <w:color w:val="002060"/>
          <w:sz w:val="21"/>
          <w:szCs w:val="21"/>
        </w:rPr>
        <w:t>12</w:t>
      </w:r>
      <w:r w:rsidR="00CB5D31">
        <w:rPr>
          <w:rFonts w:ascii="Arial" w:hAnsi="Arial" w:cs="Arial"/>
          <w:color w:val="002060"/>
          <w:sz w:val="21"/>
          <w:szCs w:val="21"/>
        </w:rPr>
        <w:t>):</w:t>
      </w:r>
    </w:p>
    <w:p w:rsidR="003E0F70" w:rsidRPr="004E7B28" w:rsidRDefault="003E0F70" w:rsidP="00C1555C">
      <w:pPr>
        <w:jc w:val="both"/>
        <w:rPr>
          <w:rFonts w:ascii="Arial" w:hAnsi="Arial" w:cs="Arial"/>
          <w:color w:val="002060"/>
          <w:sz w:val="21"/>
          <w:szCs w:val="21"/>
        </w:rPr>
      </w:pPr>
      <w:r w:rsidRPr="004E7B28">
        <w:rPr>
          <w:rFonts w:ascii="Arial" w:hAnsi="Arial" w:cs="Arial"/>
          <w:color w:val="002060"/>
          <w:sz w:val="21"/>
          <w:szCs w:val="21"/>
        </w:rPr>
        <w:t xml:space="preserve">At Council’s meeting of 28 October 2014, Council </w:t>
      </w:r>
      <w:proofErr w:type="gramStart"/>
      <w:r w:rsidRPr="004E7B28">
        <w:rPr>
          <w:rFonts w:ascii="Arial" w:hAnsi="Arial" w:cs="Arial"/>
          <w:color w:val="002060"/>
          <w:sz w:val="21"/>
          <w:szCs w:val="21"/>
        </w:rPr>
        <w:t xml:space="preserve">resolved </w:t>
      </w:r>
      <w:r w:rsidR="008A6B3F">
        <w:rPr>
          <w:rFonts w:ascii="Arial" w:hAnsi="Arial" w:cs="Arial"/>
          <w:color w:val="002060"/>
          <w:sz w:val="21"/>
          <w:szCs w:val="21"/>
        </w:rPr>
        <w:t xml:space="preserve"> (</w:t>
      </w:r>
      <w:proofErr w:type="gramEnd"/>
      <w:r w:rsidR="008A6B3F">
        <w:rPr>
          <w:rFonts w:ascii="Arial" w:hAnsi="Arial" w:cs="Arial"/>
          <w:color w:val="002060"/>
          <w:sz w:val="21"/>
          <w:szCs w:val="21"/>
        </w:rPr>
        <w:t xml:space="preserve">attachment # 8) </w:t>
      </w:r>
      <w:r w:rsidRPr="004E7B28">
        <w:rPr>
          <w:rFonts w:ascii="Arial" w:hAnsi="Arial" w:cs="Arial"/>
          <w:color w:val="002060"/>
          <w:sz w:val="21"/>
          <w:szCs w:val="21"/>
        </w:rPr>
        <w:t>as follows:</w:t>
      </w:r>
    </w:p>
    <w:p w:rsidR="003E0F70" w:rsidRPr="004E7B28" w:rsidRDefault="003E0F70" w:rsidP="00C1555C">
      <w:pPr>
        <w:jc w:val="both"/>
        <w:rPr>
          <w:rFonts w:ascii="Arial" w:hAnsi="Arial" w:cs="Arial"/>
          <w:i/>
          <w:color w:val="002060"/>
          <w:sz w:val="21"/>
          <w:szCs w:val="21"/>
        </w:rPr>
      </w:pPr>
    </w:p>
    <w:p w:rsidR="0039061F" w:rsidRPr="004E7B28" w:rsidRDefault="003E0F70" w:rsidP="00C1555C">
      <w:pPr>
        <w:ind w:left="1140" w:hanging="1140"/>
        <w:jc w:val="both"/>
        <w:rPr>
          <w:rFonts w:ascii="Arial" w:hAnsi="Arial" w:cs="Arial"/>
          <w:i/>
          <w:color w:val="002060"/>
          <w:sz w:val="21"/>
          <w:szCs w:val="21"/>
        </w:rPr>
      </w:pPr>
      <w:r w:rsidRPr="004E7B28">
        <w:rPr>
          <w:rFonts w:ascii="Arial" w:hAnsi="Arial" w:cs="Arial"/>
          <w:i/>
          <w:color w:val="002060"/>
          <w:sz w:val="21"/>
          <w:szCs w:val="21"/>
        </w:rPr>
        <w:t>144/10/14</w:t>
      </w:r>
      <w:r w:rsidRPr="004E7B28">
        <w:rPr>
          <w:rFonts w:ascii="Arial" w:hAnsi="Arial" w:cs="Arial"/>
          <w:i/>
          <w:color w:val="002060"/>
          <w:sz w:val="21"/>
          <w:szCs w:val="21"/>
        </w:rPr>
        <w:tab/>
        <w:t>*</w:t>
      </w:r>
      <w:r w:rsidRPr="004E7B28">
        <w:rPr>
          <w:rFonts w:ascii="Arial" w:hAnsi="Arial" w:cs="Arial"/>
          <w:i/>
          <w:color w:val="002060"/>
          <w:sz w:val="21"/>
          <w:szCs w:val="21"/>
        </w:rPr>
        <w:tab/>
        <w:t xml:space="preserve"> </w:t>
      </w:r>
      <w:r w:rsidR="0039061F" w:rsidRPr="004E7B28">
        <w:rPr>
          <w:rFonts w:ascii="Arial" w:hAnsi="Arial" w:cs="Arial"/>
          <w:i/>
          <w:color w:val="002060"/>
          <w:sz w:val="21"/>
          <w:szCs w:val="21"/>
        </w:rPr>
        <w:t>The Minister for Local Government be advised of Council’s proposal to make application to increase rates in the 2015/2016 and 2016/2017 financial year (Minute 144/10/14)</w:t>
      </w:r>
    </w:p>
    <w:p w:rsidR="003E0F70" w:rsidRPr="004E7B28" w:rsidRDefault="003E0F70" w:rsidP="00C1555C">
      <w:pPr>
        <w:ind w:left="1136"/>
        <w:jc w:val="both"/>
        <w:rPr>
          <w:rFonts w:ascii="Arial" w:hAnsi="Arial" w:cs="Arial"/>
          <w:i/>
          <w:color w:val="002060"/>
          <w:sz w:val="21"/>
          <w:szCs w:val="21"/>
        </w:rPr>
      </w:pPr>
      <w:r w:rsidRPr="004E7B28">
        <w:rPr>
          <w:rFonts w:ascii="Arial" w:hAnsi="Arial" w:cs="Arial"/>
          <w:i/>
          <w:color w:val="002060"/>
          <w:sz w:val="21"/>
          <w:szCs w:val="21"/>
        </w:rPr>
        <w:t>*</w:t>
      </w:r>
      <w:r w:rsidRPr="004E7B28">
        <w:rPr>
          <w:rFonts w:ascii="Arial" w:hAnsi="Arial" w:cs="Arial"/>
          <w:i/>
          <w:color w:val="002060"/>
          <w:sz w:val="21"/>
          <w:szCs w:val="21"/>
        </w:rPr>
        <w:tab/>
        <w:t>Discussions on the rate increase proposal be held at the workshop session proposed for Tuesday 3 February 2015 at Fairway B &amp; B</w:t>
      </w:r>
    </w:p>
    <w:p w:rsidR="00D60EA5" w:rsidRPr="00B81691" w:rsidRDefault="00D60EA5" w:rsidP="00B81691">
      <w:pPr>
        <w:pStyle w:val="Heading1"/>
      </w:pPr>
      <w:bookmarkStart w:id="37" w:name="_Toc411847921"/>
      <w:r w:rsidRPr="00B81691">
        <w:t>Assessment criterion 5: Productivity improvements and cost containment strategies</w:t>
      </w:r>
      <w:bookmarkEnd w:id="37"/>
    </w:p>
    <w:p w:rsidR="00D60EA5" w:rsidRPr="00B606B0" w:rsidRDefault="00235528" w:rsidP="00B81691">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B81691">
      <w:pPr>
        <w:pStyle w:val="Quote"/>
        <w:ind w:left="0"/>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B81691">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B81691">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(ie, cost savings),</w:t>
      </w:r>
      <w:r w:rsidRPr="00303275">
        <w:t xml:space="preserve"> have been factored into the council’s resourcing strategy (eg, LTFP and AMP).</w:t>
      </w:r>
    </w:p>
    <w:p w:rsidR="00D60EA5" w:rsidRPr="00303275" w:rsidRDefault="00D60EA5" w:rsidP="00B81691">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Default="00D83471" w:rsidP="00C1555C">
      <w:pPr>
        <w:pStyle w:val="BodyText"/>
        <w:ind w:right="283"/>
      </w:pPr>
      <w:r w:rsidRPr="00303275">
        <w:lastRenderedPageBreak/>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892B0D" w:rsidRPr="0039061F" w:rsidRDefault="00892B0D" w:rsidP="00C1555C">
      <w:pPr>
        <w:ind w:left="-567" w:right="283"/>
        <w:rPr>
          <w:rFonts w:ascii="Arial" w:hAnsi="Arial" w:cs="Arial"/>
          <w:color w:val="002060"/>
          <w:sz w:val="24"/>
        </w:rPr>
      </w:pPr>
    </w:p>
    <w:p w:rsidR="00892B0D" w:rsidRPr="00CB5D31" w:rsidRDefault="00892B0D" w:rsidP="00C1555C">
      <w:pPr>
        <w:ind w:right="283"/>
        <w:rPr>
          <w:rFonts w:ascii="Arial" w:hAnsi="Arial" w:cs="Arial"/>
          <w:color w:val="002060"/>
          <w:sz w:val="21"/>
          <w:szCs w:val="21"/>
        </w:rPr>
      </w:pPr>
    </w:p>
    <w:p w:rsidR="0039061F" w:rsidRPr="00CB5D31" w:rsidRDefault="0039061F" w:rsidP="00C1555C">
      <w:pPr>
        <w:ind w:right="283"/>
        <w:jc w:val="both"/>
        <w:rPr>
          <w:rFonts w:ascii="Arial" w:hAnsi="Arial" w:cs="Arial"/>
          <w:color w:val="002060"/>
          <w:sz w:val="21"/>
          <w:szCs w:val="21"/>
        </w:rPr>
      </w:pPr>
      <w:r w:rsidRPr="00CB5D31">
        <w:rPr>
          <w:rFonts w:ascii="Arial" w:hAnsi="Arial" w:cs="Arial"/>
          <w:color w:val="002060"/>
          <w:sz w:val="21"/>
          <w:szCs w:val="21"/>
        </w:rPr>
        <w:t>Jerilderie Shire Council has introduced a number of cost saving initiative</w:t>
      </w:r>
      <w:r w:rsidR="00892B0D" w:rsidRPr="00CB5D31">
        <w:rPr>
          <w:rFonts w:ascii="Arial" w:hAnsi="Arial" w:cs="Arial"/>
          <w:color w:val="002060"/>
          <w:sz w:val="21"/>
          <w:szCs w:val="21"/>
        </w:rPr>
        <w:t>s</w:t>
      </w:r>
      <w:r w:rsidRPr="00CB5D31">
        <w:rPr>
          <w:rFonts w:ascii="Arial" w:hAnsi="Arial" w:cs="Arial"/>
          <w:color w:val="002060"/>
          <w:sz w:val="21"/>
          <w:szCs w:val="21"/>
        </w:rPr>
        <w:t xml:space="preserve"> to improve the efficiency of Council including:</w:t>
      </w:r>
    </w:p>
    <w:p w:rsidR="00892B0D" w:rsidRPr="00CB5D31" w:rsidRDefault="00892B0D" w:rsidP="00C1555C">
      <w:pPr>
        <w:ind w:right="283"/>
        <w:jc w:val="both"/>
        <w:rPr>
          <w:rFonts w:ascii="Arial" w:hAnsi="Arial" w:cs="Arial"/>
          <w:color w:val="002060"/>
          <w:sz w:val="21"/>
          <w:szCs w:val="21"/>
        </w:rPr>
      </w:pPr>
    </w:p>
    <w:p w:rsidR="0039061F" w:rsidRPr="00CB5D31" w:rsidRDefault="0039061F" w:rsidP="00C1555C">
      <w:pPr>
        <w:pStyle w:val="ListParagraph"/>
        <w:numPr>
          <w:ilvl w:val="0"/>
          <w:numId w:val="30"/>
        </w:numPr>
        <w:ind w:left="0" w:right="283" w:firstLine="0"/>
        <w:jc w:val="both"/>
        <w:rPr>
          <w:rFonts w:ascii="Arial" w:hAnsi="Arial" w:cs="Arial"/>
          <w:color w:val="002060"/>
          <w:sz w:val="21"/>
          <w:szCs w:val="21"/>
        </w:rPr>
      </w:pPr>
      <w:r w:rsidRPr="00CB5D31">
        <w:rPr>
          <w:rFonts w:ascii="Arial" w:hAnsi="Arial" w:cs="Arial"/>
          <w:color w:val="002060"/>
          <w:sz w:val="21"/>
          <w:szCs w:val="21"/>
        </w:rPr>
        <w:t>No supervis</w:t>
      </w:r>
      <w:r w:rsidR="00892B0D" w:rsidRPr="00CB5D31">
        <w:rPr>
          <w:rFonts w:ascii="Arial" w:hAnsi="Arial" w:cs="Arial"/>
          <w:color w:val="002060"/>
          <w:sz w:val="21"/>
          <w:szCs w:val="21"/>
        </w:rPr>
        <w:t xml:space="preserve">ion at Swimming Pool </w:t>
      </w:r>
      <w:r w:rsidR="008E4082">
        <w:rPr>
          <w:rFonts w:ascii="Arial" w:hAnsi="Arial" w:cs="Arial"/>
          <w:color w:val="002060"/>
          <w:sz w:val="21"/>
          <w:szCs w:val="21"/>
        </w:rPr>
        <w:t>and</w:t>
      </w:r>
      <w:r w:rsidR="00892B0D" w:rsidRPr="00CB5D31">
        <w:rPr>
          <w:rFonts w:ascii="Arial" w:hAnsi="Arial" w:cs="Arial"/>
          <w:color w:val="002060"/>
          <w:sz w:val="21"/>
          <w:szCs w:val="21"/>
        </w:rPr>
        <w:t xml:space="preserve"> Sports S</w:t>
      </w:r>
      <w:r w:rsidRPr="00CB5D31">
        <w:rPr>
          <w:rFonts w:ascii="Arial" w:hAnsi="Arial" w:cs="Arial"/>
          <w:color w:val="002060"/>
          <w:sz w:val="21"/>
          <w:szCs w:val="21"/>
        </w:rPr>
        <w:t>tadium,  reducing annual operating</w:t>
      </w:r>
      <w:r w:rsidR="008E4082">
        <w:rPr>
          <w:rFonts w:ascii="Arial" w:hAnsi="Arial" w:cs="Arial"/>
          <w:color w:val="002060"/>
          <w:sz w:val="21"/>
          <w:szCs w:val="21"/>
        </w:rPr>
        <w:t xml:space="preserve"> costs by approximately $27,000 per annum</w:t>
      </w:r>
    </w:p>
    <w:p w:rsidR="0039061F" w:rsidRPr="00CB5D31" w:rsidRDefault="0039061F" w:rsidP="00C1555C">
      <w:pPr>
        <w:pStyle w:val="ListParagraph"/>
        <w:numPr>
          <w:ilvl w:val="0"/>
          <w:numId w:val="30"/>
        </w:numPr>
        <w:ind w:left="0" w:right="283" w:firstLine="0"/>
        <w:jc w:val="both"/>
        <w:rPr>
          <w:rFonts w:ascii="Arial" w:hAnsi="Arial" w:cs="Arial"/>
          <w:color w:val="002060"/>
          <w:sz w:val="21"/>
          <w:szCs w:val="21"/>
        </w:rPr>
      </w:pPr>
      <w:r w:rsidRPr="00CB5D31">
        <w:rPr>
          <w:rFonts w:ascii="Arial" w:hAnsi="Arial" w:cs="Arial"/>
          <w:color w:val="002060"/>
          <w:sz w:val="21"/>
          <w:szCs w:val="21"/>
        </w:rPr>
        <w:t xml:space="preserve">Handing back of buildings and land owned by the Crown – </w:t>
      </w:r>
      <w:r w:rsidR="00892B0D" w:rsidRPr="00CB5D31">
        <w:rPr>
          <w:rFonts w:ascii="Arial" w:hAnsi="Arial" w:cs="Arial"/>
          <w:color w:val="002060"/>
          <w:sz w:val="21"/>
          <w:szCs w:val="21"/>
        </w:rPr>
        <w:t>n</w:t>
      </w:r>
      <w:r w:rsidRPr="00CB5D31">
        <w:rPr>
          <w:rFonts w:ascii="Arial" w:hAnsi="Arial" w:cs="Arial"/>
          <w:color w:val="002060"/>
          <w:sz w:val="21"/>
          <w:szCs w:val="21"/>
        </w:rPr>
        <w:t xml:space="preserve">otably the Willows Museum </w:t>
      </w:r>
      <w:r w:rsidR="008E4082">
        <w:rPr>
          <w:rFonts w:ascii="Arial" w:hAnsi="Arial" w:cs="Arial"/>
          <w:color w:val="002060"/>
          <w:sz w:val="21"/>
          <w:szCs w:val="21"/>
        </w:rPr>
        <w:t>–reducing annual operating costs by approximately $18,000 per annum</w:t>
      </w:r>
    </w:p>
    <w:p w:rsidR="0039061F" w:rsidRPr="00CB5D31" w:rsidRDefault="0039061F" w:rsidP="00C1555C">
      <w:pPr>
        <w:pStyle w:val="ListParagraph"/>
        <w:numPr>
          <w:ilvl w:val="0"/>
          <w:numId w:val="30"/>
        </w:numPr>
        <w:ind w:left="0" w:right="283" w:firstLine="0"/>
        <w:jc w:val="both"/>
        <w:rPr>
          <w:rFonts w:ascii="Arial" w:hAnsi="Arial" w:cs="Arial"/>
          <w:color w:val="002060"/>
          <w:sz w:val="21"/>
          <w:szCs w:val="21"/>
        </w:rPr>
      </w:pPr>
      <w:r w:rsidRPr="00CB5D31">
        <w:rPr>
          <w:rFonts w:ascii="Arial" w:hAnsi="Arial" w:cs="Arial"/>
          <w:color w:val="002060"/>
          <w:sz w:val="21"/>
          <w:szCs w:val="21"/>
        </w:rPr>
        <w:t>Private Works – Council continues to source contract works from Roads and Maritime Services where possible on State and National roads within Council’s boundary.  Other private works are sought where Council has the capacity.  Council historically has undertaken on</w:t>
      </w:r>
      <w:r w:rsidR="00892B0D" w:rsidRPr="00CB5D31">
        <w:rPr>
          <w:rFonts w:ascii="Arial" w:hAnsi="Arial" w:cs="Arial"/>
          <w:color w:val="002060"/>
          <w:sz w:val="21"/>
          <w:szCs w:val="21"/>
        </w:rPr>
        <w:t>-</w:t>
      </w:r>
      <w:r w:rsidRPr="00CB5D31">
        <w:rPr>
          <w:rFonts w:ascii="Arial" w:hAnsi="Arial" w:cs="Arial"/>
          <w:color w:val="002060"/>
          <w:sz w:val="21"/>
          <w:szCs w:val="21"/>
        </w:rPr>
        <w:t>farm works associated with irr</w:t>
      </w:r>
      <w:r w:rsidR="00892B0D" w:rsidRPr="00CB5D31">
        <w:rPr>
          <w:rFonts w:ascii="Arial" w:hAnsi="Arial" w:cs="Arial"/>
          <w:color w:val="002060"/>
          <w:sz w:val="21"/>
          <w:szCs w:val="21"/>
        </w:rPr>
        <w:t xml:space="preserve">igation and other land forming.  This </w:t>
      </w:r>
      <w:r w:rsidRPr="00CB5D31">
        <w:rPr>
          <w:rFonts w:ascii="Arial" w:hAnsi="Arial" w:cs="Arial"/>
          <w:color w:val="002060"/>
          <w:sz w:val="21"/>
          <w:szCs w:val="21"/>
        </w:rPr>
        <w:t>forms a large portion of private works i</w:t>
      </w:r>
      <w:r w:rsidR="00892B0D" w:rsidRPr="00CB5D31">
        <w:rPr>
          <w:rFonts w:ascii="Arial" w:hAnsi="Arial" w:cs="Arial"/>
          <w:color w:val="002060"/>
          <w:sz w:val="21"/>
          <w:szCs w:val="21"/>
        </w:rPr>
        <w:t xml:space="preserve">ncome. </w:t>
      </w:r>
      <w:r w:rsidR="00FC0A32" w:rsidRPr="007D07FD">
        <w:rPr>
          <w:rFonts w:ascii="Arial" w:hAnsi="Arial" w:cs="Arial"/>
          <w:color w:val="FF0000"/>
          <w:sz w:val="21"/>
          <w:szCs w:val="21"/>
        </w:rPr>
        <w:t xml:space="preserve"> </w:t>
      </w:r>
      <w:r w:rsidR="00FC0A32" w:rsidRPr="008E4082">
        <w:rPr>
          <w:rFonts w:ascii="Arial" w:hAnsi="Arial" w:cs="Arial"/>
          <w:color w:val="002060"/>
          <w:sz w:val="21"/>
          <w:szCs w:val="21"/>
        </w:rPr>
        <w:t xml:space="preserve">In recent times Council has carried </w:t>
      </w:r>
      <w:r w:rsidR="007D07FD" w:rsidRPr="008E4082">
        <w:rPr>
          <w:rFonts w:ascii="Arial" w:hAnsi="Arial" w:cs="Arial"/>
          <w:color w:val="002060"/>
          <w:sz w:val="21"/>
          <w:szCs w:val="21"/>
        </w:rPr>
        <w:t xml:space="preserve">out </w:t>
      </w:r>
      <w:proofErr w:type="gramStart"/>
      <w:r w:rsidR="007D07FD" w:rsidRPr="008E4082">
        <w:rPr>
          <w:rFonts w:ascii="Arial" w:hAnsi="Arial" w:cs="Arial"/>
          <w:color w:val="002060"/>
          <w:sz w:val="21"/>
          <w:szCs w:val="21"/>
        </w:rPr>
        <w:t>E</w:t>
      </w:r>
      <w:r w:rsidR="00FC0A32" w:rsidRPr="008E4082">
        <w:rPr>
          <w:rFonts w:ascii="Arial" w:hAnsi="Arial" w:cs="Arial"/>
          <w:color w:val="002060"/>
          <w:sz w:val="21"/>
          <w:szCs w:val="21"/>
        </w:rPr>
        <w:t>ngineering</w:t>
      </w:r>
      <w:proofErr w:type="gramEnd"/>
      <w:r w:rsidR="00FC0A32" w:rsidRPr="008E4082">
        <w:rPr>
          <w:rFonts w:ascii="Arial" w:hAnsi="Arial" w:cs="Arial"/>
          <w:color w:val="002060"/>
          <w:sz w:val="21"/>
          <w:szCs w:val="21"/>
        </w:rPr>
        <w:t xml:space="preserve"> works within neighbouring Council areas on their behalf.  </w:t>
      </w:r>
      <w:r w:rsidR="00892B0D" w:rsidRPr="008E4082">
        <w:rPr>
          <w:rFonts w:ascii="Arial" w:hAnsi="Arial" w:cs="Arial"/>
          <w:color w:val="002060"/>
          <w:sz w:val="21"/>
          <w:szCs w:val="21"/>
        </w:rPr>
        <w:t xml:space="preserve"> These practices in turn</w:t>
      </w:r>
      <w:r w:rsidR="00C85245">
        <w:rPr>
          <w:rFonts w:ascii="Arial" w:hAnsi="Arial" w:cs="Arial"/>
          <w:color w:val="002060"/>
          <w:sz w:val="21"/>
          <w:szCs w:val="21"/>
        </w:rPr>
        <w:t xml:space="preserve"> ensure staffing skills and levels</w:t>
      </w:r>
      <w:r w:rsidRPr="008E4082">
        <w:rPr>
          <w:rFonts w:ascii="Arial" w:hAnsi="Arial" w:cs="Arial"/>
          <w:color w:val="002060"/>
          <w:sz w:val="21"/>
          <w:szCs w:val="21"/>
        </w:rPr>
        <w:t xml:space="preserve"> are maintained </w:t>
      </w:r>
      <w:r w:rsidR="00FC0A32" w:rsidRPr="008E4082">
        <w:rPr>
          <w:rFonts w:ascii="Arial" w:hAnsi="Arial" w:cs="Arial"/>
          <w:color w:val="002060"/>
          <w:sz w:val="21"/>
          <w:szCs w:val="21"/>
        </w:rPr>
        <w:t>and the plant and equipment assets are</w:t>
      </w:r>
      <w:r w:rsidR="007D07FD" w:rsidRPr="008E4082">
        <w:rPr>
          <w:rFonts w:ascii="Arial" w:hAnsi="Arial" w:cs="Arial"/>
          <w:color w:val="002060"/>
          <w:sz w:val="21"/>
          <w:szCs w:val="21"/>
        </w:rPr>
        <w:t xml:space="preserve"> kept</w:t>
      </w:r>
      <w:r w:rsidR="00FC0A32" w:rsidRPr="008E4082">
        <w:rPr>
          <w:rFonts w:ascii="Arial" w:hAnsi="Arial" w:cs="Arial"/>
          <w:color w:val="002060"/>
          <w:sz w:val="21"/>
          <w:szCs w:val="21"/>
        </w:rPr>
        <w:t xml:space="preserve"> in a modern, well maintained condition.</w:t>
      </w:r>
      <w:r w:rsidRPr="007D07FD">
        <w:rPr>
          <w:rFonts w:ascii="Arial" w:hAnsi="Arial" w:cs="Arial"/>
          <w:color w:val="FF0000"/>
          <w:sz w:val="21"/>
          <w:szCs w:val="21"/>
        </w:rPr>
        <w:t xml:space="preserve"> </w:t>
      </w:r>
    </w:p>
    <w:p w:rsidR="00D17F6F" w:rsidRPr="00CB5D31" w:rsidRDefault="00D17F6F" w:rsidP="00C1555C">
      <w:pPr>
        <w:ind w:right="283"/>
        <w:jc w:val="both"/>
        <w:rPr>
          <w:rFonts w:ascii="Arial" w:hAnsi="Arial" w:cs="Arial"/>
          <w:color w:val="002060"/>
          <w:sz w:val="21"/>
          <w:szCs w:val="21"/>
        </w:rPr>
      </w:pPr>
      <w:r w:rsidRPr="00CB5D31">
        <w:rPr>
          <w:rFonts w:ascii="Arial" w:hAnsi="Arial" w:cs="Arial"/>
          <w:color w:val="002060"/>
          <w:sz w:val="21"/>
          <w:szCs w:val="21"/>
        </w:rPr>
        <w:t>Council continues to monitor staffing levels, to ensure that salary, wage and oncost expenses are adequately contained.  Council outsources to consultants rather than employ additional staff in the areas of risk management, information technology and engineering consultancy.</w:t>
      </w:r>
    </w:p>
    <w:p w:rsidR="00D17F6F" w:rsidRPr="00CB5D31" w:rsidRDefault="00D17F6F" w:rsidP="00C1555C">
      <w:pPr>
        <w:ind w:right="283"/>
        <w:jc w:val="both"/>
        <w:rPr>
          <w:rFonts w:ascii="Arial" w:hAnsi="Arial" w:cs="Arial"/>
          <w:color w:val="002060"/>
          <w:sz w:val="21"/>
          <w:szCs w:val="21"/>
        </w:rPr>
      </w:pPr>
    </w:p>
    <w:p w:rsidR="00D17F6F" w:rsidRPr="00CB5D31" w:rsidRDefault="00D17F6F" w:rsidP="00C1555C">
      <w:pPr>
        <w:ind w:right="283"/>
        <w:jc w:val="both"/>
        <w:rPr>
          <w:rFonts w:ascii="Arial" w:hAnsi="Arial" w:cs="Arial"/>
          <w:color w:val="002060"/>
          <w:sz w:val="21"/>
          <w:szCs w:val="21"/>
        </w:rPr>
      </w:pPr>
      <w:r w:rsidRPr="00CB5D31">
        <w:rPr>
          <w:rFonts w:ascii="Arial" w:hAnsi="Arial" w:cs="Arial"/>
          <w:color w:val="002060"/>
          <w:sz w:val="21"/>
          <w:szCs w:val="21"/>
        </w:rPr>
        <w:t>Council project manages the majority of its own building and infrastructure construction, specialised studies and plans.</w:t>
      </w:r>
    </w:p>
    <w:p w:rsidR="00D17F6F" w:rsidRPr="00CB5D31" w:rsidRDefault="00D17F6F" w:rsidP="00C1555C">
      <w:pPr>
        <w:ind w:right="283"/>
        <w:jc w:val="both"/>
        <w:rPr>
          <w:rFonts w:ascii="Arial" w:hAnsi="Arial" w:cs="Arial"/>
          <w:color w:val="002060"/>
          <w:sz w:val="21"/>
          <w:szCs w:val="21"/>
        </w:rPr>
      </w:pPr>
    </w:p>
    <w:p w:rsidR="00266497" w:rsidRDefault="00D17F6F" w:rsidP="00C1555C">
      <w:pPr>
        <w:ind w:right="283"/>
        <w:jc w:val="both"/>
        <w:rPr>
          <w:rFonts w:ascii="Arial" w:hAnsi="Arial" w:cs="Arial"/>
          <w:color w:val="002060"/>
          <w:sz w:val="21"/>
          <w:szCs w:val="21"/>
        </w:rPr>
      </w:pPr>
      <w:r w:rsidRPr="00CB5D31">
        <w:rPr>
          <w:rFonts w:ascii="Arial" w:hAnsi="Arial" w:cs="Arial"/>
          <w:color w:val="002060"/>
          <w:sz w:val="21"/>
          <w:szCs w:val="21"/>
        </w:rPr>
        <w:t>Consulting services to neighbouring Council’s generate approximately $25,000pa income.</w:t>
      </w:r>
    </w:p>
    <w:p w:rsidR="00924FFF" w:rsidRDefault="00924FFF" w:rsidP="00924FFF">
      <w:pPr>
        <w:ind w:left="-567" w:right="567"/>
        <w:jc w:val="both"/>
        <w:rPr>
          <w:rFonts w:ascii="Arial" w:hAnsi="Arial" w:cs="Arial"/>
          <w:color w:val="002060"/>
          <w:sz w:val="21"/>
          <w:szCs w:val="21"/>
        </w:rPr>
      </w:pPr>
    </w:p>
    <w:p w:rsidR="00924FFF" w:rsidRDefault="00924FFF" w:rsidP="00924FFF">
      <w:pPr>
        <w:ind w:left="-567" w:right="567"/>
        <w:jc w:val="both"/>
        <w:rPr>
          <w:rFonts w:ascii="Arial" w:hAnsi="Arial" w:cs="Arial"/>
          <w:color w:val="002060"/>
          <w:sz w:val="21"/>
          <w:szCs w:val="21"/>
        </w:rPr>
      </w:pPr>
    </w:p>
    <w:p w:rsidR="00924FFF" w:rsidRDefault="00924FFF" w:rsidP="00924FFF">
      <w:pPr>
        <w:ind w:left="-567" w:right="567"/>
        <w:jc w:val="both"/>
        <w:rPr>
          <w:rFonts w:ascii="Arial" w:hAnsi="Arial" w:cs="Arial"/>
          <w:color w:val="002060"/>
          <w:sz w:val="21"/>
          <w:szCs w:val="21"/>
        </w:rPr>
      </w:pPr>
    </w:p>
    <w:p w:rsidR="00924FFF" w:rsidRDefault="00924FFF"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9356FB" w:rsidRDefault="009356FB" w:rsidP="00924FFF">
      <w:pPr>
        <w:ind w:left="-567" w:right="567"/>
        <w:jc w:val="both"/>
        <w:rPr>
          <w:rFonts w:ascii="Arial" w:hAnsi="Arial" w:cs="Arial"/>
          <w:color w:val="002060"/>
          <w:sz w:val="21"/>
          <w:szCs w:val="21"/>
        </w:rPr>
      </w:pPr>
    </w:p>
    <w:p w:rsidR="00D60EA5" w:rsidRPr="00B81691" w:rsidRDefault="006E61CA" w:rsidP="00B81691">
      <w:pPr>
        <w:pStyle w:val="Heading1"/>
      </w:pPr>
      <w:r w:rsidRPr="00B81691">
        <w:lastRenderedPageBreak/>
        <w:t xml:space="preserve">    </w:t>
      </w:r>
      <w:bookmarkStart w:id="38" w:name="_Toc411847922"/>
      <w:r w:rsidR="007304A8" w:rsidRPr="00B81691">
        <w:t>List of attachments</w:t>
      </w:r>
      <w:bookmarkEnd w:id="38"/>
    </w:p>
    <w:p w:rsidR="006C0DA7" w:rsidRDefault="005C4769" w:rsidP="009356FB">
      <w:pPr>
        <w:pStyle w:val="BodyText"/>
        <w:tabs>
          <w:tab w:val="num" w:pos="0"/>
        </w:tabs>
      </w:pPr>
      <w:r w:rsidRPr="00303275">
        <w:t xml:space="preserve">The following is a list of the supporting documents to include with </w:t>
      </w:r>
      <w:proofErr w:type="gramStart"/>
      <w:r w:rsidRPr="00303275">
        <w:t>your  application</w:t>
      </w:r>
      <w:proofErr w:type="gramEnd"/>
      <w:r w:rsidR="003F0F2B" w:rsidRPr="00303275">
        <w:t xml:space="preserve">.  </w:t>
      </w:r>
      <w:r w:rsidR="00D83471" w:rsidRPr="00303275">
        <w:t>Some of these attachments will be mandatory to all special variation applications</w:t>
      </w:r>
      <w:r w:rsidR="00E70AC8" w:rsidRPr="00303275">
        <w:t xml:space="preserve"> eg,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5C4769" w:rsidRDefault="005C4769" w:rsidP="006D3A62">
      <w:pPr>
        <w:pStyle w:val="BodyText"/>
        <w:spacing w:before="0"/>
      </w:pPr>
    </w:p>
    <w:p w:rsidR="00924FFF" w:rsidRDefault="00924FFF" w:rsidP="006D3A62">
      <w:pPr>
        <w:pStyle w:val="BodyText"/>
        <w:spacing w:before="0"/>
      </w:pPr>
    </w:p>
    <w:p w:rsidR="00924FFF" w:rsidRPr="00B17EC1" w:rsidRDefault="00924FFF"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tblPr>
      <w:tblGrid>
        <w:gridCol w:w="7040"/>
        <w:gridCol w:w="1114"/>
      </w:tblGrid>
      <w:tr w:rsidR="005C4769" w:rsidRPr="006D3A62" w:rsidTr="00A349F5">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A349F5">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A349F5">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sidR="00CC5D89">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Check14"/>
                  <w:enabled/>
                  <w:calcOnExit w:val="0"/>
                  <w:checkBox>
                    <w:sizeAuto/>
                    <w:default w:val="1"/>
                  </w:checkBox>
                </w:ffData>
              </w:fldChar>
            </w:r>
            <w:bookmarkStart w:id="39" w:name="Check14"/>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p>
        </w:tc>
      </w:tr>
      <w:tr w:rsidR="00FF1230" w:rsidRPr="006D3A62" w:rsidTr="00A349F5">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19015E"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19015E" w:rsidP="006D3A62">
            <w:pPr>
              <w:pStyle w:val="TableTextEntries"/>
              <w:jc w:val="center"/>
              <w:rPr>
                <w:sz w:val="24"/>
                <w:szCs w:val="24"/>
              </w:rPr>
            </w:pPr>
            <w:r>
              <w:rPr>
                <w:sz w:val="24"/>
                <w:szCs w:val="24"/>
              </w:rPr>
              <w:fldChar w:fldCharType="begin">
                <w:ffData>
                  <w:name w:val="Check15"/>
                  <w:enabled/>
                  <w:calcOnExit w:val="0"/>
                  <w:checkBox>
                    <w:sizeAuto/>
                    <w:default w:val="1"/>
                  </w:checkBox>
                </w:ffData>
              </w:fldChar>
            </w:r>
            <w:bookmarkStart w:id="40" w:name="Check15"/>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0"/>
          </w:p>
        </w:tc>
      </w:tr>
      <w:tr w:rsidR="00FF1230" w:rsidRPr="006D3A62" w:rsidTr="00A349F5">
        <w:tc>
          <w:tcPr>
            <w:tcW w:w="7040" w:type="dxa"/>
            <w:vAlign w:val="center"/>
          </w:tcPr>
          <w:p w:rsidR="00FF1230" w:rsidRPr="00303275" w:rsidRDefault="00FF1230" w:rsidP="008B7ECB">
            <w:pPr>
              <w:pStyle w:val="TableTextEntries"/>
              <w:rPr>
                <w:b/>
              </w:rPr>
            </w:pPr>
            <w:r w:rsidRPr="00303275">
              <w:t xml:space="preserve">Attachment 4: </w:t>
            </w:r>
            <w:proofErr w:type="spellStart"/>
            <w:r w:rsidRPr="00303275">
              <w:t>TCorp</w:t>
            </w:r>
            <w:proofErr w:type="spellEnd"/>
            <w:r w:rsidRPr="00303275">
              <w:t xml:space="preserve"> report on financial sustainability</w:t>
            </w:r>
          </w:p>
        </w:tc>
        <w:tc>
          <w:tcPr>
            <w:tcW w:w="1114" w:type="dxa"/>
            <w:vAlign w:val="center"/>
          </w:tcPr>
          <w:p w:rsidR="00FF1230" w:rsidRPr="006D3A62" w:rsidRDefault="0019015E"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Check13"/>
                  <w:enabled/>
                  <w:calcOnExit w:val="0"/>
                  <w:checkBox>
                    <w:sizeAuto/>
                    <w:default w:val="1"/>
                  </w:checkBox>
                </w:ffData>
              </w:fldChar>
            </w:r>
            <w:bookmarkStart w:id="41" w:name="Check13"/>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1"/>
          </w:p>
        </w:tc>
      </w:tr>
      <w:tr w:rsidR="00FF1230" w:rsidRPr="006D3A62" w:rsidTr="00A349F5">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19015E"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bookmarkStart w:id="42" w:name="Check10"/>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2"/>
          </w:p>
        </w:tc>
      </w:tr>
      <w:tr w:rsidR="00FF1230" w:rsidRPr="006D3A62" w:rsidTr="00A349F5">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19015E"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sidR="00E2286B">
              <w:rPr>
                <w:sz w:val="24"/>
                <w:szCs w:val="24"/>
              </w:rPr>
              <w:instrText xml:space="preserve"> FORMCHECKBOX </w:instrText>
            </w:r>
            <w:r>
              <w:rPr>
                <w:sz w:val="24"/>
                <w:szCs w:val="24"/>
              </w:rPr>
            </w:r>
            <w:r>
              <w:rPr>
                <w:sz w:val="24"/>
                <w:szCs w:val="24"/>
              </w:rPr>
              <w:fldChar w:fldCharType="separate"/>
            </w:r>
            <w:r>
              <w:rPr>
                <w:sz w:val="24"/>
                <w:szCs w:val="24"/>
              </w:rPr>
              <w:fldChar w:fldCharType="end"/>
            </w:r>
          </w:p>
        </w:tc>
      </w:tr>
      <w:tr w:rsidR="00FF1230" w:rsidRPr="006D3A62" w:rsidTr="00A349F5">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A349F5">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19015E" w:rsidP="006D3A62">
            <w:pPr>
              <w:pStyle w:val="TableTextEntries"/>
              <w:jc w:val="center"/>
              <w:rPr>
                <w:sz w:val="24"/>
                <w:szCs w:val="24"/>
              </w:rPr>
            </w:pPr>
            <w:r>
              <w:rPr>
                <w:sz w:val="24"/>
                <w:szCs w:val="24"/>
              </w:rPr>
              <w:fldChar w:fldCharType="begin">
                <w:ffData>
                  <w:name w:val="Check16"/>
                  <w:enabled/>
                  <w:calcOnExit w:val="0"/>
                  <w:checkBox>
                    <w:sizeAuto/>
                    <w:default w:val="1"/>
                  </w:checkBox>
                </w:ffData>
              </w:fldChar>
            </w:r>
            <w:bookmarkStart w:id="43" w:name="Check16"/>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3"/>
          </w:p>
        </w:tc>
      </w:tr>
      <w:tr w:rsidR="00FF1230" w:rsidRPr="006D3A62" w:rsidTr="00A349F5">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19015E"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44" w:name="Check12"/>
            <w:r w:rsidR="00FF1230"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44"/>
          </w:p>
        </w:tc>
      </w:tr>
      <w:tr w:rsidR="00FF1230" w:rsidRPr="006D3A62" w:rsidTr="00A349F5">
        <w:tc>
          <w:tcPr>
            <w:tcW w:w="7040" w:type="dxa"/>
            <w:vAlign w:val="center"/>
          </w:tcPr>
          <w:p w:rsidR="00FF1230" w:rsidRPr="00303275" w:rsidRDefault="00FF1230" w:rsidP="00343EAD">
            <w:pPr>
              <w:pStyle w:val="TableTextEntries"/>
            </w:pPr>
            <w:r w:rsidRPr="00303275">
              <w:t xml:space="preserve">Attachment 12: Resolution to adopt the </w:t>
            </w:r>
            <w:r w:rsidRPr="00E2286B">
              <w:rPr>
                <w:strike/>
              </w:rPr>
              <w:t>revised</w:t>
            </w:r>
            <w:r w:rsidRPr="00303275">
              <w:t xml:space="preserve"> Community Strategic Plan (if necessary) and/or Delivery Program</w:t>
            </w:r>
          </w:p>
        </w:tc>
        <w:tc>
          <w:tcPr>
            <w:tcW w:w="1114" w:type="dxa"/>
            <w:vAlign w:val="center"/>
          </w:tcPr>
          <w:p w:rsidR="00FF1230" w:rsidRPr="006D3A62" w:rsidRDefault="0019015E" w:rsidP="006D3A62">
            <w:pPr>
              <w:pStyle w:val="TableTextEntries"/>
              <w:jc w:val="center"/>
              <w:rPr>
                <w:sz w:val="24"/>
                <w:szCs w:val="24"/>
              </w:rPr>
            </w:pPr>
            <w:r>
              <w:rPr>
                <w:sz w:val="24"/>
                <w:szCs w:val="24"/>
              </w:rPr>
              <w:fldChar w:fldCharType="begin">
                <w:ffData>
                  <w:name w:val="Check8"/>
                  <w:enabled/>
                  <w:calcOnExit w:val="0"/>
                  <w:checkBox>
                    <w:sizeAuto/>
                    <w:default w:val="1"/>
                  </w:checkBox>
                </w:ffData>
              </w:fldChar>
            </w:r>
            <w:bookmarkStart w:id="45" w:name="Check8"/>
            <w:r w:rsidR="007B6CF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5"/>
          </w:p>
        </w:tc>
      </w:tr>
      <w:tr w:rsidR="00FF1230" w:rsidRPr="006D3A62" w:rsidTr="00A349F5">
        <w:tc>
          <w:tcPr>
            <w:tcW w:w="7040" w:type="dxa"/>
            <w:vAlign w:val="center"/>
          </w:tcPr>
          <w:p w:rsidR="00CB5D31" w:rsidRDefault="00FF1230" w:rsidP="002550E3">
            <w:pPr>
              <w:pStyle w:val="TableTextEntries"/>
            </w:pPr>
            <w:r w:rsidRPr="00303275">
              <w:t xml:space="preserve">Attachment 13: </w:t>
            </w:r>
            <w:r w:rsidR="00CB5D31">
              <w:t xml:space="preserve">  JSC powerpoint presentations x 2</w:t>
            </w:r>
          </w:p>
          <w:p w:rsidR="00CB5D31" w:rsidRDefault="00CB5D31" w:rsidP="002550E3">
            <w:pPr>
              <w:pStyle w:val="TableTextEntries"/>
              <w:rPr>
                <w:b/>
                <w:color w:val="FF0000"/>
              </w:rPr>
            </w:pPr>
            <w:r>
              <w:t xml:space="preserve">Attachment 14:   </w:t>
            </w:r>
            <w:r w:rsidRPr="00924FFF">
              <w:rPr>
                <w:b/>
                <w:color w:val="FF0000"/>
              </w:rPr>
              <w:t xml:space="preserve">Confidential </w:t>
            </w:r>
            <w:r w:rsidR="00E2286B">
              <w:rPr>
                <w:b/>
                <w:color w:val="FF0000"/>
              </w:rPr>
              <w:t>Individual Assessments</w:t>
            </w:r>
            <w:r w:rsidRPr="00924FFF">
              <w:rPr>
                <w:b/>
                <w:color w:val="FF0000"/>
              </w:rPr>
              <w:t xml:space="preserve"> Spreadsheet</w:t>
            </w:r>
          </w:p>
          <w:p w:rsidR="001869DC" w:rsidRDefault="001869DC" w:rsidP="002550E3">
            <w:pPr>
              <w:pStyle w:val="TableTextEntries"/>
              <w:rPr>
                <w:b/>
                <w:color w:val="FF0000"/>
              </w:rPr>
            </w:pPr>
            <w:r w:rsidRPr="001869DC">
              <w:t>Attachment 15:</w:t>
            </w:r>
            <w:r>
              <w:rPr>
                <w:b/>
                <w:color w:val="FF0000"/>
              </w:rPr>
              <w:t xml:space="preserve">   Confidential Council Comparison Spreadsheet</w:t>
            </w:r>
          </w:p>
          <w:p w:rsidR="001869DC" w:rsidRPr="001869DC" w:rsidRDefault="001869DC" w:rsidP="008E4082">
            <w:pPr>
              <w:pStyle w:val="TableTextEntries"/>
            </w:pPr>
            <w:r>
              <w:t>Attachment 16:   Part A WK5</w:t>
            </w:r>
            <w:r w:rsidR="008E4082">
              <w:t xml:space="preserve">a </w:t>
            </w:r>
            <w:r>
              <w:t>and</w:t>
            </w:r>
            <w:r w:rsidR="008E4082">
              <w:t xml:space="preserve"> b</w:t>
            </w:r>
            <w:r>
              <w:t xml:space="preserve"> Council Indicative</w:t>
            </w:r>
          </w:p>
        </w:tc>
        <w:tc>
          <w:tcPr>
            <w:tcW w:w="1114" w:type="dxa"/>
            <w:vAlign w:val="center"/>
          </w:tcPr>
          <w:p w:rsidR="001869DC" w:rsidRDefault="001869DC" w:rsidP="00651445">
            <w:pPr>
              <w:pStyle w:val="TableTextEntries"/>
              <w:jc w:val="center"/>
              <w:rPr>
                <w:sz w:val="24"/>
                <w:szCs w:val="24"/>
              </w:rPr>
            </w:pPr>
          </w:p>
          <w:p w:rsidR="00FF1230" w:rsidRDefault="0019015E" w:rsidP="00651445">
            <w:pPr>
              <w:pStyle w:val="TableTextEntries"/>
              <w:jc w:val="center"/>
              <w:rPr>
                <w:sz w:val="24"/>
                <w:szCs w:val="24"/>
              </w:rPr>
            </w:pPr>
            <w:r>
              <w:rPr>
                <w:sz w:val="24"/>
                <w:szCs w:val="24"/>
              </w:rPr>
              <w:fldChar w:fldCharType="begin">
                <w:ffData>
                  <w:name w:val=""/>
                  <w:enabled/>
                  <w:calcOnExit w:val="0"/>
                  <w:checkBox>
                    <w:sizeAuto/>
                    <w:default w:val="1"/>
                  </w:checkBox>
                </w:ffData>
              </w:fldChar>
            </w:r>
            <w:r w:rsidR="00CB5D31">
              <w:rPr>
                <w:sz w:val="24"/>
                <w:szCs w:val="24"/>
              </w:rPr>
              <w:instrText xml:space="preserve"> FORMCHECKBOX </w:instrText>
            </w:r>
            <w:r>
              <w:rPr>
                <w:sz w:val="24"/>
                <w:szCs w:val="24"/>
              </w:rPr>
            </w:r>
            <w:r>
              <w:rPr>
                <w:sz w:val="24"/>
                <w:szCs w:val="24"/>
              </w:rPr>
              <w:fldChar w:fldCharType="separate"/>
            </w:r>
            <w:r>
              <w:rPr>
                <w:sz w:val="24"/>
                <w:szCs w:val="24"/>
              </w:rPr>
              <w:fldChar w:fldCharType="end"/>
            </w:r>
          </w:p>
          <w:p w:rsidR="003053A4" w:rsidRDefault="0019015E" w:rsidP="003053A4">
            <w:pPr>
              <w:pStyle w:val="TableTextEntries"/>
              <w:jc w:val="center"/>
              <w:rPr>
                <w:sz w:val="24"/>
                <w:szCs w:val="24"/>
              </w:rPr>
            </w:pPr>
            <w:r>
              <w:rPr>
                <w:sz w:val="24"/>
                <w:szCs w:val="24"/>
              </w:rPr>
              <w:fldChar w:fldCharType="begin">
                <w:ffData>
                  <w:name w:val=""/>
                  <w:enabled/>
                  <w:calcOnExit w:val="0"/>
                  <w:checkBox>
                    <w:sizeAuto/>
                    <w:default w:val="1"/>
                  </w:checkBox>
                </w:ffData>
              </w:fldChar>
            </w:r>
            <w:r w:rsidR="003053A4">
              <w:rPr>
                <w:sz w:val="24"/>
                <w:szCs w:val="24"/>
              </w:rPr>
              <w:instrText xml:space="preserve"> FORMCHECKBOX </w:instrText>
            </w:r>
            <w:r>
              <w:rPr>
                <w:sz w:val="24"/>
                <w:szCs w:val="24"/>
              </w:rPr>
            </w:r>
            <w:r>
              <w:rPr>
                <w:sz w:val="24"/>
                <w:szCs w:val="24"/>
              </w:rPr>
              <w:fldChar w:fldCharType="separate"/>
            </w:r>
            <w:r>
              <w:rPr>
                <w:sz w:val="24"/>
                <w:szCs w:val="24"/>
              </w:rPr>
              <w:fldChar w:fldCharType="end"/>
            </w:r>
          </w:p>
          <w:p w:rsidR="001869DC" w:rsidRDefault="0019015E" w:rsidP="001869DC">
            <w:pPr>
              <w:pStyle w:val="TableTextEntries"/>
              <w:jc w:val="center"/>
              <w:rPr>
                <w:sz w:val="24"/>
                <w:szCs w:val="24"/>
              </w:rPr>
            </w:pPr>
            <w:r>
              <w:rPr>
                <w:sz w:val="24"/>
                <w:szCs w:val="24"/>
              </w:rPr>
              <w:fldChar w:fldCharType="begin">
                <w:ffData>
                  <w:name w:val=""/>
                  <w:enabled/>
                  <w:calcOnExit w:val="0"/>
                  <w:checkBox>
                    <w:sizeAuto/>
                    <w:default w:val="1"/>
                  </w:checkBox>
                </w:ffData>
              </w:fldChar>
            </w:r>
            <w:r w:rsidR="001869DC">
              <w:rPr>
                <w:sz w:val="24"/>
                <w:szCs w:val="24"/>
              </w:rPr>
              <w:instrText xml:space="preserve"> FORMCHECKBOX </w:instrText>
            </w:r>
            <w:r>
              <w:rPr>
                <w:sz w:val="24"/>
                <w:szCs w:val="24"/>
              </w:rPr>
            </w:r>
            <w:r>
              <w:rPr>
                <w:sz w:val="24"/>
                <w:szCs w:val="24"/>
              </w:rPr>
              <w:fldChar w:fldCharType="separate"/>
            </w:r>
            <w:r>
              <w:rPr>
                <w:sz w:val="24"/>
                <w:szCs w:val="24"/>
              </w:rPr>
              <w:fldChar w:fldCharType="end"/>
            </w:r>
          </w:p>
          <w:p w:rsidR="001869DC" w:rsidRDefault="0019015E" w:rsidP="001869DC">
            <w:pPr>
              <w:pStyle w:val="TableTextEntries"/>
              <w:jc w:val="center"/>
              <w:rPr>
                <w:sz w:val="24"/>
                <w:szCs w:val="24"/>
              </w:rPr>
            </w:pPr>
            <w:r>
              <w:rPr>
                <w:sz w:val="24"/>
                <w:szCs w:val="24"/>
              </w:rPr>
              <w:fldChar w:fldCharType="begin">
                <w:ffData>
                  <w:name w:val=""/>
                  <w:enabled/>
                  <w:calcOnExit w:val="0"/>
                  <w:checkBox>
                    <w:sizeAuto/>
                    <w:default w:val="1"/>
                  </w:checkBox>
                </w:ffData>
              </w:fldChar>
            </w:r>
            <w:r w:rsidR="001869DC">
              <w:rPr>
                <w:sz w:val="24"/>
                <w:szCs w:val="24"/>
              </w:rPr>
              <w:instrText xml:space="preserve"> FORMCHECKBOX </w:instrText>
            </w:r>
            <w:r>
              <w:rPr>
                <w:sz w:val="24"/>
                <w:szCs w:val="24"/>
              </w:rPr>
            </w:r>
            <w:r>
              <w:rPr>
                <w:sz w:val="24"/>
                <w:szCs w:val="24"/>
              </w:rPr>
              <w:fldChar w:fldCharType="separate"/>
            </w:r>
            <w:r>
              <w:rPr>
                <w:sz w:val="24"/>
                <w:szCs w:val="24"/>
              </w:rPr>
              <w:fldChar w:fldCharType="end"/>
            </w:r>
          </w:p>
          <w:p w:rsidR="003053A4" w:rsidRPr="006D3A62" w:rsidRDefault="003053A4" w:rsidP="00651445">
            <w:pPr>
              <w:pStyle w:val="TableTextEntries"/>
              <w:jc w:val="center"/>
              <w:rPr>
                <w:sz w:val="24"/>
                <w:szCs w:val="24"/>
              </w:rPr>
            </w:pPr>
          </w:p>
        </w:tc>
      </w:tr>
    </w:tbl>
    <w:p w:rsidR="007D46AE" w:rsidRPr="002550E3" w:rsidRDefault="007D46AE" w:rsidP="002550E3">
      <w:pPr>
        <w:pStyle w:val="BodyText"/>
      </w:pPr>
    </w:p>
    <w:p w:rsidR="000F359C" w:rsidRDefault="00E25E38" w:rsidP="00E25E38">
      <w:pPr>
        <w:pStyle w:val="Heading1"/>
        <w:numPr>
          <w:ilvl w:val="0"/>
          <w:numId w:val="0"/>
        </w:numPr>
        <w:ind w:left="851"/>
      </w:pPr>
      <w:r>
        <w:t xml:space="preserve"> </w:t>
      </w:r>
    </w:p>
    <w:sectPr w:rsidR="000F359C" w:rsidSect="00C1555C">
      <w:headerReference w:type="even" r:id="rId24"/>
      <w:headerReference w:type="default" r:id="rId25"/>
      <w:footerReference w:type="even" r:id="rId26"/>
      <w:footerReference w:type="default" r:id="rId27"/>
      <w:pgSz w:w="11907" w:h="16840" w:code="9"/>
      <w:pgMar w:top="1276" w:right="1275" w:bottom="1418" w:left="1418" w:header="425" w:footer="284" w:gutter="56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F9" w:rsidRDefault="00F423F9" w:rsidP="00856DDC">
      <w:r>
        <w:separator/>
      </w:r>
    </w:p>
    <w:p w:rsidR="00F423F9" w:rsidRDefault="00F423F9"/>
  </w:endnote>
  <w:endnote w:type="continuationSeparator" w:id="0">
    <w:p w:rsidR="00F423F9" w:rsidRDefault="00F423F9" w:rsidP="00856DDC">
      <w:r>
        <w:continuationSeparator/>
      </w:r>
    </w:p>
    <w:p w:rsidR="00F423F9" w:rsidRDefault="00F423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F423F9">
      <w:trPr>
        <w:cantSplit/>
      </w:trPr>
      <w:tc>
        <w:tcPr>
          <w:tcW w:w="567" w:type="dxa"/>
          <w:vAlign w:val="bottom"/>
        </w:tcPr>
        <w:p w:rsidR="00F423F9" w:rsidRDefault="0019015E" w:rsidP="00321AF3">
          <w:pPr>
            <w:pStyle w:val="Footer"/>
            <w:jc w:val="right"/>
          </w:pPr>
          <w:r>
            <w:rPr>
              <w:rStyle w:val="PageNumber"/>
            </w:rPr>
            <w:fldChar w:fldCharType="begin"/>
          </w:r>
          <w:r w:rsidR="00F423F9">
            <w:rPr>
              <w:rStyle w:val="PageNumber"/>
            </w:rPr>
            <w:instrText xml:space="preserve"> PAGE </w:instrText>
          </w:r>
          <w:r>
            <w:rPr>
              <w:rStyle w:val="PageNumber"/>
            </w:rPr>
            <w:fldChar w:fldCharType="separate"/>
          </w:r>
          <w:r w:rsidR="00C51F8A">
            <w:rPr>
              <w:rStyle w:val="PageNumber"/>
              <w:noProof/>
            </w:rPr>
            <w:t>ii</w:t>
          </w:r>
          <w:r>
            <w:rPr>
              <w:rStyle w:val="PageNumber"/>
            </w:rPr>
            <w:fldChar w:fldCharType="end"/>
          </w:r>
        </w:p>
      </w:tc>
      <w:tc>
        <w:tcPr>
          <w:tcW w:w="142" w:type="dxa"/>
          <w:tcBorders>
            <w:right w:val="single" w:sz="8" w:space="0" w:color="7C7C7C"/>
          </w:tcBorders>
          <w:vAlign w:val="bottom"/>
        </w:tcPr>
        <w:p w:rsidR="00F423F9" w:rsidRDefault="00F423F9" w:rsidP="00321AF3">
          <w:pPr>
            <w:pStyle w:val="Footer"/>
          </w:pPr>
        </w:p>
      </w:tc>
      <w:tc>
        <w:tcPr>
          <w:tcW w:w="142" w:type="dxa"/>
          <w:tcBorders>
            <w:left w:val="single" w:sz="8" w:space="0" w:color="7C7C7C"/>
          </w:tcBorders>
          <w:vAlign w:val="bottom"/>
        </w:tcPr>
        <w:p w:rsidR="00F423F9" w:rsidRDefault="00F423F9" w:rsidP="00321AF3">
          <w:pPr>
            <w:pStyle w:val="Footer"/>
          </w:pPr>
        </w:p>
      </w:tc>
      <w:tc>
        <w:tcPr>
          <w:tcW w:w="7938" w:type="dxa"/>
          <w:vAlign w:val="bottom"/>
        </w:tcPr>
        <w:p w:rsidR="00F423F9" w:rsidRDefault="00F423F9" w:rsidP="00321AF3">
          <w:pPr>
            <w:pStyle w:val="Footer"/>
          </w:pPr>
          <w:r w:rsidRPr="00D661A7">
            <w:rPr>
              <w:b/>
            </w:rPr>
            <w:t>IPART</w:t>
          </w:r>
          <w:r w:rsidRPr="00CF179E">
            <w:rPr>
              <w:rFonts w:eastAsia="Arial Unicode MS" w:hAnsi="Arial Unicode MS" w:cs="Arial"/>
            </w:rPr>
            <w:t> </w:t>
          </w:r>
          <w:fldSimple w:instr=" STYLEREF  Title ">
            <w:r w:rsidR="00C51F8A">
              <w:rPr>
                <w:noProof/>
              </w:rPr>
              <w:t>Special Variation Application Form – Part B</w:t>
            </w:r>
          </w:fldSimple>
        </w:p>
      </w:tc>
    </w:tr>
  </w:tbl>
  <w:p w:rsidR="00F423F9" w:rsidRPr="00D661A7" w:rsidRDefault="00F42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F423F9">
      <w:trPr>
        <w:cantSplit/>
      </w:trPr>
      <w:tc>
        <w:tcPr>
          <w:tcW w:w="7938" w:type="dxa"/>
          <w:vAlign w:val="bottom"/>
        </w:tcPr>
        <w:p w:rsidR="00F423F9" w:rsidRDefault="0019015E" w:rsidP="00321AF3">
          <w:pPr>
            <w:pStyle w:val="Footer"/>
            <w:jc w:val="right"/>
          </w:pPr>
          <w:fldSimple w:instr=" STYLEREF  Title ">
            <w:r w:rsidR="00C51F8A">
              <w:rPr>
                <w:noProof/>
              </w:rPr>
              <w:t>Special Variation Application Form – Part B</w:t>
            </w:r>
          </w:fldSimple>
          <w:r w:rsidR="00F423F9" w:rsidRPr="00AE38E8">
            <w:rPr>
              <w:rFonts w:ascii="Arial Unicode MS" w:eastAsia="Arial Unicode MS" w:hAnsi="Arial Unicode MS" w:cs="Arial Unicode MS" w:hint="eastAsia"/>
            </w:rPr>
            <w:t> </w:t>
          </w:r>
          <w:r w:rsidR="00F423F9" w:rsidRPr="00D661A7">
            <w:rPr>
              <w:b/>
            </w:rPr>
            <w:t>IPART</w:t>
          </w:r>
        </w:p>
      </w:tc>
      <w:tc>
        <w:tcPr>
          <w:tcW w:w="142" w:type="dxa"/>
          <w:tcBorders>
            <w:right w:val="single" w:sz="8" w:space="0" w:color="7C7C7C"/>
          </w:tcBorders>
          <w:vAlign w:val="bottom"/>
        </w:tcPr>
        <w:p w:rsidR="00F423F9" w:rsidRDefault="00F423F9" w:rsidP="00321AF3">
          <w:pPr>
            <w:pStyle w:val="Footer"/>
          </w:pPr>
        </w:p>
      </w:tc>
      <w:tc>
        <w:tcPr>
          <w:tcW w:w="142" w:type="dxa"/>
          <w:tcBorders>
            <w:left w:val="single" w:sz="8" w:space="0" w:color="7C7C7C"/>
          </w:tcBorders>
          <w:vAlign w:val="bottom"/>
        </w:tcPr>
        <w:p w:rsidR="00F423F9" w:rsidRDefault="00F423F9" w:rsidP="00321AF3">
          <w:pPr>
            <w:pStyle w:val="Footer"/>
          </w:pPr>
        </w:p>
      </w:tc>
      <w:tc>
        <w:tcPr>
          <w:tcW w:w="567" w:type="dxa"/>
          <w:vAlign w:val="bottom"/>
        </w:tcPr>
        <w:p w:rsidR="00F423F9" w:rsidRDefault="0019015E" w:rsidP="00321AF3">
          <w:pPr>
            <w:pStyle w:val="Footer"/>
          </w:pPr>
          <w:r>
            <w:rPr>
              <w:rStyle w:val="PageNumber"/>
            </w:rPr>
            <w:fldChar w:fldCharType="begin"/>
          </w:r>
          <w:r w:rsidR="00F423F9">
            <w:rPr>
              <w:rStyle w:val="PageNumber"/>
            </w:rPr>
            <w:instrText xml:space="preserve"> PAGE </w:instrText>
          </w:r>
          <w:r>
            <w:rPr>
              <w:rStyle w:val="PageNumber"/>
            </w:rPr>
            <w:fldChar w:fldCharType="separate"/>
          </w:r>
          <w:r w:rsidR="00C51F8A">
            <w:rPr>
              <w:rStyle w:val="PageNumber"/>
              <w:noProof/>
            </w:rPr>
            <w:t>iii</w:t>
          </w:r>
          <w:r>
            <w:rPr>
              <w:rStyle w:val="PageNumber"/>
            </w:rPr>
            <w:fldChar w:fldCharType="end"/>
          </w:r>
        </w:p>
      </w:tc>
    </w:tr>
  </w:tbl>
  <w:p w:rsidR="00F423F9" w:rsidRPr="00BB2D33" w:rsidRDefault="00F42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Pr="002231EC" w:rsidRDefault="0019015E">
    <w:pPr>
      <w:pStyle w:val="Footer"/>
    </w:pPr>
    <w:r>
      <w:rPr>
        <w:rStyle w:val="PageNumber"/>
      </w:rPr>
      <w:fldChar w:fldCharType="begin"/>
    </w:r>
    <w:r w:rsidR="00F423F9">
      <w:rPr>
        <w:rStyle w:val="PageNumber"/>
      </w:rPr>
      <w:instrText xml:space="preserve"> PAGE </w:instrText>
    </w:r>
    <w:r>
      <w:rPr>
        <w:rStyle w:val="PageNumber"/>
      </w:rPr>
      <w:fldChar w:fldCharType="separate"/>
    </w:r>
    <w:r w:rsidR="00F423F9">
      <w:rPr>
        <w:rStyle w:val="PageNumber"/>
        <w:noProof/>
      </w:rPr>
      <w:t>iii</w:t>
    </w:r>
    <w:r>
      <w:rPr>
        <w:rStyle w:val="PageNumber"/>
      </w:rPr>
      <w:fldChar w:fldCharType="end"/>
    </w:r>
    <w:r w:rsidR="00F423F9">
      <w:rPr>
        <w:rStyle w:val="PageNumber"/>
      </w:rPr>
      <w:tab/>
    </w:r>
    <w:r w:rsidR="00F423F9" w:rsidRPr="002231EC">
      <w:rPr>
        <w:b/>
      </w:rPr>
      <w:t>IPART</w:t>
    </w:r>
    <w:r w:rsidR="00F423F9" w:rsidRPr="002231EC">
      <w:tab/>
    </w:r>
    <w:r w:rsidR="00F423F9" w:rsidRPr="002231EC">
      <w:rPr>
        <w:sz w:val="24"/>
        <w:szCs w:val="24"/>
      </w:rPr>
      <w:t>|</w:t>
    </w:r>
    <w:r w:rsidR="00F423F9" w:rsidRPr="002231EC">
      <w:tab/>
      <w:t>Report title goes here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7"/>
      <w:gridCol w:w="142"/>
      <w:gridCol w:w="142"/>
      <w:gridCol w:w="7938"/>
    </w:tblGrid>
    <w:tr w:rsidR="00F423F9">
      <w:trPr>
        <w:cantSplit/>
      </w:trPr>
      <w:tc>
        <w:tcPr>
          <w:tcW w:w="567" w:type="dxa"/>
          <w:vAlign w:val="bottom"/>
        </w:tcPr>
        <w:p w:rsidR="00F423F9" w:rsidRDefault="0019015E" w:rsidP="00BB7D2D">
          <w:pPr>
            <w:pStyle w:val="Footer"/>
            <w:jc w:val="right"/>
          </w:pPr>
          <w:r>
            <w:rPr>
              <w:rStyle w:val="PageNumber"/>
            </w:rPr>
            <w:fldChar w:fldCharType="begin"/>
          </w:r>
          <w:r w:rsidR="00F423F9">
            <w:rPr>
              <w:rStyle w:val="PageNumber"/>
            </w:rPr>
            <w:instrText xml:space="preserve"> PAGE </w:instrText>
          </w:r>
          <w:r>
            <w:rPr>
              <w:rStyle w:val="PageNumber"/>
            </w:rPr>
            <w:fldChar w:fldCharType="separate"/>
          </w:r>
          <w:r w:rsidR="00C51F8A">
            <w:rPr>
              <w:rStyle w:val="PageNumber"/>
              <w:noProof/>
            </w:rPr>
            <w:t>16</w:t>
          </w:r>
          <w:r>
            <w:rPr>
              <w:rStyle w:val="PageNumber"/>
            </w:rPr>
            <w:fldChar w:fldCharType="end"/>
          </w:r>
        </w:p>
      </w:tc>
      <w:tc>
        <w:tcPr>
          <w:tcW w:w="142" w:type="dxa"/>
          <w:tcBorders>
            <w:right w:val="single" w:sz="8" w:space="0" w:color="7C7C7C"/>
          </w:tcBorders>
          <w:vAlign w:val="bottom"/>
        </w:tcPr>
        <w:p w:rsidR="00F423F9" w:rsidRDefault="00F423F9" w:rsidP="00BB7D2D">
          <w:pPr>
            <w:pStyle w:val="Footer"/>
          </w:pPr>
        </w:p>
      </w:tc>
      <w:tc>
        <w:tcPr>
          <w:tcW w:w="142" w:type="dxa"/>
          <w:tcBorders>
            <w:left w:val="single" w:sz="8" w:space="0" w:color="7C7C7C"/>
          </w:tcBorders>
          <w:vAlign w:val="bottom"/>
        </w:tcPr>
        <w:p w:rsidR="00F423F9" w:rsidRDefault="00F423F9" w:rsidP="00BB7D2D">
          <w:pPr>
            <w:pStyle w:val="Footer"/>
          </w:pPr>
        </w:p>
      </w:tc>
      <w:tc>
        <w:tcPr>
          <w:tcW w:w="7938" w:type="dxa"/>
          <w:vAlign w:val="bottom"/>
        </w:tcPr>
        <w:p w:rsidR="00F423F9" w:rsidRDefault="00F423F9" w:rsidP="00BB7D2D">
          <w:pPr>
            <w:pStyle w:val="Footer"/>
          </w:pPr>
          <w:r w:rsidRPr="00D661A7">
            <w:rPr>
              <w:b/>
            </w:rPr>
            <w:t>IPART</w:t>
          </w:r>
          <w:r w:rsidRPr="00CF179E">
            <w:rPr>
              <w:rFonts w:eastAsia="Arial Unicode MS" w:hAnsi="Arial Unicode MS" w:cs="Arial"/>
            </w:rPr>
            <w:t> </w:t>
          </w:r>
          <w:fldSimple w:instr=" STYLEREF  Title ">
            <w:r w:rsidR="00C51F8A">
              <w:rPr>
                <w:noProof/>
              </w:rPr>
              <w:t>Special Variation Application Form – Part B</w:t>
            </w:r>
          </w:fldSimple>
        </w:p>
      </w:tc>
    </w:tr>
  </w:tbl>
  <w:p w:rsidR="00F423F9" w:rsidRDefault="00F423F9" w:rsidP="00D174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38"/>
      <w:gridCol w:w="142"/>
      <w:gridCol w:w="142"/>
      <w:gridCol w:w="567"/>
    </w:tblGrid>
    <w:tr w:rsidR="00F423F9">
      <w:trPr>
        <w:cantSplit/>
      </w:trPr>
      <w:tc>
        <w:tcPr>
          <w:tcW w:w="7938" w:type="dxa"/>
          <w:vAlign w:val="bottom"/>
        </w:tcPr>
        <w:p w:rsidR="00F423F9" w:rsidRDefault="0019015E" w:rsidP="00BB7D2D">
          <w:pPr>
            <w:pStyle w:val="Footer"/>
            <w:jc w:val="right"/>
          </w:pPr>
          <w:fldSimple w:instr=" STYLEREF  Title ">
            <w:r w:rsidR="00C51F8A">
              <w:rPr>
                <w:noProof/>
              </w:rPr>
              <w:t>Special Variation Application Form – Part B</w:t>
            </w:r>
          </w:fldSimple>
          <w:bookmarkStart w:id="46" w:name="_Toc175058581"/>
          <w:r w:rsidR="00F423F9" w:rsidRPr="00AE38E8">
            <w:rPr>
              <w:rFonts w:ascii="Arial Unicode MS" w:eastAsia="Arial Unicode MS" w:hAnsi="Arial Unicode MS" w:cs="Arial Unicode MS" w:hint="eastAsia"/>
            </w:rPr>
            <w:t> </w:t>
          </w:r>
          <w:r w:rsidR="00F423F9" w:rsidRPr="00D661A7">
            <w:rPr>
              <w:b/>
            </w:rPr>
            <w:t>IPART</w:t>
          </w:r>
        </w:p>
      </w:tc>
      <w:tc>
        <w:tcPr>
          <w:tcW w:w="142" w:type="dxa"/>
          <w:tcBorders>
            <w:right w:val="single" w:sz="8" w:space="0" w:color="7C7C7C"/>
          </w:tcBorders>
          <w:vAlign w:val="bottom"/>
        </w:tcPr>
        <w:p w:rsidR="00F423F9" w:rsidRDefault="00F423F9" w:rsidP="00BB7D2D">
          <w:pPr>
            <w:pStyle w:val="Footer"/>
          </w:pPr>
        </w:p>
      </w:tc>
      <w:tc>
        <w:tcPr>
          <w:tcW w:w="142" w:type="dxa"/>
          <w:tcBorders>
            <w:left w:val="single" w:sz="8" w:space="0" w:color="7C7C7C"/>
          </w:tcBorders>
          <w:vAlign w:val="bottom"/>
        </w:tcPr>
        <w:p w:rsidR="00F423F9" w:rsidRDefault="00F423F9" w:rsidP="00BB7D2D">
          <w:pPr>
            <w:pStyle w:val="Footer"/>
          </w:pPr>
        </w:p>
      </w:tc>
      <w:tc>
        <w:tcPr>
          <w:tcW w:w="567" w:type="dxa"/>
          <w:vAlign w:val="bottom"/>
        </w:tcPr>
        <w:p w:rsidR="00F423F9" w:rsidRDefault="0019015E" w:rsidP="00BB7D2D">
          <w:pPr>
            <w:pStyle w:val="Footer"/>
          </w:pPr>
          <w:r>
            <w:rPr>
              <w:rStyle w:val="PageNumber"/>
            </w:rPr>
            <w:fldChar w:fldCharType="begin"/>
          </w:r>
          <w:r w:rsidR="00F423F9">
            <w:rPr>
              <w:rStyle w:val="PageNumber"/>
            </w:rPr>
            <w:instrText xml:space="preserve"> PAGE </w:instrText>
          </w:r>
          <w:r>
            <w:rPr>
              <w:rStyle w:val="PageNumber"/>
            </w:rPr>
            <w:fldChar w:fldCharType="separate"/>
          </w:r>
          <w:r w:rsidR="00C51F8A">
            <w:rPr>
              <w:rStyle w:val="PageNumber"/>
              <w:noProof/>
            </w:rPr>
            <w:t>15</w:t>
          </w:r>
          <w:r>
            <w:rPr>
              <w:rStyle w:val="PageNumber"/>
            </w:rPr>
            <w:fldChar w:fldCharType="end"/>
          </w:r>
        </w:p>
      </w:tc>
    </w:tr>
    <w:bookmarkEnd w:id="46"/>
  </w:tbl>
  <w:p w:rsidR="00F423F9" w:rsidRDefault="00F423F9" w:rsidP="00916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F9" w:rsidRDefault="00F423F9" w:rsidP="00856DDC">
      <w:r>
        <w:separator/>
      </w:r>
    </w:p>
  </w:footnote>
  <w:footnote w:type="continuationSeparator" w:id="0">
    <w:p w:rsidR="00F423F9" w:rsidRDefault="00F423F9" w:rsidP="00856DDC">
      <w:r>
        <w:continuationSeparator/>
      </w:r>
    </w:p>
    <w:p w:rsidR="00F423F9" w:rsidRDefault="00F423F9"/>
  </w:footnote>
  <w:footnote w:id="1">
    <w:p w:rsidR="00F423F9" w:rsidRPr="00952245" w:rsidRDefault="00F423F9"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F423F9" w:rsidRPr="00952245" w:rsidRDefault="00F423F9"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F423F9" w:rsidRPr="00452CBD" w:rsidRDefault="00F423F9"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F423F9" w:rsidRPr="0035428F" w:rsidRDefault="00F423F9"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F423F9" w:rsidRPr="00CA35DF" w:rsidRDefault="00F423F9" w:rsidP="00BB248C">
      <w:pPr>
        <w:pStyle w:val="FootnoteText"/>
        <w:ind w:left="0" w:firstLine="0"/>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F423F9" w:rsidRPr="00AF2242" w:rsidRDefault="00F423F9">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Default="00F423F9" w:rsidP="00667EA7">
    <w:pPr>
      <w:pStyle w:val="Header"/>
      <w:jc w:val="right"/>
    </w:pPr>
    <w:r>
      <w:rPr>
        <w:noProof/>
      </w:rPr>
      <w:drawing>
        <wp:anchor distT="0" distB="0" distL="114300" distR="114300" simplePos="0" relativeHeight="251666432" behindDoc="1" locked="0" layoutInCell="0" allowOverlap="0">
          <wp:simplePos x="0" y="0"/>
          <wp:positionH relativeFrom="page">
            <wp:posOffset>0</wp:posOffset>
          </wp:positionH>
          <wp:positionV relativeFrom="page">
            <wp:posOffset>0</wp:posOffset>
          </wp:positionV>
          <wp:extent cx="7574280" cy="10694035"/>
          <wp:effectExtent l="1905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Default="00F423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Pr="00BB2D33" w:rsidRDefault="00F423F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Pr="0026621F" w:rsidRDefault="00F423F9" w:rsidP="005E2D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Pr="0026621F" w:rsidRDefault="00F423F9" w:rsidP="005E2D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Pr="00083981" w:rsidRDefault="00F423F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Default="0019015E">
    <w:pPr>
      <w:pStyle w:val="Header"/>
    </w:pPr>
    <w:r>
      <w:rPr>
        <w:noProof/>
      </w:rPr>
      <w:pict>
        <v:shapetype id="_x0000_t202" coordsize="21600,21600" o:spt="202" path="m,l,21600r21600,l21600,xe">
          <v:stroke joinstyle="miter"/>
          <v:path gradientshapeok="t" o:connecttype="rect"/>
        </v:shapetype>
        <v:shape id="Text Box 1003" o:spid="_x0000_s91138" type="#_x0000_t202" style="position:absolute;margin-left:765.45pt;margin-top:85.05pt;width:13.65pt;height:226.7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next-textbox:#Text Box 1003;mso-fit-shape-to-text:t" inset="0,0,0,0">
            <w:txbxContent>
              <w:p w:rsidR="00F423F9" w:rsidRDefault="00F423F9"/>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9" w:rsidRDefault="00F423F9">
    <w:pPr>
      <w:pStyle w:val="Header"/>
      <w:rPr>
        <w:lang w:val="en-US"/>
      </w:rPr>
    </w:pPr>
  </w:p>
  <w:p w:rsidR="00F423F9" w:rsidRDefault="00F423F9">
    <w:pPr>
      <w:pStyle w:val="Header"/>
      <w:rPr>
        <w:lang w:val="en-US"/>
      </w:rPr>
    </w:pPr>
  </w:p>
  <w:p w:rsidR="00F423F9" w:rsidRDefault="00F423F9">
    <w:pPr>
      <w:pStyle w:val="Header"/>
      <w:rPr>
        <w:lang w:val="en-US"/>
      </w:rPr>
    </w:pPr>
  </w:p>
  <w:p w:rsidR="00F423F9" w:rsidRPr="004401AD" w:rsidRDefault="0019015E">
    <w:pPr>
      <w:pStyle w:val="Header"/>
      <w:rPr>
        <w:lang w:val="en-US"/>
      </w:rPr>
    </w:pPr>
    <w:r>
      <w:rPr>
        <w:noProof/>
      </w:rPr>
      <w:pict>
        <v:shapetype id="_x0000_t202" coordsize="21600,21600" o:spt="202" path="m,l,21600r21600,l21600,xe">
          <v:stroke joinstyle="miter"/>
          <v:path gradientshapeok="t" o:connecttype="rect"/>
        </v:shapetype>
        <v:shape id="Text Box 1007" o:spid="_x0000_s91137" type="#_x0000_t202" style="position:absolute;margin-left:765.45pt;margin-top:280.65pt;width:16pt;height:226.7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next-textbox:#Text Box 1007;mso-fit-shape-to-text:t" inset="0,0,0,0">
            <w:txbxContent>
              <w:p w:rsidR="00F423F9" w:rsidRDefault="00F423F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5750DEE"/>
    <w:multiLevelType w:val="hybridMultilevel"/>
    <w:tmpl w:val="21F2B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2">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13">
    <w:nsid w:val="42F1583A"/>
    <w:multiLevelType w:val="hybridMultilevel"/>
    <w:tmpl w:val="C8EE0E7C"/>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15">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16">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17">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18">
    <w:nsid w:val="5AB63CF7"/>
    <w:multiLevelType w:val="hybridMultilevel"/>
    <w:tmpl w:val="6A6A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0">
    <w:nsid w:val="612A48DB"/>
    <w:multiLevelType w:val="hybridMultilevel"/>
    <w:tmpl w:val="8880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2">
    <w:nsid w:val="64F264CF"/>
    <w:multiLevelType w:val="multilevel"/>
    <w:tmpl w:val="5A4ECCD2"/>
    <w:lvl w:ilvl="0">
      <w:start w:val="1"/>
      <w:numFmt w:val="decimal"/>
      <w:pStyle w:val="Heading1"/>
      <w:lvlText w:val="%1"/>
      <w:lvlJc w:val="left"/>
      <w:pPr>
        <w:tabs>
          <w:tab w:val="num" w:pos="851"/>
        </w:tabs>
        <w:ind w:left="851"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3">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4">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5">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27">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28">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29">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28"/>
  </w:num>
  <w:num w:numId="4">
    <w:abstractNumId w:val="11"/>
  </w:num>
  <w:num w:numId="5">
    <w:abstractNumId w:val="17"/>
  </w:num>
  <w:num w:numId="6">
    <w:abstractNumId w:val="19"/>
  </w:num>
  <w:num w:numId="7">
    <w:abstractNumId w:val="15"/>
  </w:num>
  <w:num w:numId="8">
    <w:abstractNumId w:val="3"/>
  </w:num>
  <w:num w:numId="9">
    <w:abstractNumId w:val="0"/>
  </w:num>
  <w:num w:numId="10">
    <w:abstractNumId w:val="4"/>
  </w:num>
  <w:num w:numId="11">
    <w:abstractNumId w:val="12"/>
  </w:num>
  <w:num w:numId="12">
    <w:abstractNumId w:val="23"/>
  </w:num>
  <w:num w:numId="13">
    <w:abstractNumId w:val="8"/>
  </w:num>
  <w:num w:numId="14">
    <w:abstractNumId w:val="27"/>
  </w:num>
  <w:num w:numId="15">
    <w:abstractNumId w:val="16"/>
  </w:num>
  <w:num w:numId="16">
    <w:abstractNumId w:val="24"/>
  </w:num>
  <w:num w:numId="17">
    <w:abstractNumId w:val="26"/>
  </w:num>
  <w:num w:numId="18">
    <w:abstractNumId w:val="21"/>
  </w:num>
  <w:num w:numId="19">
    <w:abstractNumId w:val="14"/>
  </w:num>
  <w:num w:numId="20">
    <w:abstractNumId w:val="7"/>
  </w:num>
  <w:num w:numId="21">
    <w:abstractNumId w:val="2"/>
  </w:num>
  <w:num w:numId="22">
    <w:abstractNumId w:val="29"/>
  </w:num>
  <w:num w:numId="23">
    <w:abstractNumId w:val="9"/>
  </w:num>
  <w:num w:numId="24">
    <w:abstractNumId w:val="25"/>
  </w:num>
  <w:num w:numId="25">
    <w:abstractNumId w:val="1"/>
  </w:num>
  <w:num w:numId="26">
    <w:abstractNumId w:val="5"/>
  </w:num>
  <w:num w:numId="27">
    <w:abstractNumId w:val="10"/>
  </w:num>
  <w:num w:numId="28">
    <w:abstractNumId w:val="13"/>
  </w:num>
  <w:num w:numId="29">
    <w:abstractNumId w:val="20"/>
  </w:num>
  <w:num w:numId="30">
    <w:abstractNumId w:val="18"/>
  </w:num>
  <w:num w:numId="31">
    <w:abstractNumId w:val="22"/>
  </w:num>
  <w:num w:numId="32">
    <w:abstractNumId w:val="22"/>
    <w:lvlOverride w:ilvl="0">
      <w:startOverride w:val="4"/>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91141">
      <o:colormru v:ext="edit" colors="#001c52,#b6c400,#dc0000,maroon,#6cb07e,#2c90ce,#eed084,#ccf"/>
    </o:shapedefaults>
    <o:shapelayout v:ext="edit">
      <o:idmap v:ext="edit" data="89"/>
    </o:shapelayout>
  </w:hdrShapeDefaults>
  <w:footnotePr>
    <w:footnote w:id="-1"/>
    <w:footnote w:id="0"/>
  </w:footnotePr>
  <w:endnotePr>
    <w:endnote w:id="-1"/>
    <w:endnote w:id="0"/>
  </w:endnotePr>
  <w:compat/>
  <w:docVars>
    <w:docVar w:name="DMReference" w:val=" "/>
    <w:docVar w:name="OfficeIni" w:val="Melbourne.ini"/>
  </w:docVars>
  <w:rsids>
    <w:rsidRoot w:val="000F359C"/>
    <w:rsid w:val="00000125"/>
    <w:rsid w:val="00002BF5"/>
    <w:rsid w:val="00005641"/>
    <w:rsid w:val="00006F07"/>
    <w:rsid w:val="00006FE5"/>
    <w:rsid w:val="00007AFB"/>
    <w:rsid w:val="00010DFB"/>
    <w:rsid w:val="000111B5"/>
    <w:rsid w:val="000124D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9F0"/>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651B"/>
    <w:rsid w:val="00050AED"/>
    <w:rsid w:val="00050D51"/>
    <w:rsid w:val="0005255C"/>
    <w:rsid w:val="00052573"/>
    <w:rsid w:val="00052705"/>
    <w:rsid w:val="00052E3D"/>
    <w:rsid w:val="0005432C"/>
    <w:rsid w:val="000545B7"/>
    <w:rsid w:val="00054E84"/>
    <w:rsid w:val="00056E9F"/>
    <w:rsid w:val="0005753A"/>
    <w:rsid w:val="00061640"/>
    <w:rsid w:val="000626C3"/>
    <w:rsid w:val="00062F94"/>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0208"/>
    <w:rsid w:val="00091B6D"/>
    <w:rsid w:val="00091E17"/>
    <w:rsid w:val="00092202"/>
    <w:rsid w:val="000923B0"/>
    <w:rsid w:val="00092865"/>
    <w:rsid w:val="00094297"/>
    <w:rsid w:val="00095136"/>
    <w:rsid w:val="000959F9"/>
    <w:rsid w:val="00095AEE"/>
    <w:rsid w:val="00096059"/>
    <w:rsid w:val="0009614B"/>
    <w:rsid w:val="00096446"/>
    <w:rsid w:val="00097BA8"/>
    <w:rsid w:val="000A098A"/>
    <w:rsid w:val="000A0ADB"/>
    <w:rsid w:val="000A15B4"/>
    <w:rsid w:val="000A36BB"/>
    <w:rsid w:val="000A479E"/>
    <w:rsid w:val="000A58C7"/>
    <w:rsid w:val="000A6066"/>
    <w:rsid w:val="000A61BC"/>
    <w:rsid w:val="000A6E96"/>
    <w:rsid w:val="000A7044"/>
    <w:rsid w:val="000A75CF"/>
    <w:rsid w:val="000B0371"/>
    <w:rsid w:val="000B09AD"/>
    <w:rsid w:val="000B2645"/>
    <w:rsid w:val="000B2705"/>
    <w:rsid w:val="000B333F"/>
    <w:rsid w:val="000B3B42"/>
    <w:rsid w:val="000B42C6"/>
    <w:rsid w:val="000B625B"/>
    <w:rsid w:val="000B7275"/>
    <w:rsid w:val="000C0040"/>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2CD3"/>
    <w:rsid w:val="000D3037"/>
    <w:rsid w:val="000D3119"/>
    <w:rsid w:val="000D36F7"/>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05C0"/>
    <w:rsid w:val="001112A9"/>
    <w:rsid w:val="00111CE6"/>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27883"/>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560BC"/>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69DC"/>
    <w:rsid w:val="00187D9F"/>
    <w:rsid w:val="0019002E"/>
    <w:rsid w:val="0019015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5FB"/>
    <w:rsid w:val="001A6C01"/>
    <w:rsid w:val="001A722F"/>
    <w:rsid w:val="001B031F"/>
    <w:rsid w:val="001B106B"/>
    <w:rsid w:val="001B172F"/>
    <w:rsid w:val="001B4B35"/>
    <w:rsid w:val="001B5050"/>
    <w:rsid w:val="001B5EE9"/>
    <w:rsid w:val="001B67FE"/>
    <w:rsid w:val="001B6961"/>
    <w:rsid w:val="001B74AF"/>
    <w:rsid w:val="001C0F16"/>
    <w:rsid w:val="001C23F4"/>
    <w:rsid w:val="001C2502"/>
    <w:rsid w:val="001C2864"/>
    <w:rsid w:val="001C643A"/>
    <w:rsid w:val="001C6AB3"/>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701"/>
    <w:rsid w:val="001F49B3"/>
    <w:rsid w:val="001F4BC3"/>
    <w:rsid w:val="001F58EA"/>
    <w:rsid w:val="001F7163"/>
    <w:rsid w:val="001F7A4E"/>
    <w:rsid w:val="002007AB"/>
    <w:rsid w:val="00200DBF"/>
    <w:rsid w:val="00201958"/>
    <w:rsid w:val="00201B70"/>
    <w:rsid w:val="00201F83"/>
    <w:rsid w:val="0020273E"/>
    <w:rsid w:val="00202FFD"/>
    <w:rsid w:val="00203747"/>
    <w:rsid w:val="002039BE"/>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6AB"/>
    <w:rsid w:val="00220A51"/>
    <w:rsid w:val="002225E8"/>
    <w:rsid w:val="002229F1"/>
    <w:rsid w:val="002231EC"/>
    <w:rsid w:val="00223221"/>
    <w:rsid w:val="002245AF"/>
    <w:rsid w:val="002255E4"/>
    <w:rsid w:val="002262C3"/>
    <w:rsid w:val="00226B51"/>
    <w:rsid w:val="00230F45"/>
    <w:rsid w:val="00231BC8"/>
    <w:rsid w:val="002323F0"/>
    <w:rsid w:val="0023255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3D57"/>
    <w:rsid w:val="00284554"/>
    <w:rsid w:val="00284597"/>
    <w:rsid w:val="002845D8"/>
    <w:rsid w:val="002853C6"/>
    <w:rsid w:val="0028546C"/>
    <w:rsid w:val="00285D8A"/>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409"/>
    <w:rsid w:val="002C7DF3"/>
    <w:rsid w:val="002D00DA"/>
    <w:rsid w:val="002D083E"/>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3A4"/>
    <w:rsid w:val="003058D3"/>
    <w:rsid w:val="0031129C"/>
    <w:rsid w:val="00311420"/>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744B"/>
    <w:rsid w:val="00351E17"/>
    <w:rsid w:val="0035304E"/>
    <w:rsid w:val="00353364"/>
    <w:rsid w:val="00354710"/>
    <w:rsid w:val="00354717"/>
    <w:rsid w:val="00356AF6"/>
    <w:rsid w:val="00356BC4"/>
    <w:rsid w:val="003572DF"/>
    <w:rsid w:val="00357986"/>
    <w:rsid w:val="00360B62"/>
    <w:rsid w:val="00361591"/>
    <w:rsid w:val="0036222D"/>
    <w:rsid w:val="0036277A"/>
    <w:rsid w:val="00363FD4"/>
    <w:rsid w:val="0036450A"/>
    <w:rsid w:val="00364AC8"/>
    <w:rsid w:val="003653CD"/>
    <w:rsid w:val="0036603C"/>
    <w:rsid w:val="00366CB7"/>
    <w:rsid w:val="00370907"/>
    <w:rsid w:val="003737A3"/>
    <w:rsid w:val="00373D3D"/>
    <w:rsid w:val="00375A33"/>
    <w:rsid w:val="00375D6E"/>
    <w:rsid w:val="00376738"/>
    <w:rsid w:val="00376BB1"/>
    <w:rsid w:val="00376C25"/>
    <w:rsid w:val="00376EB4"/>
    <w:rsid w:val="00377948"/>
    <w:rsid w:val="00377ADB"/>
    <w:rsid w:val="0038003B"/>
    <w:rsid w:val="0038056C"/>
    <w:rsid w:val="00381FBC"/>
    <w:rsid w:val="003831DC"/>
    <w:rsid w:val="0038397D"/>
    <w:rsid w:val="003849E4"/>
    <w:rsid w:val="00385E19"/>
    <w:rsid w:val="003866CD"/>
    <w:rsid w:val="00386EF7"/>
    <w:rsid w:val="0039061F"/>
    <w:rsid w:val="003906BB"/>
    <w:rsid w:val="00390FA2"/>
    <w:rsid w:val="0039252C"/>
    <w:rsid w:val="003927AE"/>
    <w:rsid w:val="003941AB"/>
    <w:rsid w:val="00394341"/>
    <w:rsid w:val="003943C9"/>
    <w:rsid w:val="003947D3"/>
    <w:rsid w:val="00395783"/>
    <w:rsid w:val="00395871"/>
    <w:rsid w:val="00395BD6"/>
    <w:rsid w:val="003973E5"/>
    <w:rsid w:val="003A086B"/>
    <w:rsid w:val="003A09A2"/>
    <w:rsid w:val="003A0ED6"/>
    <w:rsid w:val="003A10F1"/>
    <w:rsid w:val="003A3CF8"/>
    <w:rsid w:val="003A3F16"/>
    <w:rsid w:val="003A4F2F"/>
    <w:rsid w:val="003A55FA"/>
    <w:rsid w:val="003A6192"/>
    <w:rsid w:val="003A65AA"/>
    <w:rsid w:val="003A69B8"/>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4F5C"/>
    <w:rsid w:val="003D55F5"/>
    <w:rsid w:val="003D596C"/>
    <w:rsid w:val="003D63A6"/>
    <w:rsid w:val="003D712A"/>
    <w:rsid w:val="003D7BFF"/>
    <w:rsid w:val="003D7ED0"/>
    <w:rsid w:val="003D7FDB"/>
    <w:rsid w:val="003E02D7"/>
    <w:rsid w:val="003E06FF"/>
    <w:rsid w:val="003E0F70"/>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548B"/>
    <w:rsid w:val="003F60BB"/>
    <w:rsid w:val="003F6DD8"/>
    <w:rsid w:val="003F6F7D"/>
    <w:rsid w:val="003F7DBD"/>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0C97"/>
    <w:rsid w:val="00411333"/>
    <w:rsid w:val="00420365"/>
    <w:rsid w:val="00420943"/>
    <w:rsid w:val="00421133"/>
    <w:rsid w:val="004225E0"/>
    <w:rsid w:val="004226DB"/>
    <w:rsid w:val="00423F03"/>
    <w:rsid w:val="0042406C"/>
    <w:rsid w:val="00424796"/>
    <w:rsid w:val="004252E9"/>
    <w:rsid w:val="00425A6E"/>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99E"/>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6A29"/>
    <w:rsid w:val="00477AE4"/>
    <w:rsid w:val="0048021D"/>
    <w:rsid w:val="0048070C"/>
    <w:rsid w:val="00480F4C"/>
    <w:rsid w:val="00481511"/>
    <w:rsid w:val="00481DF5"/>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0DE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6D9F"/>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B82"/>
    <w:rsid w:val="004E2642"/>
    <w:rsid w:val="004E2E07"/>
    <w:rsid w:val="004E30F2"/>
    <w:rsid w:val="004E3373"/>
    <w:rsid w:val="004E3A6B"/>
    <w:rsid w:val="004E3CC9"/>
    <w:rsid w:val="004E46D6"/>
    <w:rsid w:val="004E49CD"/>
    <w:rsid w:val="004E4EF4"/>
    <w:rsid w:val="004E50A5"/>
    <w:rsid w:val="004E56D6"/>
    <w:rsid w:val="004E6E36"/>
    <w:rsid w:val="004E7B28"/>
    <w:rsid w:val="004F07DC"/>
    <w:rsid w:val="004F157C"/>
    <w:rsid w:val="004F1E3F"/>
    <w:rsid w:val="004F3067"/>
    <w:rsid w:val="004F54ED"/>
    <w:rsid w:val="004F5CD2"/>
    <w:rsid w:val="004F6630"/>
    <w:rsid w:val="004F6B20"/>
    <w:rsid w:val="004F713F"/>
    <w:rsid w:val="004F72B7"/>
    <w:rsid w:val="004F7E47"/>
    <w:rsid w:val="00500A2F"/>
    <w:rsid w:val="005032DA"/>
    <w:rsid w:val="00504781"/>
    <w:rsid w:val="00504B5B"/>
    <w:rsid w:val="00504C01"/>
    <w:rsid w:val="00504E5E"/>
    <w:rsid w:val="00505813"/>
    <w:rsid w:val="00506350"/>
    <w:rsid w:val="00507FCD"/>
    <w:rsid w:val="00510428"/>
    <w:rsid w:val="00510DF6"/>
    <w:rsid w:val="0051187C"/>
    <w:rsid w:val="00511A12"/>
    <w:rsid w:val="00512BC1"/>
    <w:rsid w:val="00512E97"/>
    <w:rsid w:val="005131BB"/>
    <w:rsid w:val="005151E5"/>
    <w:rsid w:val="00516484"/>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710"/>
    <w:rsid w:val="00545DDF"/>
    <w:rsid w:val="00545FD5"/>
    <w:rsid w:val="005461F8"/>
    <w:rsid w:val="005463BB"/>
    <w:rsid w:val="005466B3"/>
    <w:rsid w:val="005475C2"/>
    <w:rsid w:val="0054766F"/>
    <w:rsid w:val="00547A5C"/>
    <w:rsid w:val="00547B70"/>
    <w:rsid w:val="00550D42"/>
    <w:rsid w:val="005512F7"/>
    <w:rsid w:val="00551F45"/>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9C1"/>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6E"/>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3FC4"/>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A0C"/>
    <w:rsid w:val="005D6F1C"/>
    <w:rsid w:val="005D7159"/>
    <w:rsid w:val="005D7488"/>
    <w:rsid w:val="005E0A62"/>
    <w:rsid w:val="005E12A5"/>
    <w:rsid w:val="005E136A"/>
    <w:rsid w:val="005E16D0"/>
    <w:rsid w:val="005E1DC1"/>
    <w:rsid w:val="005E2D3A"/>
    <w:rsid w:val="005E38A6"/>
    <w:rsid w:val="005E5082"/>
    <w:rsid w:val="005E646C"/>
    <w:rsid w:val="005E678C"/>
    <w:rsid w:val="005E70CB"/>
    <w:rsid w:val="005E75AE"/>
    <w:rsid w:val="005F0786"/>
    <w:rsid w:val="005F21B7"/>
    <w:rsid w:val="005F3CB3"/>
    <w:rsid w:val="005F4A71"/>
    <w:rsid w:val="005F541B"/>
    <w:rsid w:val="005F5C81"/>
    <w:rsid w:val="005F5FB5"/>
    <w:rsid w:val="005F691D"/>
    <w:rsid w:val="005F6FAF"/>
    <w:rsid w:val="005F7648"/>
    <w:rsid w:val="005F7F2D"/>
    <w:rsid w:val="00600883"/>
    <w:rsid w:val="006019BE"/>
    <w:rsid w:val="00602036"/>
    <w:rsid w:val="0060266E"/>
    <w:rsid w:val="0060289A"/>
    <w:rsid w:val="006028CF"/>
    <w:rsid w:val="00603470"/>
    <w:rsid w:val="006036D6"/>
    <w:rsid w:val="0060460A"/>
    <w:rsid w:val="00604D02"/>
    <w:rsid w:val="00604F3F"/>
    <w:rsid w:val="00605FCE"/>
    <w:rsid w:val="006064F5"/>
    <w:rsid w:val="006070B1"/>
    <w:rsid w:val="0061001C"/>
    <w:rsid w:val="0061083E"/>
    <w:rsid w:val="00610CCA"/>
    <w:rsid w:val="00611FDB"/>
    <w:rsid w:val="00612248"/>
    <w:rsid w:val="00613898"/>
    <w:rsid w:val="00614461"/>
    <w:rsid w:val="00614779"/>
    <w:rsid w:val="00614796"/>
    <w:rsid w:val="00614C0A"/>
    <w:rsid w:val="00616931"/>
    <w:rsid w:val="006170A3"/>
    <w:rsid w:val="00617D4E"/>
    <w:rsid w:val="006208B9"/>
    <w:rsid w:val="00620C0F"/>
    <w:rsid w:val="006214F4"/>
    <w:rsid w:val="0062244E"/>
    <w:rsid w:val="00623592"/>
    <w:rsid w:val="00626DF5"/>
    <w:rsid w:val="006318F4"/>
    <w:rsid w:val="0063415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395B"/>
    <w:rsid w:val="00654FEE"/>
    <w:rsid w:val="006550AB"/>
    <w:rsid w:val="00655987"/>
    <w:rsid w:val="0065662A"/>
    <w:rsid w:val="006570C3"/>
    <w:rsid w:val="0065744B"/>
    <w:rsid w:val="006607B9"/>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0D4"/>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6534"/>
    <w:rsid w:val="006D1DFA"/>
    <w:rsid w:val="006D212F"/>
    <w:rsid w:val="006D2498"/>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1CA"/>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77C"/>
    <w:rsid w:val="00734CEC"/>
    <w:rsid w:val="007369E2"/>
    <w:rsid w:val="00736FA9"/>
    <w:rsid w:val="0073702F"/>
    <w:rsid w:val="0074149C"/>
    <w:rsid w:val="00743069"/>
    <w:rsid w:val="00743161"/>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D97"/>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45"/>
    <w:rsid w:val="007A6751"/>
    <w:rsid w:val="007A6CD0"/>
    <w:rsid w:val="007B05DD"/>
    <w:rsid w:val="007B0D22"/>
    <w:rsid w:val="007B0FFE"/>
    <w:rsid w:val="007B1568"/>
    <w:rsid w:val="007B2BCF"/>
    <w:rsid w:val="007B2E71"/>
    <w:rsid w:val="007B3F06"/>
    <w:rsid w:val="007B447B"/>
    <w:rsid w:val="007B5AE2"/>
    <w:rsid w:val="007B6C07"/>
    <w:rsid w:val="007B6CF1"/>
    <w:rsid w:val="007B7442"/>
    <w:rsid w:val="007B77CB"/>
    <w:rsid w:val="007C0BD4"/>
    <w:rsid w:val="007C0DF6"/>
    <w:rsid w:val="007C1B1A"/>
    <w:rsid w:val="007C2227"/>
    <w:rsid w:val="007C25F0"/>
    <w:rsid w:val="007C3133"/>
    <w:rsid w:val="007C365A"/>
    <w:rsid w:val="007C3D3F"/>
    <w:rsid w:val="007C3F5C"/>
    <w:rsid w:val="007C55F5"/>
    <w:rsid w:val="007C7740"/>
    <w:rsid w:val="007C7884"/>
    <w:rsid w:val="007C7941"/>
    <w:rsid w:val="007D011B"/>
    <w:rsid w:val="007D0644"/>
    <w:rsid w:val="007D07FD"/>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47B"/>
    <w:rsid w:val="007E1FDD"/>
    <w:rsid w:val="007E26FE"/>
    <w:rsid w:val="007E42F2"/>
    <w:rsid w:val="007E47FA"/>
    <w:rsid w:val="007E5592"/>
    <w:rsid w:val="007E619A"/>
    <w:rsid w:val="007E670C"/>
    <w:rsid w:val="007E6DED"/>
    <w:rsid w:val="007E7658"/>
    <w:rsid w:val="007F0257"/>
    <w:rsid w:val="007F0374"/>
    <w:rsid w:val="007F03F0"/>
    <w:rsid w:val="007F05F6"/>
    <w:rsid w:val="007F21CD"/>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4504"/>
    <w:rsid w:val="008347BA"/>
    <w:rsid w:val="00834837"/>
    <w:rsid w:val="00834E38"/>
    <w:rsid w:val="008350D3"/>
    <w:rsid w:val="0083587B"/>
    <w:rsid w:val="00840627"/>
    <w:rsid w:val="00840D18"/>
    <w:rsid w:val="00840EA9"/>
    <w:rsid w:val="00841021"/>
    <w:rsid w:val="00841855"/>
    <w:rsid w:val="00841F9E"/>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57F8E"/>
    <w:rsid w:val="0086034B"/>
    <w:rsid w:val="00860563"/>
    <w:rsid w:val="008619A4"/>
    <w:rsid w:val="008622CF"/>
    <w:rsid w:val="00862B00"/>
    <w:rsid w:val="00863321"/>
    <w:rsid w:val="0086338F"/>
    <w:rsid w:val="00864159"/>
    <w:rsid w:val="00864CCF"/>
    <w:rsid w:val="0086528B"/>
    <w:rsid w:val="00866144"/>
    <w:rsid w:val="0087102F"/>
    <w:rsid w:val="008718CC"/>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97C"/>
    <w:rsid w:val="00885C64"/>
    <w:rsid w:val="008862B3"/>
    <w:rsid w:val="00887372"/>
    <w:rsid w:val="0089056E"/>
    <w:rsid w:val="00891C78"/>
    <w:rsid w:val="0089285F"/>
    <w:rsid w:val="00892B0D"/>
    <w:rsid w:val="008932B5"/>
    <w:rsid w:val="00897C0F"/>
    <w:rsid w:val="00897D29"/>
    <w:rsid w:val="00897DA7"/>
    <w:rsid w:val="008A215E"/>
    <w:rsid w:val="008A297C"/>
    <w:rsid w:val="008A3965"/>
    <w:rsid w:val="008A3AA0"/>
    <w:rsid w:val="008A3F44"/>
    <w:rsid w:val="008A437A"/>
    <w:rsid w:val="008A4F36"/>
    <w:rsid w:val="008A5284"/>
    <w:rsid w:val="008A6134"/>
    <w:rsid w:val="008A66B6"/>
    <w:rsid w:val="008A6B3F"/>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082"/>
    <w:rsid w:val="008E4CFD"/>
    <w:rsid w:val="008E5AAB"/>
    <w:rsid w:val="008E6C67"/>
    <w:rsid w:val="008E74C9"/>
    <w:rsid w:val="008E7B33"/>
    <w:rsid w:val="008F1C6A"/>
    <w:rsid w:val="008F201C"/>
    <w:rsid w:val="008F499E"/>
    <w:rsid w:val="008F5C91"/>
    <w:rsid w:val="008F6489"/>
    <w:rsid w:val="008F6D16"/>
    <w:rsid w:val="008F6DF7"/>
    <w:rsid w:val="00900DB5"/>
    <w:rsid w:val="00901623"/>
    <w:rsid w:val="00901685"/>
    <w:rsid w:val="00902D9C"/>
    <w:rsid w:val="00902DDD"/>
    <w:rsid w:val="00903ED0"/>
    <w:rsid w:val="00906663"/>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86B"/>
    <w:rsid w:val="00920AEF"/>
    <w:rsid w:val="0092205A"/>
    <w:rsid w:val="00923C18"/>
    <w:rsid w:val="00924FFF"/>
    <w:rsid w:val="0092568E"/>
    <w:rsid w:val="009257CF"/>
    <w:rsid w:val="00927F98"/>
    <w:rsid w:val="00930143"/>
    <w:rsid w:val="00930361"/>
    <w:rsid w:val="00930532"/>
    <w:rsid w:val="00931C21"/>
    <w:rsid w:val="00931D16"/>
    <w:rsid w:val="00932232"/>
    <w:rsid w:val="00933897"/>
    <w:rsid w:val="0093408C"/>
    <w:rsid w:val="00934C7C"/>
    <w:rsid w:val="00934CD0"/>
    <w:rsid w:val="0093565E"/>
    <w:rsid w:val="009356FB"/>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60F"/>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B0525"/>
    <w:rsid w:val="009B2735"/>
    <w:rsid w:val="009B31B5"/>
    <w:rsid w:val="009B56E7"/>
    <w:rsid w:val="009B5B91"/>
    <w:rsid w:val="009B6F27"/>
    <w:rsid w:val="009B7D9A"/>
    <w:rsid w:val="009C13FE"/>
    <w:rsid w:val="009C1DAF"/>
    <w:rsid w:val="009C2608"/>
    <w:rsid w:val="009C3030"/>
    <w:rsid w:val="009C314B"/>
    <w:rsid w:val="009C3C19"/>
    <w:rsid w:val="009C452B"/>
    <w:rsid w:val="009C4D7E"/>
    <w:rsid w:val="009C4FF7"/>
    <w:rsid w:val="009C5634"/>
    <w:rsid w:val="009C660A"/>
    <w:rsid w:val="009C6E30"/>
    <w:rsid w:val="009D0F1B"/>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53F"/>
    <w:rsid w:val="009F5A2C"/>
    <w:rsid w:val="009F6444"/>
    <w:rsid w:val="009F7A07"/>
    <w:rsid w:val="00A0007C"/>
    <w:rsid w:val="00A00A9E"/>
    <w:rsid w:val="00A00EDC"/>
    <w:rsid w:val="00A01F22"/>
    <w:rsid w:val="00A01F5A"/>
    <w:rsid w:val="00A021AA"/>
    <w:rsid w:val="00A02920"/>
    <w:rsid w:val="00A02C55"/>
    <w:rsid w:val="00A0417D"/>
    <w:rsid w:val="00A041EB"/>
    <w:rsid w:val="00A0500F"/>
    <w:rsid w:val="00A06821"/>
    <w:rsid w:val="00A06FC1"/>
    <w:rsid w:val="00A10AEF"/>
    <w:rsid w:val="00A11FFC"/>
    <w:rsid w:val="00A12553"/>
    <w:rsid w:val="00A12B7E"/>
    <w:rsid w:val="00A1315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49F5"/>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EC1"/>
    <w:rsid w:val="00A6358D"/>
    <w:rsid w:val="00A655A5"/>
    <w:rsid w:val="00A65DFC"/>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6AA"/>
    <w:rsid w:val="00A91DDE"/>
    <w:rsid w:val="00A92B4F"/>
    <w:rsid w:val="00A92C50"/>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934"/>
    <w:rsid w:val="00AB4A88"/>
    <w:rsid w:val="00AB5794"/>
    <w:rsid w:val="00AB5B5F"/>
    <w:rsid w:val="00AC0D85"/>
    <w:rsid w:val="00AC21BE"/>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08A1"/>
    <w:rsid w:val="00AE22CA"/>
    <w:rsid w:val="00AE38E8"/>
    <w:rsid w:val="00AE3A57"/>
    <w:rsid w:val="00AE3B0F"/>
    <w:rsid w:val="00AE45CF"/>
    <w:rsid w:val="00AE493B"/>
    <w:rsid w:val="00AE7DBB"/>
    <w:rsid w:val="00AF005C"/>
    <w:rsid w:val="00AF144E"/>
    <w:rsid w:val="00AF2242"/>
    <w:rsid w:val="00AF33E3"/>
    <w:rsid w:val="00AF4B98"/>
    <w:rsid w:val="00AF5DD9"/>
    <w:rsid w:val="00AF6FBA"/>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178"/>
    <w:rsid w:val="00B45354"/>
    <w:rsid w:val="00B456DA"/>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6F9A"/>
    <w:rsid w:val="00B772BD"/>
    <w:rsid w:val="00B77CFA"/>
    <w:rsid w:val="00B81691"/>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42D9"/>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48C"/>
    <w:rsid w:val="00BB2D33"/>
    <w:rsid w:val="00BB358F"/>
    <w:rsid w:val="00BB3C37"/>
    <w:rsid w:val="00BB3FA9"/>
    <w:rsid w:val="00BB67E7"/>
    <w:rsid w:val="00BB73AF"/>
    <w:rsid w:val="00BB7C28"/>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131"/>
    <w:rsid w:val="00BE091E"/>
    <w:rsid w:val="00BE0CD1"/>
    <w:rsid w:val="00BE1F52"/>
    <w:rsid w:val="00BE27B3"/>
    <w:rsid w:val="00BE27C1"/>
    <w:rsid w:val="00BE27D8"/>
    <w:rsid w:val="00BE2997"/>
    <w:rsid w:val="00BE33BA"/>
    <w:rsid w:val="00BE3CCA"/>
    <w:rsid w:val="00BE4076"/>
    <w:rsid w:val="00BE4412"/>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5D9"/>
    <w:rsid w:val="00C01C0C"/>
    <w:rsid w:val="00C021F6"/>
    <w:rsid w:val="00C02972"/>
    <w:rsid w:val="00C04159"/>
    <w:rsid w:val="00C04787"/>
    <w:rsid w:val="00C04DAB"/>
    <w:rsid w:val="00C05AB6"/>
    <w:rsid w:val="00C108DF"/>
    <w:rsid w:val="00C117F4"/>
    <w:rsid w:val="00C11BC4"/>
    <w:rsid w:val="00C11FA1"/>
    <w:rsid w:val="00C1555C"/>
    <w:rsid w:val="00C17FAB"/>
    <w:rsid w:val="00C20D30"/>
    <w:rsid w:val="00C21794"/>
    <w:rsid w:val="00C22271"/>
    <w:rsid w:val="00C22803"/>
    <w:rsid w:val="00C22D34"/>
    <w:rsid w:val="00C22FD9"/>
    <w:rsid w:val="00C2309D"/>
    <w:rsid w:val="00C24EA4"/>
    <w:rsid w:val="00C24EC9"/>
    <w:rsid w:val="00C250D0"/>
    <w:rsid w:val="00C2523E"/>
    <w:rsid w:val="00C25529"/>
    <w:rsid w:val="00C27090"/>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5AAB"/>
    <w:rsid w:val="00C463B8"/>
    <w:rsid w:val="00C47107"/>
    <w:rsid w:val="00C4728C"/>
    <w:rsid w:val="00C47C16"/>
    <w:rsid w:val="00C50E7F"/>
    <w:rsid w:val="00C512D2"/>
    <w:rsid w:val="00C51429"/>
    <w:rsid w:val="00C51F8A"/>
    <w:rsid w:val="00C55905"/>
    <w:rsid w:val="00C566C3"/>
    <w:rsid w:val="00C56F6C"/>
    <w:rsid w:val="00C57314"/>
    <w:rsid w:val="00C57A18"/>
    <w:rsid w:val="00C608C8"/>
    <w:rsid w:val="00C6122B"/>
    <w:rsid w:val="00C63238"/>
    <w:rsid w:val="00C63E58"/>
    <w:rsid w:val="00C640DC"/>
    <w:rsid w:val="00C646F9"/>
    <w:rsid w:val="00C647AE"/>
    <w:rsid w:val="00C65176"/>
    <w:rsid w:val="00C65495"/>
    <w:rsid w:val="00C6549C"/>
    <w:rsid w:val="00C66870"/>
    <w:rsid w:val="00C66FB2"/>
    <w:rsid w:val="00C67C99"/>
    <w:rsid w:val="00C702CF"/>
    <w:rsid w:val="00C713A9"/>
    <w:rsid w:val="00C71E77"/>
    <w:rsid w:val="00C72D77"/>
    <w:rsid w:val="00C73987"/>
    <w:rsid w:val="00C743E0"/>
    <w:rsid w:val="00C7446D"/>
    <w:rsid w:val="00C76AA6"/>
    <w:rsid w:val="00C76D71"/>
    <w:rsid w:val="00C774B5"/>
    <w:rsid w:val="00C77DD3"/>
    <w:rsid w:val="00C83D1A"/>
    <w:rsid w:val="00C84045"/>
    <w:rsid w:val="00C8466D"/>
    <w:rsid w:val="00C84686"/>
    <w:rsid w:val="00C84FA2"/>
    <w:rsid w:val="00C85245"/>
    <w:rsid w:val="00C85684"/>
    <w:rsid w:val="00C85BF2"/>
    <w:rsid w:val="00C85E3C"/>
    <w:rsid w:val="00C87032"/>
    <w:rsid w:val="00C87263"/>
    <w:rsid w:val="00C87721"/>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5D31"/>
    <w:rsid w:val="00CB67EF"/>
    <w:rsid w:val="00CB74F9"/>
    <w:rsid w:val="00CB7B30"/>
    <w:rsid w:val="00CB7D4C"/>
    <w:rsid w:val="00CC1B0E"/>
    <w:rsid w:val="00CC2089"/>
    <w:rsid w:val="00CC36AC"/>
    <w:rsid w:val="00CC4050"/>
    <w:rsid w:val="00CC4C2D"/>
    <w:rsid w:val="00CC4C62"/>
    <w:rsid w:val="00CC4C92"/>
    <w:rsid w:val="00CC5D89"/>
    <w:rsid w:val="00CC6341"/>
    <w:rsid w:val="00CC69D1"/>
    <w:rsid w:val="00CC7686"/>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9DC"/>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CE8"/>
    <w:rsid w:val="00D13354"/>
    <w:rsid w:val="00D154C4"/>
    <w:rsid w:val="00D1576C"/>
    <w:rsid w:val="00D174F9"/>
    <w:rsid w:val="00D17F46"/>
    <w:rsid w:val="00D17F6F"/>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D8A"/>
    <w:rsid w:val="00D42FAA"/>
    <w:rsid w:val="00D42FE3"/>
    <w:rsid w:val="00D43DAC"/>
    <w:rsid w:val="00D44251"/>
    <w:rsid w:val="00D44D85"/>
    <w:rsid w:val="00D45C80"/>
    <w:rsid w:val="00D4617E"/>
    <w:rsid w:val="00D4665C"/>
    <w:rsid w:val="00D46759"/>
    <w:rsid w:val="00D46FCB"/>
    <w:rsid w:val="00D47243"/>
    <w:rsid w:val="00D47654"/>
    <w:rsid w:val="00D477E4"/>
    <w:rsid w:val="00D505F9"/>
    <w:rsid w:val="00D51BE9"/>
    <w:rsid w:val="00D53388"/>
    <w:rsid w:val="00D55503"/>
    <w:rsid w:val="00D55C64"/>
    <w:rsid w:val="00D56557"/>
    <w:rsid w:val="00D56A43"/>
    <w:rsid w:val="00D574E9"/>
    <w:rsid w:val="00D57C72"/>
    <w:rsid w:val="00D600C3"/>
    <w:rsid w:val="00D6098B"/>
    <w:rsid w:val="00D60EA5"/>
    <w:rsid w:val="00D614F5"/>
    <w:rsid w:val="00D621D1"/>
    <w:rsid w:val="00D6239E"/>
    <w:rsid w:val="00D63152"/>
    <w:rsid w:val="00D649A4"/>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525D"/>
    <w:rsid w:val="00D76533"/>
    <w:rsid w:val="00D77B17"/>
    <w:rsid w:val="00D77BCD"/>
    <w:rsid w:val="00D81942"/>
    <w:rsid w:val="00D83471"/>
    <w:rsid w:val="00D836EC"/>
    <w:rsid w:val="00D8409D"/>
    <w:rsid w:val="00D87D0B"/>
    <w:rsid w:val="00D87EBD"/>
    <w:rsid w:val="00D90A48"/>
    <w:rsid w:val="00D914E6"/>
    <w:rsid w:val="00D915EF"/>
    <w:rsid w:val="00D91CC4"/>
    <w:rsid w:val="00D93423"/>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D0132"/>
    <w:rsid w:val="00DD14B7"/>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DB0"/>
    <w:rsid w:val="00DF3D5D"/>
    <w:rsid w:val="00DF3F01"/>
    <w:rsid w:val="00DF4C5B"/>
    <w:rsid w:val="00DF532D"/>
    <w:rsid w:val="00DF5BC2"/>
    <w:rsid w:val="00DF666C"/>
    <w:rsid w:val="00DF66C1"/>
    <w:rsid w:val="00DF73AB"/>
    <w:rsid w:val="00DF750C"/>
    <w:rsid w:val="00DF7955"/>
    <w:rsid w:val="00DF7DA8"/>
    <w:rsid w:val="00E00950"/>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4DDF"/>
    <w:rsid w:val="00E1526E"/>
    <w:rsid w:val="00E167DC"/>
    <w:rsid w:val="00E16DD4"/>
    <w:rsid w:val="00E175AE"/>
    <w:rsid w:val="00E1792B"/>
    <w:rsid w:val="00E20634"/>
    <w:rsid w:val="00E20DFD"/>
    <w:rsid w:val="00E218B7"/>
    <w:rsid w:val="00E21D4E"/>
    <w:rsid w:val="00E2286B"/>
    <w:rsid w:val="00E23083"/>
    <w:rsid w:val="00E2503E"/>
    <w:rsid w:val="00E25E38"/>
    <w:rsid w:val="00E31FEE"/>
    <w:rsid w:val="00E3295D"/>
    <w:rsid w:val="00E32D60"/>
    <w:rsid w:val="00E33551"/>
    <w:rsid w:val="00E3407B"/>
    <w:rsid w:val="00E3468A"/>
    <w:rsid w:val="00E35516"/>
    <w:rsid w:val="00E35D3A"/>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B58"/>
    <w:rsid w:val="00E63CDA"/>
    <w:rsid w:val="00E65962"/>
    <w:rsid w:val="00E659AA"/>
    <w:rsid w:val="00E66D0E"/>
    <w:rsid w:val="00E66FB2"/>
    <w:rsid w:val="00E67050"/>
    <w:rsid w:val="00E67597"/>
    <w:rsid w:val="00E705FA"/>
    <w:rsid w:val="00E70AC8"/>
    <w:rsid w:val="00E717D7"/>
    <w:rsid w:val="00E71EB1"/>
    <w:rsid w:val="00E73466"/>
    <w:rsid w:val="00E73512"/>
    <w:rsid w:val="00E7354C"/>
    <w:rsid w:val="00E739D9"/>
    <w:rsid w:val="00E74C45"/>
    <w:rsid w:val="00E75113"/>
    <w:rsid w:val="00E7572B"/>
    <w:rsid w:val="00E76047"/>
    <w:rsid w:val="00E76792"/>
    <w:rsid w:val="00E76C17"/>
    <w:rsid w:val="00E77D23"/>
    <w:rsid w:val="00E80047"/>
    <w:rsid w:val="00E815C4"/>
    <w:rsid w:val="00E821F8"/>
    <w:rsid w:val="00E827CF"/>
    <w:rsid w:val="00E8339F"/>
    <w:rsid w:val="00E83FD4"/>
    <w:rsid w:val="00E85A60"/>
    <w:rsid w:val="00E861F3"/>
    <w:rsid w:val="00E86F86"/>
    <w:rsid w:val="00E8701E"/>
    <w:rsid w:val="00E87279"/>
    <w:rsid w:val="00E90B7C"/>
    <w:rsid w:val="00E9127F"/>
    <w:rsid w:val="00E920F9"/>
    <w:rsid w:val="00E92BDC"/>
    <w:rsid w:val="00E92C20"/>
    <w:rsid w:val="00E930FA"/>
    <w:rsid w:val="00E94746"/>
    <w:rsid w:val="00E9523E"/>
    <w:rsid w:val="00EA0497"/>
    <w:rsid w:val="00EA085B"/>
    <w:rsid w:val="00EA0ED7"/>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3E3C"/>
    <w:rsid w:val="00EC531A"/>
    <w:rsid w:val="00EC6F2E"/>
    <w:rsid w:val="00EC790B"/>
    <w:rsid w:val="00EC7CBC"/>
    <w:rsid w:val="00ED00D1"/>
    <w:rsid w:val="00ED0E6A"/>
    <w:rsid w:val="00ED1B1E"/>
    <w:rsid w:val="00ED1F42"/>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5F1"/>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3E0"/>
    <w:rsid w:val="00F12ADA"/>
    <w:rsid w:val="00F12C5E"/>
    <w:rsid w:val="00F12CE8"/>
    <w:rsid w:val="00F1412D"/>
    <w:rsid w:val="00F14409"/>
    <w:rsid w:val="00F1488E"/>
    <w:rsid w:val="00F14BA3"/>
    <w:rsid w:val="00F14C2C"/>
    <w:rsid w:val="00F169FD"/>
    <w:rsid w:val="00F17F92"/>
    <w:rsid w:val="00F20F8B"/>
    <w:rsid w:val="00F2405E"/>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3F9"/>
    <w:rsid w:val="00F42D4C"/>
    <w:rsid w:val="00F44FB4"/>
    <w:rsid w:val="00F4538B"/>
    <w:rsid w:val="00F45612"/>
    <w:rsid w:val="00F45735"/>
    <w:rsid w:val="00F45FFB"/>
    <w:rsid w:val="00F46DF9"/>
    <w:rsid w:val="00F473A1"/>
    <w:rsid w:val="00F51547"/>
    <w:rsid w:val="00F5353E"/>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3EB6"/>
    <w:rsid w:val="00F93FF5"/>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342"/>
    <w:rsid w:val="00FC05A0"/>
    <w:rsid w:val="00FC0A32"/>
    <w:rsid w:val="00FC0BF3"/>
    <w:rsid w:val="00FC2116"/>
    <w:rsid w:val="00FC27F6"/>
    <w:rsid w:val="00FC303F"/>
    <w:rsid w:val="00FC4967"/>
    <w:rsid w:val="00FC55F5"/>
    <w:rsid w:val="00FC65AB"/>
    <w:rsid w:val="00FC7D59"/>
    <w:rsid w:val="00FD0245"/>
    <w:rsid w:val="00FD1180"/>
    <w:rsid w:val="00FD324D"/>
    <w:rsid w:val="00FD4DD0"/>
    <w:rsid w:val="00FD511C"/>
    <w:rsid w:val="00FD5212"/>
    <w:rsid w:val="00FD73A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505D"/>
    <w:rsid w:val="00FF6663"/>
    <w:rsid w:val="00FF7079"/>
    <w:rsid w:val="00FF76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41">
      <o:colormru v:ext="edit" colors="#001c52,#b6c400,#dc0000,maroon,#6cb07e,#2c90ce,#eed084,#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65395B"/>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r="http://schemas.openxmlformats.org/officeDocument/2006/relationships" xmlns:w="http://schemas.openxmlformats.org/wordprocessingml/2006/main">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footer" Target="footer5.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taserver\users\Corporate%20Services\Finance\2015%20Budget\Public%20Meeting%20Docs\Working%20Funds%20Graph.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a:t>Cash Flows</a:t>
            </a:r>
          </a:p>
        </c:rich>
      </c:tx>
      <c:layout>
        <c:manualLayout>
          <c:xMode val="edge"/>
          <c:yMode val="edge"/>
          <c:x val="0.34594389579554491"/>
          <c:y val="0"/>
        </c:manualLayout>
      </c:layout>
    </c:title>
    <c:plotArea>
      <c:layout/>
      <c:lineChart>
        <c:grouping val="standard"/>
        <c:ser>
          <c:idx val="0"/>
          <c:order val="0"/>
          <c:tx>
            <c:strRef>
              <c:f>Sheet1!$A$17</c:f>
              <c:strCache>
                <c:ptCount val="1"/>
                <c:pt idx="0">
                  <c:v>Scenario 1</c:v>
                </c:pt>
              </c:strCache>
            </c:strRef>
          </c:tx>
          <c:cat>
            <c:strRef>
              <c:f>Sheet1!$B$15:$K$15</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Sheet1!$B$17:$K$17</c:f>
              <c:numCache>
                <c:formatCode>General</c:formatCode>
                <c:ptCount val="10"/>
                <c:pt idx="0">
                  <c:v>38380</c:v>
                </c:pt>
                <c:pt idx="1">
                  <c:v>-82028</c:v>
                </c:pt>
                <c:pt idx="2">
                  <c:v>-257700</c:v>
                </c:pt>
                <c:pt idx="3">
                  <c:v>-474672</c:v>
                </c:pt>
                <c:pt idx="4">
                  <c:v>-739152</c:v>
                </c:pt>
                <c:pt idx="5">
                  <c:v>-1153830</c:v>
                </c:pt>
                <c:pt idx="6">
                  <c:v>-1305285</c:v>
                </c:pt>
                <c:pt idx="7">
                  <c:v>-1336341</c:v>
                </c:pt>
                <c:pt idx="8">
                  <c:v>-1330997</c:v>
                </c:pt>
                <c:pt idx="9">
                  <c:v>-1537995</c:v>
                </c:pt>
              </c:numCache>
            </c:numRef>
          </c:val>
        </c:ser>
        <c:ser>
          <c:idx val="1"/>
          <c:order val="1"/>
          <c:tx>
            <c:strRef>
              <c:f>Sheet1!$A$18</c:f>
              <c:strCache>
                <c:ptCount val="1"/>
                <c:pt idx="0">
                  <c:v>Scenario 2</c:v>
                </c:pt>
              </c:strCache>
            </c:strRef>
          </c:tx>
          <c:cat>
            <c:strRef>
              <c:f>Sheet1!$B$15:$K$15</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Sheet1!$B$18:$K$18</c:f>
              <c:numCache>
                <c:formatCode>General</c:formatCode>
                <c:ptCount val="10"/>
                <c:pt idx="0">
                  <c:v>38380</c:v>
                </c:pt>
                <c:pt idx="1">
                  <c:v>35775</c:v>
                </c:pt>
                <c:pt idx="2">
                  <c:v>-18559</c:v>
                </c:pt>
                <c:pt idx="3">
                  <c:v>-110554</c:v>
                </c:pt>
                <c:pt idx="4">
                  <c:v>-246307</c:v>
                </c:pt>
                <c:pt idx="5">
                  <c:v>-528396</c:v>
                </c:pt>
                <c:pt idx="6">
                  <c:v>-543285</c:v>
                </c:pt>
                <c:pt idx="7">
                  <c:v>-433678</c:v>
                </c:pt>
                <c:pt idx="8">
                  <c:v>-283450</c:v>
                </c:pt>
                <c:pt idx="9">
                  <c:v>-341219</c:v>
                </c:pt>
              </c:numCache>
            </c:numRef>
          </c:val>
        </c:ser>
        <c:ser>
          <c:idx val="2"/>
          <c:order val="2"/>
          <c:tx>
            <c:strRef>
              <c:f>Sheet1!$A$19</c:f>
              <c:strCache>
                <c:ptCount val="1"/>
                <c:pt idx="0">
                  <c:v>Scenario 3</c:v>
                </c:pt>
              </c:strCache>
            </c:strRef>
          </c:tx>
          <c:cat>
            <c:strRef>
              <c:f>Sheet1!$B$15:$K$15</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Sheet1!$B$19:$K$19</c:f>
              <c:numCache>
                <c:formatCode>General</c:formatCode>
                <c:ptCount val="10"/>
                <c:pt idx="0">
                  <c:v>38380</c:v>
                </c:pt>
                <c:pt idx="1">
                  <c:v>35775</c:v>
                </c:pt>
                <c:pt idx="2">
                  <c:v>111024</c:v>
                </c:pt>
                <c:pt idx="3">
                  <c:v>152500</c:v>
                </c:pt>
                <c:pt idx="4">
                  <c:v>154223</c:v>
                </c:pt>
                <c:pt idx="5">
                  <c:v>13733</c:v>
                </c:pt>
                <c:pt idx="6">
                  <c:v>144692</c:v>
                </c:pt>
                <c:pt idx="7">
                  <c:v>404522</c:v>
                </c:pt>
                <c:pt idx="8">
                  <c:v>709479</c:v>
                </c:pt>
                <c:pt idx="9">
                  <c:v>811082</c:v>
                </c:pt>
              </c:numCache>
            </c:numRef>
          </c:val>
        </c:ser>
        <c:marker val="1"/>
        <c:axId val="62058496"/>
        <c:axId val="62061952"/>
      </c:lineChart>
      <c:catAx>
        <c:axId val="62058496"/>
        <c:scaling>
          <c:orientation val="minMax"/>
        </c:scaling>
        <c:axPos val="b"/>
        <c:tickLblPos val="nextTo"/>
        <c:crossAx val="62061952"/>
        <c:crosses val="autoZero"/>
        <c:auto val="1"/>
        <c:lblAlgn val="ctr"/>
        <c:lblOffset val="100"/>
      </c:catAx>
      <c:valAx>
        <c:axId val="62061952"/>
        <c:scaling>
          <c:orientation val="minMax"/>
        </c:scaling>
        <c:axPos val="l"/>
        <c:majorGridlines/>
        <c:numFmt formatCode="General" sourceLinked="1"/>
        <c:tickLblPos val="nextTo"/>
        <c:crossAx val="6205849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a:t>10% Rate Increase - Agree vs Disagree</a:t>
            </a:r>
          </a:p>
        </c:rich>
      </c:tx>
      <c:layout>
        <c:manualLayout>
          <c:xMode val="edge"/>
          <c:yMode val="edge"/>
          <c:x val="0.10745189283771961"/>
          <c:y val="1.062406034197182E-2"/>
        </c:manualLayout>
      </c:layout>
    </c:title>
    <c:plotArea>
      <c:layout>
        <c:manualLayout>
          <c:layoutTarget val="inner"/>
          <c:xMode val="edge"/>
          <c:yMode val="edge"/>
          <c:x val="6.5645683178491579E-2"/>
          <c:y val="0.17487066766539469"/>
          <c:w val="0.73179222967499535"/>
          <c:h val="0.72101684388198906"/>
        </c:manualLayout>
      </c:layout>
      <c:barChart>
        <c:barDir val="col"/>
        <c:grouping val="clustered"/>
        <c:ser>
          <c:idx val="0"/>
          <c:order val="0"/>
          <c:tx>
            <c:strRef>
              <c:f>Sheet1!$B$1</c:f>
              <c:strCache>
                <c:ptCount val="1"/>
                <c:pt idx="0">
                  <c:v>Agree</c:v>
                </c:pt>
              </c:strCache>
            </c:strRef>
          </c:tx>
          <c:cat>
            <c:strRef>
              <c:f>Sheet1!$A$2:$A$5</c:f>
              <c:strCache>
                <c:ptCount val="3"/>
                <c:pt idx="0">
                  <c:v>Rural</c:v>
                </c:pt>
                <c:pt idx="1">
                  <c:v>Urban</c:v>
                </c:pt>
                <c:pt idx="2">
                  <c:v>Anon</c:v>
                </c:pt>
              </c:strCache>
            </c:strRef>
          </c:cat>
          <c:val>
            <c:numRef>
              <c:f>Sheet1!$B$2:$B$5</c:f>
              <c:numCache>
                <c:formatCode>General</c:formatCode>
                <c:ptCount val="4"/>
                <c:pt idx="0">
                  <c:v>10</c:v>
                </c:pt>
                <c:pt idx="1">
                  <c:v>18</c:v>
                </c:pt>
                <c:pt idx="2">
                  <c:v>2</c:v>
                </c:pt>
                <c:pt idx="3">
                  <c:v>0</c:v>
                </c:pt>
              </c:numCache>
            </c:numRef>
          </c:val>
        </c:ser>
        <c:ser>
          <c:idx val="1"/>
          <c:order val="1"/>
          <c:tx>
            <c:strRef>
              <c:f>Sheet1!$C$1</c:f>
              <c:strCache>
                <c:ptCount val="1"/>
                <c:pt idx="0">
                  <c:v>Disagree</c:v>
                </c:pt>
              </c:strCache>
            </c:strRef>
          </c:tx>
          <c:cat>
            <c:strRef>
              <c:f>Sheet1!$A$2:$A$5</c:f>
              <c:strCache>
                <c:ptCount val="3"/>
                <c:pt idx="0">
                  <c:v>Rural</c:v>
                </c:pt>
                <c:pt idx="1">
                  <c:v>Urban</c:v>
                </c:pt>
                <c:pt idx="2">
                  <c:v>Anon</c:v>
                </c:pt>
              </c:strCache>
            </c:strRef>
          </c:cat>
          <c:val>
            <c:numRef>
              <c:f>Sheet1!$C$2:$C$5</c:f>
              <c:numCache>
                <c:formatCode>General</c:formatCode>
                <c:ptCount val="4"/>
                <c:pt idx="0">
                  <c:v>31</c:v>
                </c:pt>
                <c:pt idx="1">
                  <c:v>24</c:v>
                </c:pt>
                <c:pt idx="2">
                  <c:v>3</c:v>
                </c:pt>
                <c:pt idx="3">
                  <c:v>0</c:v>
                </c:pt>
              </c:numCache>
            </c:numRef>
          </c:val>
        </c:ser>
        <c:ser>
          <c:idx val="2"/>
          <c:order val="2"/>
          <c:tx>
            <c:strRef>
              <c:f>Sheet1!$D$1</c:f>
              <c:strCache>
                <c:ptCount val="1"/>
                <c:pt idx="0">
                  <c:v>No Comment</c:v>
                </c:pt>
              </c:strCache>
            </c:strRef>
          </c:tx>
          <c:cat>
            <c:strRef>
              <c:f>Sheet1!$A$2:$A$5</c:f>
              <c:strCache>
                <c:ptCount val="3"/>
                <c:pt idx="0">
                  <c:v>Rural</c:v>
                </c:pt>
                <c:pt idx="1">
                  <c:v>Urban</c:v>
                </c:pt>
                <c:pt idx="2">
                  <c:v>Anon</c:v>
                </c:pt>
              </c:strCache>
            </c:strRef>
          </c:cat>
          <c:val>
            <c:numRef>
              <c:f>Sheet1!$D$2:$D$5</c:f>
              <c:numCache>
                <c:formatCode>General</c:formatCode>
                <c:ptCount val="4"/>
                <c:pt idx="0">
                  <c:v>0</c:v>
                </c:pt>
                <c:pt idx="1">
                  <c:v>0</c:v>
                </c:pt>
                <c:pt idx="2">
                  <c:v>3</c:v>
                </c:pt>
                <c:pt idx="3">
                  <c:v>0</c:v>
                </c:pt>
              </c:numCache>
            </c:numRef>
          </c:val>
        </c:ser>
        <c:axId val="79344768"/>
        <c:axId val="79346304"/>
      </c:barChart>
      <c:catAx>
        <c:axId val="79344768"/>
        <c:scaling>
          <c:orientation val="minMax"/>
        </c:scaling>
        <c:axPos val="b"/>
        <c:numFmt formatCode="General" sourceLinked="1"/>
        <c:tickLblPos val="nextTo"/>
        <c:crossAx val="79346304"/>
        <c:crosses val="autoZero"/>
        <c:auto val="1"/>
        <c:lblAlgn val="ctr"/>
        <c:lblOffset val="100"/>
      </c:catAx>
      <c:valAx>
        <c:axId val="79346304"/>
        <c:scaling>
          <c:orientation val="minMax"/>
        </c:scaling>
        <c:axPos val="l"/>
        <c:majorGridlines/>
        <c:numFmt formatCode="General" sourceLinked="1"/>
        <c:tickLblPos val="nextTo"/>
        <c:crossAx val="79344768"/>
        <c:crosses val="autoZero"/>
        <c:crossBetween val="between"/>
      </c:valAx>
    </c:plotArea>
    <c:legend>
      <c:legendPos val="r"/>
      <c:layout/>
    </c:legend>
    <c:plotVisOnly val="1"/>
    <c:dispBlanksAs val="gap"/>
  </c:chart>
  <c:spPr>
    <a:solidFill>
      <a:schemeClr val="lt1"/>
    </a:solidFill>
    <a:ln w="2541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0116-4A9B-4B9A-814B-1BE57552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94</TotalTime>
  <Pages>24</Pages>
  <Words>7550</Words>
  <Characters>43795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51243</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julie.conn</cp:lastModifiedBy>
  <cp:revision>15</cp:revision>
  <cp:lastPrinted>2015-02-15T22:44:00Z</cp:lastPrinted>
  <dcterms:created xsi:type="dcterms:W3CDTF">2015-02-13T04:01:00Z</dcterms:created>
  <dcterms:modified xsi:type="dcterms:W3CDTF">2015-02-16T03:33:00Z</dcterms:modified>
</cp:coreProperties>
</file>