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drawings/drawing1.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2.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3.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4.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5.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drawings/drawing6.xml" ContentType="application/vnd.openxmlformats-officedocument.drawingml.chartshapes+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088" w:type="dxa"/>
        <w:tblInd w:w="1928" w:type="dxa"/>
        <w:tblLayout w:type="fixed"/>
        <w:tblLook w:val="01E0" w:firstRow="1" w:lastRow="1" w:firstColumn="1" w:lastColumn="1" w:noHBand="0" w:noVBand="0"/>
      </w:tblPr>
      <w:tblGrid>
        <w:gridCol w:w="7088"/>
      </w:tblGrid>
      <w:tr w:rsidR="00493377" w:rsidRPr="00455178" w14:paraId="18D70421" w14:textId="77777777">
        <w:trPr>
          <w:cantSplit/>
          <w:trHeight w:hRule="exact" w:val="6691"/>
        </w:trPr>
        <w:tc>
          <w:tcPr>
            <w:tcW w:w="6804" w:type="dxa"/>
            <w:tcMar>
              <w:left w:w="0" w:type="dxa"/>
              <w:right w:w="0" w:type="dxa"/>
            </w:tcMar>
          </w:tcPr>
          <w:p w14:paraId="18D7041F" w14:textId="77777777" w:rsidR="00493377" w:rsidRPr="000E20ED" w:rsidRDefault="000F359C" w:rsidP="00CA17E9">
            <w:pPr>
              <w:pStyle w:val="Title"/>
              <w:tabs>
                <w:tab w:val="left" w:pos="6862"/>
              </w:tabs>
              <w:ind w:left="340"/>
            </w:pPr>
            <w:r>
              <w:t>Special Variation Application Form – Part B</w:t>
            </w:r>
          </w:p>
          <w:p w14:paraId="056FCA01" w14:textId="77777777" w:rsidR="00493377" w:rsidRDefault="00E3295D" w:rsidP="00DA6C33">
            <w:pPr>
              <w:pStyle w:val="Subtitle"/>
              <w:ind w:left="340"/>
            </w:pPr>
            <w:r>
              <w:t>Council</w:t>
            </w:r>
            <w:r w:rsidR="000F359C">
              <w:t xml:space="preserve"> application for 201</w:t>
            </w:r>
            <w:r w:rsidR="00466341">
              <w:t>5</w:t>
            </w:r>
            <w:r w:rsidR="000F359C">
              <w:t>/1</w:t>
            </w:r>
            <w:r w:rsidR="00466341">
              <w:t>6</w:t>
            </w:r>
          </w:p>
          <w:p w14:paraId="18D70420" w14:textId="4263492E" w:rsidR="00C03084" w:rsidRPr="000E20ED" w:rsidRDefault="00C03084" w:rsidP="00DA6C33">
            <w:pPr>
              <w:pStyle w:val="Subtitle"/>
              <w:ind w:left="340"/>
              <w:rPr>
                <w:b w:val="0"/>
              </w:rPr>
            </w:pPr>
          </w:p>
        </w:tc>
      </w:tr>
      <w:tr w:rsidR="00493377" w:rsidRPr="000E20ED" w14:paraId="18D70428" w14:textId="77777777">
        <w:trPr>
          <w:cantSplit/>
          <w:trHeight w:val="5103"/>
        </w:trPr>
        <w:tc>
          <w:tcPr>
            <w:tcW w:w="6804" w:type="dxa"/>
            <w:tcMar>
              <w:left w:w="0" w:type="dxa"/>
              <w:right w:w="0" w:type="dxa"/>
            </w:tcMar>
          </w:tcPr>
          <w:p w14:paraId="18D70422" w14:textId="77135D87" w:rsidR="000F359C" w:rsidRDefault="000A780A" w:rsidP="00DA6C33">
            <w:pPr>
              <w:pStyle w:val="Report"/>
              <w:ind w:left="340"/>
            </w:pPr>
            <w:r>
              <w:t>BLUE MOUNTAINS CITY COUNCIL</w:t>
            </w:r>
          </w:p>
          <w:p w14:paraId="2226D240" w14:textId="77777777" w:rsidR="000A780A" w:rsidRDefault="000A780A" w:rsidP="00DA6C33">
            <w:pPr>
              <w:pStyle w:val="Report"/>
              <w:ind w:left="340"/>
            </w:pPr>
          </w:p>
          <w:p w14:paraId="18D70423" w14:textId="56A324BE" w:rsidR="000F359C" w:rsidRPr="000F359C" w:rsidRDefault="000F359C" w:rsidP="00DA6C33">
            <w:pPr>
              <w:pStyle w:val="Report"/>
              <w:ind w:left="340"/>
              <w:rPr>
                <w:b w:val="0"/>
              </w:rPr>
            </w:pPr>
            <w:r w:rsidRPr="000F359C">
              <w:rPr>
                <w:b w:val="0"/>
              </w:rPr>
              <w:t>Date Submitted to IPART:</w:t>
            </w:r>
            <w:r w:rsidR="00997E59">
              <w:rPr>
                <w:b w:val="0"/>
              </w:rPr>
              <w:t xml:space="preserve">  </w:t>
            </w:r>
            <w:r w:rsidR="00E60341">
              <w:rPr>
                <w:b w:val="0"/>
              </w:rPr>
              <w:t>16 February 2015</w:t>
            </w:r>
          </w:p>
          <w:p w14:paraId="500D2757" w14:textId="77777777" w:rsidR="000A780A" w:rsidRDefault="000A780A" w:rsidP="00DA6C33">
            <w:pPr>
              <w:pStyle w:val="Report"/>
              <w:ind w:left="340"/>
              <w:rPr>
                <w:b w:val="0"/>
              </w:rPr>
            </w:pPr>
          </w:p>
          <w:p w14:paraId="62FA4207" w14:textId="3B2EA70A" w:rsidR="000A780A" w:rsidRDefault="000F359C" w:rsidP="00DA6C33">
            <w:pPr>
              <w:pStyle w:val="Report"/>
              <w:ind w:left="340"/>
              <w:rPr>
                <w:b w:val="0"/>
              </w:rPr>
            </w:pPr>
            <w:r w:rsidRPr="000F359C">
              <w:rPr>
                <w:b w:val="0"/>
              </w:rPr>
              <w:t>Council Contact Person:</w:t>
            </w:r>
            <w:r w:rsidR="000A780A">
              <w:rPr>
                <w:b w:val="0"/>
              </w:rPr>
              <w:t xml:space="preserve">   Rosemary Dillon,</w:t>
            </w:r>
          </w:p>
          <w:p w14:paraId="35C40061" w14:textId="056253B3" w:rsidR="000A780A" w:rsidRDefault="000A780A" w:rsidP="00DA6C33">
            <w:pPr>
              <w:pStyle w:val="Report"/>
              <w:ind w:left="340"/>
              <w:rPr>
                <w:b w:val="0"/>
              </w:rPr>
            </w:pPr>
            <w:r>
              <w:rPr>
                <w:b w:val="0"/>
              </w:rPr>
              <w:t>Group Manager, Integrated Planning &amp; Finance</w:t>
            </w:r>
          </w:p>
          <w:p w14:paraId="6BD8B321" w14:textId="77777777" w:rsidR="000A780A" w:rsidRPr="000F359C" w:rsidRDefault="000A780A" w:rsidP="00DA6C33">
            <w:pPr>
              <w:pStyle w:val="Report"/>
              <w:ind w:left="340"/>
              <w:rPr>
                <w:b w:val="0"/>
              </w:rPr>
            </w:pPr>
          </w:p>
          <w:p w14:paraId="18D70425" w14:textId="77777777" w:rsidR="000F359C" w:rsidRDefault="000F359C" w:rsidP="00DA6C33">
            <w:pPr>
              <w:pStyle w:val="Report"/>
              <w:ind w:left="340"/>
              <w:rPr>
                <w:b w:val="0"/>
              </w:rPr>
            </w:pPr>
            <w:r w:rsidRPr="000F359C">
              <w:rPr>
                <w:b w:val="0"/>
              </w:rPr>
              <w:t>Council Contact Phone:</w:t>
            </w:r>
            <w:r w:rsidR="000A780A">
              <w:rPr>
                <w:b w:val="0"/>
              </w:rPr>
              <w:t xml:space="preserve">   (02) 4780 5679</w:t>
            </w:r>
          </w:p>
          <w:p w14:paraId="23AB20BB" w14:textId="77777777" w:rsidR="000A780A" w:rsidRPr="000F359C" w:rsidRDefault="000A780A" w:rsidP="00DA6C33">
            <w:pPr>
              <w:pStyle w:val="Report"/>
              <w:ind w:left="340"/>
              <w:rPr>
                <w:b w:val="0"/>
              </w:rPr>
            </w:pPr>
          </w:p>
          <w:p w14:paraId="18D70426" w14:textId="67B6D6FF" w:rsidR="000F359C" w:rsidRDefault="000F359C" w:rsidP="00DA6C33">
            <w:pPr>
              <w:pStyle w:val="Report"/>
              <w:ind w:left="340"/>
              <w:rPr>
                <w:b w:val="0"/>
              </w:rPr>
            </w:pPr>
            <w:r w:rsidRPr="000F359C">
              <w:rPr>
                <w:b w:val="0"/>
              </w:rPr>
              <w:t>Council Contact Email:</w:t>
            </w:r>
            <w:r w:rsidR="000A780A">
              <w:rPr>
                <w:b w:val="0"/>
              </w:rPr>
              <w:t xml:space="preserve">   </w:t>
            </w:r>
            <w:hyperlink r:id="rId12" w:history="1">
              <w:r w:rsidR="00997E59" w:rsidRPr="006974C8">
                <w:rPr>
                  <w:rStyle w:val="Hyperlink"/>
                  <w:b w:val="0"/>
                </w:rPr>
                <w:t>rdillon@bmcc.nsw.gov.au</w:t>
              </w:r>
            </w:hyperlink>
          </w:p>
          <w:p w14:paraId="011A5CE6" w14:textId="77777777" w:rsidR="00997E59" w:rsidRDefault="00997E59" w:rsidP="00DA6C33">
            <w:pPr>
              <w:pStyle w:val="Report"/>
              <w:ind w:left="340"/>
              <w:rPr>
                <w:b w:val="0"/>
              </w:rPr>
            </w:pPr>
          </w:p>
          <w:p w14:paraId="0B526B3F" w14:textId="1C8C7DCC" w:rsidR="00997E59" w:rsidRPr="000F359C" w:rsidRDefault="00997E59" w:rsidP="00DA6C33">
            <w:pPr>
              <w:pStyle w:val="Report"/>
              <w:ind w:left="340"/>
              <w:rPr>
                <w:b w:val="0"/>
              </w:rPr>
            </w:pPr>
            <w:r>
              <w:rPr>
                <w:b w:val="0"/>
              </w:rPr>
              <w:t xml:space="preserve">Version 2: </w:t>
            </w:r>
            <w:r w:rsidR="001D3FC0">
              <w:rPr>
                <w:b w:val="0"/>
              </w:rPr>
              <w:tab/>
            </w:r>
            <w:r>
              <w:rPr>
                <w:b w:val="0"/>
              </w:rPr>
              <w:tab/>
            </w:r>
            <w:r>
              <w:rPr>
                <w:b w:val="0"/>
              </w:rPr>
              <w:tab/>
            </w:r>
            <w:r>
              <w:rPr>
                <w:b w:val="0"/>
              </w:rPr>
              <w:tab/>
            </w:r>
          </w:p>
          <w:p w14:paraId="18D70427" w14:textId="682B5FC5" w:rsidR="00493377" w:rsidRPr="008B5D72" w:rsidRDefault="00493377" w:rsidP="00DA6C33">
            <w:pPr>
              <w:pStyle w:val="Date"/>
              <w:ind w:left="340"/>
            </w:pPr>
          </w:p>
        </w:tc>
      </w:tr>
      <w:tr w:rsidR="00997E59" w:rsidRPr="000E20ED" w14:paraId="44A6BABA" w14:textId="77777777">
        <w:trPr>
          <w:cantSplit/>
          <w:trHeight w:val="5103"/>
        </w:trPr>
        <w:tc>
          <w:tcPr>
            <w:tcW w:w="6804" w:type="dxa"/>
            <w:tcMar>
              <w:left w:w="0" w:type="dxa"/>
              <w:right w:w="0" w:type="dxa"/>
            </w:tcMar>
          </w:tcPr>
          <w:p w14:paraId="17BCE4EB" w14:textId="77777777" w:rsidR="00997E59" w:rsidRDefault="00997E59" w:rsidP="00DA6C33">
            <w:pPr>
              <w:pStyle w:val="Report"/>
              <w:ind w:left="340"/>
            </w:pPr>
          </w:p>
        </w:tc>
      </w:tr>
    </w:tbl>
    <w:p w14:paraId="18D70429" w14:textId="77777777" w:rsidR="00493377" w:rsidRPr="008A215E" w:rsidRDefault="00493377" w:rsidP="0071404C">
      <w:pPr>
        <w:pStyle w:val="Heading6"/>
        <w:keepNext w:val="0"/>
        <w:pageBreakBefore w:val="0"/>
        <w:widowControl w:val="0"/>
        <w:numPr>
          <w:ilvl w:val="0"/>
          <w:numId w:val="0"/>
        </w:numPr>
        <w:spacing w:after="0" w:line="14" w:lineRule="exact"/>
        <w:ind w:left="-567"/>
        <w:rPr>
          <w:b w:val="0"/>
          <w:color w:val="FFFFFF"/>
          <w:position w:val="6"/>
        </w:rPr>
      </w:pPr>
    </w:p>
    <w:p w14:paraId="18D7042A" w14:textId="77777777" w:rsidR="00BD6C09" w:rsidRDefault="00BD6C09" w:rsidP="00DF3F01">
      <w:pPr>
        <w:sectPr w:rsidR="00BD6C09" w:rsidSect="00B56715">
          <w:headerReference w:type="default" r:id="rId13"/>
          <w:pgSz w:w="11907" w:h="16840" w:code="9"/>
          <w:pgMar w:top="1418" w:right="1701" w:bottom="1418" w:left="1701" w:header="1134" w:footer="284" w:gutter="0"/>
          <w:pgNumType w:fmt="lowerRoman"/>
          <w:cols w:space="708"/>
          <w:docGrid w:linePitch="360"/>
        </w:sectPr>
      </w:pPr>
    </w:p>
    <w:p w14:paraId="18D7042B" w14:textId="77777777" w:rsidR="00493377" w:rsidRPr="000E20ED" w:rsidRDefault="00493377">
      <w:pPr>
        <w:pStyle w:val="BodytextIPART"/>
        <w:spacing w:before="2600"/>
      </w:pPr>
      <w:r w:rsidRPr="000E20ED">
        <w:lastRenderedPageBreak/>
        <w:t xml:space="preserve">© Independent Pricing and Regulatory Tribunal of New South Wales </w:t>
      </w:r>
      <w:r w:rsidR="000F359C">
        <w:t>2014</w:t>
      </w:r>
    </w:p>
    <w:p w14:paraId="18D7042C" w14:textId="77777777" w:rsidR="00493377" w:rsidRPr="004F54ED" w:rsidRDefault="00493377">
      <w:pPr>
        <w:pStyle w:val="BodytextIPART"/>
        <w:spacing w:before="80"/>
        <w:rPr>
          <w:spacing w:val="-2"/>
        </w:rPr>
      </w:pPr>
      <w:r w:rsidRPr="004F54ED">
        <w:rPr>
          <w:spacing w:val="-2"/>
        </w:rPr>
        <w:t xml:space="preserve">This work is copyright. The </w:t>
      </w:r>
      <w:r w:rsidRPr="004F54ED">
        <w:rPr>
          <w:i/>
          <w:iCs/>
          <w:spacing w:val="-2"/>
        </w:rPr>
        <w:t>Copyright Act 1968</w:t>
      </w:r>
      <w:r w:rsidRPr="004F54ED">
        <w:rPr>
          <w:spacing w:val="-2"/>
        </w:rPr>
        <w:t xml:space="preserve"> permits fair dealing for study, research, news reporting, criticism and review. Selected passages, tables or diagrams may be reproduced for such purposes provided acknowledgement of the source is included.</w:t>
      </w:r>
    </w:p>
    <w:p w14:paraId="18D7042E" w14:textId="77777777" w:rsidR="00493377" w:rsidRPr="000705E4" w:rsidRDefault="00493377">
      <w:pPr>
        <w:pStyle w:val="BodytextIPART"/>
      </w:pPr>
      <w:r w:rsidRPr="000E20ED">
        <w:t xml:space="preserve">The </w:t>
      </w:r>
      <w:r w:rsidRPr="000705E4">
        <w:t>Tribunal members for this review are:</w:t>
      </w:r>
    </w:p>
    <w:p w14:paraId="18D7042F" w14:textId="77777777" w:rsidR="00BC1489" w:rsidRPr="000705E4" w:rsidRDefault="00311A55">
      <w:pPr>
        <w:pStyle w:val="BodytextIPART"/>
        <w:spacing w:before="80"/>
        <w:ind w:left="284"/>
        <w:rPr>
          <w:lang w:eastAsia="en-US"/>
        </w:rPr>
      </w:pPr>
      <w:r w:rsidRPr="000705E4">
        <w:rPr>
          <w:lang w:eastAsia="en-US"/>
        </w:rPr>
        <w:t>D</w:t>
      </w:r>
      <w:r w:rsidR="00BC1489" w:rsidRPr="000705E4">
        <w:rPr>
          <w:lang w:eastAsia="en-US"/>
        </w:rPr>
        <w:t xml:space="preserve">r </w:t>
      </w:r>
      <w:r w:rsidR="00800E5E" w:rsidRPr="000705E4">
        <w:rPr>
          <w:lang w:eastAsia="en-US"/>
        </w:rPr>
        <w:t xml:space="preserve">Peter </w:t>
      </w:r>
      <w:r w:rsidR="005463BB" w:rsidRPr="000705E4">
        <w:rPr>
          <w:lang w:eastAsia="en-US"/>
        </w:rPr>
        <w:t>J</w:t>
      </w:r>
      <w:r w:rsidR="007B447B" w:rsidRPr="000705E4">
        <w:rPr>
          <w:lang w:eastAsia="en-US"/>
        </w:rPr>
        <w:t>.</w:t>
      </w:r>
      <w:r w:rsidR="005463BB" w:rsidRPr="000705E4">
        <w:rPr>
          <w:lang w:eastAsia="en-US"/>
        </w:rPr>
        <w:t xml:space="preserve"> </w:t>
      </w:r>
      <w:r w:rsidR="00800E5E" w:rsidRPr="000705E4">
        <w:rPr>
          <w:lang w:eastAsia="en-US"/>
        </w:rPr>
        <w:t>Boxall AO</w:t>
      </w:r>
      <w:r w:rsidR="00BC1489" w:rsidRPr="000705E4">
        <w:rPr>
          <w:lang w:eastAsia="en-US"/>
        </w:rPr>
        <w:t>, Chairman</w:t>
      </w:r>
    </w:p>
    <w:p w14:paraId="18D70430" w14:textId="77777777" w:rsidR="00493377" w:rsidRPr="000705E4" w:rsidRDefault="00862B00">
      <w:pPr>
        <w:pStyle w:val="BodytextIPART"/>
        <w:spacing w:before="80"/>
        <w:ind w:left="284"/>
        <w:rPr>
          <w:lang w:eastAsia="en-US"/>
        </w:rPr>
      </w:pPr>
      <w:r w:rsidRPr="000705E4">
        <w:rPr>
          <w:lang w:eastAsia="en-US"/>
        </w:rPr>
        <w:t>Ms Catherine Jones</w:t>
      </w:r>
    </w:p>
    <w:p w14:paraId="18D70431" w14:textId="77777777" w:rsidR="00493377" w:rsidRPr="000705E4" w:rsidRDefault="00493377">
      <w:pPr>
        <w:pStyle w:val="BodytextIPART"/>
      </w:pPr>
      <w:r w:rsidRPr="000705E4">
        <w:t>Inquiries regarding this document should be directed to a staff member:</w:t>
      </w:r>
    </w:p>
    <w:p w14:paraId="18D70432" w14:textId="77777777" w:rsidR="00493377" w:rsidRDefault="007B447B" w:rsidP="00BB3C37">
      <w:pPr>
        <w:pStyle w:val="BodytextIPART"/>
        <w:tabs>
          <w:tab w:val="left" w:pos="3119"/>
        </w:tabs>
        <w:spacing w:before="80"/>
        <w:ind w:left="284"/>
      </w:pPr>
      <w:r w:rsidRPr="000705E4">
        <w:t>Michael Seery</w:t>
      </w:r>
      <w:r w:rsidR="00493377" w:rsidRPr="000705E4">
        <w:tab/>
        <w:t>(02) 9290 </w:t>
      </w:r>
      <w:r w:rsidRPr="000705E4">
        <w:t>8421</w:t>
      </w:r>
    </w:p>
    <w:p w14:paraId="18D70433" w14:textId="77777777" w:rsidR="00944FF5" w:rsidRPr="006958FA" w:rsidRDefault="00944FF5" w:rsidP="00944FF5">
      <w:pPr>
        <w:pStyle w:val="BodytextIPART"/>
        <w:tabs>
          <w:tab w:val="left" w:pos="3119"/>
        </w:tabs>
        <w:spacing w:before="80"/>
        <w:ind w:left="284"/>
      </w:pPr>
      <w:r>
        <w:t>Tony Camenzuli</w:t>
      </w:r>
      <w:r>
        <w:tab/>
        <w:t>(02) 9113 7706</w:t>
      </w:r>
    </w:p>
    <w:p w14:paraId="18D70434" w14:textId="77777777" w:rsidR="00493377" w:rsidRPr="000705E4" w:rsidRDefault="00BB3C37" w:rsidP="00A916AA">
      <w:pPr>
        <w:pStyle w:val="BodytextIPART"/>
        <w:tabs>
          <w:tab w:val="left" w:pos="3119"/>
        </w:tabs>
        <w:spacing w:before="80"/>
        <w:ind w:left="284"/>
      </w:pPr>
      <w:r w:rsidRPr="000705E4">
        <w:t>Kumi Cuthbertson</w:t>
      </w:r>
      <w:r w:rsidRPr="000705E4">
        <w:tab/>
      </w:r>
      <w:r w:rsidRPr="000705E4">
        <w:tab/>
      </w:r>
      <w:r w:rsidR="00493377" w:rsidRPr="000705E4">
        <w:t>(02) 9290 </w:t>
      </w:r>
      <w:r w:rsidRPr="000705E4">
        <w:t>8479</w:t>
      </w:r>
    </w:p>
    <w:p w14:paraId="18D70435" w14:textId="77777777" w:rsidR="00493377" w:rsidRPr="000705E4" w:rsidRDefault="00493377">
      <w:pPr>
        <w:pStyle w:val="BodytextIPART"/>
        <w:framePr w:hSpace="181" w:wrap="around" w:hAnchor="text" w:yAlign="bottom"/>
      </w:pPr>
      <w:r w:rsidRPr="000705E4">
        <w:t>Independent Pricing and Regulatory Tribunal of New South Wales</w:t>
      </w:r>
    </w:p>
    <w:p w14:paraId="18D70436" w14:textId="77777777" w:rsidR="00493377" w:rsidRPr="000705E4" w:rsidRDefault="00493377">
      <w:pPr>
        <w:pStyle w:val="BodytextIPART"/>
        <w:framePr w:hSpace="181" w:wrap="around" w:hAnchor="text" w:yAlign="bottom"/>
        <w:spacing w:before="0"/>
      </w:pPr>
      <w:r w:rsidRPr="000705E4">
        <w:t>PO Box Q290, QVB Post Office</w:t>
      </w:r>
      <w:r w:rsidRPr="000705E4">
        <w:rPr>
          <w:rFonts w:ascii="Arial Unicode MS" w:eastAsia="Arial Unicode MS" w:hAnsi="Arial Unicode MS" w:cs="Arial Unicode MS"/>
        </w:rPr>
        <w:t> </w:t>
      </w:r>
      <w:r w:rsidRPr="000705E4">
        <w:t>NSW</w:t>
      </w:r>
      <w:r w:rsidRPr="000705E4">
        <w:rPr>
          <w:rFonts w:ascii="Arial Unicode MS" w:eastAsia="Arial Unicode MS" w:hAnsi="Arial Unicode MS" w:cs="Arial Unicode MS" w:hint="eastAsia"/>
        </w:rPr>
        <w:t> </w:t>
      </w:r>
      <w:r w:rsidRPr="000705E4">
        <w:t>1230</w:t>
      </w:r>
    </w:p>
    <w:p w14:paraId="18D70437" w14:textId="77777777" w:rsidR="00493377" w:rsidRPr="000705E4" w:rsidRDefault="00493377">
      <w:pPr>
        <w:pStyle w:val="BodytextIPART"/>
        <w:framePr w:hSpace="181" w:wrap="around" w:hAnchor="text" w:yAlign="bottom"/>
        <w:spacing w:before="0"/>
      </w:pPr>
      <w:r w:rsidRPr="000705E4">
        <w:t>Level 8, 1 Market Street, Sydney</w:t>
      </w:r>
      <w:r w:rsidRPr="000705E4">
        <w:rPr>
          <w:rFonts w:ascii="Arial Unicode MS" w:eastAsia="Arial Unicode MS" w:hAnsi="Arial Unicode MS" w:cs="Arial Unicode MS"/>
        </w:rPr>
        <w:t> </w:t>
      </w:r>
      <w:r w:rsidRPr="000705E4">
        <w:t>NSW</w:t>
      </w:r>
      <w:r w:rsidRPr="000705E4">
        <w:rPr>
          <w:rFonts w:ascii="Arial Unicode MS" w:eastAsia="Arial Unicode MS" w:hAnsi="Arial Unicode MS" w:cs="Arial Unicode MS" w:hint="eastAsia"/>
        </w:rPr>
        <w:t> </w:t>
      </w:r>
      <w:r w:rsidRPr="000705E4">
        <w:t>2000</w:t>
      </w:r>
    </w:p>
    <w:p w14:paraId="18D70438" w14:textId="77777777" w:rsidR="00493377" w:rsidRPr="000705E4" w:rsidRDefault="00493377">
      <w:pPr>
        <w:pStyle w:val="BodytextIPART"/>
        <w:framePr w:hSpace="181" w:wrap="around" w:hAnchor="text" w:yAlign="bottom"/>
        <w:spacing w:before="80"/>
        <w:rPr>
          <w:lang w:val="fr-FR"/>
        </w:rPr>
      </w:pPr>
      <w:r w:rsidRPr="000705E4">
        <w:rPr>
          <w:lang w:val="fr-FR"/>
        </w:rPr>
        <w:t>T (02) 9290 8400</w:t>
      </w:r>
      <w:r w:rsidRPr="000705E4">
        <w:rPr>
          <w:rFonts w:ascii="Arial Unicode MS" w:eastAsia="Arial Unicode MS" w:hAnsi="Arial Unicode MS" w:cs="Arial Unicode MS"/>
          <w:sz w:val="24"/>
          <w:szCs w:val="24"/>
        </w:rPr>
        <w:t> </w:t>
      </w:r>
      <w:r w:rsidRPr="000705E4">
        <w:rPr>
          <w:lang w:val="fr-FR"/>
        </w:rPr>
        <w:t>F (02) 9290 2061</w:t>
      </w:r>
    </w:p>
    <w:p w14:paraId="18D70439" w14:textId="77777777" w:rsidR="00493377" w:rsidRPr="009B56E7" w:rsidRDefault="004217BA">
      <w:pPr>
        <w:pStyle w:val="BodytextIPART"/>
        <w:framePr w:hSpace="181" w:wrap="around" w:hAnchor="text" w:yAlign="bottom"/>
        <w:spacing w:before="80"/>
        <w:rPr>
          <w:lang w:val="fr-FR"/>
        </w:rPr>
      </w:pPr>
      <w:hyperlink r:id="rId14" w:history="1">
        <w:r w:rsidR="00493377" w:rsidRPr="000705E4">
          <w:rPr>
            <w:lang w:val="fr-FR"/>
          </w:rPr>
          <w:t>www.ipart.nsw.gov.au</w:t>
        </w:r>
      </w:hyperlink>
    </w:p>
    <w:p w14:paraId="18D7043A" w14:textId="77777777" w:rsidR="00CC6341" w:rsidRDefault="00CC6341" w:rsidP="00DF3F01">
      <w:pPr>
        <w:sectPr w:rsidR="00CC6341" w:rsidSect="00B56715">
          <w:headerReference w:type="even" r:id="rId15"/>
          <w:headerReference w:type="default" r:id="rId16"/>
          <w:footerReference w:type="even" r:id="rId17"/>
          <w:footerReference w:type="default" r:id="rId18"/>
          <w:pgSz w:w="11907" w:h="16840" w:code="9"/>
          <w:pgMar w:top="1418" w:right="1701" w:bottom="1418" w:left="1701" w:header="1134" w:footer="284" w:gutter="0"/>
          <w:pgNumType w:fmt="lowerRoman"/>
          <w:cols w:space="708"/>
          <w:docGrid w:linePitch="360"/>
        </w:sectPr>
      </w:pPr>
    </w:p>
    <w:p w14:paraId="18D7043B" w14:textId="77777777" w:rsidR="00493377" w:rsidRDefault="00930361" w:rsidP="003C43CC">
      <w:pPr>
        <w:pStyle w:val="Contents"/>
        <w:spacing w:before="0" w:after="2000"/>
      </w:pPr>
      <w:r>
        <w:rPr>
          <w:noProof/>
          <w:lang w:eastAsia="en-AU"/>
        </w:rPr>
        <w:lastRenderedPageBreak/>
        <mc:AlternateContent>
          <mc:Choice Requires="wps">
            <w:drawing>
              <wp:anchor distT="0" distB="0" distL="114300" distR="114300" simplePos="0" relativeHeight="251658240" behindDoc="0" locked="0" layoutInCell="0" allowOverlap="1" wp14:anchorId="18D7057F" wp14:editId="18D70580">
                <wp:simplePos x="0" y="0"/>
                <wp:positionH relativeFrom="page">
                  <wp:posOffset>0</wp:posOffset>
                </wp:positionH>
                <wp:positionV relativeFrom="paragraph">
                  <wp:posOffset>-900430</wp:posOffset>
                </wp:positionV>
                <wp:extent cx="7560310" cy="720090"/>
                <wp:effectExtent l="0" t="4445" r="2540" b="0"/>
                <wp:wrapNone/>
                <wp:docPr id="4" name="Rectangle 1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3"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" o:allowincell="f" stroked="f">
                <w10:wrap anchorx="page"/>
              </v:rect>
            </w:pict>
          </mc:Fallback>
        </mc:AlternateContent>
      </w:r>
      <w:r w:rsidR="00493377" w:rsidRPr="000E20ED">
        <w:t>Contents</w:t>
      </w:r>
    </w:p>
    <w:p w14:paraId="2A27A76F" w14:textId="77777777" w:rsidR="00A60056" w:rsidRDefault="00493377">
      <w:pPr>
        <w:pStyle w:val="TOC1"/>
        <w:rPr>
          <w:rFonts w:asciiTheme="minorHAnsi" w:eastAsiaTheme="minorEastAsia" w:hAnsiTheme="minorHAnsi" w:cstheme="minorBidi"/>
          <w:b w:val="0"/>
          <w:noProof/>
          <w:color w:val="auto"/>
          <w:sz w:val="22"/>
          <w:szCs w:val="22"/>
        </w:rPr>
      </w:pPr>
      <w:r w:rsidRPr="002F428B">
        <w:fldChar w:fldCharType="begin"/>
      </w:r>
      <w:r w:rsidRPr="002F428B">
        <w:instrText xml:space="preserve"> TOC \o "2-2" \t "Heading 1,1,Heading 6,2,Heading 1 (no number),1,Part Subtitle,1"  \* MERGEFORMAT  \* MERGEFORMAT </w:instrText>
      </w:r>
      <w:r w:rsidRPr="002F428B">
        <w:fldChar w:fldCharType="separate"/>
      </w:r>
      <w:r w:rsidR="00A60056">
        <w:rPr>
          <w:noProof/>
        </w:rPr>
        <w:t>1</w:t>
      </w:r>
      <w:r w:rsidR="00A60056">
        <w:rPr>
          <w:rFonts w:asciiTheme="minorHAnsi" w:eastAsiaTheme="minorEastAsia" w:hAnsiTheme="minorHAnsi" w:cstheme="minorBidi"/>
          <w:b w:val="0"/>
          <w:noProof/>
          <w:color w:val="auto"/>
          <w:sz w:val="22"/>
          <w:szCs w:val="22"/>
        </w:rPr>
        <w:tab/>
      </w:r>
      <w:r w:rsidR="00A60056">
        <w:rPr>
          <w:noProof/>
        </w:rPr>
        <w:t>Executive Summary</w:t>
      </w:r>
      <w:r w:rsidR="00A60056">
        <w:rPr>
          <w:noProof/>
        </w:rPr>
        <w:tab/>
      </w:r>
      <w:r w:rsidR="00A60056">
        <w:rPr>
          <w:noProof/>
        </w:rPr>
        <w:fldChar w:fldCharType="begin"/>
      </w:r>
      <w:r w:rsidR="00A60056">
        <w:rPr>
          <w:noProof/>
        </w:rPr>
        <w:instrText xml:space="preserve"> PAGEREF _Toc412798908 \h </w:instrText>
      </w:r>
      <w:r w:rsidR="00A60056">
        <w:rPr>
          <w:noProof/>
        </w:rPr>
      </w:r>
      <w:r w:rsidR="00A60056">
        <w:rPr>
          <w:noProof/>
        </w:rPr>
        <w:fldChar w:fldCharType="separate"/>
      </w:r>
      <w:r w:rsidR="004217BA">
        <w:rPr>
          <w:noProof/>
        </w:rPr>
        <w:t>1</w:t>
      </w:r>
      <w:r w:rsidR="00A60056">
        <w:rPr>
          <w:noProof/>
        </w:rPr>
        <w:fldChar w:fldCharType="end"/>
      </w:r>
    </w:p>
    <w:p w14:paraId="4E4F1029" w14:textId="77777777" w:rsidR="00A60056" w:rsidRDefault="00A60056">
      <w:pPr>
        <w:pStyle w:val="TOC2"/>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Overview</w:t>
      </w:r>
      <w:r>
        <w:rPr>
          <w:noProof/>
        </w:rPr>
        <w:tab/>
      </w:r>
      <w:r>
        <w:rPr>
          <w:noProof/>
        </w:rPr>
        <w:fldChar w:fldCharType="begin"/>
      </w:r>
      <w:r>
        <w:rPr>
          <w:noProof/>
        </w:rPr>
        <w:instrText xml:space="preserve"> PAGEREF _Toc412798909 \h </w:instrText>
      </w:r>
      <w:r>
        <w:rPr>
          <w:noProof/>
        </w:rPr>
      </w:r>
      <w:r>
        <w:rPr>
          <w:noProof/>
        </w:rPr>
        <w:fldChar w:fldCharType="separate"/>
      </w:r>
      <w:r w:rsidR="004217BA">
        <w:rPr>
          <w:noProof/>
        </w:rPr>
        <w:t>1</w:t>
      </w:r>
      <w:r>
        <w:rPr>
          <w:noProof/>
        </w:rPr>
        <w:fldChar w:fldCharType="end"/>
      </w:r>
    </w:p>
    <w:p w14:paraId="4A2BCFA2" w14:textId="77777777" w:rsidR="00A60056" w:rsidRDefault="00A60056">
      <w:pPr>
        <w:pStyle w:val="TOC2"/>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Making the City Fit for the Future</w:t>
      </w:r>
      <w:r>
        <w:rPr>
          <w:noProof/>
        </w:rPr>
        <w:tab/>
      </w:r>
      <w:r>
        <w:rPr>
          <w:noProof/>
        </w:rPr>
        <w:fldChar w:fldCharType="begin"/>
      </w:r>
      <w:r>
        <w:rPr>
          <w:noProof/>
        </w:rPr>
        <w:instrText xml:space="preserve"> PAGEREF _Toc412798910 \h </w:instrText>
      </w:r>
      <w:r>
        <w:rPr>
          <w:noProof/>
        </w:rPr>
      </w:r>
      <w:r>
        <w:rPr>
          <w:noProof/>
        </w:rPr>
        <w:fldChar w:fldCharType="separate"/>
      </w:r>
      <w:r w:rsidR="004217BA">
        <w:rPr>
          <w:noProof/>
        </w:rPr>
        <w:t>3</w:t>
      </w:r>
      <w:r>
        <w:rPr>
          <w:noProof/>
        </w:rPr>
        <w:fldChar w:fldCharType="end"/>
      </w:r>
    </w:p>
    <w:p w14:paraId="0DC9526C" w14:textId="77777777" w:rsidR="00A60056" w:rsidRDefault="00A60056">
      <w:pPr>
        <w:pStyle w:val="TOC2"/>
        <w:rPr>
          <w:rFonts w:asciiTheme="minorHAnsi" w:eastAsiaTheme="minorEastAsia" w:hAnsiTheme="minorHAnsi" w:cstheme="minorBidi"/>
          <w:noProof/>
          <w:sz w:val="22"/>
          <w:szCs w:val="22"/>
        </w:rPr>
      </w:pPr>
      <w:r>
        <w:rPr>
          <w:noProof/>
        </w:rPr>
        <w:t>1.3</w:t>
      </w:r>
      <w:r>
        <w:rPr>
          <w:rFonts w:asciiTheme="minorHAnsi" w:eastAsiaTheme="minorEastAsia" w:hAnsiTheme="minorHAnsi" w:cstheme="minorBidi"/>
          <w:noProof/>
          <w:sz w:val="22"/>
          <w:szCs w:val="22"/>
        </w:rPr>
        <w:tab/>
      </w:r>
      <w:r>
        <w:rPr>
          <w:noProof/>
        </w:rPr>
        <w:t>What the community said</w:t>
      </w:r>
      <w:r>
        <w:rPr>
          <w:noProof/>
        </w:rPr>
        <w:tab/>
      </w:r>
      <w:r>
        <w:rPr>
          <w:noProof/>
        </w:rPr>
        <w:fldChar w:fldCharType="begin"/>
      </w:r>
      <w:r>
        <w:rPr>
          <w:noProof/>
        </w:rPr>
        <w:instrText xml:space="preserve"> PAGEREF _Toc412798911 \h </w:instrText>
      </w:r>
      <w:r>
        <w:rPr>
          <w:noProof/>
        </w:rPr>
      </w:r>
      <w:r>
        <w:rPr>
          <w:noProof/>
        </w:rPr>
        <w:fldChar w:fldCharType="separate"/>
      </w:r>
      <w:r w:rsidR="004217BA">
        <w:rPr>
          <w:noProof/>
        </w:rPr>
        <w:t>6</w:t>
      </w:r>
      <w:r>
        <w:rPr>
          <w:noProof/>
        </w:rPr>
        <w:fldChar w:fldCharType="end"/>
      </w:r>
    </w:p>
    <w:p w14:paraId="7F6BA12B" w14:textId="77777777" w:rsidR="00A60056" w:rsidRDefault="00A60056">
      <w:pPr>
        <w:pStyle w:val="TOC1"/>
        <w:rPr>
          <w:rFonts w:asciiTheme="minorHAnsi" w:eastAsiaTheme="minorEastAsia" w:hAnsiTheme="minorHAnsi" w:cstheme="minorBidi"/>
          <w:b w:val="0"/>
          <w:noProof/>
          <w:color w:val="auto"/>
          <w:sz w:val="22"/>
          <w:szCs w:val="22"/>
        </w:rPr>
      </w:pPr>
      <w:r>
        <w:rPr>
          <w:noProof/>
        </w:rPr>
        <w:t>2</w:t>
      </w:r>
      <w:r>
        <w:rPr>
          <w:rFonts w:asciiTheme="minorHAnsi" w:eastAsiaTheme="minorEastAsia" w:hAnsiTheme="minorHAnsi" w:cstheme="minorBidi"/>
          <w:b w:val="0"/>
          <w:noProof/>
          <w:color w:val="auto"/>
          <w:sz w:val="22"/>
          <w:szCs w:val="22"/>
        </w:rPr>
        <w:tab/>
      </w:r>
      <w:r>
        <w:rPr>
          <w:noProof/>
        </w:rPr>
        <w:t>Preliminaries</w:t>
      </w:r>
      <w:r>
        <w:rPr>
          <w:noProof/>
        </w:rPr>
        <w:tab/>
      </w:r>
      <w:r>
        <w:rPr>
          <w:noProof/>
        </w:rPr>
        <w:fldChar w:fldCharType="begin"/>
      </w:r>
      <w:r>
        <w:rPr>
          <w:noProof/>
        </w:rPr>
        <w:instrText xml:space="preserve"> PAGEREF _Toc412798912 \h </w:instrText>
      </w:r>
      <w:r>
        <w:rPr>
          <w:noProof/>
        </w:rPr>
      </w:r>
      <w:r>
        <w:rPr>
          <w:noProof/>
        </w:rPr>
        <w:fldChar w:fldCharType="separate"/>
      </w:r>
      <w:r w:rsidR="004217BA">
        <w:rPr>
          <w:noProof/>
        </w:rPr>
        <w:t>9</w:t>
      </w:r>
      <w:r>
        <w:rPr>
          <w:noProof/>
        </w:rPr>
        <w:fldChar w:fldCharType="end"/>
      </w:r>
    </w:p>
    <w:p w14:paraId="5F12E7B4" w14:textId="77777777" w:rsidR="00A60056" w:rsidRDefault="00A60056">
      <w:pPr>
        <w:pStyle w:val="TOC2"/>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Focus on Integrated Planning and Reporting</w:t>
      </w:r>
      <w:r>
        <w:rPr>
          <w:noProof/>
        </w:rPr>
        <w:tab/>
      </w:r>
      <w:r>
        <w:rPr>
          <w:noProof/>
        </w:rPr>
        <w:fldChar w:fldCharType="begin"/>
      </w:r>
      <w:r>
        <w:rPr>
          <w:noProof/>
        </w:rPr>
        <w:instrText xml:space="preserve"> PAGEREF _Toc412798913 \h </w:instrText>
      </w:r>
      <w:r>
        <w:rPr>
          <w:noProof/>
        </w:rPr>
      </w:r>
      <w:r>
        <w:rPr>
          <w:noProof/>
        </w:rPr>
        <w:fldChar w:fldCharType="separate"/>
      </w:r>
      <w:r w:rsidR="004217BA">
        <w:rPr>
          <w:noProof/>
        </w:rPr>
        <w:t>9</w:t>
      </w:r>
      <w:r>
        <w:rPr>
          <w:noProof/>
        </w:rPr>
        <w:fldChar w:fldCharType="end"/>
      </w:r>
    </w:p>
    <w:p w14:paraId="734FD29B" w14:textId="77777777" w:rsidR="00A60056" w:rsidRDefault="00A60056">
      <w:pPr>
        <w:pStyle w:val="TOC2"/>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Key purpose of special variation</w:t>
      </w:r>
      <w:r>
        <w:rPr>
          <w:noProof/>
        </w:rPr>
        <w:tab/>
      </w:r>
      <w:r>
        <w:rPr>
          <w:noProof/>
        </w:rPr>
        <w:fldChar w:fldCharType="begin"/>
      </w:r>
      <w:r>
        <w:rPr>
          <w:noProof/>
        </w:rPr>
        <w:instrText xml:space="preserve"> PAGEREF _Toc412798914 \h </w:instrText>
      </w:r>
      <w:r>
        <w:rPr>
          <w:noProof/>
        </w:rPr>
      </w:r>
      <w:r>
        <w:rPr>
          <w:noProof/>
        </w:rPr>
        <w:fldChar w:fldCharType="separate"/>
      </w:r>
      <w:r w:rsidR="004217BA">
        <w:rPr>
          <w:noProof/>
        </w:rPr>
        <w:t>9</w:t>
      </w:r>
      <w:r>
        <w:rPr>
          <w:noProof/>
        </w:rPr>
        <w:fldChar w:fldCharType="end"/>
      </w:r>
    </w:p>
    <w:p w14:paraId="584F8BED" w14:textId="77777777" w:rsidR="00A60056" w:rsidRDefault="00A60056">
      <w:pPr>
        <w:pStyle w:val="TOC2"/>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Capital expenditure review</w:t>
      </w:r>
      <w:r>
        <w:rPr>
          <w:noProof/>
        </w:rPr>
        <w:tab/>
      </w:r>
      <w:r>
        <w:rPr>
          <w:noProof/>
        </w:rPr>
        <w:fldChar w:fldCharType="begin"/>
      </w:r>
      <w:r>
        <w:rPr>
          <w:noProof/>
        </w:rPr>
        <w:instrText xml:space="preserve"> PAGEREF _Toc412798915 \h </w:instrText>
      </w:r>
      <w:r>
        <w:rPr>
          <w:noProof/>
        </w:rPr>
      </w:r>
      <w:r>
        <w:rPr>
          <w:noProof/>
        </w:rPr>
        <w:fldChar w:fldCharType="separate"/>
      </w:r>
      <w:r w:rsidR="004217BA">
        <w:rPr>
          <w:noProof/>
        </w:rPr>
        <w:t>19</w:t>
      </w:r>
      <w:r>
        <w:rPr>
          <w:noProof/>
        </w:rPr>
        <w:fldChar w:fldCharType="end"/>
      </w:r>
    </w:p>
    <w:p w14:paraId="7EB7FA74" w14:textId="77777777" w:rsidR="00A60056" w:rsidRDefault="00A60056">
      <w:pPr>
        <w:pStyle w:val="TOC1"/>
        <w:rPr>
          <w:rFonts w:asciiTheme="minorHAnsi" w:eastAsiaTheme="minorEastAsia" w:hAnsiTheme="minorHAnsi" w:cstheme="minorBidi"/>
          <w:b w:val="0"/>
          <w:noProof/>
          <w:color w:val="auto"/>
          <w:sz w:val="22"/>
          <w:szCs w:val="22"/>
        </w:rPr>
      </w:pPr>
      <w:r>
        <w:rPr>
          <w:noProof/>
        </w:rPr>
        <w:t>3</w:t>
      </w:r>
      <w:r>
        <w:rPr>
          <w:rFonts w:asciiTheme="minorHAnsi" w:eastAsiaTheme="minorEastAsia" w:hAnsiTheme="minorHAnsi" w:cstheme="minorBidi"/>
          <w:b w:val="0"/>
          <w:noProof/>
          <w:color w:val="auto"/>
          <w:sz w:val="22"/>
          <w:szCs w:val="22"/>
        </w:rPr>
        <w:tab/>
      </w:r>
      <w:r>
        <w:rPr>
          <w:noProof/>
        </w:rPr>
        <w:t>Assessment Criterion 1: Need for the variation</w:t>
      </w:r>
      <w:r>
        <w:rPr>
          <w:noProof/>
        </w:rPr>
        <w:tab/>
      </w:r>
      <w:r>
        <w:rPr>
          <w:noProof/>
        </w:rPr>
        <w:fldChar w:fldCharType="begin"/>
      </w:r>
      <w:r>
        <w:rPr>
          <w:noProof/>
        </w:rPr>
        <w:instrText xml:space="preserve"> PAGEREF _Toc412798916 \h </w:instrText>
      </w:r>
      <w:r>
        <w:rPr>
          <w:noProof/>
        </w:rPr>
      </w:r>
      <w:r>
        <w:rPr>
          <w:noProof/>
        </w:rPr>
        <w:fldChar w:fldCharType="separate"/>
      </w:r>
      <w:r w:rsidR="004217BA">
        <w:rPr>
          <w:noProof/>
        </w:rPr>
        <w:t>20</w:t>
      </w:r>
      <w:r>
        <w:rPr>
          <w:noProof/>
        </w:rPr>
        <w:fldChar w:fldCharType="end"/>
      </w:r>
    </w:p>
    <w:p w14:paraId="731041E7" w14:textId="77777777" w:rsidR="00A60056" w:rsidRDefault="00A60056">
      <w:pPr>
        <w:pStyle w:val="TOC2"/>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Case for special variation - community need</w:t>
      </w:r>
      <w:r>
        <w:rPr>
          <w:noProof/>
        </w:rPr>
        <w:tab/>
      </w:r>
      <w:r>
        <w:rPr>
          <w:noProof/>
        </w:rPr>
        <w:fldChar w:fldCharType="begin"/>
      </w:r>
      <w:r>
        <w:rPr>
          <w:noProof/>
        </w:rPr>
        <w:instrText xml:space="preserve"> PAGEREF _Toc412798917 \h </w:instrText>
      </w:r>
      <w:r>
        <w:rPr>
          <w:noProof/>
        </w:rPr>
      </w:r>
      <w:r>
        <w:rPr>
          <w:noProof/>
        </w:rPr>
        <w:fldChar w:fldCharType="separate"/>
      </w:r>
      <w:r w:rsidR="004217BA">
        <w:rPr>
          <w:noProof/>
        </w:rPr>
        <w:t>20</w:t>
      </w:r>
      <w:r>
        <w:rPr>
          <w:noProof/>
        </w:rPr>
        <w:fldChar w:fldCharType="end"/>
      </w:r>
    </w:p>
    <w:p w14:paraId="51BD2E3B" w14:textId="77777777" w:rsidR="00A60056" w:rsidRDefault="00A60056">
      <w:pPr>
        <w:pStyle w:val="TOC2"/>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Financial sustainability</w:t>
      </w:r>
      <w:r>
        <w:rPr>
          <w:noProof/>
        </w:rPr>
        <w:tab/>
      </w:r>
      <w:r>
        <w:rPr>
          <w:noProof/>
        </w:rPr>
        <w:fldChar w:fldCharType="begin"/>
      </w:r>
      <w:r>
        <w:rPr>
          <w:noProof/>
        </w:rPr>
        <w:instrText xml:space="preserve"> PAGEREF _Toc412798918 \h </w:instrText>
      </w:r>
      <w:r>
        <w:rPr>
          <w:noProof/>
        </w:rPr>
      </w:r>
      <w:r>
        <w:rPr>
          <w:noProof/>
        </w:rPr>
        <w:fldChar w:fldCharType="separate"/>
      </w:r>
      <w:r w:rsidR="004217BA">
        <w:rPr>
          <w:noProof/>
        </w:rPr>
        <w:t>52</w:t>
      </w:r>
      <w:r>
        <w:rPr>
          <w:noProof/>
        </w:rPr>
        <w:fldChar w:fldCharType="end"/>
      </w:r>
    </w:p>
    <w:p w14:paraId="61A37C40" w14:textId="77777777" w:rsidR="00A60056" w:rsidRDefault="00A60056">
      <w:pPr>
        <w:pStyle w:val="TOC2"/>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Financial indicators</w:t>
      </w:r>
      <w:r>
        <w:rPr>
          <w:noProof/>
        </w:rPr>
        <w:tab/>
      </w:r>
      <w:r>
        <w:rPr>
          <w:noProof/>
        </w:rPr>
        <w:fldChar w:fldCharType="begin"/>
      </w:r>
      <w:r>
        <w:rPr>
          <w:noProof/>
        </w:rPr>
        <w:instrText xml:space="preserve"> PAGEREF _Toc412798919 \h </w:instrText>
      </w:r>
      <w:r>
        <w:rPr>
          <w:noProof/>
        </w:rPr>
      </w:r>
      <w:r>
        <w:rPr>
          <w:noProof/>
        </w:rPr>
        <w:fldChar w:fldCharType="separate"/>
      </w:r>
      <w:r w:rsidR="004217BA">
        <w:rPr>
          <w:noProof/>
        </w:rPr>
        <w:t>57</w:t>
      </w:r>
      <w:r>
        <w:rPr>
          <w:noProof/>
        </w:rPr>
        <w:fldChar w:fldCharType="end"/>
      </w:r>
    </w:p>
    <w:p w14:paraId="57E295E4" w14:textId="77777777" w:rsidR="00A60056" w:rsidRDefault="00A60056">
      <w:pPr>
        <w:pStyle w:val="TOC2"/>
        <w:rPr>
          <w:rFonts w:asciiTheme="minorHAnsi" w:eastAsiaTheme="minorEastAsia" w:hAnsiTheme="minorHAnsi" w:cstheme="minorBidi"/>
          <w:noProof/>
          <w:sz w:val="22"/>
          <w:szCs w:val="22"/>
        </w:rPr>
      </w:pPr>
      <w:r>
        <w:rPr>
          <w:noProof/>
        </w:rPr>
        <w:t>3.4</w:t>
      </w:r>
      <w:r>
        <w:rPr>
          <w:rFonts w:asciiTheme="minorHAnsi" w:eastAsiaTheme="minorEastAsia" w:hAnsiTheme="minorHAnsi" w:cstheme="minorBidi"/>
          <w:noProof/>
          <w:sz w:val="22"/>
          <w:szCs w:val="22"/>
        </w:rPr>
        <w:tab/>
      </w:r>
      <w:r>
        <w:rPr>
          <w:noProof/>
        </w:rPr>
        <w:t>Contribution plan costs above the cap</w:t>
      </w:r>
      <w:r>
        <w:rPr>
          <w:noProof/>
        </w:rPr>
        <w:tab/>
      </w:r>
      <w:r>
        <w:rPr>
          <w:noProof/>
        </w:rPr>
        <w:fldChar w:fldCharType="begin"/>
      </w:r>
      <w:r>
        <w:rPr>
          <w:noProof/>
        </w:rPr>
        <w:instrText xml:space="preserve"> PAGEREF _Toc412798920 \h </w:instrText>
      </w:r>
      <w:r>
        <w:rPr>
          <w:noProof/>
        </w:rPr>
      </w:r>
      <w:r>
        <w:rPr>
          <w:noProof/>
        </w:rPr>
        <w:fldChar w:fldCharType="separate"/>
      </w:r>
      <w:r w:rsidR="004217BA">
        <w:rPr>
          <w:noProof/>
        </w:rPr>
        <w:t>73</w:t>
      </w:r>
      <w:r>
        <w:rPr>
          <w:noProof/>
        </w:rPr>
        <w:fldChar w:fldCharType="end"/>
      </w:r>
    </w:p>
    <w:p w14:paraId="2A9D2239" w14:textId="77777777" w:rsidR="00A60056" w:rsidRDefault="00A60056">
      <w:pPr>
        <w:pStyle w:val="TOC1"/>
        <w:rPr>
          <w:rFonts w:asciiTheme="minorHAnsi" w:eastAsiaTheme="minorEastAsia" w:hAnsiTheme="minorHAnsi" w:cstheme="minorBidi"/>
          <w:b w:val="0"/>
          <w:noProof/>
          <w:color w:val="auto"/>
          <w:sz w:val="22"/>
          <w:szCs w:val="22"/>
        </w:rPr>
      </w:pPr>
      <w:r>
        <w:rPr>
          <w:noProof/>
        </w:rPr>
        <w:t>4</w:t>
      </w:r>
      <w:r>
        <w:rPr>
          <w:rFonts w:asciiTheme="minorHAnsi" w:eastAsiaTheme="minorEastAsia" w:hAnsiTheme="minorHAnsi" w:cstheme="minorBidi"/>
          <w:b w:val="0"/>
          <w:noProof/>
          <w:color w:val="auto"/>
          <w:sz w:val="22"/>
          <w:szCs w:val="22"/>
        </w:rPr>
        <w:tab/>
      </w:r>
      <w:r>
        <w:rPr>
          <w:noProof/>
        </w:rPr>
        <w:t>Assessment criterion 2: Community awareness and engagement</w:t>
      </w:r>
      <w:r>
        <w:rPr>
          <w:noProof/>
        </w:rPr>
        <w:tab/>
      </w:r>
      <w:r>
        <w:rPr>
          <w:noProof/>
        </w:rPr>
        <w:fldChar w:fldCharType="begin"/>
      </w:r>
      <w:r>
        <w:rPr>
          <w:noProof/>
        </w:rPr>
        <w:instrText xml:space="preserve"> PAGEREF _Toc412798921 \h </w:instrText>
      </w:r>
      <w:r>
        <w:rPr>
          <w:noProof/>
        </w:rPr>
      </w:r>
      <w:r>
        <w:rPr>
          <w:noProof/>
        </w:rPr>
        <w:fldChar w:fldCharType="separate"/>
      </w:r>
      <w:r w:rsidR="004217BA">
        <w:rPr>
          <w:noProof/>
        </w:rPr>
        <w:t>74</w:t>
      </w:r>
      <w:r>
        <w:rPr>
          <w:noProof/>
        </w:rPr>
        <w:fldChar w:fldCharType="end"/>
      </w:r>
    </w:p>
    <w:p w14:paraId="6936A8BD" w14:textId="77777777" w:rsidR="00A60056" w:rsidRDefault="00A60056">
      <w:pPr>
        <w:pStyle w:val="TOC2"/>
        <w:rPr>
          <w:rFonts w:asciiTheme="minorHAnsi" w:eastAsiaTheme="minorEastAsia" w:hAnsiTheme="minorHAnsi" w:cstheme="minorBidi"/>
          <w:noProof/>
          <w:sz w:val="22"/>
          <w:szCs w:val="22"/>
        </w:rPr>
      </w:pPr>
      <w:r w:rsidRPr="002544F7">
        <w:rPr>
          <w:bCs/>
          <w:noProof/>
        </w:rPr>
        <w:t>4.1</w:t>
      </w:r>
      <w:r>
        <w:rPr>
          <w:rFonts w:asciiTheme="minorHAnsi" w:eastAsiaTheme="minorEastAsia" w:hAnsiTheme="minorHAnsi" w:cstheme="minorBidi"/>
          <w:noProof/>
          <w:sz w:val="22"/>
          <w:szCs w:val="22"/>
        </w:rPr>
        <w:tab/>
      </w:r>
      <w:r w:rsidRPr="002544F7">
        <w:rPr>
          <w:bCs/>
          <w:noProof/>
        </w:rPr>
        <w:t>The consultation strategy</w:t>
      </w:r>
      <w:r>
        <w:rPr>
          <w:noProof/>
        </w:rPr>
        <w:tab/>
      </w:r>
      <w:r>
        <w:rPr>
          <w:noProof/>
        </w:rPr>
        <w:fldChar w:fldCharType="begin"/>
      </w:r>
      <w:r>
        <w:rPr>
          <w:noProof/>
        </w:rPr>
        <w:instrText xml:space="preserve"> PAGEREF _Toc412798922 \h </w:instrText>
      </w:r>
      <w:r>
        <w:rPr>
          <w:noProof/>
        </w:rPr>
      </w:r>
      <w:r>
        <w:rPr>
          <w:noProof/>
        </w:rPr>
        <w:fldChar w:fldCharType="separate"/>
      </w:r>
      <w:r w:rsidR="004217BA">
        <w:rPr>
          <w:noProof/>
        </w:rPr>
        <w:t>75</w:t>
      </w:r>
      <w:r>
        <w:rPr>
          <w:noProof/>
        </w:rPr>
        <w:fldChar w:fldCharType="end"/>
      </w:r>
    </w:p>
    <w:p w14:paraId="70F4582A" w14:textId="77777777" w:rsidR="00A60056" w:rsidRDefault="00A60056">
      <w:pPr>
        <w:pStyle w:val="TOC2"/>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Feedback from the community consultations</w:t>
      </w:r>
      <w:r>
        <w:rPr>
          <w:noProof/>
        </w:rPr>
        <w:tab/>
      </w:r>
      <w:r>
        <w:rPr>
          <w:noProof/>
        </w:rPr>
        <w:fldChar w:fldCharType="begin"/>
      </w:r>
      <w:r>
        <w:rPr>
          <w:noProof/>
        </w:rPr>
        <w:instrText xml:space="preserve"> PAGEREF _Toc412798923 \h </w:instrText>
      </w:r>
      <w:r>
        <w:rPr>
          <w:noProof/>
        </w:rPr>
      </w:r>
      <w:r>
        <w:rPr>
          <w:noProof/>
        </w:rPr>
        <w:fldChar w:fldCharType="separate"/>
      </w:r>
      <w:r w:rsidR="004217BA">
        <w:rPr>
          <w:noProof/>
        </w:rPr>
        <w:t>87</w:t>
      </w:r>
      <w:r>
        <w:rPr>
          <w:noProof/>
        </w:rPr>
        <w:fldChar w:fldCharType="end"/>
      </w:r>
    </w:p>
    <w:p w14:paraId="68E7269C" w14:textId="77777777" w:rsidR="00A60056" w:rsidRDefault="00A60056">
      <w:pPr>
        <w:pStyle w:val="TOC1"/>
        <w:rPr>
          <w:rFonts w:asciiTheme="minorHAnsi" w:eastAsiaTheme="minorEastAsia" w:hAnsiTheme="minorHAnsi" w:cstheme="minorBidi"/>
          <w:b w:val="0"/>
          <w:noProof/>
          <w:color w:val="auto"/>
          <w:sz w:val="22"/>
          <w:szCs w:val="22"/>
        </w:rPr>
      </w:pPr>
      <w:r>
        <w:rPr>
          <w:noProof/>
        </w:rPr>
        <w:t>5</w:t>
      </w:r>
      <w:r>
        <w:rPr>
          <w:rFonts w:asciiTheme="minorHAnsi" w:eastAsiaTheme="minorEastAsia" w:hAnsiTheme="minorHAnsi" w:cstheme="minorBidi"/>
          <w:b w:val="0"/>
          <w:noProof/>
          <w:color w:val="auto"/>
          <w:sz w:val="22"/>
          <w:szCs w:val="22"/>
        </w:rPr>
        <w:tab/>
      </w:r>
      <w:r>
        <w:rPr>
          <w:noProof/>
        </w:rPr>
        <w:t>Assessment criterion 3: Impact on ratepayers</w:t>
      </w:r>
      <w:r>
        <w:rPr>
          <w:noProof/>
        </w:rPr>
        <w:tab/>
      </w:r>
      <w:r>
        <w:rPr>
          <w:noProof/>
        </w:rPr>
        <w:fldChar w:fldCharType="begin"/>
      </w:r>
      <w:r>
        <w:rPr>
          <w:noProof/>
        </w:rPr>
        <w:instrText xml:space="preserve"> PAGEREF _Toc412798924 \h </w:instrText>
      </w:r>
      <w:r>
        <w:rPr>
          <w:noProof/>
        </w:rPr>
      </w:r>
      <w:r>
        <w:rPr>
          <w:noProof/>
        </w:rPr>
        <w:fldChar w:fldCharType="separate"/>
      </w:r>
      <w:r w:rsidR="004217BA">
        <w:rPr>
          <w:noProof/>
        </w:rPr>
        <w:t>96</w:t>
      </w:r>
      <w:r>
        <w:rPr>
          <w:noProof/>
        </w:rPr>
        <w:fldChar w:fldCharType="end"/>
      </w:r>
    </w:p>
    <w:p w14:paraId="06C12955" w14:textId="77777777" w:rsidR="00A60056" w:rsidRDefault="00A60056">
      <w:pPr>
        <w:pStyle w:val="TOC2"/>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Impact on rates</w:t>
      </w:r>
      <w:r>
        <w:rPr>
          <w:noProof/>
        </w:rPr>
        <w:tab/>
      </w:r>
      <w:r>
        <w:rPr>
          <w:noProof/>
        </w:rPr>
        <w:fldChar w:fldCharType="begin"/>
      </w:r>
      <w:r>
        <w:rPr>
          <w:noProof/>
        </w:rPr>
        <w:instrText xml:space="preserve"> PAGEREF _Toc412798925 \h </w:instrText>
      </w:r>
      <w:r>
        <w:rPr>
          <w:noProof/>
        </w:rPr>
      </w:r>
      <w:r>
        <w:rPr>
          <w:noProof/>
        </w:rPr>
        <w:fldChar w:fldCharType="separate"/>
      </w:r>
      <w:r w:rsidR="004217BA">
        <w:rPr>
          <w:noProof/>
        </w:rPr>
        <w:t>96</w:t>
      </w:r>
      <w:r>
        <w:rPr>
          <w:noProof/>
        </w:rPr>
        <w:fldChar w:fldCharType="end"/>
      </w:r>
    </w:p>
    <w:p w14:paraId="3B5B629E" w14:textId="77777777" w:rsidR="00A60056" w:rsidRDefault="00A60056" w:rsidP="00A60056">
      <w:pPr>
        <w:pStyle w:val="TOC2"/>
        <w:ind w:right="850"/>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Consideration of affordability and the community’s capacity and willingness to pay</w:t>
      </w:r>
      <w:r>
        <w:rPr>
          <w:noProof/>
        </w:rPr>
        <w:tab/>
      </w:r>
      <w:r>
        <w:rPr>
          <w:noProof/>
        </w:rPr>
        <w:fldChar w:fldCharType="begin"/>
      </w:r>
      <w:r>
        <w:rPr>
          <w:noProof/>
        </w:rPr>
        <w:instrText xml:space="preserve"> PAGEREF _Toc412798926 \h </w:instrText>
      </w:r>
      <w:r>
        <w:rPr>
          <w:noProof/>
        </w:rPr>
      </w:r>
      <w:r>
        <w:rPr>
          <w:noProof/>
        </w:rPr>
        <w:fldChar w:fldCharType="separate"/>
      </w:r>
      <w:r w:rsidR="004217BA">
        <w:rPr>
          <w:noProof/>
        </w:rPr>
        <w:t>99</w:t>
      </w:r>
      <w:r>
        <w:rPr>
          <w:noProof/>
        </w:rPr>
        <w:fldChar w:fldCharType="end"/>
      </w:r>
    </w:p>
    <w:p w14:paraId="3BE31ED7" w14:textId="77777777" w:rsidR="00A60056" w:rsidRDefault="00A60056">
      <w:pPr>
        <w:pStyle w:val="TOC2"/>
        <w:rPr>
          <w:rFonts w:asciiTheme="minorHAnsi" w:eastAsiaTheme="minorEastAsia" w:hAnsiTheme="minorHAnsi" w:cstheme="minorBidi"/>
          <w:noProof/>
          <w:sz w:val="22"/>
          <w:szCs w:val="22"/>
        </w:rPr>
      </w:pPr>
      <w:r>
        <w:rPr>
          <w:noProof/>
        </w:rPr>
        <w:t>5.3</w:t>
      </w:r>
      <w:r>
        <w:rPr>
          <w:rFonts w:asciiTheme="minorHAnsi" w:eastAsiaTheme="minorEastAsia" w:hAnsiTheme="minorHAnsi" w:cstheme="minorBidi"/>
          <w:noProof/>
          <w:sz w:val="22"/>
          <w:szCs w:val="22"/>
        </w:rPr>
        <w:tab/>
      </w:r>
      <w:r>
        <w:rPr>
          <w:noProof/>
        </w:rPr>
        <w:t>Addressing hardship</w:t>
      </w:r>
      <w:r>
        <w:rPr>
          <w:noProof/>
        </w:rPr>
        <w:tab/>
      </w:r>
      <w:r>
        <w:rPr>
          <w:noProof/>
        </w:rPr>
        <w:fldChar w:fldCharType="begin"/>
      </w:r>
      <w:r>
        <w:rPr>
          <w:noProof/>
        </w:rPr>
        <w:instrText xml:space="preserve"> PAGEREF _Toc412798927 \h </w:instrText>
      </w:r>
      <w:r>
        <w:rPr>
          <w:noProof/>
        </w:rPr>
      </w:r>
      <w:r>
        <w:rPr>
          <w:noProof/>
        </w:rPr>
        <w:fldChar w:fldCharType="separate"/>
      </w:r>
      <w:r w:rsidR="004217BA">
        <w:rPr>
          <w:noProof/>
        </w:rPr>
        <w:t>106</w:t>
      </w:r>
      <w:r>
        <w:rPr>
          <w:noProof/>
        </w:rPr>
        <w:fldChar w:fldCharType="end"/>
      </w:r>
    </w:p>
    <w:p w14:paraId="1322F6F9" w14:textId="77777777" w:rsidR="00A60056" w:rsidRDefault="00A60056">
      <w:pPr>
        <w:pStyle w:val="TOC1"/>
        <w:rPr>
          <w:rFonts w:asciiTheme="minorHAnsi" w:eastAsiaTheme="minorEastAsia" w:hAnsiTheme="minorHAnsi" w:cstheme="minorBidi"/>
          <w:b w:val="0"/>
          <w:noProof/>
          <w:color w:val="auto"/>
          <w:sz w:val="22"/>
          <w:szCs w:val="22"/>
        </w:rPr>
      </w:pPr>
      <w:r>
        <w:rPr>
          <w:noProof/>
        </w:rPr>
        <w:t>6</w:t>
      </w:r>
      <w:r>
        <w:rPr>
          <w:rFonts w:asciiTheme="minorHAnsi" w:eastAsiaTheme="minorEastAsia" w:hAnsiTheme="minorHAnsi" w:cstheme="minorBidi"/>
          <w:b w:val="0"/>
          <w:noProof/>
          <w:color w:val="auto"/>
          <w:sz w:val="22"/>
          <w:szCs w:val="22"/>
        </w:rPr>
        <w:tab/>
      </w:r>
      <w:r>
        <w:rPr>
          <w:noProof/>
        </w:rPr>
        <w:t>Assessment criterion 4: Public exhibition of relevant IP&amp;R documents</w:t>
      </w:r>
      <w:r>
        <w:rPr>
          <w:noProof/>
        </w:rPr>
        <w:tab/>
      </w:r>
      <w:r>
        <w:rPr>
          <w:noProof/>
        </w:rPr>
        <w:fldChar w:fldCharType="begin"/>
      </w:r>
      <w:r>
        <w:rPr>
          <w:noProof/>
        </w:rPr>
        <w:instrText xml:space="preserve"> PAGEREF _Toc412798928 \h </w:instrText>
      </w:r>
      <w:r>
        <w:rPr>
          <w:noProof/>
        </w:rPr>
      </w:r>
      <w:r>
        <w:rPr>
          <w:noProof/>
        </w:rPr>
        <w:fldChar w:fldCharType="separate"/>
      </w:r>
      <w:r w:rsidR="004217BA">
        <w:rPr>
          <w:noProof/>
        </w:rPr>
        <w:t>110</w:t>
      </w:r>
      <w:r>
        <w:rPr>
          <w:noProof/>
        </w:rPr>
        <w:fldChar w:fldCharType="end"/>
      </w:r>
    </w:p>
    <w:p w14:paraId="3F697244" w14:textId="77777777" w:rsidR="00A60056" w:rsidRDefault="00A60056">
      <w:pPr>
        <w:pStyle w:val="TOC2"/>
        <w:rPr>
          <w:rFonts w:asciiTheme="minorHAnsi" w:eastAsiaTheme="minorEastAsia" w:hAnsiTheme="minorHAnsi" w:cstheme="minorBidi"/>
          <w:noProof/>
          <w:sz w:val="22"/>
          <w:szCs w:val="22"/>
        </w:rPr>
      </w:pPr>
      <w:r>
        <w:rPr>
          <w:noProof/>
        </w:rPr>
        <w:t>6.1</w:t>
      </w:r>
      <w:r>
        <w:rPr>
          <w:rFonts w:asciiTheme="minorHAnsi" w:eastAsiaTheme="minorEastAsia" w:hAnsiTheme="minorHAnsi" w:cstheme="minorBidi"/>
          <w:noProof/>
          <w:sz w:val="22"/>
          <w:szCs w:val="22"/>
        </w:rPr>
        <w:tab/>
      </w:r>
      <w:r>
        <w:rPr>
          <w:noProof/>
        </w:rPr>
        <w:t>Overview of Key IP&amp;R Processes</w:t>
      </w:r>
      <w:r>
        <w:rPr>
          <w:noProof/>
        </w:rPr>
        <w:tab/>
      </w:r>
      <w:r>
        <w:rPr>
          <w:noProof/>
        </w:rPr>
        <w:fldChar w:fldCharType="begin"/>
      </w:r>
      <w:r>
        <w:rPr>
          <w:noProof/>
        </w:rPr>
        <w:instrText xml:space="preserve"> PAGEREF _Toc412798929 \h </w:instrText>
      </w:r>
      <w:r>
        <w:rPr>
          <w:noProof/>
        </w:rPr>
      </w:r>
      <w:r>
        <w:rPr>
          <w:noProof/>
        </w:rPr>
        <w:fldChar w:fldCharType="separate"/>
      </w:r>
      <w:r w:rsidR="004217BA">
        <w:rPr>
          <w:noProof/>
        </w:rPr>
        <w:t>110</w:t>
      </w:r>
      <w:r>
        <w:rPr>
          <w:noProof/>
        </w:rPr>
        <w:fldChar w:fldCharType="end"/>
      </w:r>
    </w:p>
    <w:p w14:paraId="4B51834D" w14:textId="77777777" w:rsidR="00A60056" w:rsidRDefault="00A60056">
      <w:pPr>
        <w:pStyle w:val="TOC2"/>
        <w:rPr>
          <w:rFonts w:asciiTheme="minorHAnsi" w:eastAsiaTheme="minorEastAsia" w:hAnsiTheme="minorHAnsi" w:cstheme="minorBidi"/>
          <w:noProof/>
          <w:sz w:val="22"/>
          <w:szCs w:val="22"/>
        </w:rPr>
      </w:pPr>
      <w:r>
        <w:rPr>
          <w:noProof/>
        </w:rPr>
        <w:t>6.2</w:t>
      </w:r>
      <w:r>
        <w:rPr>
          <w:rFonts w:asciiTheme="minorHAnsi" w:eastAsiaTheme="minorEastAsia" w:hAnsiTheme="minorHAnsi" w:cstheme="minorBidi"/>
          <w:noProof/>
          <w:sz w:val="22"/>
          <w:szCs w:val="22"/>
        </w:rPr>
        <w:tab/>
      </w:r>
      <w:r>
        <w:rPr>
          <w:noProof/>
        </w:rPr>
        <w:t>Adoption of IP&amp;R Documents</w:t>
      </w:r>
      <w:r>
        <w:rPr>
          <w:noProof/>
        </w:rPr>
        <w:tab/>
      </w:r>
      <w:r>
        <w:rPr>
          <w:noProof/>
        </w:rPr>
        <w:fldChar w:fldCharType="begin"/>
      </w:r>
      <w:r>
        <w:rPr>
          <w:noProof/>
        </w:rPr>
        <w:instrText xml:space="preserve"> PAGEREF _Toc412798930 \h </w:instrText>
      </w:r>
      <w:r>
        <w:rPr>
          <w:noProof/>
        </w:rPr>
      </w:r>
      <w:r>
        <w:rPr>
          <w:noProof/>
        </w:rPr>
        <w:fldChar w:fldCharType="separate"/>
      </w:r>
      <w:r w:rsidR="004217BA">
        <w:rPr>
          <w:noProof/>
        </w:rPr>
        <w:t>111</w:t>
      </w:r>
      <w:r>
        <w:rPr>
          <w:noProof/>
        </w:rPr>
        <w:fldChar w:fldCharType="end"/>
      </w:r>
    </w:p>
    <w:p w14:paraId="112710B2" w14:textId="77777777" w:rsidR="00A60056" w:rsidRDefault="00A60056">
      <w:pPr>
        <w:pStyle w:val="TOC1"/>
        <w:rPr>
          <w:rFonts w:asciiTheme="minorHAnsi" w:eastAsiaTheme="minorEastAsia" w:hAnsiTheme="minorHAnsi" w:cstheme="minorBidi"/>
          <w:b w:val="0"/>
          <w:noProof/>
          <w:color w:val="auto"/>
          <w:sz w:val="22"/>
          <w:szCs w:val="22"/>
        </w:rPr>
      </w:pPr>
      <w:r>
        <w:rPr>
          <w:noProof/>
        </w:rPr>
        <w:t>7</w:t>
      </w:r>
      <w:r>
        <w:rPr>
          <w:rFonts w:asciiTheme="minorHAnsi" w:eastAsiaTheme="minorEastAsia" w:hAnsiTheme="minorHAnsi" w:cstheme="minorBidi"/>
          <w:b w:val="0"/>
          <w:noProof/>
          <w:color w:val="auto"/>
          <w:sz w:val="22"/>
          <w:szCs w:val="22"/>
        </w:rPr>
        <w:tab/>
      </w:r>
      <w:r>
        <w:rPr>
          <w:noProof/>
        </w:rPr>
        <w:t>Assessment criterion 5: Productivity improvements and cost containment strategies</w:t>
      </w:r>
      <w:r>
        <w:rPr>
          <w:noProof/>
        </w:rPr>
        <w:tab/>
      </w:r>
      <w:r>
        <w:rPr>
          <w:noProof/>
        </w:rPr>
        <w:fldChar w:fldCharType="begin"/>
      </w:r>
      <w:r>
        <w:rPr>
          <w:noProof/>
        </w:rPr>
        <w:instrText xml:space="preserve"> PAGEREF _Toc412798931 \h </w:instrText>
      </w:r>
      <w:r>
        <w:rPr>
          <w:noProof/>
        </w:rPr>
      </w:r>
      <w:r>
        <w:rPr>
          <w:noProof/>
        </w:rPr>
        <w:fldChar w:fldCharType="separate"/>
      </w:r>
      <w:r w:rsidR="004217BA">
        <w:rPr>
          <w:noProof/>
        </w:rPr>
        <w:t>119</w:t>
      </w:r>
      <w:r>
        <w:rPr>
          <w:noProof/>
        </w:rPr>
        <w:fldChar w:fldCharType="end"/>
      </w:r>
    </w:p>
    <w:p w14:paraId="22B82979" w14:textId="77777777" w:rsidR="00A60056" w:rsidRDefault="00A60056">
      <w:pPr>
        <w:pStyle w:val="TOC2"/>
        <w:rPr>
          <w:rFonts w:asciiTheme="minorHAnsi" w:eastAsiaTheme="minorEastAsia" w:hAnsiTheme="minorHAnsi" w:cstheme="minorBidi"/>
          <w:noProof/>
          <w:sz w:val="22"/>
          <w:szCs w:val="22"/>
        </w:rPr>
      </w:pPr>
      <w:r>
        <w:rPr>
          <w:noProof/>
        </w:rPr>
        <w:t>7.1</w:t>
      </w:r>
      <w:r>
        <w:rPr>
          <w:rFonts w:asciiTheme="minorHAnsi" w:eastAsiaTheme="minorEastAsia" w:hAnsiTheme="minorHAnsi" w:cstheme="minorBidi"/>
          <w:noProof/>
          <w:sz w:val="22"/>
          <w:szCs w:val="22"/>
        </w:rPr>
        <w:tab/>
      </w:r>
      <w:r>
        <w:rPr>
          <w:noProof/>
        </w:rPr>
        <w:t>Productivity Improvements and Costs Containment Strategies</w:t>
      </w:r>
      <w:r>
        <w:rPr>
          <w:noProof/>
        </w:rPr>
        <w:tab/>
      </w:r>
      <w:r>
        <w:rPr>
          <w:noProof/>
        </w:rPr>
        <w:fldChar w:fldCharType="begin"/>
      </w:r>
      <w:r>
        <w:rPr>
          <w:noProof/>
        </w:rPr>
        <w:instrText xml:space="preserve"> PAGEREF _Toc412798932 \h </w:instrText>
      </w:r>
      <w:r>
        <w:rPr>
          <w:noProof/>
        </w:rPr>
      </w:r>
      <w:r>
        <w:rPr>
          <w:noProof/>
        </w:rPr>
        <w:fldChar w:fldCharType="separate"/>
      </w:r>
      <w:r w:rsidR="004217BA">
        <w:rPr>
          <w:noProof/>
        </w:rPr>
        <w:t>119</w:t>
      </w:r>
      <w:r>
        <w:rPr>
          <w:noProof/>
        </w:rPr>
        <w:fldChar w:fldCharType="end"/>
      </w:r>
    </w:p>
    <w:p w14:paraId="0E1BD243" w14:textId="77777777" w:rsidR="00A60056" w:rsidRDefault="00A60056">
      <w:pPr>
        <w:pStyle w:val="TOC2"/>
        <w:rPr>
          <w:rFonts w:asciiTheme="minorHAnsi" w:eastAsiaTheme="minorEastAsia" w:hAnsiTheme="minorHAnsi" w:cstheme="minorBidi"/>
          <w:noProof/>
          <w:sz w:val="22"/>
          <w:szCs w:val="22"/>
        </w:rPr>
      </w:pPr>
      <w:r>
        <w:rPr>
          <w:noProof/>
        </w:rPr>
        <w:t>7.2</w:t>
      </w:r>
      <w:r>
        <w:rPr>
          <w:rFonts w:asciiTheme="minorHAnsi" w:eastAsiaTheme="minorEastAsia" w:hAnsiTheme="minorHAnsi" w:cstheme="minorBidi"/>
          <w:noProof/>
          <w:sz w:val="22"/>
          <w:szCs w:val="22"/>
        </w:rPr>
        <w:tab/>
      </w:r>
      <w:r>
        <w:rPr>
          <w:noProof/>
        </w:rPr>
        <w:t>Past Cost Savings, Efficiencies and Revenue Raising Initiatives</w:t>
      </w:r>
      <w:r>
        <w:rPr>
          <w:noProof/>
        </w:rPr>
        <w:tab/>
      </w:r>
      <w:r>
        <w:rPr>
          <w:noProof/>
        </w:rPr>
        <w:fldChar w:fldCharType="begin"/>
      </w:r>
      <w:r>
        <w:rPr>
          <w:noProof/>
        </w:rPr>
        <w:instrText xml:space="preserve"> PAGEREF _Toc412798933 \h </w:instrText>
      </w:r>
      <w:r>
        <w:rPr>
          <w:noProof/>
        </w:rPr>
      </w:r>
      <w:r>
        <w:rPr>
          <w:noProof/>
        </w:rPr>
        <w:fldChar w:fldCharType="separate"/>
      </w:r>
      <w:r w:rsidR="004217BA">
        <w:rPr>
          <w:noProof/>
        </w:rPr>
        <w:t>127</w:t>
      </w:r>
      <w:r>
        <w:rPr>
          <w:noProof/>
        </w:rPr>
        <w:fldChar w:fldCharType="end"/>
      </w:r>
    </w:p>
    <w:p w14:paraId="5C5E1CDE" w14:textId="77777777" w:rsidR="00A60056" w:rsidRDefault="00A60056">
      <w:pPr>
        <w:pStyle w:val="TOC2"/>
        <w:rPr>
          <w:rFonts w:asciiTheme="minorHAnsi" w:eastAsiaTheme="minorEastAsia" w:hAnsiTheme="minorHAnsi" w:cstheme="minorBidi"/>
          <w:noProof/>
          <w:sz w:val="22"/>
          <w:szCs w:val="22"/>
        </w:rPr>
      </w:pPr>
      <w:r>
        <w:rPr>
          <w:noProof/>
        </w:rPr>
        <w:t>7.3</w:t>
      </w:r>
      <w:r>
        <w:rPr>
          <w:rFonts w:asciiTheme="minorHAnsi" w:eastAsiaTheme="minorEastAsia" w:hAnsiTheme="minorHAnsi" w:cstheme="minorBidi"/>
          <w:noProof/>
          <w:sz w:val="22"/>
          <w:szCs w:val="22"/>
        </w:rPr>
        <w:tab/>
      </w:r>
      <w:r>
        <w:rPr>
          <w:noProof/>
        </w:rPr>
        <w:t>Future Cost Savings, Efficiencies and Revenue Raising Initiatives</w:t>
      </w:r>
      <w:r>
        <w:rPr>
          <w:noProof/>
        </w:rPr>
        <w:tab/>
      </w:r>
      <w:r>
        <w:rPr>
          <w:noProof/>
        </w:rPr>
        <w:fldChar w:fldCharType="begin"/>
      </w:r>
      <w:r>
        <w:rPr>
          <w:noProof/>
        </w:rPr>
        <w:instrText xml:space="preserve"> PAGEREF _Toc412798934 \h </w:instrText>
      </w:r>
      <w:r>
        <w:rPr>
          <w:noProof/>
        </w:rPr>
      </w:r>
      <w:r>
        <w:rPr>
          <w:noProof/>
        </w:rPr>
        <w:fldChar w:fldCharType="separate"/>
      </w:r>
      <w:r w:rsidR="004217BA">
        <w:rPr>
          <w:noProof/>
        </w:rPr>
        <w:t>138</w:t>
      </w:r>
      <w:r>
        <w:rPr>
          <w:noProof/>
        </w:rPr>
        <w:fldChar w:fldCharType="end"/>
      </w:r>
    </w:p>
    <w:p w14:paraId="21866A42" w14:textId="77777777" w:rsidR="00A60056" w:rsidRDefault="00A60056">
      <w:pPr>
        <w:pStyle w:val="TOC1"/>
        <w:rPr>
          <w:rFonts w:asciiTheme="minorHAnsi" w:eastAsiaTheme="minorEastAsia" w:hAnsiTheme="minorHAnsi" w:cstheme="minorBidi"/>
          <w:b w:val="0"/>
          <w:noProof/>
          <w:color w:val="auto"/>
          <w:sz w:val="22"/>
          <w:szCs w:val="22"/>
        </w:rPr>
      </w:pPr>
      <w:r>
        <w:rPr>
          <w:noProof/>
        </w:rPr>
        <w:t>8</w:t>
      </w:r>
      <w:r>
        <w:rPr>
          <w:rFonts w:asciiTheme="minorHAnsi" w:eastAsiaTheme="minorEastAsia" w:hAnsiTheme="minorHAnsi" w:cstheme="minorBidi"/>
          <w:b w:val="0"/>
          <w:noProof/>
          <w:color w:val="auto"/>
          <w:sz w:val="22"/>
          <w:szCs w:val="22"/>
        </w:rPr>
        <w:tab/>
      </w:r>
      <w:r>
        <w:rPr>
          <w:noProof/>
        </w:rPr>
        <w:t>List of attachments</w:t>
      </w:r>
      <w:r>
        <w:rPr>
          <w:noProof/>
        </w:rPr>
        <w:tab/>
      </w:r>
      <w:r>
        <w:rPr>
          <w:noProof/>
        </w:rPr>
        <w:fldChar w:fldCharType="begin"/>
      </w:r>
      <w:r>
        <w:rPr>
          <w:noProof/>
        </w:rPr>
        <w:instrText xml:space="preserve"> PAGEREF _Toc412798935 \h </w:instrText>
      </w:r>
      <w:r>
        <w:rPr>
          <w:noProof/>
        </w:rPr>
      </w:r>
      <w:r>
        <w:rPr>
          <w:noProof/>
        </w:rPr>
        <w:fldChar w:fldCharType="separate"/>
      </w:r>
      <w:r w:rsidR="004217BA">
        <w:rPr>
          <w:noProof/>
        </w:rPr>
        <w:t>147</w:t>
      </w:r>
      <w:r>
        <w:rPr>
          <w:noProof/>
        </w:rPr>
        <w:fldChar w:fldCharType="end"/>
      </w:r>
    </w:p>
    <w:p w14:paraId="3CA73840" w14:textId="77777777" w:rsidR="00A60056" w:rsidRDefault="00A60056">
      <w:pPr>
        <w:pStyle w:val="TOC1"/>
        <w:rPr>
          <w:rFonts w:asciiTheme="minorHAnsi" w:eastAsiaTheme="minorEastAsia" w:hAnsiTheme="minorHAnsi" w:cstheme="minorBidi"/>
          <w:b w:val="0"/>
          <w:noProof/>
          <w:color w:val="auto"/>
          <w:sz w:val="22"/>
          <w:szCs w:val="22"/>
        </w:rPr>
      </w:pPr>
      <w:r>
        <w:rPr>
          <w:noProof/>
        </w:rPr>
        <w:t>9</w:t>
      </w:r>
      <w:r>
        <w:rPr>
          <w:rFonts w:asciiTheme="minorHAnsi" w:eastAsiaTheme="minorEastAsia" w:hAnsiTheme="minorHAnsi" w:cstheme="minorBidi"/>
          <w:b w:val="0"/>
          <w:noProof/>
          <w:color w:val="auto"/>
          <w:sz w:val="22"/>
          <w:szCs w:val="22"/>
        </w:rPr>
        <w:tab/>
      </w:r>
      <w:r>
        <w:rPr>
          <w:noProof/>
        </w:rPr>
        <w:t>Certification</w:t>
      </w:r>
      <w:r>
        <w:rPr>
          <w:noProof/>
        </w:rPr>
        <w:tab/>
      </w:r>
      <w:r>
        <w:rPr>
          <w:noProof/>
        </w:rPr>
        <w:fldChar w:fldCharType="begin"/>
      </w:r>
      <w:r>
        <w:rPr>
          <w:noProof/>
        </w:rPr>
        <w:instrText xml:space="preserve"> PAGEREF _Toc412798936 \h </w:instrText>
      </w:r>
      <w:r>
        <w:rPr>
          <w:noProof/>
        </w:rPr>
      </w:r>
      <w:r>
        <w:rPr>
          <w:noProof/>
        </w:rPr>
        <w:fldChar w:fldCharType="separate"/>
      </w:r>
      <w:r w:rsidR="004217BA">
        <w:rPr>
          <w:noProof/>
        </w:rPr>
        <w:t>148</w:t>
      </w:r>
      <w:r>
        <w:rPr>
          <w:noProof/>
        </w:rPr>
        <w:fldChar w:fldCharType="end"/>
      </w:r>
    </w:p>
    <w:p w14:paraId="18D70453" w14:textId="77777777" w:rsidR="002F428B" w:rsidRPr="002F428B" w:rsidRDefault="00493377" w:rsidP="00DA6C33">
      <w:pPr>
        <w:tabs>
          <w:tab w:val="right" w:pos="8222"/>
        </w:tabs>
        <w:sectPr w:rsidR="002F428B" w:rsidRPr="002F428B" w:rsidSect="00B56715">
          <w:headerReference w:type="even" r:id="rId19"/>
          <w:headerReference w:type="default" r:id="rId20"/>
          <w:headerReference w:type="first" r:id="rId21"/>
          <w:footerReference w:type="first" r:id="rId22"/>
          <w:type w:val="oddPage"/>
          <w:pgSz w:w="11907" w:h="16840" w:code="9"/>
          <w:pgMar w:top="1418" w:right="1701" w:bottom="1418" w:left="1701" w:header="1134" w:footer="284" w:gutter="0"/>
          <w:pgNumType w:fmt="lowerRoman"/>
          <w:cols w:space="708"/>
          <w:docGrid w:linePitch="360"/>
        </w:sectPr>
      </w:pPr>
      <w:r w:rsidRPr="002F428B">
        <w:fldChar w:fldCharType="end"/>
      </w:r>
    </w:p>
    <w:p w14:paraId="4302931E" w14:textId="77777777" w:rsidR="000318AD" w:rsidRPr="00E52BBA" w:rsidRDefault="000318AD" w:rsidP="00E52BBA">
      <w:pPr>
        <w:pStyle w:val="Heading1"/>
      </w:pPr>
      <w:bookmarkStart w:id="0" w:name="_Toc411530299"/>
      <w:bookmarkStart w:id="1" w:name="_Toc412798908"/>
      <w:r w:rsidRPr="00E52BBA">
        <w:t>Executive Summary</w:t>
      </w:r>
      <w:bookmarkEnd w:id="0"/>
      <w:bookmarkEnd w:id="1"/>
      <w:r w:rsidRPr="00E52BBA">
        <w:t xml:space="preserve"> </w:t>
      </w:r>
    </w:p>
    <w:p w14:paraId="71969163" w14:textId="38547B00" w:rsidR="00283F2D" w:rsidRDefault="00283F2D" w:rsidP="00283F2D">
      <w:pPr>
        <w:pStyle w:val="Heading2"/>
      </w:pPr>
      <w:bookmarkStart w:id="2" w:name="_Toc412798909"/>
      <w:r>
        <w:t>Overview</w:t>
      </w:r>
      <w:bookmarkEnd w:id="2"/>
    </w:p>
    <w:p w14:paraId="1597BCE7" w14:textId="7ADD6433" w:rsidR="009012F5" w:rsidRDefault="003F6431" w:rsidP="00172AE5">
      <w:pPr>
        <w:spacing w:line="276" w:lineRule="auto"/>
        <w:jc w:val="both"/>
        <w:rPr>
          <w:rFonts w:ascii="Arial" w:hAnsi="Arial" w:cs="Arial"/>
          <w:bCs/>
          <w:sz w:val="20"/>
          <w:szCs w:val="20"/>
        </w:rPr>
      </w:pPr>
      <w:r>
        <w:rPr>
          <w:rFonts w:ascii="Arial" w:hAnsi="Arial" w:cs="Arial"/>
          <w:bCs/>
          <w:sz w:val="20"/>
          <w:szCs w:val="20"/>
        </w:rPr>
        <w:t xml:space="preserve">Blue Mountains City Council is making this application to IPART with a view to securing </w:t>
      </w:r>
      <w:r w:rsidR="004064BD">
        <w:rPr>
          <w:rFonts w:ascii="Arial" w:hAnsi="Arial" w:cs="Arial"/>
          <w:bCs/>
          <w:sz w:val="20"/>
          <w:szCs w:val="20"/>
        </w:rPr>
        <w:t>the funding</w:t>
      </w:r>
      <w:r>
        <w:rPr>
          <w:rFonts w:ascii="Arial" w:hAnsi="Arial" w:cs="Arial"/>
          <w:bCs/>
          <w:sz w:val="20"/>
          <w:szCs w:val="20"/>
        </w:rPr>
        <w:t xml:space="preserve"> our City </w:t>
      </w:r>
      <w:r w:rsidR="007474B5">
        <w:rPr>
          <w:rFonts w:ascii="Arial" w:hAnsi="Arial" w:cs="Arial"/>
          <w:bCs/>
          <w:sz w:val="20"/>
          <w:szCs w:val="20"/>
        </w:rPr>
        <w:t>requires</w:t>
      </w:r>
      <w:r>
        <w:rPr>
          <w:rFonts w:ascii="Arial" w:hAnsi="Arial" w:cs="Arial"/>
          <w:bCs/>
          <w:sz w:val="20"/>
          <w:szCs w:val="20"/>
        </w:rPr>
        <w:t xml:space="preserve"> to </w:t>
      </w:r>
      <w:r w:rsidR="003A259B">
        <w:rPr>
          <w:rFonts w:ascii="Arial" w:hAnsi="Arial" w:cs="Arial"/>
          <w:bCs/>
          <w:sz w:val="20"/>
          <w:szCs w:val="20"/>
        </w:rPr>
        <w:t>be</w:t>
      </w:r>
      <w:r w:rsidR="00263DA5">
        <w:rPr>
          <w:rFonts w:ascii="Arial" w:hAnsi="Arial" w:cs="Arial"/>
          <w:bCs/>
          <w:sz w:val="20"/>
          <w:szCs w:val="20"/>
        </w:rPr>
        <w:t xml:space="preserve"> financially sustainable</w:t>
      </w:r>
      <w:r w:rsidR="00E87091">
        <w:rPr>
          <w:rFonts w:ascii="Arial" w:hAnsi="Arial" w:cs="Arial"/>
          <w:bCs/>
          <w:sz w:val="20"/>
          <w:szCs w:val="20"/>
        </w:rPr>
        <w:t>,</w:t>
      </w:r>
      <w:r w:rsidR="00E62EB5">
        <w:rPr>
          <w:rFonts w:ascii="Arial" w:hAnsi="Arial" w:cs="Arial"/>
          <w:bCs/>
          <w:sz w:val="20"/>
          <w:szCs w:val="20"/>
        </w:rPr>
        <w:t xml:space="preserve"> </w:t>
      </w:r>
      <w:r w:rsidR="00263DA5">
        <w:rPr>
          <w:rFonts w:ascii="Arial" w:hAnsi="Arial" w:cs="Arial"/>
          <w:bCs/>
          <w:sz w:val="20"/>
          <w:szCs w:val="20"/>
        </w:rPr>
        <w:t>r</w:t>
      </w:r>
      <w:r>
        <w:rPr>
          <w:rFonts w:ascii="Arial" w:hAnsi="Arial" w:cs="Arial"/>
          <w:bCs/>
          <w:sz w:val="20"/>
          <w:szCs w:val="20"/>
        </w:rPr>
        <w:t xml:space="preserve">everse the decline in the City’s </w:t>
      </w:r>
      <w:r w:rsidR="00E62EB5">
        <w:rPr>
          <w:rFonts w:ascii="Arial" w:hAnsi="Arial" w:cs="Arial"/>
          <w:bCs/>
          <w:sz w:val="20"/>
          <w:szCs w:val="20"/>
        </w:rPr>
        <w:t>$1 billion worth of built infrastructure</w:t>
      </w:r>
      <w:r w:rsidR="00AD3F75">
        <w:rPr>
          <w:rFonts w:ascii="Arial" w:hAnsi="Arial" w:cs="Arial"/>
          <w:bCs/>
          <w:sz w:val="20"/>
          <w:szCs w:val="20"/>
        </w:rPr>
        <w:t xml:space="preserve"> and be Fit for </w:t>
      </w:r>
      <w:r w:rsidR="0003106F">
        <w:rPr>
          <w:rFonts w:ascii="Arial" w:hAnsi="Arial" w:cs="Arial"/>
          <w:bCs/>
          <w:sz w:val="20"/>
          <w:szCs w:val="20"/>
        </w:rPr>
        <w:t xml:space="preserve">the </w:t>
      </w:r>
      <w:r w:rsidR="00AD3F75">
        <w:rPr>
          <w:rFonts w:ascii="Arial" w:hAnsi="Arial" w:cs="Arial"/>
          <w:bCs/>
          <w:sz w:val="20"/>
          <w:szCs w:val="20"/>
        </w:rPr>
        <w:t>Future</w:t>
      </w:r>
      <w:r w:rsidR="004141CC">
        <w:rPr>
          <w:rFonts w:ascii="Arial" w:hAnsi="Arial" w:cs="Arial"/>
          <w:bCs/>
          <w:sz w:val="20"/>
          <w:szCs w:val="20"/>
        </w:rPr>
        <w:t xml:space="preserve">. </w:t>
      </w:r>
      <w:r w:rsidR="00B30DAD">
        <w:rPr>
          <w:rFonts w:ascii="Arial" w:hAnsi="Arial" w:cs="Arial"/>
          <w:bCs/>
          <w:sz w:val="20"/>
          <w:szCs w:val="20"/>
        </w:rPr>
        <w:t>Put simply</w:t>
      </w:r>
      <w:r w:rsidR="00857FBB">
        <w:rPr>
          <w:rFonts w:ascii="Arial" w:hAnsi="Arial" w:cs="Arial"/>
          <w:bCs/>
          <w:sz w:val="20"/>
          <w:szCs w:val="20"/>
        </w:rPr>
        <w:t>,</w:t>
      </w:r>
      <w:r w:rsidR="00B30DAD">
        <w:rPr>
          <w:rFonts w:ascii="Arial" w:hAnsi="Arial" w:cs="Arial"/>
          <w:bCs/>
          <w:sz w:val="20"/>
          <w:szCs w:val="20"/>
        </w:rPr>
        <w:t xml:space="preserve"> projected available funding over the next 10 years is not sufficient to maintain, let alone improve, existing service levels. This</w:t>
      </w:r>
      <w:r w:rsidR="009C2066">
        <w:rPr>
          <w:rFonts w:ascii="Arial" w:hAnsi="Arial" w:cs="Arial"/>
          <w:bCs/>
          <w:sz w:val="20"/>
          <w:szCs w:val="20"/>
        </w:rPr>
        <w:t xml:space="preserve"> was confirmed in the Council’s integrated planning work and</w:t>
      </w:r>
      <w:r w:rsidR="00B30DAD">
        <w:rPr>
          <w:rFonts w:ascii="Arial" w:hAnsi="Arial" w:cs="Arial"/>
          <w:bCs/>
          <w:sz w:val="20"/>
          <w:szCs w:val="20"/>
        </w:rPr>
        <w:t xml:space="preserve"> </w:t>
      </w:r>
      <w:r w:rsidR="009C2066">
        <w:rPr>
          <w:rFonts w:ascii="Arial" w:hAnsi="Arial" w:cs="Arial"/>
          <w:bCs/>
          <w:sz w:val="20"/>
          <w:szCs w:val="20"/>
        </w:rPr>
        <w:t>b</w:t>
      </w:r>
      <w:r w:rsidR="00B30DAD">
        <w:rPr>
          <w:rFonts w:ascii="Arial" w:hAnsi="Arial" w:cs="Arial"/>
          <w:bCs/>
          <w:sz w:val="20"/>
          <w:szCs w:val="20"/>
        </w:rPr>
        <w:t>y TCorp</w:t>
      </w:r>
      <w:r w:rsidR="009012F5">
        <w:rPr>
          <w:rFonts w:ascii="Arial" w:hAnsi="Arial" w:cs="Arial"/>
          <w:bCs/>
          <w:sz w:val="20"/>
          <w:szCs w:val="20"/>
        </w:rPr>
        <w:t xml:space="preserve"> </w:t>
      </w:r>
      <w:r w:rsidR="000D2D70">
        <w:rPr>
          <w:rFonts w:ascii="Arial" w:hAnsi="Arial" w:cs="Arial"/>
          <w:bCs/>
          <w:sz w:val="20"/>
          <w:szCs w:val="20"/>
        </w:rPr>
        <w:t>i</w:t>
      </w:r>
      <w:r w:rsidR="009C2066">
        <w:rPr>
          <w:rFonts w:ascii="Arial" w:hAnsi="Arial" w:cs="Arial"/>
          <w:bCs/>
          <w:sz w:val="20"/>
          <w:szCs w:val="20"/>
        </w:rPr>
        <w:t xml:space="preserve">n their </w:t>
      </w:r>
      <w:r w:rsidR="0002562B">
        <w:rPr>
          <w:rFonts w:ascii="Arial" w:hAnsi="Arial" w:cs="Arial"/>
          <w:bCs/>
          <w:sz w:val="20"/>
          <w:szCs w:val="20"/>
        </w:rPr>
        <w:t>review of Council’s base case forecasts</w:t>
      </w:r>
      <w:r w:rsidR="000D2D70">
        <w:rPr>
          <w:rFonts w:ascii="Arial" w:hAnsi="Arial" w:cs="Arial"/>
          <w:bCs/>
          <w:sz w:val="20"/>
          <w:szCs w:val="20"/>
        </w:rPr>
        <w:t>.</w:t>
      </w:r>
      <w:r w:rsidR="009012F5" w:rsidRPr="009012F5">
        <w:rPr>
          <w:rStyle w:val="FootnoteReference"/>
          <w:rFonts w:cs="Arial"/>
          <w:bCs/>
        </w:rPr>
        <w:t xml:space="preserve"> </w:t>
      </w:r>
      <w:r w:rsidR="009012F5">
        <w:rPr>
          <w:rStyle w:val="FootnoteReference"/>
          <w:rFonts w:cs="Arial"/>
          <w:bCs/>
        </w:rPr>
        <w:footnoteReference w:id="1"/>
      </w:r>
      <w:r w:rsidR="009012F5">
        <w:rPr>
          <w:rFonts w:ascii="Arial" w:hAnsi="Arial" w:cs="Arial"/>
          <w:bCs/>
          <w:sz w:val="20"/>
          <w:szCs w:val="20"/>
        </w:rPr>
        <w:t xml:space="preserve"> </w:t>
      </w:r>
      <w:r w:rsidR="000D2D70">
        <w:rPr>
          <w:rFonts w:ascii="Arial" w:hAnsi="Arial" w:cs="Arial"/>
          <w:bCs/>
          <w:sz w:val="20"/>
          <w:szCs w:val="20"/>
        </w:rPr>
        <w:t xml:space="preserve"> </w:t>
      </w:r>
      <w:r w:rsidR="009C2066">
        <w:rPr>
          <w:rFonts w:ascii="Arial" w:hAnsi="Arial" w:cs="Arial"/>
          <w:bCs/>
          <w:sz w:val="20"/>
          <w:szCs w:val="20"/>
        </w:rPr>
        <w:t>TCorp concluded that</w:t>
      </w:r>
      <w:r w:rsidR="009012F5">
        <w:rPr>
          <w:rFonts w:ascii="Arial" w:hAnsi="Arial" w:cs="Arial"/>
          <w:bCs/>
          <w:sz w:val="20"/>
          <w:szCs w:val="20"/>
        </w:rPr>
        <w:t>:</w:t>
      </w:r>
      <w:r w:rsidR="009C2066">
        <w:rPr>
          <w:rFonts w:ascii="Arial" w:hAnsi="Arial" w:cs="Arial"/>
          <w:bCs/>
          <w:sz w:val="20"/>
          <w:szCs w:val="20"/>
        </w:rPr>
        <w:t xml:space="preserve"> </w:t>
      </w:r>
    </w:p>
    <w:p w14:paraId="3F46BD1B" w14:textId="77777777" w:rsidR="009012F5" w:rsidRDefault="009012F5" w:rsidP="00172AE5">
      <w:pPr>
        <w:spacing w:line="276" w:lineRule="auto"/>
        <w:jc w:val="both"/>
        <w:rPr>
          <w:rFonts w:ascii="Arial" w:hAnsi="Arial" w:cs="Arial"/>
          <w:bCs/>
          <w:sz w:val="20"/>
          <w:szCs w:val="20"/>
        </w:rPr>
      </w:pPr>
    </w:p>
    <w:p w14:paraId="4262D0E3" w14:textId="7C07185E" w:rsidR="0002562B" w:rsidRDefault="0002562B" w:rsidP="009012F5">
      <w:pPr>
        <w:spacing w:line="276" w:lineRule="auto"/>
        <w:ind w:left="426"/>
        <w:jc w:val="both"/>
        <w:rPr>
          <w:rFonts w:ascii="Arial" w:hAnsi="Arial" w:cs="Arial"/>
          <w:bCs/>
          <w:sz w:val="20"/>
          <w:szCs w:val="20"/>
        </w:rPr>
      </w:pPr>
      <w:r>
        <w:rPr>
          <w:rFonts w:ascii="Arial" w:hAnsi="Arial" w:cs="Arial"/>
          <w:bCs/>
          <w:sz w:val="20"/>
          <w:szCs w:val="20"/>
        </w:rPr>
        <w:t>“</w:t>
      </w:r>
      <w:r w:rsidR="004064BD">
        <w:rPr>
          <w:rFonts w:ascii="Arial" w:hAnsi="Arial" w:cs="Arial"/>
          <w:bCs/>
          <w:sz w:val="20"/>
          <w:szCs w:val="20"/>
        </w:rPr>
        <w:t>C</w:t>
      </w:r>
      <w:r w:rsidR="004064BD" w:rsidRPr="00E62EB5">
        <w:rPr>
          <w:rFonts w:ascii="Arial" w:hAnsi="Arial" w:cs="Arial"/>
          <w:bCs/>
          <w:i/>
          <w:sz w:val="20"/>
          <w:szCs w:val="20"/>
        </w:rPr>
        <w:t>apital</w:t>
      </w:r>
      <w:r w:rsidRPr="00E62EB5">
        <w:rPr>
          <w:rFonts w:ascii="Arial" w:hAnsi="Arial" w:cs="Arial"/>
          <w:bCs/>
          <w:i/>
          <w:sz w:val="20"/>
          <w:szCs w:val="20"/>
        </w:rPr>
        <w:t xml:space="preserve"> expenditure is significantly below the levels required to maintain an acceptable asset base because of insufficient funds</w:t>
      </w:r>
      <w:r>
        <w:rPr>
          <w:rFonts w:ascii="Arial" w:hAnsi="Arial" w:cs="Arial"/>
          <w:bCs/>
          <w:sz w:val="20"/>
          <w:szCs w:val="20"/>
        </w:rPr>
        <w:t xml:space="preserve">” </w:t>
      </w:r>
      <w:r w:rsidR="0088508E">
        <w:rPr>
          <w:rFonts w:ascii="Arial" w:hAnsi="Arial" w:cs="Arial"/>
          <w:bCs/>
          <w:sz w:val="20"/>
          <w:szCs w:val="20"/>
        </w:rPr>
        <w:t>a</w:t>
      </w:r>
      <w:r w:rsidR="003B14E8">
        <w:rPr>
          <w:rFonts w:ascii="Arial" w:hAnsi="Arial" w:cs="Arial"/>
          <w:bCs/>
          <w:sz w:val="20"/>
          <w:szCs w:val="20"/>
        </w:rPr>
        <w:t xml:space="preserve">nd that </w:t>
      </w:r>
      <w:r>
        <w:rPr>
          <w:rFonts w:ascii="Arial" w:hAnsi="Arial" w:cs="Arial"/>
          <w:bCs/>
          <w:sz w:val="20"/>
          <w:szCs w:val="20"/>
        </w:rPr>
        <w:t xml:space="preserve">the </w:t>
      </w:r>
      <w:r w:rsidR="0088508E">
        <w:rPr>
          <w:rFonts w:ascii="Arial" w:hAnsi="Arial" w:cs="Arial"/>
          <w:bCs/>
          <w:sz w:val="20"/>
          <w:szCs w:val="20"/>
        </w:rPr>
        <w:t>C</w:t>
      </w:r>
      <w:r>
        <w:rPr>
          <w:rFonts w:ascii="Arial" w:hAnsi="Arial" w:cs="Arial"/>
          <w:bCs/>
          <w:sz w:val="20"/>
          <w:szCs w:val="20"/>
        </w:rPr>
        <w:t>ouncil’s “</w:t>
      </w:r>
      <w:r w:rsidRPr="0002562B">
        <w:rPr>
          <w:rFonts w:ascii="Arial" w:hAnsi="Arial" w:cs="Arial"/>
          <w:bCs/>
          <w:i/>
          <w:sz w:val="20"/>
          <w:szCs w:val="20"/>
        </w:rPr>
        <w:t>Operating Ratio is far below benchmark in all forecast years and is not expected to improve substantially if current trends continue</w:t>
      </w:r>
      <w:r>
        <w:rPr>
          <w:rFonts w:ascii="Arial" w:hAnsi="Arial" w:cs="Arial"/>
          <w:bCs/>
          <w:sz w:val="20"/>
          <w:szCs w:val="20"/>
        </w:rPr>
        <w:t xml:space="preserve">.” </w:t>
      </w:r>
    </w:p>
    <w:p w14:paraId="7AEBE474" w14:textId="71334EF7" w:rsidR="0002562B" w:rsidRDefault="0002562B" w:rsidP="00172AE5">
      <w:pPr>
        <w:spacing w:line="276" w:lineRule="auto"/>
        <w:jc w:val="both"/>
        <w:rPr>
          <w:rFonts w:ascii="Arial" w:hAnsi="Arial" w:cs="Arial"/>
          <w:bCs/>
          <w:sz w:val="20"/>
          <w:szCs w:val="20"/>
        </w:rPr>
      </w:pPr>
    </w:p>
    <w:p w14:paraId="58C5570F" w14:textId="1C261333" w:rsidR="00B30DAD" w:rsidRDefault="00EB7E6B" w:rsidP="00172AE5">
      <w:pPr>
        <w:spacing w:line="276" w:lineRule="auto"/>
        <w:jc w:val="both"/>
        <w:rPr>
          <w:rFonts w:ascii="Arial" w:hAnsi="Arial" w:cs="Arial"/>
          <w:bCs/>
          <w:sz w:val="20"/>
          <w:szCs w:val="20"/>
        </w:rPr>
      </w:pPr>
      <w:r>
        <w:rPr>
          <w:rFonts w:ascii="Arial" w:hAnsi="Arial" w:cs="Arial"/>
          <w:bCs/>
          <w:sz w:val="20"/>
          <w:szCs w:val="20"/>
        </w:rPr>
        <w:t>However, m</w:t>
      </w:r>
      <w:r w:rsidR="00393AC0">
        <w:rPr>
          <w:rFonts w:ascii="Arial" w:hAnsi="Arial" w:cs="Arial"/>
          <w:bCs/>
          <w:sz w:val="20"/>
          <w:szCs w:val="20"/>
        </w:rPr>
        <w:t xml:space="preserve">uch of the existing infrastructure </w:t>
      </w:r>
      <w:r w:rsidR="00064F0D">
        <w:rPr>
          <w:rFonts w:ascii="Arial" w:hAnsi="Arial" w:cs="Arial"/>
          <w:bCs/>
          <w:sz w:val="20"/>
          <w:szCs w:val="20"/>
        </w:rPr>
        <w:t xml:space="preserve">in the City </w:t>
      </w:r>
      <w:r w:rsidR="00393AC0">
        <w:rPr>
          <w:rFonts w:ascii="Arial" w:hAnsi="Arial" w:cs="Arial"/>
          <w:bCs/>
          <w:sz w:val="20"/>
          <w:szCs w:val="20"/>
        </w:rPr>
        <w:t xml:space="preserve">was built many decades ago, often with the support of capital funding from other levels of government. This infrastructure is now reaching the end of its life or in need of significant renewal. </w:t>
      </w:r>
      <w:r>
        <w:rPr>
          <w:rFonts w:ascii="Arial" w:hAnsi="Arial" w:cs="Arial"/>
          <w:bCs/>
          <w:sz w:val="20"/>
          <w:szCs w:val="20"/>
        </w:rPr>
        <w:t>For many years</w:t>
      </w:r>
      <w:r w:rsidR="00393AC0">
        <w:rPr>
          <w:rFonts w:ascii="Arial" w:hAnsi="Arial" w:cs="Arial"/>
          <w:bCs/>
          <w:sz w:val="20"/>
          <w:szCs w:val="20"/>
        </w:rPr>
        <w:t xml:space="preserve"> there has been </w:t>
      </w:r>
      <w:r w:rsidR="00B30DAD">
        <w:rPr>
          <w:rFonts w:ascii="Arial" w:hAnsi="Arial" w:cs="Arial"/>
          <w:bCs/>
          <w:sz w:val="20"/>
          <w:szCs w:val="20"/>
        </w:rPr>
        <w:t xml:space="preserve">underfunding of </w:t>
      </w:r>
      <w:r w:rsidR="00393AC0">
        <w:rPr>
          <w:rFonts w:ascii="Arial" w:hAnsi="Arial" w:cs="Arial"/>
          <w:bCs/>
          <w:sz w:val="20"/>
          <w:szCs w:val="20"/>
        </w:rPr>
        <w:t xml:space="preserve">required </w:t>
      </w:r>
      <w:r w:rsidR="00B30DAD">
        <w:rPr>
          <w:rFonts w:ascii="Arial" w:hAnsi="Arial" w:cs="Arial"/>
          <w:bCs/>
          <w:sz w:val="20"/>
          <w:szCs w:val="20"/>
        </w:rPr>
        <w:t>asset renewal and maintenance resulting in an infrastructure funding backlog of $183 million</w:t>
      </w:r>
      <w:r w:rsidR="00266D24">
        <w:rPr>
          <w:rFonts w:ascii="Arial" w:hAnsi="Arial" w:cs="Arial"/>
          <w:bCs/>
          <w:sz w:val="20"/>
          <w:szCs w:val="20"/>
        </w:rPr>
        <w:t xml:space="preserve"> </w:t>
      </w:r>
      <w:r w:rsidR="005A36EF">
        <w:rPr>
          <w:rFonts w:ascii="Arial" w:hAnsi="Arial" w:cs="Arial"/>
          <w:bCs/>
          <w:sz w:val="20"/>
          <w:szCs w:val="20"/>
        </w:rPr>
        <w:t>which exposes the City to growing risk and liability</w:t>
      </w:r>
      <w:r w:rsidR="00E87091">
        <w:rPr>
          <w:rFonts w:ascii="Arial" w:hAnsi="Arial" w:cs="Arial"/>
          <w:bCs/>
          <w:sz w:val="20"/>
          <w:szCs w:val="20"/>
        </w:rPr>
        <w:t>,</w:t>
      </w:r>
      <w:r w:rsidR="000373ED">
        <w:rPr>
          <w:rFonts w:ascii="Arial" w:hAnsi="Arial" w:cs="Arial"/>
          <w:bCs/>
          <w:sz w:val="20"/>
          <w:szCs w:val="20"/>
        </w:rPr>
        <w:t xml:space="preserve"> which cannot be ignored</w:t>
      </w:r>
      <w:r w:rsidR="005A36EF">
        <w:rPr>
          <w:rFonts w:ascii="Arial" w:hAnsi="Arial" w:cs="Arial"/>
          <w:bCs/>
          <w:sz w:val="20"/>
          <w:szCs w:val="20"/>
        </w:rPr>
        <w:t>.</w:t>
      </w:r>
      <w:r w:rsidR="009012F5">
        <w:rPr>
          <w:rStyle w:val="FootnoteReference"/>
          <w:rFonts w:cs="Arial"/>
          <w:bCs/>
        </w:rPr>
        <w:footnoteReference w:id="2"/>
      </w:r>
      <w:r w:rsidR="003F62F3">
        <w:rPr>
          <w:rFonts w:ascii="Arial" w:hAnsi="Arial" w:cs="Arial"/>
          <w:bCs/>
          <w:sz w:val="20"/>
          <w:szCs w:val="20"/>
        </w:rPr>
        <w:t xml:space="preserve"> </w:t>
      </w:r>
      <w:r w:rsidR="00406AA2">
        <w:rPr>
          <w:rFonts w:ascii="Arial" w:hAnsi="Arial" w:cs="Arial"/>
          <w:bCs/>
          <w:sz w:val="20"/>
          <w:szCs w:val="20"/>
        </w:rPr>
        <w:t xml:space="preserve">The </w:t>
      </w:r>
      <w:r w:rsidR="005A36EF">
        <w:rPr>
          <w:rFonts w:ascii="Arial" w:hAnsi="Arial" w:cs="Arial"/>
          <w:bCs/>
          <w:sz w:val="20"/>
          <w:szCs w:val="20"/>
        </w:rPr>
        <w:t>C</w:t>
      </w:r>
      <w:r w:rsidR="00406AA2">
        <w:rPr>
          <w:rFonts w:ascii="Arial" w:hAnsi="Arial" w:cs="Arial"/>
          <w:bCs/>
          <w:sz w:val="20"/>
          <w:szCs w:val="20"/>
        </w:rPr>
        <w:t xml:space="preserve">ouncil </w:t>
      </w:r>
      <w:r w:rsidR="00B30DAD">
        <w:rPr>
          <w:rFonts w:ascii="Arial" w:hAnsi="Arial" w:cs="Arial"/>
          <w:bCs/>
          <w:sz w:val="20"/>
          <w:szCs w:val="20"/>
        </w:rPr>
        <w:t>estimate</w:t>
      </w:r>
      <w:r w:rsidR="00406AA2">
        <w:rPr>
          <w:rFonts w:ascii="Arial" w:hAnsi="Arial" w:cs="Arial"/>
          <w:bCs/>
          <w:sz w:val="20"/>
          <w:szCs w:val="20"/>
        </w:rPr>
        <w:t>s</w:t>
      </w:r>
      <w:r w:rsidR="00B30DAD">
        <w:rPr>
          <w:rFonts w:ascii="Arial" w:hAnsi="Arial" w:cs="Arial"/>
          <w:bCs/>
          <w:sz w:val="20"/>
          <w:szCs w:val="20"/>
        </w:rPr>
        <w:t xml:space="preserve"> that 21% of our </w:t>
      </w:r>
      <w:r w:rsidR="000D2D70">
        <w:rPr>
          <w:rFonts w:ascii="Arial" w:hAnsi="Arial" w:cs="Arial"/>
          <w:bCs/>
          <w:sz w:val="20"/>
          <w:szCs w:val="20"/>
        </w:rPr>
        <w:t xml:space="preserve">$1 billion worth of </w:t>
      </w:r>
      <w:r w:rsidR="00B30DAD">
        <w:rPr>
          <w:rFonts w:ascii="Arial" w:hAnsi="Arial" w:cs="Arial"/>
          <w:bCs/>
          <w:sz w:val="20"/>
          <w:szCs w:val="20"/>
        </w:rPr>
        <w:t xml:space="preserve">built assets are </w:t>
      </w:r>
      <w:r w:rsidR="0002562B">
        <w:rPr>
          <w:rFonts w:ascii="Arial" w:hAnsi="Arial" w:cs="Arial"/>
          <w:bCs/>
          <w:sz w:val="20"/>
          <w:szCs w:val="20"/>
        </w:rPr>
        <w:t xml:space="preserve">currently </w:t>
      </w:r>
      <w:r w:rsidR="00B30DAD">
        <w:rPr>
          <w:rFonts w:ascii="Arial" w:hAnsi="Arial" w:cs="Arial"/>
          <w:bCs/>
          <w:sz w:val="20"/>
          <w:szCs w:val="20"/>
        </w:rPr>
        <w:t>in poor condition and this will increase to 37% by 2024 without corrective action</w:t>
      </w:r>
      <w:r w:rsidR="00D96687">
        <w:rPr>
          <w:rFonts w:ascii="Arial" w:hAnsi="Arial" w:cs="Arial"/>
          <w:bCs/>
          <w:sz w:val="20"/>
          <w:szCs w:val="20"/>
        </w:rPr>
        <w:t xml:space="preserve"> and a rebalancing of service levels</w:t>
      </w:r>
      <w:r w:rsidR="00B30DAD">
        <w:rPr>
          <w:rFonts w:ascii="Arial" w:hAnsi="Arial" w:cs="Arial"/>
          <w:bCs/>
          <w:sz w:val="20"/>
          <w:szCs w:val="20"/>
        </w:rPr>
        <w:t xml:space="preserve">. </w:t>
      </w:r>
    </w:p>
    <w:p w14:paraId="3DC49192" w14:textId="77777777" w:rsidR="004D34E3" w:rsidRDefault="004D34E3" w:rsidP="00172AE5">
      <w:pPr>
        <w:spacing w:line="276" w:lineRule="auto"/>
        <w:jc w:val="both"/>
        <w:rPr>
          <w:rFonts w:ascii="Arial" w:hAnsi="Arial" w:cs="Arial"/>
          <w:bCs/>
          <w:sz w:val="20"/>
          <w:szCs w:val="20"/>
        </w:rPr>
      </w:pPr>
    </w:p>
    <w:p w14:paraId="1816AF7D" w14:textId="51A0D408" w:rsidR="00EB7E6B" w:rsidRDefault="00892567" w:rsidP="00172AE5">
      <w:pPr>
        <w:spacing w:line="276" w:lineRule="auto"/>
        <w:jc w:val="both"/>
        <w:rPr>
          <w:rFonts w:ascii="Arial" w:hAnsi="Arial" w:cs="Arial"/>
          <w:bCs/>
          <w:sz w:val="20"/>
          <w:szCs w:val="20"/>
        </w:rPr>
      </w:pPr>
      <w:r>
        <w:rPr>
          <w:rFonts w:ascii="Arial" w:hAnsi="Arial" w:cs="Arial"/>
          <w:bCs/>
          <w:sz w:val="20"/>
          <w:szCs w:val="20"/>
        </w:rPr>
        <w:t>The Council has worked hard to deliver the best possible services to the community, efficiently and within available funding. To address the City’s financial challenges t</w:t>
      </w:r>
      <w:r w:rsidR="00306DD9">
        <w:rPr>
          <w:rFonts w:ascii="Arial" w:hAnsi="Arial" w:cs="Arial"/>
          <w:bCs/>
          <w:sz w:val="20"/>
          <w:szCs w:val="20"/>
        </w:rPr>
        <w:t xml:space="preserve">he Council has taken initiative </w:t>
      </w:r>
      <w:r w:rsidR="00996A3A">
        <w:rPr>
          <w:rFonts w:ascii="Arial" w:hAnsi="Arial" w:cs="Arial"/>
          <w:bCs/>
          <w:sz w:val="20"/>
          <w:szCs w:val="20"/>
        </w:rPr>
        <w:t xml:space="preserve">in </w:t>
      </w:r>
      <w:r w:rsidR="00174691">
        <w:rPr>
          <w:rFonts w:ascii="Arial" w:hAnsi="Arial" w:cs="Arial"/>
          <w:bCs/>
          <w:sz w:val="20"/>
          <w:szCs w:val="20"/>
        </w:rPr>
        <w:t xml:space="preserve">developing </w:t>
      </w:r>
      <w:r w:rsidR="00306DD9">
        <w:rPr>
          <w:rFonts w:ascii="Arial" w:hAnsi="Arial" w:cs="Arial"/>
          <w:bCs/>
          <w:sz w:val="20"/>
          <w:szCs w:val="20"/>
        </w:rPr>
        <w:t xml:space="preserve">a </w:t>
      </w:r>
      <w:r w:rsidR="00174691">
        <w:rPr>
          <w:rFonts w:ascii="Arial" w:hAnsi="Arial" w:cs="Arial"/>
          <w:bCs/>
          <w:sz w:val="20"/>
          <w:szCs w:val="20"/>
        </w:rPr>
        <w:t xml:space="preserve">comprehensive </w:t>
      </w:r>
      <w:r w:rsidR="00306DD9" w:rsidRPr="00916391">
        <w:rPr>
          <w:rFonts w:ascii="Arial" w:hAnsi="Arial" w:cs="Arial"/>
          <w:bCs/>
          <w:i/>
          <w:sz w:val="20"/>
          <w:szCs w:val="20"/>
        </w:rPr>
        <w:t>Six Point Strategy for Financial Sustainability</w:t>
      </w:r>
      <w:r w:rsidR="00A7711B">
        <w:rPr>
          <w:rFonts w:ascii="Arial" w:hAnsi="Arial" w:cs="Arial"/>
          <w:bCs/>
          <w:i/>
          <w:sz w:val="20"/>
          <w:szCs w:val="20"/>
        </w:rPr>
        <w:t xml:space="preserve">. </w:t>
      </w:r>
      <w:r w:rsidR="00A7711B">
        <w:rPr>
          <w:rFonts w:ascii="Arial" w:hAnsi="Arial" w:cs="Arial"/>
          <w:bCs/>
          <w:sz w:val="20"/>
          <w:szCs w:val="20"/>
        </w:rPr>
        <w:t xml:space="preserve">Key strategies </w:t>
      </w:r>
      <w:r w:rsidR="00E619E1" w:rsidRPr="00E619E1">
        <w:rPr>
          <w:rFonts w:ascii="Arial" w:hAnsi="Arial" w:cs="Arial"/>
          <w:bCs/>
          <w:sz w:val="20"/>
          <w:szCs w:val="20"/>
        </w:rPr>
        <w:t>include tak</w:t>
      </w:r>
      <w:r w:rsidR="00A7711B">
        <w:rPr>
          <w:rFonts w:ascii="Arial" w:hAnsi="Arial" w:cs="Arial"/>
          <w:bCs/>
          <w:sz w:val="20"/>
          <w:szCs w:val="20"/>
        </w:rPr>
        <w:t>ing</w:t>
      </w:r>
      <w:r w:rsidR="00E619E1" w:rsidRPr="00E619E1">
        <w:rPr>
          <w:rFonts w:ascii="Arial" w:hAnsi="Arial" w:cs="Arial"/>
          <w:bCs/>
          <w:sz w:val="20"/>
          <w:szCs w:val="20"/>
        </w:rPr>
        <w:t xml:space="preserve"> action to</w:t>
      </w:r>
      <w:r w:rsidR="0047248F">
        <w:rPr>
          <w:rFonts w:ascii="Arial" w:hAnsi="Arial" w:cs="Arial"/>
          <w:bCs/>
          <w:sz w:val="20"/>
          <w:szCs w:val="20"/>
        </w:rPr>
        <w:t>:</w:t>
      </w:r>
      <w:r w:rsidR="00E619E1" w:rsidRPr="00E619E1">
        <w:rPr>
          <w:rFonts w:ascii="Arial" w:hAnsi="Arial" w:cs="Arial"/>
          <w:bCs/>
          <w:sz w:val="20"/>
          <w:szCs w:val="20"/>
        </w:rPr>
        <w:t xml:space="preserve"> </w:t>
      </w:r>
      <w:r w:rsidR="0047248F">
        <w:rPr>
          <w:rFonts w:ascii="Arial" w:hAnsi="Arial" w:cs="Arial"/>
          <w:bCs/>
          <w:sz w:val="20"/>
          <w:szCs w:val="20"/>
        </w:rPr>
        <w:t>1. A</w:t>
      </w:r>
      <w:r w:rsidR="0055398E" w:rsidRPr="00E619E1">
        <w:rPr>
          <w:rFonts w:ascii="Arial" w:hAnsi="Arial" w:cs="Arial"/>
          <w:bCs/>
          <w:sz w:val="20"/>
          <w:szCs w:val="20"/>
        </w:rPr>
        <w:t xml:space="preserve">void </w:t>
      </w:r>
      <w:r w:rsidR="0047248F">
        <w:rPr>
          <w:rFonts w:ascii="Arial" w:hAnsi="Arial" w:cs="Arial"/>
          <w:bCs/>
          <w:sz w:val="20"/>
          <w:szCs w:val="20"/>
        </w:rPr>
        <w:t>S</w:t>
      </w:r>
      <w:r w:rsidR="0055398E" w:rsidRPr="00E619E1">
        <w:rPr>
          <w:rFonts w:ascii="Arial" w:hAnsi="Arial" w:cs="Arial"/>
          <w:bCs/>
          <w:sz w:val="20"/>
          <w:szCs w:val="20"/>
        </w:rPr>
        <w:t>hocks</w:t>
      </w:r>
      <w:r w:rsidR="00A7711B">
        <w:rPr>
          <w:rFonts w:ascii="Arial" w:hAnsi="Arial" w:cs="Arial"/>
          <w:bCs/>
          <w:sz w:val="20"/>
          <w:szCs w:val="20"/>
        </w:rPr>
        <w:t>,</w:t>
      </w:r>
      <w:r w:rsidR="0055398E" w:rsidRPr="00E619E1">
        <w:rPr>
          <w:rFonts w:ascii="Arial" w:hAnsi="Arial" w:cs="Arial"/>
          <w:bCs/>
          <w:sz w:val="20"/>
          <w:szCs w:val="20"/>
        </w:rPr>
        <w:t xml:space="preserve"> </w:t>
      </w:r>
      <w:r w:rsidR="0047248F">
        <w:rPr>
          <w:rFonts w:ascii="Arial" w:hAnsi="Arial" w:cs="Arial"/>
          <w:bCs/>
          <w:sz w:val="20"/>
          <w:szCs w:val="20"/>
        </w:rPr>
        <w:t>2. B</w:t>
      </w:r>
      <w:r w:rsidR="0055398E" w:rsidRPr="00E619E1">
        <w:rPr>
          <w:rFonts w:ascii="Arial" w:hAnsi="Arial" w:cs="Arial"/>
          <w:bCs/>
          <w:sz w:val="20"/>
          <w:szCs w:val="20"/>
        </w:rPr>
        <w:t xml:space="preserve">alance the </w:t>
      </w:r>
      <w:r w:rsidR="0047248F">
        <w:rPr>
          <w:rFonts w:ascii="Arial" w:hAnsi="Arial" w:cs="Arial"/>
          <w:bCs/>
          <w:sz w:val="20"/>
          <w:szCs w:val="20"/>
        </w:rPr>
        <w:t>B</w:t>
      </w:r>
      <w:r w:rsidR="00E619E1" w:rsidRPr="00E619E1">
        <w:rPr>
          <w:rFonts w:ascii="Arial" w:hAnsi="Arial" w:cs="Arial"/>
          <w:bCs/>
          <w:sz w:val="20"/>
          <w:szCs w:val="20"/>
        </w:rPr>
        <w:t xml:space="preserve">udget, </w:t>
      </w:r>
      <w:r w:rsidR="0047248F">
        <w:rPr>
          <w:rFonts w:ascii="Arial" w:hAnsi="Arial" w:cs="Arial"/>
          <w:bCs/>
          <w:sz w:val="20"/>
          <w:szCs w:val="20"/>
        </w:rPr>
        <w:t>3. M</w:t>
      </w:r>
      <w:r w:rsidR="0055398E" w:rsidRPr="00E619E1">
        <w:rPr>
          <w:rFonts w:ascii="Arial" w:hAnsi="Arial" w:cs="Arial"/>
          <w:bCs/>
          <w:sz w:val="20"/>
          <w:szCs w:val="20"/>
        </w:rPr>
        <w:t xml:space="preserve">anage </w:t>
      </w:r>
      <w:r w:rsidR="0047248F">
        <w:rPr>
          <w:rFonts w:ascii="Arial" w:hAnsi="Arial" w:cs="Arial"/>
          <w:bCs/>
          <w:sz w:val="20"/>
          <w:szCs w:val="20"/>
        </w:rPr>
        <w:t>B</w:t>
      </w:r>
      <w:r w:rsidR="0055398E" w:rsidRPr="00E619E1">
        <w:rPr>
          <w:rFonts w:ascii="Arial" w:hAnsi="Arial" w:cs="Arial"/>
          <w:bCs/>
          <w:sz w:val="20"/>
          <w:szCs w:val="20"/>
        </w:rPr>
        <w:t xml:space="preserve">orrowings </w:t>
      </w:r>
      <w:r w:rsidR="0047248F">
        <w:rPr>
          <w:rFonts w:ascii="Arial" w:hAnsi="Arial" w:cs="Arial"/>
          <w:bCs/>
          <w:sz w:val="20"/>
          <w:szCs w:val="20"/>
        </w:rPr>
        <w:t>R</w:t>
      </w:r>
      <w:r w:rsidR="0055398E" w:rsidRPr="00E619E1">
        <w:rPr>
          <w:rFonts w:ascii="Arial" w:hAnsi="Arial" w:cs="Arial"/>
          <w:bCs/>
          <w:sz w:val="20"/>
          <w:szCs w:val="20"/>
        </w:rPr>
        <w:t xml:space="preserve">esponsibly, </w:t>
      </w:r>
      <w:r w:rsidR="0047248F">
        <w:rPr>
          <w:rFonts w:ascii="Arial" w:hAnsi="Arial" w:cs="Arial"/>
          <w:bCs/>
          <w:sz w:val="20"/>
          <w:szCs w:val="20"/>
        </w:rPr>
        <w:t>4. I</w:t>
      </w:r>
      <w:r w:rsidR="00E619E1" w:rsidRPr="00E619E1">
        <w:rPr>
          <w:rFonts w:ascii="Arial" w:hAnsi="Arial" w:cs="Arial"/>
          <w:bCs/>
          <w:sz w:val="20"/>
          <w:szCs w:val="20"/>
        </w:rPr>
        <w:t xml:space="preserve">ncrease </w:t>
      </w:r>
      <w:r w:rsidR="0047248F">
        <w:rPr>
          <w:rFonts w:ascii="Arial" w:hAnsi="Arial" w:cs="Arial"/>
          <w:bCs/>
          <w:sz w:val="20"/>
          <w:szCs w:val="20"/>
        </w:rPr>
        <w:t>I</w:t>
      </w:r>
      <w:r w:rsidR="0055398E" w:rsidRPr="00E619E1">
        <w:rPr>
          <w:rFonts w:ascii="Arial" w:hAnsi="Arial" w:cs="Arial"/>
          <w:bCs/>
          <w:sz w:val="20"/>
          <w:szCs w:val="20"/>
        </w:rPr>
        <w:t xml:space="preserve">ncome, </w:t>
      </w:r>
      <w:r w:rsidR="0047248F">
        <w:rPr>
          <w:rFonts w:ascii="Arial" w:hAnsi="Arial" w:cs="Arial"/>
          <w:bCs/>
          <w:sz w:val="20"/>
          <w:szCs w:val="20"/>
        </w:rPr>
        <w:t>5. R</w:t>
      </w:r>
      <w:r w:rsidR="00E619E1" w:rsidRPr="00E619E1">
        <w:rPr>
          <w:rFonts w:ascii="Arial" w:hAnsi="Arial" w:cs="Arial"/>
          <w:bCs/>
          <w:sz w:val="20"/>
          <w:szCs w:val="20"/>
        </w:rPr>
        <w:t xml:space="preserve">eview and </w:t>
      </w:r>
      <w:r w:rsidR="0047248F">
        <w:rPr>
          <w:rFonts w:ascii="Arial" w:hAnsi="Arial" w:cs="Arial"/>
          <w:bCs/>
          <w:sz w:val="20"/>
          <w:szCs w:val="20"/>
        </w:rPr>
        <w:t>A</w:t>
      </w:r>
      <w:r w:rsidR="0055398E" w:rsidRPr="00E619E1">
        <w:rPr>
          <w:rFonts w:ascii="Arial" w:hAnsi="Arial" w:cs="Arial"/>
          <w:bCs/>
          <w:sz w:val="20"/>
          <w:szCs w:val="20"/>
        </w:rPr>
        <w:t xml:space="preserve">djust </w:t>
      </w:r>
      <w:r w:rsidR="0047248F">
        <w:rPr>
          <w:rFonts w:ascii="Arial" w:hAnsi="Arial" w:cs="Arial"/>
          <w:bCs/>
          <w:sz w:val="20"/>
          <w:szCs w:val="20"/>
        </w:rPr>
        <w:t>S</w:t>
      </w:r>
      <w:r w:rsidR="0055398E" w:rsidRPr="00E619E1">
        <w:rPr>
          <w:rFonts w:ascii="Arial" w:hAnsi="Arial" w:cs="Arial"/>
          <w:bCs/>
          <w:sz w:val="20"/>
          <w:szCs w:val="20"/>
        </w:rPr>
        <w:t>ervices</w:t>
      </w:r>
      <w:r w:rsidR="00FC3E90" w:rsidRPr="00E619E1">
        <w:rPr>
          <w:rFonts w:ascii="Arial" w:hAnsi="Arial" w:cs="Arial"/>
          <w:bCs/>
          <w:sz w:val="20"/>
          <w:szCs w:val="20"/>
        </w:rPr>
        <w:t xml:space="preserve"> </w:t>
      </w:r>
      <w:r w:rsidR="00E619E1" w:rsidRPr="00E619E1">
        <w:rPr>
          <w:rFonts w:ascii="Arial" w:hAnsi="Arial" w:cs="Arial"/>
          <w:bCs/>
          <w:sz w:val="20"/>
          <w:szCs w:val="20"/>
        </w:rPr>
        <w:t xml:space="preserve">in </w:t>
      </w:r>
      <w:r w:rsidR="0047248F">
        <w:rPr>
          <w:rFonts w:ascii="Arial" w:hAnsi="Arial" w:cs="Arial"/>
          <w:bCs/>
          <w:sz w:val="20"/>
          <w:szCs w:val="20"/>
        </w:rPr>
        <w:t>C</w:t>
      </w:r>
      <w:r w:rsidR="00E619E1" w:rsidRPr="00E619E1">
        <w:rPr>
          <w:rFonts w:ascii="Arial" w:hAnsi="Arial" w:cs="Arial"/>
          <w:bCs/>
          <w:sz w:val="20"/>
          <w:szCs w:val="20"/>
        </w:rPr>
        <w:t xml:space="preserve">onsultation with </w:t>
      </w:r>
      <w:r w:rsidR="0047248F">
        <w:rPr>
          <w:rFonts w:ascii="Arial" w:hAnsi="Arial" w:cs="Arial"/>
          <w:bCs/>
          <w:sz w:val="20"/>
          <w:szCs w:val="20"/>
        </w:rPr>
        <w:t>C</w:t>
      </w:r>
      <w:r w:rsidR="00E619E1" w:rsidRPr="00E619E1">
        <w:rPr>
          <w:rFonts w:ascii="Arial" w:hAnsi="Arial" w:cs="Arial"/>
          <w:bCs/>
          <w:sz w:val="20"/>
          <w:szCs w:val="20"/>
        </w:rPr>
        <w:t xml:space="preserve">ommunity and </w:t>
      </w:r>
      <w:r w:rsidR="0047248F">
        <w:rPr>
          <w:rFonts w:ascii="Arial" w:hAnsi="Arial" w:cs="Arial"/>
          <w:bCs/>
          <w:sz w:val="20"/>
          <w:szCs w:val="20"/>
        </w:rPr>
        <w:t>6. I</w:t>
      </w:r>
      <w:r w:rsidR="0055398E" w:rsidRPr="00E619E1">
        <w:rPr>
          <w:rFonts w:ascii="Arial" w:hAnsi="Arial" w:cs="Arial"/>
          <w:bCs/>
          <w:sz w:val="20"/>
          <w:szCs w:val="20"/>
        </w:rPr>
        <w:t xml:space="preserve">ncrease </w:t>
      </w:r>
      <w:r w:rsidR="0047248F">
        <w:rPr>
          <w:rFonts w:ascii="Arial" w:hAnsi="Arial" w:cs="Arial"/>
          <w:bCs/>
          <w:sz w:val="20"/>
          <w:szCs w:val="20"/>
        </w:rPr>
        <w:t>A</w:t>
      </w:r>
      <w:r w:rsidR="0055398E" w:rsidRPr="00E619E1">
        <w:rPr>
          <w:rFonts w:ascii="Arial" w:hAnsi="Arial" w:cs="Arial"/>
          <w:bCs/>
          <w:sz w:val="20"/>
          <w:szCs w:val="20"/>
        </w:rPr>
        <w:t xml:space="preserve">dvocacy and </w:t>
      </w:r>
      <w:r w:rsidR="0047248F">
        <w:rPr>
          <w:rFonts w:ascii="Arial" w:hAnsi="Arial" w:cs="Arial"/>
          <w:bCs/>
          <w:sz w:val="20"/>
          <w:szCs w:val="20"/>
        </w:rPr>
        <w:t>P</w:t>
      </w:r>
      <w:r w:rsidR="0055398E" w:rsidRPr="00E619E1">
        <w:rPr>
          <w:rFonts w:ascii="Arial" w:hAnsi="Arial" w:cs="Arial"/>
          <w:bCs/>
          <w:sz w:val="20"/>
          <w:szCs w:val="20"/>
        </w:rPr>
        <w:t xml:space="preserve">artnerships. </w:t>
      </w:r>
      <w:r w:rsidR="0047248F">
        <w:rPr>
          <w:rFonts w:ascii="Arial" w:hAnsi="Arial" w:cs="Arial"/>
          <w:bCs/>
          <w:sz w:val="20"/>
          <w:szCs w:val="20"/>
        </w:rPr>
        <w:t xml:space="preserve">This application is an integral component supporting achievement of </w:t>
      </w:r>
      <w:r w:rsidR="00A7711B">
        <w:rPr>
          <w:rFonts w:ascii="Arial" w:hAnsi="Arial" w:cs="Arial"/>
          <w:bCs/>
          <w:sz w:val="20"/>
          <w:szCs w:val="20"/>
        </w:rPr>
        <w:t xml:space="preserve">many of </w:t>
      </w:r>
      <w:r w:rsidR="0047248F">
        <w:rPr>
          <w:rFonts w:ascii="Arial" w:hAnsi="Arial" w:cs="Arial"/>
          <w:bCs/>
          <w:sz w:val="20"/>
          <w:szCs w:val="20"/>
        </w:rPr>
        <w:t xml:space="preserve">these strategies. </w:t>
      </w:r>
    </w:p>
    <w:p w14:paraId="5B37E464" w14:textId="77777777" w:rsidR="00EB7E6B" w:rsidRDefault="00EB7E6B" w:rsidP="00172AE5">
      <w:pPr>
        <w:spacing w:line="276" w:lineRule="auto"/>
        <w:jc w:val="both"/>
        <w:rPr>
          <w:rFonts w:ascii="Arial" w:hAnsi="Arial" w:cs="Arial"/>
          <w:bCs/>
          <w:sz w:val="20"/>
          <w:szCs w:val="20"/>
        </w:rPr>
      </w:pPr>
    </w:p>
    <w:p w14:paraId="665CA7D6" w14:textId="21F314DE" w:rsidR="00DB6A06" w:rsidRDefault="007D778A" w:rsidP="00172AE5">
      <w:pPr>
        <w:spacing w:line="276" w:lineRule="auto"/>
        <w:jc w:val="both"/>
        <w:rPr>
          <w:rFonts w:ascii="Arial" w:hAnsi="Arial" w:cs="Arial"/>
          <w:bCs/>
          <w:sz w:val="20"/>
          <w:szCs w:val="20"/>
        </w:rPr>
      </w:pPr>
      <w:r>
        <w:rPr>
          <w:rFonts w:ascii="Arial" w:hAnsi="Arial" w:cs="Arial"/>
          <w:bCs/>
          <w:sz w:val="20"/>
          <w:szCs w:val="20"/>
        </w:rPr>
        <w:t xml:space="preserve">Over the past four years the </w:t>
      </w:r>
      <w:r w:rsidR="00EB7E6B">
        <w:rPr>
          <w:rFonts w:ascii="Arial" w:hAnsi="Arial" w:cs="Arial"/>
          <w:bCs/>
          <w:sz w:val="20"/>
          <w:szCs w:val="20"/>
        </w:rPr>
        <w:t>Council has assessed the needs of</w:t>
      </w:r>
      <w:r>
        <w:rPr>
          <w:rFonts w:ascii="Arial" w:hAnsi="Arial" w:cs="Arial"/>
          <w:bCs/>
          <w:sz w:val="20"/>
          <w:szCs w:val="20"/>
        </w:rPr>
        <w:t xml:space="preserve"> the community and the City through </w:t>
      </w:r>
      <w:r w:rsidR="00EB7E6B">
        <w:rPr>
          <w:rFonts w:ascii="Arial" w:hAnsi="Arial" w:cs="Arial"/>
          <w:bCs/>
          <w:sz w:val="20"/>
          <w:szCs w:val="20"/>
        </w:rPr>
        <w:t xml:space="preserve">comprehensive </w:t>
      </w:r>
      <w:r>
        <w:rPr>
          <w:rFonts w:ascii="Arial" w:hAnsi="Arial" w:cs="Arial"/>
          <w:bCs/>
          <w:sz w:val="20"/>
          <w:szCs w:val="20"/>
        </w:rPr>
        <w:t xml:space="preserve">integrated planning, including </w:t>
      </w:r>
      <w:r w:rsidR="00EB7E6B">
        <w:rPr>
          <w:rFonts w:ascii="Arial" w:hAnsi="Arial" w:cs="Arial"/>
          <w:bCs/>
          <w:sz w:val="20"/>
          <w:szCs w:val="20"/>
        </w:rPr>
        <w:t xml:space="preserve">extensive </w:t>
      </w:r>
      <w:r>
        <w:rPr>
          <w:rFonts w:ascii="Arial" w:hAnsi="Arial" w:cs="Arial"/>
          <w:bCs/>
          <w:sz w:val="20"/>
          <w:szCs w:val="20"/>
        </w:rPr>
        <w:t>conversations</w:t>
      </w:r>
      <w:r w:rsidR="00EB7E6B">
        <w:rPr>
          <w:rFonts w:ascii="Arial" w:hAnsi="Arial" w:cs="Arial"/>
          <w:bCs/>
          <w:sz w:val="20"/>
          <w:szCs w:val="20"/>
        </w:rPr>
        <w:t xml:space="preserve"> with the community </w:t>
      </w:r>
      <w:r w:rsidR="00A7711B">
        <w:rPr>
          <w:rFonts w:ascii="Arial" w:hAnsi="Arial" w:cs="Arial"/>
          <w:bCs/>
          <w:sz w:val="20"/>
          <w:szCs w:val="20"/>
        </w:rPr>
        <w:t xml:space="preserve">in 2010, 2012 and 2014 </w:t>
      </w:r>
      <w:r w:rsidR="000D2D70">
        <w:rPr>
          <w:rFonts w:ascii="Arial" w:hAnsi="Arial" w:cs="Arial"/>
          <w:bCs/>
          <w:sz w:val="20"/>
          <w:szCs w:val="20"/>
        </w:rPr>
        <w:t>on how best we can achieve acceptable and affordable levels of service</w:t>
      </w:r>
      <w:r w:rsidR="00E619E1">
        <w:rPr>
          <w:rFonts w:ascii="Arial" w:hAnsi="Arial" w:cs="Arial"/>
          <w:bCs/>
          <w:sz w:val="20"/>
          <w:szCs w:val="20"/>
        </w:rPr>
        <w:t xml:space="preserve">. </w:t>
      </w:r>
      <w:r w:rsidR="00E87091">
        <w:rPr>
          <w:rFonts w:ascii="Arial" w:hAnsi="Arial" w:cs="Arial"/>
          <w:bCs/>
          <w:sz w:val="20"/>
          <w:szCs w:val="20"/>
        </w:rPr>
        <w:t xml:space="preserve"> </w:t>
      </w:r>
      <w:r w:rsidR="006414D4">
        <w:rPr>
          <w:rFonts w:ascii="Arial" w:hAnsi="Arial" w:cs="Arial"/>
          <w:bCs/>
          <w:sz w:val="20"/>
          <w:szCs w:val="20"/>
        </w:rPr>
        <w:t>T</w:t>
      </w:r>
      <w:r w:rsidR="00174691" w:rsidRPr="000D2D70">
        <w:rPr>
          <w:rFonts w:ascii="Arial" w:hAnsi="Arial" w:cs="Arial"/>
          <w:bCs/>
          <w:sz w:val="20"/>
          <w:szCs w:val="20"/>
        </w:rPr>
        <w:t>his</w:t>
      </w:r>
      <w:r w:rsidR="00174691">
        <w:rPr>
          <w:rFonts w:ascii="Arial" w:hAnsi="Arial" w:cs="Arial"/>
          <w:bCs/>
          <w:i/>
          <w:sz w:val="20"/>
          <w:szCs w:val="20"/>
        </w:rPr>
        <w:t xml:space="preserve"> </w:t>
      </w:r>
      <w:r w:rsidR="00306DD9">
        <w:rPr>
          <w:rFonts w:ascii="Arial" w:hAnsi="Arial" w:cs="Arial"/>
          <w:bCs/>
          <w:sz w:val="20"/>
          <w:szCs w:val="20"/>
        </w:rPr>
        <w:t xml:space="preserve">application </w:t>
      </w:r>
      <w:r w:rsidR="00A7711B">
        <w:rPr>
          <w:rFonts w:ascii="Arial" w:hAnsi="Arial" w:cs="Arial"/>
          <w:bCs/>
          <w:sz w:val="20"/>
          <w:szCs w:val="20"/>
        </w:rPr>
        <w:t xml:space="preserve">reflects the outcomes of this work. It </w:t>
      </w:r>
      <w:r w:rsidR="00306DD9">
        <w:rPr>
          <w:rFonts w:ascii="Arial" w:hAnsi="Arial" w:cs="Arial"/>
          <w:bCs/>
          <w:sz w:val="20"/>
          <w:szCs w:val="20"/>
        </w:rPr>
        <w:t>forms</w:t>
      </w:r>
      <w:r w:rsidR="00174691">
        <w:rPr>
          <w:rFonts w:ascii="Arial" w:hAnsi="Arial" w:cs="Arial"/>
          <w:bCs/>
          <w:sz w:val="20"/>
          <w:szCs w:val="20"/>
        </w:rPr>
        <w:t xml:space="preserve"> part of a </w:t>
      </w:r>
      <w:r w:rsidR="00A7711B">
        <w:rPr>
          <w:rFonts w:ascii="Arial" w:hAnsi="Arial" w:cs="Arial"/>
          <w:bCs/>
          <w:sz w:val="20"/>
          <w:szCs w:val="20"/>
        </w:rPr>
        <w:t xml:space="preserve">carefully </w:t>
      </w:r>
      <w:r w:rsidR="00DB6A06">
        <w:rPr>
          <w:rFonts w:ascii="Arial" w:hAnsi="Arial" w:cs="Arial"/>
          <w:bCs/>
          <w:sz w:val="20"/>
          <w:szCs w:val="20"/>
        </w:rPr>
        <w:t xml:space="preserve">planned </w:t>
      </w:r>
      <w:r w:rsidR="00174691">
        <w:rPr>
          <w:rFonts w:ascii="Arial" w:hAnsi="Arial" w:cs="Arial"/>
          <w:bCs/>
          <w:sz w:val="20"/>
          <w:szCs w:val="20"/>
        </w:rPr>
        <w:t>two stage approach to phasing in special variations</w:t>
      </w:r>
      <w:r w:rsidR="008D003F">
        <w:rPr>
          <w:rFonts w:ascii="Arial" w:hAnsi="Arial" w:cs="Arial"/>
          <w:bCs/>
          <w:sz w:val="20"/>
          <w:szCs w:val="20"/>
        </w:rPr>
        <w:t xml:space="preserve">, </w:t>
      </w:r>
      <w:r w:rsidR="00174691">
        <w:rPr>
          <w:rFonts w:ascii="Arial" w:hAnsi="Arial" w:cs="Arial"/>
          <w:bCs/>
          <w:sz w:val="20"/>
          <w:szCs w:val="20"/>
        </w:rPr>
        <w:t xml:space="preserve">developed in </w:t>
      </w:r>
      <w:r w:rsidR="00A7711B">
        <w:rPr>
          <w:rFonts w:ascii="Arial" w:hAnsi="Arial" w:cs="Arial"/>
          <w:bCs/>
          <w:sz w:val="20"/>
          <w:szCs w:val="20"/>
        </w:rPr>
        <w:t xml:space="preserve">close </w:t>
      </w:r>
      <w:r w:rsidR="00174691">
        <w:rPr>
          <w:rFonts w:ascii="Arial" w:hAnsi="Arial" w:cs="Arial"/>
          <w:bCs/>
          <w:sz w:val="20"/>
          <w:szCs w:val="20"/>
        </w:rPr>
        <w:t>consultation with the community</w:t>
      </w:r>
      <w:r w:rsidR="00857FBB">
        <w:rPr>
          <w:rFonts w:ascii="Arial" w:hAnsi="Arial" w:cs="Arial"/>
          <w:bCs/>
          <w:sz w:val="20"/>
          <w:szCs w:val="20"/>
        </w:rPr>
        <w:t xml:space="preserve"> taking into consideration capacity </w:t>
      </w:r>
      <w:r w:rsidR="00E87091">
        <w:rPr>
          <w:rFonts w:ascii="Arial" w:hAnsi="Arial" w:cs="Arial"/>
          <w:bCs/>
          <w:sz w:val="20"/>
          <w:szCs w:val="20"/>
        </w:rPr>
        <w:t xml:space="preserve">and willingness </w:t>
      </w:r>
      <w:r w:rsidR="00857FBB">
        <w:rPr>
          <w:rFonts w:ascii="Arial" w:hAnsi="Arial" w:cs="Arial"/>
          <w:bCs/>
          <w:sz w:val="20"/>
          <w:szCs w:val="20"/>
        </w:rPr>
        <w:t>to pay</w:t>
      </w:r>
      <w:r w:rsidR="00174691">
        <w:rPr>
          <w:rFonts w:ascii="Arial" w:hAnsi="Arial" w:cs="Arial"/>
          <w:bCs/>
          <w:sz w:val="20"/>
          <w:szCs w:val="20"/>
        </w:rPr>
        <w:t>.</w:t>
      </w:r>
      <w:r w:rsidR="00857FBB">
        <w:rPr>
          <w:rFonts w:ascii="Arial" w:hAnsi="Arial" w:cs="Arial"/>
          <w:bCs/>
          <w:sz w:val="20"/>
          <w:szCs w:val="20"/>
        </w:rPr>
        <w:t xml:space="preserve"> </w:t>
      </w:r>
      <w:r w:rsidR="00174691">
        <w:rPr>
          <w:rFonts w:ascii="Arial" w:hAnsi="Arial" w:cs="Arial"/>
          <w:bCs/>
          <w:sz w:val="20"/>
          <w:szCs w:val="20"/>
        </w:rPr>
        <w:t xml:space="preserve"> The first stage has been successfully implemented </w:t>
      </w:r>
      <w:r w:rsidR="00AE7475">
        <w:rPr>
          <w:rFonts w:ascii="Arial" w:hAnsi="Arial" w:cs="Arial"/>
          <w:bCs/>
          <w:sz w:val="20"/>
          <w:szCs w:val="20"/>
        </w:rPr>
        <w:t xml:space="preserve">with community support </w:t>
      </w:r>
      <w:r w:rsidR="00174691">
        <w:rPr>
          <w:rFonts w:ascii="Arial" w:hAnsi="Arial" w:cs="Arial"/>
          <w:bCs/>
          <w:sz w:val="20"/>
          <w:szCs w:val="20"/>
        </w:rPr>
        <w:t>through continuation of an existing infr</w:t>
      </w:r>
      <w:r w:rsidR="008D003F">
        <w:rPr>
          <w:rFonts w:ascii="Arial" w:hAnsi="Arial" w:cs="Arial"/>
          <w:bCs/>
          <w:sz w:val="20"/>
          <w:szCs w:val="20"/>
        </w:rPr>
        <w:t>a</w:t>
      </w:r>
      <w:r w:rsidR="00174691">
        <w:rPr>
          <w:rFonts w:ascii="Arial" w:hAnsi="Arial" w:cs="Arial"/>
          <w:bCs/>
          <w:sz w:val="20"/>
          <w:szCs w:val="20"/>
        </w:rPr>
        <w:t>structure variation in 2013</w:t>
      </w:r>
      <w:r w:rsidR="008D003F">
        <w:rPr>
          <w:rFonts w:ascii="Arial" w:hAnsi="Arial" w:cs="Arial"/>
          <w:bCs/>
          <w:sz w:val="20"/>
          <w:szCs w:val="20"/>
        </w:rPr>
        <w:t>/14</w:t>
      </w:r>
      <w:r w:rsidR="00AE7475">
        <w:rPr>
          <w:rFonts w:ascii="Arial" w:hAnsi="Arial" w:cs="Arial"/>
          <w:bCs/>
          <w:sz w:val="20"/>
          <w:szCs w:val="20"/>
        </w:rPr>
        <w:t>.</w:t>
      </w:r>
      <w:r w:rsidR="00174691">
        <w:rPr>
          <w:rFonts w:ascii="Arial" w:hAnsi="Arial" w:cs="Arial"/>
          <w:bCs/>
          <w:sz w:val="20"/>
          <w:szCs w:val="20"/>
        </w:rPr>
        <w:t xml:space="preserve"> This application </w:t>
      </w:r>
      <w:r w:rsidR="00857FBB">
        <w:rPr>
          <w:rFonts w:ascii="Arial" w:hAnsi="Arial" w:cs="Arial"/>
          <w:bCs/>
          <w:sz w:val="20"/>
          <w:szCs w:val="20"/>
        </w:rPr>
        <w:t xml:space="preserve">now delivers the </w:t>
      </w:r>
      <w:r w:rsidR="00174691">
        <w:rPr>
          <w:rFonts w:ascii="Arial" w:hAnsi="Arial" w:cs="Arial"/>
          <w:bCs/>
          <w:sz w:val="20"/>
          <w:szCs w:val="20"/>
        </w:rPr>
        <w:t>second stage</w:t>
      </w:r>
      <w:r w:rsidR="0013590F">
        <w:rPr>
          <w:rFonts w:ascii="Arial" w:hAnsi="Arial" w:cs="Arial"/>
          <w:bCs/>
          <w:sz w:val="20"/>
          <w:szCs w:val="20"/>
        </w:rPr>
        <w:t xml:space="preserve">, </w:t>
      </w:r>
      <w:r w:rsidR="00174691">
        <w:rPr>
          <w:rFonts w:ascii="Arial" w:hAnsi="Arial" w:cs="Arial"/>
          <w:bCs/>
          <w:sz w:val="20"/>
          <w:szCs w:val="20"/>
        </w:rPr>
        <w:t>providing additional income to</w:t>
      </w:r>
      <w:r w:rsidR="00306DD9">
        <w:rPr>
          <w:rFonts w:ascii="Arial" w:hAnsi="Arial" w:cs="Arial"/>
          <w:bCs/>
          <w:sz w:val="20"/>
          <w:szCs w:val="20"/>
        </w:rPr>
        <w:t xml:space="preserve"> </w:t>
      </w:r>
      <w:r w:rsidR="00AE7475">
        <w:rPr>
          <w:rFonts w:ascii="Arial" w:hAnsi="Arial" w:cs="Arial"/>
          <w:bCs/>
          <w:sz w:val="20"/>
          <w:szCs w:val="20"/>
        </w:rPr>
        <w:t xml:space="preserve">improve overall service levels through </w:t>
      </w:r>
      <w:r w:rsidR="00857FBB">
        <w:rPr>
          <w:rFonts w:ascii="Arial" w:hAnsi="Arial" w:cs="Arial"/>
          <w:bCs/>
          <w:sz w:val="20"/>
          <w:szCs w:val="20"/>
        </w:rPr>
        <w:t>revers</w:t>
      </w:r>
      <w:r w:rsidR="00AE7475">
        <w:rPr>
          <w:rFonts w:ascii="Arial" w:hAnsi="Arial" w:cs="Arial"/>
          <w:bCs/>
          <w:sz w:val="20"/>
          <w:szCs w:val="20"/>
        </w:rPr>
        <w:t>ing</w:t>
      </w:r>
      <w:r w:rsidR="00857FBB">
        <w:rPr>
          <w:rFonts w:ascii="Arial" w:hAnsi="Arial" w:cs="Arial"/>
          <w:bCs/>
          <w:sz w:val="20"/>
          <w:szCs w:val="20"/>
        </w:rPr>
        <w:t xml:space="preserve"> the decline in built infrastructure through funding required renewal and maintenance.</w:t>
      </w:r>
      <w:r w:rsidR="00E87091">
        <w:rPr>
          <w:rFonts w:ascii="Arial" w:hAnsi="Arial" w:cs="Arial"/>
          <w:bCs/>
          <w:sz w:val="20"/>
          <w:szCs w:val="20"/>
        </w:rPr>
        <w:t xml:space="preserve"> </w:t>
      </w:r>
    </w:p>
    <w:p w14:paraId="05D652FE" w14:textId="77777777" w:rsidR="00DB6A06" w:rsidRDefault="00DB6A06" w:rsidP="00172AE5">
      <w:pPr>
        <w:spacing w:line="276" w:lineRule="auto"/>
        <w:jc w:val="both"/>
        <w:rPr>
          <w:rFonts w:ascii="Arial" w:hAnsi="Arial" w:cs="Arial"/>
          <w:bCs/>
          <w:sz w:val="20"/>
          <w:szCs w:val="20"/>
        </w:rPr>
      </w:pPr>
    </w:p>
    <w:p w14:paraId="7B0B9ED3" w14:textId="7FE32A4B" w:rsidR="00857FBB" w:rsidRPr="00ED6D3D" w:rsidRDefault="00857FBB" w:rsidP="00172AE5">
      <w:pPr>
        <w:spacing w:line="276" w:lineRule="auto"/>
        <w:jc w:val="both"/>
        <w:rPr>
          <w:rFonts w:ascii="Arial" w:hAnsi="Arial" w:cs="Arial"/>
          <w:bCs/>
          <w:sz w:val="20"/>
          <w:szCs w:val="20"/>
        </w:rPr>
      </w:pPr>
      <w:r>
        <w:rPr>
          <w:rFonts w:ascii="Arial" w:hAnsi="Arial" w:cs="Arial"/>
          <w:bCs/>
          <w:sz w:val="20"/>
          <w:szCs w:val="20"/>
        </w:rPr>
        <w:t>Additional income from the variation w</w:t>
      </w:r>
      <w:r w:rsidR="00AD3F75">
        <w:rPr>
          <w:rFonts w:ascii="Arial" w:hAnsi="Arial" w:cs="Arial"/>
          <w:bCs/>
          <w:sz w:val="20"/>
          <w:szCs w:val="20"/>
        </w:rPr>
        <w:t>ill</w:t>
      </w:r>
      <w:r>
        <w:rPr>
          <w:rFonts w:ascii="Arial" w:hAnsi="Arial" w:cs="Arial"/>
          <w:bCs/>
          <w:sz w:val="20"/>
          <w:szCs w:val="20"/>
        </w:rPr>
        <w:t xml:space="preserve"> also target</w:t>
      </w:r>
      <w:r w:rsidR="0005141A">
        <w:rPr>
          <w:rFonts w:ascii="Arial" w:hAnsi="Arial" w:cs="Arial"/>
          <w:bCs/>
          <w:sz w:val="20"/>
          <w:szCs w:val="20"/>
        </w:rPr>
        <w:t xml:space="preserve"> other high priority areas </w:t>
      </w:r>
      <w:r w:rsidR="002D7959">
        <w:rPr>
          <w:rFonts w:ascii="Arial" w:hAnsi="Arial" w:cs="Arial"/>
          <w:bCs/>
          <w:sz w:val="20"/>
          <w:szCs w:val="20"/>
        </w:rPr>
        <w:t>consistently identified</w:t>
      </w:r>
      <w:r w:rsidR="0005141A">
        <w:rPr>
          <w:rFonts w:ascii="Arial" w:hAnsi="Arial" w:cs="Arial"/>
          <w:bCs/>
          <w:sz w:val="20"/>
          <w:szCs w:val="20"/>
        </w:rPr>
        <w:t xml:space="preserve"> by the community</w:t>
      </w:r>
      <w:r w:rsidR="0061576E">
        <w:rPr>
          <w:rFonts w:ascii="Arial" w:hAnsi="Arial" w:cs="Arial"/>
          <w:bCs/>
          <w:sz w:val="20"/>
          <w:szCs w:val="20"/>
        </w:rPr>
        <w:t xml:space="preserve"> over the last four years</w:t>
      </w:r>
      <w:r w:rsidR="0005141A">
        <w:rPr>
          <w:rFonts w:ascii="Arial" w:hAnsi="Arial" w:cs="Arial"/>
          <w:bCs/>
          <w:sz w:val="20"/>
          <w:szCs w:val="20"/>
        </w:rPr>
        <w:t>. These include</w:t>
      </w:r>
      <w:r>
        <w:rPr>
          <w:rFonts w:ascii="Arial" w:hAnsi="Arial" w:cs="Arial"/>
          <w:bCs/>
          <w:sz w:val="20"/>
          <w:szCs w:val="20"/>
        </w:rPr>
        <w:t xml:space="preserve">: improving our capacity to prepare and respond to emergencies such as the </w:t>
      </w:r>
      <w:r w:rsidR="0005141A">
        <w:rPr>
          <w:rFonts w:ascii="Arial" w:hAnsi="Arial" w:cs="Arial"/>
          <w:bCs/>
          <w:sz w:val="20"/>
          <w:szCs w:val="20"/>
        </w:rPr>
        <w:t xml:space="preserve">declared natural disasters experienced with the 2012 wind storms and the </w:t>
      </w:r>
      <w:r w:rsidR="00AD3F75">
        <w:rPr>
          <w:rFonts w:ascii="Arial" w:hAnsi="Arial" w:cs="Arial"/>
          <w:bCs/>
          <w:sz w:val="20"/>
          <w:szCs w:val="20"/>
        </w:rPr>
        <w:t xml:space="preserve">devastating </w:t>
      </w:r>
      <w:r w:rsidR="0005141A">
        <w:rPr>
          <w:rFonts w:ascii="Arial" w:hAnsi="Arial" w:cs="Arial"/>
          <w:bCs/>
          <w:sz w:val="20"/>
          <w:szCs w:val="20"/>
        </w:rPr>
        <w:t>October 2013 bushfires</w:t>
      </w:r>
      <w:r>
        <w:rPr>
          <w:rFonts w:ascii="Arial" w:hAnsi="Arial" w:cs="Arial"/>
          <w:bCs/>
          <w:sz w:val="20"/>
          <w:szCs w:val="20"/>
        </w:rPr>
        <w:t xml:space="preserve">; protecting </w:t>
      </w:r>
      <w:r w:rsidR="0003106F">
        <w:rPr>
          <w:rFonts w:ascii="Arial" w:hAnsi="Arial" w:cs="Arial"/>
          <w:bCs/>
          <w:sz w:val="20"/>
          <w:szCs w:val="20"/>
        </w:rPr>
        <w:t xml:space="preserve">and restoring </w:t>
      </w:r>
      <w:r>
        <w:rPr>
          <w:rFonts w:ascii="Arial" w:hAnsi="Arial" w:cs="Arial"/>
          <w:bCs/>
          <w:sz w:val="20"/>
          <w:szCs w:val="20"/>
        </w:rPr>
        <w:t xml:space="preserve">the </w:t>
      </w:r>
      <w:r w:rsidR="0036286E">
        <w:rPr>
          <w:rFonts w:ascii="Arial" w:hAnsi="Arial" w:cs="Arial"/>
          <w:bCs/>
          <w:sz w:val="20"/>
          <w:szCs w:val="20"/>
        </w:rPr>
        <w:t xml:space="preserve">natural </w:t>
      </w:r>
      <w:r>
        <w:rPr>
          <w:rFonts w:ascii="Arial" w:hAnsi="Arial" w:cs="Arial"/>
          <w:bCs/>
          <w:sz w:val="20"/>
          <w:szCs w:val="20"/>
        </w:rPr>
        <w:t xml:space="preserve">environment </w:t>
      </w:r>
      <w:r w:rsidR="0036286E">
        <w:rPr>
          <w:rFonts w:ascii="Arial" w:hAnsi="Arial" w:cs="Arial"/>
          <w:bCs/>
          <w:sz w:val="20"/>
          <w:szCs w:val="20"/>
        </w:rPr>
        <w:t>and maintain</w:t>
      </w:r>
      <w:r w:rsidR="007B5288">
        <w:rPr>
          <w:rFonts w:ascii="Arial" w:hAnsi="Arial" w:cs="Arial"/>
          <w:bCs/>
          <w:sz w:val="20"/>
          <w:szCs w:val="20"/>
        </w:rPr>
        <w:t>ing</w:t>
      </w:r>
      <w:r w:rsidR="0036286E">
        <w:rPr>
          <w:rFonts w:ascii="Arial" w:hAnsi="Arial" w:cs="Arial"/>
          <w:bCs/>
          <w:sz w:val="20"/>
          <w:szCs w:val="20"/>
        </w:rPr>
        <w:t xml:space="preserve"> the gains already made </w:t>
      </w:r>
      <w:r>
        <w:rPr>
          <w:rFonts w:ascii="Arial" w:hAnsi="Arial" w:cs="Arial"/>
          <w:bCs/>
          <w:sz w:val="20"/>
          <w:szCs w:val="20"/>
        </w:rPr>
        <w:t xml:space="preserve">through continuation of an existing </w:t>
      </w:r>
      <w:r w:rsidRPr="00ED6D3D">
        <w:rPr>
          <w:rFonts w:ascii="Arial" w:hAnsi="Arial" w:cs="Arial"/>
          <w:bCs/>
          <w:sz w:val="20"/>
          <w:szCs w:val="20"/>
        </w:rPr>
        <w:t xml:space="preserve">Environment Levy; and improving services to community so that we have better facilities and programs to support </w:t>
      </w:r>
      <w:r w:rsidR="006414D4" w:rsidRPr="00ED6D3D">
        <w:rPr>
          <w:rFonts w:ascii="Arial" w:hAnsi="Arial" w:cs="Arial"/>
          <w:bCs/>
          <w:sz w:val="20"/>
          <w:szCs w:val="20"/>
        </w:rPr>
        <w:t xml:space="preserve">the </w:t>
      </w:r>
      <w:r w:rsidR="007B5288" w:rsidRPr="00ED6D3D">
        <w:rPr>
          <w:rFonts w:ascii="Arial" w:hAnsi="Arial" w:cs="Arial"/>
          <w:bCs/>
          <w:sz w:val="20"/>
          <w:szCs w:val="20"/>
        </w:rPr>
        <w:t xml:space="preserve">well-being of </w:t>
      </w:r>
      <w:r w:rsidRPr="00ED6D3D">
        <w:rPr>
          <w:rFonts w:ascii="Arial" w:hAnsi="Arial" w:cs="Arial"/>
          <w:bCs/>
          <w:sz w:val="20"/>
          <w:szCs w:val="20"/>
        </w:rPr>
        <w:t xml:space="preserve">the general community and </w:t>
      </w:r>
      <w:r w:rsidR="0061576E">
        <w:rPr>
          <w:rFonts w:ascii="Arial" w:hAnsi="Arial" w:cs="Arial"/>
          <w:bCs/>
          <w:sz w:val="20"/>
          <w:szCs w:val="20"/>
        </w:rPr>
        <w:t xml:space="preserve">in particular, </w:t>
      </w:r>
      <w:r w:rsidRPr="00ED6D3D">
        <w:rPr>
          <w:rFonts w:ascii="Arial" w:hAnsi="Arial" w:cs="Arial"/>
          <w:bCs/>
          <w:sz w:val="20"/>
          <w:szCs w:val="20"/>
        </w:rPr>
        <w:t xml:space="preserve">those </w:t>
      </w:r>
      <w:r w:rsidR="007B5288" w:rsidRPr="00ED6D3D">
        <w:rPr>
          <w:rFonts w:ascii="Arial" w:hAnsi="Arial" w:cs="Arial"/>
          <w:bCs/>
          <w:sz w:val="20"/>
          <w:szCs w:val="20"/>
        </w:rPr>
        <w:t>most in need</w:t>
      </w:r>
      <w:r w:rsidRPr="00ED6D3D">
        <w:rPr>
          <w:rFonts w:ascii="Arial" w:hAnsi="Arial" w:cs="Arial"/>
          <w:bCs/>
          <w:sz w:val="20"/>
          <w:szCs w:val="20"/>
        </w:rPr>
        <w:t xml:space="preserve">.  </w:t>
      </w:r>
    </w:p>
    <w:p w14:paraId="6E2635E2" w14:textId="5BAB75D3" w:rsidR="001B1618" w:rsidRDefault="00D74312" w:rsidP="00D74312">
      <w:pPr>
        <w:spacing w:before="240" w:line="276" w:lineRule="auto"/>
        <w:jc w:val="both"/>
        <w:rPr>
          <w:rFonts w:ascii="Arial" w:hAnsi="Arial" w:cs="Arial"/>
          <w:bCs/>
          <w:sz w:val="20"/>
          <w:szCs w:val="21"/>
        </w:rPr>
      </w:pPr>
      <w:r w:rsidRPr="000318AD">
        <w:rPr>
          <w:rFonts w:ascii="Arial" w:hAnsi="Arial" w:cs="Arial"/>
          <w:bCs/>
          <w:sz w:val="20"/>
          <w:szCs w:val="21"/>
        </w:rPr>
        <w:t xml:space="preserve">This special variation application forms an integral component towards achieving the Council’s </w:t>
      </w:r>
      <w:r w:rsidRPr="005A540E">
        <w:rPr>
          <w:rFonts w:ascii="Arial" w:hAnsi="Arial" w:cs="Arial"/>
          <w:bCs/>
          <w:sz w:val="20"/>
          <w:szCs w:val="21"/>
        </w:rPr>
        <w:t>community endorsed</w:t>
      </w:r>
      <w:r>
        <w:rPr>
          <w:rFonts w:ascii="Arial" w:hAnsi="Arial" w:cs="Arial"/>
          <w:bCs/>
          <w:sz w:val="20"/>
          <w:szCs w:val="21"/>
        </w:rPr>
        <w:t xml:space="preserve"> and </w:t>
      </w:r>
      <w:r w:rsidRPr="000318AD">
        <w:rPr>
          <w:rFonts w:ascii="Arial" w:hAnsi="Arial" w:cs="Arial"/>
          <w:bCs/>
          <w:sz w:val="20"/>
          <w:szCs w:val="21"/>
        </w:rPr>
        <w:t xml:space="preserve">adopted Integrated Plans, including the Community Strategic Plan - </w:t>
      </w:r>
      <w:r w:rsidRPr="00D74312">
        <w:rPr>
          <w:rFonts w:ascii="Arial" w:hAnsi="Arial" w:cs="Arial"/>
          <w:bCs/>
          <w:i/>
          <w:sz w:val="20"/>
          <w:szCs w:val="21"/>
        </w:rPr>
        <w:t>Sustainable Blue Mountains 2025</w:t>
      </w:r>
      <w:r w:rsidRPr="000318AD">
        <w:rPr>
          <w:rFonts w:ascii="Arial" w:hAnsi="Arial" w:cs="Arial"/>
          <w:bCs/>
          <w:sz w:val="20"/>
          <w:szCs w:val="21"/>
        </w:rPr>
        <w:t xml:space="preserve">, </w:t>
      </w:r>
      <w:r w:rsidR="001C6977">
        <w:rPr>
          <w:rFonts w:ascii="Arial" w:hAnsi="Arial" w:cs="Arial"/>
          <w:bCs/>
          <w:sz w:val="20"/>
          <w:szCs w:val="21"/>
        </w:rPr>
        <w:t xml:space="preserve">the </w:t>
      </w:r>
      <w:r w:rsidRPr="000318AD">
        <w:rPr>
          <w:rFonts w:ascii="Arial" w:hAnsi="Arial" w:cs="Arial"/>
          <w:bCs/>
          <w:sz w:val="20"/>
          <w:szCs w:val="21"/>
        </w:rPr>
        <w:t xml:space="preserve">10-year Resourcing </w:t>
      </w:r>
      <w:r>
        <w:rPr>
          <w:rFonts w:ascii="Arial" w:hAnsi="Arial" w:cs="Arial"/>
          <w:bCs/>
          <w:sz w:val="20"/>
          <w:szCs w:val="21"/>
        </w:rPr>
        <w:t xml:space="preserve">Strategy and the four </w:t>
      </w:r>
      <w:r w:rsidRPr="000318AD">
        <w:rPr>
          <w:rFonts w:ascii="Arial" w:hAnsi="Arial" w:cs="Arial"/>
          <w:bCs/>
          <w:sz w:val="20"/>
          <w:szCs w:val="21"/>
        </w:rPr>
        <w:t xml:space="preserve">year Delivery Program. </w:t>
      </w:r>
    </w:p>
    <w:p w14:paraId="74979935" w14:textId="26763218" w:rsidR="00A11623" w:rsidRDefault="00D74312" w:rsidP="00FA3D4D">
      <w:pPr>
        <w:spacing w:before="240" w:line="276" w:lineRule="auto"/>
        <w:jc w:val="both"/>
        <w:rPr>
          <w:rFonts w:ascii="Arial" w:hAnsi="Arial" w:cs="Arial"/>
          <w:bCs/>
          <w:sz w:val="20"/>
          <w:szCs w:val="21"/>
        </w:rPr>
      </w:pPr>
      <w:r>
        <w:rPr>
          <w:rFonts w:ascii="Arial" w:hAnsi="Arial" w:cs="Arial"/>
          <w:bCs/>
          <w:sz w:val="20"/>
          <w:szCs w:val="21"/>
        </w:rPr>
        <w:t xml:space="preserve">The </w:t>
      </w:r>
      <w:r w:rsidRPr="000318AD">
        <w:rPr>
          <w:rFonts w:ascii="Arial" w:hAnsi="Arial" w:cs="Arial"/>
          <w:bCs/>
          <w:sz w:val="20"/>
          <w:szCs w:val="21"/>
        </w:rPr>
        <w:t>Council has been consistently neutral on the trade-off between service reduction and revenue increases</w:t>
      </w:r>
      <w:r w:rsidR="00596450">
        <w:rPr>
          <w:rFonts w:ascii="Arial" w:hAnsi="Arial" w:cs="Arial"/>
          <w:bCs/>
          <w:sz w:val="20"/>
          <w:szCs w:val="21"/>
        </w:rPr>
        <w:t>,</w:t>
      </w:r>
      <w:r w:rsidRPr="000318AD">
        <w:rPr>
          <w:rFonts w:ascii="Arial" w:hAnsi="Arial" w:cs="Arial"/>
          <w:bCs/>
          <w:sz w:val="20"/>
          <w:szCs w:val="21"/>
        </w:rPr>
        <w:t xml:space="preserve"> until the community engagement process was complete.  </w:t>
      </w:r>
      <w:r>
        <w:rPr>
          <w:rFonts w:ascii="Arial" w:hAnsi="Arial" w:cs="Arial"/>
          <w:bCs/>
          <w:sz w:val="20"/>
          <w:szCs w:val="21"/>
        </w:rPr>
        <w:t xml:space="preserve">Community response to </w:t>
      </w:r>
      <w:r>
        <w:rPr>
          <w:rFonts w:ascii="Arial" w:hAnsi="Arial" w:cs="Arial"/>
          <w:bCs/>
          <w:i/>
          <w:sz w:val="20"/>
          <w:szCs w:val="21"/>
        </w:rPr>
        <w:t xml:space="preserve">Resourcing Our Future </w:t>
      </w:r>
      <w:r w:rsidRPr="00A251A3">
        <w:rPr>
          <w:rFonts w:ascii="Arial" w:hAnsi="Arial" w:cs="Arial"/>
          <w:bCs/>
          <w:sz w:val="20"/>
          <w:szCs w:val="21"/>
        </w:rPr>
        <w:t>has been</w:t>
      </w:r>
      <w:r>
        <w:rPr>
          <w:rFonts w:ascii="Arial" w:hAnsi="Arial" w:cs="Arial"/>
          <w:bCs/>
          <w:i/>
          <w:sz w:val="20"/>
          <w:szCs w:val="21"/>
        </w:rPr>
        <w:t xml:space="preserve"> </w:t>
      </w:r>
      <w:r w:rsidRPr="003E7410">
        <w:rPr>
          <w:rFonts w:ascii="Arial" w:hAnsi="Arial" w:cs="Arial"/>
          <w:bCs/>
          <w:sz w:val="20"/>
          <w:szCs w:val="21"/>
        </w:rPr>
        <w:t xml:space="preserve">overwhelming. </w:t>
      </w:r>
      <w:r>
        <w:rPr>
          <w:rFonts w:ascii="Arial" w:hAnsi="Arial" w:cs="Arial"/>
          <w:bCs/>
          <w:sz w:val="20"/>
          <w:szCs w:val="21"/>
        </w:rPr>
        <w:t>Over 4,300 public submissions were received with a clear majority supporting Option 1: Service Levels Improved</w:t>
      </w:r>
      <w:r w:rsidR="00B5585E">
        <w:rPr>
          <w:rFonts w:ascii="Arial" w:hAnsi="Arial" w:cs="Arial"/>
          <w:bCs/>
          <w:sz w:val="20"/>
          <w:szCs w:val="21"/>
        </w:rPr>
        <w:t xml:space="preserve"> (55%)</w:t>
      </w:r>
      <w:r>
        <w:rPr>
          <w:rFonts w:ascii="Arial" w:hAnsi="Arial" w:cs="Arial"/>
          <w:bCs/>
          <w:sz w:val="20"/>
          <w:szCs w:val="21"/>
        </w:rPr>
        <w:t xml:space="preserve">, the basis of this application. This result was reinforced by </w:t>
      </w:r>
      <w:r w:rsidR="00FA3D4D">
        <w:rPr>
          <w:rFonts w:ascii="Arial" w:hAnsi="Arial" w:cs="Arial"/>
          <w:bCs/>
          <w:sz w:val="20"/>
          <w:szCs w:val="21"/>
        </w:rPr>
        <w:t>an</w:t>
      </w:r>
      <w:r>
        <w:rPr>
          <w:rFonts w:ascii="Arial" w:hAnsi="Arial" w:cs="Arial"/>
          <w:bCs/>
          <w:sz w:val="20"/>
          <w:szCs w:val="21"/>
        </w:rPr>
        <w:t xml:space="preserve"> independently conducted survey of ratepayers</w:t>
      </w:r>
      <w:r w:rsidR="00B5585E">
        <w:rPr>
          <w:rFonts w:ascii="Arial" w:hAnsi="Arial" w:cs="Arial"/>
          <w:bCs/>
          <w:sz w:val="20"/>
          <w:szCs w:val="21"/>
        </w:rPr>
        <w:t xml:space="preserve"> (64% indicating medium to high support for Option 1)</w:t>
      </w:r>
      <w:r>
        <w:rPr>
          <w:rFonts w:ascii="Arial" w:hAnsi="Arial" w:cs="Arial"/>
          <w:bCs/>
          <w:sz w:val="20"/>
          <w:szCs w:val="21"/>
        </w:rPr>
        <w:t>, and in each of the five Area Community Workshops conducted across the City</w:t>
      </w:r>
      <w:r w:rsidR="00B5585E">
        <w:rPr>
          <w:rFonts w:ascii="Arial" w:hAnsi="Arial" w:cs="Arial"/>
          <w:bCs/>
          <w:sz w:val="20"/>
          <w:szCs w:val="21"/>
        </w:rPr>
        <w:t xml:space="preserve"> with 58% supporting Option 1</w:t>
      </w:r>
      <w:r>
        <w:rPr>
          <w:rFonts w:ascii="Arial" w:hAnsi="Arial" w:cs="Arial"/>
          <w:bCs/>
          <w:sz w:val="20"/>
          <w:szCs w:val="21"/>
        </w:rPr>
        <w:t xml:space="preserve"> (</w:t>
      </w:r>
      <w:r w:rsidRPr="003A37E8">
        <w:rPr>
          <w:rFonts w:ascii="Arial" w:hAnsi="Arial" w:cs="Arial"/>
          <w:bCs/>
          <w:sz w:val="20"/>
          <w:szCs w:val="21"/>
        </w:rPr>
        <w:t xml:space="preserve">see </w:t>
      </w:r>
      <w:r w:rsidRPr="00BD6580">
        <w:rPr>
          <w:rFonts w:ascii="Arial" w:hAnsi="Arial" w:cs="Arial"/>
          <w:b/>
          <w:bCs/>
          <w:sz w:val="20"/>
          <w:szCs w:val="21"/>
        </w:rPr>
        <w:t>Attachments 6a, 6b, 6c</w:t>
      </w:r>
      <w:r w:rsidRPr="003A37E8">
        <w:rPr>
          <w:rFonts w:ascii="Arial" w:hAnsi="Arial" w:cs="Arial"/>
          <w:bCs/>
          <w:sz w:val="20"/>
          <w:szCs w:val="21"/>
        </w:rPr>
        <w:t>).</w:t>
      </w:r>
      <w:r w:rsidR="00FA3D4D">
        <w:rPr>
          <w:rFonts w:ascii="Arial" w:hAnsi="Arial" w:cs="Arial"/>
          <w:bCs/>
          <w:sz w:val="20"/>
          <w:szCs w:val="21"/>
        </w:rPr>
        <w:t xml:space="preserve"> </w:t>
      </w:r>
    </w:p>
    <w:p w14:paraId="601AED10" w14:textId="43D1EA26" w:rsidR="00857FBB" w:rsidRDefault="003A2CC5" w:rsidP="00FA3D4D">
      <w:pPr>
        <w:spacing w:before="240" w:line="276" w:lineRule="auto"/>
        <w:jc w:val="both"/>
        <w:rPr>
          <w:rFonts w:ascii="Arial" w:hAnsi="Arial" w:cs="Arial"/>
          <w:bCs/>
          <w:sz w:val="20"/>
          <w:szCs w:val="20"/>
        </w:rPr>
      </w:pPr>
      <w:r>
        <w:rPr>
          <w:rFonts w:ascii="Arial" w:hAnsi="Arial" w:cs="Arial"/>
          <w:bCs/>
          <w:sz w:val="20"/>
          <w:szCs w:val="20"/>
        </w:rPr>
        <w:t xml:space="preserve">The Council decision to select Option 1 </w:t>
      </w:r>
      <w:r w:rsidR="00A83302">
        <w:rPr>
          <w:rFonts w:ascii="Arial" w:hAnsi="Arial" w:cs="Arial"/>
          <w:bCs/>
          <w:sz w:val="20"/>
          <w:szCs w:val="20"/>
        </w:rPr>
        <w:t xml:space="preserve">as the basis for this application </w:t>
      </w:r>
      <w:r>
        <w:rPr>
          <w:rFonts w:ascii="Arial" w:hAnsi="Arial" w:cs="Arial"/>
          <w:bCs/>
          <w:sz w:val="20"/>
          <w:szCs w:val="20"/>
        </w:rPr>
        <w:t>reflect</w:t>
      </w:r>
      <w:r w:rsidR="00A83302">
        <w:rPr>
          <w:rFonts w:ascii="Arial" w:hAnsi="Arial" w:cs="Arial"/>
          <w:bCs/>
          <w:sz w:val="20"/>
          <w:szCs w:val="20"/>
        </w:rPr>
        <w:t>s</w:t>
      </w:r>
      <w:r>
        <w:rPr>
          <w:rFonts w:ascii="Arial" w:hAnsi="Arial" w:cs="Arial"/>
          <w:bCs/>
          <w:sz w:val="20"/>
          <w:szCs w:val="20"/>
        </w:rPr>
        <w:t xml:space="preserve"> the </w:t>
      </w:r>
      <w:r w:rsidR="00664841">
        <w:rPr>
          <w:rFonts w:ascii="Arial" w:hAnsi="Arial" w:cs="Arial"/>
          <w:bCs/>
          <w:sz w:val="20"/>
          <w:szCs w:val="20"/>
        </w:rPr>
        <w:t xml:space="preserve">majority support </w:t>
      </w:r>
      <w:r w:rsidR="00A83302">
        <w:rPr>
          <w:rFonts w:ascii="Arial" w:hAnsi="Arial" w:cs="Arial"/>
          <w:bCs/>
          <w:sz w:val="20"/>
          <w:szCs w:val="20"/>
        </w:rPr>
        <w:t xml:space="preserve">of the community </w:t>
      </w:r>
      <w:r w:rsidR="00664841">
        <w:rPr>
          <w:rFonts w:ascii="Arial" w:hAnsi="Arial" w:cs="Arial"/>
          <w:bCs/>
          <w:sz w:val="20"/>
          <w:szCs w:val="20"/>
        </w:rPr>
        <w:t>for this option from the engagement process</w:t>
      </w:r>
      <w:r>
        <w:rPr>
          <w:rFonts w:ascii="Arial" w:hAnsi="Arial" w:cs="Arial"/>
          <w:bCs/>
          <w:sz w:val="20"/>
          <w:szCs w:val="20"/>
        </w:rPr>
        <w:t xml:space="preserve">. </w:t>
      </w:r>
      <w:r w:rsidR="00610F8D">
        <w:rPr>
          <w:rFonts w:ascii="Arial" w:hAnsi="Arial" w:cs="Arial"/>
          <w:bCs/>
          <w:sz w:val="20"/>
          <w:szCs w:val="20"/>
        </w:rPr>
        <w:t xml:space="preserve">Other factors considered include </w:t>
      </w:r>
      <w:r w:rsidR="00880D4D">
        <w:rPr>
          <w:rFonts w:ascii="Arial" w:hAnsi="Arial" w:cs="Arial"/>
          <w:bCs/>
          <w:sz w:val="20"/>
          <w:szCs w:val="20"/>
        </w:rPr>
        <w:t>th</w:t>
      </w:r>
      <w:r>
        <w:rPr>
          <w:rFonts w:ascii="Arial" w:hAnsi="Arial" w:cs="Arial"/>
          <w:bCs/>
          <w:sz w:val="20"/>
          <w:szCs w:val="20"/>
        </w:rPr>
        <w:t xml:space="preserve">at this </w:t>
      </w:r>
      <w:r w:rsidR="00A83302">
        <w:rPr>
          <w:rFonts w:ascii="Arial" w:hAnsi="Arial" w:cs="Arial"/>
          <w:bCs/>
          <w:sz w:val="20"/>
          <w:szCs w:val="20"/>
        </w:rPr>
        <w:t>is</w:t>
      </w:r>
      <w:r>
        <w:rPr>
          <w:rFonts w:ascii="Arial" w:hAnsi="Arial" w:cs="Arial"/>
          <w:bCs/>
          <w:sz w:val="20"/>
          <w:szCs w:val="20"/>
        </w:rPr>
        <w:t xml:space="preserve"> the</w:t>
      </w:r>
      <w:r w:rsidR="00596450">
        <w:rPr>
          <w:rFonts w:ascii="Arial" w:hAnsi="Arial" w:cs="Arial"/>
          <w:bCs/>
          <w:sz w:val="20"/>
          <w:szCs w:val="20"/>
        </w:rPr>
        <w:t xml:space="preserve"> </w:t>
      </w:r>
      <w:r>
        <w:rPr>
          <w:rFonts w:ascii="Arial" w:hAnsi="Arial" w:cs="Arial"/>
          <w:bCs/>
          <w:sz w:val="20"/>
          <w:szCs w:val="20"/>
        </w:rPr>
        <w:t xml:space="preserve">option </w:t>
      </w:r>
      <w:r w:rsidR="00596450">
        <w:rPr>
          <w:rFonts w:ascii="Arial" w:hAnsi="Arial" w:cs="Arial"/>
          <w:bCs/>
          <w:sz w:val="20"/>
          <w:szCs w:val="20"/>
        </w:rPr>
        <w:t xml:space="preserve">which best supports the </w:t>
      </w:r>
      <w:r w:rsidR="009D4CFE">
        <w:rPr>
          <w:rFonts w:ascii="Arial" w:hAnsi="Arial" w:cs="Arial"/>
          <w:bCs/>
          <w:sz w:val="20"/>
          <w:szCs w:val="20"/>
        </w:rPr>
        <w:t>City being Fit for the Future and revers</w:t>
      </w:r>
      <w:r w:rsidR="00F10FBA">
        <w:rPr>
          <w:rFonts w:ascii="Arial" w:hAnsi="Arial" w:cs="Arial"/>
          <w:bCs/>
          <w:sz w:val="20"/>
          <w:szCs w:val="20"/>
        </w:rPr>
        <w:t>ing</w:t>
      </w:r>
      <w:r w:rsidR="009D4CFE">
        <w:rPr>
          <w:rFonts w:ascii="Arial" w:hAnsi="Arial" w:cs="Arial"/>
          <w:bCs/>
          <w:sz w:val="20"/>
          <w:szCs w:val="20"/>
        </w:rPr>
        <w:t xml:space="preserve"> the</w:t>
      </w:r>
      <w:r w:rsidR="00CF54FE">
        <w:rPr>
          <w:rFonts w:ascii="Arial" w:hAnsi="Arial" w:cs="Arial"/>
          <w:bCs/>
          <w:sz w:val="20"/>
          <w:szCs w:val="20"/>
        </w:rPr>
        <w:t xml:space="preserve"> </w:t>
      </w:r>
      <w:r>
        <w:rPr>
          <w:rFonts w:ascii="Arial" w:hAnsi="Arial" w:cs="Arial"/>
          <w:bCs/>
          <w:sz w:val="20"/>
          <w:szCs w:val="20"/>
        </w:rPr>
        <w:t>decline in the built infrastructure</w:t>
      </w:r>
      <w:r w:rsidR="009D4CFE">
        <w:rPr>
          <w:rFonts w:ascii="Arial" w:hAnsi="Arial" w:cs="Arial"/>
          <w:bCs/>
          <w:sz w:val="20"/>
          <w:szCs w:val="20"/>
        </w:rPr>
        <w:t>.</w:t>
      </w:r>
      <w:r w:rsidR="00CF54FE">
        <w:rPr>
          <w:rFonts w:ascii="Arial" w:hAnsi="Arial" w:cs="Arial"/>
          <w:bCs/>
          <w:sz w:val="20"/>
          <w:szCs w:val="20"/>
        </w:rPr>
        <w:t xml:space="preserve"> This </w:t>
      </w:r>
      <w:r w:rsidR="00F10FBA">
        <w:rPr>
          <w:rFonts w:ascii="Arial" w:hAnsi="Arial" w:cs="Arial"/>
          <w:bCs/>
          <w:sz w:val="20"/>
          <w:szCs w:val="20"/>
        </w:rPr>
        <w:t>option, in combination with other financial sustainability strategies, is the only one that supports achievement of</w:t>
      </w:r>
      <w:r>
        <w:rPr>
          <w:rFonts w:ascii="Arial" w:hAnsi="Arial" w:cs="Arial"/>
          <w:bCs/>
          <w:sz w:val="20"/>
          <w:szCs w:val="20"/>
        </w:rPr>
        <w:t xml:space="preserve"> </w:t>
      </w:r>
      <w:r w:rsidR="00E949FF">
        <w:rPr>
          <w:rFonts w:ascii="Arial" w:hAnsi="Arial" w:cs="Arial"/>
          <w:bCs/>
          <w:sz w:val="20"/>
          <w:szCs w:val="20"/>
        </w:rPr>
        <w:t xml:space="preserve">a </w:t>
      </w:r>
      <w:r>
        <w:rPr>
          <w:rFonts w:ascii="Arial" w:hAnsi="Arial" w:cs="Arial"/>
          <w:bCs/>
          <w:sz w:val="20"/>
          <w:szCs w:val="20"/>
        </w:rPr>
        <w:t>sustainable Operating Result over the next 10 years.</w:t>
      </w:r>
      <w:r w:rsidR="00A83302">
        <w:rPr>
          <w:rFonts w:ascii="Arial" w:hAnsi="Arial" w:cs="Arial"/>
          <w:bCs/>
          <w:sz w:val="20"/>
          <w:szCs w:val="20"/>
        </w:rPr>
        <w:t xml:space="preserve"> </w:t>
      </w:r>
    </w:p>
    <w:p w14:paraId="05B13187" w14:textId="77777777" w:rsidR="009C5867" w:rsidRDefault="009C5867" w:rsidP="00172AE5">
      <w:pPr>
        <w:spacing w:line="276" w:lineRule="auto"/>
        <w:jc w:val="both"/>
        <w:rPr>
          <w:rFonts w:ascii="Arial" w:hAnsi="Arial" w:cs="Arial"/>
          <w:bCs/>
          <w:sz w:val="20"/>
          <w:szCs w:val="20"/>
        </w:rPr>
      </w:pPr>
    </w:p>
    <w:p w14:paraId="79C5BC57" w14:textId="4F8825ED" w:rsidR="009C5867" w:rsidRDefault="009C5867" w:rsidP="00172AE5">
      <w:pPr>
        <w:spacing w:line="276" w:lineRule="auto"/>
        <w:jc w:val="both"/>
        <w:rPr>
          <w:rFonts w:ascii="Arial" w:hAnsi="Arial" w:cs="Arial"/>
          <w:bCs/>
          <w:sz w:val="20"/>
          <w:szCs w:val="20"/>
        </w:rPr>
      </w:pPr>
      <w:r>
        <w:rPr>
          <w:rFonts w:ascii="Arial" w:hAnsi="Arial" w:cs="Arial"/>
          <w:bCs/>
          <w:sz w:val="20"/>
          <w:szCs w:val="20"/>
        </w:rPr>
        <w:t xml:space="preserve">The Council </w:t>
      </w:r>
      <w:r w:rsidR="007526EB">
        <w:rPr>
          <w:rFonts w:ascii="Arial" w:hAnsi="Arial" w:cs="Arial"/>
          <w:bCs/>
          <w:sz w:val="20"/>
          <w:szCs w:val="20"/>
        </w:rPr>
        <w:t xml:space="preserve">considered the extensive community support for reinstating the </w:t>
      </w:r>
      <w:r>
        <w:rPr>
          <w:rFonts w:ascii="Arial" w:hAnsi="Arial" w:cs="Arial"/>
          <w:bCs/>
          <w:sz w:val="20"/>
          <w:szCs w:val="20"/>
        </w:rPr>
        <w:t>existing Environment Levy (special variation) due to expire in June 2015</w:t>
      </w:r>
      <w:r w:rsidR="001C6977">
        <w:rPr>
          <w:rFonts w:ascii="Arial" w:hAnsi="Arial" w:cs="Arial"/>
          <w:bCs/>
          <w:sz w:val="20"/>
          <w:szCs w:val="20"/>
        </w:rPr>
        <w:t xml:space="preserve">. This was evidenced from public submissions received and from the rate payer survey where </w:t>
      </w:r>
      <w:r w:rsidR="00DB6A06">
        <w:rPr>
          <w:rFonts w:ascii="Arial" w:hAnsi="Arial" w:cs="Arial"/>
          <w:bCs/>
          <w:sz w:val="20"/>
          <w:szCs w:val="20"/>
        </w:rPr>
        <w:t xml:space="preserve">77% of </w:t>
      </w:r>
      <w:r w:rsidR="001C6977">
        <w:rPr>
          <w:rFonts w:ascii="Arial" w:hAnsi="Arial" w:cs="Arial"/>
          <w:bCs/>
          <w:sz w:val="20"/>
          <w:szCs w:val="20"/>
        </w:rPr>
        <w:t xml:space="preserve">survey respondents stated they had </w:t>
      </w:r>
      <w:r w:rsidR="00DB6A06">
        <w:rPr>
          <w:rFonts w:ascii="Arial" w:hAnsi="Arial" w:cs="Arial"/>
          <w:bCs/>
          <w:sz w:val="20"/>
          <w:szCs w:val="20"/>
        </w:rPr>
        <w:t xml:space="preserve">a high level of support </w:t>
      </w:r>
      <w:r w:rsidR="00153732">
        <w:rPr>
          <w:rFonts w:ascii="Arial" w:hAnsi="Arial" w:cs="Arial"/>
          <w:bCs/>
          <w:sz w:val="20"/>
          <w:szCs w:val="20"/>
        </w:rPr>
        <w:t xml:space="preserve">for </w:t>
      </w:r>
      <w:r w:rsidR="001C6977">
        <w:rPr>
          <w:rFonts w:ascii="Arial" w:hAnsi="Arial" w:cs="Arial"/>
          <w:bCs/>
          <w:sz w:val="20"/>
          <w:szCs w:val="20"/>
        </w:rPr>
        <w:t xml:space="preserve">continuation of this Levy </w:t>
      </w:r>
      <w:r w:rsidR="00DB6A06">
        <w:rPr>
          <w:rFonts w:ascii="Arial" w:hAnsi="Arial" w:cs="Arial"/>
          <w:bCs/>
          <w:sz w:val="20"/>
          <w:szCs w:val="20"/>
        </w:rPr>
        <w:t>and another 10% medium support</w:t>
      </w:r>
      <w:r w:rsidR="007526EB">
        <w:rPr>
          <w:rFonts w:ascii="Arial" w:hAnsi="Arial" w:cs="Arial"/>
          <w:bCs/>
          <w:sz w:val="20"/>
          <w:szCs w:val="20"/>
        </w:rPr>
        <w:t xml:space="preserve">. </w:t>
      </w:r>
    </w:p>
    <w:p w14:paraId="607019EA" w14:textId="77777777" w:rsidR="006A29BA" w:rsidRDefault="006A29BA" w:rsidP="00172AE5">
      <w:pPr>
        <w:spacing w:line="276" w:lineRule="auto"/>
        <w:jc w:val="both"/>
        <w:rPr>
          <w:rFonts w:ascii="Arial" w:hAnsi="Arial" w:cs="Arial"/>
          <w:bCs/>
          <w:sz w:val="20"/>
          <w:szCs w:val="20"/>
        </w:rPr>
      </w:pPr>
    </w:p>
    <w:p w14:paraId="12760B3B" w14:textId="30E24C03" w:rsidR="00052C7E" w:rsidRDefault="00DD3A08" w:rsidP="00172AE5">
      <w:pPr>
        <w:pStyle w:val="PlainText"/>
        <w:spacing w:line="276" w:lineRule="auto"/>
        <w:jc w:val="both"/>
        <w:rPr>
          <w:rFonts w:ascii="Calibri" w:eastAsia="Calibri" w:hAnsi="Calibri"/>
          <w:sz w:val="20"/>
          <w:szCs w:val="20"/>
          <w:lang w:eastAsia="en-US"/>
        </w:rPr>
      </w:pPr>
      <w:r>
        <w:rPr>
          <w:rFonts w:ascii="Arial" w:hAnsi="Arial" w:cs="Arial"/>
          <w:bCs/>
          <w:sz w:val="20"/>
          <w:szCs w:val="20"/>
        </w:rPr>
        <w:t xml:space="preserve">In making this application, the </w:t>
      </w:r>
      <w:r w:rsidR="00A1593A" w:rsidRPr="00052C7E">
        <w:rPr>
          <w:rFonts w:ascii="Arial" w:hAnsi="Arial" w:cs="Arial"/>
          <w:bCs/>
          <w:sz w:val="20"/>
          <w:szCs w:val="20"/>
        </w:rPr>
        <w:t xml:space="preserve">Council </w:t>
      </w:r>
      <w:r w:rsidR="00664841">
        <w:rPr>
          <w:rFonts w:ascii="Arial" w:hAnsi="Arial" w:cs="Arial"/>
          <w:bCs/>
          <w:sz w:val="20"/>
          <w:szCs w:val="20"/>
        </w:rPr>
        <w:t xml:space="preserve">also took into </w:t>
      </w:r>
      <w:r w:rsidR="00A1593A" w:rsidRPr="00052C7E">
        <w:rPr>
          <w:rFonts w:ascii="Arial" w:hAnsi="Arial" w:cs="Arial"/>
          <w:bCs/>
          <w:sz w:val="20"/>
          <w:szCs w:val="20"/>
        </w:rPr>
        <w:t>consider</w:t>
      </w:r>
      <w:r w:rsidR="00664841">
        <w:rPr>
          <w:rFonts w:ascii="Arial" w:hAnsi="Arial" w:cs="Arial"/>
          <w:bCs/>
          <w:sz w:val="20"/>
          <w:szCs w:val="20"/>
        </w:rPr>
        <w:t xml:space="preserve">ation </w:t>
      </w:r>
      <w:r w:rsidR="00D74312">
        <w:rPr>
          <w:rFonts w:ascii="Arial" w:hAnsi="Arial" w:cs="Arial"/>
          <w:bCs/>
          <w:sz w:val="20"/>
          <w:szCs w:val="20"/>
        </w:rPr>
        <w:t>the results of a</w:t>
      </w:r>
      <w:r w:rsidR="005C77FD">
        <w:rPr>
          <w:rFonts w:ascii="Arial" w:hAnsi="Arial" w:cs="Arial"/>
          <w:bCs/>
          <w:sz w:val="20"/>
          <w:szCs w:val="20"/>
        </w:rPr>
        <w:t xml:space="preserve"> comprehensive </w:t>
      </w:r>
      <w:r w:rsidR="00664841">
        <w:rPr>
          <w:rFonts w:ascii="Arial" w:hAnsi="Arial" w:cs="Arial"/>
          <w:bCs/>
          <w:sz w:val="20"/>
          <w:szCs w:val="20"/>
        </w:rPr>
        <w:t xml:space="preserve">assessment </w:t>
      </w:r>
      <w:r w:rsidR="00D74312">
        <w:rPr>
          <w:rFonts w:ascii="Arial" w:hAnsi="Arial" w:cs="Arial"/>
          <w:bCs/>
          <w:sz w:val="20"/>
          <w:szCs w:val="20"/>
        </w:rPr>
        <w:t xml:space="preserve">indicating that the Blue Mountains community does have capacity </w:t>
      </w:r>
      <w:r w:rsidR="00664841">
        <w:rPr>
          <w:rFonts w:ascii="Arial" w:hAnsi="Arial" w:cs="Arial"/>
          <w:bCs/>
          <w:sz w:val="20"/>
          <w:szCs w:val="20"/>
        </w:rPr>
        <w:t xml:space="preserve">to pay </w:t>
      </w:r>
      <w:r w:rsidR="006E076B">
        <w:rPr>
          <w:rFonts w:ascii="Arial" w:hAnsi="Arial" w:cs="Arial"/>
          <w:bCs/>
          <w:sz w:val="20"/>
          <w:szCs w:val="20"/>
        </w:rPr>
        <w:t xml:space="preserve">the </w:t>
      </w:r>
      <w:r w:rsidR="00664841">
        <w:rPr>
          <w:rFonts w:ascii="Arial" w:hAnsi="Arial" w:cs="Arial"/>
          <w:bCs/>
          <w:sz w:val="20"/>
          <w:szCs w:val="20"/>
        </w:rPr>
        <w:t xml:space="preserve">additional </w:t>
      </w:r>
      <w:r w:rsidR="00D74312">
        <w:rPr>
          <w:rFonts w:ascii="Arial" w:hAnsi="Arial" w:cs="Arial"/>
          <w:bCs/>
          <w:sz w:val="20"/>
          <w:szCs w:val="20"/>
        </w:rPr>
        <w:t xml:space="preserve">proposed </w:t>
      </w:r>
      <w:r w:rsidR="00664841">
        <w:rPr>
          <w:rFonts w:ascii="Arial" w:hAnsi="Arial" w:cs="Arial"/>
          <w:bCs/>
          <w:sz w:val="20"/>
          <w:szCs w:val="20"/>
        </w:rPr>
        <w:t xml:space="preserve">rates, </w:t>
      </w:r>
      <w:r w:rsidR="007E61CB" w:rsidRPr="00052C7E">
        <w:rPr>
          <w:rFonts w:ascii="Arial" w:hAnsi="Arial" w:cs="Arial"/>
          <w:bCs/>
          <w:sz w:val="20"/>
          <w:szCs w:val="20"/>
        </w:rPr>
        <w:t xml:space="preserve">evidenced through </w:t>
      </w:r>
      <w:r w:rsidR="00A1593A" w:rsidRPr="00052C7E">
        <w:rPr>
          <w:rFonts w:ascii="Arial" w:hAnsi="Arial" w:cs="Arial"/>
          <w:bCs/>
          <w:sz w:val="20"/>
          <w:szCs w:val="20"/>
        </w:rPr>
        <w:t xml:space="preserve">a range of </w:t>
      </w:r>
      <w:r w:rsidR="007E61CB" w:rsidRPr="00052C7E">
        <w:rPr>
          <w:rFonts w:ascii="Arial" w:hAnsi="Arial" w:cs="Arial"/>
          <w:bCs/>
          <w:sz w:val="20"/>
          <w:szCs w:val="20"/>
        </w:rPr>
        <w:t xml:space="preserve">measures and </w:t>
      </w:r>
      <w:r w:rsidR="00A1593A" w:rsidRPr="00052C7E">
        <w:rPr>
          <w:rFonts w:ascii="Arial" w:hAnsi="Arial" w:cs="Arial"/>
          <w:bCs/>
          <w:sz w:val="20"/>
          <w:szCs w:val="20"/>
        </w:rPr>
        <w:t>benchmarks</w:t>
      </w:r>
      <w:r w:rsidR="00A82EFB" w:rsidRPr="00052C7E">
        <w:rPr>
          <w:rFonts w:ascii="Arial" w:hAnsi="Arial" w:cs="Arial"/>
          <w:bCs/>
          <w:sz w:val="20"/>
          <w:szCs w:val="20"/>
        </w:rPr>
        <w:t xml:space="preserve"> in </w:t>
      </w:r>
      <w:r w:rsidR="00A82EFB" w:rsidRPr="00BD6580">
        <w:rPr>
          <w:rFonts w:ascii="Arial" w:hAnsi="Arial" w:cs="Arial"/>
          <w:b/>
          <w:bCs/>
          <w:sz w:val="20"/>
          <w:szCs w:val="20"/>
        </w:rPr>
        <w:t>S</w:t>
      </w:r>
      <w:r w:rsidR="007E61CB" w:rsidRPr="00BD6580">
        <w:rPr>
          <w:rFonts w:ascii="Arial" w:hAnsi="Arial" w:cs="Arial"/>
          <w:b/>
          <w:bCs/>
          <w:sz w:val="20"/>
          <w:szCs w:val="20"/>
        </w:rPr>
        <w:t>ection 5</w:t>
      </w:r>
      <w:r w:rsidR="00664841" w:rsidRPr="00BD6580">
        <w:rPr>
          <w:rFonts w:ascii="Arial" w:hAnsi="Arial" w:cs="Arial"/>
          <w:b/>
          <w:bCs/>
          <w:sz w:val="20"/>
          <w:szCs w:val="20"/>
        </w:rPr>
        <w:t>.</w:t>
      </w:r>
      <w:r w:rsidR="00664841">
        <w:rPr>
          <w:rFonts w:ascii="Arial" w:hAnsi="Arial" w:cs="Arial"/>
          <w:bCs/>
          <w:sz w:val="20"/>
          <w:szCs w:val="20"/>
        </w:rPr>
        <w:t xml:space="preserve"> This Section </w:t>
      </w:r>
      <w:r w:rsidR="00B80547" w:rsidRPr="00052C7E">
        <w:rPr>
          <w:rFonts w:ascii="Arial" w:hAnsi="Arial" w:cs="Arial"/>
          <w:bCs/>
          <w:sz w:val="20"/>
          <w:szCs w:val="20"/>
        </w:rPr>
        <w:t xml:space="preserve">also outlines the Council’s </w:t>
      </w:r>
      <w:r w:rsidR="00255E3F">
        <w:rPr>
          <w:rFonts w:ascii="Arial" w:hAnsi="Arial" w:cs="Arial"/>
          <w:bCs/>
          <w:sz w:val="20"/>
          <w:szCs w:val="20"/>
        </w:rPr>
        <w:t xml:space="preserve">solid track record and </w:t>
      </w:r>
      <w:r w:rsidR="00C376E0" w:rsidRPr="00052C7E">
        <w:rPr>
          <w:rFonts w:ascii="Arial" w:hAnsi="Arial" w:cs="Arial"/>
          <w:bCs/>
          <w:sz w:val="20"/>
          <w:szCs w:val="20"/>
        </w:rPr>
        <w:t xml:space="preserve">ongoing </w:t>
      </w:r>
      <w:r w:rsidR="00481A0A">
        <w:rPr>
          <w:rFonts w:ascii="Arial" w:hAnsi="Arial" w:cs="Arial"/>
          <w:bCs/>
          <w:sz w:val="20"/>
          <w:szCs w:val="20"/>
        </w:rPr>
        <w:t xml:space="preserve">commitment to </w:t>
      </w:r>
      <w:r w:rsidR="00EC7AB0">
        <w:rPr>
          <w:rFonts w:ascii="Arial" w:hAnsi="Arial" w:cs="Arial"/>
          <w:bCs/>
          <w:sz w:val="20"/>
          <w:szCs w:val="20"/>
        </w:rPr>
        <w:t xml:space="preserve">proactively </w:t>
      </w:r>
      <w:r w:rsidR="00B80547" w:rsidRPr="00052C7E">
        <w:rPr>
          <w:rFonts w:ascii="Arial" w:hAnsi="Arial" w:cs="Arial"/>
          <w:bCs/>
          <w:sz w:val="20"/>
          <w:szCs w:val="20"/>
        </w:rPr>
        <w:t>support</w:t>
      </w:r>
      <w:r w:rsidR="00EC7AB0">
        <w:rPr>
          <w:rFonts w:ascii="Arial" w:hAnsi="Arial" w:cs="Arial"/>
          <w:bCs/>
          <w:sz w:val="20"/>
          <w:szCs w:val="20"/>
        </w:rPr>
        <w:t>ing</w:t>
      </w:r>
      <w:r w:rsidR="00255E3F">
        <w:rPr>
          <w:rFonts w:ascii="Arial" w:hAnsi="Arial" w:cs="Arial"/>
          <w:bCs/>
          <w:sz w:val="20"/>
          <w:szCs w:val="20"/>
        </w:rPr>
        <w:t xml:space="preserve"> </w:t>
      </w:r>
      <w:r w:rsidR="00B80547" w:rsidRPr="00052C7E">
        <w:rPr>
          <w:rFonts w:ascii="Arial" w:hAnsi="Arial" w:cs="Arial"/>
          <w:bCs/>
          <w:sz w:val="20"/>
          <w:szCs w:val="20"/>
        </w:rPr>
        <w:t>ratepayers experienc</w:t>
      </w:r>
      <w:r w:rsidR="00481A0A">
        <w:rPr>
          <w:rFonts w:ascii="Arial" w:hAnsi="Arial" w:cs="Arial"/>
          <w:bCs/>
          <w:sz w:val="20"/>
          <w:szCs w:val="20"/>
        </w:rPr>
        <w:t xml:space="preserve">ing </w:t>
      </w:r>
      <w:r w:rsidR="00B80547" w:rsidRPr="00052C7E">
        <w:rPr>
          <w:rFonts w:ascii="Arial" w:hAnsi="Arial" w:cs="Arial"/>
          <w:bCs/>
          <w:sz w:val="20"/>
          <w:szCs w:val="20"/>
        </w:rPr>
        <w:t>hardship</w:t>
      </w:r>
      <w:r w:rsidR="00C5025E">
        <w:rPr>
          <w:rFonts w:ascii="Arial" w:hAnsi="Arial" w:cs="Arial"/>
          <w:bCs/>
          <w:sz w:val="20"/>
          <w:szCs w:val="20"/>
        </w:rPr>
        <w:t xml:space="preserve"> </w:t>
      </w:r>
      <w:r w:rsidR="00C376E0" w:rsidRPr="00052C7E">
        <w:rPr>
          <w:rFonts w:ascii="Arial" w:hAnsi="Arial" w:cs="Arial"/>
          <w:bCs/>
          <w:sz w:val="20"/>
          <w:szCs w:val="20"/>
        </w:rPr>
        <w:t>through a range of</w:t>
      </w:r>
      <w:r w:rsidR="00D74312">
        <w:rPr>
          <w:rFonts w:ascii="Arial" w:hAnsi="Arial" w:cs="Arial"/>
          <w:bCs/>
          <w:sz w:val="20"/>
          <w:szCs w:val="20"/>
        </w:rPr>
        <w:t xml:space="preserve"> </w:t>
      </w:r>
      <w:r w:rsidR="00C376E0" w:rsidRPr="00052C7E">
        <w:rPr>
          <w:rFonts w:ascii="Arial" w:hAnsi="Arial" w:cs="Arial"/>
          <w:bCs/>
          <w:sz w:val="20"/>
          <w:szCs w:val="20"/>
        </w:rPr>
        <w:t xml:space="preserve">initiatives </w:t>
      </w:r>
      <w:r w:rsidR="00D74312">
        <w:rPr>
          <w:rFonts w:ascii="Arial" w:hAnsi="Arial" w:cs="Arial"/>
          <w:bCs/>
          <w:sz w:val="20"/>
          <w:szCs w:val="20"/>
        </w:rPr>
        <w:t>including</w:t>
      </w:r>
      <w:r w:rsidR="003F7578">
        <w:rPr>
          <w:rFonts w:ascii="Arial" w:hAnsi="Arial" w:cs="Arial"/>
          <w:bCs/>
          <w:sz w:val="20"/>
          <w:szCs w:val="20"/>
        </w:rPr>
        <w:t>:</w:t>
      </w:r>
      <w:r w:rsidR="00D74312">
        <w:rPr>
          <w:rFonts w:ascii="Arial" w:hAnsi="Arial" w:cs="Arial"/>
          <w:bCs/>
          <w:sz w:val="20"/>
          <w:szCs w:val="20"/>
        </w:rPr>
        <w:t xml:space="preserve"> </w:t>
      </w:r>
      <w:r w:rsidR="003F7578">
        <w:rPr>
          <w:rFonts w:ascii="Arial" w:hAnsi="Arial" w:cs="Arial"/>
          <w:bCs/>
          <w:sz w:val="20"/>
          <w:szCs w:val="20"/>
        </w:rPr>
        <w:t xml:space="preserve">negotiated </w:t>
      </w:r>
      <w:r w:rsidR="00D74312">
        <w:rPr>
          <w:rFonts w:ascii="Arial" w:hAnsi="Arial" w:cs="Arial"/>
          <w:bCs/>
          <w:sz w:val="20"/>
          <w:szCs w:val="20"/>
        </w:rPr>
        <w:t>affordable repayment plans</w:t>
      </w:r>
      <w:r w:rsidR="003F7578">
        <w:rPr>
          <w:rFonts w:ascii="Arial" w:hAnsi="Arial" w:cs="Arial"/>
          <w:bCs/>
          <w:sz w:val="20"/>
          <w:szCs w:val="20"/>
        </w:rPr>
        <w:t>;</w:t>
      </w:r>
      <w:r w:rsidR="00D74312">
        <w:rPr>
          <w:rFonts w:ascii="Arial" w:hAnsi="Arial" w:cs="Arial"/>
          <w:bCs/>
          <w:sz w:val="20"/>
          <w:szCs w:val="20"/>
        </w:rPr>
        <w:t xml:space="preserve"> </w:t>
      </w:r>
      <w:r w:rsidR="00B045F0">
        <w:rPr>
          <w:rFonts w:ascii="Arial" w:hAnsi="Arial" w:cs="Arial"/>
          <w:bCs/>
          <w:sz w:val="20"/>
          <w:szCs w:val="20"/>
        </w:rPr>
        <w:t>aged and disability support services</w:t>
      </w:r>
      <w:r w:rsidR="001C6977">
        <w:rPr>
          <w:rFonts w:ascii="Arial" w:hAnsi="Arial" w:cs="Arial"/>
          <w:bCs/>
          <w:sz w:val="20"/>
          <w:szCs w:val="20"/>
        </w:rPr>
        <w:t xml:space="preserve"> connecting the most vulnerable to other supporting agencies</w:t>
      </w:r>
      <w:r w:rsidR="003F7578">
        <w:rPr>
          <w:rFonts w:ascii="Arial" w:hAnsi="Arial" w:cs="Arial"/>
          <w:bCs/>
          <w:sz w:val="20"/>
          <w:szCs w:val="20"/>
        </w:rPr>
        <w:t>;</w:t>
      </w:r>
      <w:r w:rsidR="001C6977">
        <w:rPr>
          <w:rFonts w:ascii="Arial" w:hAnsi="Arial" w:cs="Arial"/>
          <w:bCs/>
          <w:sz w:val="20"/>
          <w:szCs w:val="20"/>
        </w:rPr>
        <w:t xml:space="preserve"> Council working with </w:t>
      </w:r>
      <w:r w:rsidR="003F7578">
        <w:rPr>
          <w:rFonts w:ascii="Arial" w:hAnsi="Arial" w:cs="Arial"/>
          <w:bCs/>
          <w:sz w:val="20"/>
          <w:szCs w:val="20"/>
        </w:rPr>
        <w:t xml:space="preserve">other </w:t>
      </w:r>
      <w:r w:rsidR="001C6977">
        <w:rPr>
          <w:rFonts w:ascii="Arial" w:hAnsi="Arial" w:cs="Arial"/>
          <w:bCs/>
          <w:sz w:val="20"/>
          <w:szCs w:val="20"/>
        </w:rPr>
        <w:t>agencies such as the Mental Health Team and the Aged Care Assessment Team to support development of Care Plans and strategies for addressing outstanding rates</w:t>
      </w:r>
      <w:r w:rsidR="003F7578">
        <w:rPr>
          <w:rFonts w:ascii="Arial" w:hAnsi="Arial" w:cs="Arial"/>
          <w:bCs/>
          <w:sz w:val="20"/>
          <w:szCs w:val="20"/>
        </w:rPr>
        <w:t xml:space="preserve">; provision of </w:t>
      </w:r>
      <w:r w:rsidR="00B045F0">
        <w:rPr>
          <w:rFonts w:ascii="Arial" w:hAnsi="Arial" w:cs="Arial"/>
          <w:bCs/>
          <w:sz w:val="20"/>
          <w:szCs w:val="20"/>
        </w:rPr>
        <w:t>pensioner rebates</w:t>
      </w:r>
      <w:r w:rsidR="003F7578">
        <w:rPr>
          <w:rFonts w:ascii="Arial" w:hAnsi="Arial" w:cs="Arial"/>
          <w:bCs/>
          <w:sz w:val="20"/>
          <w:szCs w:val="20"/>
        </w:rPr>
        <w:t xml:space="preserve">; and </w:t>
      </w:r>
      <w:r w:rsidR="001C6977">
        <w:rPr>
          <w:rFonts w:ascii="Arial" w:hAnsi="Arial" w:cs="Arial"/>
          <w:bCs/>
          <w:sz w:val="20"/>
          <w:szCs w:val="20"/>
        </w:rPr>
        <w:t xml:space="preserve">in some circumstances </w:t>
      </w:r>
      <w:r w:rsidR="00B045F0">
        <w:rPr>
          <w:rFonts w:ascii="Arial" w:hAnsi="Arial" w:cs="Arial"/>
          <w:bCs/>
          <w:sz w:val="20"/>
          <w:szCs w:val="20"/>
        </w:rPr>
        <w:t>writing off or reducing accrued interest</w:t>
      </w:r>
      <w:r w:rsidR="003F7578">
        <w:rPr>
          <w:rFonts w:ascii="Arial" w:hAnsi="Arial" w:cs="Arial"/>
          <w:bCs/>
          <w:sz w:val="20"/>
          <w:szCs w:val="20"/>
        </w:rPr>
        <w:t>;</w:t>
      </w:r>
      <w:r w:rsidR="009132DD">
        <w:rPr>
          <w:rFonts w:ascii="Arial" w:hAnsi="Arial" w:cs="Arial"/>
          <w:bCs/>
          <w:sz w:val="20"/>
          <w:szCs w:val="20"/>
        </w:rPr>
        <w:t xml:space="preserve"> and</w:t>
      </w:r>
      <w:r w:rsidR="00B045F0">
        <w:rPr>
          <w:rFonts w:ascii="Arial" w:hAnsi="Arial" w:cs="Arial"/>
          <w:bCs/>
          <w:sz w:val="20"/>
          <w:szCs w:val="20"/>
        </w:rPr>
        <w:t xml:space="preserve"> referral to </w:t>
      </w:r>
      <w:r w:rsidR="003F7578">
        <w:rPr>
          <w:rFonts w:ascii="Arial" w:hAnsi="Arial" w:cs="Arial"/>
          <w:bCs/>
          <w:sz w:val="20"/>
          <w:szCs w:val="20"/>
        </w:rPr>
        <w:t>financial advisory services</w:t>
      </w:r>
      <w:r w:rsidR="00B80547" w:rsidRPr="00052C7E">
        <w:rPr>
          <w:rFonts w:ascii="Arial" w:hAnsi="Arial" w:cs="Arial"/>
          <w:bCs/>
          <w:sz w:val="20"/>
          <w:szCs w:val="20"/>
        </w:rPr>
        <w:t>.</w:t>
      </w:r>
      <w:r w:rsidR="00052C7E" w:rsidRPr="00052C7E">
        <w:rPr>
          <w:rFonts w:ascii="Calibri" w:eastAsia="Calibri" w:hAnsi="Calibri"/>
          <w:sz w:val="20"/>
          <w:szCs w:val="20"/>
          <w:lang w:eastAsia="en-US"/>
        </w:rPr>
        <w:t xml:space="preserve"> </w:t>
      </w:r>
    </w:p>
    <w:p w14:paraId="748AE062" w14:textId="77777777" w:rsidR="00DD3A08" w:rsidRDefault="00DD3A08" w:rsidP="00172AE5">
      <w:pPr>
        <w:pStyle w:val="PlainText"/>
        <w:spacing w:line="276" w:lineRule="auto"/>
        <w:jc w:val="both"/>
        <w:rPr>
          <w:rFonts w:ascii="Arial" w:eastAsia="Calibri" w:hAnsi="Arial" w:cs="Arial"/>
          <w:sz w:val="20"/>
          <w:szCs w:val="20"/>
          <w:lang w:eastAsia="en-US"/>
        </w:rPr>
      </w:pPr>
    </w:p>
    <w:p w14:paraId="493497E1" w14:textId="2F9CA755" w:rsidR="00AF110A" w:rsidRPr="006E6832" w:rsidRDefault="00956433" w:rsidP="00172AE5">
      <w:pPr>
        <w:pStyle w:val="PlainText"/>
        <w:spacing w:line="276" w:lineRule="auto"/>
        <w:jc w:val="both"/>
        <w:rPr>
          <w:rFonts w:ascii="Arial" w:eastAsia="Calibri" w:hAnsi="Arial" w:cs="Arial"/>
          <w:sz w:val="20"/>
          <w:szCs w:val="20"/>
          <w:lang w:eastAsia="en-US"/>
        </w:rPr>
      </w:pPr>
      <w:r>
        <w:rPr>
          <w:rFonts w:ascii="Arial" w:eastAsia="Calibri" w:hAnsi="Arial" w:cs="Arial"/>
          <w:sz w:val="20"/>
          <w:szCs w:val="20"/>
          <w:lang w:eastAsia="en-US"/>
        </w:rPr>
        <w:t xml:space="preserve">The </w:t>
      </w:r>
      <w:r w:rsidR="00052C7E" w:rsidRPr="00052C7E">
        <w:rPr>
          <w:rFonts w:ascii="Arial" w:eastAsia="Calibri" w:hAnsi="Arial" w:cs="Arial"/>
          <w:sz w:val="20"/>
          <w:szCs w:val="20"/>
          <w:lang w:eastAsia="en-US"/>
        </w:rPr>
        <w:t xml:space="preserve">Council has been acutely aware of the need to provide affordable services </w:t>
      </w:r>
      <w:r w:rsidR="00EC7AB0">
        <w:rPr>
          <w:rFonts w:ascii="Arial" w:eastAsia="Calibri" w:hAnsi="Arial" w:cs="Arial"/>
          <w:sz w:val="20"/>
          <w:szCs w:val="20"/>
          <w:lang w:eastAsia="en-US"/>
        </w:rPr>
        <w:t xml:space="preserve">that meet the assessed needs of community </w:t>
      </w:r>
      <w:r w:rsidR="00052C7E" w:rsidRPr="00052C7E">
        <w:rPr>
          <w:rFonts w:ascii="Arial" w:eastAsia="Calibri" w:hAnsi="Arial" w:cs="Arial"/>
          <w:sz w:val="20"/>
          <w:szCs w:val="20"/>
          <w:lang w:eastAsia="en-US"/>
        </w:rPr>
        <w:t xml:space="preserve">in </w:t>
      </w:r>
      <w:r w:rsidR="00EC7AB0">
        <w:rPr>
          <w:rFonts w:ascii="Arial" w:eastAsia="Calibri" w:hAnsi="Arial" w:cs="Arial"/>
          <w:sz w:val="20"/>
          <w:szCs w:val="20"/>
          <w:lang w:eastAsia="en-US"/>
        </w:rPr>
        <w:t xml:space="preserve">the most </w:t>
      </w:r>
      <w:r w:rsidR="00052C7E" w:rsidRPr="00052C7E">
        <w:rPr>
          <w:rFonts w:ascii="Arial" w:eastAsia="Calibri" w:hAnsi="Arial" w:cs="Arial"/>
          <w:sz w:val="20"/>
          <w:szCs w:val="20"/>
          <w:lang w:eastAsia="en-US"/>
        </w:rPr>
        <w:t xml:space="preserve">efficient </w:t>
      </w:r>
      <w:r w:rsidR="00255E3F">
        <w:rPr>
          <w:rFonts w:ascii="Arial" w:eastAsia="Calibri" w:hAnsi="Arial" w:cs="Arial"/>
          <w:sz w:val="20"/>
          <w:szCs w:val="20"/>
          <w:lang w:eastAsia="en-US"/>
        </w:rPr>
        <w:t xml:space="preserve">and cost effective </w:t>
      </w:r>
      <w:r w:rsidR="00052C7E" w:rsidRPr="00052C7E">
        <w:rPr>
          <w:rFonts w:ascii="Arial" w:eastAsia="Calibri" w:hAnsi="Arial" w:cs="Arial"/>
          <w:sz w:val="20"/>
          <w:szCs w:val="20"/>
          <w:lang w:eastAsia="en-US"/>
        </w:rPr>
        <w:t xml:space="preserve">way. </w:t>
      </w:r>
      <w:r>
        <w:rPr>
          <w:rFonts w:ascii="Arial" w:eastAsia="Calibri" w:hAnsi="Arial" w:cs="Arial"/>
          <w:sz w:val="20"/>
          <w:szCs w:val="20"/>
          <w:lang w:eastAsia="en-US"/>
        </w:rPr>
        <w:t>It has</w:t>
      </w:r>
      <w:r w:rsidR="00052C7E" w:rsidRPr="00052C7E">
        <w:rPr>
          <w:rFonts w:ascii="Arial" w:eastAsia="Calibri" w:hAnsi="Arial" w:cs="Arial"/>
          <w:sz w:val="20"/>
          <w:szCs w:val="20"/>
          <w:lang w:eastAsia="en-US"/>
        </w:rPr>
        <w:t xml:space="preserve"> </w:t>
      </w:r>
      <w:r w:rsidR="00610F8D">
        <w:rPr>
          <w:rFonts w:ascii="Arial" w:eastAsia="Calibri" w:hAnsi="Arial" w:cs="Arial"/>
          <w:sz w:val="20"/>
          <w:szCs w:val="20"/>
          <w:lang w:eastAsia="en-US"/>
        </w:rPr>
        <w:t xml:space="preserve">given major focus to ensuring provision of </w:t>
      </w:r>
      <w:r w:rsidR="00255E3F">
        <w:rPr>
          <w:rFonts w:ascii="Arial" w:eastAsia="Calibri" w:hAnsi="Arial" w:cs="Arial"/>
          <w:sz w:val="20"/>
          <w:szCs w:val="20"/>
          <w:lang w:eastAsia="en-US"/>
        </w:rPr>
        <w:t>best value service</w:t>
      </w:r>
      <w:r w:rsidR="00610F8D">
        <w:rPr>
          <w:rFonts w:ascii="Arial" w:eastAsia="Calibri" w:hAnsi="Arial" w:cs="Arial"/>
          <w:sz w:val="20"/>
          <w:szCs w:val="20"/>
          <w:lang w:eastAsia="en-US"/>
        </w:rPr>
        <w:t>s through ongoing continuous reviews of service delivery</w:t>
      </w:r>
      <w:r w:rsidR="00255E3F">
        <w:rPr>
          <w:rFonts w:ascii="Arial" w:eastAsia="Calibri" w:hAnsi="Arial" w:cs="Arial"/>
          <w:sz w:val="20"/>
          <w:szCs w:val="20"/>
          <w:lang w:eastAsia="en-US"/>
        </w:rPr>
        <w:t xml:space="preserve"> (see </w:t>
      </w:r>
      <w:r w:rsidR="00255E3F" w:rsidRPr="00BD6580">
        <w:rPr>
          <w:rFonts w:ascii="Arial" w:eastAsia="Calibri" w:hAnsi="Arial" w:cs="Arial"/>
          <w:b/>
          <w:sz w:val="20"/>
          <w:szCs w:val="20"/>
          <w:lang w:eastAsia="en-US"/>
        </w:rPr>
        <w:t>Section 7.1</w:t>
      </w:r>
      <w:r w:rsidR="00255E3F">
        <w:rPr>
          <w:rFonts w:ascii="Arial" w:eastAsia="Calibri" w:hAnsi="Arial" w:cs="Arial"/>
          <w:sz w:val="20"/>
          <w:szCs w:val="20"/>
          <w:lang w:eastAsia="en-US"/>
        </w:rPr>
        <w:t>)</w:t>
      </w:r>
      <w:r w:rsidR="00052C7E" w:rsidRPr="00052C7E">
        <w:rPr>
          <w:rFonts w:ascii="Arial" w:eastAsia="Calibri" w:hAnsi="Arial" w:cs="Arial"/>
          <w:sz w:val="20"/>
          <w:szCs w:val="20"/>
          <w:lang w:eastAsia="en-US"/>
        </w:rPr>
        <w:t xml:space="preserve">.  </w:t>
      </w:r>
      <w:r w:rsidR="00255E3F">
        <w:rPr>
          <w:rFonts w:ascii="Arial" w:eastAsia="Calibri" w:hAnsi="Arial" w:cs="Arial"/>
          <w:sz w:val="20"/>
          <w:szCs w:val="20"/>
          <w:lang w:eastAsia="en-US"/>
        </w:rPr>
        <w:t>Significantly, a</w:t>
      </w:r>
      <w:r w:rsidR="00052C7E" w:rsidRPr="00052C7E">
        <w:rPr>
          <w:rFonts w:ascii="Arial" w:eastAsia="Calibri" w:hAnsi="Arial" w:cs="Arial"/>
          <w:sz w:val="20"/>
          <w:szCs w:val="20"/>
          <w:lang w:eastAsia="en-US"/>
        </w:rPr>
        <w:t xml:space="preserve"> recent efficiency improvement </w:t>
      </w:r>
      <w:r w:rsidR="009D4CFE">
        <w:rPr>
          <w:rFonts w:ascii="Arial" w:eastAsia="Calibri" w:hAnsi="Arial" w:cs="Arial"/>
          <w:sz w:val="20"/>
          <w:szCs w:val="20"/>
          <w:lang w:eastAsia="en-US"/>
        </w:rPr>
        <w:t xml:space="preserve">adopted by the Council in December 2014 </w:t>
      </w:r>
      <w:r w:rsidR="00052C7E" w:rsidRPr="00052C7E">
        <w:rPr>
          <w:rFonts w:ascii="Arial" w:eastAsia="Calibri" w:hAnsi="Arial" w:cs="Arial"/>
          <w:sz w:val="20"/>
          <w:szCs w:val="20"/>
          <w:lang w:eastAsia="en-US"/>
        </w:rPr>
        <w:t xml:space="preserve">has reduced recycling </w:t>
      </w:r>
      <w:r w:rsidR="00052C7E">
        <w:rPr>
          <w:rFonts w:ascii="Arial" w:eastAsia="Calibri" w:hAnsi="Arial" w:cs="Arial"/>
          <w:sz w:val="20"/>
          <w:szCs w:val="20"/>
          <w:lang w:eastAsia="en-US"/>
        </w:rPr>
        <w:t xml:space="preserve">contract </w:t>
      </w:r>
      <w:r w:rsidR="00052C7E" w:rsidRPr="00052C7E">
        <w:rPr>
          <w:rFonts w:ascii="Arial" w:eastAsia="Calibri" w:hAnsi="Arial" w:cs="Arial"/>
          <w:sz w:val="20"/>
          <w:szCs w:val="20"/>
          <w:lang w:eastAsia="en-US"/>
        </w:rPr>
        <w:t>cost</w:t>
      </w:r>
      <w:r w:rsidR="00052C7E">
        <w:rPr>
          <w:rFonts w:ascii="Arial" w:eastAsia="Calibri" w:hAnsi="Arial" w:cs="Arial"/>
          <w:sz w:val="20"/>
          <w:szCs w:val="20"/>
          <w:lang w:eastAsia="en-US"/>
        </w:rPr>
        <w:t>s</w:t>
      </w:r>
      <w:r w:rsidR="005C77FD">
        <w:rPr>
          <w:rFonts w:ascii="Arial" w:eastAsia="Calibri" w:hAnsi="Arial" w:cs="Arial"/>
          <w:sz w:val="20"/>
          <w:szCs w:val="20"/>
          <w:lang w:eastAsia="en-US"/>
        </w:rPr>
        <w:t xml:space="preserve"> </w:t>
      </w:r>
      <w:r w:rsidR="005C77FD" w:rsidRPr="00052C7E">
        <w:rPr>
          <w:rFonts w:ascii="Arial" w:eastAsia="Calibri" w:hAnsi="Arial" w:cs="Arial"/>
          <w:sz w:val="20"/>
          <w:szCs w:val="20"/>
          <w:lang w:eastAsia="en-US"/>
        </w:rPr>
        <w:t xml:space="preserve">by </w:t>
      </w:r>
      <w:r w:rsidR="005C77FD">
        <w:rPr>
          <w:rFonts w:ascii="Arial" w:eastAsia="Calibri" w:hAnsi="Arial" w:cs="Arial"/>
          <w:sz w:val="20"/>
          <w:szCs w:val="20"/>
          <w:lang w:eastAsia="en-US"/>
        </w:rPr>
        <w:t xml:space="preserve">approximately </w:t>
      </w:r>
      <w:r w:rsidR="005C77FD" w:rsidRPr="00052C7E">
        <w:rPr>
          <w:rFonts w:ascii="Arial" w:eastAsia="Calibri" w:hAnsi="Arial" w:cs="Arial"/>
          <w:sz w:val="20"/>
          <w:szCs w:val="20"/>
          <w:lang w:eastAsia="en-US"/>
        </w:rPr>
        <w:t>$30 per</w:t>
      </w:r>
      <w:r w:rsidR="005C77FD">
        <w:rPr>
          <w:rFonts w:ascii="Arial" w:eastAsia="Calibri" w:hAnsi="Arial" w:cs="Arial"/>
          <w:sz w:val="20"/>
          <w:szCs w:val="20"/>
          <w:lang w:eastAsia="en-US"/>
        </w:rPr>
        <w:t xml:space="preserve"> residential ratepayer per annum</w:t>
      </w:r>
      <w:r w:rsidR="009D4CFE">
        <w:rPr>
          <w:rFonts w:ascii="Arial" w:eastAsia="Calibri" w:hAnsi="Arial" w:cs="Arial"/>
          <w:sz w:val="20"/>
          <w:szCs w:val="20"/>
          <w:lang w:eastAsia="en-US"/>
        </w:rPr>
        <w:t xml:space="preserve">. This saving (reducing the Domestic Waste Management Charge) will </w:t>
      </w:r>
      <w:r w:rsidR="005C77FD">
        <w:rPr>
          <w:rFonts w:ascii="Arial" w:eastAsia="Calibri" w:hAnsi="Arial" w:cs="Arial"/>
          <w:sz w:val="20"/>
          <w:szCs w:val="20"/>
          <w:lang w:eastAsia="en-US"/>
        </w:rPr>
        <w:t>tak</w:t>
      </w:r>
      <w:r w:rsidR="009D4CFE">
        <w:rPr>
          <w:rFonts w:ascii="Arial" w:eastAsia="Calibri" w:hAnsi="Arial" w:cs="Arial"/>
          <w:sz w:val="20"/>
          <w:szCs w:val="20"/>
          <w:lang w:eastAsia="en-US"/>
        </w:rPr>
        <w:t>e</w:t>
      </w:r>
      <w:r w:rsidR="005C77FD">
        <w:rPr>
          <w:rFonts w:ascii="Arial" w:eastAsia="Calibri" w:hAnsi="Arial" w:cs="Arial"/>
          <w:sz w:val="20"/>
          <w:szCs w:val="20"/>
          <w:lang w:eastAsia="en-US"/>
        </w:rPr>
        <w:t xml:space="preserve"> effect from 1 July 2016</w:t>
      </w:r>
      <w:r w:rsidR="00255E3F">
        <w:rPr>
          <w:rFonts w:ascii="Arial" w:eastAsia="Calibri" w:hAnsi="Arial" w:cs="Arial"/>
          <w:sz w:val="20"/>
          <w:szCs w:val="20"/>
          <w:lang w:eastAsia="en-US"/>
        </w:rPr>
        <w:t xml:space="preserve"> </w:t>
      </w:r>
      <w:r w:rsidR="00AF110A">
        <w:rPr>
          <w:rFonts w:ascii="Arial" w:eastAsia="Calibri" w:hAnsi="Arial" w:cs="Arial"/>
          <w:sz w:val="20"/>
          <w:szCs w:val="20"/>
          <w:lang w:eastAsia="en-US"/>
        </w:rPr>
        <w:t xml:space="preserve">(see </w:t>
      </w:r>
      <w:r w:rsidR="00AF110A" w:rsidRPr="00BD6580">
        <w:rPr>
          <w:rFonts w:ascii="Arial" w:eastAsia="Calibri" w:hAnsi="Arial" w:cs="Arial"/>
          <w:b/>
          <w:sz w:val="20"/>
          <w:szCs w:val="20"/>
          <w:lang w:eastAsia="en-US"/>
        </w:rPr>
        <w:t>Section 5.2.1</w:t>
      </w:r>
      <w:r w:rsidR="006E6832">
        <w:rPr>
          <w:rFonts w:ascii="Arial" w:eastAsia="Calibri" w:hAnsi="Arial" w:cs="Arial"/>
          <w:b/>
          <w:sz w:val="20"/>
          <w:szCs w:val="20"/>
          <w:lang w:eastAsia="en-US"/>
        </w:rPr>
        <w:t xml:space="preserve">, </w:t>
      </w:r>
      <w:r w:rsidR="006E6832" w:rsidRPr="006E6832">
        <w:rPr>
          <w:rFonts w:ascii="Arial" w:eastAsia="Calibri" w:hAnsi="Arial" w:cs="Arial"/>
          <w:sz w:val="20"/>
          <w:szCs w:val="20"/>
          <w:lang w:eastAsia="en-US"/>
        </w:rPr>
        <w:t>Capacity to Pay Measures,</w:t>
      </w:r>
      <w:r w:rsidR="006E6832">
        <w:rPr>
          <w:rFonts w:ascii="Arial" w:eastAsia="Calibri" w:hAnsi="Arial" w:cs="Arial"/>
          <w:sz w:val="20"/>
          <w:szCs w:val="20"/>
          <w:lang w:eastAsia="en-US"/>
        </w:rPr>
        <w:t xml:space="preserve"> Item j</w:t>
      </w:r>
      <w:r w:rsidR="00AF110A" w:rsidRPr="006E6832">
        <w:rPr>
          <w:rFonts w:ascii="Arial" w:eastAsia="Calibri" w:hAnsi="Arial" w:cs="Arial"/>
          <w:sz w:val="20"/>
          <w:szCs w:val="20"/>
          <w:lang w:eastAsia="en-US"/>
        </w:rPr>
        <w:t>)</w:t>
      </w:r>
      <w:r w:rsidR="00052C7E" w:rsidRPr="006E6832">
        <w:rPr>
          <w:rFonts w:ascii="Arial" w:eastAsia="Calibri" w:hAnsi="Arial" w:cs="Arial"/>
          <w:sz w:val="20"/>
          <w:szCs w:val="20"/>
          <w:lang w:eastAsia="en-US"/>
        </w:rPr>
        <w:t xml:space="preserve">.  </w:t>
      </w:r>
    </w:p>
    <w:p w14:paraId="5B6A7AA9" w14:textId="77777777" w:rsidR="00AF110A" w:rsidRDefault="00AF110A" w:rsidP="00172AE5">
      <w:pPr>
        <w:pStyle w:val="PlainText"/>
        <w:spacing w:line="276" w:lineRule="auto"/>
        <w:jc w:val="both"/>
        <w:rPr>
          <w:rFonts w:ascii="Arial" w:eastAsia="Calibri" w:hAnsi="Arial" w:cs="Arial"/>
          <w:sz w:val="20"/>
          <w:szCs w:val="20"/>
          <w:lang w:eastAsia="en-US"/>
        </w:rPr>
      </w:pPr>
    </w:p>
    <w:p w14:paraId="0ECF12E1" w14:textId="456D02BF" w:rsidR="00DD3A08" w:rsidRDefault="00052C7E" w:rsidP="00172AE5">
      <w:pPr>
        <w:pStyle w:val="PlainText"/>
        <w:spacing w:line="276" w:lineRule="auto"/>
        <w:jc w:val="both"/>
        <w:rPr>
          <w:rFonts w:ascii="Arial" w:eastAsia="Calibri" w:hAnsi="Arial" w:cs="Arial"/>
          <w:sz w:val="20"/>
          <w:szCs w:val="20"/>
          <w:lang w:eastAsia="en-US"/>
        </w:rPr>
      </w:pPr>
      <w:r w:rsidRPr="00052C7E">
        <w:rPr>
          <w:rFonts w:ascii="Arial" w:eastAsia="Calibri" w:hAnsi="Arial" w:cs="Arial"/>
          <w:sz w:val="20"/>
          <w:szCs w:val="20"/>
          <w:lang w:eastAsia="en-US"/>
        </w:rPr>
        <w:t>Ongoing monitoring of all</w:t>
      </w:r>
      <w:r>
        <w:rPr>
          <w:rFonts w:ascii="Arial" w:eastAsia="Calibri" w:hAnsi="Arial" w:cs="Arial"/>
          <w:sz w:val="20"/>
          <w:szCs w:val="20"/>
          <w:lang w:eastAsia="en-US"/>
        </w:rPr>
        <w:t xml:space="preserve"> </w:t>
      </w:r>
      <w:r w:rsidRPr="00052C7E">
        <w:rPr>
          <w:rFonts w:ascii="Arial" w:eastAsia="Calibri" w:hAnsi="Arial" w:cs="Arial"/>
          <w:sz w:val="20"/>
          <w:szCs w:val="20"/>
          <w:lang w:eastAsia="en-US"/>
        </w:rPr>
        <w:t xml:space="preserve">costs and charges will continue as part of Councils </w:t>
      </w:r>
      <w:r w:rsidR="00DD3A08">
        <w:rPr>
          <w:rFonts w:ascii="Arial" w:eastAsia="Calibri" w:hAnsi="Arial" w:cs="Arial"/>
          <w:sz w:val="20"/>
          <w:szCs w:val="20"/>
          <w:lang w:eastAsia="en-US"/>
        </w:rPr>
        <w:t>commitment to continuously review its services in line with its adopted best value service provision framework.</w:t>
      </w:r>
      <w:r w:rsidRPr="00052C7E">
        <w:rPr>
          <w:rFonts w:ascii="Arial" w:eastAsia="Calibri" w:hAnsi="Arial" w:cs="Arial"/>
          <w:sz w:val="20"/>
          <w:szCs w:val="20"/>
          <w:lang w:eastAsia="en-US"/>
        </w:rPr>
        <w:t xml:space="preserve"> </w:t>
      </w:r>
    </w:p>
    <w:p w14:paraId="4F0C0122" w14:textId="77777777" w:rsidR="00DD3A08" w:rsidRDefault="00DD3A08" w:rsidP="00172AE5">
      <w:pPr>
        <w:pStyle w:val="PlainText"/>
        <w:spacing w:line="276" w:lineRule="auto"/>
        <w:jc w:val="both"/>
        <w:rPr>
          <w:rFonts w:ascii="Arial" w:eastAsia="Calibri" w:hAnsi="Arial" w:cs="Arial"/>
          <w:sz w:val="20"/>
          <w:szCs w:val="20"/>
          <w:lang w:eastAsia="en-US"/>
        </w:rPr>
      </w:pPr>
    </w:p>
    <w:p w14:paraId="46257A2E" w14:textId="742D49CC" w:rsidR="006E076B" w:rsidRPr="00950A18" w:rsidRDefault="004636F6" w:rsidP="00255E3F">
      <w:pPr>
        <w:pStyle w:val="PlainText"/>
        <w:spacing w:line="276" w:lineRule="auto"/>
        <w:jc w:val="both"/>
        <w:rPr>
          <w:rFonts w:ascii="Arial" w:eastAsia="Calibri" w:hAnsi="Arial" w:cs="Arial"/>
          <w:b/>
          <w:sz w:val="22"/>
          <w:szCs w:val="22"/>
          <w:lang w:eastAsia="en-US"/>
        </w:rPr>
      </w:pPr>
      <w:r w:rsidRPr="00950A18">
        <w:rPr>
          <w:rFonts w:ascii="Arial" w:eastAsia="Calibri" w:hAnsi="Arial" w:cs="Arial"/>
          <w:b/>
          <w:sz w:val="22"/>
          <w:szCs w:val="22"/>
          <w:lang w:eastAsia="en-US"/>
        </w:rPr>
        <w:t xml:space="preserve">In summary, </w:t>
      </w:r>
      <w:r w:rsidR="00EF04CF">
        <w:rPr>
          <w:rFonts w:ascii="Arial" w:eastAsia="Calibri" w:hAnsi="Arial" w:cs="Arial"/>
          <w:b/>
          <w:sz w:val="22"/>
          <w:szCs w:val="22"/>
          <w:lang w:eastAsia="en-US"/>
        </w:rPr>
        <w:t xml:space="preserve">taking into consideration the assessed needs of the City and the community, </w:t>
      </w:r>
      <w:r w:rsidRPr="00950A18">
        <w:rPr>
          <w:rFonts w:ascii="Arial" w:eastAsia="Calibri" w:hAnsi="Arial" w:cs="Arial"/>
          <w:b/>
          <w:sz w:val="22"/>
          <w:szCs w:val="22"/>
          <w:lang w:eastAsia="en-US"/>
        </w:rPr>
        <w:t>t</w:t>
      </w:r>
      <w:r w:rsidR="00052C7E" w:rsidRPr="00950A18">
        <w:rPr>
          <w:rFonts w:ascii="Arial" w:eastAsia="Calibri" w:hAnsi="Arial" w:cs="Arial"/>
          <w:b/>
          <w:sz w:val="22"/>
          <w:szCs w:val="22"/>
          <w:lang w:eastAsia="en-US"/>
        </w:rPr>
        <w:t xml:space="preserve">his application represents the </w:t>
      </w:r>
      <w:r w:rsidR="00956433" w:rsidRPr="00950A18">
        <w:rPr>
          <w:rFonts w:ascii="Arial" w:eastAsia="Calibri" w:hAnsi="Arial" w:cs="Arial"/>
          <w:b/>
          <w:sz w:val="22"/>
          <w:szCs w:val="22"/>
          <w:lang w:eastAsia="en-US"/>
        </w:rPr>
        <w:t xml:space="preserve">most cost effective </w:t>
      </w:r>
      <w:r w:rsidR="00052C7E" w:rsidRPr="00950A18">
        <w:rPr>
          <w:rFonts w:ascii="Arial" w:eastAsia="Calibri" w:hAnsi="Arial" w:cs="Arial"/>
          <w:b/>
          <w:sz w:val="22"/>
          <w:szCs w:val="22"/>
          <w:lang w:eastAsia="en-US"/>
        </w:rPr>
        <w:t xml:space="preserve">option for </w:t>
      </w:r>
      <w:r w:rsidR="00956433" w:rsidRPr="00950A18">
        <w:rPr>
          <w:rFonts w:ascii="Arial" w:eastAsia="Calibri" w:hAnsi="Arial" w:cs="Arial"/>
          <w:b/>
          <w:sz w:val="22"/>
          <w:szCs w:val="22"/>
          <w:lang w:eastAsia="en-US"/>
        </w:rPr>
        <w:t xml:space="preserve">achieving </w:t>
      </w:r>
      <w:r w:rsidR="00052C7E" w:rsidRPr="00950A18">
        <w:rPr>
          <w:rFonts w:ascii="Arial" w:eastAsia="Calibri" w:hAnsi="Arial" w:cs="Arial"/>
          <w:b/>
          <w:sz w:val="22"/>
          <w:szCs w:val="22"/>
          <w:lang w:eastAsia="en-US"/>
        </w:rPr>
        <w:t xml:space="preserve">long term sustainability and </w:t>
      </w:r>
      <w:r w:rsidR="00EA0760" w:rsidRPr="00950A18">
        <w:rPr>
          <w:rFonts w:ascii="Arial" w:eastAsia="Calibri" w:hAnsi="Arial" w:cs="Arial"/>
          <w:b/>
          <w:sz w:val="22"/>
          <w:szCs w:val="22"/>
          <w:lang w:eastAsia="en-US"/>
        </w:rPr>
        <w:t xml:space="preserve">is </w:t>
      </w:r>
      <w:r w:rsidR="00052C7E" w:rsidRPr="00950A18">
        <w:rPr>
          <w:rFonts w:ascii="Arial" w:eastAsia="Calibri" w:hAnsi="Arial" w:cs="Arial"/>
          <w:b/>
          <w:sz w:val="22"/>
          <w:szCs w:val="22"/>
          <w:lang w:eastAsia="en-US"/>
        </w:rPr>
        <w:t xml:space="preserve">also the expressed choice of </w:t>
      </w:r>
      <w:r w:rsidRPr="00950A18">
        <w:rPr>
          <w:rFonts w:ascii="Arial" w:eastAsia="Calibri" w:hAnsi="Arial" w:cs="Arial"/>
          <w:b/>
          <w:sz w:val="22"/>
          <w:szCs w:val="22"/>
          <w:lang w:eastAsia="en-US"/>
        </w:rPr>
        <w:t>a</w:t>
      </w:r>
      <w:r w:rsidR="00052C7E" w:rsidRPr="00950A18">
        <w:rPr>
          <w:rFonts w:ascii="Arial" w:eastAsia="Calibri" w:hAnsi="Arial" w:cs="Arial"/>
          <w:b/>
          <w:sz w:val="22"/>
          <w:szCs w:val="22"/>
          <w:lang w:eastAsia="en-US"/>
        </w:rPr>
        <w:t xml:space="preserve"> majority of the community</w:t>
      </w:r>
      <w:r w:rsidR="00EA0760" w:rsidRPr="00950A18">
        <w:rPr>
          <w:rFonts w:ascii="Arial" w:eastAsia="Calibri" w:hAnsi="Arial" w:cs="Arial"/>
          <w:b/>
          <w:sz w:val="22"/>
          <w:szCs w:val="22"/>
          <w:lang w:eastAsia="en-US"/>
        </w:rPr>
        <w:t xml:space="preserve"> engaged through the </w:t>
      </w:r>
      <w:r w:rsidR="00EA0760" w:rsidRPr="00950A18">
        <w:rPr>
          <w:rFonts w:ascii="Arial" w:eastAsia="Calibri" w:hAnsi="Arial" w:cs="Arial"/>
          <w:b/>
          <w:i/>
          <w:sz w:val="22"/>
          <w:szCs w:val="22"/>
          <w:lang w:eastAsia="en-US"/>
        </w:rPr>
        <w:t>Resourcing Our Future</w:t>
      </w:r>
      <w:r w:rsidR="00EA0760" w:rsidRPr="00950A18">
        <w:rPr>
          <w:rFonts w:ascii="Arial" w:eastAsia="Calibri" w:hAnsi="Arial" w:cs="Arial"/>
          <w:b/>
          <w:sz w:val="22"/>
          <w:szCs w:val="22"/>
          <w:lang w:eastAsia="en-US"/>
        </w:rPr>
        <w:t xml:space="preserve"> process</w:t>
      </w:r>
      <w:r w:rsidR="00052C7E" w:rsidRPr="00950A18">
        <w:rPr>
          <w:rFonts w:ascii="Arial" w:eastAsia="Calibri" w:hAnsi="Arial" w:cs="Arial"/>
          <w:b/>
          <w:sz w:val="22"/>
          <w:szCs w:val="22"/>
          <w:lang w:eastAsia="en-US"/>
        </w:rPr>
        <w:t>.</w:t>
      </w:r>
    </w:p>
    <w:p w14:paraId="6636B42D" w14:textId="7145A1EB" w:rsidR="000318AD" w:rsidRPr="000318AD" w:rsidRDefault="000318AD" w:rsidP="00E52BBA">
      <w:pPr>
        <w:pStyle w:val="Heading2"/>
      </w:pPr>
      <w:bookmarkStart w:id="3" w:name="_Toc411530300"/>
      <w:bookmarkStart w:id="4" w:name="_Toc412798910"/>
      <w:r w:rsidRPr="000318AD">
        <w:t>Making the City Fit for the Future</w:t>
      </w:r>
      <w:bookmarkEnd w:id="3"/>
      <w:bookmarkEnd w:id="4"/>
      <w:r w:rsidRPr="000318AD">
        <w:t xml:space="preserve"> </w:t>
      </w:r>
    </w:p>
    <w:p w14:paraId="5BAB1BBB" w14:textId="77777777" w:rsidR="000318AD" w:rsidRPr="00F42242" w:rsidRDefault="000318AD" w:rsidP="00172AE5">
      <w:pPr>
        <w:spacing w:before="240" w:after="120" w:line="276" w:lineRule="auto"/>
        <w:jc w:val="both"/>
        <w:rPr>
          <w:rFonts w:ascii="Arial" w:hAnsi="Arial" w:cs="Arial"/>
          <w:b/>
          <w:bCs/>
          <w:i/>
          <w:sz w:val="20"/>
          <w:szCs w:val="21"/>
        </w:rPr>
      </w:pPr>
      <w:r w:rsidRPr="00F42242">
        <w:rPr>
          <w:rFonts w:ascii="Arial" w:hAnsi="Arial" w:cs="Arial"/>
          <w:b/>
          <w:bCs/>
          <w:i/>
          <w:sz w:val="20"/>
          <w:szCs w:val="21"/>
        </w:rPr>
        <w:t xml:space="preserve">Geography – Unique, Special and Expensive </w:t>
      </w:r>
    </w:p>
    <w:p w14:paraId="7CE02287" w14:textId="44B1672F" w:rsidR="000318AD" w:rsidRPr="000318AD" w:rsidRDefault="000318AD" w:rsidP="00172AE5">
      <w:pPr>
        <w:spacing w:line="276" w:lineRule="auto"/>
        <w:jc w:val="both"/>
        <w:rPr>
          <w:rFonts w:ascii="Arial" w:hAnsi="Arial" w:cs="Arial"/>
          <w:bCs/>
          <w:sz w:val="20"/>
          <w:szCs w:val="20"/>
        </w:rPr>
      </w:pPr>
      <w:r w:rsidRPr="000318AD">
        <w:rPr>
          <w:rFonts w:ascii="Arial" w:hAnsi="Arial" w:cs="Arial"/>
          <w:bCs/>
          <w:sz w:val="20"/>
          <w:szCs w:val="20"/>
        </w:rPr>
        <w:t>Located on the western fringe of Sydney, the City covers a very large area of 143,000ha with 70% forming part of the Greater Blue Mountains World Heritage Area.  Only 11% of land area is available for settlement. The City comprises 27 towns and villages spread over a narrow ridgeline of 100km of mountainous terrain</w:t>
      </w:r>
      <w:r w:rsidR="00D80A22">
        <w:rPr>
          <w:rFonts w:ascii="Arial" w:hAnsi="Arial" w:cs="Arial"/>
          <w:bCs/>
          <w:sz w:val="20"/>
          <w:szCs w:val="20"/>
        </w:rPr>
        <w:t xml:space="preserve"> that generally applies to the main transport corridor from the Sydney basin to the western plains</w:t>
      </w:r>
      <w:r w:rsidRPr="000318AD">
        <w:rPr>
          <w:rFonts w:ascii="Arial" w:hAnsi="Arial" w:cs="Arial"/>
          <w:bCs/>
          <w:sz w:val="20"/>
          <w:szCs w:val="20"/>
        </w:rPr>
        <w:t xml:space="preserve">. </w:t>
      </w:r>
      <w:r w:rsidR="00D80A22">
        <w:rPr>
          <w:rFonts w:ascii="Arial" w:hAnsi="Arial" w:cs="Arial"/>
          <w:bCs/>
          <w:sz w:val="20"/>
          <w:szCs w:val="20"/>
        </w:rPr>
        <w:t xml:space="preserve">With an estimated population of 78,000, the City </w:t>
      </w:r>
      <w:r w:rsidRPr="000318AD">
        <w:rPr>
          <w:rFonts w:ascii="Arial" w:hAnsi="Arial" w:cs="Arial"/>
          <w:bCs/>
          <w:sz w:val="20"/>
          <w:szCs w:val="20"/>
        </w:rPr>
        <w:t xml:space="preserve">had the lowest population growth of all council </w:t>
      </w:r>
      <w:r w:rsidR="00D80A22">
        <w:rPr>
          <w:rFonts w:ascii="Arial" w:hAnsi="Arial" w:cs="Arial"/>
          <w:bCs/>
          <w:sz w:val="20"/>
          <w:szCs w:val="20"/>
        </w:rPr>
        <w:t>areas in Greater Sydney (1.5%) between 2001 and 2011.</w:t>
      </w:r>
    </w:p>
    <w:p w14:paraId="1EB92704" w14:textId="77777777" w:rsidR="00614FC1" w:rsidRDefault="00614FC1" w:rsidP="00172AE5">
      <w:pPr>
        <w:spacing w:line="276" w:lineRule="auto"/>
        <w:jc w:val="both"/>
        <w:rPr>
          <w:rFonts w:ascii="Arial" w:hAnsi="Arial" w:cs="Arial"/>
          <w:bCs/>
          <w:sz w:val="20"/>
          <w:szCs w:val="20"/>
        </w:rPr>
      </w:pPr>
    </w:p>
    <w:p w14:paraId="69EA6F2B" w14:textId="7722DB89" w:rsidR="00383155" w:rsidRDefault="000318AD" w:rsidP="00172AE5">
      <w:pPr>
        <w:spacing w:line="276" w:lineRule="auto"/>
        <w:jc w:val="both"/>
        <w:rPr>
          <w:rFonts w:ascii="Arial" w:hAnsi="Arial" w:cs="Arial"/>
          <w:bCs/>
          <w:sz w:val="20"/>
          <w:szCs w:val="20"/>
        </w:rPr>
      </w:pPr>
      <w:r w:rsidRPr="000318AD">
        <w:rPr>
          <w:rFonts w:ascii="Arial" w:hAnsi="Arial" w:cs="Arial"/>
          <w:bCs/>
          <w:sz w:val="20"/>
          <w:szCs w:val="20"/>
        </w:rPr>
        <w:t xml:space="preserve">The Blue Mountains is an area of outstanding natural value. It is one of only two cities in the world surrounded by a designated World Heritage Area and sits within </w:t>
      </w:r>
      <w:r w:rsidR="00AC70B8">
        <w:rPr>
          <w:rFonts w:ascii="Arial" w:hAnsi="Arial" w:cs="Arial"/>
          <w:bCs/>
          <w:sz w:val="20"/>
          <w:szCs w:val="20"/>
        </w:rPr>
        <w:t xml:space="preserve">the Sydney </w:t>
      </w:r>
      <w:r w:rsidRPr="000318AD">
        <w:rPr>
          <w:rFonts w:ascii="Arial" w:hAnsi="Arial" w:cs="Arial"/>
          <w:bCs/>
          <w:sz w:val="20"/>
          <w:szCs w:val="20"/>
        </w:rPr>
        <w:t>drinking water catchment servicing 3.7 million people. Its World Heritage status and inclusion into Tourism Australia’s National Landscapes Program is recognition of the iconic nature</w:t>
      </w:r>
      <w:r w:rsidR="00A566A3">
        <w:rPr>
          <w:rFonts w:ascii="Arial" w:hAnsi="Arial" w:cs="Arial"/>
          <w:bCs/>
          <w:sz w:val="20"/>
          <w:szCs w:val="20"/>
        </w:rPr>
        <w:t xml:space="preserve"> and</w:t>
      </w:r>
      <w:r w:rsidRPr="000318AD">
        <w:rPr>
          <w:rFonts w:ascii="Arial" w:hAnsi="Arial" w:cs="Arial"/>
          <w:bCs/>
          <w:sz w:val="20"/>
          <w:szCs w:val="20"/>
        </w:rPr>
        <w:t xml:space="preserve"> natural antiquity of the area, its biological and geological diversity, exceptional beauty and the cultural </w:t>
      </w:r>
      <w:r w:rsidR="00C850EA">
        <w:rPr>
          <w:rFonts w:ascii="Arial" w:hAnsi="Arial" w:cs="Arial"/>
          <w:bCs/>
          <w:sz w:val="20"/>
          <w:szCs w:val="20"/>
        </w:rPr>
        <w:t xml:space="preserve">and spiritual values it holds. </w:t>
      </w:r>
      <w:r w:rsidR="00D80A22">
        <w:rPr>
          <w:rFonts w:ascii="Arial" w:hAnsi="Arial" w:cs="Arial"/>
          <w:bCs/>
          <w:sz w:val="20"/>
          <w:szCs w:val="20"/>
        </w:rPr>
        <w:t>With the UNESCO World Heritage Listing</w:t>
      </w:r>
      <w:r w:rsidR="004A4D87">
        <w:rPr>
          <w:rFonts w:ascii="Arial" w:hAnsi="Arial" w:cs="Arial"/>
          <w:bCs/>
          <w:sz w:val="20"/>
          <w:szCs w:val="20"/>
        </w:rPr>
        <w:t>,</w:t>
      </w:r>
      <w:r w:rsidR="00D80A22">
        <w:rPr>
          <w:rFonts w:ascii="Arial" w:hAnsi="Arial" w:cs="Arial"/>
          <w:bCs/>
          <w:sz w:val="20"/>
          <w:szCs w:val="20"/>
        </w:rPr>
        <w:t xml:space="preserve"> </w:t>
      </w:r>
      <w:r w:rsidR="004064BD">
        <w:rPr>
          <w:rFonts w:ascii="Arial" w:hAnsi="Arial" w:cs="Arial"/>
          <w:bCs/>
          <w:sz w:val="20"/>
          <w:szCs w:val="20"/>
        </w:rPr>
        <w:t>come</w:t>
      </w:r>
      <w:r w:rsidR="00D80A22">
        <w:rPr>
          <w:rFonts w:ascii="Arial" w:hAnsi="Arial" w:cs="Arial"/>
          <w:bCs/>
          <w:sz w:val="20"/>
          <w:szCs w:val="20"/>
        </w:rPr>
        <w:t xml:space="preserve"> inherent responsibilities, liabilities and costs for our community</w:t>
      </w:r>
      <w:r w:rsidR="00975EB9">
        <w:rPr>
          <w:rFonts w:ascii="Arial" w:hAnsi="Arial" w:cs="Arial"/>
          <w:bCs/>
          <w:sz w:val="20"/>
          <w:szCs w:val="20"/>
        </w:rPr>
        <w:t>.</w:t>
      </w:r>
      <w:r w:rsidR="00383155">
        <w:rPr>
          <w:rFonts w:ascii="Arial" w:hAnsi="Arial" w:cs="Arial"/>
          <w:bCs/>
          <w:sz w:val="20"/>
          <w:szCs w:val="20"/>
        </w:rPr>
        <w:t xml:space="preserve"> The City’s proximity to the National Park and the geography also increases the City’s exposure to natural disasters and associated risks. </w:t>
      </w:r>
    </w:p>
    <w:p w14:paraId="49F67DE3" w14:textId="77777777" w:rsidR="00A566A3" w:rsidRDefault="00A566A3" w:rsidP="00172AE5">
      <w:pPr>
        <w:spacing w:line="276" w:lineRule="auto"/>
        <w:jc w:val="both"/>
        <w:rPr>
          <w:rFonts w:ascii="Arial" w:hAnsi="Arial" w:cs="Arial"/>
          <w:bCs/>
          <w:sz w:val="20"/>
          <w:szCs w:val="20"/>
        </w:rPr>
      </w:pPr>
    </w:p>
    <w:p w14:paraId="10485AF0" w14:textId="715A2973" w:rsidR="00A566A3" w:rsidRDefault="000318AD" w:rsidP="00172AE5">
      <w:pPr>
        <w:spacing w:line="276" w:lineRule="auto"/>
        <w:jc w:val="both"/>
        <w:rPr>
          <w:rFonts w:ascii="Arial" w:hAnsi="Arial" w:cs="Arial"/>
          <w:bCs/>
          <w:sz w:val="20"/>
          <w:szCs w:val="20"/>
        </w:rPr>
      </w:pPr>
      <w:r w:rsidRPr="000318AD">
        <w:rPr>
          <w:rFonts w:ascii="Arial" w:hAnsi="Arial" w:cs="Arial"/>
          <w:bCs/>
          <w:sz w:val="20"/>
          <w:szCs w:val="20"/>
        </w:rPr>
        <w:t>The unique topography and ribbon development has resulted in the City of Blue Mountains having a very high ratio of infrastructure per resident compared to most other urban councils</w:t>
      </w:r>
      <w:r w:rsidR="005C2145">
        <w:rPr>
          <w:rFonts w:ascii="Arial" w:hAnsi="Arial" w:cs="Arial"/>
          <w:bCs/>
          <w:sz w:val="20"/>
          <w:szCs w:val="20"/>
        </w:rPr>
        <w:t xml:space="preserve">. This is </w:t>
      </w:r>
      <w:r w:rsidR="009B5A1E">
        <w:rPr>
          <w:rFonts w:ascii="Arial" w:hAnsi="Arial" w:cs="Arial"/>
          <w:bCs/>
          <w:sz w:val="20"/>
          <w:szCs w:val="20"/>
        </w:rPr>
        <w:t xml:space="preserve">caused by duplication </w:t>
      </w:r>
      <w:r w:rsidR="005C2145">
        <w:rPr>
          <w:rFonts w:ascii="Arial" w:hAnsi="Arial" w:cs="Arial"/>
          <w:bCs/>
          <w:sz w:val="20"/>
          <w:szCs w:val="20"/>
        </w:rPr>
        <w:t xml:space="preserve">of services and facilities across 27 towns and villages </w:t>
      </w:r>
      <w:r w:rsidR="00AC70B8">
        <w:rPr>
          <w:rFonts w:ascii="Arial" w:hAnsi="Arial" w:cs="Arial"/>
          <w:bCs/>
          <w:sz w:val="20"/>
          <w:szCs w:val="20"/>
        </w:rPr>
        <w:t>and the need to service tourists</w:t>
      </w:r>
      <w:r w:rsidRPr="000318AD">
        <w:rPr>
          <w:rFonts w:ascii="Arial" w:hAnsi="Arial" w:cs="Arial"/>
          <w:bCs/>
          <w:sz w:val="20"/>
          <w:szCs w:val="20"/>
        </w:rPr>
        <w:t xml:space="preserve">. Despite </w:t>
      </w:r>
      <w:r w:rsidR="005C2145">
        <w:rPr>
          <w:rFonts w:ascii="Arial" w:hAnsi="Arial" w:cs="Arial"/>
          <w:bCs/>
          <w:sz w:val="20"/>
          <w:szCs w:val="20"/>
        </w:rPr>
        <w:t xml:space="preserve">the City’s </w:t>
      </w:r>
      <w:r w:rsidRPr="000318AD">
        <w:rPr>
          <w:rFonts w:ascii="Arial" w:hAnsi="Arial" w:cs="Arial"/>
          <w:bCs/>
          <w:sz w:val="20"/>
          <w:szCs w:val="20"/>
        </w:rPr>
        <w:t>fringe location</w:t>
      </w:r>
      <w:r w:rsidR="005C2145">
        <w:rPr>
          <w:rFonts w:ascii="Arial" w:hAnsi="Arial" w:cs="Arial"/>
          <w:bCs/>
          <w:sz w:val="20"/>
          <w:szCs w:val="20"/>
        </w:rPr>
        <w:t xml:space="preserve"> relative to Sydney</w:t>
      </w:r>
      <w:r w:rsidRPr="000318AD">
        <w:rPr>
          <w:rFonts w:ascii="Arial" w:hAnsi="Arial" w:cs="Arial"/>
          <w:bCs/>
          <w:sz w:val="20"/>
          <w:szCs w:val="20"/>
        </w:rPr>
        <w:t xml:space="preserve">, there is also a high expectation from the community for urban service levels. This has resulted in an infrastructure portfolio developed over </w:t>
      </w:r>
      <w:r w:rsidR="00AC70B8">
        <w:rPr>
          <w:rFonts w:ascii="Arial" w:hAnsi="Arial" w:cs="Arial"/>
          <w:bCs/>
          <w:sz w:val="20"/>
          <w:szCs w:val="20"/>
        </w:rPr>
        <w:t xml:space="preserve">more than </w:t>
      </w:r>
      <w:r w:rsidRPr="000318AD">
        <w:rPr>
          <w:rFonts w:ascii="Arial" w:hAnsi="Arial" w:cs="Arial"/>
          <w:bCs/>
          <w:sz w:val="20"/>
          <w:szCs w:val="20"/>
        </w:rPr>
        <w:t xml:space="preserve">50 years that exceeds Councils revenue capacity </w:t>
      </w:r>
      <w:r w:rsidR="005C2145">
        <w:rPr>
          <w:rFonts w:ascii="Arial" w:hAnsi="Arial" w:cs="Arial"/>
          <w:bCs/>
          <w:sz w:val="20"/>
          <w:szCs w:val="20"/>
        </w:rPr>
        <w:t xml:space="preserve">to maintain </w:t>
      </w:r>
      <w:r w:rsidRPr="000318AD">
        <w:rPr>
          <w:rFonts w:ascii="Arial" w:hAnsi="Arial" w:cs="Arial"/>
          <w:bCs/>
          <w:sz w:val="20"/>
          <w:szCs w:val="20"/>
        </w:rPr>
        <w:t xml:space="preserve">and </w:t>
      </w:r>
      <w:r w:rsidR="005C2145">
        <w:rPr>
          <w:rFonts w:ascii="Arial" w:hAnsi="Arial" w:cs="Arial"/>
          <w:bCs/>
          <w:sz w:val="20"/>
          <w:szCs w:val="20"/>
        </w:rPr>
        <w:t xml:space="preserve">which is steadily </w:t>
      </w:r>
      <w:r w:rsidRPr="000318AD">
        <w:rPr>
          <w:rFonts w:ascii="Arial" w:hAnsi="Arial" w:cs="Arial"/>
          <w:bCs/>
          <w:sz w:val="20"/>
          <w:szCs w:val="20"/>
        </w:rPr>
        <w:t>deteriorating</w:t>
      </w:r>
      <w:r w:rsidR="005C2145">
        <w:rPr>
          <w:rFonts w:ascii="Arial" w:hAnsi="Arial" w:cs="Arial"/>
          <w:bCs/>
          <w:sz w:val="20"/>
          <w:szCs w:val="20"/>
        </w:rPr>
        <w:t xml:space="preserve"> towards the end of its life and in need of maintenance, renewal, upgrade and in some cases replacement</w:t>
      </w:r>
      <w:r w:rsidRPr="000318AD">
        <w:rPr>
          <w:rFonts w:ascii="Arial" w:hAnsi="Arial" w:cs="Arial"/>
          <w:bCs/>
          <w:sz w:val="20"/>
          <w:szCs w:val="20"/>
        </w:rPr>
        <w:t xml:space="preserve">.  </w:t>
      </w:r>
    </w:p>
    <w:p w14:paraId="107B7E79" w14:textId="77777777" w:rsidR="00A566A3" w:rsidRDefault="00A566A3" w:rsidP="00172AE5">
      <w:pPr>
        <w:spacing w:line="276" w:lineRule="auto"/>
        <w:jc w:val="both"/>
        <w:rPr>
          <w:rFonts w:ascii="Arial" w:hAnsi="Arial" w:cs="Arial"/>
          <w:bCs/>
          <w:sz w:val="20"/>
          <w:szCs w:val="20"/>
        </w:rPr>
      </w:pPr>
    </w:p>
    <w:p w14:paraId="3D998DE7" w14:textId="6E188580" w:rsidR="00383155" w:rsidRDefault="000318AD" w:rsidP="00172AE5">
      <w:pPr>
        <w:spacing w:line="276" w:lineRule="auto"/>
        <w:jc w:val="both"/>
        <w:rPr>
          <w:rFonts w:ascii="Arial" w:hAnsi="Arial" w:cs="Arial"/>
          <w:bCs/>
          <w:sz w:val="20"/>
          <w:szCs w:val="20"/>
        </w:rPr>
      </w:pPr>
      <w:r w:rsidRPr="000318AD">
        <w:rPr>
          <w:rFonts w:ascii="Arial" w:hAnsi="Arial" w:cs="Arial"/>
          <w:bCs/>
          <w:sz w:val="20"/>
          <w:szCs w:val="20"/>
        </w:rPr>
        <w:t xml:space="preserve">This application </w:t>
      </w:r>
      <w:r w:rsidR="00C850EA">
        <w:rPr>
          <w:rFonts w:ascii="Arial" w:hAnsi="Arial" w:cs="Arial"/>
          <w:bCs/>
          <w:sz w:val="20"/>
          <w:szCs w:val="20"/>
        </w:rPr>
        <w:t xml:space="preserve">has culminated from </w:t>
      </w:r>
      <w:r w:rsidR="00E40697">
        <w:rPr>
          <w:rFonts w:ascii="Arial" w:hAnsi="Arial" w:cs="Arial"/>
          <w:bCs/>
          <w:sz w:val="20"/>
          <w:szCs w:val="20"/>
        </w:rPr>
        <w:t xml:space="preserve">four </w:t>
      </w:r>
      <w:r w:rsidRPr="000318AD">
        <w:rPr>
          <w:rFonts w:ascii="Arial" w:hAnsi="Arial" w:cs="Arial"/>
          <w:bCs/>
          <w:sz w:val="20"/>
          <w:szCs w:val="20"/>
        </w:rPr>
        <w:t>year</w:t>
      </w:r>
      <w:r w:rsidR="00C850EA">
        <w:rPr>
          <w:rFonts w:ascii="Arial" w:hAnsi="Arial" w:cs="Arial"/>
          <w:bCs/>
          <w:sz w:val="20"/>
          <w:szCs w:val="20"/>
        </w:rPr>
        <w:t xml:space="preserve">s of </w:t>
      </w:r>
      <w:r w:rsidRPr="000318AD">
        <w:rPr>
          <w:rFonts w:ascii="Arial" w:hAnsi="Arial" w:cs="Arial"/>
          <w:bCs/>
          <w:sz w:val="20"/>
          <w:szCs w:val="20"/>
        </w:rPr>
        <w:t xml:space="preserve">engagement with the community on </w:t>
      </w:r>
      <w:r w:rsidR="00C850EA">
        <w:rPr>
          <w:rFonts w:ascii="Arial" w:hAnsi="Arial" w:cs="Arial"/>
          <w:bCs/>
          <w:sz w:val="20"/>
          <w:szCs w:val="20"/>
        </w:rPr>
        <w:t xml:space="preserve">service levels and </w:t>
      </w:r>
      <w:r w:rsidRPr="000318AD">
        <w:rPr>
          <w:rFonts w:ascii="Arial" w:hAnsi="Arial" w:cs="Arial"/>
          <w:bCs/>
          <w:sz w:val="20"/>
          <w:szCs w:val="20"/>
        </w:rPr>
        <w:t>the trade-off between reducing the amount of assets</w:t>
      </w:r>
      <w:r w:rsidR="002375DC">
        <w:rPr>
          <w:rFonts w:ascii="Arial" w:hAnsi="Arial" w:cs="Arial"/>
          <w:bCs/>
          <w:sz w:val="20"/>
          <w:szCs w:val="20"/>
        </w:rPr>
        <w:t xml:space="preserve"> </w:t>
      </w:r>
      <w:r w:rsidR="003A37E8">
        <w:rPr>
          <w:rFonts w:ascii="Arial" w:hAnsi="Arial" w:cs="Arial"/>
          <w:bCs/>
          <w:sz w:val="20"/>
          <w:szCs w:val="20"/>
        </w:rPr>
        <w:t>and</w:t>
      </w:r>
      <w:r w:rsidRPr="000318AD">
        <w:rPr>
          <w:rFonts w:ascii="Arial" w:hAnsi="Arial" w:cs="Arial"/>
          <w:bCs/>
          <w:sz w:val="20"/>
          <w:szCs w:val="20"/>
        </w:rPr>
        <w:t xml:space="preserve"> increas</w:t>
      </w:r>
      <w:r w:rsidR="00A566A3">
        <w:rPr>
          <w:rFonts w:ascii="Arial" w:hAnsi="Arial" w:cs="Arial"/>
          <w:bCs/>
          <w:sz w:val="20"/>
          <w:szCs w:val="20"/>
        </w:rPr>
        <w:t>ing</w:t>
      </w:r>
      <w:r w:rsidRPr="000318AD">
        <w:rPr>
          <w:rFonts w:ascii="Arial" w:hAnsi="Arial" w:cs="Arial"/>
          <w:bCs/>
          <w:sz w:val="20"/>
          <w:szCs w:val="20"/>
        </w:rPr>
        <w:t xml:space="preserve"> revenue</w:t>
      </w:r>
      <w:r w:rsidR="00A566A3">
        <w:rPr>
          <w:rFonts w:ascii="Arial" w:hAnsi="Arial" w:cs="Arial"/>
          <w:bCs/>
          <w:sz w:val="20"/>
          <w:szCs w:val="20"/>
        </w:rPr>
        <w:t xml:space="preserve">. This is </w:t>
      </w:r>
      <w:r w:rsidRPr="000318AD">
        <w:rPr>
          <w:rFonts w:ascii="Arial" w:hAnsi="Arial" w:cs="Arial"/>
          <w:bCs/>
          <w:sz w:val="20"/>
          <w:szCs w:val="20"/>
        </w:rPr>
        <w:t xml:space="preserve">in addition to </w:t>
      </w:r>
      <w:r w:rsidR="00A566A3">
        <w:rPr>
          <w:rFonts w:ascii="Arial" w:hAnsi="Arial" w:cs="Arial"/>
          <w:bCs/>
          <w:sz w:val="20"/>
          <w:szCs w:val="20"/>
        </w:rPr>
        <w:t xml:space="preserve">the commitment of the Council to </w:t>
      </w:r>
      <w:r w:rsidRPr="000318AD">
        <w:rPr>
          <w:rFonts w:ascii="Arial" w:hAnsi="Arial" w:cs="Arial"/>
          <w:bCs/>
          <w:sz w:val="20"/>
          <w:szCs w:val="20"/>
        </w:rPr>
        <w:t>ongoing efficiency measures</w:t>
      </w:r>
      <w:r w:rsidR="00A566A3">
        <w:rPr>
          <w:rFonts w:ascii="Arial" w:hAnsi="Arial" w:cs="Arial"/>
          <w:bCs/>
          <w:sz w:val="20"/>
          <w:szCs w:val="20"/>
        </w:rPr>
        <w:t xml:space="preserve"> to ensure available funding is smartly targeted to best value service delivery, risk mitigation and management and reduced long term operating and life cycle costs</w:t>
      </w:r>
      <w:r w:rsidR="00AC70B8">
        <w:rPr>
          <w:rFonts w:ascii="Arial" w:hAnsi="Arial" w:cs="Arial"/>
          <w:bCs/>
          <w:sz w:val="20"/>
          <w:szCs w:val="20"/>
        </w:rPr>
        <w:t>.</w:t>
      </w:r>
    </w:p>
    <w:p w14:paraId="64295D90" w14:textId="77777777" w:rsidR="003F00FF" w:rsidRDefault="003F00FF">
      <w:pPr>
        <w:rPr>
          <w:rFonts w:ascii="Arial" w:hAnsi="Arial" w:cs="Arial"/>
          <w:b/>
          <w:bCs/>
          <w:i/>
          <w:sz w:val="20"/>
          <w:szCs w:val="21"/>
        </w:rPr>
      </w:pPr>
      <w:r>
        <w:rPr>
          <w:rFonts w:ascii="Arial" w:hAnsi="Arial" w:cs="Arial"/>
          <w:b/>
          <w:bCs/>
          <w:i/>
          <w:sz w:val="20"/>
          <w:szCs w:val="21"/>
        </w:rPr>
        <w:br w:type="page"/>
      </w:r>
    </w:p>
    <w:p w14:paraId="704F7A4F" w14:textId="456C3B3D" w:rsidR="006E076B" w:rsidRPr="00F42242" w:rsidRDefault="006E076B" w:rsidP="006E076B">
      <w:pPr>
        <w:spacing w:before="240" w:after="120" w:line="276" w:lineRule="auto"/>
        <w:jc w:val="both"/>
        <w:rPr>
          <w:rFonts w:ascii="Arial" w:hAnsi="Arial" w:cs="Arial"/>
          <w:b/>
          <w:bCs/>
          <w:i/>
          <w:sz w:val="20"/>
          <w:szCs w:val="21"/>
        </w:rPr>
      </w:pPr>
      <w:r w:rsidRPr="00F42242">
        <w:rPr>
          <w:rFonts w:ascii="Arial" w:hAnsi="Arial" w:cs="Arial"/>
          <w:b/>
          <w:bCs/>
          <w:i/>
          <w:sz w:val="20"/>
          <w:szCs w:val="21"/>
        </w:rPr>
        <w:t>The Cost of Custodianship</w:t>
      </w:r>
    </w:p>
    <w:p w14:paraId="782858A3" w14:textId="2EFBADBC" w:rsidR="006E076B" w:rsidRDefault="006E076B" w:rsidP="006E076B">
      <w:pPr>
        <w:spacing w:line="276" w:lineRule="auto"/>
        <w:jc w:val="both"/>
        <w:rPr>
          <w:rFonts w:ascii="Arial" w:hAnsi="Arial" w:cs="Arial"/>
          <w:bCs/>
          <w:sz w:val="20"/>
          <w:szCs w:val="20"/>
        </w:rPr>
      </w:pPr>
      <w:r w:rsidRPr="000318AD">
        <w:rPr>
          <w:rFonts w:ascii="Arial" w:hAnsi="Arial" w:cs="Arial"/>
          <w:bCs/>
          <w:sz w:val="20"/>
          <w:szCs w:val="20"/>
        </w:rPr>
        <w:t>The Council is responsible for managing $1 billion worth of built assets and significant natural assets that underpin the identity of the region</w:t>
      </w:r>
      <w:r>
        <w:rPr>
          <w:rFonts w:ascii="Arial" w:hAnsi="Arial" w:cs="Arial"/>
          <w:bCs/>
          <w:sz w:val="20"/>
          <w:szCs w:val="20"/>
        </w:rPr>
        <w:t xml:space="preserve">. </w:t>
      </w:r>
      <w:r w:rsidRPr="000318AD">
        <w:rPr>
          <w:rFonts w:ascii="Arial" w:hAnsi="Arial" w:cs="Arial"/>
          <w:bCs/>
          <w:sz w:val="20"/>
          <w:szCs w:val="20"/>
        </w:rPr>
        <w:t>The natural environment supports a range of terrestrial and aquatic ecosystems</w:t>
      </w:r>
      <w:r>
        <w:rPr>
          <w:rFonts w:ascii="Arial" w:hAnsi="Arial" w:cs="Arial"/>
          <w:bCs/>
          <w:sz w:val="20"/>
          <w:szCs w:val="20"/>
        </w:rPr>
        <w:t xml:space="preserve"> including</w:t>
      </w:r>
      <w:r w:rsidRPr="000318AD">
        <w:rPr>
          <w:rFonts w:ascii="Arial" w:hAnsi="Arial" w:cs="Arial"/>
          <w:bCs/>
          <w:sz w:val="20"/>
          <w:szCs w:val="20"/>
        </w:rPr>
        <w:t xml:space="preserve"> 10,000ha of bushland</w:t>
      </w:r>
      <w:r>
        <w:rPr>
          <w:rFonts w:ascii="Arial" w:hAnsi="Arial" w:cs="Arial"/>
          <w:bCs/>
          <w:sz w:val="20"/>
          <w:szCs w:val="20"/>
        </w:rPr>
        <w:t>,</w:t>
      </w:r>
      <w:r w:rsidRPr="000318AD">
        <w:rPr>
          <w:rFonts w:ascii="Arial" w:hAnsi="Arial" w:cs="Arial"/>
          <w:bCs/>
          <w:sz w:val="20"/>
          <w:szCs w:val="20"/>
        </w:rPr>
        <w:t xml:space="preserve"> 300km of creeks, 20ha of open freshwater bodies, 500ha of Endangered Ecological Communities, and habitats for at least 90 rare and threatened species, some of which are found nowhere else in the world. The majority of Council’s natural assets form a critical buffer between the characteristic ribbon, ridge-based urban development of the City and the Greater Blue Mountains World Heritage Area. They are therefore subject to significant and on-going depreciative processes. The Blue Mountains is one of only two cities in the world surrounded by a designated World Heritage Area, and is the only council in NSW with the classification ‘urban, fringe, large’. </w:t>
      </w:r>
    </w:p>
    <w:p w14:paraId="35FA5746" w14:textId="77777777" w:rsidR="00F92522" w:rsidRPr="000318AD" w:rsidRDefault="00F92522" w:rsidP="006E076B">
      <w:pPr>
        <w:spacing w:line="276" w:lineRule="auto"/>
        <w:jc w:val="both"/>
        <w:rPr>
          <w:rFonts w:ascii="Arial" w:hAnsi="Arial" w:cs="Arial"/>
          <w:bCs/>
          <w:sz w:val="20"/>
          <w:szCs w:val="20"/>
        </w:rPr>
      </w:pPr>
    </w:p>
    <w:p w14:paraId="3EDD6D36" w14:textId="77777777" w:rsidR="006E076B" w:rsidRPr="000318AD" w:rsidRDefault="006E076B" w:rsidP="006E076B">
      <w:pPr>
        <w:spacing w:line="276" w:lineRule="auto"/>
        <w:jc w:val="both"/>
        <w:rPr>
          <w:rFonts w:ascii="Arial" w:hAnsi="Arial" w:cs="Arial"/>
          <w:bCs/>
          <w:sz w:val="20"/>
          <w:szCs w:val="20"/>
        </w:rPr>
      </w:pPr>
      <w:r w:rsidRPr="000318AD">
        <w:rPr>
          <w:rFonts w:ascii="Arial" w:hAnsi="Arial" w:cs="Arial"/>
          <w:bCs/>
          <w:sz w:val="20"/>
          <w:szCs w:val="20"/>
        </w:rPr>
        <w:t xml:space="preserve">Being surrounded by a World Heritage Area </w:t>
      </w:r>
      <w:r>
        <w:rPr>
          <w:rFonts w:ascii="Arial" w:hAnsi="Arial" w:cs="Arial"/>
          <w:bCs/>
          <w:sz w:val="20"/>
          <w:szCs w:val="20"/>
        </w:rPr>
        <w:t xml:space="preserve">and forming the catchment for Sydney’s drinking water, </w:t>
      </w:r>
      <w:r w:rsidRPr="000318AD">
        <w:rPr>
          <w:rFonts w:ascii="Arial" w:hAnsi="Arial" w:cs="Arial"/>
          <w:bCs/>
          <w:sz w:val="20"/>
          <w:szCs w:val="20"/>
        </w:rPr>
        <w:t xml:space="preserve">presents additional costs to the Council and the community in responsibly managing impacts of development on the environment, protecting </w:t>
      </w:r>
      <w:r>
        <w:rPr>
          <w:rFonts w:ascii="Arial" w:hAnsi="Arial" w:cs="Arial"/>
          <w:bCs/>
          <w:sz w:val="20"/>
          <w:szCs w:val="20"/>
        </w:rPr>
        <w:t xml:space="preserve">and </w:t>
      </w:r>
      <w:r w:rsidRPr="000318AD">
        <w:rPr>
          <w:rFonts w:ascii="Arial" w:hAnsi="Arial" w:cs="Arial"/>
          <w:bCs/>
          <w:sz w:val="20"/>
          <w:szCs w:val="20"/>
        </w:rPr>
        <w:t>conserving internationally recognised natural values, and protecting drinking water</w:t>
      </w:r>
      <w:r>
        <w:rPr>
          <w:rFonts w:ascii="Arial" w:hAnsi="Arial" w:cs="Arial"/>
          <w:bCs/>
          <w:sz w:val="20"/>
          <w:szCs w:val="20"/>
        </w:rPr>
        <w:t>.</w:t>
      </w:r>
      <w:r w:rsidRPr="000318AD">
        <w:rPr>
          <w:rFonts w:ascii="Arial" w:hAnsi="Arial" w:cs="Arial"/>
          <w:bCs/>
          <w:sz w:val="20"/>
          <w:szCs w:val="20"/>
        </w:rPr>
        <w:t xml:space="preserve"> Furthermore, the condition of these assets is inextricably linked with the cultural values vested in these landscapes by the Gundungurra and Darug peoples. </w:t>
      </w:r>
    </w:p>
    <w:p w14:paraId="4FB39518" w14:textId="77777777" w:rsidR="006E076B" w:rsidRPr="000318AD" w:rsidRDefault="006E076B" w:rsidP="006E076B">
      <w:pPr>
        <w:spacing w:line="276" w:lineRule="auto"/>
        <w:jc w:val="both"/>
        <w:rPr>
          <w:rFonts w:ascii="Arial" w:hAnsi="Arial" w:cs="Arial"/>
          <w:bCs/>
          <w:sz w:val="20"/>
          <w:szCs w:val="20"/>
        </w:rPr>
      </w:pPr>
    </w:p>
    <w:p w14:paraId="376BA9D0" w14:textId="77777777" w:rsidR="006E076B" w:rsidRPr="000318AD" w:rsidRDefault="006E076B" w:rsidP="006E076B">
      <w:pPr>
        <w:spacing w:line="276" w:lineRule="auto"/>
        <w:jc w:val="both"/>
        <w:rPr>
          <w:rFonts w:ascii="Arial" w:hAnsi="Arial" w:cs="Arial"/>
          <w:bCs/>
          <w:sz w:val="20"/>
          <w:szCs w:val="20"/>
        </w:rPr>
      </w:pPr>
      <w:r w:rsidRPr="000318AD">
        <w:rPr>
          <w:rFonts w:ascii="Arial" w:hAnsi="Arial" w:cs="Arial"/>
          <w:bCs/>
          <w:sz w:val="20"/>
          <w:szCs w:val="20"/>
        </w:rPr>
        <w:t xml:space="preserve">A failure to protect and invest in our natural assets presents a risk not only to biodiversity and the associated resilience to climate change, but also to the local jobs, economy, and our future </w:t>
      </w:r>
      <w:r>
        <w:rPr>
          <w:rFonts w:ascii="Arial" w:hAnsi="Arial" w:cs="Arial"/>
          <w:bCs/>
          <w:sz w:val="20"/>
          <w:szCs w:val="20"/>
        </w:rPr>
        <w:t>as a vibrant, sustainable City</w:t>
      </w:r>
      <w:r w:rsidRPr="000318AD">
        <w:rPr>
          <w:rFonts w:ascii="Arial" w:hAnsi="Arial" w:cs="Arial"/>
          <w:bCs/>
          <w:sz w:val="20"/>
          <w:szCs w:val="20"/>
        </w:rPr>
        <w:t xml:space="preserve">. </w:t>
      </w:r>
    </w:p>
    <w:p w14:paraId="7D7E7695" w14:textId="77777777" w:rsidR="00F35459" w:rsidRPr="00F42242" w:rsidRDefault="00F35459" w:rsidP="00F35459">
      <w:pPr>
        <w:spacing w:before="240" w:after="120" w:line="276" w:lineRule="auto"/>
        <w:jc w:val="both"/>
        <w:rPr>
          <w:rFonts w:ascii="Arial" w:hAnsi="Arial" w:cs="Arial"/>
          <w:b/>
          <w:bCs/>
          <w:i/>
          <w:sz w:val="20"/>
          <w:szCs w:val="21"/>
        </w:rPr>
      </w:pPr>
      <w:r w:rsidRPr="00F42242">
        <w:rPr>
          <w:rFonts w:ascii="Arial" w:hAnsi="Arial" w:cs="Arial"/>
          <w:b/>
          <w:bCs/>
          <w:i/>
          <w:sz w:val="20"/>
          <w:szCs w:val="21"/>
        </w:rPr>
        <w:t xml:space="preserve">The Cost to Manage Risk </w:t>
      </w:r>
    </w:p>
    <w:p w14:paraId="7798284A" w14:textId="733E52F7" w:rsidR="00F35459" w:rsidRDefault="00F35459" w:rsidP="00F35459">
      <w:pPr>
        <w:spacing w:line="276" w:lineRule="auto"/>
        <w:jc w:val="both"/>
        <w:rPr>
          <w:rFonts w:ascii="Arial" w:hAnsi="Arial" w:cs="Arial"/>
          <w:bCs/>
          <w:sz w:val="20"/>
          <w:szCs w:val="20"/>
        </w:rPr>
      </w:pPr>
      <w:r>
        <w:rPr>
          <w:rFonts w:ascii="Arial" w:hAnsi="Arial" w:cs="Arial"/>
          <w:bCs/>
          <w:sz w:val="20"/>
          <w:szCs w:val="20"/>
        </w:rPr>
        <w:t>Having</w:t>
      </w:r>
      <w:r w:rsidR="00005789">
        <w:rPr>
          <w:rFonts w:ascii="Arial" w:hAnsi="Arial" w:cs="Arial"/>
          <w:bCs/>
          <w:sz w:val="20"/>
          <w:szCs w:val="20"/>
        </w:rPr>
        <w:t xml:space="preserve"> close to</w:t>
      </w:r>
      <w:r>
        <w:rPr>
          <w:rFonts w:ascii="Arial" w:hAnsi="Arial" w:cs="Arial"/>
          <w:bCs/>
          <w:sz w:val="20"/>
          <w:szCs w:val="20"/>
        </w:rPr>
        <w:t xml:space="preserve"> one quarter (21%) of all built assets in poor condition, and a projection that this will increase to 37% by 2024, means that without turning around the decline in built infrastructure, the Council will face significant exposure to risks with inherent exposure to costs.</w:t>
      </w:r>
    </w:p>
    <w:p w14:paraId="234E89F5" w14:textId="77777777" w:rsidR="00F35459" w:rsidRDefault="00F35459" w:rsidP="00F35459">
      <w:pPr>
        <w:spacing w:line="276" w:lineRule="auto"/>
        <w:jc w:val="both"/>
        <w:rPr>
          <w:rFonts w:ascii="Arial" w:hAnsi="Arial" w:cs="Arial"/>
          <w:bCs/>
          <w:sz w:val="20"/>
          <w:szCs w:val="20"/>
        </w:rPr>
      </w:pPr>
    </w:p>
    <w:p w14:paraId="665797BD" w14:textId="1BB93D28" w:rsidR="00F35459" w:rsidRPr="000318AD" w:rsidRDefault="00F35459" w:rsidP="00F35459">
      <w:pPr>
        <w:spacing w:line="276" w:lineRule="auto"/>
        <w:jc w:val="both"/>
        <w:rPr>
          <w:rFonts w:ascii="Arial" w:hAnsi="Arial" w:cs="Arial"/>
          <w:bCs/>
          <w:sz w:val="20"/>
          <w:szCs w:val="20"/>
        </w:rPr>
      </w:pPr>
      <w:r w:rsidRPr="000318AD">
        <w:rPr>
          <w:rFonts w:ascii="Arial" w:hAnsi="Arial" w:cs="Arial"/>
          <w:bCs/>
          <w:sz w:val="20"/>
          <w:szCs w:val="20"/>
        </w:rPr>
        <w:t xml:space="preserve">As highlighted by the devastating October 2013 bushfires, the Blue Mountains is one of the most bushfire-prone areas in Australia and is subject to major storm, wind, ice and snow events. This presents significant responsibilities and costs in managing and mitigating the impact of such natural disasters, likely to be exacerbated by climate change. The Council as a major land </w:t>
      </w:r>
      <w:r w:rsidR="004064BD" w:rsidRPr="000318AD">
        <w:rPr>
          <w:rFonts w:ascii="Arial" w:hAnsi="Arial" w:cs="Arial"/>
          <w:bCs/>
          <w:sz w:val="20"/>
          <w:szCs w:val="20"/>
        </w:rPr>
        <w:t>owner</w:t>
      </w:r>
      <w:r w:rsidRPr="000318AD">
        <w:rPr>
          <w:rFonts w:ascii="Arial" w:hAnsi="Arial" w:cs="Arial"/>
          <w:bCs/>
          <w:sz w:val="20"/>
          <w:szCs w:val="20"/>
        </w:rPr>
        <w:t xml:space="preserve"> has statutory </w:t>
      </w:r>
      <w:r>
        <w:rPr>
          <w:rFonts w:ascii="Arial" w:hAnsi="Arial" w:cs="Arial"/>
          <w:bCs/>
          <w:sz w:val="20"/>
          <w:szCs w:val="20"/>
        </w:rPr>
        <w:t>obligations</w:t>
      </w:r>
      <w:r w:rsidRPr="000318AD">
        <w:rPr>
          <w:rFonts w:ascii="Arial" w:hAnsi="Arial" w:cs="Arial"/>
          <w:bCs/>
          <w:sz w:val="20"/>
          <w:szCs w:val="20"/>
        </w:rPr>
        <w:t xml:space="preserve"> it must meet in responsibly managing Bush Fire Asset Protection Zones (APZ’s) protecting more than 1,10</w:t>
      </w:r>
      <w:r>
        <w:rPr>
          <w:rFonts w:ascii="Arial" w:hAnsi="Arial" w:cs="Arial"/>
          <w:bCs/>
          <w:sz w:val="20"/>
          <w:szCs w:val="20"/>
        </w:rPr>
        <w:t xml:space="preserve">0 houses </w:t>
      </w:r>
      <w:r w:rsidR="00FF0EB2">
        <w:rPr>
          <w:rFonts w:ascii="Arial" w:hAnsi="Arial" w:cs="Arial"/>
          <w:bCs/>
          <w:sz w:val="20"/>
          <w:szCs w:val="20"/>
        </w:rPr>
        <w:t xml:space="preserve">directly exposed to fire risks </w:t>
      </w:r>
      <w:r>
        <w:rPr>
          <w:rFonts w:ascii="Arial" w:hAnsi="Arial" w:cs="Arial"/>
          <w:bCs/>
          <w:sz w:val="20"/>
          <w:szCs w:val="20"/>
        </w:rPr>
        <w:t>across the City and 63</w:t>
      </w:r>
      <w:r w:rsidRPr="000318AD">
        <w:rPr>
          <w:rFonts w:ascii="Arial" w:hAnsi="Arial" w:cs="Arial"/>
          <w:bCs/>
          <w:sz w:val="20"/>
          <w:szCs w:val="20"/>
        </w:rPr>
        <w:t>km of fire trails.</w:t>
      </w:r>
    </w:p>
    <w:p w14:paraId="710472C5" w14:textId="77777777" w:rsidR="00976480" w:rsidRDefault="00976480" w:rsidP="00976480">
      <w:pPr>
        <w:spacing w:line="276" w:lineRule="auto"/>
        <w:jc w:val="both"/>
        <w:rPr>
          <w:rFonts w:ascii="Arial" w:hAnsi="Arial" w:cs="Arial"/>
          <w:bCs/>
          <w:sz w:val="20"/>
          <w:szCs w:val="20"/>
        </w:rPr>
      </w:pPr>
    </w:p>
    <w:p w14:paraId="2C282A3B" w14:textId="448F9976" w:rsidR="00976480" w:rsidRDefault="00976480" w:rsidP="00976480">
      <w:pPr>
        <w:spacing w:line="276" w:lineRule="auto"/>
        <w:jc w:val="both"/>
        <w:rPr>
          <w:rFonts w:ascii="Arial" w:hAnsi="Arial" w:cs="Arial"/>
          <w:bCs/>
          <w:sz w:val="20"/>
          <w:szCs w:val="20"/>
        </w:rPr>
      </w:pPr>
      <w:r w:rsidRPr="000318AD">
        <w:rPr>
          <w:rFonts w:ascii="Arial" w:hAnsi="Arial" w:cs="Arial"/>
          <w:bCs/>
          <w:sz w:val="20"/>
          <w:szCs w:val="20"/>
        </w:rPr>
        <w:t xml:space="preserve">The lengthy ribbon-like settlement pattern across the City has created an extensive interface with the surrounding National Park, accentuating the requirement for managing bushfire risk as well as urban development impacts on internationally significant bio-diversity. </w:t>
      </w:r>
      <w:r>
        <w:rPr>
          <w:rFonts w:ascii="Arial" w:hAnsi="Arial" w:cs="Arial"/>
          <w:bCs/>
          <w:sz w:val="20"/>
          <w:szCs w:val="20"/>
        </w:rPr>
        <w:t xml:space="preserve">Recent class actions after the Victorian bushfires, and a current class action resulting from the Blue Mountains 2013 bushfires, has identified the need for the responsible authorities </w:t>
      </w:r>
      <w:r w:rsidR="00936162">
        <w:rPr>
          <w:rFonts w:ascii="Arial" w:hAnsi="Arial" w:cs="Arial"/>
          <w:bCs/>
          <w:sz w:val="20"/>
          <w:szCs w:val="20"/>
        </w:rPr>
        <w:t xml:space="preserve">(including the Council) </w:t>
      </w:r>
      <w:r>
        <w:rPr>
          <w:rFonts w:ascii="Arial" w:hAnsi="Arial" w:cs="Arial"/>
          <w:bCs/>
          <w:sz w:val="20"/>
          <w:szCs w:val="20"/>
        </w:rPr>
        <w:t xml:space="preserve">to actively manage the risks attached to their asset ownership. BMCC is required to establish and implement a program of asset protection zones and maintained fire trails on its land. </w:t>
      </w:r>
    </w:p>
    <w:p w14:paraId="3520328E" w14:textId="77777777" w:rsidR="00283F2D" w:rsidRDefault="00283F2D" w:rsidP="00976480">
      <w:pPr>
        <w:spacing w:line="276" w:lineRule="auto"/>
        <w:jc w:val="both"/>
        <w:rPr>
          <w:rFonts w:ascii="Arial" w:hAnsi="Arial" w:cs="Arial"/>
          <w:bCs/>
          <w:sz w:val="20"/>
          <w:szCs w:val="20"/>
        </w:rPr>
      </w:pPr>
    </w:p>
    <w:p w14:paraId="6CCA69FB" w14:textId="68F4E292" w:rsidR="00283F2D" w:rsidRDefault="00283F2D" w:rsidP="00283F2D">
      <w:pPr>
        <w:spacing w:line="276" w:lineRule="auto"/>
        <w:jc w:val="both"/>
        <w:rPr>
          <w:rFonts w:ascii="Arial" w:hAnsi="Arial" w:cs="Arial"/>
          <w:bCs/>
          <w:sz w:val="20"/>
          <w:szCs w:val="20"/>
        </w:rPr>
      </w:pPr>
      <w:r>
        <w:rPr>
          <w:rFonts w:ascii="Arial" w:hAnsi="Arial" w:cs="Arial"/>
          <w:bCs/>
          <w:sz w:val="20"/>
          <w:szCs w:val="20"/>
        </w:rPr>
        <w:t>Similarly, the Council as land and asset manager has significant risks to assess and manage in association with its network of walking tracks and lookouts</w:t>
      </w:r>
      <w:r w:rsidR="00936162">
        <w:rPr>
          <w:rFonts w:ascii="Arial" w:hAnsi="Arial" w:cs="Arial"/>
          <w:bCs/>
          <w:sz w:val="20"/>
          <w:szCs w:val="20"/>
        </w:rPr>
        <w:t xml:space="preserve"> (detailed in </w:t>
      </w:r>
      <w:r w:rsidR="00936162" w:rsidRPr="00936162">
        <w:rPr>
          <w:rFonts w:ascii="Arial" w:hAnsi="Arial" w:cs="Arial"/>
          <w:b/>
          <w:bCs/>
          <w:sz w:val="20"/>
          <w:szCs w:val="20"/>
        </w:rPr>
        <w:t>Attachment 10</w:t>
      </w:r>
      <w:r w:rsidR="00936162">
        <w:rPr>
          <w:rFonts w:ascii="Arial" w:hAnsi="Arial" w:cs="Arial"/>
          <w:bCs/>
          <w:sz w:val="20"/>
          <w:szCs w:val="20"/>
        </w:rPr>
        <w:t xml:space="preserve">, pages </w:t>
      </w:r>
      <w:r w:rsidR="009B0CD2">
        <w:rPr>
          <w:rFonts w:ascii="Arial" w:hAnsi="Arial" w:cs="Arial"/>
          <w:bCs/>
          <w:sz w:val="20"/>
          <w:szCs w:val="20"/>
        </w:rPr>
        <w:t>117-118</w:t>
      </w:r>
      <w:r w:rsidR="00936162">
        <w:rPr>
          <w:rFonts w:ascii="Arial" w:hAnsi="Arial" w:cs="Arial"/>
          <w:bCs/>
          <w:sz w:val="20"/>
          <w:szCs w:val="20"/>
        </w:rPr>
        <w:t>)</w:t>
      </w:r>
      <w:r>
        <w:rPr>
          <w:rFonts w:ascii="Arial" w:hAnsi="Arial" w:cs="Arial"/>
          <w:bCs/>
          <w:sz w:val="20"/>
          <w:szCs w:val="20"/>
        </w:rPr>
        <w:t xml:space="preserve"> referred to elsewhere. In addition, access of visitors, residents, fire fighters and other emergency workers to the National Park is via Council-owned walking tracks, lookouts and fire trails, posing additional risk management challenges and responsibilities on the Council. </w:t>
      </w:r>
    </w:p>
    <w:p w14:paraId="3E1EFA11" w14:textId="77777777" w:rsidR="003F00FF" w:rsidRDefault="003F00FF">
      <w:pPr>
        <w:rPr>
          <w:rFonts w:ascii="Arial" w:hAnsi="Arial" w:cs="Arial"/>
          <w:b/>
          <w:bCs/>
          <w:i/>
          <w:sz w:val="20"/>
          <w:szCs w:val="21"/>
        </w:rPr>
      </w:pPr>
      <w:r>
        <w:rPr>
          <w:rFonts w:ascii="Arial" w:hAnsi="Arial" w:cs="Arial"/>
          <w:b/>
          <w:bCs/>
          <w:i/>
          <w:sz w:val="20"/>
          <w:szCs w:val="21"/>
        </w:rPr>
        <w:br w:type="page"/>
      </w:r>
    </w:p>
    <w:p w14:paraId="4492BC4E" w14:textId="13D9DF2F" w:rsidR="00383155" w:rsidRDefault="00383155" w:rsidP="00383155">
      <w:pPr>
        <w:spacing w:before="240" w:line="360" w:lineRule="auto"/>
        <w:jc w:val="both"/>
        <w:rPr>
          <w:rFonts w:ascii="Arial" w:hAnsi="Arial" w:cs="Arial"/>
          <w:bCs/>
          <w:i/>
          <w:sz w:val="20"/>
          <w:szCs w:val="21"/>
        </w:rPr>
      </w:pPr>
      <w:r>
        <w:rPr>
          <w:rFonts w:ascii="Arial" w:hAnsi="Arial" w:cs="Arial"/>
          <w:bCs/>
          <w:i/>
          <w:sz w:val="20"/>
          <w:szCs w:val="21"/>
        </w:rPr>
        <w:t>City of Blue Mountains Local Government Area</w:t>
      </w:r>
    </w:p>
    <w:p w14:paraId="4C4EC910" w14:textId="77777777" w:rsidR="00383155" w:rsidRDefault="00383155" w:rsidP="00383155">
      <w:pPr>
        <w:rPr>
          <w:rFonts w:ascii="Arial" w:hAnsi="Arial" w:cs="Arial"/>
          <w:bCs/>
          <w:sz w:val="20"/>
          <w:szCs w:val="21"/>
        </w:rPr>
      </w:pPr>
      <w:r>
        <w:rPr>
          <w:noProof/>
        </w:rPr>
        <w:drawing>
          <wp:inline distT="0" distB="0" distL="0" distR="0" wp14:anchorId="6C486C8D" wp14:editId="6A80DF6E">
            <wp:extent cx="6181725" cy="2980301"/>
            <wp:effectExtent l="19050" t="19050" r="9525" b="107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screen">
                      <a:extLst>
                        <a:ext uri="{BEBA8EAE-BF5A-486C-A8C5-ECC9F3942E4B}">
                          <a14:imgProps xmlns:a14="http://schemas.microsoft.com/office/drawing/2010/main">
                            <a14:imgLayer r:embed="rId24">
                              <a14:imgEffect>
                                <a14:sharpenSoften amount="50000"/>
                              </a14:imgEffect>
                              <a14:imgEffect>
                                <a14:colorTemperature colorTemp="7000"/>
                              </a14:imgEffect>
                              <a14:imgEffect>
                                <a14:brightnessContrast bright="9000" contrast="4000"/>
                              </a14:imgEffect>
                            </a14:imgLayer>
                          </a14:imgProps>
                        </a:ext>
                        <a:ext uri="{28A0092B-C50C-407E-A947-70E740481C1C}">
                          <a14:useLocalDpi xmlns:a14="http://schemas.microsoft.com/office/drawing/2010/main"/>
                        </a:ext>
                      </a:extLst>
                    </a:blip>
                    <a:srcRect/>
                    <a:stretch/>
                  </pic:blipFill>
                  <pic:spPr bwMode="auto">
                    <a:xfrm>
                      <a:off x="0" y="0"/>
                      <a:ext cx="6195465" cy="298692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058444A8" w14:textId="77777777" w:rsidR="00383155" w:rsidRDefault="00383155" w:rsidP="00383155">
      <w:pPr>
        <w:rPr>
          <w:rFonts w:ascii="Arial" w:hAnsi="Arial" w:cs="Arial"/>
          <w:bCs/>
          <w:sz w:val="20"/>
          <w:szCs w:val="21"/>
        </w:rPr>
      </w:pPr>
    </w:p>
    <w:p w14:paraId="2BBC279D" w14:textId="4BFD20EA" w:rsidR="00383155" w:rsidRPr="00896EEE" w:rsidRDefault="006E076B" w:rsidP="00383155">
      <w:pPr>
        <w:rPr>
          <w:rFonts w:ascii="Arial" w:hAnsi="Arial" w:cs="Arial"/>
          <w:b/>
          <w:bCs/>
          <w:sz w:val="20"/>
          <w:szCs w:val="21"/>
        </w:rPr>
      </w:pPr>
      <w:r>
        <w:rPr>
          <w:noProof/>
        </w:rPr>
        <w:drawing>
          <wp:inline distT="0" distB="0" distL="0" distR="0" wp14:anchorId="48E48C0C" wp14:editId="689B3F12">
            <wp:extent cx="5924550" cy="5389943"/>
            <wp:effectExtent l="0" t="0" r="0" b="127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939082" cy="5403163"/>
                    </a:xfrm>
                    <a:prstGeom prst="rect">
                      <a:avLst/>
                    </a:prstGeom>
                    <a:noFill/>
                    <a:ln>
                      <a:noFill/>
                    </a:ln>
                  </pic:spPr>
                </pic:pic>
              </a:graphicData>
            </a:graphic>
          </wp:inline>
        </w:drawing>
      </w:r>
    </w:p>
    <w:p w14:paraId="5B93FDAF" w14:textId="77777777" w:rsidR="003F00FF" w:rsidRPr="00F42242" w:rsidRDefault="003F00FF" w:rsidP="003F00FF">
      <w:pPr>
        <w:spacing w:before="240" w:after="120" w:line="276" w:lineRule="auto"/>
        <w:jc w:val="both"/>
        <w:rPr>
          <w:rFonts w:ascii="Arial" w:hAnsi="Arial" w:cs="Arial"/>
          <w:b/>
          <w:bCs/>
          <w:i/>
          <w:sz w:val="20"/>
          <w:szCs w:val="21"/>
        </w:rPr>
      </w:pPr>
      <w:r w:rsidRPr="00F42242">
        <w:rPr>
          <w:rFonts w:ascii="Arial" w:hAnsi="Arial" w:cs="Arial"/>
          <w:b/>
          <w:bCs/>
          <w:i/>
          <w:sz w:val="20"/>
          <w:szCs w:val="21"/>
        </w:rPr>
        <w:t xml:space="preserve">Economic Benefits and Costs </w:t>
      </w:r>
    </w:p>
    <w:p w14:paraId="57780747" w14:textId="77777777" w:rsidR="003F00FF" w:rsidRDefault="003F00FF" w:rsidP="003F00FF">
      <w:pPr>
        <w:spacing w:line="276" w:lineRule="auto"/>
        <w:jc w:val="both"/>
        <w:rPr>
          <w:rFonts w:ascii="Arial" w:hAnsi="Arial" w:cs="Arial"/>
          <w:bCs/>
          <w:sz w:val="20"/>
          <w:szCs w:val="20"/>
        </w:rPr>
      </w:pPr>
      <w:r w:rsidRPr="000318AD">
        <w:rPr>
          <w:rFonts w:ascii="Arial" w:hAnsi="Arial" w:cs="Arial"/>
          <w:bCs/>
          <w:sz w:val="20"/>
          <w:szCs w:val="20"/>
        </w:rPr>
        <w:t>The City of Blue Mountains is one of the most highly visited tourist destinations in Australia, with over 3 million visitors a year. The Greater Blue Mountains World Heritage Area is promoted by the Australian Government as one of 16 national landscapes that are a “must see” nature tourism destination and Council-managed bushland, waterways, walking tracks and lookouts</w:t>
      </w:r>
      <w:r>
        <w:rPr>
          <w:rFonts w:ascii="Arial" w:hAnsi="Arial" w:cs="Arial"/>
          <w:bCs/>
          <w:sz w:val="20"/>
          <w:szCs w:val="20"/>
        </w:rPr>
        <w:t>,</w:t>
      </w:r>
      <w:r w:rsidRPr="000318AD">
        <w:rPr>
          <w:rFonts w:ascii="Arial" w:hAnsi="Arial" w:cs="Arial"/>
          <w:bCs/>
          <w:sz w:val="20"/>
          <w:szCs w:val="20"/>
        </w:rPr>
        <w:t xml:space="preserve"> are among the most popular gateways to the region. </w:t>
      </w:r>
    </w:p>
    <w:p w14:paraId="09F5C254" w14:textId="77777777" w:rsidR="006B1840" w:rsidRPr="000318AD" w:rsidRDefault="006B1840" w:rsidP="003F00FF">
      <w:pPr>
        <w:spacing w:line="276" w:lineRule="auto"/>
        <w:jc w:val="both"/>
        <w:rPr>
          <w:rFonts w:ascii="Arial" w:hAnsi="Arial" w:cs="Arial"/>
          <w:bCs/>
          <w:sz w:val="20"/>
          <w:szCs w:val="20"/>
        </w:rPr>
      </w:pPr>
    </w:p>
    <w:p w14:paraId="052528F0" w14:textId="6451E5B8" w:rsidR="00077641" w:rsidRDefault="000318AD" w:rsidP="009012F5">
      <w:pPr>
        <w:spacing w:line="276" w:lineRule="auto"/>
        <w:jc w:val="both"/>
        <w:rPr>
          <w:rFonts w:ascii="Arial" w:hAnsi="Arial" w:cs="Arial"/>
          <w:bCs/>
          <w:sz w:val="20"/>
          <w:szCs w:val="20"/>
        </w:rPr>
      </w:pPr>
      <w:r w:rsidRPr="000318AD">
        <w:rPr>
          <w:rFonts w:ascii="Arial" w:hAnsi="Arial" w:cs="Arial"/>
          <w:bCs/>
          <w:sz w:val="20"/>
          <w:szCs w:val="20"/>
        </w:rPr>
        <w:t xml:space="preserve">The Blue Mountains natural environment is extensively used by local residents and visitors for sightseeing, bushwalking, </w:t>
      </w:r>
      <w:r w:rsidR="004A4D87">
        <w:rPr>
          <w:rFonts w:ascii="Arial" w:hAnsi="Arial" w:cs="Arial"/>
          <w:bCs/>
          <w:sz w:val="20"/>
          <w:szCs w:val="20"/>
        </w:rPr>
        <w:t xml:space="preserve">cycling, </w:t>
      </w:r>
      <w:r w:rsidRPr="000318AD">
        <w:rPr>
          <w:rFonts w:ascii="Arial" w:hAnsi="Arial" w:cs="Arial"/>
          <w:bCs/>
          <w:sz w:val="20"/>
          <w:szCs w:val="20"/>
        </w:rPr>
        <w:t>rock climbing, canyoning and other outdoor pursuits. Furthermore, 80% of all international visitors cite “Australia’s natural environment” as their main motivation for visiting. This adds immeasurably to the local, regio</w:t>
      </w:r>
      <w:r w:rsidR="00A50B70">
        <w:rPr>
          <w:rFonts w:ascii="Arial" w:hAnsi="Arial" w:cs="Arial"/>
          <w:bCs/>
          <w:sz w:val="20"/>
          <w:szCs w:val="20"/>
        </w:rPr>
        <w:t>nal, state and national economy.</w:t>
      </w:r>
      <w:r w:rsidRPr="000318AD">
        <w:rPr>
          <w:rFonts w:ascii="Arial" w:hAnsi="Arial" w:cs="Arial"/>
          <w:bCs/>
          <w:sz w:val="20"/>
          <w:szCs w:val="20"/>
        </w:rPr>
        <w:t xml:space="preserve"> Tourism contributes $560 million annually to the local economy alone and supports over 5,000 local jobs.  </w:t>
      </w:r>
    </w:p>
    <w:p w14:paraId="04269F0E" w14:textId="77777777" w:rsidR="00077641" w:rsidRDefault="00077641" w:rsidP="009012F5">
      <w:pPr>
        <w:spacing w:line="276" w:lineRule="auto"/>
        <w:jc w:val="both"/>
        <w:rPr>
          <w:rFonts w:ascii="Arial" w:hAnsi="Arial" w:cs="Arial"/>
          <w:bCs/>
          <w:sz w:val="20"/>
          <w:szCs w:val="20"/>
        </w:rPr>
      </w:pPr>
    </w:p>
    <w:p w14:paraId="3C60AD41" w14:textId="4185D301" w:rsidR="000318AD" w:rsidRPr="000318AD" w:rsidRDefault="00077641" w:rsidP="009012F5">
      <w:pPr>
        <w:spacing w:line="276" w:lineRule="auto"/>
        <w:jc w:val="both"/>
        <w:rPr>
          <w:rFonts w:ascii="Arial" w:hAnsi="Arial" w:cs="Arial"/>
          <w:bCs/>
          <w:sz w:val="20"/>
          <w:szCs w:val="20"/>
        </w:rPr>
      </w:pPr>
      <w:r>
        <w:rPr>
          <w:rFonts w:ascii="Arial" w:hAnsi="Arial" w:cs="Arial"/>
          <w:bCs/>
          <w:sz w:val="20"/>
          <w:szCs w:val="20"/>
        </w:rPr>
        <w:t xml:space="preserve">While tourism creates jobs and supports the economy, it also creates significant financial challenges and risks to be ameliorated. </w:t>
      </w:r>
      <w:r w:rsidR="000318AD" w:rsidRPr="000318AD">
        <w:rPr>
          <w:rFonts w:ascii="Arial" w:hAnsi="Arial" w:cs="Arial"/>
          <w:bCs/>
          <w:sz w:val="20"/>
          <w:szCs w:val="20"/>
        </w:rPr>
        <w:t xml:space="preserve">There is a strong expectation that assets such as bushland and waterways will be managed to a high level of integrity and be in a healthy, biologically functional condition. There is also the cost of renewing and maintaining a $58 million network of natural area visitor facilities, including over 120km of walking tracks, 85 lookouts and other natural area visitor facilities. </w:t>
      </w:r>
    </w:p>
    <w:p w14:paraId="63E35913" w14:textId="3584192C" w:rsidR="000318AD" w:rsidRPr="000318AD" w:rsidRDefault="00E44C4B" w:rsidP="009012F5">
      <w:pPr>
        <w:pStyle w:val="Heading2"/>
        <w:spacing w:line="276" w:lineRule="auto"/>
      </w:pPr>
      <w:bookmarkStart w:id="5" w:name="_Toc411530301"/>
      <w:bookmarkStart w:id="6" w:name="_Toc412798911"/>
      <w:r>
        <w:t>W</w:t>
      </w:r>
      <w:r w:rsidR="000318AD" w:rsidRPr="000318AD">
        <w:t xml:space="preserve">hat the </w:t>
      </w:r>
      <w:r w:rsidR="00E52BBA">
        <w:t>c</w:t>
      </w:r>
      <w:r w:rsidR="000318AD" w:rsidRPr="000318AD">
        <w:t xml:space="preserve">ommunity </w:t>
      </w:r>
      <w:r w:rsidR="00E52BBA">
        <w:t>s</w:t>
      </w:r>
      <w:r>
        <w:t>aid</w:t>
      </w:r>
      <w:bookmarkEnd w:id="5"/>
      <w:bookmarkEnd w:id="6"/>
    </w:p>
    <w:p w14:paraId="58D813E1" w14:textId="3C59B5C5" w:rsidR="00D74312" w:rsidRPr="002C1845" w:rsidRDefault="00D74312" w:rsidP="00D74312">
      <w:pPr>
        <w:spacing w:line="276" w:lineRule="auto"/>
        <w:jc w:val="both"/>
        <w:rPr>
          <w:rFonts w:ascii="Arial" w:hAnsi="Arial" w:cs="Arial"/>
          <w:bCs/>
          <w:sz w:val="20"/>
          <w:szCs w:val="20"/>
        </w:rPr>
      </w:pPr>
      <w:r w:rsidRPr="00ED6D3D">
        <w:rPr>
          <w:rFonts w:ascii="Arial" w:hAnsi="Arial" w:cs="Arial"/>
          <w:bCs/>
          <w:sz w:val="20"/>
          <w:szCs w:val="20"/>
        </w:rPr>
        <w:t xml:space="preserve">Importantly, the Council has taken a neutral stance on how best to achieve acceptable and affordable levels of service for the City, instead implementing an extensive engagement process to hear the voice of the community on three alternative options for </w:t>
      </w:r>
      <w:r w:rsidRPr="00ED6D3D">
        <w:rPr>
          <w:rFonts w:ascii="Arial" w:hAnsi="Arial" w:cs="Arial"/>
          <w:bCs/>
          <w:i/>
          <w:sz w:val="20"/>
          <w:szCs w:val="20"/>
        </w:rPr>
        <w:t>Resourcing Our Future</w:t>
      </w:r>
      <w:r w:rsidR="002C1845">
        <w:rPr>
          <w:rFonts w:ascii="Arial" w:hAnsi="Arial" w:cs="Arial"/>
          <w:bCs/>
          <w:i/>
          <w:sz w:val="20"/>
          <w:szCs w:val="20"/>
        </w:rPr>
        <w:t xml:space="preserve">, </w:t>
      </w:r>
      <w:r w:rsidR="002C1845" w:rsidRPr="002C1845">
        <w:rPr>
          <w:rFonts w:ascii="Arial" w:hAnsi="Arial" w:cs="Arial"/>
          <w:bCs/>
          <w:sz w:val="20"/>
          <w:szCs w:val="20"/>
        </w:rPr>
        <w:t>including</w:t>
      </w:r>
      <w:r w:rsidRPr="002C1845">
        <w:rPr>
          <w:rFonts w:ascii="Arial" w:hAnsi="Arial" w:cs="Arial"/>
          <w:bCs/>
          <w:sz w:val="20"/>
          <w:szCs w:val="20"/>
        </w:rPr>
        <w:t>:</w:t>
      </w:r>
    </w:p>
    <w:p w14:paraId="747F84B6" w14:textId="77777777" w:rsidR="00D74312" w:rsidRPr="00ED6D3D" w:rsidRDefault="00D74312" w:rsidP="00D74312">
      <w:pPr>
        <w:spacing w:line="276" w:lineRule="auto"/>
        <w:jc w:val="both"/>
        <w:rPr>
          <w:rFonts w:ascii="Arial" w:hAnsi="Arial" w:cs="Arial"/>
          <w:bCs/>
          <w:sz w:val="20"/>
          <w:szCs w:val="20"/>
        </w:rPr>
      </w:pPr>
    </w:p>
    <w:p w14:paraId="5B13427C" w14:textId="2FAC7942" w:rsidR="00D74312" w:rsidRPr="003F00FF" w:rsidRDefault="00D74312" w:rsidP="00695720">
      <w:pPr>
        <w:pStyle w:val="ListParagraph"/>
        <w:numPr>
          <w:ilvl w:val="0"/>
          <w:numId w:val="113"/>
        </w:numPr>
        <w:shd w:val="clear" w:color="auto" w:fill="FFFFFF"/>
        <w:spacing w:line="276" w:lineRule="auto"/>
        <w:ind w:left="426" w:hanging="426"/>
        <w:jc w:val="both"/>
        <w:rPr>
          <w:rFonts w:ascii="Arial" w:eastAsiaTheme="minorEastAsia" w:hAnsi="Arial" w:cs="Arial"/>
          <w:sz w:val="18"/>
          <w:szCs w:val="18"/>
        </w:rPr>
      </w:pPr>
      <w:r w:rsidRPr="00C514CB">
        <w:rPr>
          <w:rFonts w:ascii="Arial" w:hAnsi="Arial" w:cs="Arial"/>
          <w:b/>
          <w:bCs/>
          <w:i/>
          <w:sz w:val="20"/>
          <w:szCs w:val="20"/>
        </w:rPr>
        <w:t>Option 1: Service Levels Improved</w:t>
      </w:r>
      <w:r w:rsidRPr="00C514CB">
        <w:rPr>
          <w:rFonts w:ascii="Arial" w:hAnsi="Arial" w:cs="Arial"/>
          <w:bCs/>
          <w:sz w:val="20"/>
          <w:szCs w:val="20"/>
        </w:rPr>
        <w:t xml:space="preserve"> </w:t>
      </w:r>
      <w:r w:rsidR="002C0ECB" w:rsidRPr="003F00FF">
        <w:rPr>
          <w:rFonts w:ascii="Arial" w:hAnsi="Arial" w:cs="Arial"/>
          <w:bCs/>
          <w:sz w:val="18"/>
          <w:szCs w:val="18"/>
        </w:rPr>
        <w:t>–</w:t>
      </w:r>
      <w:r w:rsidRPr="003F00FF">
        <w:rPr>
          <w:rFonts w:ascii="Arial" w:hAnsi="Arial" w:cs="Arial"/>
          <w:bCs/>
          <w:sz w:val="18"/>
          <w:szCs w:val="18"/>
        </w:rPr>
        <w:t xml:space="preserve"> </w:t>
      </w:r>
      <w:r w:rsidR="002C0ECB" w:rsidRPr="003F00FF">
        <w:rPr>
          <w:rFonts w:ascii="Arial" w:hAnsi="Arial" w:cs="Arial"/>
          <w:bCs/>
          <w:sz w:val="18"/>
          <w:szCs w:val="18"/>
        </w:rPr>
        <w:t>we reverse the decline in the City’s  $1 billion worth of built assets and have greater capacity to</w:t>
      </w:r>
      <w:r w:rsidR="00B80788" w:rsidRPr="003F00FF">
        <w:rPr>
          <w:rFonts w:ascii="Arial" w:hAnsi="Arial" w:cs="Arial"/>
          <w:bCs/>
          <w:sz w:val="18"/>
          <w:szCs w:val="18"/>
        </w:rPr>
        <w:t xml:space="preserve"> manage risks and</w:t>
      </w:r>
      <w:r w:rsidR="002C0ECB" w:rsidRPr="003F00FF">
        <w:rPr>
          <w:rFonts w:ascii="Arial" w:hAnsi="Arial" w:cs="Arial"/>
          <w:bCs/>
          <w:sz w:val="18"/>
          <w:szCs w:val="18"/>
        </w:rPr>
        <w:t xml:space="preserve"> fund required maintenance and renewal, prepare and respond to emergencies, continue to look after the environment and improve services to the community including those most in need. This </w:t>
      </w:r>
      <w:r w:rsidR="0026012C" w:rsidRPr="003F00FF">
        <w:rPr>
          <w:rFonts w:ascii="Arial" w:hAnsi="Arial" w:cs="Arial"/>
          <w:bCs/>
          <w:sz w:val="18"/>
          <w:szCs w:val="18"/>
        </w:rPr>
        <w:t>Option includes</w:t>
      </w:r>
      <w:r w:rsidR="002C0ECB" w:rsidRPr="003F00FF">
        <w:rPr>
          <w:rFonts w:ascii="Arial" w:hAnsi="Arial" w:cs="Arial"/>
          <w:bCs/>
          <w:sz w:val="18"/>
          <w:szCs w:val="18"/>
        </w:rPr>
        <w:t xml:space="preserve"> a </w:t>
      </w:r>
      <w:r w:rsidRPr="003F00FF">
        <w:rPr>
          <w:rFonts w:ascii="Arial" w:hAnsi="Arial" w:cs="Arial"/>
          <w:bCs/>
          <w:sz w:val="18"/>
          <w:szCs w:val="18"/>
        </w:rPr>
        <w:t>special variation increase of</w:t>
      </w:r>
      <w:r w:rsidRPr="003F00FF">
        <w:rPr>
          <w:rFonts w:ascii="Arial" w:eastAsiaTheme="minorEastAsia" w:hAnsi="Arial" w:cs="Arial"/>
          <w:sz w:val="18"/>
          <w:szCs w:val="18"/>
        </w:rPr>
        <w:t xml:space="preserve"> 6.6% in 2015/16 (including rate peg), to reinstate the Environment Levy followed by three annual increases of 9.6% (including rate peg) from 2016/17 to 2018/19 with additional funding remaining permanently in the rate base. </w:t>
      </w:r>
    </w:p>
    <w:p w14:paraId="0CEA7F5E" w14:textId="77777777" w:rsidR="00D74312" w:rsidRPr="00ED6D3D" w:rsidRDefault="00D74312" w:rsidP="00C514CB">
      <w:pPr>
        <w:shd w:val="clear" w:color="auto" w:fill="FFFFFF"/>
        <w:spacing w:line="276" w:lineRule="auto"/>
        <w:ind w:left="426" w:hanging="426"/>
        <w:jc w:val="both"/>
        <w:rPr>
          <w:rFonts w:ascii="Arial" w:eastAsiaTheme="minorEastAsia" w:hAnsi="Arial" w:cs="Arial"/>
          <w:b/>
          <w:sz w:val="20"/>
          <w:szCs w:val="20"/>
          <w:lang w:eastAsia="en-US"/>
        </w:rPr>
      </w:pPr>
    </w:p>
    <w:p w14:paraId="1B24F757" w14:textId="44CCE91F" w:rsidR="00D74312" w:rsidRPr="003F00FF" w:rsidRDefault="00D74312" w:rsidP="00695720">
      <w:pPr>
        <w:pStyle w:val="ListParagraph"/>
        <w:numPr>
          <w:ilvl w:val="0"/>
          <w:numId w:val="113"/>
        </w:numPr>
        <w:shd w:val="clear" w:color="auto" w:fill="FFFFFF"/>
        <w:spacing w:line="276" w:lineRule="auto"/>
        <w:ind w:left="426" w:hanging="426"/>
        <w:jc w:val="both"/>
        <w:rPr>
          <w:rFonts w:ascii="Arial" w:eastAsiaTheme="minorEastAsia" w:hAnsi="Arial" w:cs="Arial"/>
          <w:sz w:val="18"/>
          <w:szCs w:val="18"/>
        </w:rPr>
      </w:pPr>
      <w:r w:rsidRPr="00C514CB">
        <w:rPr>
          <w:rFonts w:ascii="Arial" w:hAnsi="Arial" w:cs="Arial"/>
          <w:b/>
          <w:bCs/>
          <w:i/>
          <w:sz w:val="20"/>
          <w:szCs w:val="20"/>
        </w:rPr>
        <w:t>Option 2: Service Levels Maintained</w:t>
      </w:r>
      <w:r w:rsidRPr="00C514CB">
        <w:rPr>
          <w:rFonts w:ascii="Arial" w:hAnsi="Arial" w:cs="Arial"/>
          <w:bCs/>
          <w:sz w:val="20"/>
          <w:szCs w:val="20"/>
        </w:rPr>
        <w:t xml:space="preserve"> </w:t>
      </w:r>
      <w:r w:rsidR="002C0ECB" w:rsidRPr="00C514CB">
        <w:rPr>
          <w:rFonts w:ascii="Arial" w:hAnsi="Arial" w:cs="Arial"/>
          <w:bCs/>
          <w:sz w:val="20"/>
          <w:szCs w:val="20"/>
        </w:rPr>
        <w:t>–</w:t>
      </w:r>
      <w:r w:rsidRPr="00C514CB">
        <w:rPr>
          <w:rFonts w:ascii="Arial" w:hAnsi="Arial" w:cs="Arial"/>
          <w:bCs/>
          <w:sz w:val="20"/>
          <w:szCs w:val="20"/>
        </w:rPr>
        <w:t xml:space="preserve"> </w:t>
      </w:r>
      <w:r w:rsidR="002C0ECB" w:rsidRPr="003F00FF">
        <w:rPr>
          <w:rFonts w:ascii="Arial" w:hAnsi="Arial" w:cs="Arial"/>
          <w:bCs/>
          <w:sz w:val="18"/>
          <w:szCs w:val="18"/>
        </w:rPr>
        <w:t>we stabilise the proportion of the City’s built assets in poor condition at 21%</w:t>
      </w:r>
      <w:r w:rsidR="0026012C" w:rsidRPr="003F00FF">
        <w:rPr>
          <w:rFonts w:ascii="Arial" w:hAnsi="Arial" w:cs="Arial"/>
          <w:bCs/>
          <w:sz w:val="18"/>
          <w:szCs w:val="18"/>
        </w:rPr>
        <w:t xml:space="preserve"> and maintain existing capacity for preparing and responding to emergencies, looking after environment and servicing community.  With just under one quarter of all built assets in poor condition, funding will be </w:t>
      </w:r>
      <w:r w:rsidR="00B80788" w:rsidRPr="003F00FF">
        <w:rPr>
          <w:rFonts w:ascii="Arial" w:hAnsi="Arial" w:cs="Arial"/>
          <w:bCs/>
          <w:sz w:val="18"/>
          <w:szCs w:val="18"/>
        </w:rPr>
        <w:t xml:space="preserve">targeted </w:t>
      </w:r>
      <w:r w:rsidR="0026012C" w:rsidRPr="003F00FF">
        <w:rPr>
          <w:rFonts w:ascii="Arial" w:hAnsi="Arial" w:cs="Arial"/>
          <w:bCs/>
          <w:sz w:val="18"/>
          <w:szCs w:val="18"/>
        </w:rPr>
        <w:t xml:space="preserve">to managing risks </w:t>
      </w:r>
      <w:r w:rsidR="00B80788" w:rsidRPr="003F00FF">
        <w:rPr>
          <w:rFonts w:ascii="Arial" w:hAnsi="Arial" w:cs="Arial"/>
          <w:bCs/>
          <w:sz w:val="18"/>
          <w:szCs w:val="18"/>
        </w:rPr>
        <w:t>with possible closure or removal of unsafe</w:t>
      </w:r>
      <w:r w:rsidR="0026012C" w:rsidRPr="003F00FF">
        <w:rPr>
          <w:rFonts w:ascii="Arial" w:hAnsi="Arial" w:cs="Arial"/>
          <w:bCs/>
          <w:sz w:val="18"/>
          <w:szCs w:val="18"/>
        </w:rPr>
        <w:t xml:space="preserve"> facilities.</w:t>
      </w:r>
      <w:r w:rsidR="00C514CB" w:rsidRPr="003F00FF">
        <w:rPr>
          <w:rFonts w:ascii="Arial" w:hAnsi="Arial" w:cs="Arial"/>
          <w:bCs/>
          <w:sz w:val="18"/>
          <w:szCs w:val="18"/>
        </w:rPr>
        <w:t xml:space="preserve"> </w:t>
      </w:r>
      <w:r w:rsidR="0026012C" w:rsidRPr="003F00FF">
        <w:rPr>
          <w:rFonts w:ascii="Arial" w:hAnsi="Arial" w:cs="Arial"/>
          <w:bCs/>
          <w:sz w:val="18"/>
          <w:szCs w:val="18"/>
        </w:rPr>
        <w:t xml:space="preserve">This Option includes </w:t>
      </w:r>
      <w:r w:rsidRPr="003F00FF">
        <w:rPr>
          <w:rFonts w:ascii="Arial" w:hAnsi="Arial" w:cs="Arial"/>
          <w:bCs/>
          <w:sz w:val="18"/>
          <w:szCs w:val="18"/>
        </w:rPr>
        <w:t>a special variation increase of</w:t>
      </w:r>
      <w:r w:rsidRPr="003F00FF">
        <w:rPr>
          <w:rFonts w:ascii="Arial" w:eastAsiaTheme="minorEastAsia" w:hAnsi="Arial" w:cs="Arial"/>
          <w:sz w:val="18"/>
          <w:szCs w:val="18"/>
        </w:rPr>
        <w:t xml:space="preserve"> 6.6% in 2015/16 (including rate peg), to reinstate the Environment Levy followed by three annual increases of 7.4% (including rate peg) from 2016/17 to 2018/19 with additional funding remaining permanently in the rate base.</w:t>
      </w:r>
    </w:p>
    <w:p w14:paraId="7431954D" w14:textId="77777777" w:rsidR="00D74312" w:rsidRPr="00ED6D3D" w:rsidRDefault="00D74312" w:rsidP="00C514CB">
      <w:pPr>
        <w:shd w:val="clear" w:color="auto" w:fill="FFFFFF"/>
        <w:spacing w:line="276" w:lineRule="auto"/>
        <w:ind w:left="426" w:hanging="426"/>
        <w:jc w:val="both"/>
        <w:rPr>
          <w:rFonts w:ascii="Arial" w:hAnsi="Arial" w:cs="Arial"/>
          <w:bCs/>
          <w:sz w:val="20"/>
          <w:szCs w:val="20"/>
        </w:rPr>
      </w:pPr>
    </w:p>
    <w:p w14:paraId="2D399CDD" w14:textId="376DA952" w:rsidR="00D74312" w:rsidRPr="003F00FF" w:rsidRDefault="00D74312" w:rsidP="00695720">
      <w:pPr>
        <w:pStyle w:val="ListParagraph"/>
        <w:numPr>
          <w:ilvl w:val="0"/>
          <w:numId w:val="113"/>
        </w:numPr>
        <w:spacing w:line="276" w:lineRule="auto"/>
        <w:ind w:left="426" w:hanging="142"/>
        <w:jc w:val="both"/>
        <w:rPr>
          <w:rFonts w:ascii="Arial" w:hAnsi="Arial" w:cs="Arial"/>
          <w:bCs/>
          <w:sz w:val="18"/>
          <w:szCs w:val="18"/>
        </w:rPr>
      </w:pPr>
      <w:r w:rsidRPr="00C514CB">
        <w:rPr>
          <w:rFonts w:ascii="Arial" w:hAnsi="Arial" w:cs="Arial"/>
          <w:b/>
          <w:bCs/>
          <w:i/>
          <w:sz w:val="20"/>
          <w:szCs w:val="20"/>
        </w:rPr>
        <w:t>Option 3: Service Levels Reduced</w:t>
      </w:r>
      <w:r w:rsidRPr="00C514CB">
        <w:rPr>
          <w:rFonts w:ascii="Arial" w:hAnsi="Arial" w:cs="Arial"/>
          <w:bCs/>
          <w:sz w:val="20"/>
          <w:szCs w:val="20"/>
        </w:rPr>
        <w:t xml:space="preserve"> </w:t>
      </w:r>
      <w:r w:rsidR="005049C3" w:rsidRPr="00C514CB">
        <w:rPr>
          <w:rFonts w:ascii="Arial" w:hAnsi="Arial" w:cs="Arial"/>
          <w:bCs/>
          <w:sz w:val="20"/>
          <w:szCs w:val="20"/>
        </w:rPr>
        <w:t>–</w:t>
      </w:r>
      <w:r w:rsidRPr="00C514CB">
        <w:rPr>
          <w:rFonts w:ascii="Arial" w:hAnsi="Arial" w:cs="Arial"/>
          <w:bCs/>
          <w:sz w:val="20"/>
          <w:szCs w:val="20"/>
        </w:rPr>
        <w:t xml:space="preserve"> </w:t>
      </w:r>
      <w:r w:rsidR="005049C3" w:rsidRPr="003F00FF">
        <w:rPr>
          <w:rFonts w:ascii="Arial" w:hAnsi="Arial" w:cs="Arial"/>
          <w:bCs/>
          <w:sz w:val="18"/>
          <w:szCs w:val="18"/>
        </w:rPr>
        <w:t>under this Option built assets in poor condition increase from the current 21% to 37% by 2024. Priority focus is on managing risk, including closure and removal of unsafe facilities. Capacity to respond to emergencies such as bushfires and to protect the environment is reduced.</w:t>
      </w:r>
      <w:r w:rsidR="00C514CB" w:rsidRPr="003F00FF">
        <w:rPr>
          <w:rFonts w:ascii="Arial" w:hAnsi="Arial" w:cs="Arial"/>
          <w:bCs/>
          <w:sz w:val="18"/>
          <w:szCs w:val="18"/>
        </w:rPr>
        <w:t xml:space="preserve"> </w:t>
      </w:r>
      <w:r w:rsidR="003B79EF" w:rsidRPr="003F00FF">
        <w:rPr>
          <w:rFonts w:ascii="Arial" w:hAnsi="Arial" w:cs="Arial"/>
          <w:bCs/>
          <w:sz w:val="18"/>
          <w:szCs w:val="18"/>
        </w:rPr>
        <w:t>This Option includes no special rate variation, expiry of the existing Environment Levy after June 2015 and rates increasing by the annual rate peg.</w:t>
      </w:r>
    </w:p>
    <w:p w14:paraId="1643A7B9" w14:textId="77777777" w:rsidR="00D74312" w:rsidRDefault="00D74312" w:rsidP="00D74312">
      <w:pPr>
        <w:spacing w:line="276" w:lineRule="auto"/>
        <w:jc w:val="both"/>
        <w:rPr>
          <w:rFonts w:ascii="Arial" w:hAnsi="Arial" w:cs="Arial"/>
          <w:bCs/>
          <w:sz w:val="20"/>
          <w:szCs w:val="20"/>
        </w:rPr>
      </w:pPr>
    </w:p>
    <w:p w14:paraId="47F50299" w14:textId="0F1C18C1" w:rsidR="00616CCA" w:rsidRDefault="00D74312" w:rsidP="00D74312">
      <w:pPr>
        <w:spacing w:line="276" w:lineRule="auto"/>
        <w:jc w:val="both"/>
        <w:rPr>
          <w:rFonts w:ascii="Arial" w:hAnsi="Arial" w:cs="Arial"/>
          <w:bCs/>
          <w:sz w:val="20"/>
          <w:szCs w:val="20"/>
        </w:rPr>
      </w:pPr>
      <w:r>
        <w:rPr>
          <w:rFonts w:ascii="Arial" w:hAnsi="Arial" w:cs="Arial"/>
          <w:bCs/>
          <w:sz w:val="20"/>
          <w:szCs w:val="20"/>
        </w:rPr>
        <w:t>Over 4,300 public submissions were received from the engagement process</w:t>
      </w:r>
      <w:r w:rsidR="003B79EF">
        <w:rPr>
          <w:rFonts w:ascii="Arial" w:hAnsi="Arial" w:cs="Arial"/>
          <w:bCs/>
          <w:sz w:val="20"/>
          <w:szCs w:val="20"/>
        </w:rPr>
        <w:t xml:space="preserve"> expressing views on which of these three options they preferred</w:t>
      </w:r>
      <w:r w:rsidR="00901876">
        <w:rPr>
          <w:rFonts w:ascii="Arial" w:hAnsi="Arial" w:cs="Arial"/>
          <w:bCs/>
          <w:sz w:val="20"/>
          <w:szCs w:val="20"/>
        </w:rPr>
        <w:t xml:space="preserve"> (see </w:t>
      </w:r>
      <w:r w:rsidR="00901876" w:rsidRPr="00593ECC">
        <w:rPr>
          <w:rFonts w:ascii="Arial" w:hAnsi="Arial" w:cs="Arial"/>
          <w:b/>
          <w:bCs/>
          <w:sz w:val="20"/>
          <w:szCs w:val="20"/>
        </w:rPr>
        <w:t>Attachment 6a</w:t>
      </w:r>
      <w:r w:rsidR="00901876">
        <w:rPr>
          <w:rFonts w:ascii="Arial" w:hAnsi="Arial" w:cs="Arial"/>
          <w:bCs/>
          <w:sz w:val="20"/>
          <w:szCs w:val="20"/>
        </w:rPr>
        <w:t>)</w:t>
      </w:r>
      <w:r>
        <w:rPr>
          <w:rFonts w:ascii="Arial" w:hAnsi="Arial" w:cs="Arial"/>
          <w:bCs/>
          <w:sz w:val="20"/>
          <w:szCs w:val="20"/>
        </w:rPr>
        <w:t xml:space="preserve">. This represents the largest number of submissions ever received from a public exhibition and engagement process on any issue for the Council. </w:t>
      </w:r>
    </w:p>
    <w:p w14:paraId="270E9771" w14:textId="77777777" w:rsidR="00616CCA" w:rsidRDefault="00616CCA" w:rsidP="00D74312">
      <w:pPr>
        <w:spacing w:line="276" w:lineRule="auto"/>
        <w:jc w:val="both"/>
        <w:rPr>
          <w:rFonts w:ascii="Arial" w:hAnsi="Arial" w:cs="Arial"/>
          <w:bCs/>
          <w:sz w:val="20"/>
          <w:szCs w:val="20"/>
        </w:rPr>
      </w:pPr>
    </w:p>
    <w:p w14:paraId="23FB7C52" w14:textId="2C36963E" w:rsidR="00616CCA" w:rsidRDefault="003B79EF" w:rsidP="00D74312">
      <w:pPr>
        <w:spacing w:line="276" w:lineRule="auto"/>
        <w:jc w:val="both"/>
        <w:rPr>
          <w:rFonts w:ascii="Arial" w:hAnsi="Arial" w:cs="Arial"/>
          <w:bCs/>
          <w:sz w:val="20"/>
          <w:szCs w:val="20"/>
        </w:rPr>
      </w:pPr>
      <w:r w:rsidRPr="00C514CB">
        <w:rPr>
          <w:rFonts w:ascii="Arial" w:hAnsi="Arial" w:cs="Arial"/>
          <w:bCs/>
          <w:sz w:val="20"/>
          <w:szCs w:val="20"/>
        </w:rPr>
        <w:t xml:space="preserve">Analysis of </w:t>
      </w:r>
      <w:r w:rsidR="00D74312" w:rsidRPr="00C514CB">
        <w:rPr>
          <w:rFonts w:ascii="Arial" w:hAnsi="Arial" w:cs="Arial"/>
          <w:bCs/>
          <w:sz w:val="20"/>
          <w:szCs w:val="20"/>
        </w:rPr>
        <w:t>submissions indicated clear majority support for Option 1 – Service Levels Improved – the basis of this application. In p</w:t>
      </w:r>
      <w:r w:rsidR="00D74312">
        <w:rPr>
          <w:rFonts w:ascii="Arial" w:hAnsi="Arial" w:cs="Arial"/>
          <w:bCs/>
          <w:sz w:val="20"/>
          <w:szCs w:val="20"/>
        </w:rPr>
        <w:t xml:space="preserve">articular, 55% (2,355) of all submissions supported </w:t>
      </w:r>
      <w:r w:rsidR="00D74312" w:rsidRPr="0005141A">
        <w:rPr>
          <w:rFonts w:ascii="Arial" w:hAnsi="Arial" w:cs="Arial"/>
          <w:bCs/>
          <w:sz w:val="20"/>
          <w:szCs w:val="20"/>
        </w:rPr>
        <w:t>Option 1</w:t>
      </w:r>
      <w:r w:rsidR="00D74312">
        <w:rPr>
          <w:rFonts w:ascii="Arial" w:hAnsi="Arial" w:cs="Arial"/>
          <w:bCs/>
          <w:sz w:val="20"/>
          <w:szCs w:val="20"/>
        </w:rPr>
        <w:t>,</w:t>
      </w:r>
      <w:r w:rsidR="00D74312" w:rsidRPr="0005141A">
        <w:rPr>
          <w:rFonts w:ascii="Arial" w:hAnsi="Arial" w:cs="Arial"/>
          <w:bCs/>
          <w:sz w:val="20"/>
          <w:szCs w:val="20"/>
        </w:rPr>
        <w:t xml:space="preserve"> while 23% (1,004) support</w:t>
      </w:r>
      <w:r w:rsidR="00D74312">
        <w:rPr>
          <w:rFonts w:ascii="Arial" w:hAnsi="Arial" w:cs="Arial"/>
          <w:bCs/>
          <w:sz w:val="20"/>
          <w:szCs w:val="20"/>
        </w:rPr>
        <w:t>ed</w:t>
      </w:r>
      <w:r w:rsidR="00D74312" w:rsidRPr="0005141A">
        <w:rPr>
          <w:rFonts w:ascii="Arial" w:hAnsi="Arial" w:cs="Arial"/>
          <w:bCs/>
          <w:sz w:val="20"/>
          <w:szCs w:val="20"/>
        </w:rPr>
        <w:t xml:space="preserve"> Option 2</w:t>
      </w:r>
      <w:r w:rsidR="00D74312">
        <w:rPr>
          <w:rFonts w:ascii="Arial" w:hAnsi="Arial" w:cs="Arial"/>
          <w:bCs/>
          <w:sz w:val="20"/>
          <w:szCs w:val="20"/>
        </w:rPr>
        <w:t xml:space="preserve"> and </w:t>
      </w:r>
      <w:r w:rsidR="00D74312" w:rsidRPr="0005141A">
        <w:rPr>
          <w:rFonts w:ascii="Arial" w:hAnsi="Arial" w:cs="Arial"/>
          <w:bCs/>
          <w:sz w:val="20"/>
          <w:szCs w:val="20"/>
        </w:rPr>
        <w:t>20% (880) support</w:t>
      </w:r>
      <w:r w:rsidR="00D74312">
        <w:rPr>
          <w:rFonts w:ascii="Arial" w:hAnsi="Arial" w:cs="Arial"/>
          <w:bCs/>
          <w:sz w:val="20"/>
          <w:szCs w:val="20"/>
        </w:rPr>
        <w:t>ed</w:t>
      </w:r>
      <w:r w:rsidR="00D74312" w:rsidRPr="0005141A">
        <w:rPr>
          <w:rFonts w:ascii="Arial" w:hAnsi="Arial" w:cs="Arial"/>
          <w:bCs/>
          <w:sz w:val="20"/>
          <w:szCs w:val="20"/>
        </w:rPr>
        <w:t xml:space="preserve"> Option 3</w:t>
      </w:r>
      <w:r w:rsidR="00D74312">
        <w:rPr>
          <w:rFonts w:ascii="Arial" w:hAnsi="Arial" w:cs="Arial"/>
          <w:bCs/>
          <w:sz w:val="20"/>
          <w:szCs w:val="20"/>
        </w:rPr>
        <w:t xml:space="preserve"> (with 2% providing comments only). A total of </w:t>
      </w:r>
      <w:r w:rsidR="00D74312" w:rsidRPr="0005141A">
        <w:rPr>
          <w:rFonts w:ascii="Arial" w:hAnsi="Arial" w:cs="Arial"/>
          <w:bCs/>
          <w:sz w:val="20"/>
          <w:szCs w:val="20"/>
        </w:rPr>
        <w:t xml:space="preserve">78% (3,359) of </w:t>
      </w:r>
      <w:r w:rsidR="00D74312">
        <w:rPr>
          <w:rFonts w:ascii="Arial" w:hAnsi="Arial" w:cs="Arial"/>
          <w:bCs/>
          <w:sz w:val="20"/>
          <w:szCs w:val="20"/>
        </w:rPr>
        <w:t xml:space="preserve">all </w:t>
      </w:r>
      <w:r w:rsidR="00D74312" w:rsidRPr="0005141A">
        <w:rPr>
          <w:rFonts w:ascii="Arial" w:hAnsi="Arial" w:cs="Arial"/>
          <w:bCs/>
          <w:sz w:val="20"/>
          <w:szCs w:val="20"/>
        </w:rPr>
        <w:t>submissions support</w:t>
      </w:r>
      <w:r w:rsidR="00D74312">
        <w:rPr>
          <w:rFonts w:ascii="Arial" w:hAnsi="Arial" w:cs="Arial"/>
          <w:bCs/>
          <w:sz w:val="20"/>
          <w:szCs w:val="20"/>
        </w:rPr>
        <w:t>ed</w:t>
      </w:r>
      <w:r w:rsidR="00D74312" w:rsidRPr="0005141A">
        <w:rPr>
          <w:rFonts w:ascii="Arial" w:hAnsi="Arial" w:cs="Arial"/>
          <w:bCs/>
          <w:sz w:val="20"/>
          <w:szCs w:val="20"/>
        </w:rPr>
        <w:t xml:space="preserve"> </w:t>
      </w:r>
      <w:r w:rsidR="00D74312">
        <w:rPr>
          <w:rFonts w:ascii="Arial" w:hAnsi="Arial" w:cs="Arial"/>
          <w:bCs/>
          <w:sz w:val="20"/>
          <w:szCs w:val="20"/>
        </w:rPr>
        <w:t xml:space="preserve">either </w:t>
      </w:r>
      <w:r w:rsidR="00D74312" w:rsidRPr="0005141A">
        <w:rPr>
          <w:rFonts w:ascii="Arial" w:hAnsi="Arial" w:cs="Arial"/>
          <w:bCs/>
          <w:sz w:val="20"/>
          <w:szCs w:val="20"/>
        </w:rPr>
        <w:t xml:space="preserve">Options 1 </w:t>
      </w:r>
      <w:r w:rsidR="00D74312">
        <w:rPr>
          <w:rFonts w:ascii="Arial" w:hAnsi="Arial" w:cs="Arial"/>
          <w:bCs/>
          <w:sz w:val="20"/>
          <w:szCs w:val="20"/>
        </w:rPr>
        <w:t>or</w:t>
      </w:r>
      <w:r w:rsidR="00D74312" w:rsidRPr="0005141A">
        <w:rPr>
          <w:rFonts w:ascii="Arial" w:hAnsi="Arial" w:cs="Arial"/>
          <w:bCs/>
          <w:sz w:val="20"/>
          <w:szCs w:val="20"/>
        </w:rPr>
        <w:t xml:space="preserve"> 2, </w:t>
      </w:r>
      <w:r w:rsidR="00D74312">
        <w:rPr>
          <w:rFonts w:ascii="Arial" w:hAnsi="Arial" w:cs="Arial"/>
          <w:bCs/>
          <w:sz w:val="20"/>
          <w:szCs w:val="20"/>
        </w:rPr>
        <w:t xml:space="preserve">and </w:t>
      </w:r>
      <w:r w:rsidR="00D74312" w:rsidRPr="0005141A">
        <w:rPr>
          <w:rFonts w:ascii="Arial" w:hAnsi="Arial" w:cs="Arial"/>
          <w:bCs/>
          <w:sz w:val="20"/>
          <w:szCs w:val="20"/>
        </w:rPr>
        <w:t>of these</w:t>
      </w:r>
      <w:r w:rsidR="00D74312">
        <w:rPr>
          <w:rFonts w:ascii="Arial" w:hAnsi="Arial" w:cs="Arial"/>
          <w:bCs/>
          <w:sz w:val="20"/>
          <w:szCs w:val="20"/>
        </w:rPr>
        <w:t xml:space="preserve"> </w:t>
      </w:r>
      <w:r w:rsidR="00D74312" w:rsidRPr="0005141A">
        <w:rPr>
          <w:rFonts w:ascii="Arial" w:hAnsi="Arial" w:cs="Arial"/>
          <w:bCs/>
          <w:sz w:val="20"/>
          <w:szCs w:val="20"/>
        </w:rPr>
        <w:t>70% were in favour of Option 1.</w:t>
      </w:r>
      <w:r w:rsidR="00D74312">
        <w:rPr>
          <w:rFonts w:ascii="Arial" w:hAnsi="Arial" w:cs="Arial"/>
          <w:bCs/>
          <w:sz w:val="20"/>
          <w:szCs w:val="20"/>
        </w:rPr>
        <w:t xml:space="preserve"> </w:t>
      </w:r>
    </w:p>
    <w:p w14:paraId="1C3CD363" w14:textId="77777777" w:rsidR="00616CCA" w:rsidRDefault="00616CCA" w:rsidP="00D74312">
      <w:pPr>
        <w:spacing w:line="276" w:lineRule="auto"/>
        <w:jc w:val="both"/>
        <w:rPr>
          <w:rFonts w:ascii="Arial" w:hAnsi="Arial" w:cs="Arial"/>
          <w:bCs/>
          <w:sz w:val="20"/>
          <w:szCs w:val="20"/>
        </w:rPr>
      </w:pPr>
    </w:p>
    <w:p w14:paraId="676F0923" w14:textId="22CB1227" w:rsidR="00D74312" w:rsidRDefault="00D74312" w:rsidP="00D74312">
      <w:pPr>
        <w:spacing w:line="276" w:lineRule="auto"/>
        <w:jc w:val="both"/>
        <w:rPr>
          <w:rFonts w:ascii="Arial" w:hAnsi="Arial" w:cs="Arial"/>
          <w:bCs/>
          <w:sz w:val="20"/>
          <w:szCs w:val="20"/>
        </w:rPr>
      </w:pPr>
      <w:r>
        <w:rPr>
          <w:rFonts w:ascii="Arial" w:hAnsi="Arial" w:cs="Arial"/>
          <w:bCs/>
          <w:sz w:val="20"/>
          <w:szCs w:val="20"/>
        </w:rPr>
        <w:t>Th</w:t>
      </w:r>
      <w:r w:rsidR="00616CCA">
        <w:rPr>
          <w:rFonts w:ascii="Arial" w:hAnsi="Arial" w:cs="Arial"/>
          <w:bCs/>
          <w:sz w:val="20"/>
          <w:szCs w:val="20"/>
        </w:rPr>
        <w:t>e</w:t>
      </w:r>
      <w:r>
        <w:rPr>
          <w:rFonts w:ascii="Arial" w:hAnsi="Arial" w:cs="Arial"/>
          <w:bCs/>
          <w:sz w:val="20"/>
          <w:szCs w:val="20"/>
        </w:rPr>
        <w:t xml:space="preserve"> pattern of </w:t>
      </w:r>
      <w:r w:rsidR="00616CCA">
        <w:rPr>
          <w:rFonts w:ascii="Arial" w:hAnsi="Arial" w:cs="Arial"/>
          <w:bCs/>
          <w:sz w:val="20"/>
          <w:szCs w:val="20"/>
        </w:rPr>
        <w:t xml:space="preserve">majority </w:t>
      </w:r>
      <w:r>
        <w:rPr>
          <w:rFonts w:ascii="Arial" w:hAnsi="Arial" w:cs="Arial"/>
          <w:bCs/>
          <w:sz w:val="20"/>
          <w:szCs w:val="20"/>
        </w:rPr>
        <w:t xml:space="preserve">support </w:t>
      </w:r>
      <w:r w:rsidR="00616CCA">
        <w:rPr>
          <w:rFonts w:ascii="Arial" w:hAnsi="Arial" w:cs="Arial"/>
          <w:bCs/>
          <w:sz w:val="20"/>
          <w:szCs w:val="20"/>
        </w:rPr>
        <w:t xml:space="preserve">for Option 1 </w:t>
      </w:r>
      <w:r>
        <w:rPr>
          <w:rFonts w:ascii="Arial" w:hAnsi="Arial" w:cs="Arial"/>
          <w:bCs/>
          <w:sz w:val="20"/>
          <w:szCs w:val="20"/>
        </w:rPr>
        <w:t xml:space="preserve">was also evident </w:t>
      </w:r>
      <w:r w:rsidR="00C514CB">
        <w:rPr>
          <w:rFonts w:ascii="Arial" w:hAnsi="Arial" w:cs="Arial"/>
          <w:bCs/>
          <w:sz w:val="20"/>
          <w:szCs w:val="20"/>
        </w:rPr>
        <w:t xml:space="preserve">in </w:t>
      </w:r>
      <w:r>
        <w:rPr>
          <w:rFonts w:ascii="Arial" w:hAnsi="Arial" w:cs="Arial"/>
          <w:bCs/>
          <w:sz w:val="20"/>
          <w:szCs w:val="20"/>
        </w:rPr>
        <w:t xml:space="preserve">the results of five </w:t>
      </w:r>
      <w:r w:rsidR="00616CCA">
        <w:rPr>
          <w:rFonts w:ascii="Arial" w:hAnsi="Arial" w:cs="Arial"/>
          <w:bCs/>
          <w:sz w:val="20"/>
          <w:szCs w:val="20"/>
        </w:rPr>
        <w:t xml:space="preserve">independently facilitated and documented </w:t>
      </w:r>
      <w:r>
        <w:rPr>
          <w:rFonts w:ascii="Arial" w:hAnsi="Arial" w:cs="Arial"/>
          <w:bCs/>
          <w:sz w:val="20"/>
          <w:szCs w:val="20"/>
        </w:rPr>
        <w:t>Area Community Workshops</w:t>
      </w:r>
      <w:r w:rsidR="00616CCA">
        <w:rPr>
          <w:rFonts w:ascii="Arial" w:hAnsi="Arial" w:cs="Arial"/>
          <w:bCs/>
          <w:sz w:val="20"/>
          <w:szCs w:val="20"/>
        </w:rPr>
        <w:t>,</w:t>
      </w:r>
      <w:r>
        <w:rPr>
          <w:rFonts w:ascii="Arial" w:hAnsi="Arial" w:cs="Arial"/>
          <w:bCs/>
          <w:sz w:val="20"/>
          <w:szCs w:val="20"/>
        </w:rPr>
        <w:t xml:space="preserve"> conducted across the City, with 58% of participants supporting Option 1, 36% </w:t>
      </w:r>
      <w:r w:rsidR="00C832B6">
        <w:rPr>
          <w:rFonts w:ascii="Arial" w:hAnsi="Arial" w:cs="Arial"/>
          <w:bCs/>
          <w:sz w:val="20"/>
          <w:szCs w:val="20"/>
        </w:rPr>
        <w:t>O</w:t>
      </w:r>
      <w:r>
        <w:rPr>
          <w:rFonts w:ascii="Arial" w:hAnsi="Arial" w:cs="Arial"/>
          <w:bCs/>
          <w:sz w:val="20"/>
          <w:szCs w:val="20"/>
        </w:rPr>
        <w:t>ption 2 and 6% Option 3</w:t>
      </w:r>
      <w:r w:rsidR="00901876">
        <w:rPr>
          <w:rFonts w:ascii="Arial" w:hAnsi="Arial" w:cs="Arial"/>
          <w:bCs/>
          <w:sz w:val="20"/>
          <w:szCs w:val="20"/>
        </w:rPr>
        <w:t xml:space="preserve"> (see </w:t>
      </w:r>
      <w:r w:rsidR="00901876" w:rsidRPr="00BD6580">
        <w:rPr>
          <w:rFonts w:ascii="Arial" w:hAnsi="Arial" w:cs="Arial"/>
          <w:b/>
          <w:bCs/>
          <w:sz w:val="20"/>
          <w:szCs w:val="20"/>
        </w:rPr>
        <w:t>Attachment 6c</w:t>
      </w:r>
      <w:r w:rsidR="00901876">
        <w:rPr>
          <w:rFonts w:ascii="Arial" w:hAnsi="Arial" w:cs="Arial"/>
          <w:bCs/>
          <w:sz w:val="20"/>
          <w:szCs w:val="20"/>
        </w:rPr>
        <w:t>)</w:t>
      </w:r>
      <w:r>
        <w:rPr>
          <w:rFonts w:ascii="Arial" w:hAnsi="Arial" w:cs="Arial"/>
          <w:bCs/>
          <w:sz w:val="20"/>
          <w:szCs w:val="20"/>
        </w:rPr>
        <w:t xml:space="preserve">. </w:t>
      </w:r>
    </w:p>
    <w:p w14:paraId="29BE6114" w14:textId="77777777" w:rsidR="00D74312" w:rsidRDefault="00D74312" w:rsidP="00D74312">
      <w:pPr>
        <w:spacing w:line="276" w:lineRule="auto"/>
        <w:jc w:val="both"/>
        <w:rPr>
          <w:rFonts w:ascii="Arial" w:hAnsi="Arial" w:cs="Arial"/>
          <w:bCs/>
          <w:sz w:val="20"/>
          <w:szCs w:val="20"/>
        </w:rPr>
      </w:pPr>
    </w:p>
    <w:p w14:paraId="079EFC2F" w14:textId="2B46BAA6" w:rsidR="00D74312" w:rsidRDefault="00D74312" w:rsidP="00D74312">
      <w:pPr>
        <w:spacing w:line="276" w:lineRule="auto"/>
        <w:jc w:val="both"/>
        <w:rPr>
          <w:rFonts w:ascii="Arial" w:hAnsi="Arial" w:cs="Arial"/>
          <w:bCs/>
          <w:sz w:val="20"/>
          <w:szCs w:val="20"/>
        </w:rPr>
      </w:pPr>
      <w:r>
        <w:rPr>
          <w:rFonts w:ascii="Arial" w:hAnsi="Arial" w:cs="Arial"/>
          <w:bCs/>
          <w:sz w:val="20"/>
          <w:szCs w:val="20"/>
        </w:rPr>
        <w:t xml:space="preserve">An independently conducted survey of 504 </w:t>
      </w:r>
      <w:r w:rsidR="00C832B6">
        <w:rPr>
          <w:rFonts w:ascii="Arial" w:hAnsi="Arial" w:cs="Arial"/>
          <w:bCs/>
          <w:sz w:val="20"/>
          <w:szCs w:val="20"/>
        </w:rPr>
        <w:t xml:space="preserve">randomly selected </w:t>
      </w:r>
      <w:r>
        <w:rPr>
          <w:rFonts w:ascii="Arial" w:hAnsi="Arial" w:cs="Arial"/>
          <w:bCs/>
          <w:sz w:val="20"/>
          <w:szCs w:val="20"/>
        </w:rPr>
        <w:t xml:space="preserve">ratepayers was also implemented. This survey asked respondents who had read an information package on </w:t>
      </w:r>
      <w:r w:rsidRPr="00A83302">
        <w:rPr>
          <w:rFonts w:ascii="Arial" w:hAnsi="Arial" w:cs="Arial"/>
          <w:bCs/>
          <w:i/>
          <w:sz w:val="20"/>
          <w:szCs w:val="20"/>
        </w:rPr>
        <w:t>Resourcing Our Future</w:t>
      </w:r>
      <w:r>
        <w:rPr>
          <w:rFonts w:ascii="Arial" w:hAnsi="Arial" w:cs="Arial"/>
          <w:bCs/>
          <w:sz w:val="20"/>
          <w:szCs w:val="20"/>
        </w:rPr>
        <w:t xml:space="preserve">, how supportive they were </w:t>
      </w:r>
      <w:r w:rsidR="00C832B6">
        <w:rPr>
          <w:rFonts w:ascii="Arial" w:hAnsi="Arial" w:cs="Arial"/>
          <w:bCs/>
          <w:sz w:val="20"/>
          <w:szCs w:val="20"/>
        </w:rPr>
        <w:t xml:space="preserve">firstly </w:t>
      </w:r>
      <w:r>
        <w:rPr>
          <w:rFonts w:ascii="Arial" w:hAnsi="Arial" w:cs="Arial"/>
          <w:bCs/>
          <w:sz w:val="20"/>
          <w:szCs w:val="20"/>
        </w:rPr>
        <w:t xml:space="preserve">of each option individually, and then which of the three options for </w:t>
      </w:r>
      <w:r w:rsidRPr="001065DA">
        <w:rPr>
          <w:rFonts w:ascii="Arial" w:hAnsi="Arial" w:cs="Arial"/>
          <w:bCs/>
          <w:i/>
          <w:sz w:val="20"/>
          <w:szCs w:val="20"/>
        </w:rPr>
        <w:t>Resourcing Our Future</w:t>
      </w:r>
      <w:r>
        <w:rPr>
          <w:rFonts w:ascii="Arial" w:hAnsi="Arial" w:cs="Arial"/>
          <w:bCs/>
          <w:sz w:val="20"/>
          <w:szCs w:val="20"/>
        </w:rPr>
        <w:t xml:space="preserve"> they most supported. </w:t>
      </w:r>
      <w:r w:rsidRPr="00616CCA">
        <w:rPr>
          <w:rFonts w:ascii="Arial" w:hAnsi="Arial" w:cs="Arial"/>
          <w:bCs/>
          <w:sz w:val="20"/>
          <w:szCs w:val="20"/>
        </w:rPr>
        <w:t xml:space="preserve">Close to two thirds or </w:t>
      </w:r>
      <w:r w:rsidRPr="000F1595">
        <w:rPr>
          <w:rFonts w:ascii="Arial" w:hAnsi="Arial" w:cs="Arial"/>
          <w:b/>
          <w:bCs/>
          <w:sz w:val="20"/>
          <w:szCs w:val="20"/>
        </w:rPr>
        <w:t xml:space="preserve">64% indicated they had medium to high support for Option 1 </w:t>
      </w:r>
      <w:r>
        <w:rPr>
          <w:rFonts w:ascii="Arial" w:hAnsi="Arial" w:cs="Arial"/>
          <w:bCs/>
          <w:sz w:val="20"/>
          <w:szCs w:val="20"/>
        </w:rPr>
        <w:t xml:space="preserve">and in terms of which option was most preferred </w:t>
      </w:r>
      <w:r w:rsidR="00C832B6">
        <w:rPr>
          <w:rFonts w:ascii="Arial" w:hAnsi="Arial" w:cs="Arial"/>
          <w:bCs/>
          <w:sz w:val="20"/>
          <w:szCs w:val="20"/>
        </w:rPr>
        <w:t xml:space="preserve">of the three </w:t>
      </w:r>
      <w:r>
        <w:rPr>
          <w:rFonts w:ascii="Arial" w:hAnsi="Arial" w:cs="Arial"/>
          <w:bCs/>
          <w:sz w:val="20"/>
          <w:szCs w:val="20"/>
        </w:rPr>
        <w:t>- 49% supported Option 1, 36% Option 2 and only 15% Option 3</w:t>
      </w:r>
      <w:r w:rsidR="00901876">
        <w:rPr>
          <w:rFonts w:ascii="Arial" w:hAnsi="Arial" w:cs="Arial"/>
          <w:bCs/>
          <w:sz w:val="20"/>
          <w:szCs w:val="20"/>
        </w:rPr>
        <w:t xml:space="preserve"> (see </w:t>
      </w:r>
      <w:r w:rsidR="00901876" w:rsidRPr="00BD6580">
        <w:rPr>
          <w:rFonts w:ascii="Arial" w:hAnsi="Arial" w:cs="Arial"/>
          <w:b/>
          <w:bCs/>
          <w:sz w:val="20"/>
          <w:szCs w:val="20"/>
        </w:rPr>
        <w:t>Attachment 6b</w:t>
      </w:r>
      <w:r w:rsidR="00901876">
        <w:rPr>
          <w:rFonts w:ascii="Arial" w:hAnsi="Arial" w:cs="Arial"/>
          <w:bCs/>
          <w:sz w:val="20"/>
          <w:szCs w:val="20"/>
        </w:rPr>
        <w:t>)</w:t>
      </w:r>
      <w:r>
        <w:rPr>
          <w:rFonts w:ascii="Arial" w:hAnsi="Arial" w:cs="Arial"/>
          <w:bCs/>
          <w:sz w:val="20"/>
          <w:szCs w:val="20"/>
        </w:rPr>
        <w:t xml:space="preserve">.  </w:t>
      </w:r>
    </w:p>
    <w:p w14:paraId="3F4A6F35" w14:textId="77777777" w:rsidR="000F1595" w:rsidRDefault="000F1595" w:rsidP="00D74312">
      <w:pPr>
        <w:spacing w:line="276" w:lineRule="auto"/>
        <w:jc w:val="both"/>
        <w:rPr>
          <w:rFonts w:ascii="Arial" w:hAnsi="Arial" w:cs="Arial"/>
          <w:bCs/>
          <w:sz w:val="20"/>
          <w:szCs w:val="20"/>
        </w:rPr>
      </w:pPr>
    </w:p>
    <w:p w14:paraId="165C121C" w14:textId="01EB1C62" w:rsidR="000F1595" w:rsidRPr="005B5F04" w:rsidRDefault="000F1595" w:rsidP="000F1595">
      <w:pPr>
        <w:spacing w:after="240" w:line="276" w:lineRule="auto"/>
        <w:jc w:val="both"/>
        <w:rPr>
          <w:rFonts w:ascii="Arial" w:hAnsi="Arial" w:cs="Arial"/>
          <w:bCs/>
          <w:sz w:val="20"/>
          <w:szCs w:val="20"/>
        </w:rPr>
      </w:pPr>
      <w:r w:rsidRPr="005B5F04">
        <w:rPr>
          <w:rFonts w:ascii="Arial" w:hAnsi="Arial" w:cs="Arial"/>
          <w:bCs/>
          <w:sz w:val="20"/>
          <w:szCs w:val="20"/>
        </w:rPr>
        <w:t xml:space="preserve">In summary, the community has indicated it wants the Council to address the City’s significant infrastructure funding backlog and reverse the decline in the built assets so overall service levels </w:t>
      </w:r>
      <w:r w:rsidR="00616CCA">
        <w:rPr>
          <w:rFonts w:ascii="Arial" w:hAnsi="Arial" w:cs="Arial"/>
          <w:bCs/>
          <w:sz w:val="20"/>
          <w:szCs w:val="20"/>
        </w:rPr>
        <w:t xml:space="preserve">can </w:t>
      </w:r>
      <w:r w:rsidRPr="005B5F04">
        <w:rPr>
          <w:rFonts w:ascii="Arial" w:hAnsi="Arial" w:cs="Arial"/>
          <w:bCs/>
          <w:sz w:val="20"/>
          <w:szCs w:val="20"/>
        </w:rPr>
        <w:t xml:space="preserve">improve through having less assets in poor condition. </w:t>
      </w:r>
      <w:r w:rsidR="005B5F04">
        <w:rPr>
          <w:rFonts w:ascii="Arial" w:hAnsi="Arial" w:cs="Arial"/>
          <w:bCs/>
          <w:sz w:val="20"/>
          <w:szCs w:val="20"/>
        </w:rPr>
        <w:t xml:space="preserve">Further, the community has indicated support for continuing environmental protection and restoration programs, for improving emergency preparedness and </w:t>
      </w:r>
      <w:r w:rsidR="00616CCA">
        <w:rPr>
          <w:rFonts w:ascii="Arial" w:hAnsi="Arial" w:cs="Arial"/>
          <w:bCs/>
          <w:sz w:val="20"/>
          <w:szCs w:val="20"/>
        </w:rPr>
        <w:t xml:space="preserve">for improving </w:t>
      </w:r>
      <w:r w:rsidR="005B5F04">
        <w:rPr>
          <w:rFonts w:ascii="Arial" w:hAnsi="Arial" w:cs="Arial"/>
          <w:bCs/>
          <w:sz w:val="20"/>
          <w:szCs w:val="20"/>
        </w:rPr>
        <w:t xml:space="preserve">services to the community. </w:t>
      </w:r>
    </w:p>
    <w:p w14:paraId="76EF0732" w14:textId="4AF3F91B" w:rsidR="000F1595" w:rsidRPr="000F1595" w:rsidRDefault="000F1595" w:rsidP="005B5F04">
      <w:pPr>
        <w:spacing w:before="240" w:after="240" w:line="276" w:lineRule="auto"/>
        <w:jc w:val="both"/>
        <w:rPr>
          <w:rFonts w:ascii="Arial" w:hAnsi="Arial" w:cs="Arial"/>
          <w:b/>
          <w:bCs/>
          <w:i/>
          <w:sz w:val="20"/>
          <w:szCs w:val="21"/>
        </w:rPr>
      </w:pPr>
      <w:r w:rsidRPr="000F1595">
        <w:rPr>
          <w:rFonts w:ascii="Arial" w:hAnsi="Arial" w:cs="Arial"/>
          <w:b/>
          <w:bCs/>
          <w:i/>
          <w:sz w:val="20"/>
          <w:szCs w:val="21"/>
        </w:rPr>
        <w:t xml:space="preserve">Community perceptions on Council Performance </w:t>
      </w:r>
    </w:p>
    <w:p w14:paraId="50CA94A1" w14:textId="342E4D25" w:rsidR="00D86C8E" w:rsidRDefault="00D86C8E" w:rsidP="00D86C8E">
      <w:pPr>
        <w:spacing w:line="276" w:lineRule="auto"/>
        <w:jc w:val="both"/>
        <w:rPr>
          <w:rFonts w:ascii="Arial" w:hAnsi="Arial" w:cs="Arial"/>
          <w:bCs/>
          <w:sz w:val="20"/>
          <w:szCs w:val="21"/>
        </w:rPr>
      </w:pPr>
      <w:r>
        <w:rPr>
          <w:rFonts w:ascii="Arial" w:hAnsi="Arial" w:cs="Arial"/>
          <w:bCs/>
          <w:sz w:val="20"/>
          <w:szCs w:val="21"/>
        </w:rPr>
        <w:t>Significantly, w</w:t>
      </w:r>
      <w:r w:rsidR="00D13C8B">
        <w:rPr>
          <w:rFonts w:ascii="Arial" w:hAnsi="Arial" w:cs="Arial"/>
          <w:bCs/>
          <w:sz w:val="20"/>
          <w:szCs w:val="21"/>
        </w:rPr>
        <w:t>hile the Council has been engaging</w:t>
      </w:r>
      <w:r>
        <w:rPr>
          <w:rFonts w:ascii="Arial" w:hAnsi="Arial" w:cs="Arial"/>
          <w:bCs/>
          <w:sz w:val="20"/>
          <w:szCs w:val="21"/>
        </w:rPr>
        <w:t xml:space="preserve"> extensively with the </w:t>
      </w:r>
      <w:r w:rsidR="00D13C8B">
        <w:rPr>
          <w:rFonts w:ascii="Arial" w:hAnsi="Arial" w:cs="Arial"/>
          <w:bCs/>
          <w:sz w:val="20"/>
          <w:szCs w:val="21"/>
        </w:rPr>
        <w:t xml:space="preserve">community </w:t>
      </w:r>
      <w:r>
        <w:rPr>
          <w:rFonts w:ascii="Arial" w:hAnsi="Arial" w:cs="Arial"/>
          <w:bCs/>
          <w:sz w:val="20"/>
          <w:szCs w:val="21"/>
        </w:rPr>
        <w:t xml:space="preserve">over the past four years </w:t>
      </w:r>
      <w:r w:rsidR="00D13C8B">
        <w:rPr>
          <w:rFonts w:ascii="Arial" w:hAnsi="Arial" w:cs="Arial"/>
          <w:bCs/>
          <w:sz w:val="20"/>
          <w:szCs w:val="21"/>
        </w:rPr>
        <w:t xml:space="preserve">on </w:t>
      </w:r>
      <w:r>
        <w:rPr>
          <w:rFonts w:ascii="Arial" w:hAnsi="Arial" w:cs="Arial"/>
          <w:bCs/>
          <w:sz w:val="20"/>
          <w:szCs w:val="21"/>
        </w:rPr>
        <w:t xml:space="preserve">how best we can achieve acceptable and affordable levels of service, </w:t>
      </w:r>
      <w:r w:rsidR="00D13C8B">
        <w:rPr>
          <w:rFonts w:ascii="Arial" w:hAnsi="Arial" w:cs="Arial"/>
          <w:bCs/>
          <w:sz w:val="20"/>
          <w:szCs w:val="21"/>
        </w:rPr>
        <w:t>during the same period</w:t>
      </w:r>
      <w:r w:rsidR="00082866">
        <w:rPr>
          <w:rFonts w:ascii="Arial" w:hAnsi="Arial" w:cs="Arial"/>
          <w:bCs/>
          <w:sz w:val="20"/>
          <w:szCs w:val="21"/>
        </w:rPr>
        <w:t xml:space="preserve"> community satisfaction with </w:t>
      </w:r>
      <w:r>
        <w:rPr>
          <w:rFonts w:ascii="Arial" w:hAnsi="Arial" w:cs="Arial"/>
          <w:bCs/>
          <w:sz w:val="20"/>
          <w:szCs w:val="21"/>
        </w:rPr>
        <w:t xml:space="preserve">the </w:t>
      </w:r>
      <w:r w:rsidR="00082866">
        <w:rPr>
          <w:rFonts w:ascii="Arial" w:hAnsi="Arial" w:cs="Arial"/>
          <w:bCs/>
          <w:sz w:val="20"/>
          <w:szCs w:val="21"/>
        </w:rPr>
        <w:t xml:space="preserve">Council’s overall performance and value for money service delivery has been improving. </w:t>
      </w:r>
      <w:r>
        <w:rPr>
          <w:rFonts w:ascii="Arial" w:hAnsi="Arial" w:cs="Arial"/>
          <w:bCs/>
          <w:sz w:val="20"/>
          <w:szCs w:val="21"/>
        </w:rPr>
        <w:t xml:space="preserve">This is evidenced in </w:t>
      </w:r>
      <w:r w:rsidR="00082866">
        <w:rPr>
          <w:rFonts w:ascii="Arial" w:hAnsi="Arial" w:cs="Arial"/>
          <w:bCs/>
          <w:sz w:val="20"/>
          <w:szCs w:val="21"/>
        </w:rPr>
        <w:t xml:space="preserve">Table 1.1 below </w:t>
      </w:r>
      <w:r>
        <w:rPr>
          <w:rFonts w:ascii="Arial" w:hAnsi="Arial" w:cs="Arial"/>
          <w:bCs/>
          <w:sz w:val="20"/>
          <w:szCs w:val="21"/>
        </w:rPr>
        <w:t xml:space="preserve">which </w:t>
      </w:r>
      <w:r w:rsidR="00082866">
        <w:rPr>
          <w:rFonts w:ascii="Arial" w:hAnsi="Arial" w:cs="Arial"/>
          <w:bCs/>
          <w:sz w:val="20"/>
          <w:szCs w:val="21"/>
        </w:rPr>
        <w:t xml:space="preserve">shows key results </w:t>
      </w:r>
      <w:r>
        <w:rPr>
          <w:rFonts w:ascii="Arial" w:hAnsi="Arial" w:cs="Arial"/>
          <w:bCs/>
          <w:sz w:val="20"/>
          <w:szCs w:val="21"/>
        </w:rPr>
        <w:t xml:space="preserve">over the period 2010-2014 </w:t>
      </w:r>
      <w:r w:rsidR="00082866">
        <w:rPr>
          <w:rFonts w:ascii="Arial" w:hAnsi="Arial" w:cs="Arial"/>
          <w:bCs/>
          <w:sz w:val="20"/>
          <w:szCs w:val="21"/>
        </w:rPr>
        <w:t xml:space="preserve">from the annual </w:t>
      </w:r>
      <w:r w:rsidR="00001D16">
        <w:rPr>
          <w:rFonts w:ascii="Arial" w:hAnsi="Arial" w:cs="Arial"/>
          <w:bCs/>
          <w:sz w:val="20"/>
          <w:szCs w:val="21"/>
        </w:rPr>
        <w:t xml:space="preserve">independently conducted </w:t>
      </w:r>
      <w:r>
        <w:rPr>
          <w:rFonts w:ascii="Arial" w:hAnsi="Arial" w:cs="Arial"/>
          <w:bCs/>
          <w:sz w:val="20"/>
          <w:szCs w:val="21"/>
        </w:rPr>
        <w:t>BMCC Community Survey assessing resident satisfaction with Council performance and service delivery.</w:t>
      </w:r>
      <w:r w:rsidRPr="00D86C8E">
        <w:rPr>
          <w:rFonts w:ascii="Arial" w:hAnsi="Arial" w:cs="Arial"/>
          <w:bCs/>
          <w:sz w:val="20"/>
          <w:szCs w:val="21"/>
        </w:rPr>
        <w:t xml:space="preserve"> </w:t>
      </w:r>
      <w:r>
        <w:rPr>
          <w:rStyle w:val="FootnoteReference"/>
          <w:rFonts w:cs="Arial"/>
          <w:bCs/>
        </w:rPr>
        <w:footnoteReference w:id="3"/>
      </w:r>
      <w:r>
        <w:rPr>
          <w:rFonts w:ascii="Arial" w:hAnsi="Arial" w:cs="Arial"/>
          <w:bCs/>
          <w:sz w:val="20"/>
          <w:szCs w:val="21"/>
        </w:rPr>
        <w:t xml:space="preserve"> </w:t>
      </w:r>
    </w:p>
    <w:p w14:paraId="4EFEE0F9" w14:textId="77777777" w:rsidR="00C514CB" w:rsidRDefault="00C514CB" w:rsidP="00D86C8E">
      <w:pPr>
        <w:spacing w:line="276" w:lineRule="auto"/>
        <w:jc w:val="both"/>
        <w:rPr>
          <w:rFonts w:ascii="Arial" w:hAnsi="Arial" w:cs="Arial"/>
          <w:bCs/>
          <w:sz w:val="20"/>
          <w:szCs w:val="21"/>
        </w:rPr>
      </w:pPr>
    </w:p>
    <w:p w14:paraId="36E6AB69" w14:textId="230987D3" w:rsidR="00CC7D50" w:rsidRPr="003B5CED" w:rsidRDefault="00082866" w:rsidP="00C514CB">
      <w:pPr>
        <w:spacing w:line="276" w:lineRule="auto"/>
        <w:ind w:left="1134" w:hanging="1134"/>
        <w:jc w:val="both"/>
        <w:rPr>
          <w:rFonts w:ascii="Arial" w:hAnsi="Arial" w:cs="Arial"/>
          <w:b/>
          <w:bCs/>
          <w:sz w:val="18"/>
          <w:szCs w:val="18"/>
        </w:rPr>
      </w:pPr>
      <w:r>
        <w:rPr>
          <w:rFonts w:ascii="Arial" w:hAnsi="Arial" w:cs="Arial"/>
          <w:bCs/>
          <w:sz w:val="20"/>
          <w:szCs w:val="21"/>
        </w:rPr>
        <w:t xml:space="preserve"> </w:t>
      </w:r>
      <w:r w:rsidR="00E44C4B" w:rsidRPr="003B5CED">
        <w:rPr>
          <w:rFonts w:ascii="Arial" w:hAnsi="Arial" w:cs="Arial"/>
          <w:b/>
          <w:bCs/>
          <w:sz w:val="18"/>
          <w:szCs w:val="18"/>
        </w:rPr>
        <w:t xml:space="preserve">Table 1.1: </w:t>
      </w:r>
      <w:r w:rsidR="00C514CB" w:rsidRPr="003B5CED">
        <w:rPr>
          <w:rFonts w:ascii="Arial" w:hAnsi="Arial" w:cs="Arial"/>
          <w:b/>
          <w:bCs/>
          <w:sz w:val="18"/>
          <w:szCs w:val="18"/>
        </w:rPr>
        <w:tab/>
      </w:r>
      <w:r w:rsidR="00CC7D50" w:rsidRPr="003B5CED">
        <w:rPr>
          <w:rFonts w:ascii="Arial" w:hAnsi="Arial" w:cs="Arial"/>
          <w:b/>
          <w:bCs/>
          <w:sz w:val="18"/>
          <w:szCs w:val="18"/>
        </w:rPr>
        <w:t>Results of Independently Conducted Annual Community Survey</w:t>
      </w:r>
      <w:r w:rsidR="00CD13BF" w:rsidRPr="003B5CED">
        <w:rPr>
          <w:rFonts w:ascii="Arial" w:hAnsi="Arial" w:cs="Arial"/>
          <w:b/>
          <w:bCs/>
          <w:sz w:val="18"/>
          <w:szCs w:val="18"/>
        </w:rPr>
        <w:t>s</w:t>
      </w:r>
      <w:r w:rsidR="00CC7D50" w:rsidRPr="003B5CED">
        <w:rPr>
          <w:rFonts w:ascii="Arial" w:hAnsi="Arial" w:cs="Arial"/>
          <w:b/>
          <w:bCs/>
          <w:sz w:val="18"/>
          <w:szCs w:val="18"/>
        </w:rPr>
        <w:t xml:space="preserve"> Assessing</w:t>
      </w:r>
      <w:r w:rsidR="00DE532E" w:rsidRPr="003B5CED">
        <w:rPr>
          <w:rFonts w:ascii="Arial" w:hAnsi="Arial" w:cs="Arial"/>
          <w:b/>
          <w:bCs/>
          <w:sz w:val="18"/>
          <w:szCs w:val="18"/>
        </w:rPr>
        <w:t xml:space="preserve"> </w:t>
      </w:r>
      <w:r w:rsidR="00CC7D50" w:rsidRPr="003B5CED">
        <w:rPr>
          <w:rFonts w:ascii="Arial" w:hAnsi="Arial" w:cs="Arial"/>
          <w:b/>
          <w:bCs/>
          <w:sz w:val="18"/>
          <w:szCs w:val="18"/>
        </w:rPr>
        <w:t xml:space="preserve">Resident </w:t>
      </w:r>
      <w:r w:rsidR="00CD13BF" w:rsidRPr="003B5CED">
        <w:rPr>
          <w:rFonts w:ascii="Arial" w:hAnsi="Arial" w:cs="Arial"/>
          <w:b/>
          <w:bCs/>
          <w:sz w:val="18"/>
          <w:szCs w:val="18"/>
        </w:rPr>
        <w:t>S</w:t>
      </w:r>
      <w:r w:rsidR="00CC7D50" w:rsidRPr="003B5CED">
        <w:rPr>
          <w:rFonts w:ascii="Arial" w:hAnsi="Arial" w:cs="Arial"/>
          <w:b/>
          <w:bCs/>
          <w:sz w:val="18"/>
          <w:szCs w:val="18"/>
        </w:rPr>
        <w:t xml:space="preserve">atisfaction with Council Service Delivery </w:t>
      </w:r>
      <w:r w:rsidR="008A7362" w:rsidRPr="003B5CED">
        <w:rPr>
          <w:rFonts w:ascii="Arial" w:hAnsi="Arial" w:cs="Arial"/>
          <w:b/>
          <w:bCs/>
          <w:sz w:val="18"/>
          <w:szCs w:val="18"/>
        </w:rPr>
        <w:t>(</w:t>
      </w:r>
      <w:r w:rsidR="00CC7D50" w:rsidRPr="003B5CED">
        <w:rPr>
          <w:rFonts w:ascii="Arial" w:hAnsi="Arial" w:cs="Arial"/>
          <w:b/>
          <w:bCs/>
          <w:sz w:val="18"/>
          <w:szCs w:val="18"/>
        </w:rPr>
        <w:t>2011 – 2014</w:t>
      </w:r>
      <w:r w:rsidR="008A7362" w:rsidRPr="003B5CED">
        <w:rPr>
          <w:rFonts w:ascii="Arial" w:hAnsi="Arial" w:cs="Arial"/>
          <w:b/>
          <w:bCs/>
          <w:sz w:val="18"/>
          <w:szCs w:val="18"/>
        </w:rPr>
        <w:t>)</w:t>
      </w:r>
    </w:p>
    <w:tbl>
      <w:tblPr>
        <w:tblW w:w="8794" w:type="dxa"/>
        <w:tblInd w:w="103" w:type="dxa"/>
        <w:tblLayout w:type="fixed"/>
        <w:tblCellMar>
          <w:left w:w="0" w:type="dxa"/>
          <w:right w:w="0" w:type="dxa"/>
        </w:tblCellMar>
        <w:tblLook w:val="04A0" w:firstRow="1" w:lastRow="0" w:firstColumn="1" w:lastColumn="0" w:noHBand="0" w:noVBand="1"/>
      </w:tblPr>
      <w:tblGrid>
        <w:gridCol w:w="2440"/>
        <w:gridCol w:w="1109"/>
        <w:gridCol w:w="1134"/>
        <w:gridCol w:w="992"/>
        <w:gridCol w:w="993"/>
        <w:gridCol w:w="992"/>
        <w:gridCol w:w="1134"/>
      </w:tblGrid>
      <w:tr w:rsidR="00195440" w:rsidRPr="003F00FF" w14:paraId="4988060E" w14:textId="77777777" w:rsidTr="00AC33AC">
        <w:trPr>
          <w:trHeight w:val="630"/>
        </w:trPr>
        <w:tc>
          <w:tcPr>
            <w:tcW w:w="2440" w:type="dxa"/>
            <w:tcBorders>
              <w:top w:val="single" w:sz="8" w:space="0" w:color="808080"/>
              <w:left w:val="single" w:sz="8" w:space="0" w:color="808080"/>
              <w:bottom w:val="single" w:sz="8" w:space="0" w:color="808080"/>
              <w:right w:val="single" w:sz="8" w:space="0" w:color="808080"/>
            </w:tcBorders>
            <w:shd w:val="clear" w:color="auto" w:fill="FFFFFF" w:themeFill="background1"/>
            <w:noWrap/>
            <w:tcMar>
              <w:top w:w="0" w:type="dxa"/>
              <w:left w:w="108" w:type="dxa"/>
              <w:bottom w:w="0" w:type="dxa"/>
              <w:right w:w="108" w:type="dxa"/>
            </w:tcMar>
            <w:vAlign w:val="bottom"/>
            <w:hideMark/>
          </w:tcPr>
          <w:p w14:paraId="3B68B716" w14:textId="41AE102D" w:rsidR="00195440" w:rsidRPr="003F00FF" w:rsidRDefault="00195440" w:rsidP="00CC7D50">
            <w:pPr>
              <w:rPr>
                <w:rFonts w:ascii="Calibri" w:eastAsia="Calibri" w:hAnsi="Calibri"/>
                <w:color w:val="000000"/>
                <w:sz w:val="18"/>
                <w:szCs w:val="18"/>
              </w:rPr>
            </w:pPr>
          </w:p>
        </w:tc>
        <w:tc>
          <w:tcPr>
            <w:tcW w:w="5220" w:type="dxa"/>
            <w:gridSpan w:val="5"/>
            <w:tcBorders>
              <w:top w:val="single" w:sz="8" w:space="0" w:color="808080"/>
              <w:left w:val="nil"/>
              <w:bottom w:val="single" w:sz="8" w:space="0" w:color="808080"/>
              <w:right w:val="single" w:sz="8" w:space="0" w:color="808080"/>
            </w:tcBorders>
            <w:shd w:val="clear" w:color="auto" w:fill="FFFFFF" w:themeFill="background1"/>
          </w:tcPr>
          <w:p w14:paraId="3B448BA1" w14:textId="0F9EC8BA" w:rsidR="00195440" w:rsidRPr="003F00FF" w:rsidRDefault="00195440" w:rsidP="00DF2473">
            <w:pPr>
              <w:jc w:val="center"/>
              <w:rPr>
                <w:rFonts w:ascii="Arial" w:eastAsia="Calibri" w:hAnsi="Arial" w:cs="Arial"/>
                <w:b/>
                <w:bCs/>
                <w:color w:val="000000"/>
                <w:sz w:val="18"/>
                <w:szCs w:val="18"/>
              </w:rPr>
            </w:pPr>
            <w:r w:rsidRPr="003F00FF">
              <w:rPr>
                <w:rFonts w:ascii="Arial" w:eastAsia="Calibri" w:hAnsi="Arial" w:cs="Arial"/>
                <w:b/>
                <w:bCs/>
                <w:color w:val="000000"/>
                <w:sz w:val="18"/>
                <w:szCs w:val="18"/>
              </w:rPr>
              <w:t>Mean Performance Ratings</w:t>
            </w:r>
            <w:r w:rsidRPr="003F00FF">
              <w:rPr>
                <w:rFonts w:ascii="Arial" w:eastAsia="Calibri" w:hAnsi="Arial" w:cs="Arial"/>
                <w:b/>
                <w:bCs/>
                <w:color w:val="000000"/>
                <w:sz w:val="18"/>
                <w:szCs w:val="18"/>
              </w:rPr>
              <w:br/>
            </w:r>
            <w:r w:rsidRPr="003F00FF">
              <w:rPr>
                <w:rFonts w:ascii="Arial" w:eastAsia="Calibri" w:hAnsi="Arial" w:cs="Arial"/>
                <w:bCs/>
                <w:color w:val="000000"/>
                <w:sz w:val="18"/>
                <w:szCs w:val="18"/>
              </w:rPr>
              <w:t>(</w:t>
            </w:r>
            <w:r w:rsidR="00DF2473" w:rsidRPr="003F00FF">
              <w:rPr>
                <w:rFonts w:ascii="Arial" w:eastAsia="Calibri" w:hAnsi="Arial" w:cs="Arial"/>
                <w:bCs/>
                <w:color w:val="000000"/>
                <w:sz w:val="18"/>
                <w:szCs w:val="18"/>
              </w:rPr>
              <w:t xml:space="preserve">out of </w:t>
            </w:r>
            <w:r w:rsidRPr="003F00FF">
              <w:rPr>
                <w:rFonts w:ascii="Arial" w:eastAsia="Calibri" w:hAnsi="Arial" w:cs="Arial"/>
                <w:bCs/>
                <w:color w:val="000000"/>
                <w:sz w:val="18"/>
                <w:szCs w:val="18"/>
              </w:rPr>
              <w:t>5</w:t>
            </w:r>
            <w:r w:rsidR="00DF2473" w:rsidRPr="003F00FF">
              <w:rPr>
                <w:rFonts w:ascii="Arial" w:eastAsia="Calibri" w:hAnsi="Arial" w:cs="Arial"/>
                <w:bCs/>
                <w:color w:val="000000"/>
                <w:sz w:val="18"/>
                <w:szCs w:val="18"/>
              </w:rPr>
              <w:t xml:space="preserve"> where 1 is very dissatisfied and 5 is very satisfied)</w:t>
            </w:r>
          </w:p>
        </w:tc>
        <w:tc>
          <w:tcPr>
            <w:tcW w:w="1134" w:type="dxa"/>
            <w:tcBorders>
              <w:top w:val="single" w:sz="8" w:space="0" w:color="808080"/>
              <w:left w:val="nil"/>
              <w:bottom w:val="single" w:sz="8" w:space="0" w:color="808080"/>
              <w:right w:val="single" w:sz="8" w:space="0" w:color="808080"/>
            </w:tcBorders>
            <w:shd w:val="clear" w:color="auto" w:fill="FFFFFF" w:themeFill="background1"/>
            <w:noWrap/>
            <w:tcMar>
              <w:top w:w="0" w:type="dxa"/>
              <w:left w:w="108" w:type="dxa"/>
              <w:bottom w:w="0" w:type="dxa"/>
              <w:right w:w="108" w:type="dxa"/>
            </w:tcMar>
            <w:vAlign w:val="center"/>
            <w:hideMark/>
          </w:tcPr>
          <w:p w14:paraId="4FAD61A6" w14:textId="007B209E" w:rsidR="00195440" w:rsidRPr="003F00FF" w:rsidRDefault="00195440" w:rsidP="00CC7D50">
            <w:pPr>
              <w:jc w:val="center"/>
              <w:rPr>
                <w:rFonts w:ascii="Calibri" w:eastAsia="Calibri" w:hAnsi="Calibri"/>
                <w:b/>
                <w:bCs/>
                <w:color w:val="000000"/>
                <w:sz w:val="18"/>
                <w:szCs w:val="18"/>
              </w:rPr>
            </w:pPr>
          </w:p>
        </w:tc>
      </w:tr>
      <w:tr w:rsidR="00195440" w:rsidRPr="003F00FF" w14:paraId="12D8C23A" w14:textId="77777777" w:rsidTr="00AC33AC">
        <w:trPr>
          <w:trHeight w:val="600"/>
        </w:trPr>
        <w:tc>
          <w:tcPr>
            <w:tcW w:w="2440" w:type="dxa"/>
            <w:tcBorders>
              <w:top w:val="nil"/>
              <w:left w:val="single" w:sz="8" w:space="0" w:color="808080"/>
              <w:bottom w:val="single" w:sz="8" w:space="0" w:color="808080"/>
              <w:right w:val="single" w:sz="8" w:space="0" w:color="808080"/>
            </w:tcBorders>
            <w:noWrap/>
            <w:tcMar>
              <w:top w:w="0" w:type="dxa"/>
              <w:left w:w="108" w:type="dxa"/>
              <w:bottom w:w="0" w:type="dxa"/>
              <w:right w:w="108" w:type="dxa"/>
            </w:tcMar>
            <w:vAlign w:val="center"/>
            <w:hideMark/>
          </w:tcPr>
          <w:p w14:paraId="3EF80136" w14:textId="77777777" w:rsidR="00D9748A" w:rsidRPr="003F00FF" w:rsidRDefault="00D9748A" w:rsidP="00D9748A">
            <w:pPr>
              <w:rPr>
                <w:rFonts w:ascii="Arial" w:eastAsia="Calibri" w:hAnsi="Arial" w:cs="Arial"/>
                <w:b/>
                <w:bCs/>
                <w:color w:val="000000"/>
                <w:sz w:val="18"/>
                <w:szCs w:val="18"/>
              </w:rPr>
            </w:pPr>
            <w:r w:rsidRPr="003F00FF">
              <w:rPr>
                <w:rFonts w:ascii="Arial" w:eastAsia="Calibri" w:hAnsi="Arial" w:cs="Arial"/>
                <w:b/>
                <w:bCs/>
                <w:color w:val="000000"/>
                <w:sz w:val="18"/>
                <w:szCs w:val="18"/>
              </w:rPr>
              <w:t xml:space="preserve">Key Performance </w:t>
            </w:r>
          </w:p>
          <w:p w14:paraId="025D1E62" w14:textId="4B53386D" w:rsidR="00195440" w:rsidRPr="003F00FF" w:rsidRDefault="00D9748A" w:rsidP="00D9748A">
            <w:pPr>
              <w:jc w:val="both"/>
              <w:rPr>
                <w:rFonts w:ascii="Arial" w:eastAsia="Calibri" w:hAnsi="Arial" w:cs="Arial"/>
                <w:b/>
                <w:bCs/>
                <w:color w:val="000000"/>
                <w:sz w:val="18"/>
                <w:szCs w:val="18"/>
              </w:rPr>
            </w:pPr>
            <w:r w:rsidRPr="003F00FF">
              <w:rPr>
                <w:rFonts w:ascii="Arial" w:eastAsia="Calibri" w:hAnsi="Arial" w:cs="Arial"/>
                <w:b/>
                <w:bCs/>
                <w:color w:val="000000"/>
                <w:sz w:val="18"/>
                <w:szCs w:val="18"/>
              </w:rPr>
              <w:t>Area Assessed</w:t>
            </w:r>
          </w:p>
        </w:tc>
        <w:tc>
          <w:tcPr>
            <w:tcW w:w="1109" w:type="dxa"/>
            <w:tcBorders>
              <w:top w:val="nil"/>
              <w:left w:val="nil"/>
              <w:bottom w:val="single" w:sz="8" w:space="0" w:color="808080"/>
              <w:right w:val="single" w:sz="8" w:space="0" w:color="808080"/>
            </w:tcBorders>
            <w:vAlign w:val="center"/>
          </w:tcPr>
          <w:p w14:paraId="34985244" w14:textId="77777777" w:rsidR="00195440" w:rsidRPr="003F00FF" w:rsidRDefault="00195440" w:rsidP="00195440">
            <w:pPr>
              <w:jc w:val="center"/>
              <w:rPr>
                <w:rFonts w:ascii="Arial" w:eastAsia="Calibri" w:hAnsi="Arial" w:cs="Arial"/>
                <w:b/>
                <w:bCs/>
                <w:color w:val="000000"/>
                <w:sz w:val="18"/>
                <w:szCs w:val="18"/>
              </w:rPr>
            </w:pPr>
            <w:r w:rsidRPr="003F00FF">
              <w:rPr>
                <w:rFonts w:ascii="Arial" w:eastAsia="Calibri" w:hAnsi="Arial" w:cs="Arial"/>
                <w:b/>
                <w:bCs/>
                <w:color w:val="000000"/>
                <w:sz w:val="18"/>
                <w:szCs w:val="18"/>
              </w:rPr>
              <w:t>2010</w:t>
            </w:r>
          </w:p>
          <w:p w14:paraId="1D47A8B6" w14:textId="62A9BE4E" w:rsidR="00195440" w:rsidRPr="003F00FF" w:rsidRDefault="00B92495" w:rsidP="00B92495">
            <w:pPr>
              <w:jc w:val="center"/>
              <w:rPr>
                <w:rFonts w:ascii="Arial" w:eastAsia="Calibri" w:hAnsi="Arial" w:cs="Arial"/>
                <w:b/>
                <w:bCs/>
                <w:color w:val="000000"/>
                <w:sz w:val="18"/>
                <w:szCs w:val="18"/>
              </w:rPr>
            </w:pPr>
            <w:r w:rsidRPr="003F00FF">
              <w:rPr>
                <w:rFonts w:ascii="Arial" w:eastAsia="Calibri" w:hAnsi="Arial" w:cs="Arial"/>
                <w:b/>
                <w:bCs/>
                <w:color w:val="000000"/>
                <w:sz w:val="18"/>
                <w:szCs w:val="18"/>
              </w:rPr>
              <w:t>N</w:t>
            </w:r>
            <w:r w:rsidR="00195440" w:rsidRPr="003F00FF">
              <w:rPr>
                <w:rFonts w:ascii="Arial" w:eastAsia="Calibri" w:hAnsi="Arial" w:cs="Arial"/>
                <w:b/>
                <w:bCs/>
                <w:color w:val="000000"/>
                <w:sz w:val="18"/>
                <w:szCs w:val="18"/>
              </w:rPr>
              <w:t>= 1008</w:t>
            </w:r>
          </w:p>
        </w:tc>
        <w:tc>
          <w:tcPr>
            <w:tcW w:w="1134" w:type="dxa"/>
            <w:tcBorders>
              <w:top w:val="nil"/>
              <w:left w:val="single" w:sz="8" w:space="0" w:color="808080"/>
              <w:bottom w:val="single" w:sz="8" w:space="0" w:color="808080"/>
              <w:right w:val="single" w:sz="8" w:space="0" w:color="808080"/>
            </w:tcBorders>
            <w:noWrap/>
            <w:tcMar>
              <w:top w:w="0" w:type="dxa"/>
              <w:left w:w="108" w:type="dxa"/>
              <w:bottom w:w="0" w:type="dxa"/>
              <w:right w:w="108" w:type="dxa"/>
            </w:tcMar>
            <w:vAlign w:val="center"/>
            <w:hideMark/>
          </w:tcPr>
          <w:p w14:paraId="1BB94FB6" w14:textId="29076F5A" w:rsidR="00195440" w:rsidRPr="003F00FF" w:rsidRDefault="00195440" w:rsidP="00CC7D50">
            <w:pPr>
              <w:jc w:val="center"/>
              <w:rPr>
                <w:rFonts w:ascii="Arial" w:eastAsia="Calibri" w:hAnsi="Arial" w:cs="Arial"/>
                <w:b/>
                <w:bCs/>
                <w:color w:val="000000"/>
                <w:sz w:val="18"/>
                <w:szCs w:val="18"/>
              </w:rPr>
            </w:pPr>
            <w:r w:rsidRPr="003F00FF">
              <w:rPr>
                <w:rFonts w:ascii="Arial" w:eastAsia="Calibri" w:hAnsi="Arial" w:cs="Arial"/>
                <w:b/>
                <w:bCs/>
                <w:color w:val="000000"/>
                <w:sz w:val="18"/>
                <w:szCs w:val="18"/>
              </w:rPr>
              <w:t>2011</w:t>
            </w:r>
          </w:p>
          <w:p w14:paraId="49633A2B" w14:textId="26360FC8" w:rsidR="00195440" w:rsidRPr="003F00FF" w:rsidRDefault="00B92495" w:rsidP="00B92495">
            <w:pPr>
              <w:jc w:val="center"/>
              <w:rPr>
                <w:rFonts w:ascii="Arial" w:eastAsia="Calibri" w:hAnsi="Arial" w:cs="Arial"/>
                <w:b/>
                <w:bCs/>
                <w:color w:val="000000"/>
                <w:sz w:val="18"/>
                <w:szCs w:val="18"/>
              </w:rPr>
            </w:pPr>
            <w:r w:rsidRPr="003F00FF">
              <w:rPr>
                <w:rFonts w:ascii="Arial" w:eastAsia="Calibri" w:hAnsi="Arial" w:cs="Arial"/>
                <w:b/>
                <w:bCs/>
                <w:color w:val="000000"/>
                <w:sz w:val="18"/>
                <w:szCs w:val="18"/>
              </w:rPr>
              <w:t>N</w:t>
            </w:r>
            <w:r w:rsidR="00195440" w:rsidRPr="003F00FF">
              <w:rPr>
                <w:rFonts w:ascii="Arial" w:eastAsia="Calibri" w:hAnsi="Arial" w:cs="Arial"/>
                <w:b/>
                <w:bCs/>
                <w:color w:val="000000"/>
                <w:sz w:val="18"/>
                <w:szCs w:val="18"/>
              </w:rPr>
              <w:t>= 502</w:t>
            </w:r>
          </w:p>
        </w:tc>
        <w:tc>
          <w:tcPr>
            <w:tcW w:w="992"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14:paraId="247B0A88" w14:textId="77777777" w:rsidR="00195440" w:rsidRPr="003F00FF" w:rsidRDefault="00195440" w:rsidP="00CC7D50">
            <w:pPr>
              <w:jc w:val="center"/>
              <w:rPr>
                <w:rFonts w:ascii="Arial" w:eastAsia="Calibri" w:hAnsi="Arial" w:cs="Arial"/>
                <w:b/>
                <w:bCs/>
                <w:color w:val="000000"/>
                <w:sz w:val="18"/>
                <w:szCs w:val="18"/>
              </w:rPr>
            </w:pPr>
            <w:r w:rsidRPr="003F00FF">
              <w:rPr>
                <w:rFonts w:ascii="Arial" w:eastAsia="Calibri" w:hAnsi="Arial" w:cs="Arial"/>
                <w:b/>
                <w:bCs/>
                <w:color w:val="000000"/>
                <w:sz w:val="18"/>
                <w:szCs w:val="18"/>
              </w:rPr>
              <w:t>2012</w:t>
            </w:r>
          </w:p>
          <w:p w14:paraId="7EBB4FAC" w14:textId="6EE9101C" w:rsidR="00195440" w:rsidRPr="003F00FF" w:rsidRDefault="00B92495" w:rsidP="00B92495">
            <w:pPr>
              <w:jc w:val="center"/>
              <w:rPr>
                <w:rFonts w:ascii="Arial" w:eastAsia="Calibri" w:hAnsi="Arial" w:cs="Arial"/>
                <w:b/>
                <w:bCs/>
                <w:color w:val="000000"/>
                <w:sz w:val="18"/>
                <w:szCs w:val="18"/>
              </w:rPr>
            </w:pPr>
            <w:r w:rsidRPr="003F00FF">
              <w:rPr>
                <w:rFonts w:ascii="Arial" w:eastAsia="Calibri" w:hAnsi="Arial" w:cs="Arial"/>
                <w:b/>
                <w:bCs/>
                <w:color w:val="000000"/>
                <w:sz w:val="18"/>
                <w:szCs w:val="18"/>
              </w:rPr>
              <w:t>N</w:t>
            </w:r>
            <w:r w:rsidR="00195440" w:rsidRPr="003F00FF">
              <w:rPr>
                <w:rFonts w:ascii="Arial" w:eastAsia="Calibri" w:hAnsi="Arial" w:cs="Arial"/>
                <w:b/>
                <w:bCs/>
                <w:color w:val="000000"/>
                <w:sz w:val="18"/>
                <w:szCs w:val="18"/>
              </w:rPr>
              <w:t xml:space="preserve"> =1030 </w:t>
            </w:r>
          </w:p>
        </w:tc>
        <w:tc>
          <w:tcPr>
            <w:tcW w:w="993"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14:paraId="50334D41" w14:textId="77777777" w:rsidR="00195440" w:rsidRPr="003F00FF" w:rsidRDefault="00195440" w:rsidP="00CC7D50">
            <w:pPr>
              <w:jc w:val="center"/>
              <w:rPr>
                <w:rFonts w:ascii="Arial" w:eastAsia="Calibri" w:hAnsi="Arial" w:cs="Arial"/>
                <w:b/>
                <w:bCs/>
                <w:color w:val="000000"/>
                <w:sz w:val="18"/>
                <w:szCs w:val="18"/>
              </w:rPr>
            </w:pPr>
            <w:r w:rsidRPr="003F00FF">
              <w:rPr>
                <w:rFonts w:ascii="Arial" w:eastAsia="Calibri" w:hAnsi="Arial" w:cs="Arial"/>
                <w:b/>
                <w:bCs/>
                <w:color w:val="000000"/>
                <w:sz w:val="18"/>
                <w:szCs w:val="18"/>
              </w:rPr>
              <w:t>2013</w:t>
            </w:r>
          </w:p>
          <w:p w14:paraId="72EC7856" w14:textId="10160DB3" w:rsidR="00195440" w:rsidRPr="003F00FF" w:rsidRDefault="00B92495" w:rsidP="00B92495">
            <w:pPr>
              <w:jc w:val="center"/>
              <w:rPr>
                <w:rFonts w:ascii="Arial" w:eastAsia="Calibri" w:hAnsi="Arial" w:cs="Arial"/>
                <w:b/>
                <w:bCs/>
                <w:color w:val="000000"/>
                <w:sz w:val="18"/>
                <w:szCs w:val="18"/>
              </w:rPr>
            </w:pPr>
            <w:r w:rsidRPr="003F00FF">
              <w:rPr>
                <w:rFonts w:ascii="Arial" w:eastAsia="Calibri" w:hAnsi="Arial" w:cs="Arial"/>
                <w:b/>
                <w:bCs/>
                <w:color w:val="000000"/>
                <w:sz w:val="18"/>
                <w:szCs w:val="18"/>
              </w:rPr>
              <w:t>N</w:t>
            </w:r>
            <w:r w:rsidR="00195440" w:rsidRPr="003F00FF">
              <w:rPr>
                <w:rFonts w:ascii="Arial" w:eastAsia="Calibri" w:hAnsi="Arial" w:cs="Arial"/>
                <w:b/>
                <w:bCs/>
                <w:color w:val="000000"/>
                <w:sz w:val="18"/>
                <w:szCs w:val="18"/>
              </w:rPr>
              <w:t>= 504</w:t>
            </w:r>
          </w:p>
        </w:tc>
        <w:tc>
          <w:tcPr>
            <w:tcW w:w="992"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14:paraId="1B139ED4" w14:textId="77777777" w:rsidR="00195440" w:rsidRPr="003F00FF" w:rsidRDefault="00195440" w:rsidP="00CC7D50">
            <w:pPr>
              <w:jc w:val="center"/>
              <w:rPr>
                <w:rFonts w:ascii="Arial" w:eastAsia="Calibri" w:hAnsi="Arial" w:cs="Arial"/>
                <w:b/>
                <w:bCs/>
                <w:color w:val="000000"/>
                <w:sz w:val="18"/>
                <w:szCs w:val="18"/>
              </w:rPr>
            </w:pPr>
            <w:r w:rsidRPr="003F00FF">
              <w:rPr>
                <w:rFonts w:ascii="Arial" w:eastAsia="Calibri" w:hAnsi="Arial" w:cs="Arial"/>
                <w:b/>
                <w:bCs/>
                <w:color w:val="000000"/>
                <w:sz w:val="18"/>
                <w:szCs w:val="18"/>
              </w:rPr>
              <w:t>2014</w:t>
            </w:r>
          </w:p>
          <w:p w14:paraId="74D16902" w14:textId="722C4AD3" w:rsidR="00195440" w:rsidRPr="003F00FF" w:rsidRDefault="00B92495" w:rsidP="00B92495">
            <w:pPr>
              <w:jc w:val="center"/>
              <w:rPr>
                <w:rFonts w:ascii="Arial" w:eastAsia="Calibri" w:hAnsi="Arial" w:cs="Arial"/>
                <w:b/>
                <w:bCs/>
                <w:color w:val="000000"/>
                <w:sz w:val="18"/>
                <w:szCs w:val="18"/>
              </w:rPr>
            </w:pPr>
            <w:r w:rsidRPr="003F00FF">
              <w:rPr>
                <w:rFonts w:ascii="Arial" w:eastAsia="Calibri" w:hAnsi="Arial" w:cs="Arial"/>
                <w:b/>
                <w:bCs/>
                <w:color w:val="000000"/>
                <w:sz w:val="18"/>
                <w:szCs w:val="18"/>
              </w:rPr>
              <w:t>N</w:t>
            </w:r>
            <w:r w:rsidR="00195440" w:rsidRPr="003F00FF">
              <w:rPr>
                <w:rFonts w:ascii="Arial" w:eastAsia="Calibri" w:hAnsi="Arial" w:cs="Arial"/>
                <w:b/>
                <w:bCs/>
                <w:color w:val="000000"/>
                <w:sz w:val="18"/>
                <w:szCs w:val="18"/>
              </w:rPr>
              <w:t>= 505</w:t>
            </w:r>
          </w:p>
        </w:tc>
        <w:tc>
          <w:tcPr>
            <w:tcW w:w="1134"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0B675FA" w14:textId="0E9EEB73" w:rsidR="00195440" w:rsidRPr="003F00FF" w:rsidRDefault="00D9748A" w:rsidP="00CC7D50">
            <w:pPr>
              <w:jc w:val="center"/>
              <w:rPr>
                <w:rFonts w:ascii="Arial" w:eastAsia="Calibri" w:hAnsi="Arial" w:cs="Arial"/>
                <w:b/>
                <w:bCs/>
                <w:color w:val="000000"/>
                <w:sz w:val="18"/>
                <w:szCs w:val="18"/>
              </w:rPr>
            </w:pPr>
            <w:r w:rsidRPr="003F00FF">
              <w:rPr>
                <w:rFonts w:ascii="Calibri" w:eastAsia="Calibri" w:hAnsi="Calibri"/>
                <w:b/>
                <w:bCs/>
                <w:color w:val="000000"/>
                <w:sz w:val="18"/>
                <w:szCs w:val="18"/>
              </w:rPr>
              <w:t> </w:t>
            </w:r>
            <w:r w:rsidRPr="003F00FF">
              <w:rPr>
                <w:rFonts w:ascii="Arial" w:eastAsia="Calibri" w:hAnsi="Arial" w:cs="Arial"/>
                <w:b/>
                <w:bCs/>
                <w:color w:val="000000"/>
                <w:sz w:val="18"/>
                <w:szCs w:val="18"/>
              </w:rPr>
              <w:t>Change</w:t>
            </w:r>
            <w:r w:rsidRPr="003F00FF">
              <w:rPr>
                <w:rFonts w:ascii="Arial" w:eastAsia="Calibri" w:hAnsi="Arial" w:cs="Arial"/>
                <w:b/>
                <w:bCs/>
                <w:color w:val="000000"/>
                <w:sz w:val="18"/>
                <w:szCs w:val="18"/>
              </w:rPr>
              <w:br/>
            </w:r>
            <w:r w:rsidRPr="003F00FF">
              <w:rPr>
                <w:rFonts w:ascii="Arial" w:eastAsia="Calibri" w:hAnsi="Arial" w:cs="Arial"/>
                <w:bCs/>
                <w:color w:val="000000"/>
                <w:sz w:val="18"/>
                <w:szCs w:val="18"/>
              </w:rPr>
              <w:t>2013-2014</w:t>
            </w:r>
          </w:p>
        </w:tc>
      </w:tr>
      <w:tr w:rsidR="00195440" w:rsidRPr="003F00FF" w14:paraId="4D4F611C" w14:textId="77777777" w:rsidTr="00AC33AC">
        <w:trPr>
          <w:trHeight w:val="600"/>
        </w:trPr>
        <w:tc>
          <w:tcPr>
            <w:tcW w:w="2440"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209FECB6" w14:textId="77777777" w:rsidR="00195440" w:rsidRPr="003F00FF" w:rsidRDefault="00195440" w:rsidP="00DE532E">
            <w:pPr>
              <w:rPr>
                <w:rFonts w:ascii="Arial" w:eastAsia="Calibri" w:hAnsi="Arial" w:cs="Arial"/>
                <w:color w:val="000000"/>
                <w:sz w:val="18"/>
                <w:szCs w:val="18"/>
              </w:rPr>
            </w:pPr>
            <w:r w:rsidRPr="003F00FF">
              <w:rPr>
                <w:rFonts w:ascii="Arial" w:eastAsia="Calibri" w:hAnsi="Arial" w:cs="Arial"/>
                <w:color w:val="000000"/>
                <w:sz w:val="18"/>
                <w:szCs w:val="18"/>
              </w:rPr>
              <w:t xml:space="preserve">Overall satisfaction with </w:t>
            </w:r>
            <w:r w:rsidRPr="003F00FF">
              <w:rPr>
                <w:rFonts w:ascii="Arial" w:eastAsia="Calibri" w:hAnsi="Arial" w:cs="Arial"/>
                <w:color w:val="000000"/>
                <w:sz w:val="18"/>
                <w:szCs w:val="18"/>
              </w:rPr>
              <w:br/>
            </w:r>
            <w:r w:rsidRPr="003F00FF">
              <w:rPr>
                <w:rFonts w:ascii="Arial" w:eastAsia="Calibri" w:hAnsi="Arial" w:cs="Arial"/>
                <w:bCs/>
                <w:color w:val="000000"/>
                <w:sz w:val="18"/>
                <w:szCs w:val="18"/>
              </w:rPr>
              <w:t>Council</w:t>
            </w:r>
            <w:r w:rsidRPr="003F00FF">
              <w:rPr>
                <w:rFonts w:ascii="Arial" w:eastAsia="Calibri" w:hAnsi="Arial" w:cs="Arial"/>
                <w:color w:val="000000"/>
                <w:sz w:val="18"/>
                <w:szCs w:val="18"/>
              </w:rPr>
              <w:t xml:space="preserve"> performance</w:t>
            </w:r>
          </w:p>
        </w:tc>
        <w:tc>
          <w:tcPr>
            <w:tcW w:w="1109" w:type="dxa"/>
            <w:tcBorders>
              <w:top w:val="single" w:sz="8" w:space="0" w:color="808080"/>
              <w:left w:val="nil"/>
              <w:bottom w:val="single" w:sz="8" w:space="0" w:color="808080"/>
              <w:right w:val="single" w:sz="8" w:space="0" w:color="808080"/>
            </w:tcBorders>
            <w:vAlign w:val="center"/>
          </w:tcPr>
          <w:p w14:paraId="287341A5" w14:textId="0F90A335" w:rsidR="00195440" w:rsidRPr="003F00FF" w:rsidRDefault="00F44101" w:rsidP="00195440">
            <w:pPr>
              <w:jc w:val="center"/>
              <w:rPr>
                <w:rFonts w:ascii="Arial" w:eastAsia="Calibri" w:hAnsi="Arial" w:cs="Arial"/>
                <w:sz w:val="18"/>
                <w:szCs w:val="18"/>
              </w:rPr>
            </w:pPr>
            <w:r w:rsidRPr="003F00FF">
              <w:rPr>
                <w:rFonts w:ascii="Arial" w:eastAsia="Calibri" w:hAnsi="Arial" w:cs="Arial"/>
                <w:sz w:val="18"/>
                <w:szCs w:val="18"/>
              </w:rPr>
              <w:t>3.23</w:t>
            </w:r>
          </w:p>
        </w:tc>
        <w:tc>
          <w:tcPr>
            <w:tcW w:w="1134" w:type="dxa"/>
            <w:tcBorders>
              <w:top w:val="nil"/>
              <w:left w:val="single" w:sz="8" w:space="0" w:color="808080"/>
              <w:bottom w:val="single" w:sz="8" w:space="0" w:color="808080"/>
              <w:right w:val="single" w:sz="8" w:space="0" w:color="808080"/>
            </w:tcBorders>
            <w:noWrap/>
            <w:tcMar>
              <w:top w:w="0" w:type="dxa"/>
              <w:left w:w="108" w:type="dxa"/>
              <w:bottom w:w="0" w:type="dxa"/>
              <w:right w:w="108" w:type="dxa"/>
            </w:tcMar>
            <w:vAlign w:val="center"/>
            <w:hideMark/>
          </w:tcPr>
          <w:p w14:paraId="3248BA17" w14:textId="61201FDD" w:rsidR="00195440" w:rsidRPr="003F00FF" w:rsidRDefault="00195440" w:rsidP="00CC7D50">
            <w:pPr>
              <w:jc w:val="center"/>
              <w:rPr>
                <w:rFonts w:ascii="Arial" w:eastAsia="Calibri" w:hAnsi="Arial" w:cs="Arial"/>
                <w:sz w:val="18"/>
                <w:szCs w:val="18"/>
              </w:rPr>
            </w:pPr>
            <w:r w:rsidRPr="003F00FF">
              <w:rPr>
                <w:rFonts w:ascii="Arial" w:eastAsia="Calibri" w:hAnsi="Arial" w:cs="Arial"/>
                <w:sz w:val="18"/>
                <w:szCs w:val="18"/>
              </w:rPr>
              <w:t>3.21</w:t>
            </w:r>
          </w:p>
        </w:tc>
        <w:tc>
          <w:tcPr>
            <w:tcW w:w="992"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14:paraId="2B17D222" w14:textId="77777777" w:rsidR="00195440" w:rsidRPr="003F00FF" w:rsidRDefault="00195440" w:rsidP="00CC7D50">
            <w:pPr>
              <w:jc w:val="center"/>
              <w:rPr>
                <w:rFonts w:ascii="Arial" w:eastAsia="Calibri" w:hAnsi="Arial" w:cs="Arial"/>
                <w:sz w:val="18"/>
                <w:szCs w:val="18"/>
              </w:rPr>
            </w:pPr>
            <w:r w:rsidRPr="003F00FF">
              <w:rPr>
                <w:rFonts w:ascii="Arial" w:eastAsia="Calibri" w:hAnsi="Arial" w:cs="Arial"/>
                <w:sz w:val="18"/>
                <w:szCs w:val="18"/>
              </w:rPr>
              <w:t>3.43</w:t>
            </w:r>
          </w:p>
        </w:tc>
        <w:tc>
          <w:tcPr>
            <w:tcW w:w="993"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14:paraId="4BE52AA8" w14:textId="77777777" w:rsidR="00195440" w:rsidRPr="003F00FF" w:rsidRDefault="00195440" w:rsidP="00CC7D50">
            <w:pPr>
              <w:jc w:val="center"/>
              <w:rPr>
                <w:rFonts w:ascii="Arial" w:eastAsia="Calibri" w:hAnsi="Arial" w:cs="Arial"/>
                <w:sz w:val="18"/>
                <w:szCs w:val="18"/>
              </w:rPr>
            </w:pPr>
            <w:r w:rsidRPr="003F00FF">
              <w:rPr>
                <w:rFonts w:ascii="Arial" w:eastAsia="Calibri" w:hAnsi="Arial" w:cs="Arial"/>
                <w:sz w:val="18"/>
                <w:szCs w:val="18"/>
              </w:rPr>
              <w:t>3.42</w:t>
            </w:r>
          </w:p>
        </w:tc>
        <w:tc>
          <w:tcPr>
            <w:tcW w:w="992"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14:paraId="31A253BC" w14:textId="77777777" w:rsidR="00195440" w:rsidRPr="003F00FF" w:rsidRDefault="00195440" w:rsidP="00CC7D50">
            <w:pPr>
              <w:jc w:val="center"/>
              <w:rPr>
                <w:rFonts w:ascii="Arial" w:eastAsia="Calibri" w:hAnsi="Arial" w:cs="Arial"/>
                <w:sz w:val="18"/>
                <w:szCs w:val="18"/>
              </w:rPr>
            </w:pPr>
            <w:r w:rsidRPr="003F00FF">
              <w:rPr>
                <w:rFonts w:ascii="Arial" w:eastAsia="Calibri" w:hAnsi="Arial" w:cs="Arial"/>
                <w:sz w:val="18"/>
                <w:szCs w:val="18"/>
              </w:rPr>
              <w:t>3.60</w:t>
            </w:r>
          </w:p>
        </w:tc>
        <w:tc>
          <w:tcPr>
            <w:tcW w:w="1134"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14:paraId="3B7331EF" w14:textId="77777777" w:rsidR="00195440" w:rsidRPr="003F00FF" w:rsidRDefault="00195440" w:rsidP="00CC7D50">
            <w:pPr>
              <w:jc w:val="center"/>
              <w:rPr>
                <w:rFonts w:ascii="Calibri" w:eastAsia="Calibri" w:hAnsi="Calibri"/>
                <w:color w:val="000000"/>
                <w:sz w:val="18"/>
                <w:szCs w:val="18"/>
              </w:rPr>
            </w:pPr>
            <w:r w:rsidRPr="003F00FF">
              <w:rPr>
                <w:rFonts w:ascii="Calibri" w:eastAsia="Calibri" w:hAnsi="Calibri"/>
                <w:noProof/>
                <w:sz w:val="18"/>
                <w:szCs w:val="18"/>
              </w:rPr>
              <w:drawing>
                <wp:anchor distT="0" distB="0" distL="114300" distR="114300" simplePos="0" relativeHeight="251807744" behindDoc="0" locked="0" layoutInCell="1" allowOverlap="1" wp14:anchorId="6DF3C09D" wp14:editId="3B314417">
                  <wp:simplePos x="0" y="0"/>
                  <wp:positionH relativeFrom="column">
                    <wp:posOffset>152400</wp:posOffset>
                  </wp:positionH>
                  <wp:positionV relativeFrom="paragraph">
                    <wp:posOffset>9525</wp:posOffset>
                  </wp:positionV>
                  <wp:extent cx="257175" cy="333375"/>
                  <wp:effectExtent l="0" t="0" r="9525" b="9525"/>
                  <wp:wrapNone/>
                  <wp:docPr id="10"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57175" cy="333375"/>
                          </a:xfrm>
                          <a:prstGeom prst="rect">
                            <a:avLst/>
                          </a:prstGeom>
                          <a:noFill/>
                        </pic:spPr>
                      </pic:pic>
                    </a:graphicData>
                  </a:graphic>
                  <wp14:sizeRelH relativeFrom="page">
                    <wp14:pctWidth>0</wp14:pctWidth>
                  </wp14:sizeRelH>
                  <wp14:sizeRelV relativeFrom="page">
                    <wp14:pctHeight>0</wp14:pctHeight>
                  </wp14:sizeRelV>
                </wp:anchor>
              </w:drawing>
            </w:r>
          </w:p>
        </w:tc>
      </w:tr>
      <w:tr w:rsidR="00195440" w:rsidRPr="003F00FF" w14:paraId="04F42280" w14:textId="77777777" w:rsidTr="00AC33AC">
        <w:trPr>
          <w:trHeight w:val="600"/>
        </w:trPr>
        <w:tc>
          <w:tcPr>
            <w:tcW w:w="2440"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794D4D5B" w14:textId="77777777" w:rsidR="00195440" w:rsidRPr="003F00FF" w:rsidRDefault="00195440" w:rsidP="00DE532E">
            <w:pPr>
              <w:rPr>
                <w:rFonts w:ascii="Arial" w:eastAsia="Calibri" w:hAnsi="Arial" w:cs="Arial"/>
                <w:color w:val="000000"/>
                <w:sz w:val="18"/>
                <w:szCs w:val="18"/>
              </w:rPr>
            </w:pPr>
            <w:r w:rsidRPr="003F00FF">
              <w:rPr>
                <w:rFonts w:ascii="Arial" w:eastAsia="Calibri" w:hAnsi="Arial" w:cs="Arial"/>
                <w:color w:val="000000"/>
                <w:sz w:val="18"/>
                <w:szCs w:val="18"/>
              </w:rPr>
              <w:t xml:space="preserve">Overall satisfaction with </w:t>
            </w:r>
            <w:r w:rsidRPr="003F00FF">
              <w:rPr>
                <w:rFonts w:ascii="Arial" w:eastAsia="Calibri" w:hAnsi="Arial" w:cs="Arial"/>
                <w:color w:val="000000"/>
                <w:sz w:val="18"/>
                <w:szCs w:val="18"/>
              </w:rPr>
              <w:br/>
            </w:r>
            <w:r w:rsidRPr="003F00FF">
              <w:rPr>
                <w:rFonts w:ascii="Arial" w:eastAsia="Calibri" w:hAnsi="Arial" w:cs="Arial"/>
                <w:bCs/>
                <w:color w:val="000000"/>
                <w:sz w:val="18"/>
                <w:szCs w:val="18"/>
              </w:rPr>
              <w:t>Councillor</w:t>
            </w:r>
            <w:r w:rsidRPr="003F00FF">
              <w:rPr>
                <w:rFonts w:ascii="Arial" w:eastAsia="Calibri" w:hAnsi="Arial" w:cs="Arial"/>
                <w:color w:val="000000"/>
                <w:sz w:val="18"/>
                <w:szCs w:val="18"/>
              </w:rPr>
              <w:t xml:space="preserve"> performance</w:t>
            </w:r>
          </w:p>
        </w:tc>
        <w:tc>
          <w:tcPr>
            <w:tcW w:w="1109" w:type="dxa"/>
            <w:tcBorders>
              <w:top w:val="single" w:sz="8" w:space="0" w:color="808080"/>
              <w:left w:val="nil"/>
              <w:bottom w:val="single" w:sz="8" w:space="0" w:color="808080"/>
              <w:right w:val="single" w:sz="8" w:space="0" w:color="808080"/>
            </w:tcBorders>
            <w:vAlign w:val="center"/>
          </w:tcPr>
          <w:p w14:paraId="61C2957C" w14:textId="3AD1EA1E" w:rsidR="00195440" w:rsidRPr="003F00FF" w:rsidRDefault="00F44101" w:rsidP="00195440">
            <w:pPr>
              <w:jc w:val="center"/>
              <w:rPr>
                <w:rFonts w:ascii="Arial" w:eastAsia="Calibri" w:hAnsi="Arial" w:cs="Arial"/>
                <w:sz w:val="18"/>
                <w:szCs w:val="18"/>
              </w:rPr>
            </w:pPr>
            <w:r w:rsidRPr="003F00FF">
              <w:rPr>
                <w:rFonts w:ascii="Arial" w:eastAsia="Calibri" w:hAnsi="Arial" w:cs="Arial"/>
                <w:sz w:val="18"/>
                <w:szCs w:val="18"/>
              </w:rPr>
              <w:t>2.88</w:t>
            </w:r>
          </w:p>
        </w:tc>
        <w:tc>
          <w:tcPr>
            <w:tcW w:w="1134" w:type="dxa"/>
            <w:tcBorders>
              <w:top w:val="nil"/>
              <w:left w:val="single" w:sz="8" w:space="0" w:color="808080"/>
              <w:bottom w:val="single" w:sz="8" w:space="0" w:color="808080"/>
              <w:right w:val="single" w:sz="8" w:space="0" w:color="808080"/>
            </w:tcBorders>
            <w:noWrap/>
            <w:tcMar>
              <w:top w:w="0" w:type="dxa"/>
              <w:left w:w="108" w:type="dxa"/>
              <w:bottom w:w="0" w:type="dxa"/>
              <w:right w:w="108" w:type="dxa"/>
            </w:tcMar>
            <w:vAlign w:val="center"/>
            <w:hideMark/>
          </w:tcPr>
          <w:p w14:paraId="259D8243" w14:textId="68AA210B" w:rsidR="00195440" w:rsidRPr="003F00FF" w:rsidRDefault="00195440" w:rsidP="00CC7D50">
            <w:pPr>
              <w:jc w:val="center"/>
              <w:rPr>
                <w:rFonts w:ascii="Arial" w:eastAsia="Calibri" w:hAnsi="Arial" w:cs="Arial"/>
                <w:sz w:val="18"/>
                <w:szCs w:val="18"/>
              </w:rPr>
            </w:pPr>
            <w:r w:rsidRPr="003F00FF">
              <w:rPr>
                <w:rFonts w:ascii="Arial" w:eastAsia="Calibri" w:hAnsi="Arial" w:cs="Arial"/>
                <w:sz w:val="18"/>
                <w:szCs w:val="18"/>
              </w:rPr>
              <w:t>3.34</w:t>
            </w:r>
          </w:p>
        </w:tc>
        <w:tc>
          <w:tcPr>
            <w:tcW w:w="992"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14:paraId="269B14E4" w14:textId="77777777" w:rsidR="00195440" w:rsidRPr="003F00FF" w:rsidRDefault="00195440" w:rsidP="00CC7D50">
            <w:pPr>
              <w:jc w:val="center"/>
              <w:rPr>
                <w:rFonts w:ascii="Arial" w:eastAsia="Calibri" w:hAnsi="Arial" w:cs="Arial"/>
                <w:sz w:val="18"/>
                <w:szCs w:val="18"/>
              </w:rPr>
            </w:pPr>
            <w:r w:rsidRPr="003F00FF">
              <w:rPr>
                <w:rFonts w:ascii="Arial" w:eastAsia="Calibri" w:hAnsi="Arial" w:cs="Arial"/>
                <w:sz w:val="18"/>
                <w:szCs w:val="18"/>
              </w:rPr>
              <w:t>3.09</w:t>
            </w:r>
          </w:p>
        </w:tc>
        <w:tc>
          <w:tcPr>
            <w:tcW w:w="993"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14:paraId="267D2C6C" w14:textId="77777777" w:rsidR="00195440" w:rsidRPr="003F00FF" w:rsidRDefault="00195440" w:rsidP="00CC7D50">
            <w:pPr>
              <w:jc w:val="center"/>
              <w:rPr>
                <w:rFonts w:ascii="Arial" w:eastAsia="Calibri" w:hAnsi="Arial" w:cs="Arial"/>
                <w:sz w:val="18"/>
                <w:szCs w:val="18"/>
              </w:rPr>
            </w:pPr>
            <w:r w:rsidRPr="003F00FF">
              <w:rPr>
                <w:rFonts w:ascii="Arial" w:eastAsia="Calibri" w:hAnsi="Arial" w:cs="Arial"/>
                <w:sz w:val="18"/>
                <w:szCs w:val="18"/>
              </w:rPr>
              <w:t>3.23</w:t>
            </w:r>
          </w:p>
        </w:tc>
        <w:tc>
          <w:tcPr>
            <w:tcW w:w="992"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14:paraId="2B1DEA8D" w14:textId="77777777" w:rsidR="00195440" w:rsidRPr="003F00FF" w:rsidRDefault="00195440" w:rsidP="00CC7D50">
            <w:pPr>
              <w:jc w:val="center"/>
              <w:rPr>
                <w:rFonts w:ascii="Arial" w:eastAsia="Calibri" w:hAnsi="Arial" w:cs="Arial"/>
                <w:sz w:val="18"/>
                <w:szCs w:val="18"/>
              </w:rPr>
            </w:pPr>
            <w:r w:rsidRPr="003F00FF">
              <w:rPr>
                <w:rFonts w:ascii="Arial" w:eastAsia="Calibri" w:hAnsi="Arial" w:cs="Arial"/>
                <w:sz w:val="18"/>
                <w:szCs w:val="18"/>
              </w:rPr>
              <w:t>3.45</w:t>
            </w:r>
          </w:p>
        </w:tc>
        <w:tc>
          <w:tcPr>
            <w:tcW w:w="1134"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14:paraId="35BBE95B" w14:textId="77777777" w:rsidR="00195440" w:rsidRPr="003F00FF" w:rsidRDefault="00195440" w:rsidP="00CC7D50">
            <w:pPr>
              <w:jc w:val="center"/>
              <w:rPr>
                <w:rFonts w:ascii="Calibri" w:eastAsia="Calibri" w:hAnsi="Calibri"/>
                <w:color w:val="000000"/>
                <w:sz w:val="18"/>
                <w:szCs w:val="18"/>
              </w:rPr>
            </w:pPr>
            <w:r w:rsidRPr="003F00FF">
              <w:rPr>
                <w:rFonts w:ascii="Calibri" w:eastAsia="Calibri" w:hAnsi="Calibri"/>
                <w:noProof/>
                <w:sz w:val="18"/>
                <w:szCs w:val="18"/>
              </w:rPr>
              <w:drawing>
                <wp:anchor distT="0" distB="0" distL="114300" distR="114300" simplePos="0" relativeHeight="251808768" behindDoc="0" locked="0" layoutInCell="1" allowOverlap="1" wp14:anchorId="6C0E0656" wp14:editId="7116053A">
                  <wp:simplePos x="0" y="0"/>
                  <wp:positionH relativeFrom="column">
                    <wp:posOffset>152400</wp:posOffset>
                  </wp:positionH>
                  <wp:positionV relativeFrom="paragraph">
                    <wp:posOffset>9525</wp:posOffset>
                  </wp:positionV>
                  <wp:extent cx="257175" cy="333375"/>
                  <wp:effectExtent l="0" t="0" r="9525" b="9525"/>
                  <wp:wrapNone/>
                  <wp:docPr id="1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57175" cy="333375"/>
                          </a:xfrm>
                          <a:prstGeom prst="rect">
                            <a:avLst/>
                          </a:prstGeom>
                          <a:noFill/>
                        </pic:spPr>
                      </pic:pic>
                    </a:graphicData>
                  </a:graphic>
                  <wp14:sizeRelH relativeFrom="page">
                    <wp14:pctWidth>0</wp14:pctWidth>
                  </wp14:sizeRelH>
                  <wp14:sizeRelV relativeFrom="page">
                    <wp14:pctHeight>0</wp14:pctHeight>
                  </wp14:sizeRelV>
                </wp:anchor>
              </w:drawing>
            </w:r>
          </w:p>
        </w:tc>
      </w:tr>
      <w:tr w:rsidR="00195440" w:rsidRPr="003F00FF" w14:paraId="2830C08D" w14:textId="77777777" w:rsidTr="00AC33AC">
        <w:trPr>
          <w:trHeight w:val="600"/>
        </w:trPr>
        <w:tc>
          <w:tcPr>
            <w:tcW w:w="2440"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24DC4532" w14:textId="77777777" w:rsidR="00195440" w:rsidRPr="003F00FF" w:rsidRDefault="00195440" w:rsidP="00DE532E">
            <w:pPr>
              <w:rPr>
                <w:rFonts w:ascii="Arial" w:eastAsia="Calibri" w:hAnsi="Arial" w:cs="Arial"/>
                <w:color w:val="000000"/>
                <w:sz w:val="18"/>
                <w:szCs w:val="18"/>
              </w:rPr>
            </w:pPr>
            <w:r w:rsidRPr="003F00FF">
              <w:rPr>
                <w:rFonts w:ascii="Arial" w:eastAsia="Calibri" w:hAnsi="Arial" w:cs="Arial"/>
                <w:color w:val="000000"/>
                <w:sz w:val="18"/>
                <w:szCs w:val="18"/>
              </w:rPr>
              <w:t xml:space="preserve">Overall satisfaction with </w:t>
            </w:r>
            <w:r w:rsidRPr="003F00FF">
              <w:rPr>
                <w:rFonts w:ascii="Arial" w:eastAsia="Calibri" w:hAnsi="Arial" w:cs="Arial"/>
                <w:color w:val="000000"/>
                <w:sz w:val="18"/>
                <w:szCs w:val="18"/>
              </w:rPr>
              <w:br/>
            </w:r>
            <w:r w:rsidRPr="003F00FF">
              <w:rPr>
                <w:rFonts w:ascii="Arial" w:eastAsia="Calibri" w:hAnsi="Arial" w:cs="Arial"/>
                <w:bCs/>
                <w:color w:val="000000"/>
                <w:sz w:val="18"/>
                <w:szCs w:val="18"/>
              </w:rPr>
              <w:t>Staff</w:t>
            </w:r>
            <w:r w:rsidRPr="003F00FF">
              <w:rPr>
                <w:rFonts w:ascii="Arial" w:eastAsia="Calibri" w:hAnsi="Arial" w:cs="Arial"/>
                <w:color w:val="000000"/>
                <w:sz w:val="18"/>
                <w:szCs w:val="18"/>
              </w:rPr>
              <w:t xml:space="preserve"> performance</w:t>
            </w:r>
          </w:p>
        </w:tc>
        <w:tc>
          <w:tcPr>
            <w:tcW w:w="1109" w:type="dxa"/>
            <w:tcBorders>
              <w:top w:val="single" w:sz="8" w:space="0" w:color="808080"/>
              <w:left w:val="nil"/>
              <w:bottom w:val="single" w:sz="8" w:space="0" w:color="808080"/>
              <w:right w:val="single" w:sz="8" w:space="0" w:color="808080"/>
            </w:tcBorders>
            <w:vAlign w:val="center"/>
          </w:tcPr>
          <w:p w14:paraId="37DAA4ED" w14:textId="220F4DC7" w:rsidR="00195440" w:rsidRPr="003F00FF" w:rsidRDefault="00F44101" w:rsidP="00195440">
            <w:pPr>
              <w:jc w:val="center"/>
              <w:rPr>
                <w:rFonts w:ascii="Arial" w:eastAsia="Calibri" w:hAnsi="Arial" w:cs="Arial"/>
                <w:sz w:val="18"/>
                <w:szCs w:val="18"/>
              </w:rPr>
            </w:pPr>
            <w:r w:rsidRPr="003F00FF">
              <w:rPr>
                <w:rFonts w:ascii="Arial" w:eastAsia="Calibri" w:hAnsi="Arial" w:cs="Arial"/>
                <w:sz w:val="18"/>
                <w:szCs w:val="18"/>
              </w:rPr>
              <w:t>3.81</w:t>
            </w:r>
          </w:p>
        </w:tc>
        <w:tc>
          <w:tcPr>
            <w:tcW w:w="1134" w:type="dxa"/>
            <w:tcBorders>
              <w:top w:val="nil"/>
              <w:left w:val="single" w:sz="8" w:space="0" w:color="808080"/>
              <w:bottom w:val="single" w:sz="8" w:space="0" w:color="808080"/>
              <w:right w:val="single" w:sz="8" w:space="0" w:color="808080"/>
            </w:tcBorders>
            <w:noWrap/>
            <w:tcMar>
              <w:top w:w="0" w:type="dxa"/>
              <w:left w:w="108" w:type="dxa"/>
              <w:bottom w:w="0" w:type="dxa"/>
              <w:right w:w="108" w:type="dxa"/>
            </w:tcMar>
            <w:vAlign w:val="center"/>
            <w:hideMark/>
          </w:tcPr>
          <w:p w14:paraId="31574796" w14:textId="00EDA4DF" w:rsidR="00195440" w:rsidRPr="003F00FF" w:rsidRDefault="00195440" w:rsidP="00CC7D50">
            <w:pPr>
              <w:jc w:val="center"/>
              <w:rPr>
                <w:rFonts w:ascii="Arial" w:eastAsia="Calibri" w:hAnsi="Arial" w:cs="Arial"/>
                <w:sz w:val="18"/>
                <w:szCs w:val="18"/>
              </w:rPr>
            </w:pPr>
            <w:r w:rsidRPr="003F00FF">
              <w:rPr>
                <w:rFonts w:ascii="Arial" w:eastAsia="Calibri" w:hAnsi="Arial" w:cs="Arial"/>
                <w:sz w:val="18"/>
                <w:szCs w:val="18"/>
              </w:rPr>
              <w:t>3.93</w:t>
            </w:r>
          </w:p>
        </w:tc>
        <w:tc>
          <w:tcPr>
            <w:tcW w:w="992"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14:paraId="7C6216B6" w14:textId="77777777" w:rsidR="00195440" w:rsidRPr="003F00FF" w:rsidRDefault="00195440" w:rsidP="00CC7D50">
            <w:pPr>
              <w:jc w:val="center"/>
              <w:rPr>
                <w:rFonts w:ascii="Arial" w:eastAsia="Calibri" w:hAnsi="Arial" w:cs="Arial"/>
                <w:sz w:val="18"/>
                <w:szCs w:val="18"/>
              </w:rPr>
            </w:pPr>
            <w:r w:rsidRPr="003F00FF">
              <w:rPr>
                <w:rFonts w:ascii="Arial" w:eastAsia="Calibri" w:hAnsi="Arial" w:cs="Arial"/>
                <w:sz w:val="18"/>
                <w:szCs w:val="18"/>
              </w:rPr>
              <w:t>3.87</w:t>
            </w:r>
          </w:p>
        </w:tc>
        <w:tc>
          <w:tcPr>
            <w:tcW w:w="993"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14:paraId="5A0E406C" w14:textId="77777777" w:rsidR="00195440" w:rsidRPr="003F00FF" w:rsidRDefault="00195440" w:rsidP="00CC7D50">
            <w:pPr>
              <w:jc w:val="center"/>
              <w:rPr>
                <w:rFonts w:ascii="Arial" w:eastAsia="Calibri" w:hAnsi="Arial" w:cs="Arial"/>
                <w:sz w:val="18"/>
                <w:szCs w:val="18"/>
              </w:rPr>
            </w:pPr>
            <w:r w:rsidRPr="003F00FF">
              <w:rPr>
                <w:rFonts w:ascii="Arial" w:eastAsia="Calibri" w:hAnsi="Arial" w:cs="Arial"/>
                <w:sz w:val="18"/>
                <w:szCs w:val="18"/>
              </w:rPr>
              <w:t>3.89</w:t>
            </w:r>
          </w:p>
        </w:tc>
        <w:tc>
          <w:tcPr>
            <w:tcW w:w="992"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14:paraId="6FCA5642" w14:textId="77777777" w:rsidR="00195440" w:rsidRPr="003F00FF" w:rsidRDefault="00195440" w:rsidP="00CC7D50">
            <w:pPr>
              <w:jc w:val="center"/>
              <w:rPr>
                <w:rFonts w:ascii="Arial" w:eastAsia="Calibri" w:hAnsi="Arial" w:cs="Arial"/>
                <w:sz w:val="18"/>
                <w:szCs w:val="18"/>
              </w:rPr>
            </w:pPr>
            <w:r w:rsidRPr="003F00FF">
              <w:rPr>
                <w:rFonts w:ascii="Arial" w:eastAsia="Calibri" w:hAnsi="Arial" w:cs="Arial"/>
                <w:sz w:val="18"/>
                <w:szCs w:val="18"/>
              </w:rPr>
              <w:t>3.91</w:t>
            </w:r>
          </w:p>
        </w:tc>
        <w:tc>
          <w:tcPr>
            <w:tcW w:w="1134"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14:paraId="405C18D0" w14:textId="77777777" w:rsidR="00195440" w:rsidRPr="003F00FF" w:rsidRDefault="00195440" w:rsidP="00CC7D50">
            <w:pPr>
              <w:jc w:val="center"/>
              <w:rPr>
                <w:rFonts w:ascii="Calibri" w:eastAsia="Calibri" w:hAnsi="Calibri"/>
                <w:color w:val="000000"/>
                <w:sz w:val="18"/>
                <w:szCs w:val="18"/>
              </w:rPr>
            </w:pPr>
            <w:r w:rsidRPr="003F00FF">
              <w:rPr>
                <w:rFonts w:ascii="Calibri" w:eastAsia="Calibri" w:hAnsi="Calibri"/>
                <w:noProof/>
                <w:sz w:val="18"/>
                <w:szCs w:val="18"/>
              </w:rPr>
              <w:drawing>
                <wp:anchor distT="0" distB="0" distL="114300" distR="114300" simplePos="0" relativeHeight="251809792" behindDoc="0" locked="0" layoutInCell="1" allowOverlap="1" wp14:anchorId="74D3892A" wp14:editId="7241FD47">
                  <wp:simplePos x="0" y="0"/>
                  <wp:positionH relativeFrom="column">
                    <wp:posOffset>155575</wp:posOffset>
                  </wp:positionH>
                  <wp:positionV relativeFrom="paragraph">
                    <wp:posOffset>-22860</wp:posOffset>
                  </wp:positionV>
                  <wp:extent cx="257175" cy="333375"/>
                  <wp:effectExtent l="0" t="0" r="9525" b="9525"/>
                  <wp:wrapNone/>
                  <wp:docPr id="1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57175" cy="333375"/>
                          </a:xfrm>
                          <a:prstGeom prst="rect">
                            <a:avLst/>
                          </a:prstGeom>
                          <a:noFill/>
                        </pic:spPr>
                      </pic:pic>
                    </a:graphicData>
                  </a:graphic>
                  <wp14:sizeRelH relativeFrom="page">
                    <wp14:pctWidth>0</wp14:pctWidth>
                  </wp14:sizeRelH>
                  <wp14:sizeRelV relativeFrom="page">
                    <wp14:pctHeight>0</wp14:pctHeight>
                  </wp14:sizeRelV>
                </wp:anchor>
              </w:drawing>
            </w:r>
          </w:p>
        </w:tc>
      </w:tr>
      <w:tr w:rsidR="00195440" w:rsidRPr="003F00FF" w14:paraId="3A15B5FF" w14:textId="77777777" w:rsidTr="00AC33AC">
        <w:trPr>
          <w:trHeight w:val="600"/>
        </w:trPr>
        <w:tc>
          <w:tcPr>
            <w:tcW w:w="2440" w:type="dxa"/>
            <w:tcBorders>
              <w:top w:val="nil"/>
              <w:left w:val="single" w:sz="8" w:space="0" w:color="808080"/>
              <w:bottom w:val="single" w:sz="8" w:space="0" w:color="808080"/>
              <w:right w:val="single" w:sz="8" w:space="0" w:color="808080"/>
            </w:tcBorders>
            <w:noWrap/>
            <w:tcMar>
              <w:top w:w="0" w:type="dxa"/>
              <w:left w:w="108" w:type="dxa"/>
              <w:bottom w:w="0" w:type="dxa"/>
              <w:right w:w="108" w:type="dxa"/>
            </w:tcMar>
            <w:vAlign w:val="center"/>
            <w:hideMark/>
          </w:tcPr>
          <w:p w14:paraId="7157A4A8" w14:textId="78EAD48F" w:rsidR="00195440" w:rsidRPr="003F00FF" w:rsidRDefault="00195440" w:rsidP="00DE532E">
            <w:pPr>
              <w:rPr>
                <w:rFonts w:ascii="Arial" w:eastAsia="Calibri" w:hAnsi="Arial" w:cs="Arial"/>
                <w:color w:val="000000"/>
                <w:sz w:val="18"/>
                <w:szCs w:val="18"/>
              </w:rPr>
            </w:pPr>
            <w:r w:rsidRPr="003F00FF">
              <w:rPr>
                <w:rFonts w:ascii="Arial" w:eastAsia="Calibri" w:hAnsi="Arial" w:cs="Arial"/>
                <w:bCs/>
                <w:color w:val="000000"/>
                <w:sz w:val="18"/>
                <w:szCs w:val="18"/>
              </w:rPr>
              <w:t>Value</w:t>
            </w:r>
            <w:r w:rsidRPr="003F00FF">
              <w:rPr>
                <w:rFonts w:ascii="Arial" w:eastAsia="Calibri" w:hAnsi="Arial" w:cs="Arial"/>
                <w:color w:val="000000"/>
                <w:sz w:val="18"/>
                <w:szCs w:val="18"/>
              </w:rPr>
              <w:t xml:space="preserve"> for money for rates </w:t>
            </w:r>
          </w:p>
        </w:tc>
        <w:tc>
          <w:tcPr>
            <w:tcW w:w="1109" w:type="dxa"/>
            <w:tcBorders>
              <w:top w:val="single" w:sz="8" w:space="0" w:color="808080"/>
              <w:left w:val="nil"/>
              <w:bottom w:val="single" w:sz="8" w:space="0" w:color="808080"/>
              <w:right w:val="single" w:sz="8" w:space="0" w:color="808080"/>
            </w:tcBorders>
            <w:vAlign w:val="center"/>
          </w:tcPr>
          <w:p w14:paraId="4ACB2746" w14:textId="40278CB5" w:rsidR="00195440" w:rsidRPr="003F00FF" w:rsidRDefault="00F44101" w:rsidP="00195440">
            <w:pPr>
              <w:jc w:val="center"/>
              <w:rPr>
                <w:rFonts w:ascii="Arial" w:eastAsia="Calibri" w:hAnsi="Arial" w:cs="Arial"/>
                <w:color w:val="000000"/>
                <w:sz w:val="18"/>
                <w:szCs w:val="18"/>
              </w:rPr>
            </w:pPr>
            <w:r w:rsidRPr="003F00FF">
              <w:rPr>
                <w:rFonts w:ascii="Arial" w:eastAsia="Calibri" w:hAnsi="Arial" w:cs="Arial"/>
                <w:color w:val="000000"/>
                <w:sz w:val="18"/>
                <w:szCs w:val="18"/>
              </w:rPr>
              <w:t>3.34</w:t>
            </w:r>
          </w:p>
        </w:tc>
        <w:tc>
          <w:tcPr>
            <w:tcW w:w="1134" w:type="dxa"/>
            <w:tcBorders>
              <w:top w:val="nil"/>
              <w:left w:val="single" w:sz="8" w:space="0" w:color="808080"/>
              <w:bottom w:val="single" w:sz="8" w:space="0" w:color="808080"/>
              <w:right w:val="single" w:sz="8" w:space="0" w:color="808080"/>
            </w:tcBorders>
            <w:noWrap/>
            <w:tcMar>
              <w:top w:w="0" w:type="dxa"/>
              <w:left w:w="108" w:type="dxa"/>
              <w:bottom w:w="0" w:type="dxa"/>
              <w:right w:w="108" w:type="dxa"/>
            </w:tcMar>
            <w:vAlign w:val="center"/>
            <w:hideMark/>
          </w:tcPr>
          <w:p w14:paraId="4A54AD27" w14:textId="59F5EE7D" w:rsidR="00195440" w:rsidRPr="003F00FF" w:rsidRDefault="00195440" w:rsidP="00CC7D50">
            <w:pPr>
              <w:jc w:val="center"/>
              <w:rPr>
                <w:rFonts w:ascii="Arial" w:eastAsia="Calibri" w:hAnsi="Arial" w:cs="Arial"/>
                <w:color w:val="000000"/>
                <w:sz w:val="18"/>
                <w:szCs w:val="18"/>
              </w:rPr>
            </w:pPr>
            <w:r w:rsidRPr="003F00FF">
              <w:rPr>
                <w:rFonts w:ascii="Arial" w:eastAsia="Calibri" w:hAnsi="Arial" w:cs="Arial"/>
                <w:color w:val="000000"/>
                <w:sz w:val="18"/>
                <w:szCs w:val="18"/>
              </w:rPr>
              <w:t>3.03</w:t>
            </w:r>
          </w:p>
        </w:tc>
        <w:tc>
          <w:tcPr>
            <w:tcW w:w="992"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14:paraId="2D838F34" w14:textId="77777777" w:rsidR="00195440" w:rsidRPr="003F00FF" w:rsidRDefault="00195440" w:rsidP="00CC7D50">
            <w:pPr>
              <w:jc w:val="center"/>
              <w:rPr>
                <w:rFonts w:ascii="Arial" w:eastAsia="Calibri" w:hAnsi="Arial" w:cs="Arial"/>
                <w:color w:val="000000"/>
                <w:sz w:val="18"/>
                <w:szCs w:val="18"/>
              </w:rPr>
            </w:pPr>
            <w:r w:rsidRPr="003F00FF">
              <w:rPr>
                <w:rFonts w:ascii="Arial" w:eastAsia="Calibri" w:hAnsi="Arial" w:cs="Arial"/>
                <w:color w:val="000000"/>
                <w:sz w:val="18"/>
                <w:szCs w:val="18"/>
              </w:rPr>
              <w:t>3.26</w:t>
            </w:r>
          </w:p>
        </w:tc>
        <w:tc>
          <w:tcPr>
            <w:tcW w:w="993"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14:paraId="2B199628" w14:textId="77777777" w:rsidR="00195440" w:rsidRPr="003F00FF" w:rsidRDefault="00195440" w:rsidP="00CC7D50">
            <w:pPr>
              <w:jc w:val="center"/>
              <w:rPr>
                <w:rFonts w:ascii="Arial" w:eastAsia="Calibri" w:hAnsi="Arial" w:cs="Arial"/>
                <w:color w:val="000000"/>
                <w:sz w:val="18"/>
                <w:szCs w:val="18"/>
              </w:rPr>
            </w:pPr>
            <w:r w:rsidRPr="003F00FF">
              <w:rPr>
                <w:rFonts w:ascii="Arial" w:eastAsia="Calibri" w:hAnsi="Arial" w:cs="Arial"/>
                <w:color w:val="000000"/>
                <w:sz w:val="18"/>
                <w:szCs w:val="18"/>
              </w:rPr>
              <w:t>3.27</w:t>
            </w:r>
          </w:p>
        </w:tc>
        <w:tc>
          <w:tcPr>
            <w:tcW w:w="992"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14:paraId="0FA25553" w14:textId="77777777" w:rsidR="00195440" w:rsidRPr="003F00FF" w:rsidRDefault="00195440" w:rsidP="00CC7D50">
            <w:pPr>
              <w:jc w:val="center"/>
              <w:rPr>
                <w:rFonts w:ascii="Arial" w:eastAsia="Calibri" w:hAnsi="Arial" w:cs="Arial"/>
                <w:color w:val="000000"/>
                <w:sz w:val="18"/>
                <w:szCs w:val="18"/>
              </w:rPr>
            </w:pPr>
            <w:r w:rsidRPr="003F00FF">
              <w:rPr>
                <w:rFonts w:ascii="Arial" w:eastAsia="Calibri" w:hAnsi="Arial" w:cs="Arial"/>
                <w:color w:val="000000"/>
                <w:sz w:val="18"/>
                <w:szCs w:val="18"/>
              </w:rPr>
              <w:t>3.47</w:t>
            </w:r>
          </w:p>
        </w:tc>
        <w:tc>
          <w:tcPr>
            <w:tcW w:w="1134"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14:paraId="61B00DFE" w14:textId="77777777" w:rsidR="00195440" w:rsidRPr="003F00FF" w:rsidRDefault="00195440" w:rsidP="00CC7D50">
            <w:pPr>
              <w:jc w:val="center"/>
              <w:rPr>
                <w:rFonts w:ascii="Calibri" w:eastAsia="Calibri" w:hAnsi="Calibri"/>
                <w:color w:val="000000"/>
                <w:sz w:val="18"/>
                <w:szCs w:val="18"/>
              </w:rPr>
            </w:pPr>
            <w:r w:rsidRPr="003F00FF">
              <w:rPr>
                <w:rFonts w:ascii="Calibri" w:eastAsia="Calibri" w:hAnsi="Calibri"/>
                <w:noProof/>
                <w:sz w:val="18"/>
                <w:szCs w:val="18"/>
              </w:rPr>
              <w:drawing>
                <wp:anchor distT="0" distB="0" distL="114300" distR="114300" simplePos="0" relativeHeight="251810816" behindDoc="0" locked="0" layoutInCell="1" allowOverlap="1" wp14:anchorId="689E71B8" wp14:editId="217D9376">
                  <wp:simplePos x="0" y="0"/>
                  <wp:positionH relativeFrom="column">
                    <wp:posOffset>152400</wp:posOffset>
                  </wp:positionH>
                  <wp:positionV relativeFrom="paragraph">
                    <wp:posOffset>9525</wp:posOffset>
                  </wp:positionV>
                  <wp:extent cx="257175" cy="333375"/>
                  <wp:effectExtent l="0" t="0" r="9525" b="9525"/>
                  <wp:wrapNone/>
                  <wp:docPr id="1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57175" cy="333375"/>
                          </a:xfrm>
                          <a:prstGeom prst="rect">
                            <a:avLst/>
                          </a:prstGeom>
                          <a:noFill/>
                        </pic:spPr>
                      </pic:pic>
                    </a:graphicData>
                  </a:graphic>
                  <wp14:sizeRelH relativeFrom="page">
                    <wp14:pctWidth>0</wp14:pctWidth>
                  </wp14:sizeRelH>
                  <wp14:sizeRelV relativeFrom="page">
                    <wp14:pctHeight>0</wp14:pctHeight>
                  </wp14:sizeRelV>
                </wp:anchor>
              </w:drawing>
            </w:r>
          </w:p>
        </w:tc>
      </w:tr>
    </w:tbl>
    <w:p w14:paraId="6D0F5064" w14:textId="77777777" w:rsidR="005B5F04" w:rsidRDefault="005B5F04">
      <w:pPr>
        <w:rPr>
          <w:rFonts w:ascii="Arial" w:hAnsi="Arial" w:cs="Arial"/>
          <w:bCs/>
          <w:i/>
          <w:sz w:val="18"/>
          <w:szCs w:val="18"/>
        </w:rPr>
      </w:pPr>
    </w:p>
    <w:p w14:paraId="33A46EC4" w14:textId="6ED588DA" w:rsidR="00896EEE" w:rsidRPr="005B5F04" w:rsidRDefault="00B92495">
      <w:pPr>
        <w:rPr>
          <w:rFonts w:ascii="Arial" w:hAnsi="Arial" w:cs="Arial"/>
          <w:bCs/>
          <w:i/>
          <w:sz w:val="18"/>
          <w:szCs w:val="18"/>
        </w:rPr>
      </w:pPr>
      <w:r>
        <w:rPr>
          <w:rFonts w:ascii="Arial" w:hAnsi="Arial" w:cs="Arial"/>
          <w:bCs/>
          <w:i/>
          <w:sz w:val="18"/>
          <w:szCs w:val="18"/>
        </w:rPr>
        <w:t>N</w:t>
      </w:r>
      <w:r w:rsidR="000F1595" w:rsidRPr="005B5F04">
        <w:rPr>
          <w:rFonts w:ascii="Arial" w:hAnsi="Arial" w:cs="Arial"/>
          <w:bCs/>
          <w:i/>
          <w:sz w:val="18"/>
          <w:szCs w:val="18"/>
        </w:rPr>
        <w:t xml:space="preserve"> = </w:t>
      </w:r>
      <w:r w:rsidR="000A6B14">
        <w:rPr>
          <w:rFonts w:ascii="Arial" w:hAnsi="Arial" w:cs="Arial"/>
          <w:bCs/>
          <w:i/>
          <w:sz w:val="18"/>
          <w:szCs w:val="18"/>
        </w:rPr>
        <w:t>s</w:t>
      </w:r>
      <w:r w:rsidR="000F1595" w:rsidRPr="005B5F04">
        <w:rPr>
          <w:rFonts w:ascii="Arial" w:hAnsi="Arial" w:cs="Arial"/>
          <w:bCs/>
          <w:i/>
          <w:sz w:val="18"/>
          <w:szCs w:val="18"/>
        </w:rPr>
        <w:t>urvey sample size</w:t>
      </w:r>
      <w:r w:rsidR="00896EEE" w:rsidRPr="005B5F04">
        <w:rPr>
          <w:rFonts w:ascii="Arial" w:hAnsi="Arial" w:cs="Arial"/>
          <w:bCs/>
          <w:i/>
          <w:sz w:val="18"/>
          <w:szCs w:val="18"/>
        </w:rPr>
        <w:br w:type="page"/>
      </w:r>
    </w:p>
    <w:p w14:paraId="6BCFD31B" w14:textId="77777777" w:rsidR="009D75CB" w:rsidRPr="000318AD" w:rsidRDefault="009D75CB" w:rsidP="00365ED1">
      <w:pPr>
        <w:pStyle w:val="Heading1"/>
      </w:pPr>
      <w:bookmarkStart w:id="7" w:name="_Toc411530302"/>
      <w:bookmarkStart w:id="8" w:name="_Toc412798912"/>
      <w:r w:rsidRPr="000318AD">
        <w:t>Preliminaries</w:t>
      </w:r>
      <w:bookmarkEnd w:id="7"/>
      <w:bookmarkEnd w:id="8"/>
    </w:p>
    <w:p w14:paraId="1EE2A2E8" w14:textId="77777777" w:rsidR="009D75CB" w:rsidRPr="000318AD" w:rsidRDefault="009D75CB" w:rsidP="004E7F7B">
      <w:pPr>
        <w:pStyle w:val="Heading2"/>
      </w:pPr>
      <w:bookmarkStart w:id="9" w:name="_Toc411530303"/>
      <w:bookmarkStart w:id="10" w:name="_Toc412798913"/>
      <w:r w:rsidRPr="000318AD">
        <w:t>Focus on Integrated Planning and Reporting</w:t>
      </w:r>
      <w:bookmarkEnd w:id="9"/>
      <w:bookmarkEnd w:id="10"/>
    </w:p>
    <w:p w14:paraId="57E4772C" w14:textId="77777777" w:rsidR="009D75CB" w:rsidRPr="009D75CB" w:rsidRDefault="009D75CB" w:rsidP="009D75CB">
      <w:pPr>
        <w:spacing w:before="240" w:line="280" w:lineRule="atLeast"/>
        <w:jc w:val="both"/>
        <w:rPr>
          <w:rFonts w:cs="Arial"/>
          <w:bCs/>
          <w:color w:val="548DD4" w:themeColor="text2" w:themeTint="99"/>
          <w:szCs w:val="22"/>
        </w:rPr>
      </w:pPr>
      <w:r w:rsidRPr="009D75CB">
        <w:rPr>
          <w:rFonts w:cs="Arial"/>
          <w:bCs/>
          <w:color w:val="548DD4" w:themeColor="text2" w:themeTint="99"/>
          <w:szCs w:val="22"/>
        </w:rPr>
        <w:t>Councils must identify the need for a special variation to their General Fund’s rates revenue as part of their Integrated Planning and Reporting (IP&amp;R) process.</w:t>
      </w:r>
      <w:r w:rsidRPr="009D75CB">
        <w:rPr>
          <w:rFonts w:cs="Arial"/>
          <w:bCs/>
          <w:color w:val="548DD4" w:themeColor="text2" w:themeTint="99"/>
          <w:position w:val="4"/>
          <w:szCs w:val="22"/>
        </w:rPr>
        <w:footnoteReference w:id="4"/>
      </w:r>
      <w:r w:rsidRPr="009D75CB">
        <w:rPr>
          <w:rFonts w:cs="Arial"/>
          <w:bCs/>
          <w:color w:val="548DD4" w:themeColor="text2" w:themeTint="99"/>
          <w:szCs w:val="22"/>
        </w:rPr>
        <w:t xml:space="preserve">  The IP&amp;R documents will need to be publicly exhibited and adopted by the council prior to it submitting its application to us.  Also refer to section 6 for a more detailed explanation. You should refer to these documents to support your application for a special variation where appropriate.</w:t>
      </w:r>
    </w:p>
    <w:p w14:paraId="65ABFEC6" w14:textId="76D10ED1" w:rsidR="009D75CB" w:rsidRPr="009D75CB" w:rsidRDefault="009D75CB" w:rsidP="009D75CB">
      <w:pPr>
        <w:spacing w:before="240" w:line="280" w:lineRule="atLeast"/>
        <w:jc w:val="both"/>
        <w:rPr>
          <w:rFonts w:cs="Arial"/>
          <w:bCs/>
          <w:color w:val="548DD4" w:themeColor="text2" w:themeTint="99"/>
          <w:szCs w:val="22"/>
        </w:rPr>
      </w:pPr>
      <w:r w:rsidRPr="009D75CB">
        <w:rPr>
          <w:rFonts w:cs="Arial"/>
          <w:bCs/>
          <w:color w:val="548DD4" w:themeColor="text2" w:themeTint="99"/>
          <w:szCs w:val="22"/>
        </w:rPr>
        <w:t xml:space="preserve">The key IP&amp;R documents are the Community Strategic Plan, Delivery Program, Long Term Financial Plan and, where applicable, the Asset Management Plan.  A council’s application may also include supplementary and/or background publications used within its IP&amp;R processes.  </w:t>
      </w:r>
    </w:p>
    <w:p w14:paraId="7C4472D1" w14:textId="77777777" w:rsidR="000318AD" w:rsidRPr="000318AD" w:rsidRDefault="000318AD" w:rsidP="00365ED1">
      <w:pPr>
        <w:pStyle w:val="Heading2"/>
      </w:pPr>
      <w:bookmarkStart w:id="11" w:name="_Toc411530304"/>
      <w:bookmarkStart w:id="12" w:name="_Toc412798914"/>
      <w:r w:rsidRPr="000318AD">
        <w:t>Key purpose of special variation</w:t>
      </w:r>
      <w:bookmarkEnd w:id="11"/>
      <w:bookmarkEnd w:id="12"/>
    </w:p>
    <w:p w14:paraId="68F5AF8A" w14:textId="77777777" w:rsidR="000318AD" w:rsidRPr="00826784" w:rsidRDefault="000318AD" w:rsidP="000318AD">
      <w:pPr>
        <w:spacing w:before="240" w:line="280" w:lineRule="atLeast"/>
        <w:jc w:val="both"/>
        <w:rPr>
          <w:rFonts w:cs="Arial"/>
          <w:b/>
          <w:bCs/>
          <w:color w:val="548DD4" w:themeColor="text2" w:themeTint="99"/>
          <w:szCs w:val="22"/>
        </w:rPr>
      </w:pPr>
      <w:r w:rsidRPr="00826784">
        <w:rPr>
          <w:rFonts w:cs="Arial"/>
          <w:b/>
          <w:bCs/>
          <w:color w:val="548DD4" w:themeColor="text2" w:themeTint="99"/>
          <w:szCs w:val="22"/>
        </w:rPr>
        <w:t>At the highest level, indicate the key purpose(s) of the special variation by marking one or more of the boxes below with an “x”.</w:t>
      </w:r>
    </w:p>
    <w:p w14:paraId="6A0F5B27" w14:textId="77777777" w:rsidR="00E52BBA" w:rsidRDefault="00E52BBA" w:rsidP="000318AD">
      <w:pPr>
        <w:spacing w:before="240" w:line="280" w:lineRule="atLeast"/>
        <w:jc w:val="both"/>
        <w:rPr>
          <w:rFonts w:cs="Arial"/>
          <w:bCs/>
          <w:color w:val="548DD4" w:themeColor="text2" w:themeTint="99"/>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993"/>
      </w:tblGrid>
      <w:tr w:rsidR="00E52BBA" w:rsidRPr="00B84AA8" w14:paraId="5CE436CC" w14:textId="77777777" w:rsidTr="00383155">
        <w:tc>
          <w:tcPr>
            <w:tcW w:w="4644" w:type="dxa"/>
            <w:vAlign w:val="center"/>
          </w:tcPr>
          <w:p w14:paraId="2B3C6F76" w14:textId="77777777" w:rsidR="00E52BBA" w:rsidRPr="007A4491" w:rsidRDefault="00E52BBA" w:rsidP="00383155">
            <w:pPr>
              <w:pStyle w:val="TableTextEntries"/>
              <w:spacing w:before="60" w:after="60"/>
              <w:rPr>
                <w:sz w:val="20"/>
                <w:szCs w:val="20"/>
              </w:rPr>
            </w:pPr>
            <w:r w:rsidRPr="007A4491">
              <w:rPr>
                <w:sz w:val="20"/>
                <w:szCs w:val="20"/>
              </w:rPr>
              <w:t>Maintain existing services</w:t>
            </w:r>
          </w:p>
        </w:tc>
        <w:tc>
          <w:tcPr>
            <w:tcW w:w="993" w:type="dxa"/>
          </w:tcPr>
          <w:p w14:paraId="488CCEBE" w14:textId="77777777" w:rsidR="00E52BBA" w:rsidRPr="00B84AA8" w:rsidRDefault="00E52BBA" w:rsidP="00383155">
            <w:pPr>
              <w:pStyle w:val="BodyText"/>
              <w:spacing w:before="60" w:after="60"/>
              <w:jc w:val="center"/>
            </w:pPr>
            <w:r>
              <w:rPr>
                <w:noProof/>
              </w:rPr>
              <mc:AlternateContent>
                <mc:Choice Requires="wps">
                  <w:drawing>
                    <wp:anchor distT="0" distB="0" distL="114300" distR="114300" simplePos="0" relativeHeight="251856896" behindDoc="1" locked="0" layoutInCell="1" allowOverlap="1" wp14:anchorId="3A2809A6" wp14:editId="2D06F375">
                      <wp:simplePos x="0" y="0"/>
                      <wp:positionH relativeFrom="column">
                        <wp:posOffset>162408</wp:posOffset>
                      </wp:positionH>
                      <wp:positionV relativeFrom="paragraph">
                        <wp:posOffset>45151</wp:posOffset>
                      </wp:positionV>
                      <wp:extent cx="163774" cy="163773"/>
                      <wp:effectExtent l="0" t="0" r="27305" b="27305"/>
                      <wp:wrapNone/>
                      <wp:docPr id="2050" name="Text Box 2050"/>
                      <wp:cNvGraphicFramePr/>
                      <a:graphic xmlns:a="http://schemas.openxmlformats.org/drawingml/2006/main">
                        <a:graphicData uri="http://schemas.microsoft.com/office/word/2010/wordprocessingShape">
                          <wps:wsp>
                            <wps:cNvSpPr txBox="1"/>
                            <wps:spPr>
                              <a:xfrm>
                                <a:off x="0" y="0"/>
                                <a:ext cx="163774" cy="1637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E3F9F1" w14:textId="77777777" w:rsidR="005864FD" w:rsidRDefault="005864FD" w:rsidP="00E52B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050" o:spid="_x0000_s1026" type="#_x0000_t202" style="position:absolute;left:0;text-align:left;margin-left:12.8pt;margin-top:3.55pt;width:12.9pt;height:12.9pt;z-index:-25145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" fillcolor="white [3201]" strokeweight=".5pt">
                      <v:textbox>
                        <w:txbxContent>
                          <w:p w14:paraId="66E3F9F1" w14:textId="77777777" w:rsidR="005864FD" w:rsidRDefault="005864FD" w:rsidP="00E52BBA"/>
                        </w:txbxContent>
                      </v:textbox>
                    </v:shape>
                  </w:pict>
                </mc:Fallback>
              </mc:AlternateContent>
            </w:r>
            <w:r>
              <w:t>X</w:t>
            </w:r>
          </w:p>
        </w:tc>
      </w:tr>
      <w:tr w:rsidR="00E52BBA" w:rsidRPr="00B84AA8" w14:paraId="5627F5A1" w14:textId="77777777" w:rsidTr="00383155">
        <w:tc>
          <w:tcPr>
            <w:tcW w:w="4644" w:type="dxa"/>
            <w:vAlign w:val="center"/>
          </w:tcPr>
          <w:p w14:paraId="3A171FE7" w14:textId="77777777" w:rsidR="00E52BBA" w:rsidRPr="007A4491" w:rsidRDefault="00E52BBA" w:rsidP="00383155">
            <w:pPr>
              <w:pStyle w:val="TableTextEntries"/>
              <w:spacing w:before="60" w:after="60"/>
              <w:rPr>
                <w:sz w:val="20"/>
                <w:szCs w:val="20"/>
              </w:rPr>
            </w:pPr>
            <w:r w:rsidRPr="007A4491">
              <w:rPr>
                <w:sz w:val="20"/>
                <w:szCs w:val="20"/>
              </w:rPr>
              <w:t>Enhance financial sustainability</w:t>
            </w:r>
          </w:p>
        </w:tc>
        <w:tc>
          <w:tcPr>
            <w:tcW w:w="993" w:type="dxa"/>
          </w:tcPr>
          <w:p w14:paraId="242FBB0F" w14:textId="77777777" w:rsidR="00E52BBA" w:rsidRPr="00B84AA8" w:rsidRDefault="00E52BBA" w:rsidP="00383155">
            <w:pPr>
              <w:pStyle w:val="BodyText"/>
              <w:spacing w:before="60" w:after="60"/>
              <w:jc w:val="center"/>
            </w:pPr>
            <w:r>
              <w:rPr>
                <w:noProof/>
              </w:rPr>
              <mc:AlternateContent>
                <mc:Choice Requires="wps">
                  <w:drawing>
                    <wp:anchor distT="0" distB="0" distL="114300" distR="114300" simplePos="0" relativeHeight="251853824" behindDoc="1" locked="0" layoutInCell="1" allowOverlap="1" wp14:anchorId="7EB69449" wp14:editId="3D63AAFB">
                      <wp:simplePos x="0" y="0"/>
                      <wp:positionH relativeFrom="column">
                        <wp:posOffset>162408</wp:posOffset>
                      </wp:positionH>
                      <wp:positionV relativeFrom="paragraph">
                        <wp:posOffset>45151</wp:posOffset>
                      </wp:positionV>
                      <wp:extent cx="163774" cy="163773"/>
                      <wp:effectExtent l="0" t="0" r="27305" b="27305"/>
                      <wp:wrapNone/>
                      <wp:docPr id="2051" name="Text Box 2051"/>
                      <wp:cNvGraphicFramePr/>
                      <a:graphic xmlns:a="http://schemas.openxmlformats.org/drawingml/2006/main">
                        <a:graphicData uri="http://schemas.microsoft.com/office/word/2010/wordprocessingShape">
                          <wps:wsp>
                            <wps:cNvSpPr txBox="1"/>
                            <wps:spPr>
                              <a:xfrm>
                                <a:off x="0" y="0"/>
                                <a:ext cx="163774" cy="1637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F87934" w14:textId="77777777" w:rsidR="005864FD" w:rsidRDefault="005864FD" w:rsidP="00E52B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51" o:spid="_x0000_s1027" type="#_x0000_t202" style="position:absolute;left:0;text-align:left;margin-left:12.8pt;margin-top:3.55pt;width:12.9pt;height:12.9pt;z-index:-25146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" fillcolor="white [3201]" strokeweight=".5pt">
                      <v:textbox>
                        <w:txbxContent>
                          <w:p w14:paraId="52F87934" w14:textId="77777777" w:rsidR="005864FD" w:rsidRDefault="005864FD" w:rsidP="00E52BBA"/>
                        </w:txbxContent>
                      </v:textbox>
                    </v:shape>
                  </w:pict>
                </mc:Fallback>
              </mc:AlternateContent>
            </w:r>
            <w:r>
              <w:t>X</w:t>
            </w:r>
          </w:p>
        </w:tc>
      </w:tr>
      <w:tr w:rsidR="00E52BBA" w:rsidRPr="00B84AA8" w14:paraId="6333328E" w14:textId="77777777" w:rsidTr="00383155">
        <w:tc>
          <w:tcPr>
            <w:tcW w:w="4644" w:type="dxa"/>
            <w:vAlign w:val="center"/>
          </w:tcPr>
          <w:p w14:paraId="560710C1" w14:textId="77777777" w:rsidR="00E52BBA" w:rsidRPr="007A4491" w:rsidRDefault="00E52BBA" w:rsidP="00383155">
            <w:pPr>
              <w:pStyle w:val="TableTextEntries"/>
              <w:spacing w:before="60" w:after="60"/>
              <w:rPr>
                <w:sz w:val="20"/>
                <w:szCs w:val="20"/>
              </w:rPr>
            </w:pPr>
            <w:r w:rsidRPr="007A4491">
              <w:rPr>
                <w:sz w:val="20"/>
                <w:szCs w:val="20"/>
              </w:rPr>
              <w:t>Environmental services or works</w:t>
            </w:r>
          </w:p>
        </w:tc>
        <w:tc>
          <w:tcPr>
            <w:tcW w:w="993" w:type="dxa"/>
          </w:tcPr>
          <w:p w14:paraId="681AB233" w14:textId="77777777" w:rsidR="00E52BBA" w:rsidRPr="00B84AA8" w:rsidRDefault="00E52BBA" w:rsidP="00383155">
            <w:pPr>
              <w:pStyle w:val="BodyText"/>
              <w:spacing w:before="60" w:after="60"/>
              <w:jc w:val="center"/>
            </w:pPr>
            <w:r>
              <w:rPr>
                <w:noProof/>
              </w:rPr>
              <mc:AlternateContent>
                <mc:Choice Requires="wps">
                  <w:drawing>
                    <wp:anchor distT="0" distB="0" distL="114300" distR="114300" simplePos="0" relativeHeight="251855872" behindDoc="1" locked="0" layoutInCell="1" allowOverlap="1" wp14:anchorId="33A33FC4" wp14:editId="18D22137">
                      <wp:simplePos x="0" y="0"/>
                      <wp:positionH relativeFrom="column">
                        <wp:posOffset>162408</wp:posOffset>
                      </wp:positionH>
                      <wp:positionV relativeFrom="paragraph">
                        <wp:posOffset>45151</wp:posOffset>
                      </wp:positionV>
                      <wp:extent cx="163774" cy="163773"/>
                      <wp:effectExtent l="0" t="0" r="27305" b="27305"/>
                      <wp:wrapNone/>
                      <wp:docPr id="2052" name="Text Box 2052"/>
                      <wp:cNvGraphicFramePr/>
                      <a:graphic xmlns:a="http://schemas.openxmlformats.org/drawingml/2006/main">
                        <a:graphicData uri="http://schemas.microsoft.com/office/word/2010/wordprocessingShape">
                          <wps:wsp>
                            <wps:cNvSpPr txBox="1"/>
                            <wps:spPr>
                              <a:xfrm>
                                <a:off x="0" y="0"/>
                                <a:ext cx="163774" cy="1637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4E93E3" w14:textId="77777777" w:rsidR="005864FD" w:rsidRDefault="005864FD" w:rsidP="00E52B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52" o:spid="_x0000_s1028" type="#_x0000_t202" style="position:absolute;left:0;text-align:left;margin-left:12.8pt;margin-top:3.55pt;width:12.9pt;height:12.9pt;z-index:-25146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" fillcolor="white [3201]" strokeweight=".5pt">
                      <v:textbox>
                        <w:txbxContent>
                          <w:p w14:paraId="214E93E3" w14:textId="77777777" w:rsidR="005864FD" w:rsidRDefault="005864FD" w:rsidP="00E52BBA"/>
                        </w:txbxContent>
                      </v:textbox>
                    </v:shape>
                  </w:pict>
                </mc:Fallback>
              </mc:AlternateContent>
            </w:r>
            <w:r>
              <w:t>X</w:t>
            </w:r>
          </w:p>
        </w:tc>
      </w:tr>
      <w:tr w:rsidR="00E52BBA" w:rsidRPr="00B84AA8" w14:paraId="2BBB1104" w14:textId="77777777" w:rsidTr="00383155">
        <w:tc>
          <w:tcPr>
            <w:tcW w:w="4644" w:type="dxa"/>
            <w:vAlign w:val="center"/>
          </w:tcPr>
          <w:p w14:paraId="3E275E3B" w14:textId="77777777" w:rsidR="00E52BBA" w:rsidRPr="007A4491" w:rsidRDefault="00E52BBA" w:rsidP="00383155">
            <w:pPr>
              <w:pStyle w:val="TableTextEntries"/>
              <w:spacing w:before="60" w:after="60"/>
              <w:rPr>
                <w:sz w:val="20"/>
                <w:szCs w:val="20"/>
              </w:rPr>
            </w:pPr>
            <w:r w:rsidRPr="007A4491">
              <w:rPr>
                <w:sz w:val="20"/>
                <w:szCs w:val="20"/>
              </w:rPr>
              <w:t>Infrastructure maintenance / renewal</w:t>
            </w:r>
          </w:p>
        </w:tc>
        <w:tc>
          <w:tcPr>
            <w:tcW w:w="993" w:type="dxa"/>
          </w:tcPr>
          <w:p w14:paraId="0756E5D0" w14:textId="77777777" w:rsidR="00E52BBA" w:rsidRPr="00B84AA8" w:rsidRDefault="00E52BBA" w:rsidP="00383155">
            <w:pPr>
              <w:pStyle w:val="BodyText"/>
              <w:spacing w:before="60" w:after="60"/>
              <w:jc w:val="center"/>
            </w:pPr>
            <w:r>
              <w:rPr>
                <w:noProof/>
              </w:rPr>
              <mc:AlternateContent>
                <mc:Choice Requires="wps">
                  <w:drawing>
                    <wp:anchor distT="0" distB="0" distL="114300" distR="114300" simplePos="0" relativeHeight="251854848" behindDoc="1" locked="0" layoutInCell="1" allowOverlap="1" wp14:anchorId="5050FABE" wp14:editId="4DB03AF7">
                      <wp:simplePos x="0" y="0"/>
                      <wp:positionH relativeFrom="column">
                        <wp:posOffset>162408</wp:posOffset>
                      </wp:positionH>
                      <wp:positionV relativeFrom="paragraph">
                        <wp:posOffset>45151</wp:posOffset>
                      </wp:positionV>
                      <wp:extent cx="163774" cy="163773"/>
                      <wp:effectExtent l="0" t="0" r="27305" b="27305"/>
                      <wp:wrapNone/>
                      <wp:docPr id="2057" name="Text Box 2057"/>
                      <wp:cNvGraphicFramePr/>
                      <a:graphic xmlns:a="http://schemas.openxmlformats.org/drawingml/2006/main">
                        <a:graphicData uri="http://schemas.microsoft.com/office/word/2010/wordprocessingShape">
                          <wps:wsp>
                            <wps:cNvSpPr txBox="1"/>
                            <wps:spPr>
                              <a:xfrm>
                                <a:off x="0" y="0"/>
                                <a:ext cx="163774" cy="1637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8C36B1" w14:textId="77777777" w:rsidR="005864FD" w:rsidRDefault="005864FD" w:rsidP="00E52B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57" o:spid="_x0000_s1029" type="#_x0000_t202" style="position:absolute;left:0;text-align:left;margin-left:12.8pt;margin-top:3.55pt;width:12.9pt;height:12.9pt;z-index:-25146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" fillcolor="white [3201]" strokeweight=".5pt">
                      <v:textbox>
                        <w:txbxContent>
                          <w:p w14:paraId="5E8C36B1" w14:textId="77777777" w:rsidR="005864FD" w:rsidRDefault="005864FD" w:rsidP="00E52BBA"/>
                        </w:txbxContent>
                      </v:textbox>
                    </v:shape>
                  </w:pict>
                </mc:Fallback>
              </mc:AlternateContent>
            </w:r>
            <w:r>
              <w:t>X</w:t>
            </w:r>
          </w:p>
        </w:tc>
      </w:tr>
      <w:tr w:rsidR="00E52BBA" w:rsidRPr="00B84AA8" w14:paraId="307A6E6F" w14:textId="77777777" w:rsidTr="00383155">
        <w:tc>
          <w:tcPr>
            <w:tcW w:w="4644" w:type="dxa"/>
            <w:vAlign w:val="center"/>
          </w:tcPr>
          <w:p w14:paraId="42887FA0" w14:textId="77777777" w:rsidR="00E52BBA" w:rsidRPr="007A4491" w:rsidRDefault="00E52BBA" w:rsidP="00383155">
            <w:pPr>
              <w:pStyle w:val="TableTextEntries"/>
              <w:spacing w:before="60" w:after="60"/>
              <w:rPr>
                <w:sz w:val="20"/>
                <w:szCs w:val="20"/>
              </w:rPr>
            </w:pPr>
            <w:r w:rsidRPr="007A4491">
              <w:rPr>
                <w:sz w:val="20"/>
                <w:szCs w:val="20"/>
              </w:rPr>
              <w:t>Reduce infrastructure backlogs</w:t>
            </w:r>
          </w:p>
        </w:tc>
        <w:tc>
          <w:tcPr>
            <w:tcW w:w="993" w:type="dxa"/>
          </w:tcPr>
          <w:p w14:paraId="0994E74F" w14:textId="77777777" w:rsidR="00E52BBA" w:rsidRPr="00B84AA8" w:rsidRDefault="00E52BBA" w:rsidP="00383155">
            <w:pPr>
              <w:pStyle w:val="BodyText"/>
              <w:spacing w:before="60" w:after="60"/>
              <w:jc w:val="center"/>
            </w:pPr>
            <w:r>
              <w:rPr>
                <w:noProof/>
              </w:rPr>
              <mc:AlternateContent>
                <mc:Choice Requires="wps">
                  <w:drawing>
                    <wp:anchor distT="0" distB="0" distL="114300" distR="114300" simplePos="0" relativeHeight="251857920" behindDoc="1" locked="0" layoutInCell="1" allowOverlap="1" wp14:anchorId="7CD2FDCD" wp14:editId="455FAD24">
                      <wp:simplePos x="0" y="0"/>
                      <wp:positionH relativeFrom="column">
                        <wp:posOffset>162408</wp:posOffset>
                      </wp:positionH>
                      <wp:positionV relativeFrom="paragraph">
                        <wp:posOffset>45151</wp:posOffset>
                      </wp:positionV>
                      <wp:extent cx="163774" cy="163773"/>
                      <wp:effectExtent l="0" t="0" r="27305" b="27305"/>
                      <wp:wrapNone/>
                      <wp:docPr id="2058" name="Text Box 2058"/>
                      <wp:cNvGraphicFramePr/>
                      <a:graphic xmlns:a="http://schemas.openxmlformats.org/drawingml/2006/main">
                        <a:graphicData uri="http://schemas.microsoft.com/office/word/2010/wordprocessingShape">
                          <wps:wsp>
                            <wps:cNvSpPr txBox="1"/>
                            <wps:spPr>
                              <a:xfrm>
                                <a:off x="0" y="0"/>
                                <a:ext cx="163774" cy="1637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1B0C3A" w14:textId="77777777" w:rsidR="005864FD" w:rsidRDefault="005864FD" w:rsidP="00E52B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58" o:spid="_x0000_s1030" type="#_x0000_t202" style="position:absolute;left:0;text-align:left;margin-left:12.8pt;margin-top:3.55pt;width:12.9pt;height:12.9pt;z-index:-251458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" fillcolor="white [3201]" strokeweight=".5pt">
                      <v:textbox>
                        <w:txbxContent>
                          <w:p w14:paraId="441B0C3A" w14:textId="77777777" w:rsidR="005864FD" w:rsidRDefault="005864FD" w:rsidP="00E52BBA"/>
                        </w:txbxContent>
                      </v:textbox>
                    </v:shape>
                  </w:pict>
                </mc:Fallback>
              </mc:AlternateContent>
            </w:r>
            <w:r>
              <w:t>X</w:t>
            </w:r>
          </w:p>
        </w:tc>
      </w:tr>
      <w:tr w:rsidR="00E52BBA" w:rsidRPr="00B84AA8" w14:paraId="7B5F7B3A" w14:textId="77777777" w:rsidTr="00383155">
        <w:tc>
          <w:tcPr>
            <w:tcW w:w="4644" w:type="dxa"/>
            <w:vAlign w:val="center"/>
          </w:tcPr>
          <w:p w14:paraId="63EB5CA8" w14:textId="77777777" w:rsidR="00E52BBA" w:rsidRPr="007A4491" w:rsidRDefault="00E52BBA" w:rsidP="00383155">
            <w:pPr>
              <w:pStyle w:val="TableTextEntries"/>
              <w:spacing w:before="60" w:after="60"/>
              <w:rPr>
                <w:sz w:val="20"/>
                <w:szCs w:val="20"/>
              </w:rPr>
            </w:pPr>
            <w:r w:rsidRPr="007A4491">
              <w:rPr>
                <w:sz w:val="20"/>
                <w:szCs w:val="20"/>
              </w:rPr>
              <w:t>New infrastructure investment</w:t>
            </w:r>
          </w:p>
        </w:tc>
        <w:tc>
          <w:tcPr>
            <w:tcW w:w="993" w:type="dxa"/>
          </w:tcPr>
          <w:p w14:paraId="574E8C0C" w14:textId="77777777" w:rsidR="00E52BBA" w:rsidRPr="00B84AA8" w:rsidRDefault="00E52BBA" w:rsidP="00383155">
            <w:pPr>
              <w:pStyle w:val="BodyText"/>
              <w:spacing w:before="60" w:after="60"/>
              <w:jc w:val="center"/>
            </w:pPr>
            <w:r>
              <w:rPr>
                <w:noProof/>
              </w:rPr>
              <mc:AlternateContent>
                <mc:Choice Requires="wps">
                  <w:drawing>
                    <wp:anchor distT="0" distB="0" distL="114300" distR="114300" simplePos="0" relativeHeight="251860992" behindDoc="1" locked="0" layoutInCell="1" allowOverlap="1" wp14:anchorId="028207BD" wp14:editId="516F7FFA">
                      <wp:simplePos x="0" y="0"/>
                      <wp:positionH relativeFrom="column">
                        <wp:posOffset>162408</wp:posOffset>
                      </wp:positionH>
                      <wp:positionV relativeFrom="paragraph">
                        <wp:posOffset>45151</wp:posOffset>
                      </wp:positionV>
                      <wp:extent cx="163774" cy="163773"/>
                      <wp:effectExtent l="0" t="0" r="27305" b="27305"/>
                      <wp:wrapNone/>
                      <wp:docPr id="2065" name="Text Box 2065"/>
                      <wp:cNvGraphicFramePr/>
                      <a:graphic xmlns:a="http://schemas.openxmlformats.org/drawingml/2006/main">
                        <a:graphicData uri="http://schemas.microsoft.com/office/word/2010/wordprocessingShape">
                          <wps:wsp>
                            <wps:cNvSpPr txBox="1"/>
                            <wps:spPr>
                              <a:xfrm>
                                <a:off x="0" y="0"/>
                                <a:ext cx="163774" cy="1637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B0E46F" w14:textId="77777777" w:rsidR="005864FD" w:rsidRDefault="005864FD" w:rsidP="00E52B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65" o:spid="_x0000_s1031" type="#_x0000_t202" style="position:absolute;left:0;text-align:left;margin-left:12.8pt;margin-top:3.55pt;width:12.9pt;height:12.9pt;z-index:-25145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" fillcolor="white [3201]" strokeweight=".5pt">
                      <v:textbox>
                        <w:txbxContent>
                          <w:p w14:paraId="5CB0E46F" w14:textId="77777777" w:rsidR="005864FD" w:rsidRDefault="005864FD" w:rsidP="00E52BBA"/>
                        </w:txbxContent>
                      </v:textbox>
                    </v:shape>
                  </w:pict>
                </mc:Fallback>
              </mc:AlternateContent>
            </w:r>
          </w:p>
        </w:tc>
      </w:tr>
      <w:tr w:rsidR="00E52BBA" w:rsidRPr="00B84AA8" w14:paraId="5E155B9C" w14:textId="77777777" w:rsidTr="00383155">
        <w:tc>
          <w:tcPr>
            <w:tcW w:w="4644" w:type="dxa"/>
            <w:vAlign w:val="center"/>
          </w:tcPr>
          <w:p w14:paraId="19075C3B" w14:textId="77777777" w:rsidR="00E52BBA" w:rsidRPr="007A4491" w:rsidRDefault="00E52BBA" w:rsidP="00383155">
            <w:pPr>
              <w:pStyle w:val="TableTextEntries"/>
              <w:spacing w:before="60" w:after="60"/>
              <w:rPr>
                <w:sz w:val="20"/>
                <w:szCs w:val="20"/>
              </w:rPr>
            </w:pPr>
            <w:r>
              <w:rPr>
                <w:sz w:val="20"/>
                <w:szCs w:val="20"/>
              </w:rPr>
              <w:t>Other – Emergency preparedness and response</w:t>
            </w:r>
          </w:p>
        </w:tc>
        <w:tc>
          <w:tcPr>
            <w:tcW w:w="993" w:type="dxa"/>
          </w:tcPr>
          <w:p w14:paraId="4A69F629" w14:textId="77777777" w:rsidR="00E52BBA" w:rsidRPr="00B84AA8" w:rsidRDefault="00E52BBA" w:rsidP="00383155">
            <w:pPr>
              <w:pStyle w:val="BodyText"/>
              <w:spacing w:before="60" w:after="60"/>
              <w:jc w:val="center"/>
            </w:pPr>
            <w:r>
              <w:rPr>
                <w:noProof/>
              </w:rPr>
              <mc:AlternateContent>
                <mc:Choice Requires="wps">
                  <w:drawing>
                    <wp:anchor distT="0" distB="0" distL="114300" distR="114300" simplePos="0" relativeHeight="251858944" behindDoc="1" locked="0" layoutInCell="1" allowOverlap="1" wp14:anchorId="3D8D7B01" wp14:editId="77B4B664">
                      <wp:simplePos x="0" y="0"/>
                      <wp:positionH relativeFrom="column">
                        <wp:posOffset>162408</wp:posOffset>
                      </wp:positionH>
                      <wp:positionV relativeFrom="paragraph">
                        <wp:posOffset>45151</wp:posOffset>
                      </wp:positionV>
                      <wp:extent cx="163774" cy="163773"/>
                      <wp:effectExtent l="0" t="0" r="27305" b="27305"/>
                      <wp:wrapNone/>
                      <wp:docPr id="2079" name="Text Box 2079"/>
                      <wp:cNvGraphicFramePr/>
                      <a:graphic xmlns:a="http://schemas.openxmlformats.org/drawingml/2006/main">
                        <a:graphicData uri="http://schemas.microsoft.com/office/word/2010/wordprocessingShape">
                          <wps:wsp>
                            <wps:cNvSpPr txBox="1"/>
                            <wps:spPr>
                              <a:xfrm>
                                <a:off x="0" y="0"/>
                                <a:ext cx="163774" cy="1637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386E96" w14:textId="77777777" w:rsidR="005864FD" w:rsidRDefault="005864FD" w:rsidP="00E52B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79" o:spid="_x0000_s1032" type="#_x0000_t202" style="position:absolute;left:0;text-align:left;margin-left:12.8pt;margin-top:3.55pt;width:12.9pt;height:12.9pt;z-index:-25145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" fillcolor="white [3201]" strokeweight=".5pt">
                      <v:textbox>
                        <w:txbxContent>
                          <w:p w14:paraId="09386E96" w14:textId="77777777" w:rsidR="005864FD" w:rsidRDefault="005864FD" w:rsidP="00E52BBA"/>
                        </w:txbxContent>
                      </v:textbox>
                    </v:shape>
                  </w:pict>
                </mc:Fallback>
              </mc:AlternateContent>
            </w:r>
            <w:r>
              <w:t>X</w:t>
            </w:r>
          </w:p>
        </w:tc>
      </w:tr>
      <w:tr w:rsidR="00E52BBA" w:rsidRPr="00B84AA8" w14:paraId="6A86383A" w14:textId="77777777" w:rsidTr="00383155">
        <w:tc>
          <w:tcPr>
            <w:tcW w:w="4644" w:type="dxa"/>
            <w:vAlign w:val="center"/>
          </w:tcPr>
          <w:p w14:paraId="74684BE8" w14:textId="77777777" w:rsidR="00E52BBA" w:rsidRDefault="00E52BBA" w:rsidP="00383155">
            <w:pPr>
              <w:pStyle w:val="TableTextEntries"/>
              <w:spacing w:before="60" w:after="60"/>
              <w:rPr>
                <w:sz w:val="20"/>
                <w:szCs w:val="20"/>
              </w:rPr>
            </w:pPr>
            <w:r>
              <w:rPr>
                <w:sz w:val="20"/>
                <w:szCs w:val="20"/>
              </w:rPr>
              <w:t>Other – Improve services to community</w:t>
            </w:r>
          </w:p>
        </w:tc>
        <w:tc>
          <w:tcPr>
            <w:tcW w:w="993" w:type="dxa"/>
          </w:tcPr>
          <w:p w14:paraId="6034F41F" w14:textId="77777777" w:rsidR="00E52BBA" w:rsidRPr="00B84AA8" w:rsidRDefault="00E52BBA" w:rsidP="00383155">
            <w:pPr>
              <w:pStyle w:val="BodyText"/>
              <w:spacing w:before="60" w:after="60"/>
              <w:jc w:val="center"/>
            </w:pPr>
            <w:r>
              <w:rPr>
                <w:noProof/>
              </w:rPr>
              <mc:AlternateContent>
                <mc:Choice Requires="wps">
                  <w:drawing>
                    <wp:anchor distT="0" distB="0" distL="114300" distR="114300" simplePos="0" relativeHeight="251859968" behindDoc="1" locked="0" layoutInCell="1" allowOverlap="1" wp14:anchorId="6AC62325" wp14:editId="4E3F3635">
                      <wp:simplePos x="0" y="0"/>
                      <wp:positionH relativeFrom="column">
                        <wp:posOffset>162408</wp:posOffset>
                      </wp:positionH>
                      <wp:positionV relativeFrom="paragraph">
                        <wp:posOffset>45151</wp:posOffset>
                      </wp:positionV>
                      <wp:extent cx="163774" cy="163773"/>
                      <wp:effectExtent l="0" t="0" r="27305" b="27305"/>
                      <wp:wrapNone/>
                      <wp:docPr id="33" name="Text Box 33"/>
                      <wp:cNvGraphicFramePr/>
                      <a:graphic xmlns:a="http://schemas.openxmlformats.org/drawingml/2006/main">
                        <a:graphicData uri="http://schemas.microsoft.com/office/word/2010/wordprocessingShape">
                          <wps:wsp>
                            <wps:cNvSpPr txBox="1"/>
                            <wps:spPr>
                              <a:xfrm>
                                <a:off x="0" y="0"/>
                                <a:ext cx="163774" cy="1637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F7386C" w14:textId="77777777" w:rsidR="005864FD" w:rsidRDefault="005864FD" w:rsidP="00E52B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33" type="#_x0000_t202" style="position:absolute;left:0;text-align:left;margin-left:12.8pt;margin-top:3.55pt;width:12.9pt;height:12.9pt;z-index:-25145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" fillcolor="white [3201]" strokeweight=".5pt">
                      <v:textbox>
                        <w:txbxContent>
                          <w:p w14:paraId="54F7386C" w14:textId="77777777" w:rsidR="005864FD" w:rsidRDefault="005864FD" w:rsidP="00E52BBA"/>
                        </w:txbxContent>
                      </v:textbox>
                    </v:shape>
                  </w:pict>
                </mc:Fallback>
              </mc:AlternateContent>
            </w:r>
            <w:r>
              <w:t>X</w:t>
            </w:r>
          </w:p>
        </w:tc>
      </w:tr>
    </w:tbl>
    <w:p w14:paraId="5BE2E46F" w14:textId="77777777" w:rsidR="00E52BBA" w:rsidRDefault="00E52BBA" w:rsidP="000318AD">
      <w:pPr>
        <w:spacing w:before="240" w:line="280" w:lineRule="atLeast"/>
        <w:jc w:val="both"/>
        <w:rPr>
          <w:rFonts w:cs="Arial"/>
          <w:bCs/>
          <w:color w:val="548DD4" w:themeColor="text2" w:themeTint="99"/>
          <w:szCs w:val="22"/>
        </w:rPr>
      </w:pPr>
    </w:p>
    <w:p w14:paraId="0325C6CE" w14:textId="1DC6F5AB" w:rsidR="005B7EC9" w:rsidRPr="00826784" w:rsidRDefault="000318AD" w:rsidP="000318AD">
      <w:pPr>
        <w:spacing w:before="240" w:line="280" w:lineRule="atLeast"/>
        <w:jc w:val="both"/>
        <w:rPr>
          <w:rFonts w:cs="Arial"/>
          <w:b/>
          <w:bCs/>
          <w:color w:val="548DD4" w:themeColor="text2" w:themeTint="99"/>
          <w:szCs w:val="22"/>
        </w:rPr>
      </w:pPr>
      <w:r w:rsidRPr="00826784">
        <w:rPr>
          <w:rFonts w:cs="Arial"/>
          <w:b/>
          <w:bCs/>
          <w:color w:val="548DD4" w:themeColor="text2" w:themeTint="99"/>
          <w:szCs w:val="22"/>
        </w:rPr>
        <w:t xml:space="preserve">You should summarise below the key aspects of the council’s application, including the purpose and the steps undertaken in reaching a decision to make an application.  </w:t>
      </w:r>
    </w:p>
    <w:p w14:paraId="74CB5CB0" w14:textId="77777777" w:rsidR="005B7EC9" w:rsidRDefault="005B7EC9">
      <w:pPr>
        <w:rPr>
          <w:rFonts w:cs="Arial"/>
          <w:bCs/>
          <w:color w:val="548DD4" w:themeColor="text2" w:themeTint="99"/>
          <w:szCs w:val="22"/>
        </w:rPr>
      </w:pPr>
      <w:r>
        <w:rPr>
          <w:rFonts w:cs="Arial"/>
          <w:bCs/>
          <w:color w:val="548DD4" w:themeColor="text2" w:themeTint="99"/>
          <w:szCs w:val="22"/>
        </w:rPr>
        <w:br w:type="page"/>
      </w:r>
    </w:p>
    <w:p w14:paraId="7308B17B" w14:textId="64348828" w:rsidR="008361FC" w:rsidRPr="00C81F43" w:rsidRDefault="008361FC" w:rsidP="004E7F7B">
      <w:pPr>
        <w:pStyle w:val="Heading3"/>
        <w:tabs>
          <w:tab w:val="num" w:pos="851"/>
        </w:tabs>
        <w:ind w:left="709"/>
        <w:rPr>
          <w:sz w:val="22"/>
          <w:szCs w:val="22"/>
        </w:rPr>
      </w:pPr>
      <w:r w:rsidRPr="00C81F43">
        <w:rPr>
          <w:sz w:val="22"/>
          <w:szCs w:val="22"/>
        </w:rPr>
        <w:t>Purpose of Special Rate Variation Application</w:t>
      </w:r>
    </w:p>
    <w:p w14:paraId="225FA5E6" w14:textId="77777777" w:rsidR="00BD5BC1" w:rsidRDefault="00BD5BC1" w:rsidP="00BD5BC1">
      <w:pPr>
        <w:spacing w:before="240" w:line="276" w:lineRule="auto"/>
        <w:jc w:val="both"/>
        <w:rPr>
          <w:rFonts w:ascii="Arial" w:hAnsi="Arial" w:cs="Arial"/>
          <w:bCs/>
          <w:sz w:val="20"/>
          <w:szCs w:val="20"/>
        </w:rPr>
      </w:pPr>
      <w:r>
        <w:rPr>
          <w:rFonts w:ascii="Arial" w:hAnsi="Arial" w:cs="Arial"/>
          <w:bCs/>
          <w:sz w:val="20"/>
          <w:szCs w:val="20"/>
        </w:rPr>
        <w:t xml:space="preserve">The Council is seeking </w:t>
      </w:r>
      <w:r w:rsidRPr="00BD5BC1">
        <w:rPr>
          <w:rFonts w:ascii="Arial" w:hAnsi="Arial" w:cs="Arial"/>
          <w:bCs/>
          <w:sz w:val="20"/>
          <w:szCs w:val="20"/>
        </w:rPr>
        <w:t xml:space="preserve">a special variation increase of 6.6% in 2015/16 (including rate peg), followed by three annual increases of 9.6% (including rate peg) from 2016/17 to 2018/19 with additional funding remaining permanently in the rate base. </w:t>
      </w:r>
    </w:p>
    <w:p w14:paraId="5AADE5C6" w14:textId="4A6C2E2A" w:rsidR="008A0EA9" w:rsidRDefault="008361FC" w:rsidP="00BD5BC1">
      <w:pPr>
        <w:spacing w:before="240" w:line="276" w:lineRule="auto"/>
        <w:jc w:val="both"/>
        <w:rPr>
          <w:rFonts w:ascii="Arial" w:hAnsi="Arial" w:cs="Arial"/>
          <w:bCs/>
          <w:sz w:val="20"/>
          <w:szCs w:val="20"/>
        </w:rPr>
      </w:pPr>
      <w:r w:rsidRPr="006B4044">
        <w:rPr>
          <w:rFonts w:ascii="Arial" w:hAnsi="Arial" w:cs="Arial"/>
          <w:bCs/>
          <w:sz w:val="20"/>
          <w:szCs w:val="20"/>
        </w:rPr>
        <w:t xml:space="preserve">The </w:t>
      </w:r>
      <w:r w:rsidR="000817BC">
        <w:rPr>
          <w:rFonts w:ascii="Arial" w:hAnsi="Arial" w:cs="Arial"/>
          <w:bCs/>
          <w:sz w:val="20"/>
          <w:szCs w:val="20"/>
        </w:rPr>
        <w:t xml:space="preserve">major </w:t>
      </w:r>
      <w:r>
        <w:rPr>
          <w:rFonts w:ascii="Arial" w:hAnsi="Arial" w:cs="Arial"/>
          <w:bCs/>
          <w:sz w:val="20"/>
          <w:szCs w:val="20"/>
        </w:rPr>
        <w:t>purpose</w:t>
      </w:r>
      <w:r w:rsidRPr="006B4044">
        <w:rPr>
          <w:rFonts w:ascii="Arial" w:hAnsi="Arial" w:cs="Arial"/>
          <w:bCs/>
          <w:sz w:val="20"/>
          <w:szCs w:val="20"/>
        </w:rPr>
        <w:t xml:space="preserve"> of this application is to </w:t>
      </w:r>
      <w:r w:rsidR="000817BC">
        <w:rPr>
          <w:rFonts w:ascii="Arial" w:hAnsi="Arial" w:cs="Arial"/>
          <w:bCs/>
          <w:sz w:val="20"/>
          <w:szCs w:val="20"/>
        </w:rPr>
        <w:t xml:space="preserve">improve overall </w:t>
      </w:r>
      <w:r w:rsidR="008A0EA9">
        <w:rPr>
          <w:rFonts w:ascii="Arial" w:hAnsi="Arial" w:cs="Arial"/>
          <w:bCs/>
          <w:sz w:val="20"/>
          <w:szCs w:val="20"/>
        </w:rPr>
        <w:t xml:space="preserve">financial sustainability of the Council and </w:t>
      </w:r>
      <w:r w:rsidR="005B7EC9">
        <w:rPr>
          <w:rFonts w:ascii="Arial" w:hAnsi="Arial" w:cs="Arial"/>
          <w:bCs/>
          <w:sz w:val="20"/>
          <w:szCs w:val="20"/>
        </w:rPr>
        <w:t>revers</w:t>
      </w:r>
      <w:r w:rsidR="008A0EA9">
        <w:rPr>
          <w:rFonts w:ascii="Arial" w:hAnsi="Arial" w:cs="Arial"/>
          <w:bCs/>
          <w:sz w:val="20"/>
          <w:szCs w:val="20"/>
        </w:rPr>
        <w:t>e</w:t>
      </w:r>
      <w:r w:rsidR="005B7EC9">
        <w:rPr>
          <w:rFonts w:ascii="Arial" w:hAnsi="Arial" w:cs="Arial"/>
          <w:bCs/>
          <w:sz w:val="20"/>
          <w:szCs w:val="20"/>
        </w:rPr>
        <w:t xml:space="preserve"> </w:t>
      </w:r>
      <w:r w:rsidRPr="006B4044">
        <w:rPr>
          <w:rFonts w:ascii="Arial" w:hAnsi="Arial" w:cs="Arial"/>
          <w:bCs/>
          <w:sz w:val="20"/>
          <w:szCs w:val="20"/>
        </w:rPr>
        <w:t>the decline in the City’s $1 billion worth of built assets</w:t>
      </w:r>
      <w:r w:rsidR="008A0EA9">
        <w:rPr>
          <w:rFonts w:ascii="Arial" w:hAnsi="Arial" w:cs="Arial"/>
          <w:bCs/>
          <w:sz w:val="20"/>
          <w:szCs w:val="20"/>
        </w:rPr>
        <w:t xml:space="preserve"> by addressing the significant asset funding backlog. Additional income obtained would </w:t>
      </w:r>
      <w:r w:rsidR="009C38FE">
        <w:rPr>
          <w:rFonts w:ascii="Arial" w:hAnsi="Arial" w:cs="Arial"/>
          <w:bCs/>
          <w:sz w:val="20"/>
          <w:szCs w:val="20"/>
        </w:rPr>
        <w:t>be spent on</w:t>
      </w:r>
      <w:r w:rsidR="008A0EA9">
        <w:rPr>
          <w:rFonts w:ascii="Arial" w:hAnsi="Arial" w:cs="Arial"/>
          <w:bCs/>
          <w:sz w:val="20"/>
          <w:szCs w:val="20"/>
        </w:rPr>
        <w:t xml:space="preserve"> required asset renewal and maintenance as well as efficienc</w:t>
      </w:r>
      <w:r w:rsidR="00727964">
        <w:rPr>
          <w:rFonts w:ascii="Arial" w:hAnsi="Arial" w:cs="Arial"/>
          <w:bCs/>
          <w:sz w:val="20"/>
          <w:szCs w:val="20"/>
        </w:rPr>
        <w:t>y initiatives</w:t>
      </w:r>
      <w:r w:rsidR="008A0EA9">
        <w:rPr>
          <w:rFonts w:ascii="Arial" w:hAnsi="Arial" w:cs="Arial"/>
          <w:bCs/>
          <w:sz w:val="20"/>
          <w:szCs w:val="20"/>
        </w:rPr>
        <w:t xml:space="preserve"> that reduce </w:t>
      </w:r>
      <w:r w:rsidR="002229DE">
        <w:rPr>
          <w:rFonts w:ascii="Arial" w:hAnsi="Arial" w:cs="Arial"/>
          <w:bCs/>
          <w:sz w:val="20"/>
          <w:szCs w:val="20"/>
        </w:rPr>
        <w:t xml:space="preserve">operating and </w:t>
      </w:r>
      <w:r w:rsidR="008A0EA9">
        <w:rPr>
          <w:rFonts w:ascii="Arial" w:hAnsi="Arial" w:cs="Arial"/>
          <w:bCs/>
          <w:sz w:val="20"/>
          <w:szCs w:val="20"/>
        </w:rPr>
        <w:t xml:space="preserve">whole of life cycle asset costs. </w:t>
      </w:r>
    </w:p>
    <w:p w14:paraId="3A318647" w14:textId="1148DD23" w:rsidR="00284B50" w:rsidRPr="00814768" w:rsidRDefault="00814768" w:rsidP="00BD5BC1">
      <w:pPr>
        <w:spacing w:before="240" w:line="276" w:lineRule="auto"/>
        <w:jc w:val="both"/>
        <w:rPr>
          <w:rFonts w:ascii="Arial" w:hAnsi="Arial" w:cs="Arial"/>
          <w:bCs/>
          <w:sz w:val="20"/>
          <w:szCs w:val="20"/>
        </w:rPr>
      </w:pPr>
      <w:r w:rsidRPr="00814768">
        <w:rPr>
          <w:rFonts w:ascii="Arial" w:hAnsi="Arial" w:cs="Arial"/>
          <w:bCs/>
          <w:sz w:val="20"/>
          <w:szCs w:val="20"/>
        </w:rPr>
        <w:t xml:space="preserve">This application also includes continuation of </w:t>
      </w:r>
      <w:r>
        <w:rPr>
          <w:rFonts w:ascii="Arial" w:hAnsi="Arial" w:cs="Arial"/>
          <w:bCs/>
          <w:sz w:val="20"/>
          <w:szCs w:val="20"/>
        </w:rPr>
        <w:t xml:space="preserve">the </w:t>
      </w:r>
      <w:r w:rsidRPr="00814768">
        <w:rPr>
          <w:rFonts w:ascii="Arial" w:hAnsi="Arial" w:cs="Arial"/>
          <w:bCs/>
          <w:sz w:val="20"/>
          <w:szCs w:val="20"/>
        </w:rPr>
        <w:t xml:space="preserve">existing </w:t>
      </w:r>
      <w:r>
        <w:rPr>
          <w:rFonts w:ascii="Arial" w:hAnsi="Arial" w:cs="Arial"/>
          <w:bCs/>
          <w:sz w:val="20"/>
          <w:szCs w:val="20"/>
        </w:rPr>
        <w:t>Environment L</w:t>
      </w:r>
      <w:r w:rsidRPr="00814768">
        <w:rPr>
          <w:rFonts w:ascii="Arial" w:hAnsi="Arial" w:cs="Arial"/>
          <w:bCs/>
          <w:sz w:val="20"/>
          <w:szCs w:val="20"/>
        </w:rPr>
        <w:t xml:space="preserve">evy, due to expire in </w:t>
      </w:r>
      <w:r>
        <w:rPr>
          <w:rFonts w:ascii="Arial" w:hAnsi="Arial" w:cs="Arial"/>
          <w:bCs/>
          <w:sz w:val="20"/>
          <w:szCs w:val="20"/>
        </w:rPr>
        <w:t>J</w:t>
      </w:r>
      <w:r w:rsidRPr="00814768">
        <w:rPr>
          <w:rFonts w:ascii="Arial" w:hAnsi="Arial" w:cs="Arial"/>
          <w:bCs/>
          <w:sz w:val="20"/>
          <w:szCs w:val="20"/>
        </w:rPr>
        <w:t>une 2015</w:t>
      </w:r>
      <w:r>
        <w:rPr>
          <w:rFonts w:ascii="Arial" w:hAnsi="Arial" w:cs="Arial"/>
          <w:bCs/>
          <w:sz w:val="20"/>
          <w:szCs w:val="20"/>
        </w:rPr>
        <w:t>, on a permanent basis</w:t>
      </w:r>
      <w:r w:rsidRPr="00814768">
        <w:rPr>
          <w:rFonts w:ascii="Arial" w:hAnsi="Arial" w:cs="Arial"/>
          <w:bCs/>
          <w:sz w:val="20"/>
          <w:szCs w:val="20"/>
        </w:rPr>
        <w:t xml:space="preserve">. </w:t>
      </w:r>
      <w:r>
        <w:rPr>
          <w:rFonts w:ascii="Arial" w:hAnsi="Arial" w:cs="Arial"/>
          <w:bCs/>
          <w:sz w:val="20"/>
          <w:szCs w:val="20"/>
        </w:rPr>
        <w:t>This will support protection and restoration of the natural environment</w:t>
      </w:r>
      <w:r w:rsidR="009A5AA8">
        <w:rPr>
          <w:rFonts w:ascii="Arial" w:hAnsi="Arial" w:cs="Arial"/>
          <w:bCs/>
          <w:sz w:val="20"/>
          <w:szCs w:val="20"/>
        </w:rPr>
        <w:t xml:space="preserve">, conservation programs </w:t>
      </w:r>
      <w:r>
        <w:rPr>
          <w:rFonts w:ascii="Arial" w:hAnsi="Arial" w:cs="Arial"/>
          <w:bCs/>
          <w:sz w:val="20"/>
          <w:szCs w:val="20"/>
        </w:rPr>
        <w:t>and required renewal and maintenance of natural area visitor facilities. It will enable significant gains made over the previous 10 years of the Levy, to not be lost.</w:t>
      </w:r>
    </w:p>
    <w:p w14:paraId="6A74EAB1" w14:textId="77777777" w:rsidR="006A3D1C" w:rsidRDefault="008A0EA9" w:rsidP="00BD5BC1">
      <w:pPr>
        <w:spacing w:before="240" w:line="276" w:lineRule="auto"/>
        <w:jc w:val="both"/>
        <w:rPr>
          <w:rFonts w:ascii="Arial" w:hAnsi="Arial" w:cs="Arial"/>
          <w:bCs/>
          <w:sz w:val="20"/>
          <w:szCs w:val="20"/>
        </w:rPr>
      </w:pPr>
      <w:r>
        <w:rPr>
          <w:rFonts w:ascii="Arial" w:hAnsi="Arial" w:cs="Arial"/>
          <w:bCs/>
          <w:sz w:val="20"/>
          <w:szCs w:val="20"/>
        </w:rPr>
        <w:t>Th</w:t>
      </w:r>
      <w:r w:rsidR="00895F60">
        <w:rPr>
          <w:rFonts w:ascii="Arial" w:hAnsi="Arial" w:cs="Arial"/>
          <w:bCs/>
          <w:sz w:val="20"/>
          <w:szCs w:val="20"/>
        </w:rPr>
        <w:t xml:space="preserve">is </w:t>
      </w:r>
      <w:r w:rsidR="006A3D1C">
        <w:rPr>
          <w:rFonts w:ascii="Arial" w:hAnsi="Arial" w:cs="Arial"/>
          <w:bCs/>
          <w:sz w:val="20"/>
          <w:szCs w:val="20"/>
        </w:rPr>
        <w:t xml:space="preserve">special variation </w:t>
      </w:r>
      <w:r>
        <w:rPr>
          <w:rFonts w:ascii="Arial" w:hAnsi="Arial" w:cs="Arial"/>
          <w:bCs/>
          <w:sz w:val="20"/>
          <w:szCs w:val="20"/>
        </w:rPr>
        <w:t xml:space="preserve">application also seeks to fund </w:t>
      </w:r>
      <w:r w:rsidR="00895F60">
        <w:rPr>
          <w:rFonts w:ascii="Arial" w:hAnsi="Arial" w:cs="Arial"/>
          <w:bCs/>
          <w:sz w:val="20"/>
          <w:szCs w:val="20"/>
        </w:rPr>
        <w:t>a number of confirmed community priority areas</w:t>
      </w:r>
      <w:r w:rsidR="006A3D1C">
        <w:rPr>
          <w:rFonts w:ascii="Arial" w:hAnsi="Arial" w:cs="Arial"/>
          <w:bCs/>
          <w:sz w:val="20"/>
          <w:szCs w:val="20"/>
        </w:rPr>
        <w:t xml:space="preserve"> including:</w:t>
      </w:r>
    </w:p>
    <w:p w14:paraId="6C2182C5" w14:textId="71040066" w:rsidR="006A3D1C" w:rsidRPr="002229DE" w:rsidRDefault="006A3D1C" w:rsidP="00695720">
      <w:pPr>
        <w:pStyle w:val="ListParagraph"/>
        <w:numPr>
          <w:ilvl w:val="0"/>
          <w:numId w:val="76"/>
        </w:numPr>
        <w:spacing w:before="240" w:line="276" w:lineRule="auto"/>
        <w:jc w:val="both"/>
        <w:rPr>
          <w:rFonts w:ascii="Arial" w:hAnsi="Arial" w:cs="Arial"/>
          <w:bCs/>
          <w:sz w:val="20"/>
          <w:szCs w:val="20"/>
        </w:rPr>
      </w:pPr>
      <w:r w:rsidRPr="002229DE">
        <w:rPr>
          <w:rFonts w:ascii="Arial" w:hAnsi="Arial" w:cs="Arial"/>
          <w:bCs/>
          <w:sz w:val="20"/>
          <w:szCs w:val="20"/>
        </w:rPr>
        <w:t xml:space="preserve">Improving emergency preparedness and response to natural disasters such as bushfires; </w:t>
      </w:r>
    </w:p>
    <w:p w14:paraId="72A75993" w14:textId="2CFD8374" w:rsidR="006A3D1C" w:rsidRPr="002229DE" w:rsidRDefault="006A3D1C" w:rsidP="00695720">
      <w:pPr>
        <w:pStyle w:val="ListParagraph"/>
        <w:numPr>
          <w:ilvl w:val="0"/>
          <w:numId w:val="76"/>
        </w:numPr>
        <w:spacing w:before="240" w:line="276" w:lineRule="auto"/>
        <w:jc w:val="both"/>
        <w:rPr>
          <w:rFonts w:ascii="Arial" w:hAnsi="Arial" w:cs="Arial"/>
          <w:bCs/>
          <w:sz w:val="20"/>
          <w:szCs w:val="20"/>
        </w:rPr>
      </w:pPr>
      <w:r w:rsidRPr="002229DE">
        <w:rPr>
          <w:rFonts w:ascii="Arial" w:hAnsi="Arial" w:cs="Arial"/>
          <w:bCs/>
          <w:sz w:val="20"/>
          <w:szCs w:val="20"/>
        </w:rPr>
        <w:t>Improving services to the community</w:t>
      </w:r>
      <w:r w:rsidR="005B7EC9" w:rsidRPr="002229DE">
        <w:rPr>
          <w:rFonts w:ascii="Arial" w:hAnsi="Arial" w:cs="Arial"/>
          <w:bCs/>
          <w:sz w:val="20"/>
          <w:szCs w:val="20"/>
        </w:rPr>
        <w:t xml:space="preserve"> </w:t>
      </w:r>
      <w:r w:rsidRPr="002229DE">
        <w:rPr>
          <w:rFonts w:ascii="Arial" w:hAnsi="Arial" w:cs="Arial"/>
          <w:bCs/>
          <w:sz w:val="20"/>
          <w:szCs w:val="20"/>
        </w:rPr>
        <w:t>through investing in better renewal and maintenance of community and recreation facilities as well as funding community developmen</w:t>
      </w:r>
      <w:r w:rsidR="00C850EA">
        <w:rPr>
          <w:rFonts w:ascii="Arial" w:hAnsi="Arial" w:cs="Arial"/>
          <w:bCs/>
          <w:sz w:val="20"/>
          <w:szCs w:val="20"/>
        </w:rPr>
        <w:t>t programs  that support</w:t>
      </w:r>
      <w:r w:rsidRPr="002229DE">
        <w:rPr>
          <w:rFonts w:ascii="Arial" w:hAnsi="Arial" w:cs="Arial"/>
          <w:bCs/>
          <w:sz w:val="20"/>
          <w:szCs w:val="20"/>
        </w:rPr>
        <w:t xml:space="preserve"> social well-being for the general community and those most in need.</w:t>
      </w:r>
    </w:p>
    <w:p w14:paraId="2F8DB418" w14:textId="23A577CC" w:rsidR="008361FC" w:rsidRDefault="0084640C" w:rsidP="00BD5BC1">
      <w:pPr>
        <w:spacing w:before="240" w:line="276" w:lineRule="auto"/>
        <w:jc w:val="both"/>
        <w:rPr>
          <w:rFonts w:ascii="Arial" w:hAnsi="Arial" w:cs="Arial"/>
          <w:bCs/>
          <w:sz w:val="20"/>
          <w:szCs w:val="20"/>
        </w:rPr>
      </w:pPr>
      <w:r w:rsidRPr="00BD6580">
        <w:rPr>
          <w:rFonts w:ascii="Arial" w:hAnsi="Arial" w:cs="Arial"/>
          <w:b/>
          <w:bCs/>
          <w:sz w:val="20"/>
          <w:szCs w:val="20"/>
        </w:rPr>
        <w:t>Table 2.1</w:t>
      </w:r>
      <w:r w:rsidR="006B5427">
        <w:rPr>
          <w:rFonts w:ascii="Arial" w:hAnsi="Arial" w:cs="Arial"/>
          <w:bCs/>
          <w:sz w:val="20"/>
          <w:szCs w:val="20"/>
        </w:rPr>
        <w:t xml:space="preserve"> </w:t>
      </w:r>
      <w:r w:rsidR="00AF6F22">
        <w:rPr>
          <w:rFonts w:ascii="Arial" w:hAnsi="Arial" w:cs="Arial"/>
          <w:bCs/>
          <w:sz w:val="20"/>
          <w:szCs w:val="20"/>
        </w:rPr>
        <w:t>show</w:t>
      </w:r>
      <w:r w:rsidR="005F2CD0">
        <w:rPr>
          <w:rFonts w:ascii="Arial" w:hAnsi="Arial" w:cs="Arial"/>
          <w:bCs/>
          <w:sz w:val="20"/>
          <w:szCs w:val="20"/>
        </w:rPr>
        <w:t>s</w:t>
      </w:r>
      <w:r w:rsidR="00AF6F22">
        <w:rPr>
          <w:rFonts w:ascii="Arial" w:hAnsi="Arial" w:cs="Arial"/>
          <w:bCs/>
          <w:sz w:val="20"/>
          <w:szCs w:val="20"/>
        </w:rPr>
        <w:t xml:space="preserve"> </w:t>
      </w:r>
      <w:r w:rsidR="00B358F1">
        <w:rPr>
          <w:rFonts w:ascii="Arial" w:hAnsi="Arial" w:cs="Arial"/>
          <w:bCs/>
          <w:sz w:val="20"/>
          <w:szCs w:val="20"/>
        </w:rPr>
        <w:t xml:space="preserve">in more detail </w:t>
      </w:r>
      <w:r w:rsidR="006116B2">
        <w:rPr>
          <w:rFonts w:ascii="Arial" w:hAnsi="Arial" w:cs="Arial"/>
          <w:bCs/>
          <w:sz w:val="20"/>
          <w:szCs w:val="20"/>
        </w:rPr>
        <w:t xml:space="preserve">the </w:t>
      </w:r>
      <w:r w:rsidR="00734258">
        <w:rPr>
          <w:rFonts w:ascii="Arial" w:hAnsi="Arial" w:cs="Arial"/>
          <w:bCs/>
          <w:sz w:val="20"/>
          <w:szCs w:val="20"/>
        </w:rPr>
        <w:t>key service delivery areas that would benefit from the special variation</w:t>
      </w:r>
      <w:r w:rsidR="006116B2">
        <w:rPr>
          <w:rFonts w:ascii="Arial" w:hAnsi="Arial" w:cs="Arial"/>
          <w:bCs/>
          <w:sz w:val="20"/>
          <w:szCs w:val="20"/>
        </w:rPr>
        <w:t xml:space="preserve"> funding</w:t>
      </w:r>
      <w:r w:rsidR="00694A6C">
        <w:rPr>
          <w:rFonts w:ascii="Arial" w:hAnsi="Arial" w:cs="Arial"/>
          <w:bCs/>
          <w:sz w:val="20"/>
          <w:szCs w:val="20"/>
        </w:rPr>
        <w:t xml:space="preserve"> subject to annual assessment of risks needing to be addressed</w:t>
      </w:r>
      <w:r w:rsidR="00734258">
        <w:rPr>
          <w:rFonts w:ascii="Arial" w:hAnsi="Arial" w:cs="Arial"/>
          <w:bCs/>
          <w:sz w:val="20"/>
          <w:szCs w:val="20"/>
        </w:rPr>
        <w:t xml:space="preserve">. </w:t>
      </w:r>
      <w:r w:rsidR="00694A6C">
        <w:rPr>
          <w:rFonts w:ascii="Arial" w:hAnsi="Arial" w:cs="Arial"/>
          <w:bCs/>
          <w:sz w:val="20"/>
          <w:szCs w:val="20"/>
        </w:rPr>
        <w:t>T</w:t>
      </w:r>
      <w:r w:rsidR="00BC470F">
        <w:rPr>
          <w:rFonts w:ascii="Arial" w:hAnsi="Arial" w:cs="Arial"/>
          <w:bCs/>
          <w:sz w:val="20"/>
          <w:szCs w:val="20"/>
        </w:rPr>
        <w:t xml:space="preserve">he financial allocation against these areas is detailed in </w:t>
      </w:r>
      <w:r w:rsidR="00BC470F" w:rsidRPr="001C1C17">
        <w:rPr>
          <w:rFonts w:ascii="Arial" w:hAnsi="Arial" w:cs="Arial"/>
          <w:b/>
          <w:bCs/>
          <w:sz w:val="20"/>
          <w:szCs w:val="20"/>
        </w:rPr>
        <w:t>Part A Worksheet 6</w:t>
      </w:r>
      <w:r w:rsidR="00BC470F">
        <w:rPr>
          <w:rFonts w:ascii="Arial" w:hAnsi="Arial" w:cs="Arial"/>
          <w:bCs/>
          <w:sz w:val="20"/>
          <w:szCs w:val="20"/>
        </w:rPr>
        <w:t xml:space="preserve"> of this application</w:t>
      </w:r>
      <w:r w:rsidR="00125C5C">
        <w:rPr>
          <w:rFonts w:ascii="Arial" w:hAnsi="Arial" w:cs="Arial"/>
          <w:bCs/>
          <w:sz w:val="20"/>
          <w:szCs w:val="20"/>
        </w:rPr>
        <w:t>.</w:t>
      </w:r>
      <w:r w:rsidR="00BC470F">
        <w:rPr>
          <w:rFonts w:ascii="Arial" w:hAnsi="Arial" w:cs="Arial"/>
          <w:bCs/>
          <w:sz w:val="20"/>
          <w:szCs w:val="20"/>
        </w:rPr>
        <w:t xml:space="preserve"> </w:t>
      </w:r>
      <w:r w:rsidR="00AF6F22">
        <w:rPr>
          <w:rFonts w:ascii="Arial" w:hAnsi="Arial" w:cs="Arial"/>
          <w:bCs/>
          <w:sz w:val="20"/>
          <w:szCs w:val="20"/>
        </w:rPr>
        <w:t>Th</w:t>
      </w:r>
      <w:r w:rsidR="00FE3914">
        <w:rPr>
          <w:rFonts w:ascii="Arial" w:hAnsi="Arial" w:cs="Arial"/>
          <w:bCs/>
          <w:sz w:val="20"/>
          <w:szCs w:val="20"/>
        </w:rPr>
        <w:t>is</w:t>
      </w:r>
      <w:r w:rsidR="00AF6F22">
        <w:rPr>
          <w:rFonts w:ascii="Arial" w:hAnsi="Arial" w:cs="Arial"/>
          <w:bCs/>
          <w:sz w:val="20"/>
          <w:szCs w:val="20"/>
        </w:rPr>
        <w:t xml:space="preserve"> expenditure focus has been determined through </w:t>
      </w:r>
      <w:r w:rsidR="009A5AA8">
        <w:rPr>
          <w:rFonts w:ascii="Arial" w:hAnsi="Arial" w:cs="Arial"/>
          <w:bCs/>
          <w:sz w:val="20"/>
          <w:szCs w:val="20"/>
        </w:rPr>
        <w:t xml:space="preserve">four years of </w:t>
      </w:r>
      <w:r w:rsidR="007B13D7">
        <w:rPr>
          <w:rFonts w:ascii="Arial" w:hAnsi="Arial" w:cs="Arial"/>
          <w:bCs/>
          <w:sz w:val="20"/>
          <w:szCs w:val="20"/>
        </w:rPr>
        <w:t>community needs assessment</w:t>
      </w:r>
      <w:r w:rsidR="00CC3C4E">
        <w:rPr>
          <w:rFonts w:ascii="Arial" w:hAnsi="Arial" w:cs="Arial"/>
          <w:bCs/>
          <w:sz w:val="20"/>
          <w:szCs w:val="20"/>
        </w:rPr>
        <w:t xml:space="preserve"> </w:t>
      </w:r>
      <w:r w:rsidR="00734258">
        <w:rPr>
          <w:rFonts w:ascii="Arial" w:hAnsi="Arial" w:cs="Arial"/>
          <w:bCs/>
          <w:sz w:val="20"/>
          <w:szCs w:val="20"/>
        </w:rPr>
        <w:t xml:space="preserve">and comprehensive </w:t>
      </w:r>
      <w:r w:rsidR="00AF6F22">
        <w:rPr>
          <w:rFonts w:ascii="Arial" w:hAnsi="Arial" w:cs="Arial"/>
          <w:bCs/>
          <w:sz w:val="20"/>
          <w:szCs w:val="20"/>
        </w:rPr>
        <w:t xml:space="preserve">service and asset planning </w:t>
      </w:r>
      <w:r w:rsidR="00734258">
        <w:rPr>
          <w:rFonts w:ascii="Arial" w:hAnsi="Arial" w:cs="Arial"/>
          <w:bCs/>
          <w:sz w:val="20"/>
          <w:szCs w:val="20"/>
        </w:rPr>
        <w:t xml:space="preserve">in consultation with community (see </w:t>
      </w:r>
      <w:r w:rsidR="00734258" w:rsidRPr="00BD6580">
        <w:rPr>
          <w:rFonts w:ascii="Arial" w:hAnsi="Arial" w:cs="Arial"/>
          <w:b/>
          <w:bCs/>
          <w:sz w:val="20"/>
          <w:szCs w:val="20"/>
        </w:rPr>
        <w:t xml:space="preserve">Section </w:t>
      </w:r>
      <w:r w:rsidR="002345DE" w:rsidRPr="00BD6580">
        <w:rPr>
          <w:rFonts w:ascii="Arial" w:hAnsi="Arial" w:cs="Arial"/>
          <w:b/>
          <w:bCs/>
          <w:sz w:val="20"/>
          <w:szCs w:val="20"/>
        </w:rPr>
        <w:t>3.1.1</w:t>
      </w:r>
      <w:r w:rsidR="00734258">
        <w:rPr>
          <w:rFonts w:ascii="Arial" w:hAnsi="Arial" w:cs="Arial"/>
          <w:bCs/>
          <w:sz w:val="20"/>
          <w:szCs w:val="20"/>
        </w:rPr>
        <w:t xml:space="preserve">). </w:t>
      </w:r>
    </w:p>
    <w:p w14:paraId="7CD99C61" w14:textId="77777777" w:rsidR="00FE3914" w:rsidRDefault="00FE3914" w:rsidP="00BD5BC1">
      <w:pPr>
        <w:pStyle w:val="ListParagraph"/>
        <w:spacing w:line="276" w:lineRule="auto"/>
        <w:ind w:left="0"/>
        <w:jc w:val="both"/>
        <w:rPr>
          <w:rFonts w:ascii="Arial" w:hAnsi="Arial" w:cs="Arial"/>
          <w:bCs/>
          <w:sz w:val="20"/>
          <w:szCs w:val="20"/>
        </w:rPr>
      </w:pPr>
    </w:p>
    <w:p w14:paraId="76B63F31" w14:textId="1DA79495" w:rsidR="00023208" w:rsidRPr="009D2CFA" w:rsidRDefault="00694A6C" w:rsidP="00BD5BC1">
      <w:pPr>
        <w:pStyle w:val="ListParagraph"/>
        <w:spacing w:line="276" w:lineRule="auto"/>
        <w:ind w:left="0"/>
        <w:jc w:val="both"/>
        <w:rPr>
          <w:rFonts w:ascii="Arial" w:hAnsi="Arial" w:cs="Arial"/>
          <w:bCs/>
          <w:sz w:val="20"/>
          <w:szCs w:val="20"/>
        </w:rPr>
      </w:pPr>
      <w:r>
        <w:rPr>
          <w:rFonts w:ascii="Arial" w:hAnsi="Arial" w:cs="Arial"/>
          <w:bCs/>
          <w:sz w:val="20"/>
          <w:szCs w:val="20"/>
        </w:rPr>
        <w:t xml:space="preserve">While funding has been allocated to specific program areas, as outlined to the community, funding will also need to be targeted to </w:t>
      </w:r>
      <w:r w:rsidR="00A27451">
        <w:rPr>
          <w:rFonts w:ascii="Arial" w:hAnsi="Arial" w:cs="Arial"/>
          <w:bCs/>
          <w:sz w:val="20"/>
          <w:szCs w:val="20"/>
        </w:rPr>
        <w:t xml:space="preserve">managing </w:t>
      </w:r>
      <w:r>
        <w:rPr>
          <w:rFonts w:ascii="Arial" w:hAnsi="Arial" w:cs="Arial"/>
          <w:bCs/>
          <w:sz w:val="20"/>
          <w:szCs w:val="20"/>
        </w:rPr>
        <w:t xml:space="preserve">identified risks so as to support overall improvement in the condition of the built assets. </w:t>
      </w:r>
      <w:r w:rsidR="00023208" w:rsidRPr="009D2CFA">
        <w:rPr>
          <w:rFonts w:ascii="Arial" w:hAnsi="Arial" w:cs="Arial"/>
          <w:bCs/>
          <w:sz w:val="20"/>
          <w:szCs w:val="20"/>
        </w:rPr>
        <w:t xml:space="preserve">The funding of asset renewal and maintenance </w:t>
      </w:r>
      <w:r w:rsidR="001E7CFE">
        <w:rPr>
          <w:rFonts w:ascii="Arial" w:hAnsi="Arial" w:cs="Arial"/>
          <w:bCs/>
          <w:sz w:val="20"/>
          <w:szCs w:val="20"/>
        </w:rPr>
        <w:t xml:space="preserve">aims to </w:t>
      </w:r>
      <w:r w:rsidR="00023208" w:rsidRPr="009D2CFA">
        <w:rPr>
          <w:rFonts w:ascii="Arial" w:hAnsi="Arial" w:cs="Arial"/>
          <w:bCs/>
          <w:sz w:val="20"/>
          <w:szCs w:val="20"/>
        </w:rPr>
        <w:t xml:space="preserve">support </w:t>
      </w:r>
      <w:r w:rsidR="00FE3914">
        <w:rPr>
          <w:rFonts w:ascii="Arial" w:hAnsi="Arial" w:cs="Arial"/>
          <w:bCs/>
          <w:sz w:val="20"/>
          <w:szCs w:val="20"/>
        </w:rPr>
        <w:t>s</w:t>
      </w:r>
      <w:r w:rsidR="00023208" w:rsidRPr="009D2CFA">
        <w:rPr>
          <w:rFonts w:ascii="Arial" w:hAnsi="Arial" w:cs="Arial"/>
          <w:bCs/>
          <w:sz w:val="20"/>
          <w:szCs w:val="20"/>
        </w:rPr>
        <w:t xml:space="preserve">ervice </w:t>
      </w:r>
      <w:r w:rsidR="00FE3914">
        <w:rPr>
          <w:rFonts w:ascii="Arial" w:hAnsi="Arial" w:cs="Arial"/>
          <w:bCs/>
          <w:sz w:val="20"/>
          <w:szCs w:val="20"/>
        </w:rPr>
        <w:t>le</w:t>
      </w:r>
      <w:r w:rsidR="00023208" w:rsidRPr="009D2CFA">
        <w:rPr>
          <w:rFonts w:ascii="Arial" w:hAnsi="Arial" w:cs="Arial"/>
          <w:bCs/>
          <w:sz w:val="20"/>
          <w:szCs w:val="20"/>
        </w:rPr>
        <w:t xml:space="preserve">vels </w:t>
      </w:r>
      <w:r w:rsidR="00FE3914">
        <w:rPr>
          <w:rFonts w:ascii="Arial" w:hAnsi="Arial" w:cs="Arial"/>
          <w:bCs/>
          <w:sz w:val="20"/>
          <w:szCs w:val="20"/>
        </w:rPr>
        <w:t>i</w:t>
      </w:r>
      <w:r w:rsidR="00023208" w:rsidRPr="009D2CFA">
        <w:rPr>
          <w:rFonts w:ascii="Arial" w:hAnsi="Arial" w:cs="Arial"/>
          <w:bCs/>
          <w:sz w:val="20"/>
          <w:szCs w:val="20"/>
        </w:rPr>
        <w:t xml:space="preserve">mproving </w:t>
      </w:r>
      <w:r w:rsidR="00FE3914">
        <w:rPr>
          <w:rFonts w:ascii="Arial" w:hAnsi="Arial" w:cs="Arial"/>
          <w:bCs/>
          <w:sz w:val="20"/>
          <w:szCs w:val="20"/>
        </w:rPr>
        <w:t xml:space="preserve">overall through </w:t>
      </w:r>
      <w:r w:rsidR="00023208" w:rsidRPr="009D2CFA">
        <w:rPr>
          <w:rFonts w:ascii="Arial" w:hAnsi="Arial" w:cs="Arial"/>
          <w:bCs/>
          <w:sz w:val="20"/>
          <w:szCs w:val="20"/>
        </w:rPr>
        <w:t xml:space="preserve">reducing the proportion of the Council’s $1 billion worth of built assets in poor condition from the current 21% to 17% or less by 2024. </w:t>
      </w:r>
    </w:p>
    <w:p w14:paraId="48A334C9" w14:textId="77777777" w:rsidR="00023208" w:rsidRPr="009D2CFA" w:rsidRDefault="00023208" w:rsidP="00BD5BC1">
      <w:pPr>
        <w:pStyle w:val="ListParagraph"/>
        <w:spacing w:line="276" w:lineRule="auto"/>
        <w:ind w:left="0"/>
        <w:jc w:val="both"/>
        <w:rPr>
          <w:rFonts w:ascii="Arial" w:hAnsi="Arial" w:cs="Arial"/>
          <w:bCs/>
          <w:sz w:val="20"/>
          <w:szCs w:val="20"/>
        </w:rPr>
      </w:pPr>
    </w:p>
    <w:p w14:paraId="638B29CA" w14:textId="78211928" w:rsidR="00FE3914" w:rsidRDefault="00023208" w:rsidP="00BD5BC1">
      <w:pPr>
        <w:pStyle w:val="ListParagraph"/>
        <w:spacing w:line="276" w:lineRule="auto"/>
        <w:ind w:left="0"/>
        <w:jc w:val="both"/>
        <w:rPr>
          <w:rFonts w:ascii="Arial" w:hAnsi="Arial" w:cs="Arial"/>
          <w:bCs/>
          <w:sz w:val="20"/>
          <w:szCs w:val="20"/>
        </w:rPr>
      </w:pPr>
      <w:r w:rsidRPr="009D2CFA">
        <w:rPr>
          <w:rFonts w:ascii="Arial" w:hAnsi="Arial" w:cs="Arial"/>
          <w:bCs/>
          <w:sz w:val="20"/>
          <w:szCs w:val="20"/>
        </w:rPr>
        <w:t xml:space="preserve">The Council’s </w:t>
      </w:r>
      <w:r w:rsidRPr="00BB75AB">
        <w:rPr>
          <w:rFonts w:ascii="Arial" w:hAnsi="Arial" w:cs="Arial"/>
          <w:bCs/>
          <w:i/>
          <w:sz w:val="20"/>
          <w:szCs w:val="20"/>
        </w:rPr>
        <w:t>S</w:t>
      </w:r>
      <w:r w:rsidR="00E06301">
        <w:rPr>
          <w:rFonts w:ascii="Arial" w:hAnsi="Arial" w:cs="Arial"/>
          <w:bCs/>
          <w:i/>
          <w:sz w:val="20"/>
          <w:szCs w:val="20"/>
        </w:rPr>
        <w:t xml:space="preserve">ervice </w:t>
      </w:r>
      <w:r w:rsidRPr="00BB75AB">
        <w:rPr>
          <w:rFonts w:ascii="Arial" w:hAnsi="Arial" w:cs="Arial"/>
          <w:bCs/>
          <w:i/>
          <w:sz w:val="20"/>
          <w:szCs w:val="20"/>
        </w:rPr>
        <w:t xml:space="preserve">Dashboards: </w:t>
      </w:r>
      <w:r w:rsidR="00E06301">
        <w:rPr>
          <w:rFonts w:ascii="Arial" w:hAnsi="Arial" w:cs="Arial"/>
          <w:bCs/>
          <w:i/>
          <w:sz w:val="20"/>
          <w:szCs w:val="20"/>
        </w:rPr>
        <w:t xml:space="preserve">Summary </w:t>
      </w:r>
      <w:r w:rsidRPr="00BB75AB">
        <w:rPr>
          <w:rFonts w:ascii="Arial" w:hAnsi="Arial" w:cs="Arial"/>
          <w:bCs/>
          <w:i/>
          <w:sz w:val="20"/>
          <w:szCs w:val="20"/>
        </w:rPr>
        <w:t xml:space="preserve">Service </w:t>
      </w:r>
      <w:r w:rsidR="00E06301">
        <w:rPr>
          <w:rFonts w:ascii="Arial" w:hAnsi="Arial" w:cs="Arial"/>
          <w:bCs/>
          <w:i/>
          <w:sz w:val="20"/>
          <w:szCs w:val="20"/>
        </w:rPr>
        <w:t>&amp;</w:t>
      </w:r>
      <w:r w:rsidRPr="00BB75AB">
        <w:rPr>
          <w:rFonts w:ascii="Arial" w:hAnsi="Arial" w:cs="Arial"/>
          <w:bCs/>
          <w:i/>
          <w:sz w:val="20"/>
          <w:szCs w:val="20"/>
        </w:rPr>
        <w:t xml:space="preserve"> Asset Plans</w:t>
      </w:r>
      <w:r w:rsidR="00BB75AB">
        <w:rPr>
          <w:rFonts w:ascii="Arial" w:hAnsi="Arial" w:cs="Arial"/>
          <w:bCs/>
          <w:i/>
          <w:sz w:val="20"/>
          <w:szCs w:val="20"/>
        </w:rPr>
        <w:t xml:space="preserve"> </w:t>
      </w:r>
      <w:r w:rsidR="006A33CB" w:rsidRPr="006A33CB">
        <w:rPr>
          <w:rFonts w:ascii="Arial" w:hAnsi="Arial" w:cs="Arial"/>
          <w:bCs/>
          <w:sz w:val="20"/>
          <w:szCs w:val="20"/>
        </w:rPr>
        <w:t>document</w:t>
      </w:r>
      <w:r w:rsidRPr="009D2CFA">
        <w:rPr>
          <w:rFonts w:ascii="Arial" w:hAnsi="Arial" w:cs="Arial"/>
          <w:bCs/>
          <w:sz w:val="20"/>
          <w:szCs w:val="20"/>
        </w:rPr>
        <w:t xml:space="preserve"> (see </w:t>
      </w:r>
      <w:r w:rsidRPr="00BD6580">
        <w:rPr>
          <w:rFonts w:ascii="Arial" w:hAnsi="Arial" w:cs="Arial"/>
          <w:b/>
          <w:bCs/>
          <w:sz w:val="20"/>
          <w:szCs w:val="20"/>
        </w:rPr>
        <w:t>Attachment 10</w:t>
      </w:r>
      <w:r w:rsidRPr="009D2CFA">
        <w:rPr>
          <w:rFonts w:ascii="Arial" w:hAnsi="Arial" w:cs="Arial"/>
          <w:bCs/>
          <w:sz w:val="20"/>
          <w:szCs w:val="20"/>
        </w:rPr>
        <w:t>),</w:t>
      </w:r>
      <w:r w:rsidR="006A33CB">
        <w:rPr>
          <w:rFonts w:ascii="Arial" w:hAnsi="Arial" w:cs="Arial"/>
          <w:bCs/>
          <w:sz w:val="20"/>
          <w:szCs w:val="20"/>
        </w:rPr>
        <w:t xml:space="preserve"> is</w:t>
      </w:r>
      <w:r w:rsidRPr="009D2CFA">
        <w:rPr>
          <w:rFonts w:ascii="Arial" w:hAnsi="Arial" w:cs="Arial"/>
          <w:bCs/>
          <w:sz w:val="20"/>
          <w:szCs w:val="20"/>
        </w:rPr>
        <w:t xml:space="preserve"> a key tool </w:t>
      </w:r>
      <w:r w:rsidR="00BB75AB">
        <w:rPr>
          <w:rFonts w:ascii="Arial" w:hAnsi="Arial" w:cs="Arial"/>
          <w:bCs/>
          <w:sz w:val="20"/>
          <w:szCs w:val="20"/>
        </w:rPr>
        <w:t>updated annually</w:t>
      </w:r>
      <w:r w:rsidR="00E06301">
        <w:rPr>
          <w:rFonts w:ascii="Arial" w:hAnsi="Arial" w:cs="Arial"/>
          <w:bCs/>
          <w:sz w:val="20"/>
          <w:szCs w:val="20"/>
        </w:rPr>
        <w:t>,</w:t>
      </w:r>
      <w:r w:rsidR="00BB75AB">
        <w:rPr>
          <w:rFonts w:ascii="Arial" w:hAnsi="Arial" w:cs="Arial"/>
          <w:bCs/>
          <w:sz w:val="20"/>
          <w:szCs w:val="20"/>
        </w:rPr>
        <w:t xml:space="preserve"> </w:t>
      </w:r>
      <w:r w:rsidRPr="009D2CFA">
        <w:rPr>
          <w:rFonts w:ascii="Arial" w:hAnsi="Arial" w:cs="Arial"/>
          <w:bCs/>
          <w:sz w:val="20"/>
          <w:szCs w:val="20"/>
        </w:rPr>
        <w:t xml:space="preserve">guiding responsible management of services and assets, including best value resource allocation and </w:t>
      </w:r>
      <w:r w:rsidR="006B5427">
        <w:rPr>
          <w:rFonts w:ascii="Arial" w:hAnsi="Arial" w:cs="Arial"/>
          <w:bCs/>
          <w:sz w:val="20"/>
          <w:szCs w:val="20"/>
        </w:rPr>
        <w:t xml:space="preserve">responsible risk </w:t>
      </w:r>
      <w:r w:rsidRPr="009D2CFA">
        <w:rPr>
          <w:rFonts w:ascii="Arial" w:hAnsi="Arial" w:cs="Arial"/>
          <w:bCs/>
          <w:sz w:val="20"/>
          <w:szCs w:val="20"/>
        </w:rPr>
        <w:t xml:space="preserve">management. </w:t>
      </w:r>
    </w:p>
    <w:p w14:paraId="1BEC49BD" w14:textId="77777777" w:rsidR="00FE3914" w:rsidRDefault="00FE3914" w:rsidP="00BD5BC1">
      <w:pPr>
        <w:spacing w:line="276" w:lineRule="auto"/>
        <w:rPr>
          <w:rFonts w:ascii="Arial" w:eastAsiaTheme="minorHAnsi" w:hAnsi="Arial" w:cs="Arial"/>
          <w:bCs/>
          <w:sz w:val="20"/>
          <w:szCs w:val="20"/>
          <w:lang w:eastAsia="en-US"/>
        </w:rPr>
      </w:pPr>
      <w:r>
        <w:rPr>
          <w:rFonts w:ascii="Arial" w:hAnsi="Arial" w:cs="Arial"/>
          <w:bCs/>
          <w:sz w:val="20"/>
          <w:szCs w:val="20"/>
        </w:rPr>
        <w:br w:type="page"/>
      </w:r>
    </w:p>
    <w:p w14:paraId="20988459" w14:textId="051D3E3B" w:rsidR="008361FC" w:rsidRPr="003B5CED" w:rsidRDefault="006B5427" w:rsidP="006B5427">
      <w:pPr>
        <w:spacing w:line="360" w:lineRule="auto"/>
        <w:jc w:val="both"/>
        <w:rPr>
          <w:rFonts w:ascii="Arial" w:hAnsi="Arial" w:cs="Arial"/>
          <w:b/>
          <w:bCs/>
          <w:sz w:val="18"/>
          <w:szCs w:val="18"/>
        </w:rPr>
      </w:pPr>
      <w:r w:rsidRPr="003B5CED">
        <w:rPr>
          <w:rFonts w:ascii="Arial" w:hAnsi="Arial" w:cs="Arial"/>
          <w:b/>
          <w:bCs/>
          <w:sz w:val="18"/>
          <w:szCs w:val="18"/>
        </w:rPr>
        <w:t xml:space="preserve">Table </w:t>
      </w:r>
      <w:r w:rsidR="0084640C" w:rsidRPr="003B5CED">
        <w:rPr>
          <w:rFonts w:ascii="Arial" w:hAnsi="Arial" w:cs="Arial"/>
          <w:b/>
          <w:bCs/>
          <w:sz w:val="18"/>
          <w:szCs w:val="18"/>
        </w:rPr>
        <w:t>2.1</w:t>
      </w:r>
      <w:r w:rsidR="00A90C82" w:rsidRPr="003B5CED">
        <w:rPr>
          <w:rFonts w:ascii="Arial" w:hAnsi="Arial" w:cs="Arial"/>
          <w:b/>
          <w:bCs/>
          <w:sz w:val="18"/>
          <w:szCs w:val="18"/>
        </w:rPr>
        <w:t xml:space="preserve">: </w:t>
      </w:r>
      <w:r w:rsidR="0084640C" w:rsidRPr="003B5CED">
        <w:rPr>
          <w:rFonts w:ascii="Arial" w:hAnsi="Arial" w:cs="Arial"/>
          <w:b/>
          <w:bCs/>
          <w:sz w:val="18"/>
          <w:szCs w:val="18"/>
        </w:rPr>
        <w:t xml:space="preserve">Key </w:t>
      </w:r>
      <w:r w:rsidR="00DD2A1B" w:rsidRPr="003B5CED">
        <w:rPr>
          <w:rFonts w:ascii="Arial" w:hAnsi="Arial" w:cs="Arial"/>
          <w:b/>
          <w:bCs/>
          <w:sz w:val="18"/>
          <w:szCs w:val="18"/>
        </w:rPr>
        <w:t>S</w:t>
      </w:r>
      <w:r w:rsidR="0084640C" w:rsidRPr="003B5CED">
        <w:rPr>
          <w:rFonts w:ascii="Arial" w:hAnsi="Arial" w:cs="Arial"/>
          <w:b/>
          <w:bCs/>
          <w:sz w:val="18"/>
          <w:szCs w:val="18"/>
        </w:rPr>
        <w:t xml:space="preserve">ervice </w:t>
      </w:r>
      <w:r w:rsidR="00DD2A1B" w:rsidRPr="003B5CED">
        <w:rPr>
          <w:rFonts w:ascii="Arial" w:hAnsi="Arial" w:cs="Arial"/>
          <w:b/>
          <w:bCs/>
          <w:sz w:val="18"/>
          <w:szCs w:val="18"/>
        </w:rPr>
        <w:t>D</w:t>
      </w:r>
      <w:r w:rsidR="0084640C" w:rsidRPr="003B5CED">
        <w:rPr>
          <w:rFonts w:ascii="Arial" w:hAnsi="Arial" w:cs="Arial"/>
          <w:b/>
          <w:bCs/>
          <w:sz w:val="18"/>
          <w:szCs w:val="18"/>
        </w:rPr>
        <w:t xml:space="preserve">elivery </w:t>
      </w:r>
      <w:r w:rsidR="00DD2A1B" w:rsidRPr="003B5CED">
        <w:rPr>
          <w:rFonts w:ascii="Arial" w:hAnsi="Arial" w:cs="Arial"/>
          <w:b/>
          <w:bCs/>
          <w:sz w:val="18"/>
          <w:szCs w:val="18"/>
        </w:rPr>
        <w:t>A</w:t>
      </w:r>
      <w:r w:rsidR="0084640C" w:rsidRPr="003B5CED">
        <w:rPr>
          <w:rFonts w:ascii="Arial" w:hAnsi="Arial" w:cs="Arial"/>
          <w:b/>
          <w:bCs/>
          <w:sz w:val="18"/>
          <w:szCs w:val="18"/>
        </w:rPr>
        <w:t xml:space="preserve">reas </w:t>
      </w:r>
      <w:r w:rsidR="00DD2A1B" w:rsidRPr="003B5CED">
        <w:rPr>
          <w:rFonts w:ascii="Arial" w:hAnsi="Arial" w:cs="Arial"/>
          <w:b/>
          <w:bCs/>
          <w:sz w:val="18"/>
          <w:szCs w:val="18"/>
        </w:rPr>
        <w:t>B</w:t>
      </w:r>
      <w:r w:rsidR="00A90C82" w:rsidRPr="003B5CED">
        <w:rPr>
          <w:rFonts w:ascii="Arial" w:hAnsi="Arial" w:cs="Arial"/>
          <w:b/>
          <w:bCs/>
          <w:sz w:val="18"/>
          <w:szCs w:val="18"/>
        </w:rPr>
        <w:t>enefiting</w:t>
      </w:r>
      <w:r w:rsidR="0084640C" w:rsidRPr="003B5CED">
        <w:rPr>
          <w:rFonts w:ascii="Arial" w:hAnsi="Arial" w:cs="Arial"/>
          <w:b/>
          <w:bCs/>
          <w:sz w:val="18"/>
          <w:szCs w:val="18"/>
        </w:rPr>
        <w:t xml:space="preserve"> from the </w:t>
      </w:r>
      <w:r w:rsidR="00DD2A1B" w:rsidRPr="003B5CED">
        <w:rPr>
          <w:rFonts w:ascii="Arial" w:hAnsi="Arial" w:cs="Arial"/>
          <w:b/>
          <w:bCs/>
          <w:sz w:val="18"/>
          <w:szCs w:val="18"/>
        </w:rPr>
        <w:t>S</w:t>
      </w:r>
      <w:r w:rsidR="0084640C" w:rsidRPr="003B5CED">
        <w:rPr>
          <w:rFonts w:ascii="Arial" w:hAnsi="Arial" w:cs="Arial"/>
          <w:b/>
          <w:bCs/>
          <w:sz w:val="18"/>
          <w:szCs w:val="18"/>
        </w:rPr>
        <w:t xml:space="preserve">pecial </w:t>
      </w:r>
      <w:r w:rsidR="00DD2A1B" w:rsidRPr="003B5CED">
        <w:rPr>
          <w:rFonts w:ascii="Arial" w:hAnsi="Arial" w:cs="Arial"/>
          <w:b/>
          <w:bCs/>
          <w:sz w:val="18"/>
          <w:szCs w:val="18"/>
        </w:rPr>
        <w:t>V</w:t>
      </w:r>
      <w:r w:rsidR="00A90C82" w:rsidRPr="003B5CED">
        <w:rPr>
          <w:rFonts w:ascii="Arial" w:hAnsi="Arial" w:cs="Arial"/>
          <w:b/>
          <w:bCs/>
          <w:sz w:val="18"/>
          <w:szCs w:val="18"/>
        </w:rPr>
        <w:t xml:space="preserve">ariation </w:t>
      </w:r>
    </w:p>
    <w:tbl>
      <w:tblPr>
        <w:tblStyle w:val="TableGrid"/>
        <w:tblW w:w="8647"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27"/>
        <w:gridCol w:w="6520"/>
      </w:tblGrid>
      <w:tr w:rsidR="006B5427" w:rsidRPr="00A90C82" w14:paraId="419B1958" w14:textId="77777777" w:rsidTr="00BA387A">
        <w:trPr>
          <w:trHeight w:val="456"/>
          <w:tblHeader/>
        </w:trPr>
        <w:tc>
          <w:tcPr>
            <w:tcW w:w="2127" w:type="dxa"/>
            <w:tcBorders>
              <w:bottom w:val="single" w:sz="6" w:space="0" w:color="auto"/>
            </w:tcBorders>
            <w:shd w:val="clear" w:color="auto" w:fill="4F81BD" w:themeFill="accent1"/>
            <w:vAlign w:val="center"/>
          </w:tcPr>
          <w:p w14:paraId="5C789148" w14:textId="5477C261" w:rsidR="006B5427" w:rsidRPr="00297C27" w:rsidRDefault="006B5427" w:rsidP="00A90C82">
            <w:pPr>
              <w:spacing w:line="360" w:lineRule="auto"/>
              <w:jc w:val="center"/>
              <w:rPr>
                <w:rFonts w:ascii="Arial" w:hAnsi="Arial" w:cs="Arial"/>
                <w:b/>
                <w:bCs/>
                <w:color w:val="FFFFFF" w:themeColor="background1"/>
                <w:szCs w:val="22"/>
              </w:rPr>
            </w:pPr>
            <w:r w:rsidRPr="00297C27">
              <w:rPr>
                <w:rFonts w:ascii="Arial" w:hAnsi="Arial" w:cs="Arial"/>
                <w:b/>
                <w:bCs/>
                <w:color w:val="FFFFFF" w:themeColor="background1"/>
                <w:szCs w:val="22"/>
              </w:rPr>
              <w:t>PURPOSE</w:t>
            </w:r>
          </w:p>
        </w:tc>
        <w:tc>
          <w:tcPr>
            <w:tcW w:w="6520" w:type="dxa"/>
            <w:tcBorders>
              <w:bottom w:val="single" w:sz="6" w:space="0" w:color="auto"/>
            </w:tcBorders>
            <w:shd w:val="clear" w:color="auto" w:fill="4F81BD" w:themeFill="accent1"/>
            <w:vAlign w:val="center"/>
          </w:tcPr>
          <w:p w14:paraId="186A5066" w14:textId="5D980ADF" w:rsidR="006B5427" w:rsidRPr="00297C27" w:rsidRDefault="006B5427" w:rsidP="00A90C82">
            <w:pPr>
              <w:spacing w:before="120" w:after="200" w:line="276" w:lineRule="auto"/>
              <w:ind w:left="639" w:hanging="322"/>
              <w:contextualSpacing/>
              <w:jc w:val="center"/>
              <w:rPr>
                <w:rFonts w:ascii="Arial" w:eastAsia="Calibri" w:hAnsi="Arial" w:cs="Arial"/>
                <w:b/>
                <w:color w:val="FFFFFF" w:themeColor="background1"/>
                <w:szCs w:val="22"/>
                <w:lang w:val="en-US"/>
              </w:rPr>
            </w:pPr>
            <w:r w:rsidRPr="00297C27">
              <w:rPr>
                <w:rFonts w:ascii="Arial" w:eastAsia="Calibri" w:hAnsi="Arial" w:cs="Arial"/>
                <w:b/>
                <w:color w:val="FFFFFF" w:themeColor="background1"/>
                <w:szCs w:val="22"/>
                <w:lang w:val="en-US"/>
              </w:rPr>
              <w:t>SERVICE DELIVERY EXPENDITURE AREA</w:t>
            </w:r>
          </w:p>
        </w:tc>
      </w:tr>
      <w:tr w:rsidR="008361FC" w:rsidRPr="00A90C82" w14:paraId="652B7E69" w14:textId="77777777" w:rsidTr="00BA387A">
        <w:tc>
          <w:tcPr>
            <w:tcW w:w="2127" w:type="dxa"/>
            <w:shd w:val="clear" w:color="auto" w:fill="FDE9D9" w:themeFill="accent6" w:themeFillTint="33"/>
          </w:tcPr>
          <w:p w14:paraId="161A13D7" w14:textId="2F100A36" w:rsidR="008361FC" w:rsidRPr="00A90C82" w:rsidRDefault="008361FC" w:rsidP="00A90C82">
            <w:pPr>
              <w:spacing w:line="276" w:lineRule="auto"/>
              <w:jc w:val="both"/>
              <w:rPr>
                <w:rFonts w:ascii="Arial" w:hAnsi="Arial" w:cs="Arial"/>
                <w:bCs/>
                <w:i/>
                <w:sz w:val="20"/>
                <w:szCs w:val="20"/>
              </w:rPr>
            </w:pPr>
          </w:p>
          <w:p w14:paraId="0177D9DA" w14:textId="77777777" w:rsidR="008361FC" w:rsidRPr="00CD3F9D" w:rsidRDefault="008361FC" w:rsidP="00A90C82">
            <w:pPr>
              <w:spacing w:line="276" w:lineRule="auto"/>
              <w:rPr>
                <w:rFonts w:ascii="Arial" w:hAnsi="Arial" w:cs="Arial"/>
                <w:bCs/>
                <w:sz w:val="20"/>
                <w:szCs w:val="20"/>
              </w:rPr>
            </w:pPr>
            <w:r w:rsidRPr="00CD3F9D">
              <w:rPr>
                <w:rFonts w:ascii="Arial" w:hAnsi="Arial" w:cs="Arial"/>
                <w:bCs/>
                <w:sz w:val="20"/>
                <w:szCs w:val="20"/>
              </w:rPr>
              <w:t xml:space="preserve">ACHIEVE </w:t>
            </w:r>
          </w:p>
          <w:p w14:paraId="747AA3A4" w14:textId="77777777" w:rsidR="000E1511" w:rsidRPr="00CD3F9D" w:rsidRDefault="008361FC" w:rsidP="00A90C82">
            <w:pPr>
              <w:spacing w:line="276" w:lineRule="auto"/>
              <w:rPr>
                <w:rFonts w:ascii="Arial" w:hAnsi="Arial" w:cs="Arial"/>
                <w:bCs/>
                <w:sz w:val="20"/>
                <w:szCs w:val="20"/>
              </w:rPr>
            </w:pPr>
            <w:r w:rsidRPr="00CD3F9D">
              <w:rPr>
                <w:rFonts w:ascii="Arial" w:hAnsi="Arial" w:cs="Arial"/>
                <w:bCs/>
                <w:sz w:val="20"/>
                <w:szCs w:val="20"/>
              </w:rPr>
              <w:t>BETTER BUILT INFRASTRUCTURE</w:t>
            </w:r>
          </w:p>
          <w:p w14:paraId="6DED4341" w14:textId="1FE4AF49" w:rsidR="008361FC" w:rsidRPr="00A90C82" w:rsidRDefault="008361FC" w:rsidP="00A90C82">
            <w:pPr>
              <w:spacing w:line="276" w:lineRule="auto"/>
              <w:rPr>
                <w:rFonts w:ascii="Arial" w:hAnsi="Arial" w:cs="Arial"/>
                <w:b/>
                <w:bCs/>
                <w:sz w:val="20"/>
                <w:szCs w:val="20"/>
              </w:rPr>
            </w:pPr>
            <w:r w:rsidRPr="00A90C82">
              <w:rPr>
                <w:rFonts w:ascii="Arial" w:hAnsi="Arial" w:cs="Arial"/>
                <w:b/>
                <w:bCs/>
                <w:sz w:val="20"/>
                <w:szCs w:val="20"/>
              </w:rPr>
              <w:t xml:space="preserve"> </w:t>
            </w:r>
          </w:p>
          <w:p w14:paraId="2F79857B" w14:textId="77777777" w:rsidR="00BA387A" w:rsidRDefault="00125C5C" w:rsidP="00695720">
            <w:pPr>
              <w:pStyle w:val="ListParagraph"/>
              <w:numPr>
                <w:ilvl w:val="0"/>
                <w:numId w:val="114"/>
              </w:numPr>
              <w:spacing w:line="276" w:lineRule="auto"/>
              <w:ind w:left="318" w:hanging="318"/>
              <w:rPr>
                <w:rFonts w:ascii="Arial" w:hAnsi="Arial" w:cs="Arial"/>
                <w:bCs/>
                <w:sz w:val="18"/>
                <w:szCs w:val="18"/>
              </w:rPr>
            </w:pPr>
            <w:r w:rsidRPr="00BA387A">
              <w:rPr>
                <w:rFonts w:ascii="Arial" w:hAnsi="Arial" w:cs="Arial"/>
                <w:bCs/>
                <w:sz w:val="18"/>
                <w:szCs w:val="18"/>
              </w:rPr>
              <w:t>Revers</w:t>
            </w:r>
            <w:r w:rsidR="00D33BFF" w:rsidRPr="00BA387A">
              <w:rPr>
                <w:rFonts w:ascii="Arial" w:hAnsi="Arial" w:cs="Arial"/>
                <w:bCs/>
                <w:sz w:val="18"/>
                <w:szCs w:val="18"/>
              </w:rPr>
              <w:t>e</w:t>
            </w:r>
            <w:r w:rsidRPr="00BA387A">
              <w:rPr>
                <w:rFonts w:ascii="Arial" w:hAnsi="Arial" w:cs="Arial"/>
                <w:bCs/>
                <w:sz w:val="18"/>
                <w:szCs w:val="18"/>
              </w:rPr>
              <w:t xml:space="preserve"> the decline</w:t>
            </w:r>
          </w:p>
          <w:p w14:paraId="5157A9DF" w14:textId="64028355" w:rsidR="00125C5C" w:rsidRPr="00BA387A" w:rsidRDefault="00125C5C" w:rsidP="00BA387A">
            <w:pPr>
              <w:pStyle w:val="ListParagraph"/>
              <w:spacing w:line="276" w:lineRule="auto"/>
              <w:ind w:left="318"/>
              <w:rPr>
                <w:rFonts w:ascii="Arial" w:hAnsi="Arial" w:cs="Arial"/>
                <w:bCs/>
                <w:sz w:val="18"/>
                <w:szCs w:val="18"/>
              </w:rPr>
            </w:pPr>
            <w:r w:rsidRPr="00BA387A">
              <w:rPr>
                <w:rFonts w:ascii="Arial" w:hAnsi="Arial" w:cs="Arial"/>
                <w:bCs/>
                <w:sz w:val="18"/>
                <w:szCs w:val="18"/>
              </w:rPr>
              <w:t xml:space="preserve"> </w:t>
            </w:r>
          </w:p>
          <w:p w14:paraId="4BEBC5CC" w14:textId="6D87412D" w:rsidR="00125C5C" w:rsidRPr="00BA387A" w:rsidRDefault="00125C5C" w:rsidP="00695720">
            <w:pPr>
              <w:pStyle w:val="ListParagraph"/>
              <w:numPr>
                <w:ilvl w:val="0"/>
                <w:numId w:val="114"/>
              </w:numPr>
              <w:spacing w:line="276" w:lineRule="auto"/>
              <w:ind w:left="318" w:hanging="318"/>
              <w:rPr>
                <w:rFonts w:ascii="Arial" w:hAnsi="Arial" w:cs="Arial"/>
                <w:bCs/>
                <w:sz w:val="18"/>
                <w:szCs w:val="18"/>
              </w:rPr>
            </w:pPr>
            <w:r w:rsidRPr="00BA387A">
              <w:rPr>
                <w:rFonts w:ascii="Arial" w:hAnsi="Arial" w:cs="Arial"/>
                <w:bCs/>
                <w:sz w:val="18"/>
                <w:szCs w:val="18"/>
              </w:rPr>
              <w:t>Address the infrastructure funding backlog</w:t>
            </w:r>
          </w:p>
          <w:p w14:paraId="423A0442" w14:textId="77777777" w:rsidR="008361FC" w:rsidRPr="00A90C82" w:rsidRDefault="008361FC" w:rsidP="00A90C82">
            <w:pPr>
              <w:spacing w:line="276" w:lineRule="auto"/>
              <w:rPr>
                <w:rFonts w:ascii="Arial" w:hAnsi="Arial" w:cs="Arial"/>
                <w:bCs/>
                <w:sz w:val="20"/>
                <w:szCs w:val="20"/>
              </w:rPr>
            </w:pPr>
          </w:p>
        </w:tc>
        <w:tc>
          <w:tcPr>
            <w:tcW w:w="6520" w:type="dxa"/>
            <w:shd w:val="clear" w:color="auto" w:fill="FDE9D9" w:themeFill="accent6" w:themeFillTint="33"/>
          </w:tcPr>
          <w:p w14:paraId="7290BAD3" w14:textId="77777777" w:rsidR="00B56715" w:rsidRDefault="00B56715" w:rsidP="00A90C82">
            <w:pPr>
              <w:spacing w:before="120" w:after="200" w:line="276" w:lineRule="auto"/>
              <w:ind w:left="639" w:hanging="322"/>
              <w:contextualSpacing/>
              <w:rPr>
                <w:rFonts w:ascii="Arial" w:eastAsia="Calibri" w:hAnsi="Arial" w:cs="Arial"/>
                <w:b/>
                <w:sz w:val="20"/>
                <w:szCs w:val="20"/>
                <w:lang w:val="en-US"/>
              </w:rPr>
            </w:pPr>
          </w:p>
          <w:p w14:paraId="22AD7439" w14:textId="77777777" w:rsidR="008361FC" w:rsidRPr="00B67B1C" w:rsidRDefault="008361FC" w:rsidP="00A90C82">
            <w:pPr>
              <w:spacing w:before="120" w:after="200" w:line="276" w:lineRule="auto"/>
              <w:ind w:left="639" w:hanging="322"/>
              <w:contextualSpacing/>
              <w:rPr>
                <w:rFonts w:ascii="Arial" w:eastAsia="Calibri" w:hAnsi="Arial" w:cs="Arial"/>
                <w:b/>
                <w:sz w:val="20"/>
                <w:szCs w:val="20"/>
                <w:lang w:val="en-US"/>
              </w:rPr>
            </w:pPr>
            <w:r w:rsidRPr="00B67B1C">
              <w:rPr>
                <w:rFonts w:ascii="Arial" w:eastAsia="Calibri" w:hAnsi="Arial" w:cs="Arial"/>
                <w:b/>
                <w:sz w:val="20"/>
                <w:szCs w:val="20"/>
                <w:lang w:val="en-US"/>
              </w:rPr>
              <w:t>Transport &amp; Public Access (Operational &amp; Capital)</w:t>
            </w:r>
          </w:p>
          <w:p w14:paraId="73506208" w14:textId="77777777" w:rsidR="008361FC" w:rsidRPr="00B67B1C" w:rsidRDefault="008361FC" w:rsidP="00A61A70">
            <w:pPr>
              <w:numPr>
                <w:ilvl w:val="0"/>
                <w:numId w:val="50"/>
              </w:numPr>
              <w:spacing w:before="120" w:after="200" w:line="276" w:lineRule="auto"/>
              <w:ind w:left="639" w:hanging="284"/>
              <w:contextualSpacing/>
              <w:rPr>
                <w:rFonts w:ascii="Arial" w:eastAsia="Calibri" w:hAnsi="Arial" w:cs="Arial"/>
                <w:sz w:val="20"/>
                <w:szCs w:val="20"/>
                <w:lang w:val="en-US"/>
              </w:rPr>
            </w:pPr>
            <w:r w:rsidRPr="00B67B1C">
              <w:rPr>
                <w:rFonts w:ascii="Arial" w:eastAsia="Calibri" w:hAnsi="Arial" w:cs="Arial"/>
                <w:sz w:val="20"/>
                <w:szCs w:val="20"/>
                <w:lang w:val="en-US"/>
              </w:rPr>
              <w:t>Renewal and maintenance of the sealed road network - funding shortfalls and matching funding for Roads to Recovery program</w:t>
            </w:r>
          </w:p>
          <w:p w14:paraId="6DCDB701" w14:textId="77777777" w:rsidR="008361FC" w:rsidRPr="00B67B1C" w:rsidRDefault="008361FC" w:rsidP="00A61A70">
            <w:pPr>
              <w:numPr>
                <w:ilvl w:val="0"/>
                <w:numId w:val="50"/>
              </w:numPr>
              <w:spacing w:after="200" w:line="276" w:lineRule="auto"/>
              <w:ind w:left="639" w:hanging="284"/>
              <w:contextualSpacing/>
              <w:rPr>
                <w:rFonts w:ascii="Arial" w:eastAsia="Calibri" w:hAnsi="Arial" w:cs="Arial"/>
                <w:sz w:val="20"/>
                <w:szCs w:val="20"/>
                <w:lang w:val="en-US"/>
              </w:rPr>
            </w:pPr>
            <w:r w:rsidRPr="00B67B1C">
              <w:rPr>
                <w:rFonts w:ascii="Arial" w:eastAsia="Calibri" w:hAnsi="Arial" w:cs="Arial"/>
                <w:sz w:val="20"/>
                <w:szCs w:val="20"/>
                <w:lang w:val="en-US"/>
              </w:rPr>
              <w:t>Road shoulder work required to prevent overall deterioration of roads and improved storm water management</w:t>
            </w:r>
          </w:p>
          <w:p w14:paraId="07F28300" w14:textId="77777777" w:rsidR="008361FC" w:rsidRPr="00B67B1C" w:rsidRDefault="008361FC" w:rsidP="00A61A70">
            <w:pPr>
              <w:numPr>
                <w:ilvl w:val="0"/>
                <w:numId w:val="50"/>
              </w:numPr>
              <w:spacing w:after="200" w:line="276" w:lineRule="auto"/>
              <w:ind w:left="639" w:hanging="284"/>
              <w:contextualSpacing/>
              <w:rPr>
                <w:rFonts w:ascii="Arial" w:eastAsia="Calibri" w:hAnsi="Arial" w:cs="Arial"/>
                <w:sz w:val="20"/>
                <w:szCs w:val="20"/>
                <w:lang w:val="en-US"/>
              </w:rPr>
            </w:pPr>
            <w:r w:rsidRPr="00B67B1C">
              <w:rPr>
                <w:rFonts w:ascii="Arial" w:eastAsia="Calibri" w:hAnsi="Arial" w:cs="Arial"/>
                <w:sz w:val="20"/>
                <w:szCs w:val="20"/>
                <w:lang w:val="en-US"/>
              </w:rPr>
              <w:t>Renewal of ageing bridges</w:t>
            </w:r>
          </w:p>
          <w:p w14:paraId="7D983E2F" w14:textId="77777777" w:rsidR="008361FC" w:rsidRPr="00B67B1C" w:rsidRDefault="008361FC" w:rsidP="00A61A70">
            <w:pPr>
              <w:numPr>
                <w:ilvl w:val="0"/>
                <w:numId w:val="50"/>
              </w:numPr>
              <w:spacing w:after="200" w:line="276" w:lineRule="auto"/>
              <w:ind w:left="639" w:hanging="284"/>
              <w:contextualSpacing/>
              <w:rPr>
                <w:rFonts w:ascii="Arial" w:eastAsia="Calibri" w:hAnsi="Arial" w:cs="Arial"/>
                <w:sz w:val="20"/>
                <w:szCs w:val="20"/>
                <w:lang w:val="en-US"/>
              </w:rPr>
            </w:pPr>
            <w:r w:rsidRPr="00B67B1C">
              <w:rPr>
                <w:rFonts w:ascii="Arial" w:eastAsia="Calibri" w:hAnsi="Arial" w:cs="Arial"/>
                <w:sz w:val="20"/>
                <w:szCs w:val="20"/>
                <w:lang w:val="en-US"/>
              </w:rPr>
              <w:t>Footpath renewal priorities</w:t>
            </w:r>
          </w:p>
          <w:p w14:paraId="54969133" w14:textId="77777777" w:rsidR="008361FC" w:rsidRPr="00B67B1C" w:rsidRDefault="008361FC" w:rsidP="00A61A70">
            <w:pPr>
              <w:numPr>
                <w:ilvl w:val="0"/>
                <w:numId w:val="50"/>
              </w:numPr>
              <w:spacing w:after="200" w:line="276" w:lineRule="auto"/>
              <w:ind w:left="639" w:hanging="284"/>
              <w:contextualSpacing/>
              <w:rPr>
                <w:rFonts w:ascii="Arial" w:eastAsia="Calibri" w:hAnsi="Arial" w:cs="Arial"/>
                <w:sz w:val="20"/>
                <w:szCs w:val="20"/>
                <w:lang w:val="en-US"/>
              </w:rPr>
            </w:pPr>
            <w:r w:rsidRPr="00B67B1C">
              <w:rPr>
                <w:rFonts w:ascii="Arial" w:eastAsia="Calibri" w:hAnsi="Arial" w:cs="Arial"/>
                <w:sz w:val="20"/>
                <w:szCs w:val="20"/>
                <w:lang w:val="en-US"/>
              </w:rPr>
              <w:t>Legislatively required bus stop disability access upgrades</w:t>
            </w:r>
          </w:p>
          <w:p w14:paraId="2F4D4298" w14:textId="77777777" w:rsidR="008361FC" w:rsidRPr="00A90C82" w:rsidRDefault="008361FC" w:rsidP="00A90C82">
            <w:pPr>
              <w:spacing w:after="200" w:line="276" w:lineRule="auto"/>
              <w:ind w:left="639"/>
              <w:contextualSpacing/>
              <w:rPr>
                <w:rFonts w:ascii="Arial" w:eastAsia="Calibri" w:hAnsi="Arial" w:cs="Arial"/>
                <w:b/>
                <w:i/>
                <w:sz w:val="20"/>
                <w:szCs w:val="20"/>
                <w:lang w:val="en-US"/>
              </w:rPr>
            </w:pPr>
          </w:p>
          <w:p w14:paraId="42009EBB" w14:textId="77777777" w:rsidR="008361FC" w:rsidRPr="00A90C82" w:rsidRDefault="008361FC" w:rsidP="00A90C82">
            <w:pPr>
              <w:spacing w:after="200" w:line="276" w:lineRule="auto"/>
              <w:ind w:left="639" w:hanging="322"/>
              <w:contextualSpacing/>
              <w:rPr>
                <w:rFonts w:ascii="Arial" w:eastAsia="Calibri" w:hAnsi="Arial" w:cs="Arial"/>
                <w:b/>
                <w:sz w:val="20"/>
                <w:szCs w:val="20"/>
                <w:lang w:val="en-US"/>
              </w:rPr>
            </w:pPr>
            <w:r w:rsidRPr="00A90C82">
              <w:rPr>
                <w:rFonts w:ascii="Arial" w:eastAsia="Calibri" w:hAnsi="Arial" w:cs="Arial"/>
                <w:b/>
                <w:sz w:val="20"/>
                <w:szCs w:val="20"/>
                <w:lang w:val="en-US"/>
              </w:rPr>
              <w:t>Water Resource Management (Operational &amp; Capital)</w:t>
            </w:r>
          </w:p>
          <w:p w14:paraId="2CD639C9" w14:textId="77777777" w:rsidR="008361FC" w:rsidRPr="00A90C82" w:rsidRDefault="008361FC" w:rsidP="00A61A70">
            <w:pPr>
              <w:numPr>
                <w:ilvl w:val="0"/>
                <w:numId w:val="50"/>
              </w:numPr>
              <w:spacing w:after="200" w:line="276" w:lineRule="auto"/>
              <w:ind w:left="639" w:hanging="284"/>
              <w:contextualSpacing/>
              <w:rPr>
                <w:rFonts w:ascii="Arial" w:eastAsia="Calibri" w:hAnsi="Arial" w:cs="Arial"/>
                <w:color w:val="000000"/>
                <w:sz w:val="20"/>
                <w:szCs w:val="20"/>
                <w:lang w:val="en-US"/>
              </w:rPr>
            </w:pPr>
            <w:r w:rsidRPr="00A90C82">
              <w:rPr>
                <w:rFonts w:ascii="Arial" w:eastAsia="Calibri" w:hAnsi="Arial" w:cs="Arial"/>
                <w:sz w:val="20"/>
                <w:szCs w:val="20"/>
                <w:lang w:val="en-US"/>
              </w:rPr>
              <w:t>Storm water management infrastructure</w:t>
            </w:r>
          </w:p>
          <w:p w14:paraId="3173A34B" w14:textId="77777777" w:rsidR="008361FC" w:rsidRPr="00A90C82" w:rsidRDefault="008361FC" w:rsidP="00A90C82">
            <w:pPr>
              <w:spacing w:after="200" w:line="276" w:lineRule="auto"/>
              <w:ind w:left="639"/>
              <w:contextualSpacing/>
              <w:rPr>
                <w:rFonts w:ascii="Arial" w:eastAsia="Calibri" w:hAnsi="Arial" w:cs="Arial"/>
                <w:b/>
                <w:i/>
                <w:sz w:val="20"/>
                <w:szCs w:val="20"/>
                <w:lang w:val="en-US"/>
              </w:rPr>
            </w:pPr>
          </w:p>
          <w:p w14:paraId="3C4C54D4" w14:textId="77777777" w:rsidR="008361FC" w:rsidRPr="00A90C82" w:rsidRDefault="008361FC" w:rsidP="00A90C82">
            <w:pPr>
              <w:spacing w:line="276" w:lineRule="auto"/>
              <w:ind w:left="639" w:hanging="322"/>
              <w:contextualSpacing/>
              <w:rPr>
                <w:rFonts w:ascii="Arial" w:eastAsia="Calibri" w:hAnsi="Arial" w:cs="Arial"/>
                <w:b/>
                <w:color w:val="000000"/>
                <w:sz w:val="20"/>
                <w:szCs w:val="20"/>
                <w:lang w:val="en-US"/>
              </w:rPr>
            </w:pPr>
            <w:r w:rsidRPr="00A90C82">
              <w:rPr>
                <w:rFonts w:ascii="Arial" w:eastAsia="Calibri" w:hAnsi="Arial" w:cs="Arial"/>
                <w:b/>
                <w:sz w:val="20"/>
                <w:szCs w:val="20"/>
                <w:lang w:val="en-US"/>
              </w:rPr>
              <w:t>Town Centres, Economic Development &amp; Tourism</w:t>
            </w:r>
          </w:p>
          <w:p w14:paraId="575F2806" w14:textId="77777777" w:rsidR="008361FC" w:rsidRPr="00A90C82" w:rsidRDefault="008361FC" w:rsidP="00A61A70">
            <w:pPr>
              <w:pStyle w:val="ListParagraph"/>
              <w:numPr>
                <w:ilvl w:val="0"/>
                <w:numId w:val="50"/>
              </w:numPr>
              <w:spacing w:line="276" w:lineRule="auto"/>
              <w:ind w:left="600" w:hanging="283"/>
              <w:contextualSpacing/>
              <w:rPr>
                <w:rFonts w:ascii="Arial" w:eastAsia="Calibri" w:hAnsi="Arial" w:cs="Arial"/>
                <w:sz w:val="20"/>
                <w:szCs w:val="20"/>
                <w:lang w:val="en-US"/>
              </w:rPr>
            </w:pPr>
            <w:r w:rsidRPr="00A90C82">
              <w:rPr>
                <w:rFonts w:ascii="Arial" w:eastAsia="Calibri" w:hAnsi="Arial" w:cs="Arial"/>
                <w:sz w:val="20"/>
                <w:szCs w:val="20"/>
                <w:lang w:val="en-US"/>
              </w:rPr>
              <w:t>Improving town centre maintenance regimes</w:t>
            </w:r>
          </w:p>
          <w:p w14:paraId="788F544E" w14:textId="77777777" w:rsidR="008361FC" w:rsidRPr="00A90C82" w:rsidRDefault="008361FC" w:rsidP="00A61A70">
            <w:pPr>
              <w:pStyle w:val="ListParagraph"/>
              <w:numPr>
                <w:ilvl w:val="0"/>
                <w:numId w:val="50"/>
              </w:numPr>
              <w:spacing w:after="200" w:line="276" w:lineRule="auto"/>
              <w:ind w:left="600" w:hanging="283"/>
              <w:contextualSpacing/>
              <w:rPr>
                <w:rFonts w:ascii="Arial" w:eastAsia="Calibri" w:hAnsi="Arial" w:cs="Arial"/>
                <w:sz w:val="20"/>
                <w:szCs w:val="20"/>
                <w:lang w:val="en-US"/>
              </w:rPr>
            </w:pPr>
            <w:r w:rsidRPr="00A90C82">
              <w:rPr>
                <w:rFonts w:ascii="Arial" w:eastAsia="Calibri" w:hAnsi="Arial" w:cs="Arial"/>
                <w:sz w:val="20"/>
                <w:szCs w:val="20"/>
                <w:lang w:val="en-US"/>
              </w:rPr>
              <w:t>Town centre public domain infrastructure improvement programs</w:t>
            </w:r>
          </w:p>
          <w:p w14:paraId="2DA22448" w14:textId="542DBB16" w:rsidR="008361FC" w:rsidRPr="00A90C82" w:rsidRDefault="008361FC" w:rsidP="00A61A70">
            <w:pPr>
              <w:pStyle w:val="ListParagraph"/>
              <w:numPr>
                <w:ilvl w:val="0"/>
                <w:numId w:val="50"/>
              </w:numPr>
              <w:spacing w:after="200" w:line="276" w:lineRule="auto"/>
              <w:ind w:left="600" w:hanging="283"/>
              <w:contextualSpacing/>
              <w:rPr>
                <w:rFonts w:ascii="Arial" w:eastAsia="Calibri" w:hAnsi="Arial" w:cs="Arial"/>
                <w:sz w:val="20"/>
                <w:szCs w:val="20"/>
                <w:lang w:val="en-US"/>
              </w:rPr>
            </w:pPr>
            <w:r w:rsidRPr="00A90C82">
              <w:rPr>
                <w:rFonts w:ascii="Arial" w:eastAsia="Calibri" w:hAnsi="Arial" w:cs="Arial"/>
                <w:sz w:val="20"/>
                <w:szCs w:val="20"/>
                <w:lang w:val="en-US"/>
              </w:rPr>
              <w:t>Public toilet upgrad</w:t>
            </w:r>
            <w:r w:rsidR="00D10EBD">
              <w:rPr>
                <w:rFonts w:ascii="Arial" w:eastAsia="Calibri" w:hAnsi="Arial" w:cs="Arial"/>
                <w:sz w:val="20"/>
                <w:szCs w:val="20"/>
                <w:lang w:val="en-US"/>
              </w:rPr>
              <w:t>es</w:t>
            </w:r>
            <w:r w:rsidRPr="00A90C82">
              <w:rPr>
                <w:rFonts w:ascii="Arial" w:eastAsia="Calibri" w:hAnsi="Arial" w:cs="Arial"/>
                <w:sz w:val="20"/>
                <w:szCs w:val="20"/>
                <w:lang w:val="en-US"/>
              </w:rPr>
              <w:t xml:space="preserve"> in town centres</w:t>
            </w:r>
          </w:p>
          <w:p w14:paraId="40569FDE" w14:textId="77777777" w:rsidR="008361FC" w:rsidRPr="00A90C82" w:rsidRDefault="008361FC" w:rsidP="00A61A70">
            <w:pPr>
              <w:pStyle w:val="ListParagraph"/>
              <w:numPr>
                <w:ilvl w:val="0"/>
                <w:numId w:val="50"/>
              </w:numPr>
              <w:spacing w:after="200" w:line="276" w:lineRule="auto"/>
              <w:ind w:left="600" w:hanging="283"/>
              <w:contextualSpacing/>
              <w:rPr>
                <w:rFonts w:ascii="Arial" w:eastAsia="Calibri" w:hAnsi="Arial" w:cs="Arial"/>
                <w:sz w:val="20"/>
                <w:szCs w:val="20"/>
                <w:lang w:val="en-US"/>
              </w:rPr>
            </w:pPr>
            <w:r w:rsidRPr="00A90C82">
              <w:rPr>
                <w:rFonts w:ascii="Arial" w:eastAsia="Calibri" w:hAnsi="Arial" w:cs="Arial"/>
                <w:sz w:val="20"/>
                <w:szCs w:val="20"/>
                <w:lang w:val="en-US"/>
              </w:rPr>
              <w:t>Building cleansing</w:t>
            </w:r>
          </w:p>
          <w:p w14:paraId="563FECF3" w14:textId="77777777" w:rsidR="008361FC" w:rsidRPr="00A90C82" w:rsidRDefault="008361FC" w:rsidP="00A61A70">
            <w:pPr>
              <w:pStyle w:val="ListParagraph"/>
              <w:numPr>
                <w:ilvl w:val="0"/>
                <w:numId w:val="50"/>
              </w:numPr>
              <w:spacing w:after="200" w:line="276" w:lineRule="auto"/>
              <w:ind w:left="600" w:hanging="283"/>
              <w:contextualSpacing/>
              <w:rPr>
                <w:rFonts w:ascii="Arial" w:eastAsia="Calibri" w:hAnsi="Arial" w:cs="Arial"/>
                <w:sz w:val="20"/>
                <w:szCs w:val="20"/>
                <w:lang w:val="en-US"/>
              </w:rPr>
            </w:pPr>
            <w:r w:rsidRPr="00A90C82">
              <w:rPr>
                <w:rFonts w:ascii="Arial" w:eastAsia="Calibri" w:hAnsi="Arial" w:cs="Arial"/>
                <w:sz w:val="20"/>
                <w:szCs w:val="20"/>
                <w:lang w:val="en-US"/>
              </w:rPr>
              <w:t>Tree management</w:t>
            </w:r>
          </w:p>
          <w:p w14:paraId="6D72164B" w14:textId="77777777" w:rsidR="008361FC" w:rsidRPr="00A90C82" w:rsidRDefault="008361FC" w:rsidP="00A90C82">
            <w:pPr>
              <w:pStyle w:val="ListParagraph"/>
              <w:spacing w:after="200" w:line="276" w:lineRule="auto"/>
              <w:ind w:left="600" w:hanging="283"/>
              <w:contextualSpacing/>
              <w:rPr>
                <w:rFonts w:ascii="Arial" w:eastAsia="Calibri" w:hAnsi="Arial" w:cs="Arial"/>
                <w:b/>
                <w:sz w:val="20"/>
                <w:szCs w:val="20"/>
                <w:lang w:val="en-US"/>
              </w:rPr>
            </w:pPr>
          </w:p>
          <w:p w14:paraId="4CCE2A4A" w14:textId="600A207B" w:rsidR="008361FC" w:rsidRPr="00A90C82" w:rsidRDefault="008361FC" w:rsidP="00A90C82">
            <w:pPr>
              <w:pStyle w:val="ListParagraph"/>
              <w:spacing w:after="200" w:line="276" w:lineRule="auto"/>
              <w:ind w:left="317"/>
              <w:contextualSpacing/>
              <w:rPr>
                <w:rFonts w:ascii="Arial" w:eastAsia="Calibri" w:hAnsi="Arial" w:cs="Arial"/>
                <w:b/>
                <w:sz w:val="20"/>
                <w:szCs w:val="20"/>
                <w:lang w:val="en-US"/>
              </w:rPr>
            </w:pPr>
            <w:r w:rsidRPr="00A90C82">
              <w:rPr>
                <w:rFonts w:ascii="Arial" w:eastAsia="Calibri" w:hAnsi="Arial" w:cs="Arial"/>
                <w:b/>
                <w:sz w:val="20"/>
                <w:szCs w:val="20"/>
                <w:lang w:val="en-US"/>
              </w:rPr>
              <w:t>Other (including operational buildings, asset management</w:t>
            </w:r>
            <w:r w:rsidR="00B56715">
              <w:rPr>
                <w:rFonts w:ascii="Arial" w:eastAsia="Calibri" w:hAnsi="Arial" w:cs="Arial"/>
                <w:b/>
                <w:sz w:val="20"/>
                <w:szCs w:val="20"/>
                <w:lang w:val="en-US"/>
              </w:rPr>
              <w:t>)</w:t>
            </w:r>
          </w:p>
          <w:p w14:paraId="1C393A11" w14:textId="77777777" w:rsidR="008361FC" w:rsidRPr="00A90C82" w:rsidRDefault="008361FC" w:rsidP="00A61A70">
            <w:pPr>
              <w:pStyle w:val="ListParagraph"/>
              <w:numPr>
                <w:ilvl w:val="0"/>
                <w:numId w:val="50"/>
              </w:numPr>
              <w:spacing w:after="200" w:line="276" w:lineRule="auto"/>
              <w:ind w:left="600" w:hanging="283"/>
              <w:contextualSpacing/>
              <w:rPr>
                <w:rFonts w:ascii="Arial" w:hAnsi="Arial" w:cs="Arial"/>
                <w:bCs/>
                <w:i/>
                <w:sz w:val="20"/>
                <w:szCs w:val="20"/>
              </w:rPr>
            </w:pPr>
            <w:r w:rsidRPr="00A90C82">
              <w:rPr>
                <w:rFonts w:ascii="Arial" w:eastAsia="Calibri" w:hAnsi="Arial" w:cs="Arial"/>
                <w:sz w:val="20"/>
                <w:szCs w:val="20"/>
                <w:lang w:val="en-US"/>
              </w:rPr>
              <w:t>Improve building maintenance, renewal &amp; safety compliance</w:t>
            </w:r>
          </w:p>
          <w:p w14:paraId="5A756834" w14:textId="77777777" w:rsidR="008361FC" w:rsidRPr="00A90C82" w:rsidRDefault="008361FC" w:rsidP="00A61A70">
            <w:pPr>
              <w:pStyle w:val="ListParagraph"/>
              <w:numPr>
                <w:ilvl w:val="0"/>
                <w:numId w:val="50"/>
              </w:numPr>
              <w:spacing w:after="200" w:line="276" w:lineRule="auto"/>
              <w:ind w:left="600" w:hanging="283"/>
              <w:contextualSpacing/>
              <w:rPr>
                <w:rFonts w:ascii="Arial" w:hAnsi="Arial" w:cs="Arial"/>
                <w:bCs/>
                <w:i/>
                <w:sz w:val="20"/>
                <w:szCs w:val="20"/>
              </w:rPr>
            </w:pPr>
            <w:r w:rsidRPr="00A90C82">
              <w:rPr>
                <w:rFonts w:ascii="Arial" w:eastAsia="Calibri" w:hAnsi="Arial" w:cs="Arial"/>
                <w:sz w:val="20"/>
                <w:szCs w:val="20"/>
                <w:lang w:val="en-US"/>
              </w:rPr>
              <w:t>Information technology upgrades including disaster recovery systems</w:t>
            </w:r>
          </w:p>
        </w:tc>
      </w:tr>
      <w:tr w:rsidR="00E92FCC" w:rsidRPr="00A90C82" w14:paraId="2157F98C" w14:textId="77777777" w:rsidTr="00BA387A">
        <w:tc>
          <w:tcPr>
            <w:tcW w:w="2127" w:type="dxa"/>
            <w:shd w:val="clear" w:color="auto" w:fill="FDE9D9" w:themeFill="accent6" w:themeFillTint="33"/>
          </w:tcPr>
          <w:p w14:paraId="0E38A55E" w14:textId="77777777" w:rsidR="0084640C" w:rsidRDefault="0084640C" w:rsidP="0084640C">
            <w:pPr>
              <w:spacing w:line="276" w:lineRule="auto"/>
              <w:rPr>
                <w:rFonts w:ascii="Arial" w:hAnsi="Arial" w:cs="Arial"/>
                <w:b/>
                <w:bCs/>
                <w:sz w:val="20"/>
                <w:szCs w:val="20"/>
              </w:rPr>
            </w:pPr>
          </w:p>
          <w:p w14:paraId="629961DA" w14:textId="77777777" w:rsidR="0084640C" w:rsidRPr="00CD3F9D" w:rsidRDefault="0084640C" w:rsidP="0084640C">
            <w:pPr>
              <w:spacing w:line="276" w:lineRule="auto"/>
              <w:rPr>
                <w:rFonts w:ascii="Arial" w:hAnsi="Arial" w:cs="Arial"/>
                <w:bCs/>
                <w:sz w:val="20"/>
                <w:szCs w:val="20"/>
              </w:rPr>
            </w:pPr>
            <w:r w:rsidRPr="00CD3F9D">
              <w:rPr>
                <w:rFonts w:ascii="Arial" w:hAnsi="Arial" w:cs="Arial"/>
                <w:bCs/>
                <w:sz w:val="20"/>
                <w:szCs w:val="20"/>
              </w:rPr>
              <w:t>CONTINUE TO PROTECT &amp; RESTORE THE ENVIRONMENT</w:t>
            </w:r>
          </w:p>
          <w:p w14:paraId="23253BCB" w14:textId="77777777" w:rsidR="000E1511" w:rsidRPr="0084640C" w:rsidRDefault="000E1511" w:rsidP="0084640C">
            <w:pPr>
              <w:spacing w:line="276" w:lineRule="auto"/>
              <w:rPr>
                <w:rFonts w:ascii="Arial" w:hAnsi="Arial" w:cs="Arial"/>
                <w:b/>
                <w:bCs/>
                <w:sz w:val="20"/>
                <w:szCs w:val="20"/>
              </w:rPr>
            </w:pPr>
          </w:p>
          <w:p w14:paraId="38601F81" w14:textId="77777777" w:rsidR="00E92FCC" w:rsidRPr="00BA387A" w:rsidRDefault="0084640C" w:rsidP="00695720">
            <w:pPr>
              <w:pStyle w:val="ListParagraph"/>
              <w:numPr>
                <w:ilvl w:val="0"/>
                <w:numId w:val="115"/>
              </w:numPr>
              <w:spacing w:line="276" w:lineRule="auto"/>
              <w:ind w:left="318" w:hanging="284"/>
              <w:rPr>
                <w:rFonts w:ascii="Arial" w:eastAsia="Calibri" w:hAnsi="Arial" w:cs="Arial"/>
                <w:b/>
                <w:sz w:val="18"/>
                <w:szCs w:val="18"/>
                <w:lang w:val="en-US"/>
              </w:rPr>
            </w:pPr>
            <w:r w:rsidRPr="00BA387A">
              <w:rPr>
                <w:rFonts w:ascii="Arial" w:hAnsi="Arial" w:cs="Arial"/>
                <w:bCs/>
                <w:sz w:val="18"/>
                <w:szCs w:val="18"/>
              </w:rPr>
              <w:t>Maintain</w:t>
            </w:r>
            <w:r w:rsidR="000E1511" w:rsidRPr="00BA387A">
              <w:rPr>
                <w:rFonts w:ascii="Arial" w:hAnsi="Arial" w:cs="Arial"/>
                <w:bCs/>
                <w:sz w:val="18"/>
                <w:szCs w:val="18"/>
              </w:rPr>
              <w:t xml:space="preserve"> and build on </w:t>
            </w:r>
            <w:r w:rsidRPr="00BA387A">
              <w:rPr>
                <w:rFonts w:ascii="Arial" w:hAnsi="Arial" w:cs="Arial"/>
                <w:bCs/>
                <w:sz w:val="18"/>
                <w:szCs w:val="18"/>
              </w:rPr>
              <w:t xml:space="preserve"> gains already made from past investment</w:t>
            </w:r>
          </w:p>
          <w:p w14:paraId="0861EACE" w14:textId="77777777" w:rsidR="00BA387A" w:rsidRPr="00BA387A" w:rsidRDefault="00BA387A" w:rsidP="00BA387A">
            <w:pPr>
              <w:pStyle w:val="ListParagraph"/>
              <w:spacing w:line="276" w:lineRule="auto"/>
              <w:ind w:left="318"/>
              <w:rPr>
                <w:rFonts w:ascii="Arial" w:eastAsia="Calibri" w:hAnsi="Arial" w:cs="Arial"/>
                <w:b/>
                <w:sz w:val="18"/>
                <w:szCs w:val="18"/>
                <w:lang w:val="en-US"/>
              </w:rPr>
            </w:pPr>
          </w:p>
          <w:p w14:paraId="1F7A1071" w14:textId="58BAF700" w:rsidR="000E1511" w:rsidRPr="000E1511" w:rsidRDefault="000E1511" w:rsidP="00695720">
            <w:pPr>
              <w:pStyle w:val="ListParagraph"/>
              <w:numPr>
                <w:ilvl w:val="0"/>
                <w:numId w:val="115"/>
              </w:numPr>
              <w:spacing w:line="276" w:lineRule="auto"/>
              <w:ind w:left="318" w:hanging="284"/>
              <w:rPr>
                <w:rFonts w:ascii="Arial" w:eastAsia="Calibri" w:hAnsi="Arial" w:cs="Arial"/>
                <w:b/>
                <w:sz w:val="20"/>
                <w:szCs w:val="20"/>
                <w:lang w:val="en-US"/>
              </w:rPr>
            </w:pPr>
            <w:r w:rsidRPr="00BA387A">
              <w:rPr>
                <w:rFonts w:ascii="Arial" w:hAnsi="Arial" w:cs="Arial"/>
                <w:bCs/>
                <w:sz w:val="18"/>
                <w:szCs w:val="18"/>
              </w:rPr>
              <w:t>Retain capacity to leverage additional funding from other levels of government</w:t>
            </w:r>
            <w:r>
              <w:rPr>
                <w:rFonts w:ascii="Arial" w:hAnsi="Arial" w:cs="Arial"/>
                <w:bCs/>
                <w:sz w:val="20"/>
                <w:szCs w:val="20"/>
              </w:rPr>
              <w:t xml:space="preserve"> </w:t>
            </w:r>
          </w:p>
        </w:tc>
        <w:tc>
          <w:tcPr>
            <w:tcW w:w="6520" w:type="dxa"/>
            <w:shd w:val="clear" w:color="auto" w:fill="FDE9D9" w:themeFill="accent6" w:themeFillTint="33"/>
          </w:tcPr>
          <w:p w14:paraId="41633C0A" w14:textId="77777777" w:rsidR="0084640C" w:rsidRPr="0084640C" w:rsidRDefault="0084640C" w:rsidP="0084640C">
            <w:pPr>
              <w:spacing w:before="240" w:after="200" w:line="276" w:lineRule="auto"/>
              <w:ind w:firstLine="238"/>
              <w:contextualSpacing/>
              <w:rPr>
                <w:rFonts w:ascii="Arial" w:eastAsia="Calibri" w:hAnsi="Arial" w:cs="Arial"/>
                <w:b/>
                <w:sz w:val="20"/>
                <w:szCs w:val="20"/>
                <w:lang w:val="en-US"/>
              </w:rPr>
            </w:pPr>
            <w:r w:rsidRPr="0084640C">
              <w:rPr>
                <w:rFonts w:ascii="Arial" w:eastAsia="Calibri" w:hAnsi="Arial" w:cs="Arial"/>
                <w:b/>
                <w:sz w:val="20"/>
                <w:szCs w:val="20"/>
                <w:lang w:val="en-US"/>
              </w:rPr>
              <w:t xml:space="preserve">Natural Environment </w:t>
            </w:r>
          </w:p>
          <w:p w14:paraId="17032CD1" w14:textId="77777777" w:rsidR="0084640C" w:rsidRPr="0084640C" w:rsidRDefault="0084640C" w:rsidP="00A61A70">
            <w:pPr>
              <w:numPr>
                <w:ilvl w:val="0"/>
                <w:numId w:val="53"/>
              </w:numPr>
              <w:spacing w:after="200" w:line="276" w:lineRule="auto"/>
              <w:ind w:left="666" w:hanging="425"/>
              <w:contextualSpacing/>
              <w:rPr>
                <w:rFonts w:ascii="Arial" w:eastAsia="Calibri" w:hAnsi="Arial" w:cs="Arial"/>
                <w:sz w:val="20"/>
                <w:szCs w:val="20"/>
                <w:lang w:val="en-US"/>
              </w:rPr>
            </w:pPr>
            <w:r w:rsidRPr="0084640C">
              <w:rPr>
                <w:rFonts w:ascii="Arial" w:eastAsia="Calibri" w:hAnsi="Arial" w:cs="Arial"/>
                <w:sz w:val="20"/>
                <w:szCs w:val="20"/>
                <w:lang w:val="en-US"/>
              </w:rPr>
              <w:t>Clean creeks and waterways - restoration of water ways and water quality monitoring, storm water, urban run-off and pollution control</w:t>
            </w:r>
          </w:p>
          <w:p w14:paraId="6FDB17F4" w14:textId="77777777" w:rsidR="0084640C" w:rsidRPr="0084640C" w:rsidRDefault="0084640C" w:rsidP="00A61A70">
            <w:pPr>
              <w:numPr>
                <w:ilvl w:val="0"/>
                <w:numId w:val="53"/>
              </w:numPr>
              <w:spacing w:after="200" w:line="276" w:lineRule="auto"/>
              <w:ind w:left="666" w:hanging="425"/>
              <w:contextualSpacing/>
              <w:rPr>
                <w:rFonts w:ascii="Arial" w:eastAsia="Calibri" w:hAnsi="Arial" w:cs="Arial"/>
                <w:sz w:val="20"/>
                <w:szCs w:val="20"/>
                <w:lang w:val="en-US"/>
              </w:rPr>
            </w:pPr>
            <w:r w:rsidRPr="0084640C">
              <w:rPr>
                <w:rFonts w:ascii="Arial" w:eastAsia="Calibri" w:hAnsi="Arial" w:cs="Arial"/>
                <w:sz w:val="20"/>
                <w:szCs w:val="20"/>
                <w:lang w:val="en-US"/>
              </w:rPr>
              <w:t>Protection &amp; restoration of bush land – bush care and land care programs</w:t>
            </w:r>
          </w:p>
          <w:p w14:paraId="4332D72A" w14:textId="77777777" w:rsidR="0084640C" w:rsidRPr="0084640C" w:rsidRDefault="0084640C" w:rsidP="00A61A70">
            <w:pPr>
              <w:numPr>
                <w:ilvl w:val="0"/>
                <w:numId w:val="53"/>
              </w:numPr>
              <w:spacing w:after="200" w:line="276" w:lineRule="auto"/>
              <w:ind w:left="666" w:hanging="425"/>
              <w:contextualSpacing/>
              <w:rPr>
                <w:rFonts w:ascii="Arial" w:eastAsia="Calibri" w:hAnsi="Arial" w:cs="Arial"/>
                <w:sz w:val="20"/>
                <w:szCs w:val="20"/>
                <w:lang w:val="en-US"/>
              </w:rPr>
            </w:pPr>
            <w:r w:rsidRPr="0084640C">
              <w:rPr>
                <w:rFonts w:ascii="Arial" w:eastAsia="Calibri" w:hAnsi="Arial" w:cs="Arial"/>
                <w:sz w:val="20"/>
                <w:szCs w:val="20"/>
                <w:lang w:val="en-US"/>
              </w:rPr>
              <w:t>Wildlife habitat restoration and protection of rare and unique animal and plant species</w:t>
            </w:r>
          </w:p>
          <w:p w14:paraId="107532EA" w14:textId="2E2CCBEF" w:rsidR="0084640C" w:rsidRPr="0084640C" w:rsidRDefault="0084640C" w:rsidP="00A61A70">
            <w:pPr>
              <w:numPr>
                <w:ilvl w:val="0"/>
                <w:numId w:val="53"/>
              </w:numPr>
              <w:spacing w:before="120" w:after="200" w:line="276" w:lineRule="auto"/>
              <w:ind w:left="666" w:hanging="425"/>
              <w:contextualSpacing/>
              <w:rPr>
                <w:rFonts w:ascii="Arial" w:eastAsia="Calibri" w:hAnsi="Arial" w:cs="Arial"/>
                <w:sz w:val="20"/>
                <w:szCs w:val="20"/>
                <w:lang w:val="en-US"/>
              </w:rPr>
            </w:pPr>
            <w:r w:rsidRPr="0084640C">
              <w:rPr>
                <w:rFonts w:ascii="Arial" w:eastAsia="Calibri" w:hAnsi="Arial" w:cs="Arial"/>
                <w:sz w:val="20"/>
                <w:szCs w:val="20"/>
                <w:lang w:val="en-US"/>
              </w:rPr>
              <w:t>Statutory and non-statutory weed control and management</w:t>
            </w:r>
          </w:p>
          <w:p w14:paraId="7B2EE783" w14:textId="4ED8D98A" w:rsidR="0084640C" w:rsidRPr="0084640C" w:rsidRDefault="0084640C" w:rsidP="00A61A70">
            <w:pPr>
              <w:numPr>
                <w:ilvl w:val="0"/>
                <w:numId w:val="53"/>
              </w:numPr>
              <w:spacing w:after="200" w:line="276" w:lineRule="auto"/>
              <w:ind w:left="666" w:hanging="425"/>
              <w:contextualSpacing/>
              <w:rPr>
                <w:rFonts w:ascii="Arial" w:eastAsia="Calibri" w:hAnsi="Arial" w:cs="Arial"/>
                <w:sz w:val="20"/>
                <w:szCs w:val="20"/>
                <w:lang w:val="en-US"/>
              </w:rPr>
            </w:pPr>
            <w:r w:rsidRPr="0084640C">
              <w:rPr>
                <w:rFonts w:ascii="Arial" w:eastAsia="Calibri" w:hAnsi="Arial" w:cs="Arial"/>
                <w:sz w:val="20"/>
                <w:szCs w:val="20"/>
                <w:lang w:val="en-US"/>
              </w:rPr>
              <w:t>Community engagement</w:t>
            </w:r>
            <w:r w:rsidR="00B56715">
              <w:rPr>
                <w:rFonts w:ascii="Arial" w:eastAsia="Calibri" w:hAnsi="Arial" w:cs="Arial"/>
                <w:sz w:val="20"/>
                <w:szCs w:val="20"/>
                <w:lang w:val="en-US"/>
              </w:rPr>
              <w:t>,</w:t>
            </w:r>
            <w:r w:rsidRPr="0084640C">
              <w:rPr>
                <w:rFonts w:ascii="Arial" w:eastAsia="Calibri" w:hAnsi="Arial" w:cs="Arial"/>
                <w:sz w:val="20"/>
                <w:szCs w:val="20"/>
                <w:lang w:val="en-US"/>
              </w:rPr>
              <w:t xml:space="preserve"> partnerships</w:t>
            </w:r>
            <w:r w:rsidR="00B56715">
              <w:rPr>
                <w:rFonts w:ascii="Arial" w:eastAsia="Calibri" w:hAnsi="Arial" w:cs="Arial"/>
                <w:sz w:val="20"/>
                <w:szCs w:val="20"/>
                <w:lang w:val="en-US"/>
              </w:rPr>
              <w:t>,</w:t>
            </w:r>
            <w:r w:rsidRPr="0084640C">
              <w:rPr>
                <w:rFonts w:ascii="Arial" w:eastAsia="Calibri" w:hAnsi="Arial" w:cs="Arial"/>
                <w:sz w:val="20"/>
                <w:szCs w:val="20"/>
                <w:lang w:val="en-US"/>
              </w:rPr>
              <w:t xml:space="preserve"> education</w:t>
            </w:r>
          </w:p>
          <w:p w14:paraId="517488BF" w14:textId="77777777" w:rsidR="0084640C" w:rsidRPr="0084640C" w:rsidRDefault="0084640C" w:rsidP="0084640C">
            <w:pPr>
              <w:spacing w:after="200" w:line="276" w:lineRule="auto"/>
              <w:contextualSpacing/>
              <w:rPr>
                <w:rFonts w:ascii="Arial" w:eastAsia="Calibri" w:hAnsi="Arial" w:cs="Arial"/>
                <w:b/>
                <w:sz w:val="20"/>
                <w:szCs w:val="20"/>
                <w:lang w:val="en-US"/>
              </w:rPr>
            </w:pPr>
            <w:r w:rsidRPr="0084640C">
              <w:rPr>
                <w:rFonts w:ascii="Arial" w:eastAsia="Calibri" w:hAnsi="Arial" w:cs="Arial"/>
                <w:b/>
                <w:sz w:val="20"/>
                <w:szCs w:val="20"/>
                <w:lang w:val="en-US"/>
              </w:rPr>
              <w:t xml:space="preserve">       </w:t>
            </w:r>
          </w:p>
          <w:p w14:paraId="7EAEE079" w14:textId="77777777" w:rsidR="0084640C" w:rsidRPr="0084640C" w:rsidRDefault="0084640C" w:rsidP="0084640C">
            <w:pPr>
              <w:spacing w:line="276" w:lineRule="auto"/>
              <w:ind w:firstLine="241"/>
              <w:contextualSpacing/>
              <w:rPr>
                <w:rFonts w:ascii="Arial" w:eastAsia="Calibri" w:hAnsi="Arial" w:cs="Arial"/>
                <w:b/>
                <w:sz w:val="20"/>
                <w:szCs w:val="20"/>
                <w:lang w:val="en-US"/>
              </w:rPr>
            </w:pPr>
            <w:r w:rsidRPr="0084640C">
              <w:rPr>
                <w:rFonts w:ascii="Arial" w:eastAsia="Calibri" w:hAnsi="Arial" w:cs="Arial"/>
                <w:b/>
                <w:sz w:val="20"/>
                <w:szCs w:val="20"/>
                <w:lang w:val="en-US"/>
              </w:rPr>
              <w:t xml:space="preserve"> Natural Area Visitor Facilities </w:t>
            </w:r>
          </w:p>
          <w:p w14:paraId="15E6810A" w14:textId="77777777" w:rsidR="0084640C" w:rsidRPr="0084640C" w:rsidRDefault="0084640C" w:rsidP="00A61A70">
            <w:pPr>
              <w:pStyle w:val="ListParagraph"/>
              <w:numPr>
                <w:ilvl w:val="0"/>
                <w:numId w:val="55"/>
              </w:numPr>
              <w:spacing w:after="200" w:line="276" w:lineRule="auto"/>
              <w:ind w:left="666" w:hanging="425"/>
              <w:contextualSpacing/>
              <w:rPr>
                <w:rFonts w:ascii="Arial" w:eastAsia="Calibri" w:hAnsi="Arial" w:cs="Arial"/>
                <w:sz w:val="20"/>
                <w:szCs w:val="20"/>
                <w:lang w:val="en-US"/>
              </w:rPr>
            </w:pPr>
            <w:r w:rsidRPr="0084640C">
              <w:rPr>
                <w:rFonts w:ascii="Arial" w:eastAsia="Calibri" w:hAnsi="Arial" w:cs="Arial"/>
                <w:sz w:val="20"/>
                <w:szCs w:val="20"/>
                <w:lang w:val="en-US"/>
              </w:rPr>
              <w:t>Walking tracks and lookouts renewal and maintenance</w:t>
            </w:r>
          </w:p>
          <w:p w14:paraId="4BF09E8D" w14:textId="77777777" w:rsidR="0084640C" w:rsidRDefault="0084640C" w:rsidP="00A61A70">
            <w:pPr>
              <w:pStyle w:val="ListParagraph"/>
              <w:numPr>
                <w:ilvl w:val="0"/>
                <w:numId w:val="55"/>
              </w:numPr>
              <w:spacing w:after="200" w:line="276" w:lineRule="auto"/>
              <w:ind w:left="666" w:hanging="425"/>
              <w:contextualSpacing/>
              <w:rPr>
                <w:rFonts w:ascii="Arial" w:eastAsia="Calibri" w:hAnsi="Arial" w:cs="Arial"/>
                <w:sz w:val="20"/>
                <w:szCs w:val="20"/>
                <w:lang w:val="en-US"/>
              </w:rPr>
            </w:pPr>
            <w:r w:rsidRPr="0084640C">
              <w:rPr>
                <w:rFonts w:ascii="Arial" w:eastAsia="Calibri" w:hAnsi="Arial" w:cs="Arial"/>
                <w:sz w:val="20"/>
                <w:szCs w:val="20"/>
                <w:lang w:val="en-US"/>
              </w:rPr>
              <w:t>Improvements to natural area visitor facilities</w:t>
            </w:r>
          </w:p>
          <w:p w14:paraId="28D57E38" w14:textId="68FF6807" w:rsidR="00E92FCC" w:rsidRPr="0084640C" w:rsidRDefault="0084640C" w:rsidP="00A61A70">
            <w:pPr>
              <w:pStyle w:val="ListParagraph"/>
              <w:numPr>
                <w:ilvl w:val="0"/>
                <w:numId w:val="55"/>
              </w:numPr>
              <w:spacing w:after="200" w:line="276" w:lineRule="auto"/>
              <w:ind w:left="666" w:hanging="425"/>
              <w:contextualSpacing/>
              <w:rPr>
                <w:rFonts w:ascii="Arial" w:eastAsia="Calibri" w:hAnsi="Arial" w:cs="Arial"/>
                <w:sz w:val="20"/>
                <w:szCs w:val="20"/>
                <w:lang w:val="en-US"/>
              </w:rPr>
            </w:pPr>
            <w:r w:rsidRPr="0084640C">
              <w:rPr>
                <w:rFonts w:ascii="Arial" w:eastAsia="Calibri" w:hAnsi="Arial" w:cs="Arial"/>
                <w:sz w:val="20"/>
                <w:szCs w:val="20"/>
                <w:lang w:val="en-US"/>
              </w:rPr>
              <w:t>Resolving high risk issues identified through asset planning</w:t>
            </w:r>
          </w:p>
        </w:tc>
      </w:tr>
      <w:tr w:rsidR="00A90C82" w:rsidRPr="00A90C82" w14:paraId="6D0EE600" w14:textId="77777777" w:rsidTr="00BA387A">
        <w:tc>
          <w:tcPr>
            <w:tcW w:w="2127" w:type="dxa"/>
            <w:shd w:val="clear" w:color="auto" w:fill="FDE9D9" w:themeFill="accent6" w:themeFillTint="33"/>
            <w:vAlign w:val="center"/>
          </w:tcPr>
          <w:p w14:paraId="23A6D022" w14:textId="366B8C93" w:rsidR="00A90C82" w:rsidRPr="00CD3F9D" w:rsidRDefault="00A90C82" w:rsidP="00A90C82">
            <w:pPr>
              <w:spacing w:line="276" w:lineRule="auto"/>
              <w:jc w:val="both"/>
              <w:rPr>
                <w:rFonts w:ascii="Arial" w:hAnsi="Arial" w:cs="Arial"/>
                <w:bCs/>
                <w:i/>
                <w:sz w:val="20"/>
                <w:szCs w:val="20"/>
              </w:rPr>
            </w:pPr>
            <w:r w:rsidRPr="00CD3F9D">
              <w:rPr>
                <w:rFonts w:ascii="Arial" w:eastAsia="Calibri" w:hAnsi="Arial" w:cs="Arial"/>
                <w:sz w:val="20"/>
                <w:szCs w:val="20"/>
                <w:lang w:val="en-US"/>
              </w:rPr>
              <w:t>IMPROVE EMERGENCY  PREPAREDNESS &amp; RESPONSE</w:t>
            </w:r>
          </w:p>
        </w:tc>
        <w:tc>
          <w:tcPr>
            <w:tcW w:w="6520" w:type="dxa"/>
            <w:shd w:val="clear" w:color="auto" w:fill="FDE9D9" w:themeFill="accent6" w:themeFillTint="33"/>
          </w:tcPr>
          <w:p w14:paraId="56FCB034" w14:textId="77777777" w:rsidR="00A90C82" w:rsidRPr="00A90C82" w:rsidRDefault="00A90C82" w:rsidP="00284B50">
            <w:pPr>
              <w:pStyle w:val="ListParagraph"/>
              <w:spacing w:before="120" w:after="200" w:line="276" w:lineRule="auto"/>
              <w:ind w:left="601" w:hanging="284"/>
              <w:contextualSpacing/>
              <w:rPr>
                <w:rFonts w:ascii="Arial" w:eastAsia="Calibri" w:hAnsi="Arial" w:cs="Arial"/>
                <w:b/>
                <w:sz w:val="20"/>
                <w:szCs w:val="20"/>
                <w:lang w:val="en-US"/>
              </w:rPr>
            </w:pPr>
            <w:r w:rsidRPr="00A90C82">
              <w:rPr>
                <w:rFonts w:ascii="Arial" w:eastAsia="Calibri" w:hAnsi="Arial" w:cs="Arial"/>
                <w:b/>
                <w:sz w:val="20"/>
                <w:szCs w:val="20"/>
                <w:lang w:val="en-US"/>
              </w:rPr>
              <w:t xml:space="preserve">Emergency Management </w:t>
            </w:r>
          </w:p>
          <w:p w14:paraId="37009BB3" w14:textId="11EEEC85" w:rsidR="00A90C82" w:rsidRPr="00A90C82" w:rsidRDefault="00A90C82" w:rsidP="00A61A70">
            <w:pPr>
              <w:pStyle w:val="ListParagraph"/>
              <w:numPr>
                <w:ilvl w:val="0"/>
                <w:numId w:val="51"/>
              </w:numPr>
              <w:spacing w:before="120" w:after="200" w:line="276" w:lineRule="auto"/>
              <w:ind w:left="600" w:hanging="283"/>
              <w:contextualSpacing/>
              <w:rPr>
                <w:rFonts w:ascii="Arial" w:eastAsia="Calibri" w:hAnsi="Arial" w:cs="Arial"/>
                <w:sz w:val="20"/>
                <w:szCs w:val="20"/>
                <w:lang w:val="en-US"/>
              </w:rPr>
            </w:pPr>
            <w:r w:rsidRPr="00A90C82">
              <w:rPr>
                <w:rFonts w:ascii="Arial" w:eastAsia="Calibri" w:hAnsi="Arial" w:cs="Arial"/>
                <w:sz w:val="20"/>
                <w:szCs w:val="20"/>
                <w:lang w:val="en-US"/>
              </w:rPr>
              <w:t>Dis</w:t>
            </w:r>
            <w:r w:rsidR="0084640C">
              <w:rPr>
                <w:rFonts w:ascii="Arial" w:eastAsia="Calibri" w:hAnsi="Arial" w:cs="Arial"/>
                <w:sz w:val="20"/>
                <w:szCs w:val="20"/>
                <w:lang w:val="en-US"/>
              </w:rPr>
              <w:t>aster &amp; emergency management preparedness &amp;</w:t>
            </w:r>
            <w:r w:rsidRPr="00A90C82">
              <w:rPr>
                <w:rFonts w:ascii="Arial" w:eastAsia="Calibri" w:hAnsi="Arial" w:cs="Arial"/>
                <w:sz w:val="20"/>
                <w:szCs w:val="20"/>
                <w:lang w:val="en-US"/>
              </w:rPr>
              <w:t xml:space="preserve"> response </w:t>
            </w:r>
          </w:p>
          <w:p w14:paraId="64FB98BA" w14:textId="77777777" w:rsidR="0084640C" w:rsidRDefault="00A90C82" w:rsidP="00A61A70">
            <w:pPr>
              <w:pStyle w:val="ListParagraph"/>
              <w:numPr>
                <w:ilvl w:val="0"/>
                <w:numId w:val="51"/>
              </w:numPr>
              <w:spacing w:after="200" w:line="276" w:lineRule="auto"/>
              <w:ind w:left="600" w:hanging="283"/>
              <w:contextualSpacing/>
              <w:rPr>
                <w:rFonts w:ascii="Arial" w:eastAsia="Calibri" w:hAnsi="Arial" w:cs="Arial"/>
                <w:sz w:val="20"/>
                <w:szCs w:val="20"/>
                <w:lang w:val="en-US"/>
              </w:rPr>
            </w:pPr>
            <w:r w:rsidRPr="00A90C82">
              <w:rPr>
                <w:rFonts w:ascii="Arial" w:eastAsia="Calibri" w:hAnsi="Arial" w:cs="Arial"/>
                <w:sz w:val="20"/>
                <w:szCs w:val="20"/>
                <w:lang w:val="en-US"/>
              </w:rPr>
              <w:t>Bushfire impact preparedness and prevention - Asset Protection Zone high priority works</w:t>
            </w:r>
          </w:p>
          <w:p w14:paraId="518B6E2F" w14:textId="231F0A36" w:rsidR="00A90C82" w:rsidRPr="0084640C" w:rsidRDefault="00A90C82" w:rsidP="00A61A70">
            <w:pPr>
              <w:pStyle w:val="ListParagraph"/>
              <w:numPr>
                <w:ilvl w:val="0"/>
                <w:numId w:val="51"/>
              </w:numPr>
              <w:spacing w:after="200" w:line="276" w:lineRule="auto"/>
              <w:ind w:left="600" w:hanging="283"/>
              <w:contextualSpacing/>
              <w:rPr>
                <w:rFonts w:ascii="Arial" w:eastAsia="Calibri" w:hAnsi="Arial" w:cs="Arial"/>
                <w:sz w:val="20"/>
                <w:szCs w:val="20"/>
                <w:lang w:val="en-US"/>
              </w:rPr>
            </w:pPr>
            <w:r w:rsidRPr="0084640C">
              <w:rPr>
                <w:rFonts w:ascii="Arial" w:eastAsia="Calibri" w:hAnsi="Arial" w:cs="Arial"/>
                <w:sz w:val="20"/>
                <w:szCs w:val="20"/>
                <w:lang w:val="en-US"/>
              </w:rPr>
              <w:t>Improved cyclic maintenance of Council’s 160km of fire trails</w:t>
            </w:r>
          </w:p>
        </w:tc>
      </w:tr>
      <w:tr w:rsidR="00A90C82" w:rsidRPr="00A90C82" w14:paraId="673654A5" w14:textId="77777777" w:rsidTr="00BA387A">
        <w:tc>
          <w:tcPr>
            <w:tcW w:w="2127" w:type="dxa"/>
            <w:shd w:val="clear" w:color="auto" w:fill="FDE9D9" w:themeFill="accent6" w:themeFillTint="33"/>
          </w:tcPr>
          <w:p w14:paraId="3C8A2087" w14:textId="77777777" w:rsidR="00A90C82" w:rsidRPr="00A90C82" w:rsidRDefault="00A90C82" w:rsidP="00284B50">
            <w:pPr>
              <w:spacing w:line="276" w:lineRule="auto"/>
              <w:rPr>
                <w:rFonts w:ascii="Arial" w:eastAsiaTheme="minorEastAsia" w:hAnsi="Arial" w:cs="Arial"/>
                <w:b/>
                <w:color w:val="000000"/>
                <w:sz w:val="20"/>
                <w:szCs w:val="20"/>
                <w:lang w:val="en-US"/>
              </w:rPr>
            </w:pPr>
          </w:p>
          <w:p w14:paraId="1A0EBB07" w14:textId="77777777" w:rsidR="00A90C82" w:rsidRPr="00CD3F9D" w:rsidRDefault="00A90C82" w:rsidP="00284B50">
            <w:pPr>
              <w:spacing w:line="276" w:lineRule="auto"/>
              <w:rPr>
                <w:rFonts w:ascii="Arial" w:eastAsiaTheme="minorEastAsia" w:hAnsi="Arial" w:cs="Arial"/>
                <w:color w:val="000000"/>
                <w:sz w:val="20"/>
                <w:szCs w:val="20"/>
                <w:lang w:val="en-US"/>
              </w:rPr>
            </w:pPr>
            <w:r w:rsidRPr="00CD3F9D">
              <w:rPr>
                <w:rFonts w:ascii="Arial" w:eastAsiaTheme="minorEastAsia" w:hAnsi="Arial" w:cs="Arial"/>
                <w:color w:val="000000"/>
                <w:sz w:val="20"/>
                <w:szCs w:val="20"/>
                <w:lang w:val="en-US"/>
              </w:rPr>
              <w:t>IMPROVE</w:t>
            </w:r>
          </w:p>
          <w:p w14:paraId="4229C92B" w14:textId="77777777" w:rsidR="00A90C82" w:rsidRPr="00CD3F9D" w:rsidRDefault="00A90C82" w:rsidP="00284B50">
            <w:pPr>
              <w:spacing w:line="276" w:lineRule="auto"/>
              <w:rPr>
                <w:rFonts w:ascii="Arial" w:eastAsiaTheme="minorEastAsia" w:hAnsi="Arial" w:cs="Arial"/>
                <w:color w:val="000000"/>
                <w:sz w:val="20"/>
                <w:szCs w:val="20"/>
                <w:lang w:val="en-US"/>
              </w:rPr>
            </w:pPr>
            <w:r w:rsidRPr="00CD3F9D">
              <w:rPr>
                <w:rFonts w:ascii="Arial" w:eastAsiaTheme="minorEastAsia" w:hAnsi="Arial" w:cs="Arial"/>
                <w:color w:val="000000"/>
                <w:sz w:val="20"/>
                <w:szCs w:val="20"/>
                <w:lang w:val="en-US"/>
              </w:rPr>
              <w:t>SERVICES TO COMMUNITY</w:t>
            </w:r>
          </w:p>
          <w:p w14:paraId="590700A0" w14:textId="77777777" w:rsidR="009B2475" w:rsidRPr="00A90C82" w:rsidRDefault="009B2475" w:rsidP="00284B50">
            <w:pPr>
              <w:spacing w:line="276" w:lineRule="auto"/>
              <w:rPr>
                <w:rFonts w:ascii="Arial" w:eastAsiaTheme="minorEastAsia" w:hAnsi="Arial" w:cs="Arial"/>
                <w:b/>
                <w:color w:val="000000"/>
                <w:sz w:val="20"/>
                <w:szCs w:val="20"/>
                <w:lang w:val="en-US"/>
              </w:rPr>
            </w:pPr>
          </w:p>
          <w:p w14:paraId="39839FA3" w14:textId="77777777" w:rsidR="00A90C82" w:rsidRDefault="00A90C82" w:rsidP="00695720">
            <w:pPr>
              <w:pStyle w:val="ListParagraph"/>
              <w:numPr>
                <w:ilvl w:val="0"/>
                <w:numId w:val="116"/>
              </w:numPr>
              <w:spacing w:line="276" w:lineRule="auto"/>
              <w:ind w:left="318" w:hanging="284"/>
              <w:rPr>
                <w:rFonts w:ascii="Arial" w:eastAsiaTheme="minorEastAsia" w:hAnsi="Arial" w:cs="Arial"/>
                <w:color w:val="000000"/>
                <w:sz w:val="18"/>
                <w:szCs w:val="18"/>
                <w:lang w:val="en-US"/>
              </w:rPr>
            </w:pPr>
            <w:r w:rsidRPr="00BA387A">
              <w:rPr>
                <w:rFonts w:ascii="Arial" w:eastAsiaTheme="minorEastAsia" w:hAnsi="Arial" w:cs="Arial"/>
                <w:color w:val="000000"/>
                <w:sz w:val="18"/>
                <w:szCs w:val="18"/>
                <w:lang w:val="en-US"/>
              </w:rPr>
              <w:t>Renew and maintain facilities</w:t>
            </w:r>
          </w:p>
          <w:p w14:paraId="4F7545A8" w14:textId="77777777" w:rsidR="00BA387A" w:rsidRPr="00BA387A" w:rsidRDefault="00BA387A" w:rsidP="00BA387A">
            <w:pPr>
              <w:pStyle w:val="ListParagraph"/>
              <w:spacing w:line="276" w:lineRule="auto"/>
              <w:ind w:left="318"/>
              <w:rPr>
                <w:rFonts w:ascii="Arial" w:eastAsiaTheme="minorEastAsia" w:hAnsi="Arial" w:cs="Arial"/>
                <w:color w:val="000000"/>
                <w:sz w:val="18"/>
                <w:szCs w:val="18"/>
                <w:lang w:val="en-US"/>
              </w:rPr>
            </w:pPr>
          </w:p>
          <w:p w14:paraId="5C8CFE92" w14:textId="26C97965" w:rsidR="00A90C82" w:rsidRPr="00A90C82" w:rsidRDefault="00A90C82" w:rsidP="00695720">
            <w:pPr>
              <w:pStyle w:val="ListParagraph"/>
              <w:numPr>
                <w:ilvl w:val="0"/>
                <w:numId w:val="116"/>
              </w:numPr>
              <w:spacing w:line="276" w:lineRule="auto"/>
              <w:ind w:left="318" w:hanging="284"/>
              <w:rPr>
                <w:rFonts w:ascii="Arial" w:eastAsiaTheme="minorEastAsia" w:hAnsi="Arial" w:cs="Arial"/>
                <w:color w:val="000000"/>
                <w:sz w:val="20"/>
                <w:szCs w:val="20"/>
                <w:lang w:val="en-US"/>
              </w:rPr>
            </w:pPr>
            <w:r w:rsidRPr="00BA387A">
              <w:rPr>
                <w:rFonts w:ascii="Arial" w:eastAsiaTheme="minorEastAsia" w:hAnsi="Arial" w:cs="Arial"/>
                <w:color w:val="000000"/>
                <w:sz w:val="18"/>
                <w:szCs w:val="18"/>
                <w:lang w:val="en-US"/>
              </w:rPr>
              <w:t>Support community well-being</w:t>
            </w:r>
            <w:r w:rsidRPr="00BA387A">
              <w:rPr>
                <w:rFonts w:ascii="Arial" w:eastAsiaTheme="minorEastAsia" w:hAnsi="Arial" w:cs="Arial"/>
                <w:b/>
                <w:color w:val="000000"/>
                <w:sz w:val="18"/>
                <w:szCs w:val="18"/>
                <w:lang w:val="en-US"/>
              </w:rPr>
              <w:t xml:space="preserve"> </w:t>
            </w:r>
            <w:r w:rsidR="00694A6C" w:rsidRPr="00BA387A">
              <w:rPr>
                <w:rFonts w:ascii="Arial" w:eastAsiaTheme="minorEastAsia" w:hAnsi="Arial" w:cs="Arial"/>
                <w:color w:val="000000"/>
                <w:sz w:val="18"/>
                <w:szCs w:val="18"/>
                <w:lang w:val="en-US"/>
              </w:rPr>
              <w:t>initiatives and programs</w:t>
            </w:r>
          </w:p>
        </w:tc>
        <w:tc>
          <w:tcPr>
            <w:tcW w:w="6520" w:type="dxa"/>
            <w:shd w:val="clear" w:color="auto" w:fill="FDE9D9" w:themeFill="accent6" w:themeFillTint="33"/>
          </w:tcPr>
          <w:p w14:paraId="2DE1E577" w14:textId="77777777" w:rsidR="00A90C82" w:rsidRPr="00A90C82" w:rsidRDefault="00A90C82" w:rsidP="00284B50">
            <w:pPr>
              <w:spacing w:before="120" w:after="200" w:line="276" w:lineRule="auto"/>
              <w:ind w:left="639" w:hanging="464"/>
              <w:contextualSpacing/>
              <w:rPr>
                <w:rFonts w:ascii="Arial" w:eastAsia="Calibri" w:hAnsi="Arial" w:cs="Arial"/>
                <w:b/>
                <w:sz w:val="20"/>
                <w:szCs w:val="20"/>
                <w:lang w:val="en-US"/>
              </w:rPr>
            </w:pPr>
            <w:r w:rsidRPr="00A90C82">
              <w:rPr>
                <w:rFonts w:ascii="Arial" w:eastAsia="Calibri" w:hAnsi="Arial" w:cs="Arial"/>
                <w:b/>
                <w:sz w:val="20"/>
                <w:szCs w:val="20"/>
                <w:lang w:val="en-US"/>
              </w:rPr>
              <w:t>Community Development Programs</w:t>
            </w:r>
          </w:p>
          <w:p w14:paraId="4E2CD08F" w14:textId="701E65D0" w:rsidR="00A90C82" w:rsidRPr="00A90C82" w:rsidRDefault="00A90C82" w:rsidP="00A61A70">
            <w:pPr>
              <w:numPr>
                <w:ilvl w:val="0"/>
                <w:numId w:val="54"/>
              </w:numPr>
              <w:spacing w:before="120" w:after="200" w:line="276" w:lineRule="auto"/>
              <w:ind w:left="600" w:hanging="425"/>
              <w:contextualSpacing/>
              <w:rPr>
                <w:rFonts w:ascii="Arial" w:eastAsia="Calibri" w:hAnsi="Arial" w:cs="Arial"/>
                <w:sz w:val="20"/>
                <w:szCs w:val="20"/>
                <w:lang w:val="en-US"/>
              </w:rPr>
            </w:pPr>
            <w:r w:rsidRPr="00A90C82">
              <w:rPr>
                <w:rFonts w:ascii="Arial" w:eastAsia="Calibri" w:hAnsi="Arial" w:cs="Arial"/>
                <w:sz w:val="20"/>
                <w:szCs w:val="20"/>
                <w:lang w:val="en-US"/>
              </w:rPr>
              <w:t xml:space="preserve">Community and cultural development programs to improve social outcomes for general community and </w:t>
            </w:r>
            <w:r w:rsidR="00DD2A1B">
              <w:rPr>
                <w:rFonts w:ascii="Arial" w:eastAsia="Calibri" w:hAnsi="Arial" w:cs="Arial"/>
                <w:sz w:val="20"/>
                <w:szCs w:val="20"/>
                <w:lang w:val="en-US"/>
              </w:rPr>
              <w:t xml:space="preserve">in particular, </w:t>
            </w:r>
            <w:r w:rsidRPr="00A90C82">
              <w:rPr>
                <w:rFonts w:ascii="Arial" w:eastAsia="Calibri" w:hAnsi="Arial" w:cs="Arial"/>
                <w:sz w:val="20"/>
                <w:szCs w:val="20"/>
                <w:lang w:val="en-US"/>
              </w:rPr>
              <w:t>those most in need</w:t>
            </w:r>
          </w:p>
          <w:p w14:paraId="2849DEFC" w14:textId="77777777" w:rsidR="00A90C82" w:rsidRPr="00A90C82" w:rsidRDefault="00A90C82" w:rsidP="00284B50">
            <w:pPr>
              <w:spacing w:before="120" w:after="200" w:line="276" w:lineRule="auto"/>
              <w:ind w:left="600"/>
              <w:contextualSpacing/>
              <w:rPr>
                <w:rFonts w:ascii="Arial" w:eastAsia="Calibri" w:hAnsi="Arial" w:cs="Arial"/>
                <w:sz w:val="20"/>
                <w:szCs w:val="20"/>
                <w:lang w:val="en-US"/>
              </w:rPr>
            </w:pPr>
          </w:p>
          <w:p w14:paraId="34FC25A4" w14:textId="77777777" w:rsidR="00A90C82" w:rsidRPr="00A90C82" w:rsidRDefault="00A90C82" w:rsidP="00284B50">
            <w:pPr>
              <w:spacing w:before="120" w:after="200" w:line="276" w:lineRule="auto"/>
              <w:ind w:left="600" w:hanging="425"/>
              <w:contextualSpacing/>
              <w:rPr>
                <w:rFonts w:ascii="Arial" w:eastAsia="Calibri" w:hAnsi="Arial" w:cs="Arial"/>
                <w:b/>
                <w:sz w:val="20"/>
                <w:szCs w:val="20"/>
                <w:lang w:val="en-US"/>
              </w:rPr>
            </w:pPr>
            <w:r w:rsidRPr="00A90C82">
              <w:rPr>
                <w:rFonts w:ascii="Arial" w:eastAsia="Calibri" w:hAnsi="Arial" w:cs="Arial"/>
                <w:b/>
                <w:sz w:val="20"/>
                <w:szCs w:val="20"/>
                <w:lang w:val="en-US"/>
              </w:rPr>
              <w:t>Community Facilities</w:t>
            </w:r>
          </w:p>
          <w:p w14:paraId="483CD1FB" w14:textId="36EF45F9" w:rsidR="00A90C82" w:rsidRPr="00A90C82" w:rsidRDefault="00A90C82" w:rsidP="00A61A70">
            <w:pPr>
              <w:numPr>
                <w:ilvl w:val="0"/>
                <w:numId w:val="54"/>
              </w:numPr>
              <w:spacing w:before="120" w:after="200" w:line="276" w:lineRule="auto"/>
              <w:ind w:left="600" w:hanging="425"/>
              <w:contextualSpacing/>
              <w:rPr>
                <w:rFonts w:ascii="Arial" w:eastAsia="Calibri" w:hAnsi="Arial" w:cs="Arial"/>
                <w:sz w:val="20"/>
                <w:szCs w:val="20"/>
                <w:lang w:val="en-US"/>
              </w:rPr>
            </w:pPr>
            <w:r w:rsidRPr="00A90C82">
              <w:rPr>
                <w:rFonts w:ascii="Arial" w:eastAsia="Calibri" w:hAnsi="Arial" w:cs="Arial"/>
                <w:sz w:val="20"/>
                <w:szCs w:val="20"/>
                <w:lang w:val="en-US"/>
              </w:rPr>
              <w:t xml:space="preserve">Renewal, maintenance and operation of community &amp; cultural facilities including  community centres, halls, youth facilities, child care facilities, neighbourhood centres and </w:t>
            </w:r>
            <w:r w:rsidR="00A231EA">
              <w:rPr>
                <w:rFonts w:ascii="Arial" w:eastAsia="Calibri" w:hAnsi="Arial" w:cs="Arial"/>
                <w:sz w:val="20"/>
                <w:szCs w:val="20"/>
                <w:lang w:val="en-US"/>
              </w:rPr>
              <w:t xml:space="preserve">other </w:t>
            </w:r>
            <w:r w:rsidR="00EB3E28">
              <w:rPr>
                <w:rFonts w:ascii="Arial" w:eastAsia="Calibri" w:hAnsi="Arial" w:cs="Arial"/>
                <w:sz w:val="20"/>
                <w:szCs w:val="20"/>
                <w:lang w:val="en-US"/>
              </w:rPr>
              <w:t xml:space="preserve">community </w:t>
            </w:r>
            <w:r w:rsidR="00A231EA">
              <w:rPr>
                <w:rFonts w:ascii="Arial" w:eastAsia="Calibri" w:hAnsi="Arial" w:cs="Arial"/>
                <w:sz w:val="20"/>
                <w:szCs w:val="20"/>
                <w:lang w:val="en-US"/>
              </w:rPr>
              <w:t>facilities</w:t>
            </w:r>
          </w:p>
          <w:p w14:paraId="60505602" w14:textId="77777777" w:rsidR="00A90C82" w:rsidRPr="00A90C82" w:rsidRDefault="00A90C82" w:rsidP="00A61A70">
            <w:pPr>
              <w:numPr>
                <w:ilvl w:val="0"/>
                <w:numId w:val="54"/>
              </w:numPr>
              <w:spacing w:before="120" w:after="200" w:line="276" w:lineRule="auto"/>
              <w:ind w:left="600" w:hanging="425"/>
              <w:contextualSpacing/>
              <w:rPr>
                <w:rFonts w:ascii="Arial" w:eastAsia="Calibri" w:hAnsi="Arial" w:cs="Arial"/>
                <w:sz w:val="20"/>
                <w:szCs w:val="20"/>
                <w:lang w:val="en-US"/>
              </w:rPr>
            </w:pPr>
            <w:r w:rsidRPr="00A90C82">
              <w:rPr>
                <w:rFonts w:ascii="Arial" w:eastAsia="Calibri" w:hAnsi="Arial" w:cs="Arial"/>
                <w:sz w:val="20"/>
                <w:szCs w:val="20"/>
                <w:lang w:val="en-US"/>
              </w:rPr>
              <w:t>Rehabilitation of cultural and community assets</w:t>
            </w:r>
          </w:p>
          <w:p w14:paraId="0500840A" w14:textId="77777777" w:rsidR="00A90C82" w:rsidRPr="00A90C82" w:rsidRDefault="00A90C82" w:rsidP="00284B50">
            <w:pPr>
              <w:spacing w:before="120" w:after="200" w:line="276" w:lineRule="auto"/>
              <w:ind w:left="639"/>
              <w:contextualSpacing/>
              <w:rPr>
                <w:rFonts w:ascii="Arial" w:eastAsia="Calibri" w:hAnsi="Arial" w:cs="Arial"/>
                <w:sz w:val="20"/>
                <w:szCs w:val="20"/>
                <w:lang w:val="en-US"/>
              </w:rPr>
            </w:pPr>
          </w:p>
          <w:p w14:paraId="7FD62A07" w14:textId="77777777" w:rsidR="00A90C82" w:rsidRPr="00A90C82" w:rsidRDefault="00A90C82" w:rsidP="00284B50">
            <w:pPr>
              <w:spacing w:before="120" w:after="200" w:line="276" w:lineRule="auto"/>
              <w:ind w:left="639" w:hanging="464"/>
              <w:contextualSpacing/>
              <w:rPr>
                <w:rFonts w:ascii="Arial" w:eastAsia="Calibri" w:hAnsi="Arial" w:cs="Arial"/>
                <w:b/>
                <w:sz w:val="20"/>
                <w:szCs w:val="20"/>
                <w:lang w:val="en-US"/>
              </w:rPr>
            </w:pPr>
            <w:r w:rsidRPr="00A90C82">
              <w:rPr>
                <w:rFonts w:ascii="Arial" w:eastAsia="Calibri" w:hAnsi="Arial" w:cs="Arial"/>
                <w:b/>
                <w:sz w:val="20"/>
                <w:szCs w:val="20"/>
                <w:lang w:val="en-US"/>
              </w:rPr>
              <w:t xml:space="preserve">Sport and Recreation Facilities &amp; Programs </w:t>
            </w:r>
          </w:p>
          <w:p w14:paraId="561749CD" w14:textId="77777777" w:rsidR="00A90C82" w:rsidRPr="00A90C82" w:rsidRDefault="00A90C82" w:rsidP="00A61A70">
            <w:pPr>
              <w:numPr>
                <w:ilvl w:val="0"/>
                <w:numId w:val="56"/>
              </w:numPr>
              <w:spacing w:after="200" w:line="276" w:lineRule="auto"/>
              <w:ind w:left="600" w:hanging="425"/>
              <w:contextualSpacing/>
              <w:rPr>
                <w:rFonts w:ascii="Arial" w:eastAsia="Calibri" w:hAnsi="Arial" w:cs="Arial"/>
                <w:sz w:val="20"/>
                <w:szCs w:val="20"/>
                <w:lang w:val="en-US"/>
              </w:rPr>
            </w:pPr>
            <w:r w:rsidRPr="00A90C82">
              <w:rPr>
                <w:rFonts w:ascii="Arial" w:eastAsia="Calibri" w:hAnsi="Arial" w:cs="Arial"/>
                <w:sz w:val="20"/>
                <w:szCs w:val="20"/>
                <w:lang w:val="en-US"/>
              </w:rPr>
              <w:t xml:space="preserve">Renewal and maintenance of priority recreational sporting surfaces, parks, equipment, buildings, toilets and parking </w:t>
            </w:r>
          </w:p>
          <w:p w14:paraId="56770FAB" w14:textId="77777777" w:rsidR="00A90C82" w:rsidRPr="00A90C82" w:rsidRDefault="00A90C82" w:rsidP="00A61A70">
            <w:pPr>
              <w:numPr>
                <w:ilvl w:val="0"/>
                <w:numId w:val="56"/>
              </w:numPr>
              <w:spacing w:after="200" w:line="276" w:lineRule="auto"/>
              <w:ind w:left="600" w:hanging="425"/>
              <w:contextualSpacing/>
              <w:rPr>
                <w:rFonts w:ascii="Arial" w:eastAsia="Calibri" w:hAnsi="Arial" w:cs="Arial"/>
                <w:sz w:val="20"/>
                <w:szCs w:val="20"/>
                <w:lang w:val="en-US"/>
              </w:rPr>
            </w:pPr>
            <w:r w:rsidRPr="00A90C82">
              <w:rPr>
                <w:rFonts w:ascii="Arial" w:eastAsia="Calibri" w:hAnsi="Arial" w:cs="Arial"/>
                <w:sz w:val="20"/>
                <w:szCs w:val="20"/>
                <w:lang w:val="en-US"/>
              </w:rPr>
              <w:t>Park revitalisation program</w:t>
            </w:r>
          </w:p>
          <w:p w14:paraId="405406E2" w14:textId="77777777" w:rsidR="0084640C" w:rsidRDefault="00A90C82" w:rsidP="00A61A70">
            <w:pPr>
              <w:numPr>
                <w:ilvl w:val="0"/>
                <w:numId w:val="56"/>
              </w:numPr>
              <w:spacing w:before="120" w:after="200" w:line="276" w:lineRule="auto"/>
              <w:ind w:left="600" w:hanging="425"/>
              <w:contextualSpacing/>
              <w:rPr>
                <w:rFonts w:ascii="Arial" w:eastAsia="Calibri" w:hAnsi="Arial" w:cs="Arial"/>
                <w:sz w:val="20"/>
                <w:szCs w:val="20"/>
                <w:lang w:val="en-US"/>
              </w:rPr>
            </w:pPr>
            <w:r w:rsidRPr="00A90C82">
              <w:rPr>
                <w:rFonts w:ascii="Arial" w:eastAsia="Calibri" w:hAnsi="Arial" w:cs="Arial"/>
                <w:sz w:val="20"/>
                <w:szCs w:val="20"/>
                <w:lang w:val="en-US"/>
              </w:rPr>
              <w:t>Aquatic &amp; Leisure Centres - swimming pool renewal, maintenance and infrastructure priorities</w:t>
            </w:r>
          </w:p>
          <w:p w14:paraId="446EEF86" w14:textId="7298EC02" w:rsidR="00A90C82" w:rsidRPr="0084640C" w:rsidRDefault="00A90C82" w:rsidP="00A61A70">
            <w:pPr>
              <w:numPr>
                <w:ilvl w:val="0"/>
                <w:numId w:val="56"/>
              </w:numPr>
              <w:spacing w:before="120" w:after="200" w:line="276" w:lineRule="auto"/>
              <w:ind w:left="600" w:hanging="425"/>
              <w:contextualSpacing/>
              <w:rPr>
                <w:rFonts w:ascii="Arial" w:eastAsia="Calibri" w:hAnsi="Arial" w:cs="Arial"/>
                <w:sz w:val="20"/>
                <w:szCs w:val="20"/>
                <w:lang w:val="en-US"/>
              </w:rPr>
            </w:pPr>
            <w:r w:rsidRPr="0084640C">
              <w:rPr>
                <w:rFonts w:ascii="Arial" w:eastAsia="Calibri" w:hAnsi="Arial" w:cs="Arial"/>
                <w:sz w:val="20"/>
                <w:szCs w:val="20"/>
                <w:lang w:val="en-US"/>
              </w:rPr>
              <w:t>Sporting and recreational facility operations</w:t>
            </w:r>
          </w:p>
          <w:p w14:paraId="280F1F73" w14:textId="2A2DB9D7" w:rsidR="0084640C" w:rsidRPr="00A90C82" w:rsidRDefault="0084640C" w:rsidP="00A90C82">
            <w:pPr>
              <w:spacing w:before="120" w:after="200" w:line="276" w:lineRule="auto"/>
              <w:ind w:left="639" w:hanging="322"/>
              <w:contextualSpacing/>
              <w:rPr>
                <w:rFonts w:ascii="Arial" w:eastAsia="Calibri" w:hAnsi="Arial" w:cs="Arial"/>
                <w:b/>
                <w:sz w:val="20"/>
                <w:szCs w:val="20"/>
                <w:lang w:val="en-US"/>
              </w:rPr>
            </w:pPr>
          </w:p>
        </w:tc>
      </w:tr>
      <w:tr w:rsidR="00A90C82" w:rsidRPr="00A90C82" w14:paraId="2FF82D3D" w14:textId="77777777" w:rsidTr="00BA387A">
        <w:tc>
          <w:tcPr>
            <w:tcW w:w="2127" w:type="dxa"/>
            <w:shd w:val="clear" w:color="auto" w:fill="FDE9D9" w:themeFill="accent6" w:themeFillTint="33"/>
          </w:tcPr>
          <w:p w14:paraId="5258121F" w14:textId="77777777" w:rsidR="00A90C82" w:rsidRPr="00627CCC" w:rsidRDefault="00A90C82" w:rsidP="00284B50">
            <w:pPr>
              <w:spacing w:line="276" w:lineRule="auto"/>
              <w:jc w:val="both"/>
              <w:rPr>
                <w:rFonts w:ascii="Arial" w:hAnsi="Arial" w:cs="Arial"/>
                <w:bCs/>
                <w:i/>
                <w:sz w:val="20"/>
                <w:szCs w:val="20"/>
              </w:rPr>
            </w:pPr>
          </w:p>
          <w:p w14:paraId="17BC037C" w14:textId="77777777" w:rsidR="00A90C82" w:rsidRPr="00CD3F9D" w:rsidRDefault="00A90C82" w:rsidP="00284B50">
            <w:pPr>
              <w:spacing w:line="276" w:lineRule="auto"/>
              <w:rPr>
                <w:rFonts w:ascii="Arial" w:hAnsi="Arial" w:cs="Arial"/>
                <w:bCs/>
                <w:sz w:val="20"/>
                <w:szCs w:val="20"/>
              </w:rPr>
            </w:pPr>
            <w:r w:rsidRPr="00CD3F9D">
              <w:rPr>
                <w:rFonts w:ascii="Arial" w:hAnsi="Arial" w:cs="Arial"/>
                <w:bCs/>
                <w:sz w:val="20"/>
                <w:szCs w:val="20"/>
              </w:rPr>
              <w:t>ENHANCE OVERALL FINANCIAL SUSTAINABILITY</w:t>
            </w:r>
          </w:p>
          <w:p w14:paraId="7CAFCE0B" w14:textId="77777777" w:rsidR="009B2475" w:rsidRPr="00A90C82" w:rsidRDefault="009B2475" w:rsidP="00284B50">
            <w:pPr>
              <w:spacing w:line="276" w:lineRule="auto"/>
              <w:rPr>
                <w:rFonts w:ascii="Arial" w:hAnsi="Arial" w:cs="Arial"/>
                <w:b/>
                <w:bCs/>
                <w:sz w:val="20"/>
                <w:szCs w:val="20"/>
              </w:rPr>
            </w:pPr>
          </w:p>
          <w:p w14:paraId="3C3B9C73" w14:textId="342859F4" w:rsidR="009B2475" w:rsidRDefault="0068378E" w:rsidP="00695720">
            <w:pPr>
              <w:pStyle w:val="ListParagraph"/>
              <w:numPr>
                <w:ilvl w:val="0"/>
                <w:numId w:val="117"/>
              </w:numPr>
              <w:spacing w:line="276" w:lineRule="auto"/>
              <w:ind w:left="318" w:hanging="284"/>
              <w:rPr>
                <w:rFonts w:ascii="Arial" w:hAnsi="Arial" w:cs="Arial"/>
                <w:bCs/>
                <w:sz w:val="18"/>
                <w:szCs w:val="18"/>
              </w:rPr>
            </w:pPr>
            <w:r w:rsidRPr="00BA387A">
              <w:rPr>
                <w:rFonts w:ascii="Arial" w:hAnsi="Arial" w:cs="Arial"/>
                <w:bCs/>
                <w:sz w:val="18"/>
                <w:szCs w:val="18"/>
              </w:rPr>
              <w:t xml:space="preserve">So we can </w:t>
            </w:r>
            <w:r w:rsidR="00CD3F9D">
              <w:rPr>
                <w:rFonts w:ascii="Arial" w:hAnsi="Arial" w:cs="Arial"/>
                <w:bCs/>
                <w:sz w:val="18"/>
                <w:szCs w:val="18"/>
              </w:rPr>
              <w:t xml:space="preserve">be Fit for the Future and </w:t>
            </w:r>
            <w:r w:rsidRPr="00BA387A">
              <w:rPr>
                <w:rFonts w:ascii="Arial" w:hAnsi="Arial" w:cs="Arial"/>
                <w:bCs/>
                <w:sz w:val="18"/>
                <w:szCs w:val="18"/>
              </w:rPr>
              <w:t>r</w:t>
            </w:r>
            <w:r w:rsidR="009B2475" w:rsidRPr="00BA387A">
              <w:rPr>
                <w:rFonts w:ascii="Arial" w:hAnsi="Arial" w:cs="Arial"/>
                <w:bCs/>
                <w:sz w:val="18"/>
                <w:szCs w:val="18"/>
              </w:rPr>
              <w:t>esource implementation of our Community Strategic Plan</w:t>
            </w:r>
            <w:r w:rsidRPr="00BA387A">
              <w:rPr>
                <w:rFonts w:ascii="Arial" w:hAnsi="Arial" w:cs="Arial"/>
                <w:bCs/>
                <w:sz w:val="18"/>
                <w:szCs w:val="18"/>
              </w:rPr>
              <w:t xml:space="preserve"> – </w:t>
            </w:r>
            <w:r w:rsidRPr="00BA387A">
              <w:rPr>
                <w:rFonts w:ascii="Arial" w:hAnsi="Arial" w:cs="Arial"/>
                <w:bCs/>
                <w:i/>
                <w:sz w:val="18"/>
                <w:szCs w:val="18"/>
              </w:rPr>
              <w:t>Sustainable Blue Mountains 2025</w:t>
            </w:r>
            <w:r w:rsidR="009B2475" w:rsidRPr="00BA387A">
              <w:rPr>
                <w:rFonts w:ascii="Arial" w:hAnsi="Arial" w:cs="Arial"/>
                <w:bCs/>
                <w:sz w:val="18"/>
                <w:szCs w:val="18"/>
              </w:rPr>
              <w:t xml:space="preserve"> </w:t>
            </w:r>
          </w:p>
          <w:p w14:paraId="143A375B" w14:textId="77777777" w:rsidR="00BA387A" w:rsidRPr="00BA387A" w:rsidRDefault="00BA387A" w:rsidP="00BA387A">
            <w:pPr>
              <w:pStyle w:val="ListParagraph"/>
              <w:spacing w:line="276" w:lineRule="auto"/>
              <w:ind w:left="318"/>
              <w:rPr>
                <w:rFonts w:ascii="Arial" w:hAnsi="Arial" w:cs="Arial"/>
                <w:bCs/>
                <w:sz w:val="18"/>
                <w:szCs w:val="18"/>
              </w:rPr>
            </w:pPr>
          </w:p>
          <w:p w14:paraId="58BC8049" w14:textId="6A1E98C0" w:rsidR="009B2475" w:rsidRDefault="00A90C82" w:rsidP="00695720">
            <w:pPr>
              <w:pStyle w:val="ListParagraph"/>
              <w:numPr>
                <w:ilvl w:val="0"/>
                <w:numId w:val="117"/>
              </w:numPr>
              <w:spacing w:line="276" w:lineRule="auto"/>
              <w:ind w:left="318" w:hanging="284"/>
              <w:rPr>
                <w:rFonts w:ascii="Arial" w:hAnsi="Arial" w:cs="Arial"/>
                <w:bCs/>
                <w:sz w:val="18"/>
                <w:szCs w:val="18"/>
              </w:rPr>
            </w:pPr>
            <w:r w:rsidRPr="00BA387A">
              <w:rPr>
                <w:rFonts w:ascii="Arial" w:hAnsi="Arial" w:cs="Arial"/>
                <w:bCs/>
                <w:sz w:val="18"/>
                <w:szCs w:val="18"/>
              </w:rPr>
              <w:t xml:space="preserve">Address the </w:t>
            </w:r>
            <w:r w:rsidR="009B2475" w:rsidRPr="00BA387A">
              <w:rPr>
                <w:rFonts w:ascii="Arial" w:hAnsi="Arial" w:cs="Arial"/>
                <w:bCs/>
                <w:sz w:val="18"/>
                <w:szCs w:val="18"/>
              </w:rPr>
              <w:t xml:space="preserve">asset funding backlog – so we can fund required renewal and maintenance </w:t>
            </w:r>
          </w:p>
          <w:p w14:paraId="42567FFA" w14:textId="77777777" w:rsidR="00BA387A" w:rsidRPr="00BA387A" w:rsidRDefault="00BA387A" w:rsidP="00BA387A">
            <w:pPr>
              <w:pStyle w:val="ListParagraph"/>
              <w:rPr>
                <w:rFonts w:ascii="Arial" w:hAnsi="Arial" w:cs="Arial"/>
                <w:bCs/>
                <w:sz w:val="18"/>
                <w:szCs w:val="18"/>
              </w:rPr>
            </w:pPr>
          </w:p>
          <w:p w14:paraId="776DE0CC" w14:textId="756BB6BD" w:rsidR="00A90C82" w:rsidRPr="00BA387A" w:rsidRDefault="00A90C82" w:rsidP="00695720">
            <w:pPr>
              <w:pStyle w:val="ListParagraph"/>
              <w:numPr>
                <w:ilvl w:val="0"/>
                <w:numId w:val="117"/>
              </w:numPr>
              <w:spacing w:line="276" w:lineRule="auto"/>
              <w:ind w:left="318" w:hanging="284"/>
              <w:rPr>
                <w:rFonts w:ascii="Arial" w:hAnsi="Arial" w:cs="Arial"/>
                <w:bCs/>
                <w:sz w:val="18"/>
                <w:szCs w:val="18"/>
              </w:rPr>
            </w:pPr>
            <w:r w:rsidRPr="00BA387A">
              <w:rPr>
                <w:rFonts w:ascii="Arial" w:hAnsi="Arial" w:cs="Arial"/>
                <w:bCs/>
                <w:sz w:val="18"/>
                <w:szCs w:val="18"/>
              </w:rPr>
              <w:t>Improve the Operating Result</w:t>
            </w:r>
            <w:r w:rsidR="0068378E" w:rsidRPr="00BA387A">
              <w:rPr>
                <w:rFonts w:ascii="Arial" w:hAnsi="Arial" w:cs="Arial"/>
                <w:bCs/>
                <w:sz w:val="18"/>
                <w:szCs w:val="18"/>
              </w:rPr>
              <w:t xml:space="preserve"> over  5-10 years</w:t>
            </w:r>
          </w:p>
          <w:p w14:paraId="12E5CBF1" w14:textId="07E5A083" w:rsidR="0068378E" w:rsidRPr="00A90C82" w:rsidRDefault="0068378E" w:rsidP="0068378E">
            <w:pPr>
              <w:pStyle w:val="ListParagraph"/>
              <w:spacing w:line="276" w:lineRule="auto"/>
              <w:ind w:left="318"/>
              <w:rPr>
                <w:rFonts w:ascii="Arial" w:hAnsi="Arial" w:cs="Arial"/>
                <w:bCs/>
                <w:sz w:val="20"/>
                <w:szCs w:val="20"/>
              </w:rPr>
            </w:pPr>
          </w:p>
        </w:tc>
        <w:tc>
          <w:tcPr>
            <w:tcW w:w="6520" w:type="dxa"/>
            <w:shd w:val="clear" w:color="auto" w:fill="FDE9D9" w:themeFill="accent6" w:themeFillTint="33"/>
          </w:tcPr>
          <w:p w14:paraId="57A21A40" w14:textId="77777777" w:rsidR="00A90C82" w:rsidRPr="00F07C63" w:rsidRDefault="00A90C82" w:rsidP="00284B50">
            <w:pPr>
              <w:spacing w:before="120" w:after="200" w:line="276" w:lineRule="auto"/>
              <w:ind w:left="241"/>
              <w:contextualSpacing/>
              <w:rPr>
                <w:rFonts w:ascii="Arial" w:hAnsi="Arial" w:cs="Arial"/>
                <w:b/>
                <w:bCs/>
                <w:sz w:val="20"/>
                <w:szCs w:val="20"/>
              </w:rPr>
            </w:pPr>
            <w:r w:rsidRPr="00F07C63">
              <w:rPr>
                <w:rFonts w:ascii="Arial" w:hAnsi="Arial" w:cs="Arial"/>
                <w:b/>
                <w:bCs/>
                <w:sz w:val="20"/>
                <w:szCs w:val="20"/>
              </w:rPr>
              <w:t>Contribute to the implementation of community endorsed Integrated Plans :</w:t>
            </w:r>
          </w:p>
          <w:p w14:paraId="00D5E019" w14:textId="77777777" w:rsidR="00A90C82" w:rsidRPr="00F07C63" w:rsidRDefault="00A90C82" w:rsidP="00A61A70">
            <w:pPr>
              <w:pStyle w:val="ListParagraph"/>
              <w:numPr>
                <w:ilvl w:val="0"/>
                <w:numId w:val="57"/>
              </w:numPr>
              <w:spacing w:before="120" w:after="200" w:line="276" w:lineRule="auto"/>
              <w:ind w:left="600" w:hanging="425"/>
              <w:contextualSpacing/>
              <w:rPr>
                <w:rFonts w:ascii="Arial" w:hAnsi="Arial" w:cs="Arial"/>
                <w:bCs/>
                <w:sz w:val="20"/>
                <w:szCs w:val="20"/>
              </w:rPr>
            </w:pPr>
            <w:r w:rsidRPr="00F07C63">
              <w:rPr>
                <w:rFonts w:ascii="Arial" w:hAnsi="Arial" w:cs="Arial"/>
                <w:bCs/>
                <w:sz w:val="20"/>
                <w:szCs w:val="20"/>
              </w:rPr>
              <w:t xml:space="preserve">Community Strategic Plan – </w:t>
            </w:r>
            <w:r w:rsidRPr="00F07C63">
              <w:rPr>
                <w:rFonts w:ascii="Arial" w:hAnsi="Arial" w:cs="Arial"/>
                <w:bCs/>
                <w:i/>
                <w:sz w:val="20"/>
                <w:szCs w:val="20"/>
              </w:rPr>
              <w:t>Sustainable Blue Mountains 2025</w:t>
            </w:r>
            <w:r w:rsidRPr="00F07C63">
              <w:rPr>
                <w:rFonts w:ascii="Arial" w:hAnsi="Arial" w:cs="Arial"/>
                <w:bCs/>
                <w:sz w:val="20"/>
                <w:szCs w:val="20"/>
              </w:rPr>
              <w:t xml:space="preserve"> priority objectives, strategies and action areas</w:t>
            </w:r>
          </w:p>
          <w:p w14:paraId="2802C034" w14:textId="77777777" w:rsidR="00A90C82" w:rsidRPr="00F07C63" w:rsidRDefault="00A90C82" w:rsidP="00A61A70">
            <w:pPr>
              <w:pStyle w:val="ListParagraph"/>
              <w:numPr>
                <w:ilvl w:val="0"/>
                <w:numId w:val="57"/>
              </w:numPr>
              <w:spacing w:before="120" w:after="200" w:line="276" w:lineRule="auto"/>
              <w:ind w:left="600" w:hanging="425"/>
              <w:contextualSpacing/>
              <w:rPr>
                <w:rFonts w:ascii="Arial" w:hAnsi="Arial" w:cs="Arial"/>
                <w:bCs/>
                <w:sz w:val="20"/>
                <w:szCs w:val="20"/>
              </w:rPr>
            </w:pPr>
            <w:r w:rsidRPr="00F07C63">
              <w:rPr>
                <w:rFonts w:ascii="Arial" w:hAnsi="Arial" w:cs="Arial"/>
                <w:bCs/>
                <w:sz w:val="20"/>
                <w:szCs w:val="20"/>
              </w:rPr>
              <w:t xml:space="preserve">Resourcing Strategy </w:t>
            </w:r>
          </w:p>
          <w:p w14:paraId="0C94494F" w14:textId="77777777" w:rsidR="00A90C82" w:rsidRPr="00F07C63" w:rsidRDefault="00A90C82" w:rsidP="00A61A70">
            <w:pPr>
              <w:pStyle w:val="ListParagraph"/>
              <w:numPr>
                <w:ilvl w:val="0"/>
                <w:numId w:val="68"/>
              </w:numPr>
              <w:spacing w:before="120" w:after="200" w:line="276" w:lineRule="auto"/>
              <w:contextualSpacing/>
              <w:rPr>
                <w:rFonts w:ascii="Arial" w:hAnsi="Arial" w:cs="Arial"/>
                <w:bCs/>
                <w:sz w:val="20"/>
                <w:szCs w:val="20"/>
              </w:rPr>
            </w:pPr>
            <w:r w:rsidRPr="00F07C63">
              <w:rPr>
                <w:rFonts w:ascii="Arial" w:hAnsi="Arial" w:cs="Arial"/>
                <w:bCs/>
                <w:sz w:val="20"/>
                <w:szCs w:val="20"/>
              </w:rPr>
              <w:t>Long Term Financial Plan including Six Point Strategy for Financial Sustainability</w:t>
            </w:r>
          </w:p>
          <w:p w14:paraId="2FCD2671" w14:textId="77777777" w:rsidR="00A90C82" w:rsidRPr="00F07C63" w:rsidRDefault="00A90C82" w:rsidP="00A61A70">
            <w:pPr>
              <w:pStyle w:val="ListParagraph"/>
              <w:numPr>
                <w:ilvl w:val="0"/>
                <w:numId w:val="68"/>
              </w:numPr>
              <w:spacing w:before="120" w:after="200" w:line="276" w:lineRule="auto"/>
              <w:contextualSpacing/>
              <w:rPr>
                <w:rFonts w:ascii="Arial" w:hAnsi="Arial" w:cs="Arial"/>
                <w:bCs/>
                <w:sz w:val="20"/>
                <w:szCs w:val="20"/>
              </w:rPr>
            </w:pPr>
            <w:r w:rsidRPr="00F07C63">
              <w:rPr>
                <w:rFonts w:ascii="Arial" w:hAnsi="Arial" w:cs="Arial"/>
                <w:bCs/>
                <w:sz w:val="20"/>
                <w:szCs w:val="20"/>
              </w:rPr>
              <w:t xml:space="preserve">Asset Management Strategy and Plans </w:t>
            </w:r>
          </w:p>
          <w:p w14:paraId="6C488ADD" w14:textId="77777777" w:rsidR="00A90C82" w:rsidRPr="00F07C63" w:rsidRDefault="00A90C82" w:rsidP="00A61A70">
            <w:pPr>
              <w:pStyle w:val="ListParagraph"/>
              <w:numPr>
                <w:ilvl w:val="0"/>
                <w:numId w:val="68"/>
              </w:numPr>
              <w:spacing w:before="120" w:after="200" w:line="276" w:lineRule="auto"/>
              <w:contextualSpacing/>
              <w:rPr>
                <w:rFonts w:ascii="Arial" w:hAnsi="Arial" w:cs="Arial"/>
                <w:bCs/>
                <w:sz w:val="20"/>
                <w:szCs w:val="20"/>
              </w:rPr>
            </w:pPr>
            <w:r w:rsidRPr="00F07C63">
              <w:rPr>
                <w:rFonts w:ascii="Arial" w:hAnsi="Arial" w:cs="Arial"/>
                <w:bCs/>
                <w:sz w:val="20"/>
                <w:szCs w:val="20"/>
              </w:rPr>
              <w:t xml:space="preserve">Workforce Management Strategy </w:t>
            </w:r>
          </w:p>
          <w:p w14:paraId="36041F42" w14:textId="77777777" w:rsidR="00A90C82" w:rsidRPr="00F07C63" w:rsidRDefault="00A90C82" w:rsidP="00A61A70">
            <w:pPr>
              <w:pStyle w:val="ListParagraph"/>
              <w:numPr>
                <w:ilvl w:val="0"/>
                <w:numId w:val="68"/>
              </w:numPr>
              <w:spacing w:before="120" w:after="200" w:line="276" w:lineRule="auto"/>
              <w:contextualSpacing/>
              <w:rPr>
                <w:rFonts w:ascii="Arial" w:hAnsi="Arial" w:cs="Arial"/>
                <w:bCs/>
                <w:sz w:val="20"/>
                <w:szCs w:val="20"/>
              </w:rPr>
            </w:pPr>
            <w:r w:rsidRPr="00F07C63">
              <w:rPr>
                <w:rFonts w:ascii="Arial" w:hAnsi="Arial" w:cs="Arial"/>
                <w:bCs/>
                <w:sz w:val="20"/>
                <w:szCs w:val="20"/>
              </w:rPr>
              <w:t>Service Dashboards: Summary Service &amp; Asset Plans</w:t>
            </w:r>
          </w:p>
          <w:p w14:paraId="572FF679" w14:textId="77777777" w:rsidR="00A90C82" w:rsidRPr="00F07C63" w:rsidRDefault="00A90C82" w:rsidP="00284B50">
            <w:pPr>
              <w:spacing w:before="120" w:after="200" w:line="276" w:lineRule="auto"/>
              <w:ind w:left="241"/>
              <w:contextualSpacing/>
              <w:rPr>
                <w:rFonts w:ascii="Arial" w:hAnsi="Arial" w:cs="Arial"/>
                <w:b/>
                <w:bCs/>
                <w:sz w:val="20"/>
                <w:szCs w:val="20"/>
              </w:rPr>
            </w:pPr>
            <w:r w:rsidRPr="00F07C63">
              <w:rPr>
                <w:rFonts w:ascii="Arial" w:hAnsi="Arial" w:cs="Arial"/>
                <w:b/>
                <w:bCs/>
                <w:sz w:val="20"/>
                <w:szCs w:val="20"/>
              </w:rPr>
              <w:t>Provide funding to invest smartly in targeted efficiencies, cost savings, productivity and revenue initiatives</w:t>
            </w:r>
          </w:p>
          <w:p w14:paraId="6FA2F5BF" w14:textId="77777777" w:rsidR="00A90C82" w:rsidRPr="00F07C63" w:rsidRDefault="00A90C82" w:rsidP="00695720">
            <w:pPr>
              <w:pStyle w:val="ListParagraph"/>
              <w:numPr>
                <w:ilvl w:val="0"/>
                <w:numId w:val="97"/>
              </w:numPr>
              <w:spacing w:before="120" w:after="200" w:line="276" w:lineRule="auto"/>
              <w:ind w:left="600" w:hanging="425"/>
              <w:contextualSpacing/>
              <w:rPr>
                <w:rFonts w:ascii="Arial" w:hAnsi="Arial" w:cs="Arial"/>
                <w:bCs/>
                <w:sz w:val="20"/>
                <w:szCs w:val="20"/>
              </w:rPr>
            </w:pPr>
            <w:r w:rsidRPr="00F07C63">
              <w:rPr>
                <w:rFonts w:ascii="Arial" w:hAnsi="Arial" w:cs="Arial"/>
                <w:bCs/>
                <w:sz w:val="20"/>
                <w:szCs w:val="20"/>
              </w:rPr>
              <w:t>Efficiency and cost containment initiatives targeting reduction in operating costs and whole of life cycle costs and service improvements</w:t>
            </w:r>
          </w:p>
          <w:p w14:paraId="14CDA323" w14:textId="660F7571" w:rsidR="0084640C" w:rsidRPr="00A90C82" w:rsidRDefault="0084640C" w:rsidP="00A90C82">
            <w:pPr>
              <w:spacing w:before="120" w:after="200" w:line="276" w:lineRule="auto"/>
              <w:ind w:left="639" w:hanging="322"/>
              <w:contextualSpacing/>
              <w:rPr>
                <w:rFonts w:ascii="Arial" w:eastAsia="Calibri" w:hAnsi="Arial" w:cs="Arial"/>
                <w:b/>
                <w:sz w:val="20"/>
                <w:szCs w:val="20"/>
                <w:lang w:val="en-US"/>
              </w:rPr>
            </w:pPr>
          </w:p>
        </w:tc>
      </w:tr>
    </w:tbl>
    <w:p w14:paraId="2ACBA225" w14:textId="77777777" w:rsidR="00A90C82" w:rsidRDefault="00A90C82"/>
    <w:p w14:paraId="372E3060" w14:textId="77777777" w:rsidR="008361FC" w:rsidRDefault="008361FC" w:rsidP="008361FC">
      <w:pPr>
        <w:pStyle w:val="ListParagraph"/>
        <w:spacing w:line="360" w:lineRule="auto"/>
        <w:ind w:left="0"/>
        <w:jc w:val="both"/>
        <w:rPr>
          <w:rFonts w:ascii="Arial" w:hAnsi="Arial" w:cs="Arial"/>
          <w:b/>
          <w:bCs/>
          <w:sz w:val="20"/>
          <w:szCs w:val="20"/>
        </w:rPr>
      </w:pPr>
    </w:p>
    <w:p w14:paraId="0202AF91" w14:textId="06F33078" w:rsidR="00F44BAE" w:rsidRDefault="00F44BAE">
      <w:pPr>
        <w:rPr>
          <w:rFonts w:ascii="Arial" w:eastAsiaTheme="minorHAnsi" w:hAnsi="Arial" w:cs="Arial"/>
          <w:b/>
          <w:bCs/>
          <w:sz w:val="20"/>
          <w:szCs w:val="20"/>
          <w:lang w:eastAsia="en-US"/>
        </w:rPr>
      </w:pPr>
      <w:r>
        <w:rPr>
          <w:rFonts w:ascii="Arial" w:hAnsi="Arial" w:cs="Arial"/>
          <w:b/>
          <w:bCs/>
          <w:sz w:val="20"/>
          <w:szCs w:val="20"/>
        </w:rPr>
        <w:br w:type="page"/>
      </w:r>
    </w:p>
    <w:p w14:paraId="192DA2A7" w14:textId="0122736F" w:rsidR="008361FC" w:rsidRPr="008100BE" w:rsidRDefault="008361FC" w:rsidP="0033380E">
      <w:pPr>
        <w:pStyle w:val="Heading3"/>
        <w:tabs>
          <w:tab w:val="num" w:pos="709"/>
        </w:tabs>
        <w:spacing w:line="276" w:lineRule="auto"/>
        <w:ind w:left="709"/>
      </w:pPr>
      <w:r w:rsidRPr="008100BE">
        <w:t>Steps Undertaken in Reaching A Decision To Make An Application</w:t>
      </w:r>
    </w:p>
    <w:p w14:paraId="5C18EC58" w14:textId="17994178" w:rsidR="00A40054" w:rsidRDefault="008361FC" w:rsidP="0033380E">
      <w:pPr>
        <w:spacing w:before="240" w:line="276" w:lineRule="auto"/>
        <w:jc w:val="both"/>
        <w:rPr>
          <w:rFonts w:ascii="Arial" w:hAnsi="Arial" w:cs="Arial"/>
          <w:bCs/>
          <w:sz w:val="20"/>
          <w:szCs w:val="20"/>
        </w:rPr>
      </w:pPr>
      <w:r>
        <w:rPr>
          <w:rFonts w:ascii="Arial" w:hAnsi="Arial" w:cs="Arial"/>
          <w:bCs/>
          <w:sz w:val="20"/>
          <w:szCs w:val="20"/>
        </w:rPr>
        <w:t>Key steps</w:t>
      </w:r>
      <w:r w:rsidR="00F44BAE">
        <w:rPr>
          <w:rFonts w:ascii="Arial" w:hAnsi="Arial" w:cs="Arial"/>
          <w:bCs/>
          <w:sz w:val="20"/>
          <w:szCs w:val="20"/>
        </w:rPr>
        <w:t xml:space="preserve"> undertaken in </w:t>
      </w:r>
      <w:r>
        <w:rPr>
          <w:rFonts w:ascii="Arial" w:hAnsi="Arial" w:cs="Arial"/>
          <w:bCs/>
          <w:sz w:val="20"/>
          <w:szCs w:val="20"/>
        </w:rPr>
        <w:t xml:space="preserve">reaching </w:t>
      </w:r>
      <w:r w:rsidR="00E06301">
        <w:rPr>
          <w:rFonts w:ascii="Arial" w:hAnsi="Arial" w:cs="Arial"/>
          <w:bCs/>
          <w:sz w:val="20"/>
          <w:szCs w:val="20"/>
        </w:rPr>
        <w:t xml:space="preserve">the </w:t>
      </w:r>
      <w:r>
        <w:rPr>
          <w:rFonts w:ascii="Arial" w:hAnsi="Arial" w:cs="Arial"/>
          <w:bCs/>
          <w:sz w:val="20"/>
          <w:szCs w:val="20"/>
        </w:rPr>
        <w:t xml:space="preserve">decision to make </w:t>
      </w:r>
      <w:r w:rsidR="00E06301">
        <w:rPr>
          <w:rFonts w:ascii="Arial" w:hAnsi="Arial" w:cs="Arial"/>
          <w:bCs/>
          <w:sz w:val="20"/>
          <w:szCs w:val="20"/>
        </w:rPr>
        <w:t xml:space="preserve">this </w:t>
      </w:r>
      <w:r>
        <w:rPr>
          <w:rFonts w:ascii="Arial" w:hAnsi="Arial" w:cs="Arial"/>
          <w:bCs/>
          <w:sz w:val="20"/>
          <w:szCs w:val="20"/>
        </w:rPr>
        <w:t>special rate variation application include:</w:t>
      </w:r>
    </w:p>
    <w:p w14:paraId="4A4CEA5B" w14:textId="52A20365" w:rsidR="00F5350E" w:rsidRPr="00773C1D" w:rsidRDefault="00D66B43" w:rsidP="0033380E">
      <w:pPr>
        <w:pStyle w:val="ListParagraph"/>
        <w:numPr>
          <w:ilvl w:val="0"/>
          <w:numId w:val="58"/>
        </w:numPr>
        <w:spacing w:before="240" w:line="276" w:lineRule="auto"/>
        <w:ind w:left="284" w:hanging="284"/>
        <w:jc w:val="both"/>
        <w:rPr>
          <w:rFonts w:ascii="Arial" w:hAnsi="Arial" w:cs="Arial"/>
          <w:b/>
          <w:bCs/>
          <w:i/>
          <w:sz w:val="20"/>
          <w:szCs w:val="20"/>
        </w:rPr>
      </w:pPr>
      <w:r w:rsidRPr="00773C1D">
        <w:rPr>
          <w:rFonts w:ascii="Arial" w:hAnsi="Arial" w:cs="Arial"/>
          <w:b/>
          <w:bCs/>
          <w:i/>
          <w:sz w:val="20"/>
          <w:szCs w:val="20"/>
        </w:rPr>
        <w:t>C</w:t>
      </w:r>
      <w:r w:rsidR="008361FC" w:rsidRPr="00773C1D">
        <w:rPr>
          <w:rFonts w:ascii="Arial" w:hAnsi="Arial" w:cs="Arial"/>
          <w:b/>
          <w:bCs/>
          <w:i/>
          <w:sz w:val="20"/>
          <w:szCs w:val="20"/>
        </w:rPr>
        <w:t xml:space="preserve">onsideration </w:t>
      </w:r>
      <w:r w:rsidRPr="00773C1D">
        <w:rPr>
          <w:rFonts w:ascii="Arial" w:hAnsi="Arial" w:cs="Arial"/>
          <w:b/>
          <w:bCs/>
          <w:i/>
          <w:sz w:val="20"/>
          <w:szCs w:val="20"/>
        </w:rPr>
        <w:t xml:space="preserve">of </w:t>
      </w:r>
      <w:r w:rsidR="00D0519E" w:rsidRPr="00773C1D">
        <w:rPr>
          <w:rFonts w:ascii="Arial" w:hAnsi="Arial" w:cs="Arial"/>
          <w:b/>
          <w:bCs/>
          <w:i/>
          <w:sz w:val="20"/>
          <w:szCs w:val="20"/>
        </w:rPr>
        <w:t>the r</w:t>
      </w:r>
      <w:r w:rsidR="008361FC" w:rsidRPr="00773C1D">
        <w:rPr>
          <w:rFonts w:ascii="Arial" w:hAnsi="Arial" w:cs="Arial"/>
          <w:b/>
          <w:bCs/>
          <w:i/>
          <w:sz w:val="20"/>
          <w:szCs w:val="20"/>
        </w:rPr>
        <w:t xml:space="preserve">esults of </w:t>
      </w:r>
      <w:r w:rsidR="0033380E" w:rsidRPr="00773C1D">
        <w:rPr>
          <w:rFonts w:ascii="Arial" w:hAnsi="Arial" w:cs="Arial"/>
          <w:b/>
          <w:bCs/>
          <w:i/>
          <w:sz w:val="20"/>
          <w:szCs w:val="20"/>
        </w:rPr>
        <w:t xml:space="preserve">four years of </w:t>
      </w:r>
      <w:r w:rsidR="00BD6580">
        <w:rPr>
          <w:rFonts w:ascii="Arial" w:hAnsi="Arial" w:cs="Arial"/>
          <w:b/>
          <w:bCs/>
          <w:i/>
          <w:sz w:val="20"/>
          <w:szCs w:val="20"/>
        </w:rPr>
        <w:t xml:space="preserve">comprehensive </w:t>
      </w:r>
      <w:r w:rsidR="008361FC" w:rsidRPr="00773C1D">
        <w:rPr>
          <w:rFonts w:ascii="Arial" w:hAnsi="Arial" w:cs="Arial"/>
          <w:b/>
          <w:bCs/>
          <w:i/>
          <w:sz w:val="20"/>
          <w:szCs w:val="20"/>
        </w:rPr>
        <w:t xml:space="preserve">Integrated Planning </w:t>
      </w:r>
      <w:r w:rsidR="0033380E" w:rsidRPr="00773C1D">
        <w:rPr>
          <w:rFonts w:ascii="Arial" w:hAnsi="Arial" w:cs="Arial"/>
          <w:b/>
          <w:bCs/>
          <w:i/>
          <w:sz w:val="20"/>
          <w:szCs w:val="20"/>
        </w:rPr>
        <w:t>and community engagement on how best to achieve affordable and acceptable levels of service</w:t>
      </w:r>
    </w:p>
    <w:p w14:paraId="1F9069BD" w14:textId="77777777" w:rsidR="008960F4" w:rsidRDefault="00114636" w:rsidP="00114636">
      <w:pPr>
        <w:spacing w:line="276" w:lineRule="auto"/>
        <w:jc w:val="both"/>
        <w:rPr>
          <w:rFonts w:ascii="Arial" w:hAnsi="Arial" w:cs="Arial"/>
          <w:bCs/>
          <w:sz w:val="20"/>
          <w:szCs w:val="20"/>
        </w:rPr>
      </w:pPr>
      <w:r w:rsidRPr="00FE2F05">
        <w:rPr>
          <w:rFonts w:ascii="Arial" w:hAnsi="Arial" w:cs="Arial"/>
          <w:bCs/>
          <w:sz w:val="20"/>
          <w:szCs w:val="20"/>
        </w:rPr>
        <w:t xml:space="preserve">Over the last four years the Council has assessed the needs of the community </w:t>
      </w:r>
      <w:r>
        <w:rPr>
          <w:rFonts w:ascii="Arial" w:hAnsi="Arial" w:cs="Arial"/>
          <w:bCs/>
          <w:sz w:val="20"/>
          <w:szCs w:val="20"/>
        </w:rPr>
        <w:t xml:space="preserve">and the City through Integrated Planning, including </w:t>
      </w:r>
      <w:r w:rsidR="008960F4">
        <w:rPr>
          <w:rFonts w:ascii="Arial" w:hAnsi="Arial" w:cs="Arial"/>
          <w:bCs/>
          <w:sz w:val="20"/>
          <w:szCs w:val="20"/>
        </w:rPr>
        <w:t xml:space="preserve">conversations with the community on </w:t>
      </w:r>
      <w:r>
        <w:rPr>
          <w:rFonts w:ascii="Arial" w:hAnsi="Arial" w:cs="Arial"/>
          <w:bCs/>
          <w:sz w:val="20"/>
          <w:szCs w:val="20"/>
        </w:rPr>
        <w:t xml:space="preserve">how best to achieve affordable and acceptable service levels. </w:t>
      </w:r>
    </w:p>
    <w:p w14:paraId="5042A72A" w14:textId="77777777" w:rsidR="008960F4" w:rsidRDefault="008960F4" w:rsidP="00114636">
      <w:pPr>
        <w:spacing w:line="276" w:lineRule="auto"/>
        <w:jc w:val="both"/>
        <w:rPr>
          <w:rFonts w:ascii="Arial" w:hAnsi="Arial" w:cs="Arial"/>
          <w:bCs/>
          <w:sz w:val="20"/>
          <w:szCs w:val="20"/>
        </w:rPr>
      </w:pPr>
    </w:p>
    <w:p w14:paraId="5AE99203" w14:textId="33BB23C9" w:rsidR="00114636" w:rsidRDefault="00114636" w:rsidP="00114636">
      <w:pPr>
        <w:spacing w:line="276" w:lineRule="auto"/>
        <w:jc w:val="both"/>
        <w:rPr>
          <w:rFonts w:ascii="Arial" w:hAnsi="Arial" w:cs="Arial"/>
          <w:bCs/>
          <w:sz w:val="20"/>
          <w:szCs w:val="20"/>
        </w:rPr>
      </w:pPr>
      <w:r>
        <w:rPr>
          <w:rFonts w:ascii="Arial" w:hAnsi="Arial" w:cs="Arial"/>
          <w:bCs/>
          <w:sz w:val="20"/>
          <w:szCs w:val="20"/>
        </w:rPr>
        <w:t>T</w:t>
      </w:r>
      <w:r w:rsidRPr="00FE2F05">
        <w:rPr>
          <w:rFonts w:ascii="Arial" w:hAnsi="Arial" w:cs="Arial"/>
          <w:bCs/>
          <w:sz w:val="20"/>
          <w:szCs w:val="20"/>
        </w:rPr>
        <w:t xml:space="preserve">hree major rounds of </w:t>
      </w:r>
      <w:r w:rsidR="008960F4">
        <w:rPr>
          <w:rFonts w:ascii="Arial" w:hAnsi="Arial" w:cs="Arial"/>
          <w:bCs/>
          <w:sz w:val="20"/>
          <w:szCs w:val="20"/>
        </w:rPr>
        <w:t xml:space="preserve">integrated </w:t>
      </w:r>
      <w:r>
        <w:rPr>
          <w:rFonts w:ascii="Arial" w:hAnsi="Arial" w:cs="Arial"/>
          <w:bCs/>
          <w:sz w:val="20"/>
          <w:szCs w:val="20"/>
        </w:rPr>
        <w:t xml:space="preserve">planning and </w:t>
      </w:r>
      <w:r w:rsidRPr="00FE2F05">
        <w:rPr>
          <w:rFonts w:ascii="Arial" w:hAnsi="Arial" w:cs="Arial"/>
          <w:bCs/>
          <w:sz w:val="20"/>
          <w:szCs w:val="20"/>
        </w:rPr>
        <w:t xml:space="preserve">community engagement </w:t>
      </w:r>
      <w:r>
        <w:rPr>
          <w:rFonts w:ascii="Arial" w:hAnsi="Arial" w:cs="Arial"/>
          <w:bCs/>
          <w:sz w:val="20"/>
          <w:szCs w:val="20"/>
        </w:rPr>
        <w:t>have been implemented in 20</w:t>
      </w:r>
      <w:r w:rsidR="00303B0C">
        <w:rPr>
          <w:rFonts w:ascii="Arial" w:hAnsi="Arial" w:cs="Arial"/>
          <w:bCs/>
          <w:sz w:val="20"/>
          <w:szCs w:val="20"/>
        </w:rPr>
        <w:t>09/</w:t>
      </w:r>
      <w:r>
        <w:rPr>
          <w:rFonts w:ascii="Arial" w:hAnsi="Arial" w:cs="Arial"/>
          <w:bCs/>
          <w:sz w:val="20"/>
          <w:szCs w:val="20"/>
        </w:rPr>
        <w:t>10, 2012</w:t>
      </w:r>
      <w:r w:rsidR="00303B0C">
        <w:rPr>
          <w:rFonts w:ascii="Arial" w:hAnsi="Arial" w:cs="Arial"/>
          <w:bCs/>
          <w:sz w:val="20"/>
          <w:szCs w:val="20"/>
        </w:rPr>
        <w:t>/13</w:t>
      </w:r>
      <w:r>
        <w:rPr>
          <w:rFonts w:ascii="Arial" w:hAnsi="Arial" w:cs="Arial"/>
          <w:bCs/>
          <w:sz w:val="20"/>
          <w:szCs w:val="20"/>
        </w:rPr>
        <w:t xml:space="preserve"> and most recently, 2014</w:t>
      </w:r>
      <w:r w:rsidR="00D2335A">
        <w:rPr>
          <w:rFonts w:ascii="Arial" w:hAnsi="Arial" w:cs="Arial"/>
          <w:bCs/>
          <w:sz w:val="20"/>
          <w:szCs w:val="20"/>
        </w:rPr>
        <w:t xml:space="preserve">. In each of these </w:t>
      </w:r>
      <w:r w:rsidR="00303B0C">
        <w:rPr>
          <w:rFonts w:ascii="Arial" w:hAnsi="Arial" w:cs="Arial"/>
          <w:bCs/>
          <w:sz w:val="20"/>
          <w:szCs w:val="20"/>
        </w:rPr>
        <w:t>periods</w:t>
      </w:r>
      <w:r w:rsidR="00D2335A">
        <w:rPr>
          <w:rFonts w:ascii="Arial" w:hAnsi="Arial" w:cs="Arial"/>
          <w:bCs/>
          <w:sz w:val="20"/>
          <w:szCs w:val="20"/>
        </w:rPr>
        <w:t xml:space="preserve"> the </w:t>
      </w:r>
      <w:r w:rsidR="008960F4">
        <w:rPr>
          <w:rFonts w:ascii="Arial" w:hAnsi="Arial" w:cs="Arial"/>
          <w:bCs/>
          <w:sz w:val="20"/>
          <w:szCs w:val="20"/>
        </w:rPr>
        <w:t xml:space="preserve">needs of the </w:t>
      </w:r>
      <w:r w:rsidR="00D2335A">
        <w:rPr>
          <w:rFonts w:ascii="Arial" w:hAnsi="Arial" w:cs="Arial"/>
          <w:bCs/>
          <w:sz w:val="20"/>
          <w:szCs w:val="20"/>
        </w:rPr>
        <w:t>community w</w:t>
      </w:r>
      <w:r w:rsidR="008960F4">
        <w:rPr>
          <w:rFonts w:ascii="Arial" w:hAnsi="Arial" w:cs="Arial"/>
          <w:bCs/>
          <w:sz w:val="20"/>
          <w:szCs w:val="20"/>
        </w:rPr>
        <w:t>ere extensively assessed</w:t>
      </w:r>
      <w:r w:rsidR="00D2335A">
        <w:rPr>
          <w:rFonts w:ascii="Arial" w:hAnsi="Arial" w:cs="Arial"/>
          <w:bCs/>
          <w:sz w:val="20"/>
          <w:szCs w:val="20"/>
        </w:rPr>
        <w:t xml:space="preserve"> through </w:t>
      </w:r>
      <w:r w:rsidR="008960F4">
        <w:rPr>
          <w:rFonts w:ascii="Arial" w:hAnsi="Arial" w:cs="Arial"/>
          <w:bCs/>
          <w:sz w:val="20"/>
          <w:szCs w:val="20"/>
        </w:rPr>
        <w:t xml:space="preserve">research and analysis, </w:t>
      </w:r>
      <w:r w:rsidRPr="00FE2F05">
        <w:rPr>
          <w:rFonts w:ascii="Arial" w:hAnsi="Arial" w:cs="Arial"/>
          <w:bCs/>
          <w:sz w:val="20"/>
          <w:szCs w:val="20"/>
        </w:rPr>
        <w:t xml:space="preserve">Area </w:t>
      </w:r>
      <w:r w:rsidR="008436FE">
        <w:rPr>
          <w:rFonts w:ascii="Arial" w:hAnsi="Arial" w:cs="Arial"/>
          <w:bCs/>
          <w:sz w:val="20"/>
          <w:szCs w:val="20"/>
        </w:rPr>
        <w:t xml:space="preserve">Community </w:t>
      </w:r>
      <w:r w:rsidRPr="00FE2F05">
        <w:rPr>
          <w:rFonts w:ascii="Arial" w:hAnsi="Arial" w:cs="Arial"/>
          <w:bCs/>
          <w:sz w:val="20"/>
          <w:szCs w:val="20"/>
        </w:rPr>
        <w:t xml:space="preserve">Workshops, </w:t>
      </w:r>
      <w:r w:rsidR="008436FE">
        <w:rPr>
          <w:rFonts w:ascii="Arial" w:hAnsi="Arial" w:cs="Arial"/>
          <w:bCs/>
          <w:sz w:val="20"/>
          <w:szCs w:val="20"/>
        </w:rPr>
        <w:t>targeted consultation with specific needs groups, community s</w:t>
      </w:r>
      <w:r w:rsidRPr="00FE2F05">
        <w:rPr>
          <w:rFonts w:ascii="Arial" w:hAnsi="Arial" w:cs="Arial"/>
          <w:bCs/>
          <w:sz w:val="20"/>
          <w:szCs w:val="20"/>
        </w:rPr>
        <w:t xml:space="preserve">urveys, </w:t>
      </w:r>
      <w:r w:rsidR="008436FE">
        <w:rPr>
          <w:rFonts w:ascii="Arial" w:hAnsi="Arial" w:cs="Arial"/>
          <w:bCs/>
          <w:sz w:val="20"/>
          <w:szCs w:val="20"/>
        </w:rPr>
        <w:t>rate payer surveys</w:t>
      </w:r>
      <w:r w:rsidR="00303B0C">
        <w:rPr>
          <w:rFonts w:ascii="Arial" w:hAnsi="Arial" w:cs="Arial"/>
          <w:bCs/>
          <w:sz w:val="20"/>
          <w:szCs w:val="20"/>
        </w:rPr>
        <w:t>,</w:t>
      </w:r>
      <w:r w:rsidR="008436FE">
        <w:rPr>
          <w:rFonts w:ascii="Arial" w:hAnsi="Arial" w:cs="Arial"/>
          <w:bCs/>
          <w:sz w:val="20"/>
          <w:szCs w:val="20"/>
        </w:rPr>
        <w:t xml:space="preserve"> p</w:t>
      </w:r>
      <w:r w:rsidRPr="00FE2F05">
        <w:rPr>
          <w:rFonts w:ascii="Arial" w:hAnsi="Arial" w:cs="Arial"/>
          <w:bCs/>
          <w:sz w:val="20"/>
          <w:szCs w:val="20"/>
        </w:rPr>
        <w:t xml:space="preserve">ublic </w:t>
      </w:r>
      <w:r w:rsidR="008436FE">
        <w:rPr>
          <w:rFonts w:ascii="Arial" w:hAnsi="Arial" w:cs="Arial"/>
          <w:bCs/>
          <w:sz w:val="20"/>
          <w:szCs w:val="20"/>
        </w:rPr>
        <w:t>e</w:t>
      </w:r>
      <w:r w:rsidRPr="00FE2F05">
        <w:rPr>
          <w:rFonts w:ascii="Arial" w:hAnsi="Arial" w:cs="Arial"/>
          <w:bCs/>
          <w:sz w:val="20"/>
          <w:szCs w:val="20"/>
        </w:rPr>
        <w:t>xhibition of Integrated Plans</w:t>
      </w:r>
      <w:r w:rsidR="00303B0C">
        <w:rPr>
          <w:rFonts w:ascii="Arial" w:hAnsi="Arial" w:cs="Arial"/>
          <w:bCs/>
          <w:sz w:val="20"/>
          <w:szCs w:val="20"/>
        </w:rPr>
        <w:t xml:space="preserve"> and call</w:t>
      </w:r>
      <w:r w:rsidR="008960F4">
        <w:rPr>
          <w:rFonts w:ascii="Arial" w:hAnsi="Arial" w:cs="Arial"/>
          <w:bCs/>
          <w:sz w:val="20"/>
          <w:szCs w:val="20"/>
        </w:rPr>
        <w:t>s</w:t>
      </w:r>
      <w:r w:rsidR="00303B0C">
        <w:rPr>
          <w:rFonts w:ascii="Arial" w:hAnsi="Arial" w:cs="Arial"/>
          <w:bCs/>
          <w:sz w:val="20"/>
          <w:szCs w:val="20"/>
        </w:rPr>
        <w:t xml:space="preserve"> for submissions</w:t>
      </w:r>
      <w:r>
        <w:rPr>
          <w:rFonts w:ascii="Arial" w:hAnsi="Arial" w:cs="Arial"/>
          <w:bCs/>
          <w:sz w:val="20"/>
          <w:szCs w:val="20"/>
        </w:rPr>
        <w:t>.</w:t>
      </w:r>
    </w:p>
    <w:p w14:paraId="37C97108" w14:textId="77777777" w:rsidR="00A92D3C" w:rsidRDefault="00A92D3C" w:rsidP="00114636">
      <w:pPr>
        <w:spacing w:line="276" w:lineRule="auto"/>
        <w:jc w:val="both"/>
        <w:rPr>
          <w:rFonts w:ascii="Arial" w:hAnsi="Arial" w:cs="Arial"/>
          <w:bCs/>
          <w:sz w:val="20"/>
          <w:szCs w:val="20"/>
        </w:rPr>
      </w:pPr>
    </w:p>
    <w:p w14:paraId="5CDC915A" w14:textId="5DBA3D04" w:rsidR="008960F4" w:rsidRDefault="00A92D3C" w:rsidP="00114636">
      <w:pPr>
        <w:spacing w:line="276" w:lineRule="auto"/>
        <w:jc w:val="both"/>
        <w:rPr>
          <w:rFonts w:ascii="Arial" w:hAnsi="Arial" w:cs="Arial"/>
          <w:bCs/>
          <w:sz w:val="20"/>
          <w:szCs w:val="20"/>
        </w:rPr>
      </w:pPr>
      <w:r>
        <w:rPr>
          <w:rFonts w:ascii="Arial" w:hAnsi="Arial" w:cs="Arial"/>
          <w:bCs/>
          <w:sz w:val="20"/>
          <w:szCs w:val="20"/>
        </w:rPr>
        <w:t xml:space="preserve">Supporting this work has been comprehensive service and asset planning including the development of the Council’s </w:t>
      </w:r>
      <w:r w:rsidRPr="00A92D3C">
        <w:rPr>
          <w:rFonts w:ascii="Arial" w:hAnsi="Arial" w:cs="Arial"/>
          <w:bCs/>
          <w:i/>
          <w:sz w:val="20"/>
          <w:szCs w:val="20"/>
        </w:rPr>
        <w:t xml:space="preserve">Service Dashboards: Summary Service and </w:t>
      </w:r>
      <w:r>
        <w:rPr>
          <w:rFonts w:ascii="Arial" w:hAnsi="Arial" w:cs="Arial"/>
          <w:bCs/>
          <w:i/>
          <w:sz w:val="20"/>
          <w:szCs w:val="20"/>
        </w:rPr>
        <w:t>A</w:t>
      </w:r>
      <w:r w:rsidRPr="00A92D3C">
        <w:rPr>
          <w:rFonts w:ascii="Arial" w:hAnsi="Arial" w:cs="Arial"/>
          <w:bCs/>
          <w:i/>
          <w:sz w:val="20"/>
          <w:szCs w:val="20"/>
        </w:rPr>
        <w:t xml:space="preserve">sset </w:t>
      </w:r>
      <w:r>
        <w:rPr>
          <w:rFonts w:ascii="Arial" w:hAnsi="Arial" w:cs="Arial"/>
          <w:bCs/>
          <w:i/>
          <w:sz w:val="20"/>
          <w:szCs w:val="20"/>
        </w:rPr>
        <w:t>P</w:t>
      </w:r>
      <w:r w:rsidRPr="00A92D3C">
        <w:rPr>
          <w:rFonts w:ascii="Arial" w:hAnsi="Arial" w:cs="Arial"/>
          <w:bCs/>
          <w:i/>
          <w:sz w:val="20"/>
          <w:szCs w:val="20"/>
        </w:rPr>
        <w:t>lans</w:t>
      </w:r>
      <w:r>
        <w:rPr>
          <w:rFonts w:ascii="Arial" w:hAnsi="Arial" w:cs="Arial"/>
          <w:bCs/>
          <w:sz w:val="20"/>
          <w:szCs w:val="20"/>
        </w:rPr>
        <w:t xml:space="preserve"> tool (see </w:t>
      </w:r>
      <w:r w:rsidRPr="00A92D3C">
        <w:rPr>
          <w:rFonts w:ascii="Arial" w:hAnsi="Arial" w:cs="Arial"/>
          <w:b/>
          <w:bCs/>
          <w:sz w:val="20"/>
          <w:szCs w:val="20"/>
        </w:rPr>
        <w:t>Attachment 10</w:t>
      </w:r>
      <w:r>
        <w:rPr>
          <w:rFonts w:ascii="Arial" w:hAnsi="Arial" w:cs="Arial"/>
          <w:bCs/>
          <w:sz w:val="20"/>
          <w:szCs w:val="20"/>
        </w:rPr>
        <w:t xml:space="preserve">).The </w:t>
      </w:r>
      <w:r w:rsidR="008960F4">
        <w:rPr>
          <w:rFonts w:ascii="Arial" w:hAnsi="Arial" w:cs="Arial"/>
          <w:bCs/>
          <w:sz w:val="20"/>
          <w:szCs w:val="20"/>
        </w:rPr>
        <w:t xml:space="preserve">Service </w:t>
      </w:r>
      <w:r>
        <w:rPr>
          <w:rFonts w:ascii="Arial" w:hAnsi="Arial" w:cs="Arial"/>
          <w:bCs/>
          <w:sz w:val="20"/>
          <w:szCs w:val="20"/>
        </w:rPr>
        <w:t xml:space="preserve">Dashboards present a summary of the Council’s 10 year strategic service and asset planning </w:t>
      </w:r>
      <w:r w:rsidR="00303B0C">
        <w:rPr>
          <w:rFonts w:ascii="Arial" w:hAnsi="Arial" w:cs="Arial"/>
          <w:bCs/>
          <w:sz w:val="20"/>
          <w:szCs w:val="20"/>
        </w:rPr>
        <w:t xml:space="preserve">relative to each service activity area. </w:t>
      </w:r>
      <w:r w:rsidR="008960F4">
        <w:rPr>
          <w:rFonts w:ascii="Arial" w:hAnsi="Arial" w:cs="Arial"/>
          <w:bCs/>
          <w:sz w:val="20"/>
          <w:szCs w:val="20"/>
        </w:rPr>
        <w:t>In the case of the most recently updated Service Dashboards, t</w:t>
      </w:r>
      <w:r w:rsidR="00303B0C">
        <w:rPr>
          <w:rFonts w:ascii="Arial" w:hAnsi="Arial" w:cs="Arial"/>
          <w:bCs/>
          <w:sz w:val="20"/>
          <w:szCs w:val="20"/>
        </w:rPr>
        <w:t xml:space="preserve">hey detail how the three options for </w:t>
      </w:r>
      <w:r w:rsidR="00303B0C" w:rsidRPr="00303B0C">
        <w:rPr>
          <w:rFonts w:ascii="Arial" w:hAnsi="Arial" w:cs="Arial"/>
          <w:bCs/>
          <w:i/>
          <w:sz w:val="20"/>
          <w:szCs w:val="20"/>
        </w:rPr>
        <w:t>Resourcing Our Future</w:t>
      </w:r>
      <w:r w:rsidR="00303B0C">
        <w:rPr>
          <w:rFonts w:ascii="Arial" w:hAnsi="Arial" w:cs="Arial"/>
          <w:bCs/>
          <w:sz w:val="20"/>
          <w:szCs w:val="20"/>
        </w:rPr>
        <w:t xml:space="preserve"> impact on service levels in terms of the condition of built assets (where relevant), the functionality or fitness of the service to deliver on its purpose and the capacity / utilisation of the service. </w:t>
      </w:r>
    </w:p>
    <w:p w14:paraId="4DF33672" w14:textId="77777777" w:rsidR="008960F4" w:rsidRDefault="008960F4" w:rsidP="00114636">
      <w:pPr>
        <w:spacing w:line="276" w:lineRule="auto"/>
        <w:jc w:val="both"/>
        <w:rPr>
          <w:rFonts w:ascii="Arial" w:hAnsi="Arial" w:cs="Arial"/>
          <w:bCs/>
          <w:sz w:val="20"/>
          <w:szCs w:val="20"/>
        </w:rPr>
      </w:pPr>
    </w:p>
    <w:p w14:paraId="4B09068B" w14:textId="000A4CD5" w:rsidR="00303B0C" w:rsidRDefault="00303B0C" w:rsidP="00114636">
      <w:pPr>
        <w:spacing w:line="276" w:lineRule="auto"/>
        <w:jc w:val="both"/>
        <w:rPr>
          <w:rFonts w:ascii="Arial" w:hAnsi="Arial" w:cs="Arial"/>
          <w:bCs/>
          <w:sz w:val="20"/>
          <w:szCs w:val="20"/>
        </w:rPr>
      </w:pPr>
      <w:r>
        <w:rPr>
          <w:rFonts w:ascii="Arial" w:hAnsi="Arial" w:cs="Arial"/>
          <w:bCs/>
          <w:sz w:val="20"/>
          <w:szCs w:val="20"/>
        </w:rPr>
        <w:t xml:space="preserve">The information in the </w:t>
      </w:r>
      <w:r w:rsidR="008960F4">
        <w:rPr>
          <w:rFonts w:ascii="Arial" w:hAnsi="Arial" w:cs="Arial"/>
          <w:bCs/>
          <w:sz w:val="20"/>
          <w:szCs w:val="20"/>
        </w:rPr>
        <w:t xml:space="preserve">Service </w:t>
      </w:r>
      <w:r>
        <w:rPr>
          <w:rFonts w:ascii="Arial" w:hAnsi="Arial" w:cs="Arial"/>
          <w:bCs/>
          <w:sz w:val="20"/>
          <w:szCs w:val="20"/>
        </w:rPr>
        <w:t xml:space="preserve">Dashboards is presented against the six Key Directions of </w:t>
      </w:r>
      <w:r w:rsidRPr="008960F4">
        <w:rPr>
          <w:rFonts w:ascii="Arial" w:hAnsi="Arial" w:cs="Arial"/>
          <w:bCs/>
          <w:i/>
          <w:sz w:val="20"/>
          <w:szCs w:val="20"/>
        </w:rPr>
        <w:t>Sustainable Blue Mountains 2025</w:t>
      </w:r>
      <w:r>
        <w:rPr>
          <w:rFonts w:ascii="Arial" w:hAnsi="Arial" w:cs="Arial"/>
          <w:bCs/>
          <w:sz w:val="20"/>
          <w:szCs w:val="20"/>
        </w:rPr>
        <w:t xml:space="preserve"> </w:t>
      </w:r>
      <w:r w:rsidR="008960F4">
        <w:rPr>
          <w:rFonts w:ascii="Arial" w:hAnsi="Arial" w:cs="Arial"/>
          <w:bCs/>
          <w:sz w:val="20"/>
          <w:szCs w:val="20"/>
        </w:rPr>
        <w:t xml:space="preserve">and of the Council’s four year Delivery Program </w:t>
      </w:r>
      <w:r>
        <w:rPr>
          <w:rFonts w:ascii="Arial" w:hAnsi="Arial" w:cs="Arial"/>
          <w:bCs/>
          <w:sz w:val="20"/>
          <w:szCs w:val="20"/>
        </w:rPr>
        <w:t>including:</w:t>
      </w:r>
    </w:p>
    <w:p w14:paraId="084C4A89" w14:textId="77777777" w:rsidR="00303B0C" w:rsidRDefault="00303B0C" w:rsidP="00114636">
      <w:pPr>
        <w:spacing w:line="276" w:lineRule="auto"/>
        <w:jc w:val="both"/>
        <w:rPr>
          <w:rFonts w:ascii="Arial" w:hAnsi="Arial" w:cs="Arial"/>
          <w:bCs/>
          <w:sz w:val="20"/>
          <w:szCs w:val="20"/>
        </w:rPr>
      </w:pPr>
    </w:p>
    <w:p w14:paraId="7297FE5D" w14:textId="257FFA97" w:rsidR="00303B0C" w:rsidRPr="00303B0C" w:rsidRDefault="00303B0C" w:rsidP="00695720">
      <w:pPr>
        <w:pStyle w:val="ListParagraph"/>
        <w:numPr>
          <w:ilvl w:val="0"/>
          <w:numId w:val="118"/>
        </w:numPr>
        <w:spacing w:line="276" w:lineRule="auto"/>
        <w:jc w:val="both"/>
        <w:rPr>
          <w:rFonts w:ascii="Arial" w:hAnsi="Arial" w:cs="Arial"/>
          <w:bCs/>
          <w:sz w:val="20"/>
          <w:szCs w:val="20"/>
        </w:rPr>
      </w:pPr>
      <w:r w:rsidRPr="00303B0C">
        <w:rPr>
          <w:rFonts w:ascii="Arial" w:hAnsi="Arial" w:cs="Arial"/>
          <w:bCs/>
          <w:sz w:val="20"/>
          <w:szCs w:val="20"/>
        </w:rPr>
        <w:t>Looking After Environment</w:t>
      </w:r>
    </w:p>
    <w:p w14:paraId="4C063730" w14:textId="2B0C5EAE" w:rsidR="00303B0C" w:rsidRPr="00303B0C" w:rsidRDefault="00303B0C" w:rsidP="00695720">
      <w:pPr>
        <w:pStyle w:val="ListParagraph"/>
        <w:numPr>
          <w:ilvl w:val="0"/>
          <w:numId w:val="118"/>
        </w:numPr>
        <w:spacing w:line="276" w:lineRule="auto"/>
        <w:jc w:val="both"/>
        <w:rPr>
          <w:rFonts w:ascii="Arial" w:hAnsi="Arial" w:cs="Arial"/>
          <w:bCs/>
          <w:sz w:val="20"/>
          <w:szCs w:val="20"/>
        </w:rPr>
      </w:pPr>
      <w:r w:rsidRPr="00303B0C">
        <w:rPr>
          <w:rFonts w:ascii="Arial" w:hAnsi="Arial" w:cs="Arial"/>
          <w:bCs/>
          <w:sz w:val="20"/>
          <w:szCs w:val="20"/>
        </w:rPr>
        <w:t>Using Land</w:t>
      </w:r>
    </w:p>
    <w:p w14:paraId="39BD37A4" w14:textId="4ABCC219" w:rsidR="00303B0C" w:rsidRPr="00303B0C" w:rsidRDefault="00303B0C" w:rsidP="00695720">
      <w:pPr>
        <w:pStyle w:val="ListParagraph"/>
        <w:numPr>
          <w:ilvl w:val="0"/>
          <w:numId w:val="118"/>
        </w:numPr>
        <w:spacing w:line="276" w:lineRule="auto"/>
        <w:jc w:val="both"/>
        <w:rPr>
          <w:rFonts w:ascii="Arial" w:hAnsi="Arial" w:cs="Arial"/>
          <w:bCs/>
          <w:sz w:val="20"/>
          <w:szCs w:val="20"/>
        </w:rPr>
      </w:pPr>
      <w:r w:rsidRPr="00303B0C">
        <w:rPr>
          <w:rFonts w:ascii="Arial" w:hAnsi="Arial" w:cs="Arial"/>
          <w:bCs/>
          <w:sz w:val="20"/>
          <w:szCs w:val="20"/>
        </w:rPr>
        <w:t>Moving Around</w:t>
      </w:r>
    </w:p>
    <w:p w14:paraId="1498F35C" w14:textId="30AB3D16" w:rsidR="00303B0C" w:rsidRPr="00303B0C" w:rsidRDefault="00303B0C" w:rsidP="00695720">
      <w:pPr>
        <w:pStyle w:val="ListParagraph"/>
        <w:numPr>
          <w:ilvl w:val="0"/>
          <w:numId w:val="118"/>
        </w:numPr>
        <w:spacing w:line="276" w:lineRule="auto"/>
        <w:jc w:val="both"/>
        <w:rPr>
          <w:rFonts w:ascii="Arial" w:hAnsi="Arial" w:cs="Arial"/>
          <w:bCs/>
          <w:sz w:val="20"/>
          <w:szCs w:val="20"/>
        </w:rPr>
      </w:pPr>
      <w:r w:rsidRPr="00303B0C">
        <w:rPr>
          <w:rFonts w:ascii="Arial" w:hAnsi="Arial" w:cs="Arial"/>
          <w:bCs/>
          <w:sz w:val="20"/>
          <w:szCs w:val="20"/>
        </w:rPr>
        <w:t>Looking After People</w:t>
      </w:r>
    </w:p>
    <w:p w14:paraId="466F2355" w14:textId="77ED969D" w:rsidR="00303B0C" w:rsidRPr="00303B0C" w:rsidRDefault="00303B0C" w:rsidP="00695720">
      <w:pPr>
        <w:pStyle w:val="ListParagraph"/>
        <w:numPr>
          <w:ilvl w:val="0"/>
          <w:numId w:val="118"/>
        </w:numPr>
        <w:spacing w:line="276" w:lineRule="auto"/>
        <w:jc w:val="both"/>
        <w:rPr>
          <w:rFonts w:ascii="Arial" w:hAnsi="Arial" w:cs="Arial"/>
          <w:bCs/>
          <w:sz w:val="20"/>
          <w:szCs w:val="20"/>
        </w:rPr>
      </w:pPr>
      <w:r w:rsidRPr="00303B0C">
        <w:rPr>
          <w:rFonts w:ascii="Arial" w:hAnsi="Arial" w:cs="Arial"/>
          <w:bCs/>
          <w:sz w:val="20"/>
          <w:szCs w:val="20"/>
        </w:rPr>
        <w:t xml:space="preserve">Sustainable Economy </w:t>
      </w:r>
    </w:p>
    <w:p w14:paraId="34533A3A" w14:textId="70B7F32D" w:rsidR="00303B0C" w:rsidRPr="00303B0C" w:rsidRDefault="00303B0C" w:rsidP="00695720">
      <w:pPr>
        <w:pStyle w:val="ListParagraph"/>
        <w:numPr>
          <w:ilvl w:val="0"/>
          <w:numId w:val="118"/>
        </w:numPr>
        <w:spacing w:line="276" w:lineRule="auto"/>
        <w:jc w:val="both"/>
        <w:rPr>
          <w:rFonts w:ascii="Arial" w:hAnsi="Arial" w:cs="Arial"/>
          <w:bCs/>
          <w:sz w:val="20"/>
          <w:szCs w:val="20"/>
        </w:rPr>
      </w:pPr>
      <w:r w:rsidRPr="00303B0C">
        <w:rPr>
          <w:rFonts w:ascii="Arial" w:hAnsi="Arial" w:cs="Arial"/>
          <w:bCs/>
          <w:sz w:val="20"/>
          <w:szCs w:val="20"/>
        </w:rPr>
        <w:t>Civic Leadership</w:t>
      </w:r>
    </w:p>
    <w:p w14:paraId="04D89378" w14:textId="77777777" w:rsidR="00303B0C" w:rsidRDefault="00303B0C" w:rsidP="00114636">
      <w:pPr>
        <w:spacing w:line="276" w:lineRule="auto"/>
        <w:jc w:val="both"/>
        <w:rPr>
          <w:rFonts w:ascii="Arial" w:hAnsi="Arial" w:cs="Arial"/>
          <w:bCs/>
          <w:sz w:val="20"/>
          <w:szCs w:val="20"/>
        </w:rPr>
      </w:pPr>
    </w:p>
    <w:p w14:paraId="766E7690" w14:textId="427E953B" w:rsidR="008960F4" w:rsidRDefault="008960F4" w:rsidP="008960F4">
      <w:pPr>
        <w:pStyle w:val="ListParagraph"/>
        <w:spacing w:line="276" w:lineRule="auto"/>
        <w:ind w:left="0"/>
        <w:jc w:val="both"/>
        <w:rPr>
          <w:rFonts w:ascii="Arial" w:hAnsi="Arial" w:cs="Arial"/>
          <w:bCs/>
          <w:sz w:val="20"/>
          <w:szCs w:val="20"/>
        </w:rPr>
      </w:pPr>
      <w:r>
        <w:rPr>
          <w:rFonts w:ascii="Arial" w:hAnsi="Arial" w:cs="Arial"/>
          <w:bCs/>
          <w:sz w:val="20"/>
          <w:szCs w:val="20"/>
        </w:rPr>
        <w:t xml:space="preserve">The </w:t>
      </w:r>
      <w:r w:rsidR="008361FC" w:rsidRPr="00F5350E">
        <w:rPr>
          <w:rFonts w:ascii="Arial" w:hAnsi="Arial" w:cs="Arial"/>
          <w:bCs/>
          <w:sz w:val="20"/>
          <w:szCs w:val="20"/>
        </w:rPr>
        <w:t xml:space="preserve">critical issue identified </w:t>
      </w:r>
      <w:r w:rsidR="00016C67">
        <w:rPr>
          <w:rFonts w:ascii="Arial" w:hAnsi="Arial" w:cs="Arial"/>
          <w:bCs/>
          <w:sz w:val="20"/>
          <w:szCs w:val="20"/>
        </w:rPr>
        <w:t xml:space="preserve">in the Service dashboards and </w:t>
      </w:r>
      <w:r w:rsidR="008361FC" w:rsidRPr="00F5350E">
        <w:rPr>
          <w:rFonts w:ascii="Arial" w:hAnsi="Arial" w:cs="Arial"/>
          <w:bCs/>
          <w:sz w:val="20"/>
          <w:szCs w:val="20"/>
        </w:rPr>
        <w:t>through Integrated Planning implemented</w:t>
      </w:r>
      <w:r w:rsidR="008361FC" w:rsidRPr="00842BE2">
        <w:rPr>
          <w:rFonts w:ascii="Arial" w:hAnsi="Arial" w:cs="Arial"/>
          <w:bCs/>
          <w:sz w:val="20"/>
          <w:szCs w:val="20"/>
        </w:rPr>
        <w:t xml:space="preserve"> since 2010, is that projected available funding over the next 10 years is </w:t>
      </w:r>
      <w:r w:rsidR="00E06301">
        <w:rPr>
          <w:rFonts w:ascii="Arial" w:hAnsi="Arial" w:cs="Arial"/>
          <w:bCs/>
          <w:sz w:val="20"/>
          <w:szCs w:val="20"/>
        </w:rPr>
        <w:t>in</w:t>
      </w:r>
      <w:r w:rsidR="008361FC" w:rsidRPr="00842BE2">
        <w:rPr>
          <w:rFonts w:ascii="Arial" w:hAnsi="Arial" w:cs="Arial"/>
          <w:bCs/>
          <w:sz w:val="20"/>
          <w:szCs w:val="20"/>
        </w:rPr>
        <w:t>sufficient to maintain, let alone improve, existing levels of service.</w:t>
      </w:r>
      <w:r w:rsidR="000B7D12" w:rsidRPr="000B7D12">
        <w:rPr>
          <w:rFonts w:ascii="Arial" w:hAnsi="Arial" w:cs="Arial"/>
          <w:bCs/>
          <w:sz w:val="20"/>
          <w:szCs w:val="20"/>
        </w:rPr>
        <w:t xml:space="preserve"> </w:t>
      </w:r>
      <w:r w:rsidR="00C617E1">
        <w:rPr>
          <w:rFonts w:ascii="Arial" w:hAnsi="Arial" w:cs="Arial"/>
          <w:bCs/>
          <w:sz w:val="20"/>
          <w:szCs w:val="20"/>
        </w:rPr>
        <w:t xml:space="preserve">This challenge is detailed in the </w:t>
      </w:r>
      <w:r w:rsidR="00564CB5">
        <w:rPr>
          <w:rFonts w:ascii="Arial" w:hAnsi="Arial" w:cs="Arial"/>
          <w:bCs/>
          <w:sz w:val="20"/>
          <w:szCs w:val="20"/>
        </w:rPr>
        <w:t xml:space="preserve">Resourcing Strategy (see </w:t>
      </w:r>
      <w:r w:rsidR="00C617E1" w:rsidRPr="00C617E1">
        <w:rPr>
          <w:rFonts w:ascii="Arial" w:hAnsi="Arial" w:cs="Arial"/>
          <w:b/>
          <w:bCs/>
          <w:sz w:val="20"/>
          <w:szCs w:val="20"/>
        </w:rPr>
        <w:t>Attachment 13, Part</w:t>
      </w:r>
      <w:r w:rsidR="00564CB5">
        <w:rPr>
          <w:rFonts w:ascii="Arial" w:hAnsi="Arial" w:cs="Arial"/>
          <w:b/>
          <w:bCs/>
          <w:sz w:val="20"/>
          <w:szCs w:val="20"/>
        </w:rPr>
        <w:t>s</w:t>
      </w:r>
      <w:r w:rsidR="00C617E1" w:rsidRPr="00C617E1">
        <w:rPr>
          <w:rFonts w:ascii="Arial" w:hAnsi="Arial" w:cs="Arial"/>
          <w:b/>
          <w:bCs/>
          <w:sz w:val="20"/>
          <w:szCs w:val="20"/>
        </w:rPr>
        <w:t xml:space="preserve"> 3</w:t>
      </w:r>
      <w:r w:rsidR="00564CB5">
        <w:rPr>
          <w:rFonts w:ascii="Arial" w:hAnsi="Arial" w:cs="Arial"/>
          <w:b/>
          <w:bCs/>
          <w:sz w:val="20"/>
          <w:szCs w:val="20"/>
        </w:rPr>
        <w:t xml:space="preserve"> </w:t>
      </w:r>
      <w:r w:rsidR="00C617E1" w:rsidRPr="00C617E1">
        <w:rPr>
          <w:rFonts w:ascii="Arial" w:hAnsi="Arial" w:cs="Arial"/>
          <w:b/>
          <w:bCs/>
          <w:sz w:val="20"/>
          <w:szCs w:val="20"/>
        </w:rPr>
        <w:t>and 4</w:t>
      </w:r>
      <w:r w:rsidR="00C617E1">
        <w:rPr>
          <w:rFonts w:ascii="Arial" w:hAnsi="Arial" w:cs="Arial"/>
          <w:bCs/>
          <w:sz w:val="20"/>
          <w:szCs w:val="20"/>
        </w:rPr>
        <w:t xml:space="preserve">). </w:t>
      </w:r>
      <w:r w:rsidR="00D0519E">
        <w:rPr>
          <w:rFonts w:ascii="Arial" w:hAnsi="Arial" w:cs="Arial"/>
          <w:bCs/>
          <w:sz w:val="20"/>
          <w:szCs w:val="20"/>
        </w:rPr>
        <w:t>F</w:t>
      </w:r>
      <w:r w:rsidR="00D0519E" w:rsidRPr="00560583">
        <w:rPr>
          <w:rFonts w:ascii="Arial" w:hAnsi="Arial" w:cs="Arial"/>
          <w:bCs/>
          <w:sz w:val="20"/>
          <w:szCs w:val="20"/>
        </w:rPr>
        <w:t>or many years there has been significant underfunding of required asset renewal and maintenance</w:t>
      </w:r>
      <w:r w:rsidR="00C617E1">
        <w:rPr>
          <w:rFonts w:ascii="Arial" w:hAnsi="Arial" w:cs="Arial"/>
          <w:bCs/>
          <w:sz w:val="20"/>
          <w:szCs w:val="20"/>
        </w:rPr>
        <w:t xml:space="preserve"> as </w:t>
      </w:r>
      <w:r w:rsidR="00D0519E">
        <w:rPr>
          <w:rFonts w:ascii="Arial" w:hAnsi="Arial" w:cs="Arial"/>
          <w:bCs/>
          <w:sz w:val="20"/>
          <w:szCs w:val="20"/>
        </w:rPr>
        <w:t xml:space="preserve">evidenced in the Building and Infrastructure Renewals Ratio and Assets Renewal Ratio detailed in </w:t>
      </w:r>
      <w:r w:rsidR="00D0519E" w:rsidRPr="00C617E1">
        <w:rPr>
          <w:rFonts w:ascii="Arial" w:hAnsi="Arial" w:cs="Arial"/>
          <w:b/>
          <w:bCs/>
          <w:sz w:val="20"/>
          <w:szCs w:val="20"/>
        </w:rPr>
        <w:t>Section 3.3</w:t>
      </w:r>
      <w:r w:rsidR="00340033">
        <w:rPr>
          <w:rFonts w:ascii="Arial" w:hAnsi="Arial" w:cs="Arial"/>
          <w:b/>
          <w:bCs/>
          <w:sz w:val="20"/>
          <w:szCs w:val="20"/>
        </w:rPr>
        <w:t xml:space="preserve"> </w:t>
      </w:r>
      <w:r w:rsidR="00340033" w:rsidRPr="00340033">
        <w:rPr>
          <w:rFonts w:ascii="Arial" w:hAnsi="Arial" w:cs="Arial"/>
          <w:bCs/>
          <w:sz w:val="20"/>
          <w:szCs w:val="20"/>
        </w:rPr>
        <w:t>of this application</w:t>
      </w:r>
      <w:r w:rsidR="00D0519E" w:rsidRPr="00560583">
        <w:rPr>
          <w:rFonts w:ascii="Arial" w:hAnsi="Arial" w:cs="Arial"/>
          <w:bCs/>
          <w:sz w:val="20"/>
          <w:szCs w:val="20"/>
        </w:rPr>
        <w:t xml:space="preserve">. </w:t>
      </w:r>
      <w:r>
        <w:rPr>
          <w:rFonts w:ascii="Arial" w:hAnsi="Arial" w:cs="Arial"/>
          <w:bCs/>
          <w:sz w:val="20"/>
          <w:szCs w:val="20"/>
        </w:rPr>
        <w:t xml:space="preserve">The impact of this underfunding </w:t>
      </w:r>
      <w:r w:rsidR="008361FC" w:rsidRPr="00842BE2">
        <w:rPr>
          <w:rFonts w:ascii="Arial" w:hAnsi="Arial" w:cs="Arial"/>
          <w:bCs/>
          <w:sz w:val="20"/>
          <w:szCs w:val="20"/>
        </w:rPr>
        <w:t xml:space="preserve">is </w:t>
      </w:r>
      <w:r>
        <w:rPr>
          <w:rFonts w:ascii="Arial" w:hAnsi="Arial" w:cs="Arial"/>
          <w:bCs/>
          <w:sz w:val="20"/>
          <w:szCs w:val="20"/>
        </w:rPr>
        <w:t xml:space="preserve">also </w:t>
      </w:r>
      <w:r w:rsidR="008361FC" w:rsidRPr="00842BE2">
        <w:rPr>
          <w:rFonts w:ascii="Arial" w:hAnsi="Arial" w:cs="Arial"/>
          <w:bCs/>
          <w:sz w:val="20"/>
          <w:szCs w:val="20"/>
        </w:rPr>
        <w:t xml:space="preserve">clearly </w:t>
      </w:r>
      <w:r>
        <w:rPr>
          <w:rFonts w:ascii="Arial" w:hAnsi="Arial" w:cs="Arial"/>
          <w:bCs/>
          <w:sz w:val="20"/>
          <w:szCs w:val="20"/>
        </w:rPr>
        <w:t>shown i</w:t>
      </w:r>
      <w:r w:rsidR="008361FC" w:rsidRPr="00842BE2">
        <w:rPr>
          <w:rFonts w:ascii="Arial" w:hAnsi="Arial" w:cs="Arial"/>
          <w:bCs/>
          <w:sz w:val="20"/>
          <w:szCs w:val="20"/>
        </w:rPr>
        <w:t xml:space="preserve">n the </w:t>
      </w:r>
      <w:r>
        <w:rPr>
          <w:rFonts w:ascii="Arial" w:hAnsi="Arial" w:cs="Arial"/>
          <w:bCs/>
          <w:sz w:val="20"/>
          <w:szCs w:val="20"/>
        </w:rPr>
        <w:t>Service Dashboards.</w:t>
      </w:r>
    </w:p>
    <w:p w14:paraId="2D10BD3C" w14:textId="77777777" w:rsidR="008960F4" w:rsidRDefault="008960F4" w:rsidP="008960F4">
      <w:pPr>
        <w:pStyle w:val="ListParagraph"/>
        <w:spacing w:line="276" w:lineRule="auto"/>
        <w:ind w:left="0"/>
        <w:jc w:val="both"/>
        <w:rPr>
          <w:rFonts w:ascii="Arial" w:hAnsi="Arial" w:cs="Arial"/>
          <w:bCs/>
          <w:sz w:val="20"/>
          <w:szCs w:val="20"/>
        </w:rPr>
      </w:pPr>
    </w:p>
    <w:p w14:paraId="68985A34" w14:textId="7D244A4C" w:rsidR="00A92D3C" w:rsidRDefault="008960F4" w:rsidP="008960F4">
      <w:pPr>
        <w:autoSpaceDE w:val="0"/>
        <w:autoSpaceDN w:val="0"/>
        <w:adjustRightInd w:val="0"/>
        <w:spacing w:line="276" w:lineRule="auto"/>
        <w:contextualSpacing/>
        <w:jc w:val="both"/>
        <w:rPr>
          <w:rFonts w:ascii="Arial" w:hAnsi="Arial" w:cs="Arial"/>
          <w:bCs/>
          <w:sz w:val="20"/>
          <w:szCs w:val="20"/>
        </w:rPr>
      </w:pPr>
      <w:r>
        <w:rPr>
          <w:rFonts w:ascii="Arial" w:hAnsi="Arial" w:cs="Arial"/>
          <w:sz w:val="20"/>
          <w:szCs w:val="20"/>
        </w:rPr>
        <w:t xml:space="preserve">Through integrated planning and community engagement processes since 2010, the community has clearly expressed the </w:t>
      </w:r>
      <w:r w:rsidR="00564CB5">
        <w:rPr>
          <w:rFonts w:ascii="Arial" w:hAnsi="Arial" w:cs="Arial"/>
          <w:sz w:val="20"/>
          <w:szCs w:val="20"/>
        </w:rPr>
        <w:t xml:space="preserve">requirement </w:t>
      </w:r>
      <w:r>
        <w:rPr>
          <w:rFonts w:ascii="Arial" w:hAnsi="Arial" w:cs="Arial"/>
          <w:sz w:val="20"/>
          <w:szCs w:val="20"/>
        </w:rPr>
        <w:t xml:space="preserve">for the </w:t>
      </w:r>
      <w:r w:rsidR="00A92D3C" w:rsidRPr="00F5350E">
        <w:rPr>
          <w:rFonts w:ascii="Arial" w:hAnsi="Arial" w:cs="Arial"/>
          <w:bCs/>
          <w:sz w:val="20"/>
          <w:szCs w:val="20"/>
        </w:rPr>
        <w:t xml:space="preserve">financial sustainability of the Council and the City </w:t>
      </w:r>
      <w:r>
        <w:rPr>
          <w:rFonts w:ascii="Arial" w:hAnsi="Arial" w:cs="Arial"/>
          <w:bCs/>
          <w:sz w:val="20"/>
          <w:szCs w:val="20"/>
        </w:rPr>
        <w:t>to be improved.</w:t>
      </w:r>
      <w:r w:rsidR="00A92D3C">
        <w:rPr>
          <w:rFonts w:ascii="Arial" w:hAnsi="Arial" w:cs="Arial"/>
          <w:bCs/>
          <w:sz w:val="20"/>
          <w:szCs w:val="20"/>
        </w:rPr>
        <w:t xml:space="preserve"> This is clearly articulated in the community endorsed Community Strategic Plan – </w:t>
      </w:r>
      <w:r w:rsidR="00A92D3C" w:rsidRPr="00826784">
        <w:rPr>
          <w:rFonts w:ascii="Arial" w:hAnsi="Arial" w:cs="Arial"/>
          <w:bCs/>
          <w:i/>
          <w:sz w:val="20"/>
          <w:szCs w:val="20"/>
        </w:rPr>
        <w:t>Sustainable Blue Mountains 2025</w:t>
      </w:r>
      <w:r w:rsidR="00A92D3C">
        <w:rPr>
          <w:rFonts w:ascii="Arial" w:hAnsi="Arial" w:cs="Arial"/>
          <w:bCs/>
          <w:sz w:val="20"/>
          <w:szCs w:val="20"/>
        </w:rPr>
        <w:t xml:space="preserve"> (see </w:t>
      </w:r>
      <w:r w:rsidR="00A92D3C" w:rsidRPr="00BD6580">
        <w:rPr>
          <w:rFonts w:ascii="Arial" w:hAnsi="Arial" w:cs="Arial"/>
          <w:b/>
          <w:bCs/>
          <w:sz w:val="20"/>
          <w:szCs w:val="20"/>
        </w:rPr>
        <w:t>Attachment 1</w:t>
      </w:r>
      <w:r w:rsidR="00A92D3C">
        <w:rPr>
          <w:rFonts w:ascii="Arial" w:hAnsi="Arial" w:cs="Arial"/>
          <w:bCs/>
          <w:sz w:val="20"/>
          <w:szCs w:val="20"/>
        </w:rPr>
        <w:t>)</w:t>
      </w:r>
      <w:r>
        <w:rPr>
          <w:rFonts w:ascii="Arial" w:hAnsi="Arial" w:cs="Arial"/>
          <w:bCs/>
          <w:sz w:val="20"/>
          <w:szCs w:val="20"/>
        </w:rPr>
        <w:t>,</w:t>
      </w:r>
      <w:r w:rsidR="00A92D3C">
        <w:rPr>
          <w:rFonts w:ascii="Arial" w:hAnsi="Arial" w:cs="Arial"/>
          <w:bCs/>
          <w:sz w:val="20"/>
          <w:szCs w:val="20"/>
        </w:rPr>
        <w:t xml:space="preserve"> </w:t>
      </w:r>
      <w:r w:rsidR="00AA4ECB">
        <w:rPr>
          <w:rFonts w:ascii="Arial" w:hAnsi="Arial" w:cs="Arial"/>
          <w:bCs/>
          <w:sz w:val="20"/>
          <w:szCs w:val="20"/>
        </w:rPr>
        <w:t xml:space="preserve">which has been </w:t>
      </w:r>
      <w:r w:rsidR="00A92D3C">
        <w:rPr>
          <w:rFonts w:ascii="Arial" w:hAnsi="Arial" w:cs="Arial"/>
          <w:bCs/>
          <w:sz w:val="20"/>
          <w:szCs w:val="20"/>
        </w:rPr>
        <w:t>shaped by an extensive program of community engagement, research and needs assessment.</w:t>
      </w:r>
      <w:r w:rsidR="00AA4ECB">
        <w:rPr>
          <w:rFonts w:ascii="Arial" w:hAnsi="Arial" w:cs="Arial"/>
          <w:bCs/>
          <w:sz w:val="20"/>
          <w:szCs w:val="20"/>
        </w:rPr>
        <w:t xml:space="preserve"> Under </w:t>
      </w:r>
      <w:r w:rsidR="00340033">
        <w:rPr>
          <w:rFonts w:ascii="Arial" w:hAnsi="Arial" w:cs="Arial"/>
          <w:bCs/>
          <w:sz w:val="20"/>
          <w:szCs w:val="20"/>
        </w:rPr>
        <w:t>O</w:t>
      </w:r>
      <w:r w:rsidR="00AA4ECB">
        <w:rPr>
          <w:rFonts w:ascii="Arial" w:hAnsi="Arial" w:cs="Arial"/>
          <w:bCs/>
          <w:sz w:val="20"/>
          <w:szCs w:val="20"/>
        </w:rPr>
        <w:t>bjective 6.1 of the plan, the following strategies were endorsed:</w:t>
      </w:r>
    </w:p>
    <w:p w14:paraId="613598A4" w14:textId="1AAEAA10" w:rsidR="00AA4ECB" w:rsidRPr="008D3F47" w:rsidRDefault="00AA4ECB" w:rsidP="006916B3">
      <w:pPr>
        <w:pStyle w:val="ListParagraph"/>
        <w:numPr>
          <w:ilvl w:val="0"/>
          <w:numId w:val="119"/>
        </w:numPr>
        <w:autoSpaceDE w:val="0"/>
        <w:autoSpaceDN w:val="0"/>
        <w:adjustRightInd w:val="0"/>
        <w:spacing w:line="276" w:lineRule="auto"/>
        <w:contextualSpacing/>
        <w:jc w:val="both"/>
        <w:rPr>
          <w:rFonts w:ascii="Arial" w:hAnsi="Arial" w:cs="Arial"/>
          <w:bCs/>
          <w:i/>
          <w:sz w:val="20"/>
          <w:szCs w:val="20"/>
        </w:rPr>
      </w:pPr>
      <w:r w:rsidRPr="008D3F47">
        <w:rPr>
          <w:rFonts w:ascii="Arial" w:hAnsi="Arial" w:cs="Arial"/>
          <w:bCs/>
          <w:i/>
          <w:sz w:val="20"/>
          <w:szCs w:val="20"/>
        </w:rPr>
        <w:t>Strengthen the financial sustainability of the Council through implementing the Long Term Financial Plan and its strategies</w:t>
      </w:r>
    </w:p>
    <w:p w14:paraId="39BEEACD" w14:textId="77777777" w:rsidR="008D3F47" w:rsidRPr="008D3F47" w:rsidRDefault="008D3F47" w:rsidP="006916B3">
      <w:pPr>
        <w:pStyle w:val="ListParagraph"/>
        <w:autoSpaceDE w:val="0"/>
        <w:autoSpaceDN w:val="0"/>
        <w:adjustRightInd w:val="0"/>
        <w:spacing w:line="276" w:lineRule="auto"/>
        <w:contextualSpacing/>
        <w:jc w:val="both"/>
        <w:rPr>
          <w:rFonts w:ascii="Arial" w:hAnsi="Arial" w:cs="Arial"/>
          <w:bCs/>
          <w:i/>
          <w:sz w:val="20"/>
          <w:szCs w:val="20"/>
        </w:rPr>
      </w:pPr>
    </w:p>
    <w:p w14:paraId="41D6A7DC" w14:textId="340352DC" w:rsidR="00AA4ECB" w:rsidRPr="008D3F47" w:rsidRDefault="00AA4ECB" w:rsidP="006916B3">
      <w:pPr>
        <w:pStyle w:val="ListParagraph"/>
        <w:numPr>
          <w:ilvl w:val="0"/>
          <w:numId w:val="119"/>
        </w:numPr>
        <w:autoSpaceDE w:val="0"/>
        <w:autoSpaceDN w:val="0"/>
        <w:adjustRightInd w:val="0"/>
        <w:spacing w:line="276" w:lineRule="auto"/>
        <w:contextualSpacing/>
        <w:jc w:val="both"/>
        <w:rPr>
          <w:rFonts w:ascii="Arial" w:hAnsi="Arial" w:cs="Arial"/>
          <w:bCs/>
          <w:i/>
          <w:sz w:val="20"/>
          <w:szCs w:val="20"/>
        </w:rPr>
      </w:pPr>
      <w:r w:rsidRPr="008D3F47">
        <w:rPr>
          <w:rFonts w:ascii="Arial" w:hAnsi="Arial" w:cs="Arial"/>
          <w:bCs/>
          <w:i/>
          <w:sz w:val="20"/>
          <w:szCs w:val="20"/>
        </w:rPr>
        <w:t>Engage with  the community to achieve affordable and acceptable levels of service – including possible renewal of the existing environment levy and further rate variations to enable delivery of priority projects</w:t>
      </w:r>
    </w:p>
    <w:p w14:paraId="568E1C2B" w14:textId="77777777" w:rsidR="00564CB5" w:rsidRDefault="00564CB5" w:rsidP="008960F4">
      <w:pPr>
        <w:autoSpaceDE w:val="0"/>
        <w:autoSpaceDN w:val="0"/>
        <w:adjustRightInd w:val="0"/>
        <w:spacing w:line="276" w:lineRule="auto"/>
        <w:contextualSpacing/>
        <w:jc w:val="both"/>
        <w:rPr>
          <w:rFonts w:ascii="Arial" w:hAnsi="Arial" w:cs="Arial"/>
          <w:bCs/>
          <w:sz w:val="20"/>
          <w:szCs w:val="20"/>
        </w:rPr>
      </w:pPr>
    </w:p>
    <w:p w14:paraId="13E16BC4" w14:textId="556F5C00" w:rsidR="00564CB5" w:rsidRDefault="00564CB5" w:rsidP="00564CB5">
      <w:pPr>
        <w:tabs>
          <w:tab w:val="left" w:pos="8789"/>
        </w:tabs>
        <w:spacing w:line="360" w:lineRule="auto"/>
        <w:contextualSpacing/>
        <w:jc w:val="both"/>
        <w:rPr>
          <w:rFonts w:ascii="Arial" w:eastAsia="Arial" w:hAnsi="Arial" w:cs="Arial"/>
          <w:sz w:val="20"/>
          <w:szCs w:val="20"/>
          <w:lang w:val="en-US"/>
        </w:rPr>
      </w:pPr>
      <w:r>
        <w:rPr>
          <w:rFonts w:ascii="Arial" w:eastAsia="Arial" w:hAnsi="Arial" w:cs="Arial"/>
          <w:sz w:val="20"/>
          <w:szCs w:val="20"/>
          <w:lang w:val="en-US" w:eastAsia="en-US"/>
        </w:rPr>
        <w:t xml:space="preserve">The Council’s </w:t>
      </w:r>
      <w:r w:rsidRPr="00564CB5">
        <w:rPr>
          <w:rFonts w:ascii="Arial" w:eastAsia="Arial" w:hAnsi="Arial" w:cs="Arial"/>
          <w:i/>
          <w:sz w:val="20"/>
          <w:szCs w:val="20"/>
          <w:lang w:val="en-US" w:eastAsia="en-US"/>
        </w:rPr>
        <w:t>Delivery Program</w:t>
      </w:r>
      <w:r w:rsidRPr="00564CB5">
        <w:rPr>
          <w:rFonts w:ascii="Arial" w:eastAsia="Arial" w:hAnsi="Arial" w:cs="Arial"/>
          <w:i/>
          <w:sz w:val="20"/>
          <w:szCs w:val="20"/>
          <w:lang w:val="en-US"/>
        </w:rPr>
        <w:t xml:space="preserve"> 2013-2017</w:t>
      </w:r>
      <w:r w:rsidRPr="00564CB5">
        <w:rPr>
          <w:rFonts w:ascii="Arial" w:eastAsia="Arial" w:hAnsi="Arial" w:cs="Arial"/>
          <w:sz w:val="20"/>
          <w:szCs w:val="20"/>
          <w:lang w:val="en-US"/>
        </w:rPr>
        <w:t xml:space="preserve"> </w:t>
      </w:r>
      <w:r>
        <w:rPr>
          <w:rFonts w:ascii="Arial" w:eastAsia="Arial" w:hAnsi="Arial" w:cs="Arial"/>
          <w:sz w:val="20"/>
          <w:szCs w:val="20"/>
          <w:lang w:val="en-US"/>
        </w:rPr>
        <w:t xml:space="preserve">incorporating the </w:t>
      </w:r>
      <w:r w:rsidRPr="00564CB5">
        <w:rPr>
          <w:rFonts w:ascii="Arial" w:eastAsia="Arial" w:hAnsi="Arial" w:cs="Arial"/>
          <w:i/>
          <w:sz w:val="20"/>
          <w:szCs w:val="20"/>
          <w:lang w:val="en-US"/>
        </w:rPr>
        <w:t>Operational Plan 2014-2015</w:t>
      </w:r>
      <w:r w:rsidRPr="00564CB5">
        <w:rPr>
          <w:rFonts w:ascii="Arial" w:eastAsia="Arial" w:hAnsi="Arial" w:cs="Arial"/>
          <w:sz w:val="20"/>
          <w:szCs w:val="20"/>
          <w:lang w:val="en-US"/>
        </w:rPr>
        <w:t xml:space="preserve">  </w:t>
      </w:r>
      <w:r>
        <w:rPr>
          <w:rFonts w:ascii="Arial" w:eastAsia="Arial" w:hAnsi="Arial" w:cs="Arial"/>
          <w:sz w:val="20"/>
          <w:szCs w:val="20"/>
          <w:lang w:val="en-US"/>
        </w:rPr>
        <w:t>further articulate</w:t>
      </w:r>
      <w:r w:rsidR="00340033">
        <w:rPr>
          <w:rFonts w:ascii="Arial" w:eastAsia="Arial" w:hAnsi="Arial" w:cs="Arial"/>
          <w:sz w:val="20"/>
          <w:szCs w:val="20"/>
          <w:lang w:val="en-US"/>
        </w:rPr>
        <w:t>s</w:t>
      </w:r>
      <w:r>
        <w:rPr>
          <w:rFonts w:ascii="Arial" w:eastAsia="Arial" w:hAnsi="Arial" w:cs="Arial"/>
          <w:sz w:val="20"/>
          <w:szCs w:val="20"/>
          <w:lang w:val="en-US"/>
        </w:rPr>
        <w:t xml:space="preserve"> th</w:t>
      </w:r>
      <w:r w:rsidR="008D3F47">
        <w:rPr>
          <w:rFonts w:ascii="Arial" w:eastAsia="Arial" w:hAnsi="Arial" w:cs="Arial"/>
          <w:sz w:val="20"/>
          <w:szCs w:val="20"/>
          <w:lang w:val="en-US"/>
        </w:rPr>
        <w:t xml:space="preserve">e need for this, </w:t>
      </w:r>
      <w:r w:rsidRPr="00564CB5">
        <w:rPr>
          <w:rFonts w:ascii="Arial" w:eastAsia="Arial" w:hAnsi="Arial" w:cs="Arial"/>
          <w:sz w:val="20"/>
          <w:szCs w:val="20"/>
          <w:lang w:val="en-US"/>
        </w:rPr>
        <w:t>stat</w:t>
      </w:r>
      <w:r w:rsidR="008D3F47">
        <w:rPr>
          <w:rFonts w:ascii="Arial" w:eastAsia="Arial" w:hAnsi="Arial" w:cs="Arial"/>
          <w:sz w:val="20"/>
          <w:szCs w:val="20"/>
          <w:lang w:val="en-US"/>
        </w:rPr>
        <w:t>ing</w:t>
      </w:r>
      <w:r w:rsidRPr="00564CB5">
        <w:rPr>
          <w:rFonts w:ascii="Arial" w:eastAsia="Arial" w:hAnsi="Arial" w:cs="Arial"/>
          <w:sz w:val="20"/>
          <w:szCs w:val="20"/>
          <w:lang w:val="en-US"/>
        </w:rPr>
        <w:t>:</w:t>
      </w:r>
    </w:p>
    <w:p w14:paraId="49EFED2F" w14:textId="7DC2F192" w:rsidR="00564CB5" w:rsidRPr="006916B3" w:rsidRDefault="00AA4ECB" w:rsidP="006916B3">
      <w:pPr>
        <w:tabs>
          <w:tab w:val="left" w:pos="8789"/>
        </w:tabs>
        <w:spacing w:line="276" w:lineRule="auto"/>
        <w:ind w:left="709" w:hanging="425"/>
        <w:contextualSpacing/>
        <w:jc w:val="both"/>
        <w:rPr>
          <w:rFonts w:ascii="Arial" w:eastAsia="Arial" w:hAnsi="Arial" w:cs="Arial"/>
          <w:i/>
          <w:sz w:val="18"/>
          <w:szCs w:val="18"/>
          <w:lang w:val="en-US"/>
        </w:rPr>
      </w:pPr>
      <w:r>
        <w:rPr>
          <w:rFonts w:ascii="Arial" w:eastAsia="Arial" w:hAnsi="Arial" w:cs="Arial"/>
          <w:i/>
          <w:sz w:val="18"/>
          <w:szCs w:val="18"/>
          <w:lang w:val="en-US"/>
        </w:rPr>
        <w:tab/>
      </w:r>
      <w:r w:rsidR="00564CB5" w:rsidRPr="006916B3">
        <w:rPr>
          <w:rFonts w:ascii="Arial" w:eastAsia="Arial" w:hAnsi="Arial" w:cs="Arial"/>
          <w:i/>
          <w:sz w:val="18"/>
          <w:szCs w:val="18"/>
          <w:lang w:val="en-US"/>
        </w:rPr>
        <w:t>“In 2013, community engagement on the update of the Community strategic Plan – Sustainable Blue Mountains 2025, confirmed as a priority that the Council continue its focus on improving its financial sustainability through implementing six financial strategies including further engaging community in 2014 on possible further special variation to rates and continuation of the existing Environment Levy…..</w:t>
      </w:r>
    </w:p>
    <w:p w14:paraId="3ABA6D0B" w14:textId="77777777" w:rsidR="00AA4ECB" w:rsidRPr="006916B3" w:rsidRDefault="00AA4ECB" w:rsidP="006916B3">
      <w:pPr>
        <w:tabs>
          <w:tab w:val="left" w:pos="8789"/>
        </w:tabs>
        <w:spacing w:line="276" w:lineRule="auto"/>
        <w:ind w:left="709" w:hanging="425"/>
        <w:contextualSpacing/>
        <w:jc w:val="both"/>
        <w:rPr>
          <w:rFonts w:ascii="Arial" w:eastAsia="Arial" w:hAnsi="Arial" w:cs="Arial"/>
          <w:i/>
          <w:sz w:val="18"/>
          <w:szCs w:val="18"/>
          <w:lang w:val="en-US"/>
        </w:rPr>
      </w:pPr>
    </w:p>
    <w:p w14:paraId="146AF9A5" w14:textId="2C293FD9" w:rsidR="00564CB5" w:rsidRPr="006916B3" w:rsidRDefault="00340033" w:rsidP="006916B3">
      <w:pPr>
        <w:tabs>
          <w:tab w:val="left" w:pos="8789"/>
        </w:tabs>
        <w:spacing w:line="276" w:lineRule="auto"/>
        <w:ind w:left="709" w:hanging="425"/>
        <w:contextualSpacing/>
        <w:jc w:val="both"/>
        <w:rPr>
          <w:rFonts w:ascii="Arial" w:eastAsia="Arial" w:hAnsi="Arial" w:cs="Arial"/>
          <w:i/>
          <w:sz w:val="18"/>
          <w:szCs w:val="18"/>
          <w:lang w:val="en-US"/>
        </w:rPr>
      </w:pPr>
      <w:r w:rsidRPr="006916B3">
        <w:rPr>
          <w:rFonts w:ascii="Arial" w:eastAsia="Arial" w:hAnsi="Arial" w:cs="Arial"/>
          <w:i/>
          <w:sz w:val="18"/>
          <w:szCs w:val="18"/>
          <w:lang w:val="en-US"/>
        </w:rPr>
        <w:tab/>
      </w:r>
      <w:r w:rsidR="00564CB5" w:rsidRPr="006916B3">
        <w:rPr>
          <w:rFonts w:ascii="Arial" w:eastAsia="Arial" w:hAnsi="Arial" w:cs="Arial"/>
          <w:i/>
          <w:sz w:val="18"/>
          <w:szCs w:val="18"/>
          <w:lang w:val="en-US"/>
        </w:rPr>
        <w:t>What Will Happen Next</w:t>
      </w:r>
    </w:p>
    <w:p w14:paraId="66F7F30D" w14:textId="77777777" w:rsidR="00564CB5" w:rsidRPr="006916B3" w:rsidRDefault="00564CB5" w:rsidP="006916B3">
      <w:pPr>
        <w:pStyle w:val="ListParagraph"/>
        <w:numPr>
          <w:ilvl w:val="0"/>
          <w:numId w:val="107"/>
        </w:numPr>
        <w:tabs>
          <w:tab w:val="left" w:pos="8789"/>
        </w:tabs>
        <w:spacing w:line="276" w:lineRule="auto"/>
        <w:ind w:left="993" w:hanging="284"/>
        <w:contextualSpacing/>
        <w:jc w:val="both"/>
        <w:rPr>
          <w:rFonts w:ascii="Arial" w:eastAsia="Arial" w:hAnsi="Arial" w:cs="Arial"/>
          <w:i/>
          <w:sz w:val="18"/>
          <w:szCs w:val="18"/>
          <w:lang w:val="en-US"/>
        </w:rPr>
      </w:pPr>
      <w:r w:rsidRPr="006916B3">
        <w:rPr>
          <w:rFonts w:ascii="Arial" w:eastAsia="Arial" w:hAnsi="Arial" w:cs="Arial"/>
          <w:i/>
          <w:sz w:val="18"/>
          <w:szCs w:val="18"/>
          <w:lang w:val="en-US"/>
        </w:rPr>
        <w:t>The Council will develop a number of different options in considering a special variation to rates.</w:t>
      </w:r>
    </w:p>
    <w:p w14:paraId="513417D5" w14:textId="77777777" w:rsidR="00564CB5" w:rsidRPr="006916B3" w:rsidRDefault="00564CB5" w:rsidP="006916B3">
      <w:pPr>
        <w:pStyle w:val="ListParagraph"/>
        <w:numPr>
          <w:ilvl w:val="0"/>
          <w:numId w:val="107"/>
        </w:numPr>
        <w:tabs>
          <w:tab w:val="left" w:pos="8789"/>
        </w:tabs>
        <w:spacing w:line="276" w:lineRule="auto"/>
        <w:ind w:left="993" w:hanging="284"/>
        <w:contextualSpacing/>
        <w:jc w:val="both"/>
        <w:rPr>
          <w:rFonts w:ascii="Arial" w:eastAsia="Arial" w:hAnsi="Arial" w:cs="Arial"/>
          <w:i/>
          <w:sz w:val="18"/>
          <w:szCs w:val="18"/>
          <w:lang w:val="en-US"/>
        </w:rPr>
      </w:pPr>
      <w:r w:rsidRPr="006916B3">
        <w:rPr>
          <w:rFonts w:ascii="Arial" w:eastAsia="Arial" w:hAnsi="Arial" w:cs="Arial"/>
          <w:i/>
          <w:sz w:val="18"/>
          <w:szCs w:val="18"/>
          <w:lang w:val="en-US"/>
        </w:rPr>
        <w:t>These options will present the various scenarios for not increasing or increasing rates revenue, how this will be allocated to services and what this will mean for the long term financial sustainability of the Council and levels of affordable service delivery.</w:t>
      </w:r>
    </w:p>
    <w:p w14:paraId="5683259D" w14:textId="77777777" w:rsidR="00564CB5" w:rsidRPr="006916B3" w:rsidRDefault="00564CB5" w:rsidP="006916B3">
      <w:pPr>
        <w:pStyle w:val="ListParagraph"/>
        <w:numPr>
          <w:ilvl w:val="0"/>
          <w:numId w:val="107"/>
        </w:numPr>
        <w:tabs>
          <w:tab w:val="left" w:pos="8789"/>
        </w:tabs>
        <w:spacing w:line="276" w:lineRule="auto"/>
        <w:ind w:left="993" w:hanging="284"/>
        <w:contextualSpacing/>
        <w:jc w:val="both"/>
        <w:rPr>
          <w:rFonts w:ascii="Arial" w:eastAsia="Arial" w:hAnsi="Arial" w:cs="Arial"/>
          <w:i/>
          <w:sz w:val="18"/>
          <w:szCs w:val="18"/>
          <w:lang w:val="en-US"/>
        </w:rPr>
      </w:pPr>
      <w:r w:rsidRPr="006916B3">
        <w:rPr>
          <w:rFonts w:ascii="Arial" w:eastAsia="Arial" w:hAnsi="Arial" w:cs="Arial"/>
          <w:i/>
          <w:sz w:val="18"/>
          <w:szCs w:val="18"/>
          <w:lang w:val="en-US"/>
        </w:rPr>
        <w:t>The community will be presented with these options later in 2014 and the Council will provide a range of ways for community to have their say, including a call for submissions through a public exhibition process.</w:t>
      </w:r>
    </w:p>
    <w:p w14:paraId="0046CCB5" w14:textId="77777777" w:rsidR="00564CB5" w:rsidRPr="006916B3" w:rsidRDefault="00564CB5" w:rsidP="006916B3">
      <w:pPr>
        <w:pStyle w:val="ListParagraph"/>
        <w:numPr>
          <w:ilvl w:val="0"/>
          <w:numId w:val="107"/>
        </w:numPr>
        <w:tabs>
          <w:tab w:val="left" w:pos="8789"/>
        </w:tabs>
        <w:spacing w:line="276" w:lineRule="auto"/>
        <w:ind w:left="993" w:hanging="284"/>
        <w:contextualSpacing/>
        <w:jc w:val="both"/>
        <w:rPr>
          <w:rFonts w:ascii="Arial" w:eastAsia="Arial" w:hAnsi="Arial" w:cs="Arial"/>
          <w:i/>
          <w:sz w:val="18"/>
          <w:szCs w:val="18"/>
          <w:lang w:val="en-US"/>
        </w:rPr>
      </w:pPr>
      <w:r w:rsidRPr="006916B3">
        <w:rPr>
          <w:rFonts w:ascii="Arial" w:eastAsia="Arial" w:hAnsi="Arial" w:cs="Arial"/>
          <w:i/>
          <w:sz w:val="18"/>
          <w:szCs w:val="18"/>
          <w:lang w:val="en-US"/>
        </w:rPr>
        <w:t>The elected Council will then decide on a preferred option.</w:t>
      </w:r>
    </w:p>
    <w:p w14:paraId="3727F8F9" w14:textId="28200D8E" w:rsidR="00564CB5" w:rsidRPr="006916B3" w:rsidRDefault="00564CB5" w:rsidP="006916B3">
      <w:pPr>
        <w:pStyle w:val="ListParagraph"/>
        <w:numPr>
          <w:ilvl w:val="0"/>
          <w:numId w:val="107"/>
        </w:numPr>
        <w:tabs>
          <w:tab w:val="left" w:pos="8789"/>
        </w:tabs>
        <w:spacing w:line="276" w:lineRule="auto"/>
        <w:ind w:left="993" w:hanging="284"/>
        <w:contextualSpacing/>
        <w:jc w:val="both"/>
        <w:rPr>
          <w:rFonts w:ascii="Arial" w:eastAsia="Arial" w:hAnsi="Arial" w:cs="Arial"/>
          <w:i/>
          <w:sz w:val="18"/>
          <w:szCs w:val="18"/>
          <w:lang w:val="en-US"/>
        </w:rPr>
      </w:pPr>
      <w:r w:rsidRPr="006916B3">
        <w:rPr>
          <w:rFonts w:ascii="Arial" w:eastAsia="Arial" w:hAnsi="Arial" w:cs="Arial"/>
          <w:i/>
          <w:sz w:val="18"/>
          <w:szCs w:val="18"/>
          <w:lang w:val="en-US"/>
        </w:rPr>
        <w:t>If the preferred option is to apply for a special variation to rates, the council will submit its application in February 2015 to the Independent Pricing and Regulatory Tribunal.</w:t>
      </w:r>
      <w:r w:rsidR="00393AC0">
        <w:rPr>
          <w:rFonts w:ascii="Arial" w:eastAsia="Arial" w:hAnsi="Arial" w:cs="Arial"/>
          <w:i/>
          <w:sz w:val="18"/>
          <w:szCs w:val="18"/>
          <w:lang w:val="en-US"/>
        </w:rPr>
        <w:t>”</w:t>
      </w:r>
    </w:p>
    <w:p w14:paraId="73628FA2" w14:textId="77777777" w:rsidR="00393AC0" w:rsidRDefault="008D3F47" w:rsidP="008D3F47">
      <w:pPr>
        <w:autoSpaceDE w:val="0"/>
        <w:autoSpaceDN w:val="0"/>
        <w:adjustRightInd w:val="0"/>
        <w:spacing w:line="276" w:lineRule="auto"/>
        <w:contextualSpacing/>
        <w:jc w:val="both"/>
        <w:rPr>
          <w:rFonts w:ascii="Arial" w:hAnsi="Arial" w:cs="Arial"/>
          <w:bCs/>
          <w:sz w:val="18"/>
          <w:szCs w:val="18"/>
        </w:rPr>
      </w:pPr>
      <w:r w:rsidRPr="00393AC0">
        <w:rPr>
          <w:rFonts w:ascii="Arial" w:hAnsi="Arial" w:cs="Arial"/>
          <w:bCs/>
          <w:sz w:val="18"/>
          <w:szCs w:val="18"/>
        </w:rPr>
        <w:t xml:space="preserve">                                    </w:t>
      </w:r>
    </w:p>
    <w:p w14:paraId="24DB809A" w14:textId="272D1EA2" w:rsidR="00564CB5" w:rsidRPr="00393AC0" w:rsidRDefault="008D3F47" w:rsidP="00393AC0">
      <w:pPr>
        <w:autoSpaceDE w:val="0"/>
        <w:autoSpaceDN w:val="0"/>
        <w:adjustRightInd w:val="0"/>
        <w:spacing w:line="276" w:lineRule="auto"/>
        <w:ind w:left="2272" w:firstLine="284"/>
        <w:contextualSpacing/>
        <w:jc w:val="both"/>
        <w:rPr>
          <w:rFonts w:ascii="Arial" w:hAnsi="Arial" w:cs="Arial"/>
          <w:bCs/>
          <w:i/>
          <w:sz w:val="18"/>
          <w:szCs w:val="18"/>
        </w:rPr>
      </w:pPr>
      <w:r w:rsidRPr="00393AC0">
        <w:rPr>
          <w:rFonts w:ascii="Arial" w:hAnsi="Arial" w:cs="Arial"/>
          <w:bCs/>
          <w:sz w:val="18"/>
          <w:szCs w:val="18"/>
        </w:rPr>
        <w:t>(</w:t>
      </w:r>
      <w:r w:rsidRPr="00393AC0">
        <w:rPr>
          <w:rFonts w:ascii="Arial" w:hAnsi="Arial" w:cs="Arial"/>
          <w:bCs/>
          <w:i/>
          <w:sz w:val="18"/>
          <w:szCs w:val="18"/>
        </w:rPr>
        <w:t>2013-2017 Delivery Program and Operational Plan 2014-2015, page 24)</w:t>
      </w:r>
    </w:p>
    <w:p w14:paraId="5D116A06" w14:textId="77777777" w:rsidR="00AF797D" w:rsidRDefault="00AF797D" w:rsidP="0033380E">
      <w:pPr>
        <w:spacing w:line="276" w:lineRule="auto"/>
        <w:jc w:val="both"/>
        <w:rPr>
          <w:rFonts w:ascii="Arial" w:hAnsi="Arial" w:cs="Arial"/>
          <w:bCs/>
          <w:sz w:val="20"/>
          <w:szCs w:val="20"/>
        </w:rPr>
      </w:pPr>
    </w:p>
    <w:p w14:paraId="001D5EF2" w14:textId="025F5F6A" w:rsidR="00AF797D" w:rsidRPr="00AA4ECB" w:rsidRDefault="00AF797D" w:rsidP="0033380E">
      <w:pPr>
        <w:pStyle w:val="ListParagraph"/>
        <w:numPr>
          <w:ilvl w:val="0"/>
          <w:numId w:val="58"/>
        </w:numPr>
        <w:spacing w:line="276" w:lineRule="auto"/>
        <w:ind w:left="284" w:hanging="284"/>
        <w:jc w:val="both"/>
        <w:rPr>
          <w:rFonts w:ascii="Arial" w:hAnsi="Arial" w:cs="Arial"/>
          <w:b/>
          <w:bCs/>
          <w:i/>
          <w:sz w:val="20"/>
          <w:szCs w:val="20"/>
        </w:rPr>
      </w:pPr>
      <w:r w:rsidRPr="00AA4ECB">
        <w:rPr>
          <w:rFonts w:ascii="Arial" w:hAnsi="Arial" w:cs="Arial"/>
          <w:b/>
          <w:bCs/>
          <w:i/>
          <w:sz w:val="20"/>
          <w:szCs w:val="20"/>
        </w:rPr>
        <w:t>Implement</w:t>
      </w:r>
      <w:r w:rsidR="0078355B" w:rsidRPr="00AA4ECB">
        <w:rPr>
          <w:rFonts w:ascii="Arial" w:hAnsi="Arial" w:cs="Arial"/>
          <w:b/>
          <w:bCs/>
          <w:i/>
          <w:sz w:val="20"/>
          <w:szCs w:val="20"/>
        </w:rPr>
        <w:t>ing</w:t>
      </w:r>
      <w:r w:rsidRPr="00AA4ECB">
        <w:rPr>
          <w:rFonts w:ascii="Arial" w:hAnsi="Arial" w:cs="Arial"/>
          <w:b/>
          <w:bCs/>
          <w:i/>
          <w:sz w:val="20"/>
          <w:szCs w:val="20"/>
        </w:rPr>
        <w:t xml:space="preserve"> Council’s Six Point Financial Strategy</w:t>
      </w:r>
    </w:p>
    <w:p w14:paraId="7D1123F6" w14:textId="2996F4D0" w:rsidR="00AF797D" w:rsidRPr="00CB2B9B" w:rsidRDefault="00340033" w:rsidP="002C5D34">
      <w:pPr>
        <w:pStyle w:val="ListParagraph"/>
        <w:spacing w:line="276" w:lineRule="auto"/>
        <w:ind w:left="0"/>
        <w:jc w:val="both"/>
        <w:rPr>
          <w:rFonts w:ascii="Arial" w:hAnsi="Arial" w:cs="Arial"/>
          <w:bCs/>
          <w:sz w:val="20"/>
          <w:szCs w:val="20"/>
        </w:rPr>
      </w:pPr>
      <w:r>
        <w:rPr>
          <w:rFonts w:ascii="Arial" w:hAnsi="Arial" w:cs="Arial"/>
          <w:bCs/>
          <w:sz w:val="20"/>
          <w:szCs w:val="20"/>
        </w:rPr>
        <w:t xml:space="preserve">Another key step in reaching the decision to apply for this special variation has been the fact that it forms an integral </w:t>
      </w:r>
      <w:r w:rsidR="007936AC">
        <w:rPr>
          <w:rFonts w:ascii="Arial" w:hAnsi="Arial" w:cs="Arial"/>
          <w:bCs/>
          <w:sz w:val="20"/>
          <w:szCs w:val="20"/>
        </w:rPr>
        <w:t xml:space="preserve">component of the Council’s </w:t>
      </w:r>
      <w:r w:rsidR="00AF797D" w:rsidRPr="00465FE9">
        <w:rPr>
          <w:rFonts w:ascii="Arial" w:hAnsi="Arial" w:cs="Arial"/>
          <w:bCs/>
          <w:i/>
          <w:sz w:val="20"/>
          <w:szCs w:val="20"/>
        </w:rPr>
        <w:t>Six Strategies for Financial Sustainability</w:t>
      </w:r>
      <w:r w:rsidR="00AF797D" w:rsidRPr="00CB2B9B">
        <w:rPr>
          <w:rFonts w:ascii="Arial" w:hAnsi="Arial" w:cs="Arial"/>
          <w:bCs/>
          <w:sz w:val="20"/>
          <w:szCs w:val="20"/>
        </w:rPr>
        <w:t xml:space="preserve"> (also referred to as the </w:t>
      </w:r>
      <w:r w:rsidR="00AF797D" w:rsidRPr="00465FE9">
        <w:rPr>
          <w:rFonts w:ascii="Arial" w:hAnsi="Arial" w:cs="Arial"/>
          <w:bCs/>
          <w:i/>
          <w:sz w:val="20"/>
          <w:szCs w:val="20"/>
        </w:rPr>
        <w:t>Six Point Strategy</w:t>
      </w:r>
      <w:r w:rsidR="00AF797D" w:rsidRPr="00CB2B9B">
        <w:rPr>
          <w:rFonts w:ascii="Arial" w:hAnsi="Arial" w:cs="Arial"/>
          <w:bCs/>
          <w:sz w:val="20"/>
          <w:szCs w:val="20"/>
        </w:rPr>
        <w:t>)</w:t>
      </w:r>
      <w:r w:rsidR="00FA7BDD">
        <w:rPr>
          <w:rFonts w:ascii="Arial" w:hAnsi="Arial" w:cs="Arial"/>
          <w:bCs/>
          <w:sz w:val="20"/>
          <w:szCs w:val="20"/>
        </w:rPr>
        <w:t xml:space="preserve">. These strategies were </w:t>
      </w:r>
      <w:r w:rsidR="007936AC">
        <w:rPr>
          <w:rFonts w:ascii="Arial" w:hAnsi="Arial" w:cs="Arial"/>
          <w:bCs/>
          <w:sz w:val="20"/>
          <w:szCs w:val="20"/>
        </w:rPr>
        <w:t xml:space="preserve">developed in </w:t>
      </w:r>
      <w:r w:rsidR="00AF797D">
        <w:rPr>
          <w:rFonts w:ascii="Arial" w:hAnsi="Arial" w:cs="Arial"/>
          <w:bCs/>
          <w:sz w:val="20"/>
          <w:szCs w:val="20"/>
        </w:rPr>
        <w:t>consultation with community</w:t>
      </w:r>
      <w:r w:rsidR="00AF797D" w:rsidRPr="00CB2B9B">
        <w:rPr>
          <w:rFonts w:ascii="Arial" w:hAnsi="Arial" w:cs="Arial"/>
          <w:bCs/>
          <w:sz w:val="20"/>
          <w:szCs w:val="20"/>
        </w:rPr>
        <w:t xml:space="preserve">, as part of </w:t>
      </w:r>
      <w:r w:rsidR="007936AC">
        <w:rPr>
          <w:rFonts w:ascii="Arial" w:hAnsi="Arial" w:cs="Arial"/>
          <w:bCs/>
          <w:sz w:val="20"/>
          <w:szCs w:val="20"/>
        </w:rPr>
        <w:t xml:space="preserve">the update of the Community Strategic </w:t>
      </w:r>
      <w:r w:rsidR="00843A7A">
        <w:rPr>
          <w:rFonts w:ascii="Arial" w:hAnsi="Arial" w:cs="Arial"/>
          <w:bCs/>
          <w:sz w:val="20"/>
          <w:szCs w:val="20"/>
        </w:rPr>
        <w:t>P</w:t>
      </w:r>
      <w:r w:rsidR="007936AC">
        <w:rPr>
          <w:rFonts w:ascii="Arial" w:hAnsi="Arial" w:cs="Arial"/>
          <w:bCs/>
          <w:sz w:val="20"/>
          <w:szCs w:val="20"/>
        </w:rPr>
        <w:t xml:space="preserve">lan and </w:t>
      </w:r>
      <w:r w:rsidR="00FA7BDD">
        <w:rPr>
          <w:rFonts w:ascii="Arial" w:hAnsi="Arial" w:cs="Arial"/>
          <w:bCs/>
          <w:sz w:val="20"/>
          <w:szCs w:val="20"/>
        </w:rPr>
        <w:t xml:space="preserve">the Council’s 10 year </w:t>
      </w:r>
      <w:r w:rsidR="007936AC">
        <w:rPr>
          <w:rFonts w:ascii="Arial" w:hAnsi="Arial" w:cs="Arial"/>
          <w:bCs/>
          <w:sz w:val="20"/>
          <w:szCs w:val="20"/>
        </w:rPr>
        <w:t xml:space="preserve">Resourcing </w:t>
      </w:r>
      <w:r w:rsidR="00FA7BDD">
        <w:rPr>
          <w:rFonts w:ascii="Arial" w:hAnsi="Arial" w:cs="Arial"/>
          <w:bCs/>
          <w:sz w:val="20"/>
          <w:szCs w:val="20"/>
        </w:rPr>
        <w:t>S</w:t>
      </w:r>
      <w:r w:rsidR="007936AC">
        <w:rPr>
          <w:rFonts w:ascii="Arial" w:hAnsi="Arial" w:cs="Arial"/>
          <w:bCs/>
          <w:sz w:val="20"/>
          <w:szCs w:val="20"/>
        </w:rPr>
        <w:t>trategy in 2012/13</w:t>
      </w:r>
      <w:r w:rsidR="00AF797D" w:rsidRPr="00CB2B9B">
        <w:rPr>
          <w:rFonts w:ascii="Arial" w:hAnsi="Arial" w:cs="Arial"/>
          <w:bCs/>
          <w:sz w:val="20"/>
          <w:szCs w:val="20"/>
        </w:rPr>
        <w:t xml:space="preserve">. </w:t>
      </w:r>
    </w:p>
    <w:p w14:paraId="5E111587" w14:textId="77777777" w:rsidR="00AF797D" w:rsidRDefault="00AF797D" w:rsidP="00777E46">
      <w:pPr>
        <w:ind w:left="284"/>
        <w:rPr>
          <w:rFonts w:ascii="Arial" w:hAnsi="Arial" w:cs="Arial"/>
          <w:b/>
          <w:bCs/>
          <w:i/>
          <w:sz w:val="20"/>
          <w:szCs w:val="20"/>
        </w:rPr>
      </w:pPr>
    </w:p>
    <w:p w14:paraId="6FB5DD2A" w14:textId="7699B65B" w:rsidR="00FA7BDD" w:rsidRDefault="00FA7BDD" w:rsidP="00FA7BDD">
      <w:pPr>
        <w:pStyle w:val="ListParagraph"/>
        <w:spacing w:line="276" w:lineRule="auto"/>
        <w:ind w:left="0"/>
        <w:jc w:val="both"/>
        <w:rPr>
          <w:rFonts w:ascii="Arial" w:hAnsi="Arial" w:cs="Arial"/>
          <w:bCs/>
          <w:i/>
          <w:sz w:val="20"/>
          <w:szCs w:val="20"/>
        </w:rPr>
      </w:pPr>
      <w:r>
        <w:rPr>
          <w:rFonts w:ascii="Arial" w:hAnsi="Arial" w:cs="Arial"/>
          <w:bCs/>
          <w:sz w:val="20"/>
          <w:szCs w:val="20"/>
        </w:rPr>
        <w:t>As shown in the diagram below, t</w:t>
      </w:r>
      <w:r w:rsidRPr="00CB2B9B">
        <w:rPr>
          <w:rFonts w:ascii="Arial" w:hAnsi="Arial" w:cs="Arial"/>
          <w:bCs/>
          <w:sz w:val="20"/>
          <w:szCs w:val="20"/>
        </w:rPr>
        <w:t xml:space="preserve">his application forms part of </w:t>
      </w:r>
      <w:r w:rsidRPr="00A92E29">
        <w:rPr>
          <w:rFonts w:ascii="Arial" w:hAnsi="Arial" w:cs="Arial"/>
          <w:b/>
          <w:bCs/>
          <w:i/>
          <w:sz w:val="20"/>
          <w:szCs w:val="20"/>
        </w:rPr>
        <w:t>Strategy 4: Increase Income</w:t>
      </w:r>
      <w:r w:rsidRPr="00CB2B9B">
        <w:rPr>
          <w:rFonts w:ascii="Arial" w:hAnsi="Arial" w:cs="Arial"/>
          <w:bCs/>
          <w:sz w:val="20"/>
          <w:szCs w:val="20"/>
        </w:rPr>
        <w:t xml:space="preserve"> and </w:t>
      </w:r>
      <w:r w:rsidRPr="00A92E29">
        <w:rPr>
          <w:rFonts w:ascii="Arial" w:hAnsi="Arial" w:cs="Arial"/>
          <w:b/>
          <w:bCs/>
          <w:i/>
          <w:sz w:val="20"/>
          <w:szCs w:val="20"/>
        </w:rPr>
        <w:t>Strategy 5 Review and Adjust Services</w:t>
      </w:r>
      <w:r w:rsidRPr="00CB2B9B">
        <w:rPr>
          <w:rFonts w:ascii="Arial" w:hAnsi="Arial" w:cs="Arial"/>
          <w:bCs/>
          <w:sz w:val="20"/>
          <w:szCs w:val="20"/>
        </w:rPr>
        <w:t xml:space="preserve"> (re-balance service levels</w:t>
      </w:r>
      <w:r>
        <w:rPr>
          <w:rFonts w:ascii="Arial" w:hAnsi="Arial" w:cs="Arial"/>
          <w:bCs/>
          <w:sz w:val="20"/>
          <w:szCs w:val="20"/>
        </w:rPr>
        <w:t xml:space="preserve"> in consultation with community</w:t>
      </w:r>
      <w:r w:rsidRPr="00CB2B9B">
        <w:rPr>
          <w:rFonts w:ascii="Arial" w:hAnsi="Arial" w:cs="Arial"/>
          <w:bCs/>
          <w:sz w:val="20"/>
          <w:szCs w:val="20"/>
        </w:rPr>
        <w:t xml:space="preserve">). It is the second part of a comprehensive two-staged approach developed for increasing revenue, through two special rate variations, phased in over time to take into account timing of major rating structure reform, community views on acceptable and affordable levels of service and </w:t>
      </w:r>
      <w:r w:rsidR="00874B99">
        <w:rPr>
          <w:rFonts w:ascii="Arial" w:hAnsi="Arial" w:cs="Arial"/>
          <w:bCs/>
          <w:sz w:val="20"/>
          <w:szCs w:val="20"/>
        </w:rPr>
        <w:t xml:space="preserve">the </w:t>
      </w:r>
      <w:r w:rsidRPr="00CB2B9B">
        <w:rPr>
          <w:rFonts w:ascii="Arial" w:hAnsi="Arial" w:cs="Arial"/>
          <w:bCs/>
          <w:sz w:val="20"/>
          <w:szCs w:val="20"/>
        </w:rPr>
        <w:t xml:space="preserve">capacity of residents to pay. The first stage was achieved in 2013 with community endorsement for continuing an existing special variation for infrastructure following a comprehensive community engagement and public exhibition process. The second stage (this application), included re-engaging the community in 2014 on options for </w:t>
      </w:r>
      <w:r w:rsidRPr="001054AC">
        <w:rPr>
          <w:rFonts w:ascii="Arial" w:hAnsi="Arial" w:cs="Arial"/>
          <w:bCs/>
          <w:i/>
          <w:sz w:val="20"/>
          <w:szCs w:val="20"/>
        </w:rPr>
        <w:t>Resourcing Our Future</w:t>
      </w:r>
      <w:r>
        <w:rPr>
          <w:rFonts w:ascii="Arial" w:hAnsi="Arial" w:cs="Arial"/>
          <w:bCs/>
          <w:i/>
          <w:sz w:val="20"/>
          <w:szCs w:val="20"/>
        </w:rPr>
        <w:t>.</w:t>
      </w:r>
    </w:p>
    <w:p w14:paraId="01F5BDAB" w14:textId="77777777" w:rsidR="00874B99" w:rsidRDefault="00874B99" w:rsidP="00FA7BDD">
      <w:pPr>
        <w:pStyle w:val="ListParagraph"/>
        <w:spacing w:line="276" w:lineRule="auto"/>
        <w:ind w:left="0"/>
        <w:jc w:val="both"/>
        <w:rPr>
          <w:rFonts w:ascii="Arial" w:hAnsi="Arial" w:cs="Arial"/>
          <w:bCs/>
          <w:i/>
          <w:sz w:val="20"/>
          <w:szCs w:val="20"/>
        </w:rPr>
      </w:pPr>
    </w:p>
    <w:p w14:paraId="4B79FF4B" w14:textId="1C11311F" w:rsidR="00874B99" w:rsidRPr="00874B99" w:rsidRDefault="00874B99" w:rsidP="00FA7BDD">
      <w:pPr>
        <w:pStyle w:val="ListParagraph"/>
        <w:spacing w:line="276" w:lineRule="auto"/>
        <w:ind w:left="0"/>
        <w:jc w:val="both"/>
        <w:rPr>
          <w:rFonts w:ascii="Arial" w:hAnsi="Arial" w:cs="Arial"/>
          <w:bCs/>
          <w:sz w:val="20"/>
          <w:szCs w:val="20"/>
        </w:rPr>
      </w:pPr>
      <w:r w:rsidRPr="00874B99">
        <w:rPr>
          <w:rFonts w:ascii="Arial" w:hAnsi="Arial" w:cs="Arial"/>
          <w:b/>
          <w:bCs/>
          <w:sz w:val="20"/>
          <w:szCs w:val="20"/>
        </w:rPr>
        <w:t>Section 3.1.3</w:t>
      </w:r>
      <w:r w:rsidRPr="00874B99">
        <w:rPr>
          <w:rFonts w:ascii="Arial" w:hAnsi="Arial" w:cs="Arial"/>
          <w:bCs/>
          <w:sz w:val="20"/>
          <w:szCs w:val="20"/>
        </w:rPr>
        <w:t xml:space="preserve"> provides a</w:t>
      </w:r>
      <w:r w:rsidR="00543AD3">
        <w:rPr>
          <w:rFonts w:ascii="Arial" w:hAnsi="Arial" w:cs="Arial"/>
          <w:bCs/>
          <w:sz w:val="20"/>
          <w:szCs w:val="20"/>
        </w:rPr>
        <w:t>n</w:t>
      </w:r>
      <w:r w:rsidRPr="00874B99">
        <w:rPr>
          <w:rFonts w:ascii="Arial" w:hAnsi="Arial" w:cs="Arial"/>
          <w:bCs/>
          <w:sz w:val="20"/>
          <w:szCs w:val="20"/>
        </w:rPr>
        <w:t xml:space="preserve"> overview of each of the six strategies</w:t>
      </w:r>
      <w:r>
        <w:rPr>
          <w:rFonts w:ascii="Arial" w:hAnsi="Arial" w:cs="Arial"/>
          <w:bCs/>
          <w:sz w:val="20"/>
          <w:szCs w:val="20"/>
        </w:rPr>
        <w:t xml:space="preserve"> shown below</w:t>
      </w:r>
      <w:r w:rsidRPr="00874B99">
        <w:rPr>
          <w:rFonts w:ascii="Arial" w:hAnsi="Arial" w:cs="Arial"/>
          <w:bCs/>
          <w:sz w:val="20"/>
          <w:szCs w:val="20"/>
        </w:rPr>
        <w:t>.</w:t>
      </w:r>
    </w:p>
    <w:p w14:paraId="605F379C" w14:textId="77777777" w:rsidR="00D10EBD" w:rsidRDefault="00D10EBD">
      <w:r>
        <w:br w:type="page"/>
      </w:r>
    </w:p>
    <w:p w14:paraId="6A8CE490" w14:textId="568E539E" w:rsidR="00D10EBD" w:rsidRDefault="00D10EBD">
      <w:pPr>
        <w:rPr>
          <w:rFonts w:ascii="Arial" w:hAnsi="Arial" w:cs="Arial"/>
          <w:b/>
          <w:bCs/>
          <w:i/>
          <w:sz w:val="20"/>
          <w:szCs w:val="20"/>
        </w:rPr>
      </w:pPr>
    </w:p>
    <w:p w14:paraId="3A295ACE" w14:textId="77777777" w:rsidR="00D10EBD" w:rsidRDefault="00D10EBD" w:rsidP="00874B99">
      <w:pPr>
        <w:rPr>
          <w:rFonts w:ascii="Arial" w:hAnsi="Arial" w:cs="Arial"/>
          <w:b/>
          <w:bCs/>
          <w:i/>
          <w:sz w:val="20"/>
          <w:szCs w:val="20"/>
        </w:rPr>
      </w:pPr>
    </w:p>
    <w:p w14:paraId="5F8D594A" w14:textId="77777777" w:rsidR="00D10EBD" w:rsidRDefault="00D10EBD" w:rsidP="00874B99">
      <w:pPr>
        <w:rPr>
          <w:rFonts w:ascii="Arial" w:hAnsi="Arial" w:cs="Arial"/>
          <w:b/>
          <w:bCs/>
          <w:i/>
          <w:sz w:val="20"/>
          <w:szCs w:val="20"/>
        </w:rPr>
      </w:pPr>
    </w:p>
    <w:p w14:paraId="4CA75E86" w14:textId="77777777" w:rsidR="00D10EBD" w:rsidRDefault="00D10EBD" w:rsidP="00874B99">
      <w:pPr>
        <w:rPr>
          <w:rFonts w:ascii="Arial" w:hAnsi="Arial" w:cs="Arial"/>
          <w:b/>
          <w:bCs/>
          <w:i/>
          <w:sz w:val="20"/>
          <w:szCs w:val="20"/>
        </w:rPr>
      </w:pPr>
    </w:p>
    <w:p w14:paraId="4BE21112" w14:textId="2D2AB1B0" w:rsidR="00D10EBD" w:rsidRDefault="00D10EBD">
      <w:pPr>
        <w:rPr>
          <w:rFonts w:ascii="Arial" w:hAnsi="Arial" w:cs="Arial"/>
          <w:b/>
          <w:bCs/>
          <w:i/>
          <w:sz w:val="20"/>
          <w:szCs w:val="20"/>
        </w:rPr>
      </w:pPr>
      <w:r>
        <w:rPr>
          <w:noProof/>
        </w:rPr>
        <w:drawing>
          <wp:anchor distT="0" distB="0" distL="114300" distR="114300" simplePos="0" relativeHeight="251887616" behindDoc="1" locked="0" layoutInCell="1" allowOverlap="1" wp14:anchorId="1325BB99" wp14:editId="19E9B6A3">
            <wp:simplePos x="0" y="0"/>
            <wp:positionH relativeFrom="column">
              <wp:posOffset>-391795</wp:posOffset>
            </wp:positionH>
            <wp:positionV relativeFrom="paragraph">
              <wp:posOffset>357505</wp:posOffset>
            </wp:positionV>
            <wp:extent cx="6543040" cy="6881495"/>
            <wp:effectExtent l="0" t="0" r="0" b="0"/>
            <wp:wrapTight wrapText="bothSides">
              <wp:wrapPolygon edited="0">
                <wp:start x="0" y="0"/>
                <wp:lineTo x="0" y="21526"/>
                <wp:lineTo x="21508" y="21526"/>
                <wp:lineTo x="21508"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6-Point-Plan-Blue-GreenVFinal 25 Feb 2015.jpg"/>
                    <pic:cNvPicPr/>
                  </pic:nvPicPr>
                  <pic:blipFill>
                    <a:blip r:embed="rId27" cstate="email">
                      <a:extLst>
                        <a:ext uri="{28A0092B-C50C-407E-A947-70E740481C1C}">
                          <a14:useLocalDpi xmlns:a14="http://schemas.microsoft.com/office/drawing/2010/main"/>
                        </a:ext>
                      </a:extLst>
                    </a:blip>
                    <a:stretch>
                      <a:fillRect/>
                    </a:stretch>
                  </pic:blipFill>
                  <pic:spPr>
                    <a:xfrm>
                      <a:off x="0" y="0"/>
                      <a:ext cx="6543040" cy="68814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i/>
          <w:sz w:val="20"/>
          <w:szCs w:val="20"/>
        </w:rPr>
        <w:br w:type="page"/>
      </w:r>
    </w:p>
    <w:p w14:paraId="56542527" w14:textId="77777777" w:rsidR="00D10EBD" w:rsidRDefault="00D10EBD" w:rsidP="00874B99">
      <w:pPr>
        <w:rPr>
          <w:rFonts w:ascii="Arial" w:hAnsi="Arial" w:cs="Arial"/>
          <w:b/>
          <w:bCs/>
          <w:i/>
          <w:sz w:val="20"/>
          <w:szCs w:val="20"/>
        </w:rPr>
      </w:pPr>
    </w:p>
    <w:p w14:paraId="7CF99B70" w14:textId="6065E13E" w:rsidR="00843A7A" w:rsidRDefault="00843A7A" w:rsidP="00874B99">
      <w:pPr>
        <w:rPr>
          <w:rFonts w:ascii="Arial" w:hAnsi="Arial" w:cs="Arial"/>
          <w:b/>
          <w:bCs/>
          <w:i/>
          <w:sz w:val="20"/>
          <w:szCs w:val="20"/>
        </w:rPr>
      </w:pPr>
    </w:p>
    <w:p w14:paraId="690C2904" w14:textId="60695C4E" w:rsidR="00842BE2" w:rsidRPr="00874B99" w:rsidRDefault="00C747BB" w:rsidP="00114636">
      <w:pPr>
        <w:pStyle w:val="ListParagraph"/>
        <w:numPr>
          <w:ilvl w:val="0"/>
          <w:numId w:val="58"/>
        </w:numPr>
        <w:spacing w:line="276" w:lineRule="auto"/>
        <w:ind w:left="0" w:firstLine="0"/>
        <w:jc w:val="both"/>
        <w:rPr>
          <w:rFonts w:ascii="Arial" w:hAnsi="Arial" w:cs="Arial"/>
          <w:b/>
          <w:bCs/>
          <w:i/>
          <w:sz w:val="20"/>
          <w:szCs w:val="20"/>
        </w:rPr>
      </w:pPr>
      <w:r w:rsidRPr="00874B99">
        <w:rPr>
          <w:rFonts w:ascii="Arial" w:hAnsi="Arial" w:cs="Arial"/>
          <w:b/>
          <w:bCs/>
          <w:i/>
          <w:sz w:val="20"/>
          <w:szCs w:val="20"/>
        </w:rPr>
        <w:t>Consideration of TCorp Fin</w:t>
      </w:r>
      <w:r w:rsidR="00874B99">
        <w:rPr>
          <w:rFonts w:ascii="Arial" w:hAnsi="Arial" w:cs="Arial"/>
          <w:b/>
          <w:bCs/>
          <w:i/>
          <w:sz w:val="20"/>
          <w:szCs w:val="20"/>
        </w:rPr>
        <w:t>ancial Assessment of BMCC</w:t>
      </w:r>
      <w:r w:rsidR="00842BE2" w:rsidRPr="00874B99">
        <w:rPr>
          <w:rFonts w:ascii="Arial" w:hAnsi="Arial" w:cs="Arial"/>
          <w:b/>
          <w:bCs/>
          <w:i/>
          <w:sz w:val="20"/>
          <w:szCs w:val="20"/>
        </w:rPr>
        <w:t xml:space="preserve"> </w:t>
      </w:r>
    </w:p>
    <w:p w14:paraId="65A56BDF" w14:textId="1ADEBB52" w:rsidR="000B7D12" w:rsidRDefault="008361FC" w:rsidP="002C5D34">
      <w:pPr>
        <w:pStyle w:val="ListParagraph"/>
        <w:spacing w:line="276" w:lineRule="auto"/>
        <w:ind w:left="0"/>
        <w:jc w:val="both"/>
        <w:rPr>
          <w:rFonts w:ascii="Arial" w:hAnsi="Arial" w:cs="Arial"/>
          <w:bCs/>
          <w:sz w:val="20"/>
          <w:szCs w:val="20"/>
        </w:rPr>
      </w:pPr>
      <w:r w:rsidRPr="00842BE2">
        <w:rPr>
          <w:rFonts w:ascii="Arial" w:hAnsi="Arial" w:cs="Arial"/>
          <w:bCs/>
          <w:sz w:val="20"/>
          <w:szCs w:val="20"/>
        </w:rPr>
        <w:t xml:space="preserve">The underfunding of required expenditure on asset renewal and maintenance </w:t>
      </w:r>
      <w:r w:rsidR="00033729">
        <w:rPr>
          <w:rFonts w:ascii="Arial" w:hAnsi="Arial" w:cs="Arial"/>
          <w:bCs/>
          <w:sz w:val="20"/>
          <w:szCs w:val="20"/>
        </w:rPr>
        <w:t>was</w:t>
      </w:r>
      <w:r w:rsidRPr="00842BE2">
        <w:rPr>
          <w:rFonts w:ascii="Arial" w:hAnsi="Arial" w:cs="Arial"/>
          <w:bCs/>
          <w:sz w:val="20"/>
          <w:szCs w:val="20"/>
        </w:rPr>
        <w:t xml:space="preserve">  confirmed by TCorp in their 27 March 2013 </w:t>
      </w:r>
      <w:r w:rsidRPr="00842BE2">
        <w:rPr>
          <w:rFonts w:ascii="Arial" w:hAnsi="Arial" w:cs="Arial"/>
          <w:bCs/>
          <w:i/>
          <w:sz w:val="20"/>
          <w:szCs w:val="20"/>
        </w:rPr>
        <w:t>Financial Assessment and Benchmarking Report</w:t>
      </w:r>
      <w:r w:rsidRPr="00842BE2">
        <w:rPr>
          <w:rFonts w:ascii="Arial" w:hAnsi="Arial" w:cs="Arial"/>
          <w:bCs/>
          <w:sz w:val="20"/>
          <w:szCs w:val="20"/>
        </w:rPr>
        <w:t xml:space="preserve"> on Blue Mountains City Council (see </w:t>
      </w:r>
      <w:r w:rsidRPr="001F0B32">
        <w:rPr>
          <w:rFonts w:ascii="Arial" w:hAnsi="Arial" w:cs="Arial"/>
          <w:b/>
          <w:bCs/>
          <w:sz w:val="20"/>
          <w:szCs w:val="20"/>
        </w:rPr>
        <w:t>Attachment 4</w:t>
      </w:r>
      <w:r w:rsidRPr="005B4410">
        <w:rPr>
          <w:rFonts w:ascii="Arial" w:hAnsi="Arial" w:cs="Arial"/>
          <w:bCs/>
          <w:sz w:val="20"/>
          <w:szCs w:val="20"/>
        </w:rPr>
        <w:t>),</w:t>
      </w:r>
      <w:r w:rsidRPr="00842BE2">
        <w:rPr>
          <w:rFonts w:ascii="Arial" w:hAnsi="Arial" w:cs="Arial"/>
          <w:bCs/>
          <w:sz w:val="20"/>
          <w:szCs w:val="20"/>
        </w:rPr>
        <w:t xml:space="preserve"> where they stated in their key observations on the Council’s </w:t>
      </w:r>
      <w:r w:rsidRPr="000B7D12">
        <w:rPr>
          <w:rFonts w:ascii="Arial" w:hAnsi="Arial" w:cs="Arial"/>
          <w:bCs/>
          <w:sz w:val="20"/>
          <w:szCs w:val="20"/>
        </w:rPr>
        <w:t>10 year base case forecast for its General Fund</w:t>
      </w:r>
      <w:r w:rsidRPr="00842BE2">
        <w:rPr>
          <w:rFonts w:ascii="Arial" w:hAnsi="Arial" w:cs="Arial"/>
          <w:bCs/>
          <w:sz w:val="20"/>
          <w:szCs w:val="20"/>
        </w:rPr>
        <w:t xml:space="preserve"> that:</w:t>
      </w:r>
      <w:r w:rsidR="000B7D12">
        <w:rPr>
          <w:rFonts w:ascii="Arial" w:hAnsi="Arial" w:cs="Arial"/>
          <w:bCs/>
          <w:sz w:val="20"/>
          <w:szCs w:val="20"/>
        </w:rPr>
        <w:t xml:space="preserve"> </w:t>
      </w:r>
    </w:p>
    <w:p w14:paraId="26A02567" w14:textId="77777777" w:rsidR="00F5133B" w:rsidRDefault="00F5133B" w:rsidP="001F0B32">
      <w:pPr>
        <w:pStyle w:val="ListParagraph"/>
        <w:spacing w:line="276" w:lineRule="auto"/>
        <w:ind w:left="0"/>
        <w:jc w:val="both"/>
        <w:rPr>
          <w:rFonts w:ascii="Arial" w:hAnsi="Arial" w:cs="Arial"/>
          <w:bCs/>
          <w:sz w:val="20"/>
          <w:szCs w:val="20"/>
        </w:rPr>
      </w:pPr>
    </w:p>
    <w:p w14:paraId="067D23C3" w14:textId="16282DF8" w:rsidR="008361FC" w:rsidRPr="008A5ECD" w:rsidRDefault="008361FC" w:rsidP="001F0B32">
      <w:pPr>
        <w:pStyle w:val="ListParagraph"/>
        <w:spacing w:line="276" w:lineRule="auto"/>
        <w:ind w:left="284"/>
        <w:jc w:val="both"/>
        <w:rPr>
          <w:rFonts w:ascii="Arial" w:hAnsi="Arial" w:cs="Arial"/>
          <w:bCs/>
          <w:i/>
          <w:sz w:val="20"/>
          <w:szCs w:val="20"/>
        </w:rPr>
      </w:pPr>
      <w:r w:rsidRPr="008A5ECD">
        <w:rPr>
          <w:rFonts w:ascii="Arial" w:hAnsi="Arial" w:cs="Arial"/>
          <w:bCs/>
          <w:i/>
          <w:sz w:val="20"/>
          <w:szCs w:val="20"/>
        </w:rPr>
        <w:t>“In the current LTFP, the forecast capital expenditure is significantly below the levels required to maintain an acceptable asset base because of insufficient funds. Net assets are forecast to decline over the forecast period indicating a deterioration in the Council’s asset base.” (TCorp, 2013:5)</w:t>
      </w:r>
    </w:p>
    <w:p w14:paraId="6DC4FF5E" w14:textId="77777777" w:rsidR="00033729" w:rsidRDefault="00033729" w:rsidP="001F0B32">
      <w:pPr>
        <w:spacing w:line="276" w:lineRule="auto"/>
        <w:jc w:val="both"/>
        <w:rPr>
          <w:rFonts w:ascii="Arial" w:hAnsi="Arial" w:cs="Arial"/>
          <w:bCs/>
          <w:sz w:val="20"/>
          <w:szCs w:val="20"/>
        </w:rPr>
      </w:pPr>
    </w:p>
    <w:p w14:paraId="14C515E8" w14:textId="77777777" w:rsidR="00842BE2" w:rsidRPr="00637F36" w:rsidRDefault="00842BE2" w:rsidP="001F0B32">
      <w:pPr>
        <w:spacing w:line="276" w:lineRule="auto"/>
        <w:jc w:val="both"/>
        <w:rPr>
          <w:rFonts w:ascii="Arial" w:hAnsi="Arial" w:cs="Arial"/>
          <w:bCs/>
          <w:sz w:val="20"/>
          <w:szCs w:val="20"/>
        </w:rPr>
      </w:pPr>
      <w:r w:rsidRPr="00637F36">
        <w:rPr>
          <w:rFonts w:ascii="Arial" w:hAnsi="Arial" w:cs="Arial"/>
          <w:bCs/>
          <w:sz w:val="20"/>
          <w:szCs w:val="20"/>
        </w:rPr>
        <w:t>T</w:t>
      </w:r>
      <w:r>
        <w:rPr>
          <w:rFonts w:ascii="Arial" w:hAnsi="Arial" w:cs="Arial"/>
          <w:bCs/>
          <w:sz w:val="20"/>
          <w:szCs w:val="20"/>
        </w:rPr>
        <w:t>C</w:t>
      </w:r>
      <w:r w:rsidRPr="00637F36">
        <w:rPr>
          <w:rFonts w:ascii="Arial" w:hAnsi="Arial" w:cs="Arial"/>
          <w:bCs/>
          <w:sz w:val="20"/>
          <w:szCs w:val="20"/>
        </w:rPr>
        <w:t>orp specifically highlighted the importance of the Council’s financial strategies for increasing revenue</w:t>
      </w:r>
      <w:r>
        <w:rPr>
          <w:rFonts w:ascii="Arial" w:hAnsi="Arial" w:cs="Arial"/>
          <w:bCs/>
          <w:sz w:val="20"/>
          <w:szCs w:val="20"/>
        </w:rPr>
        <w:t xml:space="preserve"> and restricting loan funding. </w:t>
      </w:r>
      <w:r w:rsidRPr="00637F36">
        <w:rPr>
          <w:rFonts w:ascii="Arial" w:hAnsi="Arial" w:cs="Arial"/>
          <w:bCs/>
          <w:sz w:val="20"/>
          <w:szCs w:val="20"/>
        </w:rPr>
        <w:t xml:space="preserve">They made the following comments in their report: </w:t>
      </w:r>
    </w:p>
    <w:p w14:paraId="67E6196E" w14:textId="77777777" w:rsidR="00842BE2" w:rsidRPr="00637F36" w:rsidRDefault="00842BE2" w:rsidP="001F0B32">
      <w:pPr>
        <w:spacing w:line="276" w:lineRule="auto"/>
        <w:rPr>
          <w:rFonts w:ascii="Arial" w:hAnsi="Arial" w:cs="Arial"/>
          <w:sz w:val="20"/>
          <w:szCs w:val="20"/>
        </w:rPr>
      </w:pPr>
    </w:p>
    <w:p w14:paraId="016A7AFD" w14:textId="09CA36CC" w:rsidR="00842BE2" w:rsidRDefault="00842BE2" w:rsidP="001F0B32">
      <w:pPr>
        <w:spacing w:line="276" w:lineRule="auto"/>
        <w:ind w:left="284"/>
        <w:rPr>
          <w:rFonts w:ascii="Arial" w:hAnsi="Arial" w:cs="Arial"/>
          <w:i/>
          <w:sz w:val="20"/>
          <w:szCs w:val="20"/>
        </w:rPr>
      </w:pPr>
      <w:r w:rsidRPr="00637F36">
        <w:rPr>
          <w:rFonts w:ascii="Arial" w:hAnsi="Arial" w:cs="Arial"/>
          <w:i/>
          <w:sz w:val="20"/>
          <w:szCs w:val="20"/>
        </w:rPr>
        <w:t>When analysing the financial capacity of the Council we believe Council will not be able to incorporate any further loan funding in addition to the already forecast loans</w:t>
      </w:r>
      <w:r w:rsidR="009B4CD3">
        <w:rPr>
          <w:rFonts w:ascii="Arial" w:hAnsi="Arial" w:cs="Arial"/>
          <w:i/>
          <w:sz w:val="20"/>
          <w:szCs w:val="20"/>
        </w:rPr>
        <w:t>….</w:t>
      </w:r>
    </w:p>
    <w:p w14:paraId="3E981937" w14:textId="3C295D36" w:rsidR="00842BE2" w:rsidRPr="00637F36" w:rsidRDefault="00842BE2" w:rsidP="001F0B32">
      <w:pPr>
        <w:spacing w:line="276" w:lineRule="auto"/>
        <w:ind w:left="284"/>
        <w:rPr>
          <w:rFonts w:ascii="Arial" w:hAnsi="Arial" w:cs="Arial"/>
          <w:i/>
          <w:sz w:val="20"/>
          <w:szCs w:val="20"/>
        </w:rPr>
      </w:pPr>
      <w:r w:rsidRPr="00637F36">
        <w:rPr>
          <w:rFonts w:ascii="Arial" w:hAnsi="Arial" w:cs="Arial"/>
          <w:i/>
          <w:sz w:val="20"/>
          <w:szCs w:val="20"/>
        </w:rPr>
        <w:t>Council to consider seeking extensions of the SRV [special rate variation] and Environmental Levy, which are critical to the Council’s debt repayment abilities</w:t>
      </w:r>
      <w:r w:rsidR="00785085">
        <w:rPr>
          <w:rFonts w:ascii="Arial" w:hAnsi="Arial" w:cs="Arial"/>
          <w:i/>
          <w:sz w:val="20"/>
          <w:szCs w:val="20"/>
        </w:rPr>
        <w:t xml:space="preserve"> </w:t>
      </w:r>
      <w:r w:rsidR="00F52D65">
        <w:rPr>
          <w:rFonts w:ascii="Arial" w:hAnsi="Arial" w:cs="Arial"/>
          <w:i/>
          <w:sz w:val="20"/>
          <w:szCs w:val="20"/>
        </w:rPr>
        <w:t>(TCorp, 2013:5)</w:t>
      </w:r>
      <w:r w:rsidRPr="00637F36">
        <w:rPr>
          <w:rFonts w:ascii="Arial" w:hAnsi="Arial" w:cs="Arial"/>
          <w:i/>
          <w:sz w:val="20"/>
          <w:szCs w:val="20"/>
        </w:rPr>
        <w:t>.</w:t>
      </w:r>
    </w:p>
    <w:p w14:paraId="02DDB9DC" w14:textId="77777777" w:rsidR="008361FC" w:rsidRPr="00CB2B9B" w:rsidRDefault="008361FC" w:rsidP="00114636">
      <w:pPr>
        <w:spacing w:line="276" w:lineRule="auto"/>
        <w:jc w:val="both"/>
        <w:rPr>
          <w:rFonts w:ascii="Arial" w:hAnsi="Arial" w:cs="Arial"/>
          <w:b/>
          <w:bCs/>
          <w:sz w:val="20"/>
          <w:szCs w:val="20"/>
        </w:rPr>
      </w:pPr>
    </w:p>
    <w:p w14:paraId="278C68DC" w14:textId="49E6578D" w:rsidR="00357724" w:rsidRPr="001F0B32" w:rsidRDefault="00357724" w:rsidP="00114636">
      <w:pPr>
        <w:pStyle w:val="ListParagraph"/>
        <w:numPr>
          <w:ilvl w:val="0"/>
          <w:numId w:val="58"/>
        </w:numPr>
        <w:spacing w:line="276" w:lineRule="auto"/>
        <w:ind w:left="284" w:hanging="284"/>
        <w:jc w:val="both"/>
        <w:rPr>
          <w:rFonts w:ascii="Arial" w:hAnsi="Arial" w:cs="Arial"/>
          <w:b/>
          <w:bCs/>
          <w:sz w:val="20"/>
          <w:szCs w:val="20"/>
        </w:rPr>
      </w:pPr>
      <w:r w:rsidRPr="001F0B32">
        <w:rPr>
          <w:rFonts w:ascii="Arial" w:hAnsi="Arial" w:cs="Arial"/>
          <w:b/>
          <w:bCs/>
          <w:i/>
          <w:sz w:val="20"/>
          <w:szCs w:val="20"/>
        </w:rPr>
        <w:t xml:space="preserve">Consideration of </w:t>
      </w:r>
      <w:r w:rsidR="00033729" w:rsidRPr="001F0B32">
        <w:rPr>
          <w:rFonts w:ascii="Arial" w:hAnsi="Arial" w:cs="Arial"/>
          <w:b/>
          <w:bCs/>
          <w:i/>
          <w:sz w:val="20"/>
          <w:szCs w:val="20"/>
        </w:rPr>
        <w:t xml:space="preserve">Results of </w:t>
      </w:r>
      <w:r w:rsidR="006D5B6A" w:rsidRPr="001F0B32">
        <w:rPr>
          <w:rFonts w:ascii="Arial" w:hAnsi="Arial" w:cs="Arial"/>
          <w:b/>
          <w:bCs/>
          <w:i/>
          <w:sz w:val="20"/>
          <w:szCs w:val="20"/>
        </w:rPr>
        <w:t xml:space="preserve">Resourcing our Future </w:t>
      </w:r>
      <w:r w:rsidR="00033729" w:rsidRPr="001F0B32">
        <w:rPr>
          <w:rFonts w:ascii="Arial" w:hAnsi="Arial" w:cs="Arial"/>
          <w:b/>
          <w:bCs/>
          <w:i/>
          <w:sz w:val="20"/>
          <w:szCs w:val="20"/>
        </w:rPr>
        <w:t>Community</w:t>
      </w:r>
      <w:r w:rsidR="008361FC" w:rsidRPr="001F0B32">
        <w:rPr>
          <w:rFonts w:ascii="Arial" w:hAnsi="Arial" w:cs="Arial"/>
          <w:b/>
          <w:bCs/>
          <w:i/>
          <w:sz w:val="20"/>
          <w:szCs w:val="20"/>
        </w:rPr>
        <w:t xml:space="preserve"> Engagement </w:t>
      </w:r>
      <w:r w:rsidR="00B92268" w:rsidRPr="001F0B32">
        <w:rPr>
          <w:rFonts w:ascii="Arial" w:hAnsi="Arial" w:cs="Arial"/>
          <w:b/>
          <w:bCs/>
          <w:sz w:val="20"/>
          <w:szCs w:val="20"/>
        </w:rPr>
        <w:t>(</w:t>
      </w:r>
      <w:r w:rsidR="00693A92" w:rsidRPr="001F0B32">
        <w:rPr>
          <w:rFonts w:ascii="Arial" w:hAnsi="Arial" w:cs="Arial"/>
          <w:b/>
          <w:bCs/>
          <w:sz w:val="20"/>
          <w:szCs w:val="20"/>
        </w:rPr>
        <w:t xml:space="preserve">detailed in </w:t>
      </w:r>
      <w:r w:rsidR="00B92268" w:rsidRPr="001F0B32">
        <w:rPr>
          <w:rFonts w:ascii="Arial" w:hAnsi="Arial" w:cs="Arial"/>
          <w:b/>
          <w:bCs/>
          <w:sz w:val="20"/>
          <w:szCs w:val="20"/>
        </w:rPr>
        <w:t>Attachments 6a, 6b, 6c)</w:t>
      </w:r>
    </w:p>
    <w:p w14:paraId="49FEDBAC" w14:textId="768F0B1B" w:rsidR="00635969" w:rsidRDefault="00E92FCC" w:rsidP="002C5D34">
      <w:pPr>
        <w:pStyle w:val="ListParagraph"/>
        <w:spacing w:line="276" w:lineRule="auto"/>
        <w:ind w:left="0"/>
        <w:jc w:val="both"/>
        <w:rPr>
          <w:rFonts w:ascii="Arial" w:hAnsi="Arial" w:cs="Arial"/>
          <w:bCs/>
          <w:sz w:val="20"/>
          <w:szCs w:val="20"/>
        </w:rPr>
      </w:pPr>
      <w:r>
        <w:rPr>
          <w:rFonts w:ascii="Arial" w:hAnsi="Arial" w:cs="Arial"/>
          <w:bCs/>
          <w:sz w:val="20"/>
          <w:szCs w:val="20"/>
        </w:rPr>
        <w:t>The Co</w:t>
      </w:r>
      <w:r w:rsidR="003C4947">
        <w:rPr>
          <w:rFonts w:ascii="Arial" w:hAnsi="Arial" w:cs="Arial"/>
          <w:bCs/>
          <w:sz w:val="20"/>
          <w:szCs w:val="20"/>
        </w:rPr>
        <w:t>uncil decision to proceed with O</w:t>
      </w:r>
      <w:r>
        <w:rPr>
          <w:rFonts w:ascii="Arial" w:hAnsi="Arial" w:cs="Arial"/>
          <w:bCs/>
          <w:sz w:val="20"/>
          <w:szCs w:val="20"/>
        </w:rPr>
        <w:t xml:space="preserve">ption 1 was after it had </w:t>
      </w:r>
      <w:r w:rsidR="00AC5D7E">
        <w:rPr>
          <w:rFonts w:ascii="Arial" w:hAnsi="Arial" w:cs="Arial"/>
          <w:bCs/>
          <w:sz w:val="20"/>
          <w:szCs w:val="20"/>
        </w:rPr>
        <w:t>fully considered</w:t>
      </w:r>
      <w:r>
        <w:rPr>
          <w:rFonts w:ascii="Arial" w:hAnsi="Arial" w:cs="Arial"/>
          <w:bCs/>
          <w:sz w:val="20"/>
          <w:szCs w:val="20"/>
        </w:rPr>
        <w:t xml:space="preserve"> the views of the community. </w:t>
      </w:r>
      <w:r w:rsidR="008361FC" w:rsidRPr="00357724">
        <w:rPr>
          <w:rFonts w:ascii="Arial" w:hAnsi="Arial" w:cs="Arial"/>
          <w:bCs/>
          <w:sz w:val="20"/>
          <w:szCs w:val="20"/>
        </w:rPr>
        <w:t xml:space="preserve">The decision to proceed with this application is a result of the </w:t>
      </w:r>
      <w:r w:rsidR="00033729" w:rsidRPr="00357724">
        <w:rPr>
          <w:rFonts w:ascii="Arial" w:hAnsi="Arial" w:cs="Arial"/>
          <w:bCs/>
          <w:sz w:val="20"/>
          <w:szCs w:val="20"/>
        </w:rPr>
        <w:t xml:space="preserve">overwhelming </w:t>
      </w:r>
      <w:r w:rsidR="00A02B4A">
        <w:rPr>
          <w:rFonts w:ascii="Arial" w:hAnsi="Arial" w:cs="Arial"/>
          <w:bCs/>
          <w:sz w:val="20"/>
          <w:szCs w:val="20"/>
        </w:rPr>
        <w:t xml:space="preserve">community </w:t>
      </w:r>
      <w:r w:rsidR="00033729" w:rsidRPr="00357724">
        <w:rPr>
          <w:rFonts w:ascii="Arial" w:hAnsi="Arial" w:cs="Arial"/>
          <w:bCs/>
          <w:sz w:val="20"/>
          <w:szCs w:val="20"/>
        </w:rPr>
        <w:t>response (4,3</w:t>
      </w:r>
      <w:r w:rsidR="00A02B4A">
        <w:rPr>
          <w:rFonts w:ascii="Arial" w:hAnsi="Arial" w:cs="Arial"/>
          <w:bCs/>
          <w:sz w:val="20"/>
          <w:szCs w:val="20"/>
        </w:rPr>
        <w:t>12</w:t>
      </w:r>
      <w:r w:rsidR="00033729" w:rsidRPr="00357724">
        <w:rPr>
          <w:rFonts w:ascii="Arial" w:hAnsi="Arial" w:cs="Arial"/>
          <w:bCs/>
          <w:sz w:val="20"/>
          <w:szCs w:val="20"/>
        </w:rPr>
        <w:t xml:space="preserve"> submissions received) to the </w:t>
      </w:r>
      <w:r w:rsidR="00033729" w:rsidRPr="00357724">
        <w:rPr>
          <w:rFonts w:ascii="Arial" w:hAnsi="Arial" w:cs="Arial"/>
          <w:bCs/>
          <w:i/>
          <w:sz w:val="20"/>
          <w:szCs w:val="20"/>
        </w:rPr>
        <w:t>Resourcing Our Future</w:t>
      </w:r>
      <w:r w:rsidR="00033729" w:rsidRPr="00357724">
        <w:rPr>
          <w:rFonts w:ascii="Arial" w:hAnsi="Arial" w:cs="Arial"/>
          <w:bCs/>
          <w:sz w:val="20"/>
          <w:szCs w:val="20"/>
        </w:rPr>
        <w:t xml:space="preserve"> community engagement process</w:t>
      </w:r>
      <w:r w:rsidR="00AC5D7E">
        <w:rPr>
          <w:rFonts w:ascii="Arial" w:hAnsi="Arial" w:cs="Arial"/>
          <w:bCs/>
          <w:sz w:val="20"/>
          <w:szCs w:val="20"/>
        </w:rPr>
        <w:t xml:space="preserve">. </w:t>
      </w:r>
      <w:r w:rsidR="00635969">
        <w:rPr>
          <w:rFonts w:ascii="Arial" w:hAnsi="Arial" w:cs="Arial"/>
          <w:bCs/>
          <w:sz w:val="20"/>
          <w:szCs w:val="20"/>
        </w:rPr>
        <w:t>J</w:t>
      </w:r>
      <w:r w:rsidR="00A02B4A">
        <w:rPr>
          <w:rFonts w:ascii="Arial" w:hAnsi="Arial" w:cs="Arial"/>
          <w:bCs/>
          <w:sz w:val="20"/>
          <w:szCs w:val="20"/>
        </w:rPr>
        <w:t>u</w:t>
      </w:r>
      <w:r w:rsidR="00033729" w:rsidRPr="00357724">
        <w:rPr>
          <w:rFonts w:ascii="Arial" w:hAnsi="Arial" w:cs="Arial"/>
          <w:bCs/>
          <w:sz w:val="20"/>
          <w:szCs w:val="20"/>
        </w:rPr>
        <w:t>st under 80%</w:t>
      </w:r>
      <w:r w:rsidR="00AC5D7E">
        <w:rPr>
          <w:rFonts w:ascii="Arial" w:hAnsi="Arial" w:cs="Arial"/>
          <w:bCs/>
          <w:sz w:val="20"/>
          <w:szCs w:val="20"/>
        </w:rPr>
        <w:t xml:space="preserve"> </w:t>
      </w:r>
      <w:r w:rsidR="00A02B4A">
        <w:rPr>
          <w:rFonts w:ascii="Arial" w:hAnsi="Arial" w:cs="Arial"/>
          <w:bCs/>
          <w:sz w:val="20"/>
          <w:szCs w:val="20"/>
        </w:rPr>
        <w:t>of these submissions</w:t>
      </w:r>
      <w:r w:rsidR="00B92268">
        <w:rPr>
          <w:rFonts w:ascii="Arial" w:hAnsi="Arial" w:cs="Arial"/>
          <w:bCs/>
          <w:sz w:val="20"/>
          <w:szCs w:val="20"/>
        </w:rPr>
        <w:t xml:space="preserve"> </w:t>
      </w:r>
      <w:r w:rsidR="00AC5D7E">
        <w:rPr>
          <w:rFonts w:ascii="Arial" w:hAnsi="Arial" w:cs="Arial"/>
          <w:bCs/>
          <w:sz w:val="20"/>
          <w:szCs w:val="20"/>
        </w:rPr>
        <w:t>supported the C</w:t>
      </w:r>
      <w:r w:rsidR="00033729" w:rsidRPr="00357724">
        <w:rPr>
          <w:rFonts w:ascii="Arial" w:hAnsi="Arial" w:cs="Arial"/>
          <w:bCs/>
          <w:sz w:val="20"/>
          <w:szCs w:val="20"/>
        </w:rPr>
        <w:t>ouncil proceeding with a special rate variation</w:t>
      </w:r>
      <w:r w:rsidR="00635969">
        <w:rPr>
          <w:rFonts w:ascii="Arial" w:hAnsi="Arial" w:cs="Arial"/>
          <w:bCs/>
          <w:sz w:val="20"/>
          <w:szCs w:val="20"/>
        </w:rPr>
        <w:t xml:space="preserve"> (</w:t>
      </w:r>
      <w:r w:rsidR="001F0B32">
        <w:rPr>
          <w:rFonts w:ascii="Arial" w:hAnsi="Arial" w:cs="Arial"/>
          <w:bCs/>
          <w:sz w:val="20"/>
          <w:szCs w:val="20"/>
        </w:rPr>
        <w:t xml:space="preserve">either </w:t>
      </w:r>
      <w:r w:rsidR="00635969">
        <w:rPr>
          <w:rFonts w:ascii="Arial" w:hAnsi="Arial" w:cs="Arial"/>
          <w:bCs/>
          <w:sz w:val="20"/>
          <w:szCs w:val="20"/>
        </w:rPr>
        <w:t>Options 1 and 2)</w:t>
      </w:r>
      <w:r w:rsidR="00A40054" w:rsidRPr="00357724">
        <w:rPr>
          <w:rFonts w:ascii="Arial" w:hAnsi="Arial" w:cs="Arial"/>
          <w:bCs/>
          <w:sz w:val="20"/>
          <w:szCs w:val="20"/>
        </w:rPr>
        <w:t>.</w:t>
      </w:r>
      <w:r w:rsidR="00033729" w:rsidRPr="00357724">
        <w:rPr>
          <w:rFonts w:ascii="Arial" w:hAnsi="Arial" w:cs="Arial"/>
          <w:bCs/>
          <w:sz w:val="20"/>
          <w:szCs w:val="20"/>
        </w:rPr>
        <w:t xml:space="preserve"> </w:t>
      </w:r>
    </w:p>
    <w:p w14:paraId="5BD23BFE" w14:textId="77777777" w:rsidR="00635969" w:rsidRDefault="00635969" w:rsidP="009B4CD3">
      <w:pPr>
        <w:pStyle w:val="ListParagraph"/>
        <w:spacing w:line="276" w:lineRule="auto"/>
        <w:ind w:left="0"/>
        <w:jc w:val="both"/>
        <w:rPr>
          <w:rFonts w:ascii="Arial" w:hAnsi="Arial" w:cs="Arial"/>
          <w:bCs/>
          <w:sz w:val="20"/>
          <w:szCs w:val="20"/>
        </w:rPr>
      </w:pPr>
    </w:p>
    <w:p w14:paraId="7C573037" w14:textId="5B322930" w:rsidR="00357724" w:rsidRPr="00553120" w:rsidRDefault="008361FC" w:rsidP="009B4CD3">
      <w:pPr>
        <w:pStyle w:val="ListParagraph"/>
        <w:spacing w:line="276" w:lineRule="auto"/>
        <w:ind w:left="0"/>
        <w:jc w:val="both"/>
        <w:rPr>
          <w:rFonts w:ascii="Arial" w:hAnsi="Arial" w:cs="Arial"/>
          <w:bCs/>
          <w:sz w:val="20"/>
          <w:szCs w:val="20"/>
        </w:rPr>
      </w:pPr>
      <w:r w:rsidRPr="00553120">
        <w:rPr>
          <w:rFonts w:ascii="Arial" w:hAnsi="Arial" w:cs="Arial"/>
          <w:bCs/>
          <w:sz w:val="20"/>
          <w:szCs w:val="20"/>
        </w:rPr>
        <w:t>Option 1 was supported by</w:t>
      </w:r>
      <w:r w:rsidR="00033729" w:rsidRPr="00553120">
        <w:rPr>
          <w:rFonts w:ascii="Arial" w:hAnsi="Arial" w:cs="Arial"/>
          <w:bCs/>
          <w:sz w:val="20"/>
          <w:szCs w:val="20"/>
        </w:rPr>
        <w:t xml:space="preserve"> </w:t>
      </w:r>
      <w:r w:rsidR="00D66D01" w:rsidRPr="00553120">
        <w:rPr>
          <w:rFonts w:ascii="Arial" w:hAnsi="Arial" w:cs="Arial"/>
          <w:bCs/>
          <w:sz w:val="20"/>
          <w:szCs w:val="20"/>
        </w:rPr>
        <w:t xml:space="preserve">a </w:t>
      </w:r>
      <w:r w:rsidR="00A40054" w:rsidRPr="00553120">
        <w:rPr>
          <w:rFonts w:ascii="Arial" w:hAnsi="Arial" w:cs="Arial"/>
          <w:bCs/>
          <w:sz w:val="20"/>
          <w:szCs w:val="20"/>
        </w:rPr>
        <w:t xml:space="preserve">majority of respondents </w:t>
      </w:r>
      <w:r w:rsidR="00D66D01" w:rsidRPr="00553120">
        <w:rPr>
          <w:rFonts w:ascii="Arial" w:hAnsi="Arial" w:cs="Arial"/>
          <w:bCs/>
          <w:sz w:val="20"/>
          <w:szCs w:val="20"/>
        </w:rPr>
        <w:t xml:space="preserve">within each of the </w:t>
      </w:r>
      <w:r w:rsidR="00033729" w:rsidRPr="00553120">
        <w:rPr>
          <w:rFonts w:ascii="Arial" w:hAnsi="Arial" w:cs="Arial"/>
          <w:bCs/>
          <w:sz w:val="20"/>
          <w:szCs w:val="20"/>
        </w:rPr>
        <w:t>three major engagement methods</w:t>
      </w:r>
      <w:r w:rsidRPr="00553120">
        <w:rPr>
          <w:rFonts w:ascii="Arial" w:hAnsi="Arial" w:cs="Arial"/>
          <w:bCs/>
          <w:sz w:val="20"/>
          <w:szCs w:val="20"/>
        </w:rPr>
        <w:t>:</w:t>
      </w:r>
    </w:p>
    <w:p w14:paraId="2DA4EDB4" w14:textId="77777777" w:rsidR="009B4CD3" w:rsidRPr="00E60CAD" w:rsidRDefault="009B4CD3" w:rsidP="009B4CD3">
      <w:pPr>
        <w:pStyle w:val="ListParagraph"/>
        <w:spacing w:line="276" w:lineRule="auto"/>
        <w:ind w:left="0"/>
        <w:jc w:val="both"/>
        <w:rPr>
          <w:rFonts w:ascii="Arial" w:hAnsi="Arial" w:cs="Arial"/>
          <w:b/>
          <w:bCs/>
          <w:sz w:val="20"/>
          <w:szCs w:val="20"/>
        </w:rPr>
      </w:pPr>
    </w:p>
    <w:p w14:paraId="72BF1622" w14:textId="77777777" w:rsidR="008361FC" w:rsidRPr="004F5844" w:rsidRDefault="008361FC" w:rsidP="00114636">
      <w:pPr>
        <w:pStyle w:val="ListParagraph"/>
        <w:numPr>
          <w:ilvl w:val="0"/>
          <w:numId w:val="59"/>
        </w:numPr>
        <w:spacing w:line="276" w:lineRule="auto"/>
        <w:jc w:val="both"/>
        <w:rPr>
          <w:rFonts w:ascii="Arial" w:hAnsi="Arial" w:cs="Arial"/>
          <w:bCs/>
          <w:sz w:val="20"/>
          <w:szCs w:val="20"/>
        </w:rPr>
      </w:pPr>
      <w:r w:rsidRPr="004F5844">
        <w:rPr>
          <w:rFonts w:ascii="Arial" w:hAnsi="Arial" w:cs="Arial"/>
          <w:bCs/>
          <w:sz w:val="20"/>
          <w:szCs w:val="20"/>
        </w:rPr>
        <w:t>55% of the 4,312 public submissions received</w:t>
      </w:r>
    </w:p>
    <w:p w14:paraId="27C11176" w14:textId="4F05111A" w:rsidR="008361FC" w:rsidRPr="004F5844" w:rsidRDefault="008361FC" w:rsidP="00114636">
      <w:pPr>
        <w:pStyle w:val="ListParagraph"/>
        <w:numPr>
          <w:ilvl w:val="0"/>
          <w:numId w:val="59"/>
        </w:numPr>
        <w:spacing w:line="276" w:lineRule="auto"/>
        <w:jc w:val="both"/>
        <w:rPr>
          <w:rFonts w:ascii="Arial" w:hAnsi="Arial" w:cs="Arial"/>
          <w:bCs/>
          <w:sz w:val="20"/>
          <w:szCs w:val="20"/>
        </w:rPr>
      </w:pPr>
      <w:r w:rsidRPr="004F5844">
        <w:rPr>
          <w:rFonts w:ascii="Arial" w:hAnsi="Arial" w:cs="Arial"/>
          <w:bCs/>
          <w:sz w:val="20"/>
          <w:szCs w:val="20"/>
        </w:rPr>
        <w:t>49% of telephone survey respondents supported Option 1</w:t>
      </w:r>
      <w:r w:rsidR="001F0B32" w:rsidRPr="004F5844">
        <w:rPr>
          <w:rFonts w:ascii="Arial" w:hAnsi="Arial" w:cs="Arial"/>
          <w:bCs/>
          <w:sz w:val="20"/>
          <w:szCs w:val="20"/>
        </w:rPr>
        <w:t xml:space="preserve"> as their preferred choice of option </w:t>
      </w:r>
      <w:r w:rsidR="004F5844">
        <w:rPr>
          <w:rFonts w:ascii="Arial" w:hAnsi="Arial" w:cs="Arial"/>
          <w:bCs/>
          <w:sz w:val="20"/>
          <w:szCs w:val="20"/>
        </w:rPr>
        <w:t>relative to the three options</w:t>
      </w:r>
      <w:r w:rsidR="001F0B32" w:rsidRPr="004F5844">
        <w:rPr>
          <w:rFonts w:ascii="Arial" w:hAnsi="Arial" w:cs="Arial"/>
          <w:bCs/>
          <w:sz w:val="20"/>
          <w:szCs w:val="20"/>
        </w:rPr>
        <w:t xml:space="preserve">– and when asked their views on just Option 1 in itself, 64% of those surveyed indicated medium to high support for </w:t>
      </w:r>
      <w:r w:rsidR="000D486E" w:rsidRPr="004F5844">
        <w:rPr>
          <w:rFonts w:ascii="Arial" w:hAnsi="Arial" w:cs="Arial"/>
          <w:bCs/>
          <w:sz w:val="20"/>
          <w:szCs w:val="20"/>
        </w:rPr>
        <w:t xml:space="preserve">Option 1 </w:t>
      </w:r>
      <w:r w:rsidR="001F0B32" w:rsidRPr="004F5844">
        <w:rPr>
          <w:rFonts w:ascii="Arial" w:hAnsi="Arial" w:cs="Arial"/>
          <w:bCs/>
          <w:sz w:val="20"/>
          <w:szCs w:val="20"/>
        </w:rPr>
        <w:t xml:space="preserve">(see </w:t>
      </w:r>
      <w:r w:rsidR="001F0B32" w:rsidRPr="004F5844">
        <w:rPr>
          <w:rFonts w:ascii="Arial" w:hAnsi="Arial" w:cs="Arial"/>
          <w:b/>
          <w:bCs/>
          <w:sz w:val="20"/>
          <w:szCs w:val="20"/>
        </w:rPr>
        <w:t>Attachment 6b</w:t>
      </w:r>
      <w:r w:rsidR="001F0B32" w:rsidRPr="004F5844">
        <w:rPr>
          <w:rFonts w:ascii="Arial" w:hAnsi="Arial" w:cs="Arial"/>
          <w:bCs/>
          <w:sz w:val="20"/>
          <w:szCs w:val="20"/>
        </w:rPr>
        <w:t>, Table 4.1, page 14)</w:t>
      </w:r>
    </w:p>
    <w:p w14:paraId="34C7A021" w14:textId="77777777" w:rsidR="008361FC" w:rsidRPr="004F5844" w:rsidRDefault="008361FC" w:rsidP="00114636">
      <w:pPr>
        <w:pStyle w:val="ListParagraph"/>
        <w:numPr>
          <w:ilvl w:val="0"/>
          <w:numId w:val="59"/>
        </w:numPr>
        <w:spacing w:line="276" w:lineRule="auto"/>
        <w:jc w:val="both"/>
        <w:rPr>
          <w:rFonts w:ascii="Arial" w:hAnsi="Arial" w:cs="Arial"/>
          <w:bCs/>
          <w:sz w:val="20"/>
          <w:szCs w:val="20"/>
        </w:rPr>
      </w:pPr>
      <w:r w:rsidRPr="004F5844">
        <w:rPr>
          <w:rFonts w:ascii="Arial" w:hAnsi="Arial" w:cs="Arial"/>
          <w:bCs/>
          <w:sz w:val="20"/>
          <w:szCs w:val="20"/>
        </w:rPr>
        <w:t xml:space="preserve">58% of Area Workshop participants </w:t>
      </w:r>
    </w:p>
    <w:p w14:paraId="0228F248" w14:textId="77777777" w:rsidR="008361FC" w:rsidRDefault="008361FC" w:rsidP="00114636">
      <w:pPr>
        <w:pStyle w:val="ListParagraph"/>
        <w:spacing w:line="276" w:lineRule="auto"/>
        <w:ind w:left="0"/>
        <w:jc w:val="both"/>
        <w:rPr>
          <w:rFonts w:ascii="Arial" w:hAnsi="Arial" w:cs="Arial"/>
          <w:bCs/>
          <w:sz w:val="20"/>
          <w:szCs w:val="20"/>
        </w:rPr>
      </w:pPr>
    </w:p>
    <w:p w14:paraId="77E36AA0" w14:textId="31D7442C" w:rsidR="008361FC" w:rsidRPr="00A3625F" w:rsidRDefault="00C50225" w:rsidP="00114636">
      <w:pPr>
        <w:pStyle w:val="ListParagraph"/>
        <w:keepNext/>
        <w:numPr>
          <w:ilvl w:val="0"/>
          <w:numId w:val="58"/>
        </w:numPr>
        <w:spacing w:line="276" w:lineRule="auto"/>
        <w:ind w:left="284" w:hanging="284"/>
        <w:jc w:val="both"/>
        <w:rPr>
          <w:rFonts w:ascii="Arial" w:hAnsi="Arial" w:cs="Arial"/>
          <w:b/>
          <w:bCs/>
          <w:i/>
          <w:sz w:val="20"/>
          <w:szCs w:val="20"/>
        </w:rPr>
      </w:pPr>
      <w:r w:rsidRPr="00A3625F">
        <w:rPr>
          <w:rFonts w:ascii="Arial" w:hAnsi="Arial" w:cs="Arial"/>
          <w:b/>
          <w:bCs/>
          <w:i/>
          <w:sz w:val="20"/>
          <w:szCs w:val="20"/>
        </w:rPr>
        <w:t>Consideration of E</w:t>
      </w:r>
      <w:r w:rsidR="008361FC" w:rsidRPr="00A3625F">
        <w:rPr>
          <w:rFonts w:ascii="Arial" w:hAnsi="Arial" w:cs="Arial"/>
          <w:b/>
          <w:bCs/>
          <w:i/>
          <w:sz w:val="20"/>
          <w:szCs w:val="20"/>
        </w:rPr>
        <w:t>xisting Environment Levy due to expire June 2015</w:t>
      </w:r>
    </w:p>
    <w:p w14:paraId="6A7E7E5A" w14:textId="6F267BDF" w:rsidR="008361FC" w:rsidRDefault="008361FC" w:rsidP="002C5D34">
      <w:pPr>
        <w:spacing w:line="276" w:lineRule="auto"/>
        <w:jc w:val="both"/>
        <w:rPr>
          <w:rFonts w:ascii="Arial" w:hAnsi="Arial" w:cs="Arial"/>
          <w:bCs/>
          <w:sz w:val="20"/>
          <w:szCs w:val="20"/>
        </w:rPr>
      </w:pPr>
      <w:r>
        <w:rPr>
          <w:rFonts w:ascii="Arial" w:hAnsi="Arial" w:cs="Arial"/>
          <w:bCs/>
          <w:sz w:val="20"/>
          <w:szCs w:val="20"/>
        </w:rPr>
        <w:t>In 2005 the Council was success</w:t>
      </w:r>
      <w:r w:rsidR="003D0F20">
        <w:rPr>
          <w:rFonts w:ascii="Arial" w:hAnsi="Arial" w:cs="Arial"/>
          <w:bCs/>
          <w:sz w:val="20"/>
          <w:szCs w:val="20"/>
        </w:rPr>
        <w:t xml:space="preserve">ful in obtaining approval for </w:t>
      </w:r>
      <w:r>
        <w:rPr>
          <w:rFonts w:ascii="Arial" w:hAnsi="Arial" w:cs="Arial"/>
          <w:bCs/>
          <w:sz w:val="20"/>
          <w:szCs w:val="20"/>
        </w:rPr>
        <w:t xml:space="preserve">a s508(2) special variation (known as the Environment Levy) to address issues posing serious threat to the Blue Mountains environment and World Heritage Area including: </w:t>
      </w:r>
    </w:p>
    <w:p w14:paraId="11C227A0" w14:textId="77777777" w:rsidR="008361FC" w:rsidRDefault="008361FC" w:rsidP="00A3625F">
      <w:pPr>
        <w:pStyle w:val="ListParagraph"/>
        <w:numPr>
          <w:ilvl w:val="0"/>
          <w:numId w:val="60"/>
        </w:numPr>
        <w:spacing w:before="240" w:line="276" w:lineRule="auto"/>
        <w:jc w:val="both"/>
        <w:rPr>
          <w:rFonts w:ascii="Arial" w:hAnsi="Arial" w:cs="Arial"/>
          <w:bCs/>
          <w:sz w:val="20"/>
          <w:szCs w:val="20"/>
        </w:rPr>
      </w:pPr>
      <w:r w:rsidRPr="00902B03">
        <w:rPr>
          <w:rFonts w:ascii="Arial" w:hAnsi="Arial" w:cs="Arial"/>
          <w:bCs/>
          <w:sz w:val="20"/>
          <w:szCs w:val="20"/>
        </w:rPr>
        <w:t>Uncontrolled stormwater runoff causing erosion, sedimentation and reduced water quality from pollutants (also impacting Sydney’s water catchment)</w:t>
      </w:r>
    </w:p>
    <w:p w14:paraId="6076F24D" w14:textId="77777777" w:rsidR="008361FC" w:rsidRDefault="008361FC" w:rsidP="00114636">
      <w:pPr>
        <w:pStyle w:val="ListParagraph"/>
        <w:numPr>
          <w:ilvl w:val="0"/>
          <w:numId w:val="60"/>
        </w:numPr>
        <w:spacing w:line="276" w:lineRule="auto"/>
        <w:jc w:val="both"/>
        <w:rPr>
          <w:rFonts w:ascii="Arial" w:hAnsi="Arial" w:cs="Arial"/>
          <w:bCs/>
          <w:sz w:val="20"/>
          <w:szCs w:val="20"/>
        </w:rPr>
      </w:pPr>
      <w:r>
        <w:rPr>
          <w:rFonts w:ascii="Arial" w:hAnsi="Arial" w:cs="Arial"/>
          <w:bCs/>
          <w:sz w:val="20"/>
          <w:szCs w:val="20"/>
        </w:rPr>
        <w:t>Weed invasion</w:t>
      </w:r>
    </w:p>
    <w:p w14:paraId="4E3A5142" w14:textId="77777777" w:rsidR="008361FC" w:rsidRDefault="008361FC" w:rsidP="00114636">
      <w:pPr>
        <w:pStyle w:val="ListParagraph"/>
        <w:numPr>
          <w:ilvl w:val="0"/>
          <w:numId w:val="60"/>
        </w:numPr>
        <w:spacing w:line="276" w:lineRule="auto"/>
        <w:jc w:val="both"/>
        <w:rPr>
          <w:rFonts w:ascii="Arial" w:hAnsi="Arial" w:cs="Arial"/>
          <w:bCs/>
          <w:sz w:val="20"/>
          <w:szCs w:val="20"/>
        </w:rPr>
      </w:pPr>
      <w:r>
        <w:rPr>
          <w:rFonts w:ascii="Arial" w:hAnsi="Arial" w:cs="Arial"/>
          <w:bCs/>
          <w:sz w:val="20"/>
          <w:szCs w:val="20"/>
        </w:rPr>
        <w:t>Loss of biodiversity of global significance</w:t>
      </w:r>
    </w:p>
    <w:p w14:paraId="2E4C3049" w14:textId="77777777" w:rsidR="008361FC" w:rsidRDefault="008361FC" w:rsidP="00114636">
      <w:pPr>
        <w:pStyle w:val="ListParagraph"/>
        <w:numPr>
          <w:ilvl w:val="0"/>
          <w:numId w:val="60"/>
        </w:numPr>
        <w:spacing w:line="276" w:lineRule="auto"/>
        <w:jc w:val="both"/>
        <w:rPr>
          <w:rFonts w:ascii="Arial" w:hAnsi="Arial" w:cs="Arial"/>
          <w:bCs/>
          <w:sz w:val="20"/>
          <w:szCs w:val="20"/>
        </w:rPr>
      </w:pPr>
      <w:r>
        <w:rPr>
          <w:rFonts w:ascii="Arial" w:hAnsi="Arial" w:cs="Arial"/>
          <w:bCs/>
          <w:sz w:val="20"/>
          <w:szCs w:val="20"/>
        </w:rPr>
        <w:t>Failing on-site sewerage systems</w:t>
      </w:r>
    </w:p>
    <w:p w14:paraId="3BE53C28" w14:textId="77777777" w:rsidR="008361FC" w:rsidRDefault="008361FC" w:rsidP="00114636">
      <w:pPr>
        <w:pStyle w:val="ListParagraph"/>
        <w:numPr>
          <w:ilvl w:val="0"/>
          <w:numId w:val="60"/>
        </w:numPr>
        <w:spacing w:line="276" w:lineRule="auto"/>
        <w:jc w:val="both"/>
        <w:rPr>
          <w:rFonts w:ascii="Arial" w:hAnsi="Arial" w:cs="Arial"/>
          <w:bCs/>
          <w:sz w:val="20"/>
          <w:szCs w:val="20"/>
        </w:rPr>
      </w:pPr>
      <w:r>
        <w:rPr>
          <w:rFonts w:ascii="Arial" w:hAnsi="Arial" w:cs="Arial"/>
          <w:bCs/>
          <w:sz w:val="20"/>
          <w:szCs w:val="20"/>
        </w:rPr>
        <w:t>Issues at former landfills in Blackheath and Lawson</w:t>
      </w:r>
    </w:p>
    <w:p w14:paraId="6441A9FD" w14:textId="77777777" w:rsidR="008361FC" w:rsidRDefault="008361FC" w:rsidP="00114636">
      <w:pPr>
        <w:pStyle w:val="ListParagraph"/>
        <w:numPr>
          <w:ilvl w:val="0"/>
          <w:numId w:val="60"/>
        </w:numPr>
        <w:spacing w:line="276" w:lineRule="auto"/>
        <w:jc w:val="both"/>
        <w:rPr>
          <w:rFonts w:ascii="Arial" w:hAnsi="Arial" w:cs="Arial"/>
          <w:bCs/>
          <w:sz w:val="20"/>
          <w:szCs w:val="20"/>
        </w:rPr>
      </w:pPr>
      <w:r>
        <w:rPr>
          <w:rFonts w:ascii="Arial" w:hAnsi="Arial" w:cs="Arial"/>
          <w:bCs/>
          <w:sz w:val="20"/>
          <w:szCs w:val="20"/>
        </w:rPr>
        <w:t>Localised flooding impacting the natural environment</w:t>
      </w:r>
    </w:p>
    <w:p w14:paraId="4623387C" w14:textId="77777777" w:rsidR="008361FC" w:rsidRPr="00902B03" w:rsidRDefault="008361FC" w:rsidP="00114636">
      <w:pPr>
        <w:pStyle w:val="ListParagraph"/>
        <w:numPr>
          <w:ilvl w:val="0"/>
          <w:numId w:val="60"/>
        </w:numPr>
        <w:spacing w:line="276" w:lineRule="auto"/>
        <w:jc w:val="both"/>
        <w:rPr>
          <w:rFonts w:ascii="Arial" w:hAnsi="Arial" w:cs="Arial"/>
          <w:bCs/>
          <w:sz w:val="20"/>
          <w:szCs w:val="20"/>
        </w:rPr>
      </w:pPr>
      <w:r>
        <w:rPr>
          <w:rFonts w:ascii="Arial" w:hAnsi="Arial" w:cs="Arial"/>
          <w:bCs/>
          <w:sz w:val="20"/>
          <w:szCs w:val="20"/>
        </w:rPr>
        <w:t>Degraded and unsafe natural area visitor facilities (walking tracks, lookouts, camp sites)</w:t>
      </w:r>
    </w:p>
    <w:p w14:paraId="345920E5" w14:textId="77777777" w:rsidR="00EE55FD" w:rsidRDefault="00EE55FD" w:rsidP="00114636">
      <w:pPr>
        <w:spacing w:line="276" w:lineRule="auto"/>
        <w:jc w:val="both"/>
        <w:rPr>
          <w:rFonts w:ascii="Arial" w:hAnsi="Arial" w:cs="Arial"/>
          <w:bCs/>
          <w:sz w:val="20"/>
          <w:szCs w:val="20"/>
        </w:rPr>
      </w:pPr>
    </w:p>
    <w:p w14:paraId="0E4D20C8" w14:textId="77777777" w:rsidR="00E60CAD" w:rsidRDefault="00EE55FD" w:rsidP="001B70F6">
      <w:pPr>
        <w:spacing w:line="276" w:lineRule="auto"/>
        <w:jc w:val="both"/>
        <w:rPr>
          <w:rFonts w:ascii="Arial" w:hAnsi="Arial" w:cs="Arial"/>
          <w:bCs/>
          <w:sz w:val="20"/>
          <w:szCs w:val="20"/>
        </w:rPr>
      </w:pPr>
      <w:r>
        <w:rPr>
          <w:rFonts w:ascii="Arial" w:hAnsi="Arial" w:cs="Arial"/>
          <w:bCs/>
          <w:sz w:val="20"/>
          <w:szCs w:val="20"/>
        </w:rPr>
        <w:t xml:space="preserve">In consultation with </w:t>
      </w:r>
      <w:r w:rsidR="003D0F20">
        <w:rPr>
          <w:rFonts w:ascii="Arial" w:hAnsi="Arial" w:cs="Arial"/>
          <w:bCs/>
          <w:sz w:val="20"/>
          <w:szCs w:val="20"/>
        </w:rPr>
        <w:t xml:space="preserve">the </w:t>
      </w:r>
      <w:r>
        <w:rPr>
          <w:rFonts w:ascii="Arial" w:hAnsi="Arial" w:cs="Arial"/>
          <w:bCs/>
          <w:sz w:val="20"/>
          <w:szCs w:val="20"/>
        </w:rPr>
        <w:t xml:space="preserve">community, the Council assessed the impact on the environment, the community and the economy of not proceeding with the Environment Levy, and determined the </w:t>
      </w:r>
      <w:r w:rsidR="00D66D01">
        <w:rPr>
          <w:rFonts w:ascii="Arial" w:hAnsi="Arial" w:cs="Arial"/>
          <w:bCs/>
          <w:sz w:val="20"/>
          <w:szCs w:val="20"/>
        </w:rPr>
        <w:t xml:space="preserve">critical </w:t>
      </w:r>
      <w:r>
        <w:rPr>
          <w:rFonts w:ascii="Arial" w:hAnsi="Arial" w:cs="Arial"/>
          <w:bCs/>
          <w:sz w:val="20"/>
          <w:szCs w:val="20"/>
        </w:rPr>
        <w:t>need to continue the current expenditure into the future on a permanent basis. Section 3.1.1 further details the assessed need</w:t>
      </w:r>
      <w:r w:rsidR="00E60CAD">
        <w:rPr>
          <w:rFonts w:ascii="Arial" w:hAnsi="Arial" w:cs="Arial"/>
          <w:bCs/>
          <w:sz w:val="20"/>
          <w:szCs w:val="20"/>
        </w:rPr>
        <w:t xml:space="preserve"> for this</w:t>
      </w:r>
      <w:r>
        <w:rPr>
          <w:rFonts w:ascii="Arial" w:hAnsi="Arial" w:cs="Arial"/>
          <w:bCs/>
          <w:sz w:val="20"/>
          <w:szCs w:val="20"/>
        </w:rPr>
        <w:t>.</w:t>
      </w:r>
      <w:r w:rsidR="001B70F6">
        <w:rPr>
          <w:rFonts w:ascii="Arial" w:hAnsi="Arial" w:cs="Arial"/>
          <w:bCs/>
          <w:sz w:val="20"/>
          <w:szCs w:val="20"/>
        </w:rPr>
        <w:t xml:space="preserve"> </w:t>
      </w:r>
    </w:p>
    <w:p w14:paraId="5A7683F4" w14:textId="77777777" w:rsidR="00E60CAD" w:rsidRDefault="00E60CAD" w:rsidP="001B70F6">
      <w:pPr>
        <w:spacing w:line="276" w:lineRule="auto"/>
        <w:jc w:val="both"/>
        <w:rPr>
          <w:rFonts w:ascii="Arial" w:hAnsi="Arial" w:cs="Arial"/>
          <w:bCs/>
          <w:sz w:val="20"/>
          <w:szCs w:val="20"/>
        </w:rPr>
      </w:pPr>
    </w:p>
    <w:p w14:paraId="503AC443" w14:textId="2766B293" w:rsidR="008361FC" w:rsidRDefault="001B70F6" w:rsidP="001B70F6">
      <w:pPr>
        <w:spacing w:line="276" w:lineRule="auto"/>
        <w:jc w:val="both"/>
        <w:rPr>
          <w:rFonts w:ascii="Arial" w:hAnsi="Arial" w:cs="Arial"/>
          <w:bCs/>
          <w:sz w:val="20"/>
          <w:szCs w:val="20"/>
        </w:rPr>
      </w:pPr>
      <w:r>
        <w:rPr>
          <w:rFonts w:ascii="Arial" w:hAnsi="Arial" w:cs="Arial"/>
          <w:bCs/>
          <w:sz w:val="20"/>
          <w:szCs w:val="20"/>
        </w:rPr>
        <w:t>Significantly, the telephone survey of ratepayers asked respondents how supportive they were of the Environment Levy continuing beyond June 2015</w:t>
      </w:r>
      <w:r w:rsidR="00E60CAD">
        <w:rPr>
          <w:rFonts w:ascii="Arial" w:hAnsi="Arial" w:cs="Arial"/>
          <w:bCs/>
          <w:sz w:val="20"/>
          <w:szCs w:val="20"/>
        </w:rPr>
        <w:t xml:space="preserve">. </w:t>
      </w:r>
      <w:r>
        <w:rPr>
          <w:rFonts w:ascii="Arial" w:hAnsi="Arial" w:cs="Arial"/>
          <w:bCs/>
          <w:sz w:val="20"/>
          <w:szCs w:val="20"/>
        </w:rPr>
        <w:t xml:space="preserve">77.4% indicated high support and a further 10.3% medium support (see </w:t>
      </w:r>
      <w:r w:rsidRPr="001B70F6">
        <w:rPr>
          <w:rFonts w:ascii="Arial" w:hAnsi="Arial" w:cs="Arial"/>
          <w:b/>
          <w:bCs/>
          <w:sz w:val="20"/>
          <w:szCs w:val="20"/>
        </w:rPr>
        <w:t>Attachment 6b</w:t>
      </w:r>
      <w:r>
        <w:rPr>
          <w:rFonts w:ascii="Arial" w:hAnsi="Arial" w:cs="Arial"/>
          <w:bCs/>
          <w:sz w:val="20"/>
          <w:szCs w:val="20"/>
        </w:rPr>
        <w:t xml:space="preserve">, </w:t>
      </w:r>
      <w:r w:rsidRPr="008527C9">
        <w:rPr>
          <w:rFonts w:ascii="Arial" w:hAnsi="Arial" w:cs="Arial"/>
          <w:b/>
          <w:bCs/>
          <w:sz w:val="20"/>
          <w:szCs w:val="20"/>
        </w:rPr>
        <w:t>Table 3.1</w:t>
      </w:r>
      <w:r>
        <w:rPr>
          <w:rFonts w:ascii="Arial" w:hAnsi="Arial" w:cs="Arial"/>
          <w:bCs/>
          <w:sz w:val="20"/>
          <w:szCs w:val="20"/>
        </w:rPr>
        <w:t>, page 13)</w:t>
      </w:r>
      <w:r w:rsidR="00E60CAD">
        <w:rPr>
          <w:rFonts w:ascii="Arial" w:hAnsi="Arial" w:cs="Arial"/>
          <w:bCs/>
          <w:sz w:val="20"/>
          <w:szCs w:val="20"/>
        </w:rPr>
        <w:t>.</w:t>
      </w:r>
    </w:p>
    <w:p w14:paraId="0C59EBC7" w14:textId="77777777" w:rsidR="00EE55FD" w:rsidRDefault="00EE55FD" w:rsidP="00114636">
      <w:pPr>
        <w:spacing w:line="276" w:lineRule="auto"/>
        <w:jc w:val="both"/>
        <w:rPr>
          <w:rFonts w:ascii="Arial" w:hAnsi="Arial" w:cs="Arial"/>
          <w:bCs/>
          <w:sz w:val="20"/>
          <w:szCs w:val="20"/>
        </w:rPr>
      </w:pPr>
    </w:p>
    <w:p w14:paraId="0D1380B0" w14:textId="7198EF66" w:rsidR="008361FC" w:rsidRPr="00E60CAD" w:rsidRDefault="00693A92" w:rsidP="00114636">
      <w:pPr>
        <w:pStyle w:val="ListParagraph"/>
        <w:numPr>
          <w:ilvl w:val="0"/>
          <w:numId w:val="58"/>
        </w:numPr>
        <w:spacing w:line="276" w:lineRule="auto"/>
        <w:ind w:left="284" w:hanging="284"/>
        <w:jc w:val="both"/>
        <w:rPr>
          <w:rFonts w:ascii="Arial" w:hAnsi="Arial" w:cs="Arial"/>
          <w:b/>
          <w:bCs/>
          <w:i/>
          <w:sz w:val="20"/>
          <w:szCs w:val="20"/>
        </w:rPr>
      </w:pPr>
      <w:r w:rsidRPr="00E60CAD">
        <w:rPr>
          <w:rFonts w:ascii="Arial" w:hAnsi="Arial" w:cs="Arial"/>
          <w:b/>
          <w:bCs/>
          <w:i/>
          <w:sz w:val="20"/>
          <w:szCs w:val="20"/>
        </w:rPr>
        <w:t>Comprehensive r</w:t>
      </w:r>
      <w:r w:rsidR="008361FC" w:rsidRPr="00E60CAD">
        <w:rPr>
          <w:rFonts w:ascii="Arial" w:hAnsi="Arial" w:cs="Arial"/>
          <w:b/>
          <w:bCs/>
          <w:i/>
          <w:sz w:val="20"/>
          <w:szCs w:val="20"/>
        </w:rPr>
        <w:t>eview of impact on rates and capacity to pay</w:t>
      </w:r>
    </w:p>
    <w:p w14:paraId="7A8F0D7C" w14:textId="3B51FF0A" w:rsidR="00CC7610" w:rsidRDefault="008361FC" w:rsidP="002C5D34">
      <w:pPr>
        <w:spacing w:line="276" w:lineRule="auto"/>
        <w:jc w:val="both"/>
        <w:rPr>
          <w:rFonts w:ascii="Arial" w:hAnsi="Arial" w:cs="Arial"/>
          <w:bCs/>
          <w:sz w:val="20"/>
          <w:szCs w:val="20"/>
        </w:rPr>
      </w:pPr>
      <w:r>
        <w:rPr>
          <w:rFonts w:ascii="Arial" w:hAnsi="Arial" w:cs="Arial"/>
          <w:bCs/>
          <w:sz w:val="20"/>
          <w:szCs w:val="20"/>
        </w:rPr>
        <w:t xml:space="preserve">Finally, a key step in the decision making process has been an extensive assessment of the impact of </w:t>
      </w:r>
      <w:r w:rsidR="001C47C0">
        <w:rPr>
          <w:rFonts w:ascii="Arial" w:hAnsi="Arial" w:cs="Arial"/>
          <w:bCs/>
          <w:sz w:val="20"/>
          <w:szCs w:val="20"/>
        </w:rPr>
        <w:t>the three funding options on ratepayers, including capacity to pay.</w:t>
      </w:r>
      <w:r>
        <w:rPr>
          <w:rFonts w:ascii="Arial" w:hAnsi="Arial" w:cs="Arial"/>
          <w:bCs/>
          <w:sz w:val="20"/>
          <w:szCs w:val="20"/>
        </w:rPr>
        <w:t xml:space="preserve"> </w:t>
      </w:r>
      <w:r w:rsidR="00E72542">
        <w:rPr>
          <w:rFonts w:ascii="Arial" w:hAnsi="Arial" w:cs="Arial"/>
          <w:bCs/>
          <w:sz w:val="20"/>
          <w:szCs w:val="20"/>
        </w:rPr>
        <w:t>This assessment</w:t>
      </w:r>
      <w:r w:rsidR="001C47C0">
        <w:rPr>
          <w:rFonts w:ascii="Arial" w:hAnsi="Arial" w:cs="Arial"/>
          <w:bCs/>
          <w:sz w:val="20"/>
          <w:szCs w:val="20"/>
        </w:rPr>
        <w:t xml:space="preserve">, </w:t>
      </w:r>
      <w:r w:rsidR="00E60CAD">
        <w:rPr>
          <w:rFonts w:ascii="Arial" w:hAnsi="Arial" w:cs="Arial"/>
          <w:bCs/>
          <w:sz w:val="20"/>
          <w:szCs w:val="20"/>
        </w:rPr>
        <w:t xml:space="preserve">detailed in the </w:t>
      </w:r>
      <w:r w:rsidR="001C47C0" w:rsidRPr="008B2B52">
        <w:rPr>
          <w:rFonts w:ascii="Arial" w:hAnsi="Arial" w:cs="Arial"/>
          <w:bCs/>
          <w:i/>
          <w:sz w:val="20"/>
          <w:szCs w:val="20"/>
        </w:rPr>
        <w:t>Resourcing Strategy</w:t>
      </w:r>
      <w:r w:rsidR="00785085" w:rsidRPr="008B2B52">
        <w:rPr>
          <w:rFonts w:ascii="Arial" w:hAnsi="Arial" w:cs="Arial"/>
          <w:bCs/>
          <w:i/>
          <w:sz w:val="20"/>
          <w:szCs w:val="20"/>
        </w:rPr>
        <w:t xml:space="preserve"> 2014-2024</w:t>
      </w:r>
      <w:r w:rsidR="00785085">
        <w:rPr>
          <w:rFonts w:ascii="Arial" w:hAnsi="Arial" w:cs="Arial"/>
          <w:bCs/>
          <w:sz w:val="20"/>
          <w:szCs w:val="20"/>
        </w:rPr>
        <w:t xml:space="preserve"> </w:t>
      </w:r>
      <w:r w:rsidR="00D66D01">
        <w:rPr>
          <w:rFonts w:ascii="Arial" w:hAnsi="Arial" w:cs="Arial"/>
          <w:bCs/>
          <w:sz w:val="20"/>
          <w:szCs w:val="20"/>
        </w:rPr>
        <w:t>(</w:t>
      </w:r>
      <w:r w:rsidR="001C47C0" w:rsidRPr="00E60CAD">
        <w:rPr>
          <w:rFonts w:ascii="Arial" w:hAnsi="Arial" w:cs="Arial"/>
          <w:b/>
          <w:bCs/>
          <w:sz w:val="20"/>
          <w:szCs w:val="20"/>
        </w:rPr>
        <w:t xml:space="preserve">Attachment 13, </w:t>
      </w:r>
      <w:r w:rsidR="009A1340" w:rsidRPr="00E60CAD">
        <w:rPr>
          <w:rFonts w:ascii="Arial" w:hAnsi="Arial" w:cs="Arial"/>
          <w:b/>
          <w:bCs/>
          <w:sz w:val="20"/>
          <w:szCs w:val="20"/>
        </w:rPr>
        <w:t>Sections 2.6 and 2.7</w:t>
      </w:r>
      <w:r w:rsidR="001C47C0">
        <w:rPr>
          <w:rFonts w:ascii="Arial" w:hAnsi="Arial" w:cs="Arial"/>
          <w:bCs/>
          <w:sz w:val="20"/>
          <w:szCs w:val="20"/>
        </w:rPr>
        <w:t>)</w:t>
      </w:r>
      <w:r w:rsidR="009A1340">
        <w:rPr>
          <w:rFonts w:ascii="Arial" w:hAnsi="Arial" w:cs="Arial"/>
          <w:bCs/>
          <w:sz w:val="20"/>
          <w:szCs w:val="20"/>
        </w:rPr>
        <w:t xml:space="preserve">, and summarised in </w:t>
      </w:r>
      <w:r w:rsidR="009A1340" w:rsidRPr="00E60CAD">
        <w:rPr>
          <w:rFonts w:ascii="Arial" w:hAnsi="Arial" w:cs="Arial"/>
          <w:b/>
          <w:bCs/>
          <w:sz w:val="20"/>
          <w:szCs w:val="20"/>
        </w:rPr>
        <w:t>Section 5</w:t>
      </w:r>
      <w:r w:rsidR="009A1340">
        <w:rPr>
          <w:rFonts w:ascii="Arial" w:hAnsi="Arial" w:cs="Arial"/>
          <w:bCs/>
          <w:sz w:val="20"/>
          <w:szCs w:val="20"/>
        </w:rPr>
        <w:t xml:space="preserve"> of this application</w:t>
      </w:r>
      <w:r w:rsidR="0055426D">
        <w:rPr>
          <w:rFonts w:ascii="Arial" w:hAnsi="Arial" w:cs="Arial"/>
          <w:bCs/>
          <w:sz w:val="20"/>
          <w:szCs w:val="20"/>
        </w:rPr>
        <w:t>,</w:t>
      </w:r>
      <w:r w:rsidR="00E72542">
        <w:rPr>
          <w:rFonts w:ascii="Arial" w:hAnsi="Arial" w:cs="Arial"/>
          <w:bCs/>
          <w:sz w:val="20"/>
          <w:szCs w:val="20"/>
        </w:rPr>
        <w:t xml:space="preserve"> </w:t>
      </w:r>
      <w:r w:rsidR="00833CF9">
        <w:rPr>
          <w:rFonts w:ascii="Arial" w:hAnsi="Arial" w:cs="Arial"/>
          <w:bCs/>
          <w:sz w:val="20"/>
          <w:szCs w:val="20"/>
        </w:rPr>
        <w:t>i</w:t>
      </w:r>
      <w:r w:rsidR="00E72542">
        <w:rPr>
          <w:rFonts w:ascii="Arial" w:hAnsi="Arial" w:cs="Arial"/>
          <w:bCs/>
          <w:sz w:val="20"/>
          <w:szCs w:val="20"/>
        </w:rPr>
        <w:t>ncluded</w:t>
      </w:r>
      <w:r w:rsidR="00CC7610">
        <w:rPr>
          <w:rFonts w:ascii="Arial" w:hAnsi="Arial" w:cs="Arial"/>
          <w:bCs/>
          <w:sz w:val="20"/>
          <w:szCs w:val="20"/>
        </w:rPr>
        <w:t xml:space="preserve"> c</w:t>
      </w:r>
      <w:r w:rsidR="00E72542" w:rsidRPr="001C47C0">
        <w:rPr>
          <w:rFonts w:ascii="Arial" w:hAnsi="Arial" w:cs="Arial"/>
          <w:bCs/>
          <w:sz w:val="20"/>
          <w:szCs w:val="20"/>
        </w:rPr>
        <w:t>omprehensive research and analysis o</w:t>
      </w:r>
      <w:r w:rsidR="003B4F57">
        <w:rPr>
          <w:rFonts w:ascii="Arial" w:hAnsi="Arial" w:cs="Arial"/>
          <w:bCs/>
          <w:sz w:val="20"/>
          <w:szCs w:val="20"/>
        </w:rPr>
        <w:t>f</w:t>
      </w:r>
      <w:r w:rsidR="00CC7610">
        <w:rPr>
          <w:rFonts w:ascii="Arial" w:hAnsi="Arial" w:cs="Arial"/>
          <w:bCs/>
          <w:sz w:val="20"/>
          <w:szCs w:val="20"/>
        </w:rPr>
        <w:t>:</w:t>
      </w:r>
    </w:p>
    <w:p w14:paraId="405AA222" w14:textId="77777777" w:rsidR="00E60CAD" w:rsidRDefault="00E60CAD" w:rsidP="00E60CAD">
      <w:pPr>
        <w:spacing w:line="276" w:lineRule="auto"/>
        <w:jc w:val="both"/>
        <w:rPr>
          <w:rFonts w:ascii="Arial" w:hAnsi="Arial" w:cs="Arial"/>
          <w:bCs/>
          <w:sz w:val="20"/>
          <w:szCs w:val="20"/>
        </w:rPr>
      </w:pPr>
    </w:p>
    <w:p w14:paraId="7E8AD05D" w14:textId="787731FB" w:rsidR="00695720" w:rsidRDefault="00833CF9" w:rsidP="003B4F57">
      <w:pPr>
        <w:pStyle w:val="ListParagraph"/>
        <w:numPr>
          <w:ilvl w:val="0"/>
          <w:numId w:val="121"/>
        </w:numPr>
        <w:spacing w:after="60" w:line="276" w:lineRule="auto"/>
        <w:ind w:hanging="294"/>
        <w:jc w:val="both"/>
        <w:rPr>
          <w:rFonts w:ascii="Arial" w:hAnsi="Arial" w:cs="Arial"/>
          <w:bCs/>
          <w:sz w:val="20"/>
          <w:szCs w:val="20"/>
        </w:rPr>
      </w:pPr>
      <w:r w:rsidRPr="00695720">
        <w:rPr>
          <w:rFonts w:ascii="Arial" w:hAnsi="Arial" w:cs="Arial"/>
          <w:bCs/>
          <w:sz w:val="20"/>
          <w:szCs w:val="20"/>
        </w:rPr>
        <w:t>T</w:t>
      </w:r>
      <w:r w:rsidR="001C47C0" w:rsidRPr="00695720">
        <w:rPr>
          <w:rFonts w:ascii="Arial" w:hAnsi="Arial" w:cs="Arial"/>
          <w:bCs/>
          <w:sz w:val="20"/>
          <w:szCs w:val="20"/>
        </w:rPr>
        <w:t xml:space="preserve">he socio-economic status of residents </w:t>
      </w:r>
      <w:r w:rsidR="008B2B52">
        <w:rPr>
          <w:rFonts w:ascii="Arial" w:hAnsi="Arial" w:cs="Arial"/>
          <w:bCs/>
          <w:sz w:val="20"/>
          <w:szCs w:val="20"/>
        </w:rPr>
        <w:t xml:space="preserve">in the Blue Mountains and relative to other </w:t>
      </w:r>
      <w:r w:rsidR="00093BC0">
        <w:rPr>
          <w:rFonts w:ascii="Arial" w:hAnsi="Arial" w:cs="Arial"/>
          <w:bCs/>
          <w:sz w:val="20"/>
          <w:szCs w:val="20"/>
        </w:rPr>
        <w:t xml:space="preserve">local government </w:t>
      </w:r>
      <w:r w:rsidR="008B2B52">
        <w:rPr>
          <w:rFonts w:ascii="Arial" w:hAnsi="Arial" w:cs="Arial"/>
          <w:bCs/>
          <w:sz w:val="20"/>
          <w:szCs w:val="20"/>
        </w:rPr>
        <w:t xml:space="preserve">areas </w:t>
      </w:r>
      <w:r w:rsidR="001C47C0" w:rsidRPr="00695720">
        <w:rPr>
          <w:rFonts w:ascii="Arial" w:hAnsi="Arial" w:cs="Arial"/>
          <w:bCs/>
          <w:sz w:val="20"/>
          <w:szCs w:val="20"/>
        </w:rPr>
        <w:t>including</w:t>
      </w:r>
      <w:r w:rsidR="00695720">
        <w:rPr>
          <w:rFonts w:ascii="Arial" w:hAnsi="Arial" w:cs="Arial"/>
          <w:bCs/>
          <w:sz w:val="20"/>
          <w:szCs w:val="20"/>
        </w:rPr>
        <w:t>:</w:t>
      </w:r>
    </w:p>
    <w:p w14:paraId="1BB9823C" w14:textId="77777777" w:rsidR="00695720" w:rsidRDefault="00695720" w:rsidP="00695720">
      <w:pPr>
        <w:pStyle w:val="ListParagraph"/>
        <w:numPr>
          <w:ilvl w:val="0"/>
          <w:numId w:val="122"/>
        </w:numPr>
        <w:spacing w:after="60" w:line="276" w:lineRule="auto"/>
        <w:ind w:left="1134" w:hanging="141"/>
        <w:jc w:val="both"/>
        <w:rPr>
          <w:rFonts w:ascii="Arial" w:hAnsi="Arial" w:cs="Arial"/>
          <w:bCs/>
          <w:sz w:val="20"/>
          <w:szCs w:val="20"/>
        </w:rPr>
      </w:pPr>
      <w:r w:rsidRPr="00695720">
        <w:rPr>
          <w:rFonts w:ascii="Arial" w:hAnsi="Arial" w:cs="Arial"/>
          <w:bCs/>
          <w:sz w:val="20"/>
          <w:szCs w:val="20"/>
        </w:rPr>
        <w:t xml:space="preserve">The </w:t>
      </w:r>
      <w:r w:rsidR="001C47C0" w:rsidRPr="00695720">
        <w:rPr>
          <w:rFonts w:ascii="Arial" w:hAnsi="Arial" w:cs="Arial"/>
          <w:bCs/>
          <w:sz w:val="20"/>
          <w:szCs w:val="20"/>
        </w:rPr>
        <w:t>SEIFA Index of Relative Disadvantage (IRSD)</w:t>
      </w:r>
    </w:p>
    <w:p w14:paraId="73940B7C" w14:textId="7D78DB91" w:rsidR="001C47C0" w:rsidRPr="00695720" w:rsidRDefault="00695720" w:rsidP="00695720">
      <w:pPr>
        <w:pStyle w:val="ListParagraph"/>
        <w:numPr>
          <w:ilvl w:val="0"/>
          <w:numId w:val="122"/>
        </w:numPr>
        <w:spacing w:after="60" w:line="276" w:lineRule="auto"/>
        <w:ind w:left="1134" w:hanging="141"/>
        <w:jc w:val="both"/>
        <w:rPr>
          <w:rFonts w:ascii="Arial" w:hAnsi="Arial" w:cs="Arial"/>
          <w:bCs/>
          <w:sz w:val="20"/>
          <w:szCs w:val="20"/>
        </w:rPr>
      </w:pPr>
      <w:r>
        <w:rPr>
          <w:rFonts w:ascii="Arial" w:hAnsi="Arial" w:cs="Arial"/>
          <w:bCs/>
          <w:sz w:val="20"/>
          <w:szCs w:val="20"/>
        </w:rPr>
        <w:t>H</w:t>
      </w:r>
      <w:r w:rsidRPr="00695720">
        <w:rPr>
          <w:rFonts w:ascii="Arial" w:hAnsi="Arial" w:cs="Arial"/>
          <w:bCs/>
          <w:sz w:val="20"/>
          <w:szCs w:val="20"/>
        </w:rPr>
        <w:t xml:space="preserve">ousehold income </w:t>
      </w:r>
    </w:p>
    <w:p w14:paraId="63266E28" w14:textId="7743E7CF" w:rsidR="001C47C0" w:rsidRPr="00695720" w:rsidRDefault="001C47C0" w:rsidP="00695720">
      <w:pPr>
        <w:pStyle w:val="ListParagraph"/>
        <w:numPr>
          <w:ilvl w:val="0"/>
          <w:numId w:val="122"/>
        </w:numPr>
        <w:spacing w:after="60" w:line="276" w:lineRule="auto"/>
        <w:ind w:left="1134" w:hanging="141"/>
        <w:jc w:val="both"/>
        <w:rPr>
          <w:rFonts w:ascii="Arial" w:hAnsi="Arial" w:cs="Arial"/>
          <w:bCs/>
          <w:sz w:val="20"/>
          <w:szCs w:val="20"/>
        </w:rPr>
      </w:pPr>
      <w:r w:rsidRPr="00695720">
        <w:rPr>
          <w:rFonts w:ascii="Arial" w:hAnsi="Arial" w:cs="Arial"/>
          <w:bCs/>
          <w:sz w:val="20"/>
          <w:szCs w:val="20"/>
        </w:rPr>
        <w:t>Unemployment</w:t>
      </w:r>
      <w:r w:rsidR="00695720" w:rsidRPr="00695720">
        <w:rPr>
          <w:rFonts w:ascii="Arial" w:hAnsi="Arial" w:cs="Arial"/>
          <w:bCs/>
          <w:sz w:val="20"/>
          <w:szCs w:val="20"/>
        </w:rPr>
        <w:t xml:space="preserve"> </w:t>
      </w:r>
    </w:p>
    <w:p w14:paraId="0AD29CBE" w14:textId="77777777" w:rsidR="001C47C0" w:rsidRPr="00695720" w:rsidRDefault="001C47C0" w:rsidP="00695720">
      <w:pPr>
        <w:pStyle w:val="ListParagraph"/>
        <w:numPr>
          <w:ilvl w:val="0"/>
          <w:numId w:val="122"/>
        </w:numPr>
        <w:spacing w:after="60" w:line="276" w:lineRule="auto"/>
        <w:ind w:left="1134" w:hanging="141"/>
        <w:jc w:val="both"/>
        <w:rPr>
          <w:rFonts w:ascii="Arial" w:hAnsi="Arial" w:cs="Arial"/>
          <w:bCs/>
          <w:sz w:val="20"/>
          <w:szCs w:val="20"/>
        </w:rPr>
      </w:pPr>
      <w:r w:rsidRPr="00695720">
        <w:rPr>
          <w:rFonts w:ascii="Arial" w:hAnsi="Arial" w:cs="Arial"/>
          <w:bCs/>
          <w:sz w:val="20"/>
          <w:szCs w:val="20"/>
        </w:rPr>
        <w:t>Mortgage and rental stress</w:t>
      </w:r>
    </w:p>
    <w:p w14:paraId="4CD3E11E" w14:textId="51B37FD8" w:rsidR="001C47C0" w:rsidRDefault="00695720" w:rsidP="003B4F57">
      <w:pPr>
        <w:pStyle w:val="ListParagraph"/>
        <w:numPr>
          <w:ilvl w:val="0"/>
          <w:numId w:val="121"/>
        </w:numPr>
        <w:spacing w:after="60" w:line="276" w:lineRule="auto"/>
        <w:ind w:hanging="294"/>
        <w:jc w:val="both"/>
        <w:rPr>
          <w:rFonts w:ascii="Arial" w:hAnsi="Arial" w:cs="Arial"/>
          <w:bCs/>
          <w:sz w:val="20"/>
          <w:szCs w:val="20"/>
        </w:rPr>
      </w:pPr>
      <w:r w:rsidRPr="00695720">
        <w:rPr>
          <w:rFonts w:ascii="Arial" w:hAnsi="Arial" w:cs="Arial"/>
          <w:bCs/>
          <w:sz w:val="20"/>
          <w:szCs w:val="20"/>
        </w:rPr>
        <w:t>Demographic characteristics</w:t>
      </w:r>
    </w:p>
    <w:p w14:paraId="0B58D3BF" w14:textId="0FC56A2A" w:rsidR="003B4F57" w:rsidRPr="00695720" w:rsidRDefault="003B4F57" w:rsidP="003B4F57">
      <w:pPr>
        <w:pStyle w:val="ListParagraph"/>
        <w:numPr>
          <w:ilvl w:val="0"/>
          <w:numId w:val="121"/>
        </w:numPr>
        <w:spacing w:after="60" w:line="276" w:lineRule="auto"/>
        <w:ind w:hanging="294"/>
        <w:jc w:val="both"/>
        <w:rPr>
          <w:rFonts w:ascii="Arial" w:hAnsi="Arial" w:cs="Arial"/>
          <w:bCs/>
          <w:sz w:val="20"/>
          <w:szCs w:val="20"/>
        </w:rPr>
      </w:pPr>
      <w:r>
        <w:rPr>
          <w:rFonts w:ascii="Arial" w:hAnsi="Arial" w:cs="Arial"/>
          <w:bCs/>
          <w:sz w:val="20"/>
          <w:szCs w:val="20"/>
        </w:rPr>
        <w:t>Comparative data on provision of services, facilities and infrastructure in the Blue Mountains and other areas</w:t>
      </w:r>
      <w:r w:rsidR="008B2B52">
        <w:rPr>
          <w:rFonts w:ascii="Arial" w:hAnsi="Arial" w:cs="Arial"/>
          <w:bCs/>
          <w:sz w:val="20"/>
          <w:szCs w:val="20"/>
        </w:rPr>
        <w:t xml:space="preserve"> taking into consideration the size of the area and population density</w:t>
      </w:r>
    </w:p>
    <w:p w14:paraId="4A400625" w14:textId="031F4D65" w:rsidR="001C47C0" w:rsidRPr="00CC7610" w:rsidRDefault="00833CF9" w:rsidP="003B4F57">
      <w:pPr>
        <w:pStyle w:val="ListParagraph"/>
        <w:numPr>
          <w:ilvl w:val="0"/>
          <w:numId w:val="120"/>
        </w:numPr>
        <w:spacing w:after="60" w:line="276" w:lineRule="auto"/>
        <w:ind w:left="709" w:hanging="283"/>
        <w:jc w:val="both"/>
        <w:rPr>
          <w:rFonts w:ascii="Arial" w:hAnsi="Arial" w:cs="Arial"/>
          <w:bCs/>
          <w:sz w:val="20"/>
          <w:szCs w:val="20"/>
        </w:rPr>
      </w:pPr>
      <w:r>
        <w:rPr>
          <w:rFonts w:ascii="Arial" w:hAnsi="Arial" w:cs="Arial"/>
          <w:bCs/>
          <w:sz w:val="20"/>
          <w:szCs w:val="20"/>
        </w:rPr>
        <w:t>T</w:t>
      </w:r>
      <w:r w:rsidR="001C47C0" w:rsidRPr="00CC7610">
        <w:rPr>
          <w:rFonts w:ascii="Arial" w:hAnsi="Arial" w:cs="Arial"/>
          <w:bCs/>
          <w:sz w:val="20"/>
          <w:szCs w:val="20"/>
        </w:rPr>
        <w:t xml:space="preserve">he </w:t>
      </w:r>
      <w:r w:rsidR="00CC7610">
        <w:rPr>
          <w:rFonts w:ascii="Arial" w:hAnsi="Arial" w:cs="Arial"/>
          <w:bCs/>
          <w:sz w:val="20"/>
          <w:szCs w:val="20"/>
        </w:rPr>
        <w:t xml:space="preserve">Council’s </w:t>
      </w:r>
      <w:r w:rsidR="001C47C0" w:rsidRPr="00CC7610">
        <w:rPr>
          <w:rFonts w:ascii="Arial" w:hAnsi="Arial" w:cs="Arial"/>
          <w:bCs/>
          <w:sz w:val="20"/>
          <w:szCs w:val="20"/>
        </w:rPr>
        <w:t>financial hardship</w:t>
      </w:r>
      <w:r w:rsidR="00CC7610">
        <w:rPr>
          <w:rFonts w:ascii="Arial" w:hAnsi="Arial" w:cs="Arial"/>
          <w:bCs/>
          <w:sz w:val="20"/>
          <w:szCs w:val="20"/>
        </w:rPr>
        <w:t xml:space="preserve"> policy and </w:t>
      </w:r>
      <w:r w:rsidR="00D66D01">
        <w:rPr>
          <w:rFonts w:ascii="Arial" w:hAnsi="Arial" w:cs="Arial"/>
          <w:bCs/>
          <w:sz w:val="20"/>
          <w:szCs w:val="20"/>
        </w:rPr>
        <w:t xml:space="preserve">other forms of </w:t>
      </w:r>
      <w:r w:rsidR="00CC7610">
        <w:rPr>
          <w:rFonts w:ascii="Arial" w:hAnsi="Arial" w:cs="Arial"/>
          <w:bCs/>
          <w:sz w:val="20"/>
          <w:szCs w:val="20"/>
        </w:rPr>
        <w:t>assistance provided</w:t>
      </w:r>
      <w:r w:rsidR="001C47C0" w:rsidRPr="00CC7610">
        <w:rPr>
          <w:rFonts w:ascii="Arial" w:hAnsi="Arial" w:cs="Arial"/>
          <w:bCs/>
          <w:sz w:val="20"/>
          <w:szCs w:val="20"/>
        </w:rPr>
        <w:t xml:space="preserve"> to rate</w:t>
      </w:r>
      <w:r w:rsidR="00CC7610">
        <w:rPr>
          <w:rFonts w:ascii="Arial" w:hAnsi="Arial" w:cs="Arial"/>
          <w:bCs/>
          <w:sz w:val="20"/>
          <w:szCs w:val="20"/>
        </w:rPr>
        <w:t>payers</w:t>
      </w:r>
      <w:r w:rsidR="001C47C0" w:rsidRPr="00CC7610">
        <w:rPr>
          <w:rFonts w:ascii="Arial" w:hAnsi="Arial" w:cs="Arial"/>
          <w:bCs/>
          <w:sz w:val="20"/>
          <w:szCs w:val="20"/>
        </w:rPr>
        <w:t xml:space="preserve">  </w:t>
      </w:r>
    </w:p>
    <w:p w14:paraId="42D986D2" w14:textId="36CDD6E9" w:rsidR="00833CF9" w:rsidRDefault="00833CF9" w:rsidP="003B4F57">
      <w:pPr>
        <w:pStyle w:val="ListParagraph"/>
        <w:numPr>
          <w:ilvl w:val="0"/>
          <w:numId w:val="120"/>
        </w:numPr>
        <w:spacing w:after="60" w:line="276" w:lineRule="auto"/>
        <w:ind w:left="709" w:hanging="283"/>
        <w:jc w:val="both"/>
        <w:rPr>
          <w:rFonts w:ascii="Arial" w:hAnsi="Arial" w:cs="Arial"/>
          <w:bCs/>
          <w:sz w:val="20"/>
          <w:szCs w:val="20"/>
        </w:rPr>
      </w:pPr>
      <w:r>
        <w:rPr>
          <w:rFonts w:ascii="Arial" w:hAnsi="Arial" w:cs="Arial"/>
          <w:bCs/>
          <w:sz w:val="20"/>
          <w:szCs w:val="20"/>
        </w:rPr>
        <w:t>A</w:t>
      </w:r>
      <w:r w:rsidR="00CC7610" w:rsidRPr="009C13AC">
        <w:rPr>
          <w:rFonts w:ascii="Arial" w:hAnsi="Arial" w:cs="Arial"/>
          <w:bCs/>
          <w:sz w:val="20"/>
          <w:szCs w:val="20"/>
        </w:rPr>
        <w:t xml:space="preserve"> </w:t>
      </w:r>
      <w:r w:rsidR="001C47C0" w:rsidRPr="009C13AC">
        <w:rPr>
          <w:rFonts w:ascii="Arial" w:hAnsi="Arial" w:cs="Arial"/>
          <w:bCs/>
          <w:sz w:val="20"/>
          <w:szCs w:val="20"/>
        </w:rPr>
        <w:t xml:space="preserve">comparison of rating </w:t>
      </w:r>
      <w:r w:rsidR="00CC7610" w:rsidRPr="009C13AC">
        <w:rPr>
          <w:rFonts w:ascii="Arial" w:hAnsi="Arial" w:cs="Arial"/>
          <w:bCs/>
          <w:sz w:val="20"/>
          <w:szCs w:val="20"/>
        </w:rPr>
        <w:t xml:space="preserve">levels of </w:t>
      </w:r>
      <w:r w:rsidR="009C13AC" w:rsidRPr="009C13AC">
        <w:rPr>
          <w:rFonts w:ascii="Arial" w:hAnsi="Arial" w:cs="Arial"/>
          <w:bCs/>
          <w:sz w:val="20"/>
          <w:szCs w:val="20"/>
        </w:rPr>
        <w:t>B</w:t>
      </w:r>
      <w:r w:rsidR="00CC7610" w:rsidRPr="009C13AC">
        <w:rPr>
          <w:rFonts w:ascii="Arial" w:hAnsi="Arial" w:cs="Arial"/>
          <w:bCs/>
          <w:sz w:val="20"/>
          <w:szCs w:val="20"/>
        </w:rPr>
        <w:t xml:space="preserve">lue Mountains relative to </w:t>
      </w:r>
      <w:r w:rsidR="001C47C0" w:rsidRPr="009C13AC">
        <w:rPr>
          <w:rFonts w:ascii="Arial" w:hAnsi="Arial" w:cs="Arial"/>
          <w:bCs/>
          <w:sz w:val="20"/>
          <w:szCs w:val="20"/>
        </w:rPr>
        <w:t>other council</w:t>
      </w:r>
      <w:r w:rsidR="008B2B52">
        <w:rPr>
          <w:rFonts w:ascii="Arial" w:hAnsi="Arial" w:cs="Arial"/>
          <w:bCs/>
          <w:sz w:val="20"/>
          <w:szCs w:val="20"/>
        </w:rPr>
        <w:t xml:space="preserve"> areas</w:t>
      </w:r>
      <w:r w:rsidR="001C47C0" w:rsidRPr="009C13AC">
        <w:rPr>
          <w:rFonts w:ascii="Arial" w:hAnsi="Arial" w:cs="Arial"/>
          <w:bCs/>
          <w:sz w:val="20"/>
          <w:szCs w:val="20"/>
        </w:rPr>
        <w:t xml:space="preserve"> </w:t>
      </w:r>
    </w:p>
    <w:p w14:paraId="16B62DAC" w14:textId="1A6300F4" w:rsidR="001C47C0" w:rsidRPr="009C13AC" w:rsidRDefault="00833CF9" w:rsidP="003B4F57">
      <w:pPr>
        <w:pStyle w:val="ListParagraph"/>
        <w:numPr>
          <w:ilvl w:val="0"/>
          <w:numId w:val="120"/>
        </w:numPr>
        <w:spacing w:after="60" w:line="276" w:lineRule="auto"/>
        <w:ind w:left="709" w:hanging="283"/>
        <w:jc w:val="both"/>
        <w:rPr>
          <w:rFonts w:ascii="Arial" w:hAnsi="Arial" w:cs="Arial"/>
          <w:bCs/>
          <w:sz w:val="20"/>
          <w:szCs w:val="20"/>
        </w:rPr>
      </w:pPr>
      <w:r>
        <w:rPr>
          <w:rFonts w:ascii="Arial" w:hAnsi="Arial" w:cs="Arial"/>
          <w:bCs/>
          <w:sz w:val="20"/>
          <w:szCs w:val="20"/>
        </w:rPr>
        <w:t>C</w:t>
      </w:r>
      <w:r w:rsidR="009C13AC" w:rsidRPr="009C13AC">
        <w:rPr>
          <w:rFonts w:ascii="Arial" w:hAnsi="Arial" w:cs="Arial"/>
          <w:bCs/>
          <w:sz w:val="20"/>
          <w:szCs w:val="20"/>
        </w:rPr>
        <w:t xml:space="preserve">onsideration </w:t>
      </w:r>
      <w:r w:rsidR="00693A92">
        <w:rPr>
          <w:rFonts w:ascii="Arial" w:hAnsi="Arial" w:cs="Arial"/>
          <w:bCs/>
          <w:sz w:val="20"/>
          <w:szCs w:val="20"/>
        </w:rPr>
        <w:t xml:space="preserve">of the </w:t>
      </w:r>
      <w:r w:rsidR="009C13AC" w:rsidRPr="009C13AC">
        <w:rPr>
          <w:rFonts w:ascii="Arial" w:hAnsi="Arial" w:cs="Arial"/>
          <w:bCs/>
          <w:sz w:val="20"/>
          <w:szCs w:val="20"/>
        </w:rPr>
        <w:t xml:space="preserve">fact that the </w:t>
      </w:r>
      <w:r w:rsidR="00CC7610" w:rsidRPr="009C13AC">
        <w:rPr>
          <w:rFonts w:ascii="Arial" w:hAnsi="Arial" w:cs="Arial"/>
          <w:bCs/>
          <w:sz w:val="20"/>
          <w:szCs w:val="20"/>
        </w:rPr>
        <w:t xml:space="preserve">City of Blue Mountains </w:t>
      </w:r>
      <w:r w:rsidR="009C13AC">
        <w:rPr>
          <w:rFonts w:ascii="Arial" w:hAnsi="Arial" w:cs="Arial"/>
          <w:bCs/>
          <w:sz w:val="20"/>
          <w:szCs w:val="20"/>
        </w:rPr>
        <w:t>is unique and not comparable to other councils in NSW</w:t>
      </w:r>
      <w:r w:rsidR="00693A92">
        <w:rPr>
          <w:rFonts w:ascii="Arial" w:hAnsi="Arial" w:cs="Arial"/>
          <w:bCs/>
          <w:sz w:val="20"/>
          <w:szCs w:val="20"/>
        </w:rPr>
        <w:t>. I</w:t>
      </w:r>
      <w:r w:rsidR="009C13AC">
        <w:rPr>
          <w:rFonts w:ascii="Arial" w:hAnsi="Arial" w:cs="Arial"/>
          <w:bCs/>
          <w:sz w:val="20"/>
          <w:szCs w:val="20"/>
        </w:rPr>
        <w:t xml:space="preserve">t is </w:t>
      </w:r>
      <w:r w:rsidR="00CC7610" w:rsidRPr="009C13AC">
        <w:rPr>
          <w:rFonts w:ascii="Arial" w:hAnsi="Arial" w:cs="Arial"/>
          <w:bCs/>
          <w:sz w:val="20"/>
          <w:szCs w:val="20"/>
        </w:rPr>
        <w:t xml:space="preserve">the only Council in NSW and one of </w:t>
      </w:r>
      <w:r w:rsidR="009C13AC" w:rsidRPr="009C13AC">
        <w:rPr>
          <w:rFonts w:ascii="Arial" w:hAnsi="Arial" w:cs="Arial"/>
          <w:bCs/>
          <w:sz w:val="20"/>
          <w:szCs w:val="20"/>
        </w:rPr>
        <w:t xml:space="preserve">only </w:t>
      </w:r>
      <w:r w:rsidR="00CC7610" w:rsidRPr="009C13AC">
        <w:rPr>
          <w:rFonts w:ascii="Arial" w:hAnsi="Arial" w:cs="Arial"/>
          <w:bCs/>
          <w:sz w:val="20"/>
          <w:szCs w:val="20"/>
        </w:rPr>
        <w:t xml:space="preserve">four nationally </w:t>
      </w:r>
      <w:r w:rsidR="009C13AC" w:rsidRPr="009C13AC">
        <w:rPr>
          <w:rFonts w:ascii="Arial" w:hAnsi="Arial" w:cs="Arial"/>
          <w:bCs/>
          <w:sz w:val="20"/>
          <w:szCs w:val="20"/>
        </w:rPr>
        <w:t>classified as Category 12 Urban fringe Large (UFL) under the Australian Classification of Local Governments (ACLG) system</w:t>
      </w:r>
      <w:r w:rsidR="009C13AC">
        <w:rPr>
          <w:rFonts w:ascii="Arial" w:hAnsi="Arial" w:cs="Arial"/>
          <w:bCs/>
          <w:sz w:val="20"/>
          <w:szCs w:val="20"/>
        </w:rPr>
        <w:t>,</w:t>
      </w:r>
      <w:r w:rsidR="009C13AC" w:rsidRPr="009C13AC">
        <w:rPr>
          <w:rFonts w:ascii="Arial" w:hAnsi="Arial" w:cs="Arial"/>
          <w:bCs/>
          <w:sz w:val="20"/>
          <w:szCs w:val="20"/>
        </w:rPr>
        <w:t xml:space="preserve"> which classifies councils according to the degree of urbanisation and population size.</w:t>
      </w:r>
    </w:p>
    <w:p w14:paraId="63285845" w14:textId="77777777" w:rsidR="00693A92" w:rsidRDefault="00693A92" w:rsidP="00114636">
      <w:pPr>
        <w:spacing w:line="276" w:lineRule="auto"/>
        <w:ind w:left="284"/>
        <w:jc w:val="both"/>
        <w:rPr>
          <w:rFonts w:ascii="Arial" w:hAnsi="Arial" w:cs="Arial"/>
          <w:bCs/>
          <w:sz w:val="20"/>
          <w:szCs w:val="20"/>
        </w:rPr>
      </w:pPr>
    </w:p>
    <w:p w14:paraId="5C4DE303" w14:textId="7DCE668C" w:rsidR="00BF203F" w:rsidRDefault="008361FC" w:rsidP="00F9375C">
      <w:pPr>
        <w:spacing w:line="276" w:lineRule="auto"/>
        <w:jc w:val="both"/>
        <w:rPr>
          <w:rFonts w:ascii="Arial" w:hAnsi="Arial" w:cs="Arial"/>
          <w:bCs/>
          <w:sz w:val="20"/>
          <w:szCs w:val="20"/>
        </w:rPr>
      </w:pPr>
      <w:r w:rsidRPr="001C4708">
        <w:rPr>
          <w:rFonts w:ascii="Arial" w:hAnsi="Arial" w:cs="Arial"/>
          <w:bCs/>
          <w:sz w:val="20"/>
          <w:szCs w:val="20"/>
        </w:rPr>
        <w:t>Overall</w:t>
      </w:r>
      <w:r>
        <w:rPr>
          <w:rFonts w:ascii="Arial" w:hAnsi="Arial" w:cs="Arial"/>
          <w:bCs/>
          <w:sz w:val="20"/>
          <w:szCs w:val="20"/>
        </w:rPr>
        <w:t xml:space="preserve">, there is </w:t>
      </w:r>
      <w:r w:rsidR="00635969">
        <w:rPr>
          <w:rFonts w:ascii="Arial" w:hAnsi="Arial" w:cs="Arial"/>
          <w:bCs/>
          <w:sz w:val="20"/>
          <w:szCs w:val="20"/>
        </w:rPr>
        <w:t xml:space="preserve">sufficient </w:t>
      </w:r>
      <w:r>
        <w:rPr>
          <w:rFonts w:ascii="Arial" w:hAnsi="Arial" w:cs="Arial"/>
          <w:bCs/>
          <w:sz w:val="20"/>
          <w:szCs w:val="20"/>
        </w:rPr>
        <w:t xml:space="preserve">evidence from </w:t>
      </w:r>
      <w:r w:rsidR="00693A92">
        <w:rPr>
          <w:rFonts w:ascii="Arial" w:hAnsi="Arial" w:cs="Arial"/>
          <w:bCs/>
          <w:sz w:val="20"/>
          <w:szCs w:val="20"/>
        </w:rPr>
        <w:t xml:space="preserve">the comparative </w:t>
      </w:r>
      <w:r>
        <w:rPr>
          <w:rFonts w:ascii="Arial" w:hAnsi="Arial" w:cs="Arial"/>
          <w:bCs/>
          <w:sz w:val="20"/>
          <w:szCs w:val="20"/>
        </w:rPr>
        <w:t>rating impact</w:t>
      </w:r>
      <w:r w:rsidR="00693A92">
        <w:rPr>
          <w:rFonts w:ascii="Arial" w:hAnsi="Arial" w:cs="Arial"/>
          <w:bCs/>
          <w:sz w:val="20"/>
          <w:szCs w:val="20"/>
        </w:rPr>
        <w:t xml:space="preserve"> review,</w:t>
      </w:r>
      <w:r>
        <w:rPr>
          <w:rFonts w:ascii="Arial" w:hAnsi="Arial" w:cs="Arial"/>
          <w:bCs/>
          <w:sz w:val="20"/>
          <w:szCs w:val="20"/>
        </w:rPr>
        <w:t xml:space="preserve"> </w:t>
      </w:r>
      <w:r w:rsidR="00693A92">
        <w:rPr>
          <w:rFonts w:ascii="Arial" w:hAnsi="Arial" w:cs="Arial"/>
          <w:bCs/>
          <w:sz w:val="20"/>
          <w:szCs w:val="20"/>
        </w:rPr>
        <w:t>assessment of the unique challenges and requirements of the City of Blue Mountains</w:t>
      </w:r>
      <w:r w:rsidR="006C03E8">
        <w:rPr>
          <w:rFonts w:ascii="Arial" w:hAnsi="Arial" w:cs="Arial"/>
          <w:bCs/>
          <w:sz w:val="20"/>
          <w:szCs w:val="20"/>
        </w:rPr>
        <w:t xml:space="preserve">, assessment of </w:t>
      </w:r>
      <w:r>
        <w:rPr>
          <w:rFonts w:ascii="Arial" w:hAnsi="Arial" w:cs="Arial"/>
          <w:bCs/>
          <w:sz w:val="20"/>
          <w:szCs w:val="20"/>
        </w:rPr>
        <w:t xml:space="preserve">socio-economic </w:t>
      </w:r>
      <w:r w:rsidR="006C03E8">
        <w:rPr>
          <w:rFonts w:ascii="Arial" w:hAnsi="Arial" w:cs="Arial"/>
          <w:bCs/>
          <w:sz w:val="20"/>
          <w:szCs w:val="20"/>
        </w:rPr>
        <w:t xml:space="preserve">characteristics and assessment of the </w:t>
      </w:r>
      <w:r>
        <w:rPr>
          <w:rFonts w:ascii="Arial" w:hAnsi="Arial" w:cs="Arial"/>
          <w:bCs/>
          <w:sz w:val="20"/>
          <w:szCs w:val="20"/>
        </w:rPr>
        <w:t xml:space="preserve">results of community engagement, that the Blue Mountains community has </w:t>
      </w:r>
      <w:r w:rsidR="004E69BF">
        <w:rPr>
          <w:rFonts w:ascii="Arial" w:hAnsi="Arial" w:cs="Arial"/>
          <w:bCs/>
          <w:sz w:val="20"/>
          <w:szCs w:val="20"/>
        </w:rPr>
        <w:t xml:space="preserve">the </w:t>
      </w:r>
      <w:r>
        <w:rPr>
          <w:rFonts w:ascii="Arial" w:hAnsi="Arial" w:cs="Arial"/>
          <w:bCs/>
          <w:sz w:val="20"/>
          <w:szCs w:val="20"/>
        </w:rPr>
        <w:t>capacity</w:t>
      </w:r>
      <w:r w:rsidR="008E09A9">
        <w:rPr>
          <w:rFonts w:ascii="Arial" w:hAnsi="Arial" w:cs="Arial"/>
          <w:bCs/>
          <w:sz w:val="20"/>
          <w:szCs w:val="20"/>
        </w:rPr>
        <w:t>,</w:t>
      </w:r>
      <w:r>
        <w:rPr>
          <w:rFonts w:ascii="Arial" w:hAnsi="Arial" w:cs="Arial"/>
          <w:bCs/>
          <w:sz w:val="20"/>
          <w:szCs w:val="20"/>
        </w:rPr>
        <w:t xml:space="preserve"> </w:t>
      </w:r>
      <w:r w:rsidR="00693A92">
        <w:rPr>
          <w:rFonts w:ascii="Arial" w:hAnsi="Arial" w:cs="Arial"/>
          <w:bCs/>
          <w:sz w:val="20"/>
          <w:szCs w:val="20"/>
        </w:rPr>
        <w:t>and most importantly</w:t>
      </w:r>
      <w:r w:rsidR="008E09A9">
        <w:rPr>
          <w:rFonts w:ascii="Arial" w:hAnsi="Arial" w:cs="Arial"/>
          <w:bCs/>
          <w:sz w:val="20"/>
          <w:szCs w:val="20"/>
        </w:rPr>
        <w:t>,</w:t>
      </w:r>
      <w:r w:rsidR="00693A92">
        <w:rPr>
          <w:rFonts w:ascii="Arial" w:hAnsi="Arial" w:cs="Arial"/>
          <w:bCs/>
          <w:sz w:val="20"/>
          <w:szCs w:val="20"/>
        </w:rPr>
        <w:t xml:space="preserve"> the willingness </w:t>
      </w:r>
      <w:r>
        <w:rPr>
          <w:rFonts w:ascii="Arial" w:hAnsi="Arial" w:cs="Arial"/>
          <w:bCs/>
          <w:sz w:val="20"/>
          <w:szCs w:val="20"/>
        </w:rPr>
        <w:t xml:space="preserve">to pay additional rates relative to </w:t>
      </w:r>
      <w:r w:rsidR="006C03E8">
        <w:rPr>
          <w:rFonts w:ascii="Arial" w:hAnsi="Arial" w:cs="Arial"/>
          <w:bCs/>
          <w:sz w:val="20"/>
          <w:szCs w:val="20"/>
        </w:rPr>
        <w:t xml:space="preserve">this application. </w:t>
      </w:r>
    </w:p>
    <w:p w14:paraId="4083E231" w14:textId="77777777" w:rsidR="00BF203F" w:rsidRDefault="00BF203F" w:rsidP="00F9375C">
      <w:pPr>
        <w:spacing w:line="276" w:lineRule="auto"/>
        <w:jc w:val="both"/>
        <w:rPr>
          <w:rFonts w:ascii="Arial" w:hAnsi="Arial" w:cs="Arial"/>
          <w:bCs/>
          <w:sz w:val="20"/>
          <w:szCs w:val="20"/>
        </w:rPr>
      </w:pPr>
    </w:p>
    <w:p w14:paraId="7963B7DD" w14:textId="4E413C14" w:rsidR="007E0C83" w:rsidRDefault="00BF203F" w:rsidP="00F9375C">
      <w:pPr>
        <w:spacing w:line="276" w:lineRule="auto"/>
        <w:jc w:val="both"/>
        <w:rPr>
          <w:rFonts w:ascii="Arial" w:hAnsi="Arial" w:cs="Arial"/>
          <w:bCs/>
          <w:sz w:val="20"/>
          <w:szCs w:val="20"/>
        </w:rPr>
      </w:pPr>
      <w:r>
        <w:rPr>
          <w:rFonts w:ascii="Arial" w:hAnsi="Arial" w:cs="Arial"/>
          <w:bCs/>
          <w:sz w:val="20"/>
          <w:szCs w:val="20"/>
        </w:rPr>
        <w:t xml:space="preserve">Recognising that </w:t>
      </w:r>
      <w:r w:rsidR="008D7B23">
        <w:rPr>
          <w:rFonts w:ascii="Arial" w:hAnsi="Arial" w:cs="Arial"/>
          <w:bCs/>
          <w:sz w:val="20"/>
          <w:szCs w:val="20"/>
        </w:rPr>
        <w:t xml:space="preserve">some </w:t>
      </w:r>
      <w:r>
        <w:rPr>
          <w:rFonts w:ascii="Arial" w:hAnsi="Arial" w:cs="Arial"/>
          <w:bCs/>
          <w:sz w:val="20"/>
          <w:szCs w:val="20"/>
        </w:rPr>
        <w:t xml:space="preserve">ratepayers </w:t>
      </w:r>
      <w:r w:rsidR="00A435A8">
        <w:rPr>
          <w:rFonts w:ascii="Arial" w:hAnsi="Arial" w:cs="Arial"/>
          <w:bCs/>
          <w:sz w:val="20"/>
          <w:szCs w:val="20"/>
        </w:rPr>
        <w:t>will</w:t>
      </w:r>
      <w:r w:rsidR="007E0C83">
        <w:rPr>
          <w:rFonts w:ascii="Arial" w:hAnsi="Arial" w:cs="Arial"/>
          <w:bCs/>
          <w:sz w:val="20"/>
          <w:szCs w:val="20"/>
        </w:rPr>
        <w:t xml:space="preserve"> </w:t>
      </w:r>
      <w:r>
        <w:rPr>
          <w:rFonts w:ascii="Arial" w:hAnsi="Arial" w:cs="Arial"/>
          <w:bCs/>
          <w:sz w:val="20"/>
          <w:szCs w:val="20"/>
        </w:rPr>
        <w:t xml:space="preserve">be challenged in meeting additional rate payments, </w:t>
      </w:r>
      <w:r w:rsidR="00FE01B9">
        <w:rPr>
          <w:rFonts w:ascii="Arial" w:hAnsi="Arial" w:cs="Arial"/>
          <w:bCs/>
          <w:sz w:val="20"/>
          <w:szCs w:val="20"/>
        </w:rPr>
        <w:t xml:space="preserve">as detailed in </w:t>
      </w:r>
      <w:r w:rsidR="00FE01B9" w:rsidRPr="00093BC0">
        <w:rPr>
          <w:rFonts w:ascii="Arial" w:hAnsi="Arial" w:cs="Arial"/>
          <w:b/>
          <w:bCs/>
          <w:sz w:val="20"/>
          <w:szCs w:val="20"/>
        </w:rPr>
        <w:t xml:space="preserve">Section 5 </w:t>
      </w:r>
      <w:r>
        <w:rPr>
          <w:rFonts w:ascii="Arial" w:hAnsi="Arial" w:cs="Arial"/>
          <w:bCs/>
          <w:sz w:val="20"/>
          <w:szCs w:val="20"/>
        </w:rPr>
        <w:t>the Council is fully committed to supporting these people through</w:t>
      </w:r>
      <w:r w:rsidR="007E0C83">
        <w:rPr>
          <w:rFonts w:ascii="Arial" w:hAnsi="Arial" w:cs="Arial"/>
          <w:bCs/>
          <w:sz w:val="20"/>
          <w:szCs w:val="20"/>
        </w:rPr>
        <w:t xml:space="preserve"> its:</w:t>
      </w:r>
    </w:p>
    <w:p w14:paraId="47028174" w14:textId="77777777" w:rsidR="007E0C83" w:rsidRDefault="007E0C83" w:rsidP="00114636">
      <w:pPr>
        <w:spacing w:line="276" w:lineRule="auto"/>
        <w:jc w:val="both"/>
        <w:rPr>
          <w:rFonts w:ascii="Arial" w:hAnsi="Arial" w:cs="Arial"/>
          <w:bCs/>
          <w:sz w:val="20"/>
          <w:szCs w:val="20"/>
        </w:rPr>
      </w:pPr>
    </w:p>
    <w:p w14:paraId="292357E2" w14:textId="1463B312" w:rsidR="007E0C83" w:rsidRPr="00D61851" w:rsidRDefault="00BF203F" w:rsidP="00695720">
      <w:pPr>
        <w:pStyle w:val="ListParagraph"/>
        <w:numPr>
          <w:ilvl w:val="0"/>
          <w:numId w:val="98"/>
        </w:numPr>
        <w:spacing w:line="276" w:lineRule="auto"/>
        <w:jc w:val="both"/>
        <w:rPr>
          <w:rFonts w:ascii="Arial" w:hAnsi="Arial" w:cs="Arial"/>
          <w:bCs/>
          <w:sz w:val="20"/>
          <w:szCs w:val="20"/>
        </w:rPr>
      </w:pPr>
      <w:r w:rsidRPr="007E0C83">
        <w:rPr>
          <w:rFonts w:ascii="Arial" w:hAnsi="Arial" w:cs="Arial"/>
          <w:bCs/>
          <w:sz w:val="20"/>
          <w:szCs w:val="20"/>
        </w:rPr>
        <w:t>Hardship Relief Policy</w:t>
      </w:r>
      <w:r w:rsidR="00D61851">
        <w:rPr>
          <w:rFonts w:ascii="Arial" w:hAnsi="Arial" w:cs="Arial"/>
          <w:bCs/>
          <w:sz w:val="20"/>
          <w:szCs w:val="20"/>
        </w:rPr>
        <w:t xml:space="preserve"> (</w:t>
      </w:r>
      <w:r w:rsidR="00D61851" w:rsidRPr="00D61851">
        <w:rPr>
          <w:rFonts w:ascii="Arial" w:hAnsi="Arial" w:cs="Arial"/>
          <w:b/>
          <w:bCs/>
          <w:sz w:val="20"/>
          <w:szCs w:val="20"/>
        </w:rPr>
        <w:t>Attachment 7</w:t>
      </w:r>
      <w:r w:rsidR="00D61851" w:rsidRPr="00D61851">
        <w:rPr>
          <w:rFonts w:ascii="Arial" w:hAnsi="Arial" w:cs="Arial"/>
          <w:bCs/>
          <w:sz w:val="20"/>
          <w:szCs w:val="20"/>
        </w:rPr>
        <w:t>)</w:t>
      </w:r>
    </w:p>
    <w:p w14:paraId="6281CAB6" w14:textId="77777777" w:rsidR="007E0C83" w:rsidRPr="007E0C83" w:rsidRDefault="00BF203F" w:rsidP="00695720">
      <w:pPr>
        <w:pStyle w:val="ListParagraph"/>
        <w:numPr>
          <w:ilvl w:val="0"/>
          <w:numId w:val="98"/>
        </w:numPr>
        <w:spacing w:line="276" w:lineRule="auto"/>
        <w:jc w:val="both"/>
        <w:rPr>
          <w:rFonts w:ascii="Arial" w:hAnsi="Arial" w:cs="Arial"/>
          <w:bCs/>
          <w:sz w:val="20"/>
          <w:szCs w:val="20"/>
        </w:rPr>
      </w:pPr>
      <w:r w:rsidRPr="007E0C83">
        <w:rPr>
          <w:rFonts w:ascii="Arial" w:hAnsi="Arial" w:cs="Arial"/>
          <w:bCs/>
          <w:sz w:val="20"/>
          <w:szCs w:val="20"/>
        </w:rPr>
        <w:t>Special Consideration process</w:t>
      </w:r>
    </w:p>
    <w:p w14:paraId="56368B65" w14:textId="77777777" w:rsidR="007E0C83" w:rsidRPr="007E0C83" w:rsidRDefault="00BF203F" w:rsidP="00695720">
      <w:pPr>
        <w:pStyle w:val="ListParagraph"/>
        <w:numPr>
          <w:ilvl w:val="0"/>
          <w:numId w:val="98"/>
        </w:numPr>
        <w:spacing w:line="276" w:lineRule="auto"/>
        <w:jc w:val="both"/>
        <w:rPr>
          <w:rFonts w:ascii="Arial" w:hAnsi="Arial" w:cs="Arial"/>
          <w:bCs/>
          <w:sz w:val="20"/>
          <w:szCs w:val="20"/>
        </w:rPr>
      </w:pPr>
      <w:r w:rsidRPr="007E0C83">
        <w:rPr>
          <w:rFonts w:ascii="Arial" w:hAnsi="Arial" w:cs="Arial"/>
          <w:bCs/>
          <w:sz w:val="20"/>
          <w:szCs w:val="20"/>
        </w:rPr>
        <w:t xml:space="preserve">Arrangements to Pay </w:t>
      </w:r>
      <w:r w:rsidR="007E0C83" w:rsidRPr="007E0C83">
        <w:rPr>
          <w:rFonts w:ascii="Arial" w:hAnsi="Arial" w:cs="Arial"/>
          <w:bCs/>
          <w:sz w:val="20"/>
          <w:szCs w:val="20"/>
        </w:rPr>
        <w:t>A</w:t>
      </w:r>
      <w:r w:rsidRPr="007E0C83">
        <w:rPr>
          <w:rFonts w:ascii="Arial" w:hAnsi="Arial" w:cs="Arial"/>
          <w:bCs/>
          <w:sz w:val="20"/>
          <w:szCs w:val="20"/>
        </w:rPr>
        <w:t>greements</w:t>
      </w:r>
    </w:p>
    <w:p w14:paraId="6D0277AA" w14:textId="5D83F1FD" w:rsidR="007E0C83" w:rsidRPr="007E0C83" w:rsidRDefault="007E0C83" w:rsidP="00695720">
      <w:pPr>
        <w:pStyle w:val="ListParagraph"/>
        <w:numPr>
          <w:ilvl w:val="0"/>
          <w:numId w:val="98"/>
        </w:numPr>
        <w:spacing w:line="276" w:lineRule="auto"/>
        <w:jc w:val="both"/>
        <w:rPr>
          <w:rFonts w:ascii="Arial" w:hAnsi="Arial" w:cs="Arial"/>
          <w:bCs/>
          <w:sz w:val="20"/>
          <w:szCs w:val="20"/>
        </w:rPr>
      </w:pPr>
      <w:r w:rsidRPr="007E0C83">
        <w:rPr>
          <w:rFonts w:ascii="Arial" w:hAnsi="Arial" w:cs="Arial"/>
          <w:bCs/>
          <w:sz w:val="20"/>
          <w:szCs w:val="20"/>
        </w:rPr>
        <w:t>Aged and Disability Officer support</w:t>
      </w:r>
      <w:r w:rsidR="00093BC0">
        <w:rPr>
          <w:rFonts w:ascii="Arial" w:hAnsi="Arial" w:cs="Arial"/>
          <w:bCs/>
          <w:sz w:val="20"/>
          <w:szCs w:val="20"/>
        </w:rPr>
        <w:t xml:space="preserve"> and </w:t>
      </w:r>
      <w:r w:rsidRPr="007E0C83">
        <w:rPr>
          <w:rFonts w:ascii="Arial" w:hAnsi="Arial" w:cs="Arial"/>
          <w:bCs/>
          <w:sz w:val="20"/>
          <w:szCs w:val="20"/>
        </w:rPr>
        <w:t xml:space="preserve">referral to </w:t>
      </w:r>
      <w:r w:rsidR="00093BC0">
        <w:rPr>
          <w:rFonts w:ascii="Arial" w:hAnsi="Arial" w:cs="Arial"/>
          <w:bCs/>
          <w:sz w:val="20"/>
          <w:szCs w:val="20"/>
        </w:rPr>
        <w:t xml:space="preserve">other </w:t>
      </w:r>
      <w:r w:rsidRPr="007E0C83">
        <w:rPr>
          <w:rFonts w:ascii="Arial" w:hAnsi="Arial" w:cs="Arial"/>
          <w:bCs/>
          <w:sz w:val="20"/>
          <w:szCs w:val="20"/>
        </w:rPr>
        <w:t xml:space="preserve">agencies </w:t>
      </w:r>
      <w:r w:rsidR="00093BC0">
        <w:rPr>
          <w:rFonts w:ascii="Arial" w:hAnsi="Arial" w:cs="Arial"/>
          <w:bCs/>
          <w:sz w:val="20"/>
          <w:szCs w:val="20"/>
        </w:rPr>
        <w:t>facilitating development of Care Plans and affordable arrangements to address outstanding rates</w:t>
      </w:r>
    </w:p>
    <w:p w14:paraId="5C377DCA" w14:textId="77777777" w:rsidR="007E0C83" w:rsidRPr="007E0C83" w:rsidRDefault="00BF203F" w:rsidP="00695720">
      <w:pPr>
        <w:pStyle w:val="ListParagraph"/>
        <w:numPr>
          <w:ilvl w:val="0"/>
          <w:numId w:val="98"/>
        </w:numPr>
        <w:spacing w:line="276" w:lineRule="auto"/>
        <w:jc w:val="both"/>
        <w:rPr>
          <w:rFonts w:ascii="Arial" w:hAnsi="Arial" w:cs="Arial"/>
          <w:bCs/>
          <w:sz w:val="20"/>
          <w:szCs w:val="20"/>
        </w:rPr>
      </w:pPr>
      <w:r w:rsidRPr="007E0C83">
        <w:rPr>
          <w:rFonts w:ascii="Arial" w:hAnsi="Arial" w:cs="Arial"/>
          <w:bCs/>
          <w:sz w:val="20"/>
          <w:szCs w:val="20"/>
        </w:rPr>
        <w:t xml:space="preserve">Pensioner Concession Rebates, </w:t>
      </w:r>
    </w:p>
    <w:p w14:paraId="55DC5FEB" w14:textId="47207ADD" w:rsidR="007E0C83" w:rsidRDefault="00093BC0" w:rsidP="00114636">
      <w:pPr>
        <w:pStyle w:val="ListParagraph"/>
        <w:numPr>
          <w:ilvl w:val="0"/>
          <w:numId w:val="98"/>
        </w:numPr>
        <w:spacing w:line="276" w:lineRule="auto"/>
        <w:jc w:val="both"/>
        <w:rPr>
          <w:rFonts w:ascii="Arial" w:hAnsi="Arial" w:cs="Arial"/>
          <w:bCs/>
          <w:sz w:val="20"/>
          <w:szCs w:val="20"/>
        </w:rPr>
      </w:pPr>
      <w:r w:rsidRPr="00093BC0">
        <w:rPr>
          <w:rFonts w:ascii="Arial" w:hAnsi="Arial" w:cs="Arial"/>
          <w:bCs/>
          <w:sz w:val="20"/>
          <w:szCs w:val="20"/>
        </w:rPr>
        <w:t>R</w:t>
      </w:r>
      <w:r w:rsidR="00BF203F" w:rsidRPr="00093BC0">
        <w:rPr>
          <w:rFonts w:ascii="Arial" w:hAnsi="Arial" w:cs="Arial"/>
          <w:bCs/>
          <w:sz w:val="20"/>
          <w:szCs w:val="20"/>
        </w:rPr>
        <w:t xml:space="preserve">eferral to Financial Advisory and </w:t>
      </w:r>
      <w:r w:rsidRPr="00093BC0">
        <w:rPr>
          <w:rFonts w:ascii="Arial" w:hAnsi="Arial" w:cs="Arial"/>
          <w:bCs/>
          <w:sz w:val="20"/>
          <w:szCs w:val="20"/>
        </w:rPr>
        <w:t xml:space="preserve">other </w:t>
      </w:r>
      <w:r w:rsidR="00BF203F" w:rsidRPr="00093BC0">
        <w:rPr>
          <w:rFonts w:ascii="Arial" w:hAnsi="Arial" w:cs="Arial"/>
          <w:bCs/>
          <w:sz w:val="20"/>
          <w:szCs w:val="20"/>
        </w:rPr>
        <w:t>welfare services</w:t>
      </w:r>
      <w:r w:rsidRPr="00093BC0">
        <w:rPr>
          <w:rFonts w:ascii="Arial" w:hAnsi="Arial" w:cs="Arial"/>
          <w:bCs/>
          <w:sz w:val="20"/>
          <w:szCs w:val="20"/>
        </w:rPr>
        <w:t>.</w:t>
      </w:r>
    </w:p>
    <w:p w14:paraId="4416433B" w14:textId="77777777" w:rsidR="00093BC0" w:rsidRPr="00093BC0" w:rsidRDefault="00093BC0" w:rsidP="00093BC0">
      <w:pPr>
        <w:pStyle w:val="ListParagraph"/>
        <w:spacing w:line="276" w:lineRule="auto"/>
        <w:jc w:val="both"/>
        <w:rPr>
          <w:rFonts w:ascii="Arial" w:hAnsi="Arial" w:cs="Arial"/>
          <w:bCs/>
          <w:sz w:val="20"/>
          <w:szCs w:val="20"/>
        </w:rPr>
      </w:pPr>
    </w:p>
    <w:p w14:paraId="4492DD98" w14:textId="12B70EDE" w:rsidR="004D451A" w:rsidRPr="007E0C83" w:rsidRDefault="008E09A9" w:rsidP="00114636">
      <w:pPr>
        <w:spacing w:line="276" w:lineRule="auto"/>
        <w:jc w:val="both"/>
        <w:rPr>
          <w:rFonts w:ascii="Arial" w:hAnsi="Arial" w:cs="Arial"/>
          <w:bCs/>
          <w:sz w:val="20"/>
          <w:szCs w:val="20"/>
        </w:rPr>
      </w:pPr>
      <w:r w:rsidRPr="007E0C83">
        <w:rPr>
          <w:rFonts w:ascii="Arial" w:hAnsi="Arial" w:cs="Arial"/>
          <w:bCs/>
          <w:sz w:val="20"/>
          <w:szCs w:val="20"/>
        </w:rPr>
        <w:t>In addition, in resolving to proceed with Option 1, the Council also resolved on 9 December 2014 (Min. No. 1254</w:t>
      </w:r>
      <w:r w:rsidR="003D0F20">
        <w:rPr>
          <w:rFonts w:ascii="Arial" w:hAnsi="Arial" w:cs="Arial"/>
          <w:bCs/>
          <w:sz w:val="20"/>
          <w:szCs w:val="20"/>
        </w:rPr>
        <w:t>)</w:t>
      </w:r>
      <w:r w:rsidRPr="007E0C83">
        <w:rPr>
          <w:rFonts w:ascii="Arial" w:hAnsi="Arial" w:cs="Arial"/>
          <w:bCs/>
          <w:sz w:val="20"/>
          <w:szCs w:val="20"/>
        </w:rPr>
        <w:t>:</w:t>
      </w:r>
    </w:p>
    <w:p w14:paraId="724114D3" w14:textId="77777777" w:rsidR="008E09A9" w:rsidRPr="008E09A9" w:rsidRDefault="008E09A9" w:rsidP="00114636">
      <w:pPr>
        <w:spacing w:line="276" w:lineRule="auto"/>
        <w:jc w:val="both"/>
        <w:rPr>
          <w:rFonts w:ascii="Arial" w:hAnsi="Arial" w:cs="Arial"/>
          <w:bCs/>
          <w:i/>
          <w:sz w:val="20"/>
          <w:szCs w:val="20"/>
        </w:rPr>
      </w:pPr>
    </w:p>
    <w:p w14:paraId="42B46B58" w14:textId="5C0B60D8" w:rsidR="008E09A9" w:rsidRPr="00093BC0" w:rsidRDefault="008E09A9" w:rsidP="00093BC0">
      <w:pPr>
        <w:spacing w:line="276" w:lineRule="auto"/>
        <w:ind w:left="426"/>
        <w:jc w:val="both"/>
        <w:rPr>
          <w:rFonts w:ascii="Arial" w:hAnsi="Arial" w:cs="Arial"/>
          <w:b/>
          <w:bCs/>
          <w:i/>
          <w:sz w:val="21"/>
          <w:szCs w:val="21"/>
        </w:rPr>
      </w:pPr>
      <w:r w:rsidRPr="00093BC0">
        <w:rPr>
          <w:rFonts w:ascii="Arial" w:hAnsi="Arial" w:cs="Arial"/>
          <w:bCs/>
          <w:i/>
          <w:sz w:val="21"/>
          <w:szCs w:val="21"/>
        </w:rPr>
        <w:t>“That the Council receives a report on the Council’s Hardship Relief P</w:t>
      </w:r>
      <w:r w:rsidR="003D0F20" w:rsidRPr="00093BC0">
        <w:rPr>
          <w:rFonts w:ascii="Arial" w:hAnsi="Arial" w:cs="Arial"/>
          <w:bCs/>
          <w:i/>
          <w:sz w:val="21"/>
          <w:szCs w:val="21"/>
        </w:rPr>
        <w:t>olicy</w:t>
      </w:r>
      <w:r w:rsidRPr="00093BC0">
        <w:rPr>
          <w:rFonts w:ascii="Arial" w:hAnsi="Arial" w:cs="Arial"/>
          <w:bCs/>
          <w:i/>
          <w:sz w:val="21"/>
          <w:szCs w:val="21"/>
        </w:rPr>
        <w:t xml:space="preserve"> and any other relevant policies for the purpose of identifying options to </w:t>
      </w:r>
      <w:r w:rsidRPr="00093BC0">
        <w:rPr>
          <w:rFonts w:ascii="Arial" w:hAnsi="Arial" w:cs="Arial"/>
          <w:b/>
          <w:bCs/>
          <w:i/>
          <w:sz w:val="21"/>
          <w:szCs w:val="21"/>
        </w:rPr>
        <w:t>ensure that</w:t>
      </w:r>
      <w:r w:rsidRPr="00093BC0">
        <w:rPr>
          <w:rFonts w:ascii="Arial" w:hAnsi="Arial" w:cs="Arial"/>
          <w:bCs/>
          <w:i/>
          <w:sz w:val="21"/>
          <w:szCs w:val="21"/>
        </w:rPr>
        <w:t xml:space="preserve"> </w:t>
      </w:r>
      <w:r w:rsidRPr="00093BC0">
        <w:rPr>
          <w:rFonts w:ascii="Arial" w:hAnsi="Arial" w:cs="Arial"/>
          <w:b/>
          <w:bCs/>
          <w:i/>
          <w:sz w:val="21"/>
          <w:szCs w:val="21"/>
        </w:rPr>
        <w:t>ample consideration is extended to low income and pensioner rate payers.”</w:t>
      </w:r>
    </w:p>
    <w:p w14:paraId="325289F7" w14:textId="07A79B86" w:rsidR="00083008" w:rsidRPr="00EC2935" w:rsidRDefault="00083008" w:rsidP="004E7F7B">
      <w:pPr>
        <w:pStyle w:val="Heading3"/>
        <w:tabs>
          <w:tab w:val="num" w:pos="709"/>
        </w:tabs>
        <w:ind w:left="709"/>
      </w:pPr>
      <w:r w:rsidRPr="00EC2935">
        <w:t>Council Resolution to Seek Special Rate Variation</w:t>
      </w:r>
    </w:p>
    <w:p w14:paraId="6BEC29E7" w14:textId="77777777" w:rsidR="00833CF9" w:rsidRDefault="00833CF9" w:rsidP="00083008">
      <w:pPr>
        <w:pStyle w:val="Default"/>
        <w:spacing w:line="360" w:lineRule="auto"/>
        <w:jc w:val="both"/>
        <w:rPr>
          <w:bCs/>
          <w:color w:val="auto"/>
          <w:sz w:val="20"/>
          <w:szCs w:val="20"/>
        </w:rPr>
      </w:pPr>
    </w:p>
    <w:p w14:paraId="23839396" w14:textId="1F5F949E" w:rsidR="00083008" w:rsidRDefault="00083008" w:rsidP="00E60CAD">
      <w:pPr>
        <w:pStyle w:val="Default"/>
        <w:spacing w:line="276" w:lineRule="auto"/>
        <w:jc w:val="both"/>
        <w:rPr>
          <w:bCs/>
          <w:color w:val="auto"/>
          <w:sz w:val="20"/>
          <w:szCs w:val="20"/>
        </w:rPr>
      </w:pPr>
      <w:r>
        <w:rPr>
          <w:bCs/>
          <w:color w:val="auto"/>
          <w:sz w:val="20"/>
          <w:szCs w:val="20"/>
        </w:rPr>
        <w:t xml:space="preserve">Following an extensive and comprehensive community engagement process on options for </w:t>
      </w:r>
      <w:r w:rsidRPr="00213A5A">
        <w:rPr>
          <w:bCs/>
          <w:i/>
          <w:color w:val="auto"/>
          <w:sz w:val="20"/>
          <w:szCs w:val="20"/>
        </w:rPr>
        <w:t xml:space="preserve">Resourcing </w:t>
      </w:r>
      <w:r>
        <w:rPr>
          <w:bCs/>
          <w:i/>
          <w:color w:val="auto"/>
          <w:sz w:val="20"/>
          <w:szCs w:val="20"/>
        </w:rPr>
        <w:t>O</w:t>
      </w:r>
      <w:r w:rsidRPr="00213A5A">
        <w:rPr>
          <w:bCs/>
          <w:i/>
          <w:color w:val="auto"/>
          <w:sz w:val="20"/>
          <w:szCs w:val="20"/>
        </w:rPr>
        <w:t>ur Future</w:t>
      </w:r>
      <w:r>
        <w:rPr>
          <w:bCs/>
          <w:color w:val="auto"/>
          <w:sz w:val="20"/>
          <w:szCs w:val="20"/>
        </w:rPr>
        <w:t>, a</w:t>
      </w:r>
      <w:r w:rsidRPr="00E63705">
        <w:rPr>
          <w:bCs/>
          <w:color w:val="auto"/>
          <w:sz w:val="20"/>
          <w:szCs w:val="20"/>
        </w:rPr>
        <w:t>t the Ordinary Meeting of Blue Mountains City Council on 9 December 2014</w:t>
      </w:r>
      <w:r w:rsidR="00B336E5">
        <w:rPr>
          <w:bCs/>
          <w:color w:val="auto"/>
          <w:sz w:val="20"/>
          <w:szCs w:val="20"/>
        </w:rPr>
        <w:t>,</w:t>
      </w:r>
      <w:r w:rsidRPr="00E63705">
        <w:rPr>
          <w:bCs/>
          <w:color w:val="auto"/>
          <w:sz w:val="20"/>
          <w:szCs w:val="20"/>
        </w:rPr>
        <w:t xml:space="preserve"> the Council </w:t>
      </w:r>
      <w:r>
        <w:rPr>
          <w:bCs/>
          <w:color w:val="auto"/>
          <w:sz w:val="20"/>
          <w:szCs w:val="20"/>
        </w:rPr>
        <w:t xml:space="preserve">resolved (see </w:t>
      </w:r>
      <w:r w:rsidRPr="00093BC0">
        <w:rPr>
          <w:b/>
          <w:bCs/>
          <w:color w:val="auto"/>
          <w:sz w:val="20"/>
          <w:szCs w:val="20"/>
        </w:rPr>
        <w:t>Attachment 8</w:t>
      </w:r>
      <w:r w:rsidRPr="005B4410">
        <w:rPr>
          <w:bCs/>
          <w:color w:val="auto"/>
          <w:sz w:val="20"/>
          <w:szCs w:val="20"/>
        </w:rPr>
        <w:t>)</w:t>
      </w:r>
      <w:r>
        <w:rPr>
          <w:bCs/>
          <w:color w:val="auto"/>
          <w:sz w:val="20"/>
          <w:szCs w:val="20"/>
        </w:rPr>
        <w:t xml:space="preserve">  to approve the making of an application to IPART under s508(A) of the Local Government Act for:</w:t>
      </w:r>
    </w:p>
    <w:p w14:paraId="09C1A694" w14:textId="77777777" w:rsidR="00083008" w:rsidRDefault="00083008" w:rsidP="00E60CAD">
      <w:pPr>
        <w:pStyle w:val="Default"/>
        <w:spacing w:line="276" w:lineRule="auto"/>
        <w:jc w:val="both"/>
        <w:rPr>
          <w:bCs/>
          <w:color w:val="auto"/>
          <w:sz w:val="20"/>
          <w:szCs w:val="20"/>
        </w:rPr>
      </w:pPr>
    </w:p>
    <w:p w14:paraId="6520415F" w14:textId="6FDED95D" w:rsidR="00083008" w:rsidRPr="006E64E0" w:rsidRDefault="00083008" w:rsidP="00E60CAD">
      <w:pPr>
        <w:pStyle w:val="Default"/>
        <w:spacing w:line="276" w:lineRule="auto"/>
        <w:ind w:left="567"/>
        <w:jc w:val="both"/>
        <w:rPr>
          <w:bCs/>
          <w:i/>
          <w:color w:val="auto"/>
          <w:sz w:val="20"/>
          <w:szCs w:val="20"/>
        </w:rPr>
      </w:pPr>
      <w:r w:rsidRPr="006E64E0">
        <w:rPr>
          <w:bCs/>
          <w:i/>
          <w:color w:val="auto"/>
          <w:sz w:val="20"/>
          <w:szCs w:val="20"/>
        </w:rPr>
        <w:t>Option1: Service levels Improved – A special rate variation of 6.6% in 2015/16 (including rate peg) to reinstate the Environment Levy on a permanent basis followed by three annual increases of 9.6% (including rate peg</w:t>
      </w:r>
      <w:r w:rsidR="00DE1802" w:rsidRPr="006E64E0">
        <w:rPr>
          <w:bCs/>
          <w:i/>
          <w:color w:val="auto"/>
          <w:sz w:val="20"/>
          <w:szCs w:val="20"/>
        </w:rPr>
        <w:t>)</w:t>
      </w:r>
      <w:r w:rsidRPr="006E64E0">
        <w:rPr>
          <w:bCs/>
          <w:i/>
          <w:color w:val="auto"/>
          <w:sz w:val="20"/>
          <w:szCs w:val="20"/>
        </w:rPr>
        <w:t xml:space="preserve"> from 2016/17 to 2018/19 with additional funding raised remaining permanently in the rate base. </w:t>
      </w:r>
    </w:p>
    <w:p w14:paraId="2178CFE7" w14:textId="77777777" w:rsidR="00083008" w:rsidRPr="006E64E0" w:rsidRDefault="00083008" w:rsidP="00E60CAD">
      <w:pPr>
        <w:pStyle w:val="Default"/>
        <w:spacing w:line="276" w:lineRule="auto"/>
        <w:jc w:val="both"/>
        <w:rPr>
          <w:bCs/>
          <w:i/>
          <w:color w:val="auto"/>
          <w:sz w:val="20"/>
          <w:szCs w:val="20"/>
        </w:rPr>
      </w:pPr>
    </w:p>
    <w:p w14:paraId="30D533C9" w14:textId="6207FA80" w:rsidR="00B336E5" w:rsidRDefault="00B336E5" w:rsidP="00E60CAD">
      <w:pPr>
        <w:pStyle w:val="Default"/>
        <w:spacing w:line="276" w:lineRule="auto"/>
        <w:jc w:val="both"/>
        <w:rPr>
          <w:bCs/>
          <w:color w:val="auto"/>
          <w:sz w:val="20"/>
          <w:szCs w:val="20"/>
        </w:rPr>
      </w:pPr>
      <w:r>
        <w:rPr>
          <w:bCs/>
          <w:color w:val="auto"/>
          <w:sz w:val="20"/>
          <w:szCs w:val="20"/>
        </w:rPr>
        <w:t xml:space="preserve">Nine out of 12 councillors voted in favour of Option 1 and of the three voting against, two spoke in favour of the </w:t>
      </w:r>
      <w:r w:rsidR="00E92FCC">
        <w:rPr>
          <w:bCs/>
          <w:color w:val="auto"/>
          <w:sz w:val="20"/>
          <w:szCs w:val="20"/>
        </w:rPr>
        <w:t>Option 2 special rate variation.</w:t>
      </w:r>
    </w:p>
    <w:p w14:paraId="7E307D4F" w14:textId="77777777" w:rsidR="00B336E5" w:rsidRDefault="00B336E5" w:rsidP="00E60CAD">
      <w:pPr>
        <w:pStyle w:val="Default"/>
        <w:spacing w:line="276" w:lineRule="auto"/>
        <w:jc w:val="both"/>
        <w:rPr>
          <w:bCs/>
          <w:color w:val="auto"/>
          <w:sz w:val="20"/>
          <w:szCs w:val="20"/>
        </w:rPr>
      </w:pPr>
    </w:p>
    <w:p w14:paraId="1DE8C4E6" w14:textId="3E15496E" w:rsidR="006E64E0" w:rsidRDefault="00083008" w:rsidP="00E60CAD">
      <w:pPr>
        <w:pStyle w:val="Default"/>
        <w:spacing w:line="276" w:lineRule="auto"/>
        <w:jc w:val="both"/>
        <w:rPr>
          <w:bCs/>
          <w:color w:val="auto"/>
          <w:sz w:val="20"/>
          <w:szCs w:val="20"/>
        </w:rPr>
      </w:pPr>
      <w:r>
        <w:rPr>
          <w:bCs/>
          <w:color w:val="auto"/>
          <w:sz w:val="20"/>
          <w:szCs w:val="20"/>
        </w:rPr>
        <w:t xml:space="preserve">The Council </w:t>
      </w:r>
      <w:r w:rsidR="00B336E5">
        <w:rPr>
          <w:bCs/>
          <w:color w:val="auto"/>
          <w:sz w:val="20"/>
          <w:szCs w:val="20"/>
        </w:rPr>
        <w:t>al</w:t>
      </w:r>
      <w:r>
        <w:rPr>
          <w:bCs/>
          <w:color w:val="auto"/>
          <w:sz w:val="20"/>
          <w:szCs w:val="20"/>
        </w:rPr>
        <w:t>so</w:t>
      </w:r>
      <w:r w:rsidR="006E64E0" w:rsidRPr="006E64E0">
        <w:rPr>
          <w:bCs/>
          <w:color w:val="auto"/>
          <w:sz w:val="20"/>
          <w:szCs w:val="20"/>
        </w:rPr>
        <w:t xml:space="preserve"> </w:t>
      </w:r>
      <w:r w:rsidR="006E64E0" w:rsidRPr="00E63705">
        <w:rPr>
          <w:bCs/>
          <w:color w:val="auto"/>
          <w:sz w:val="20"/>
          <w:szCs w:val="20"/>
        </w:rPr>
        <w:t>reflected on the long process of engagement</w:t>
      </w:r>
      <w:r w:rsidR="006E64E0">
        <w:rPr>
          <w:bCs/>
          <w:color w:val="auto"/>
          <w:sz w:val="20"/>
          <w:szCs w:val="20"/>
        </w:rPr>
        <w:t xml:space="preserve"> and</w:t>
      </w:r>
      <w:r>
        <w:rPr>
          <w:bCs/>
          <w:color w:val="auto"/>
          <w:sz w:val="20"/>
          <w:szCs w:val="20"/>
        </w:rPr>
        <w:t xml:space="preserve"> resolved to acknowledge the “substantial community responses” to the </w:t>
      </w:r>
      <w:r w:rsidRPr="00A22C54">
        <w:rPr>
          <w:bCs/>
          <w:color w:val="auto"/>
          <w:sz w:val="20"/>
          <w:szCs w:val="20"/>
        </w:rPr>
        <w:t>community engagement and to the public exhibition</w:t>
      </w:r>
      <w:r>
        <w:rPr>
          <w:bCs/>
          <w:i/>
          <w:color w:val="auto"/>
          <w:sz w:val="20"/>
          <w:szCs w:val="20"/>
        </w:rPr>
        <w:t xml:space="preserve"> </w:t>
      </w:r>
      <w:r>
        <w:rPr>
          <w:bCs/>
          <w:color w:val="auto"/>
          <w:sz w:val="20"/>
          <w:szCs w:val="20"/>
        </w:rPr>
        <w:t xml:space="preserve">on options for </w:t>
      </w:r>
      <w:r w:rsidRPr="00A22C54">
        <w:rPr>
          <w:bCs/>
          <w:i/>
          <w:color w:val="auto"/>
          <w:sz w:val="20"/>
          <w:szCs w:val="20"/>
        </w:rPr>
        <w:t>Resourcing Our Future</w:t>
      </w:r>
      <w:r>
        <w:rPr>
          <w:bCs/>
          <w:color w:val="auto"/>
          <w:sz w:val="20"/>
          <w:szCs w:val="20"/>
        </w:rPr>
        <w:t xml:space="preserve">. </w:t>
      </w:r>
    </w:p>
    <w:p w14:paraId="104FB64F" w14:textId="77777777" w:rsidR="006E64E0" w:rsidRDefault="006E64E0" w:rsidP="00E60CAD">
      <w:pPr>
        <w:pStyle w:val="Default"/>
        <w:spacing w:line="276" w:lineRule="auto"/>
        <w:jc w:val="both"/>
        <w:rPr>
          <w:bCs/>
          <w:color w:val="auto"/>
          <w:sz w:val="20"/>
          <w:szCs w:val="20"/>
        </w:rPr>
      </w:pPr>
    </w:p>
    <w:p w14:paraId="32CC8418" w14:textId="54B1A2C1" w:rsidR="00083008" w:rsidRDefault="00083008" w:rsidP="00E60CAD">
      <w:pPr>
        <w:pStyle w:val="Default"/>
        <w:spacing w:line="276" w:lineRule="auto"/>
        <w:jc w:val="both"/>
        <w:rPr>
          <w:bCs/>
          <w:color w:val="auto"/>
          <w:sz w:val="20"/>
          <w:szCs w:val="20"/>
        </w:rPr>
      </w:pPr>
      <w:r w:rsidRPr="00E63705">
        <w:rPr>
          <w:bCs/>
          <w:color w:val="auto"/>
          <w:sz w:val="20"/>
          <w:szCs w:val="20"/>
        </w:rPr>
        <w:t xml:space="preserve">Many Councillors spoke at length about the importance of </w:t>
      </w:r>
      <w:r w:rsidR="006E64E0">
        <w:rPr>
          <w:bCs/>
          <w:color w:val="auto"/>
          <w:sz w:val="20"/>
          <w:szCs w:val="20"/>
        </w:rPr>
        <w:t>supporting the Council’s adopted six strategies for achieving financial sustainability, including this special variation</w:t>
      </w:r>
      <w:r w:rsidR="00A869F9">
        <w:rPr>
          <w:bCs/>
          <w:color w:val="auto"/>
          <w:sz w:val="20"/>
          <w:szCs w:val="20"/>
        </w:rPr>
        <w:t>,</w:t>
      </w:r>
      <w:r w:rsidR="006E64E0">
        <w:rPr>
          <w:bCs/>
          <w:color w:val="auto"/>
          <w:sz w:val="20"/>
          <w:szCs w:val="20"/>
        </w:rPr>
        <w:t xml:space="preserve"> which combined with the other strategies and actions, sets the City on a sustainable path</w:t>
      </w:r>
      <w:r w:rsidR="00A869F9">
        <w:rPr>
          <w:bCs/>
          <w:color w:val="auto"/>
          <w:sz w:val="20"/>
          <w:szCs w:val="20"/>
        </w:rPr>
        <w:t xml:space="preserve"> and enables achievement of </w:t>
      </w:r>
      <w:r w:rsidR="00A869F9" w:rsidRPr="00A869F9">
        <w:rPr>
          <w:bCs/>
          <w:i/>
          <w:color w:val="auto"/>
          <w:sz w:val="20"/>
          <w:szCs w:val="20"/>
        </w:rPr>
        <w:t>Sustainable Blue Mountains 2025</w:t>
      </w:r>
      <w:r w:rsidR="00A869F9">
        <w:rPr>
          <w:bCs/>
          <w:color w:val="auto"/>
          <w:sz w:val="20"/>
          <w:szCs w:val="20"/>
        </w:rPr>
        <w:t xml:space="preserve"> action priorities.</w:t>
      </w:r>
    </w:p>
    <w:p w14:paraId="3DB57086" w14:textId="77777777" w:rsidR="004E7F7B" w:rsidRDefault="004E7F7B" w:rsidP="00E60CAD">
      <w:pPr>
        <w:pStyle w:val="Default"/>
        <w:spacing w:line="276" w:lineRule="auto"/>
        <w:jc w:val="both"/>
        <w:rPr>
          <w:bCs/>
          <w:color w:val="auto"/>
          <w:sz w:val="20"/>
          <w:szCs w:val="20"/>
        </w:rPr>
      </w:pPr>
    </w:p>
    <w:p w14:paraId="75930884" w14:textId="6816D562" w:rsidR="008361FC" w:rsidRPr="00D15238" w:rsidRDefault="00B74436" w:rsidP="003A37E8">
      <w:pPr>
        <w:pStyle w:val="BodyText"/>
        <w:rPr>
          <w:rFonts w:ascii="Arial" w:hAnsi="Arial" w:cs="Arial"/>
          <w:b/>
          <w:color w:val="000000" w:themeColor="text1"/>
          <w:sz w:val="18"/>
          <w:szCs w:val="18"/>
        </w:rPr>
      </w:pPr>
      <w:r w:rsidRPr="00D15238">
        <w:rPr>
          <w:rFonts w:ascii="Arial" w:hAnsi="Arial" w:cs="Arial"/>
          <w:b/>
          <w:color w:val="000000" w:themeColor="text1"/>
          <w:sz w:val="18"/>
          <w:szCs w:val="18"/>
        </w:rPr>
        <w:t>Table 2.2</w:t>
      </w:r>
      <w:r w:rsidR="004F5844">
        <w:rPr>
          <w:rFonts w:ascii="Arial" w:hAnsi="Arial" w:cs="Arial"/>
          <w:b/>
          <w:color w:val="000000" w:themeColor="text1"/>
          <w:sz w:val="18"/>
          <w:szCs w:val="18"/>
        </w:rPr>
        <w:t>:</w:t>
      </w:r>
      <w:r w:rsidR="008361FC" w:rsidRPr="00D15238">
        <w:rPr>
          <w:rFonts w:ascii="Arial" w:hAnsi="Arial" w:cs="Arial"/>
          <w:b/>
          <w:color w:val="000000" w:themeColor="text1"/>
          <w:sz w:val="18"/>
          <w:szCs w:val="18"/>
        </w:rPr>
        <w:t xml:space="preserve"> Document Reference for Executive Summary</w:t>
      </w:r>
      <w:r w:rsidR="005F4850" w:rsidRPr="00D15238">
        <w:rPr>
          <w:rFonts w:ascii="Arial" w:hAnsi="Arial" w:cs="Arial"/>
          <w:b/>
          <w:color w:val="000000" w:themeColor="text1"/>
          <w:sz w:val="18"/>
          <w:szCs w:val="18"/>
        </w:rPr>
        <w:t xml:space="preserve"> and Preliminaries Section</w:t>
      </w:r>
    </w:p>
    <w:tbl>
      <w:tblPr>
        <w:tblStyle w:val="TableGrid"/>
        <w:tblW w:w="0" w:type="auto"/>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418"/>
        <w:gridCol w:w="7087"/>
      </w:tblGrid>
      <w:tr w:rsidR="008361FC" w:rsidRPr="00D15238" w14:paraId="1C9EC678" w14:textId="77777777" w:rsidTr="00083008">
        <w:trPr>
          <w:trHeight w:val="454"/>
        </w:trPr>
        <w:tc>
          <w:tcPr>
            <w:tcW w:w="1418" w:type="dxa"/>
            <w:shd w:val="clear" w:color="auto" w:fill="365F91" w:themeFill="accent1" w:themeFillShade="BF"/>
            <w:vAlign w:val="center"/>
          </w:tcPr>
          <w:p w14:paraId="24BAB40E" w14:textId="77777777" w:rsidR="008361FC" w:rsidRPr="00D15238" w:rsidRDefault="008361FC" w:rsidP="00083008">
            <w:pPr>
              <w:pStyle w:val="Default"/>
              <w:spacing w:before="40" w:after="40"/>
              <w:jc w:val="center"/>
              <w:rPr>
                <w:b/>
                <w:color w:val="FFFFFF" w:themeColor="background1"/>
                <w:sz w:val="20"/>
                <w:szCs w:val="20"/>
              </w:rPr>
            </w:pPr>
            <w:r w:rsidRPr="00D15238">
              <w:rPr>
                <w:b/>
                <w:color w:val="FFFFFF" w:themeColor="background1"/>
                <w:sz w:val="20"/>
                <w:szCs w:val="20"/>
              </w:rPr>
              <w:t>Attachment No.</w:t>
            </w:r>
          </w:p>
        </w:tc>
        <w:tc>
          <w:tcPr>
            <w:tcW w:w="7087" w:type="dxa"/>
            <w:shd w:val="clear" w:color="auto" w:fill="365F91" w:themeFill="accent1" w:themeFillShade="BF"/>
            <w:vAlign w:val="center"/>
          </w:tcPr>
          <w:p w14:paraId="299A398E" w14:textId="77777777" w:rsidR="008361FC" w:rsidRPr="00D15238" w:rsidRDefault="008361FC" w:rsidP="00083008">
            <w:pPr>
              <w:pStyle w:val="Default"/>
              <w:spacing w:before="40" w:after="40"/>
              <w:jc w:val="center"/>
              <w:rPr>
                <w:b/>
                <w:color w:val="FFFFFF" w:themeColor="background1"/>
                <w:sz w:val="20"/>
                <w:szCs w:val="20"/>
              </w:rPr>
            </w:pPr>
            <w:r w:rsidRPr="00D15238">
              <w:rPr>
                <w:b/>
                <w:color w:val="FFFFFF" w:themeColor="background1"/>
                <w:sz w:val="20"/>
                <w:szCs w:val="20"/>
              </w:rPr>
              <w:t>Document</w:t>
            </w:r>
          </w:p>
        </w:tc>
      </w:tr>
      <w:tr w:rsidR="00393AC0" w:rsidRPr="00D15238" w14:paraId="7FDBA409" w14:textId="77777777" w:rsidTr="00083008">
        <w:tc>
          <w:tcPr>
            <w:tcW w:w="1418" w:type="dxa"/>
            <w:shd w:val="clear" w:color="auto" w:fill="DBE5F1" w:themeFill="accent1" w:themeFillTint="33"/>
            <w:vAlign w:val="center"/>
          </w:tcPr>
          <w:p w14:paraId="606A9E10" w14:textId="2830DD97" w:rsidR="00393AC0" w:rsidRPr="00D15238" w:rsidRDefault="00393AC0" w:rsidP="00083008">
            <w:pPr>
              <w:pStyle w:val="Default"/>
              <w:spacing w:before="40" w:after="40"/>
              <w:jc w:val="center"/>
              <w:rPr>
                <w:sz w:val="20"/>
                <w:szCs w:val="20"/>
              </w:rPr>
            </w:pPr>
            <w:r>
              <w:rPr>
                <w:sz w:val="20"/>
                <w:szCs w:val="20"/>
              </w:rPr>
              <w:t>1</w:t>
            </w:r>
          </w:p>
        </w:tc>
        <w:tc>
          <w:tcPr>
            <w:tcW w:w="7087" w:type="dxa"/>
            <w:shd w:val="clear" w:color="auto" w:fill="DBE5F1" w:themeFill="accent1" w:themeFillTint="33"/>
            <w:vAlign w:val="center"/>
          </w:tcPr>
          <w:p w14:paraId="753EA8B8" w14:textId="00A0AB3A" w:rsidR="00393AC0" w:rsidRPr="00D15238" w:rsidRDefault="00393AC0" w:rsidP="00393AC0">
            <w:pPr>
              <w:pStyle w:val="Default"/>
              <w:spacing w:before="40" w:after="40"/>
              <w:rPr>
                <w:sz w:val="20"/>
                <w:szCs w:val="20"/>
              </w:rPr>
            </w:pPr>
            <w:r>
              <w:rPr>
                <w:sz w:val="20"/>
                <w:szCs w:val="20"/>
              </w:rPr>
              <w:t xml:space="preserve">Relevant extracts from Community Strategic Plan </w:t>
            </w:r>
          </w:p>
        </w:tc>
      </w:tr>
      <w:tr w:rsidR="003A37E8" w:rsidRPr="00D15238" w14:paraId="334C6843" w14:textId="77777777" w:rsidTr="00083008">
        <w:tc>
          <w:tcPr>
            <w:tcW w:w="1418" w:type="dxa"/>
            <w:shd w:val="clear" w:color="auto" w:fill="DBE5F1" w:themeFill="accent1" w:themeFillTint="33"/>
            <w:vAlign w:val="center"/>
          </w:tcPr>
          <w:p w14:paraId="6AF3362E" w14:textId="644F77EE" w:rsidR="003A37E8" w:rsidRPr="00D15238" w:rsidRDefault="003A37E8" w:rsidP="00083008">
            <w:pPr>
              <w:pStyle w:val="Default"/>
              <w:spacing w:before="40" w:after="40"/>
              <w:jc w:val="center"/>
              <w:rPr>
                <w:sz w:val="20"/>
                <w:szCs w:val="20"/>
              </w:rPr>
            </w:pPr>
            <w:r w:rsidRPr="00D15238">
              <w:rPr>
                <w:sz w:val="20"/>
                <w:szCs w:val="20"/>
              </w:rPr>
              <w:t>3</w:t>
            </w:r>
          </w:p>
        </w:tc>
        <w:tc>
          <w:tcPr>
            <w:tcW w:w="7087" w:type="dxa"/>
            <w:shd w:val="clear" w:color="auto" w:fill="DBE5F1" w:themeFill="accent1" w:themeFillTint="33"/>
            <w:vAlign w:val="center"/>
          </w:tcPr>
          <w:p w14:paraId="0F7269AA" w14:textId="57B8E0CB" w:rsidR="003A37E8" w:rsidRPr="00D15238" w:rsidRDefault="003A37E8" w:rsidP="00241AE8">
            <w:pPr>
              <w:pStyle w:val="Default"/>
              <w:spacing w:before="40" w:after="40"/>
              <w:rPr>
                <w:sz w:val="20"/>
                <w:szCs w:val="20"/>
              </w:rPr>
            </w:pPr>
            <w:r w:rsidRPr="00D15238">
              <w:rPr>
                <w:sz w:val="20"/>
                <w:szCs w:val="20"/>
              </w:rPr>
              <w:t>Long Term Financial Plan 2014-2024</w:t>
            </w:r>
          </w:p>
        </w:tc>
      </w:tr>
      <w:tr w:rsidR="003A37E8" w:rsidRPr="00D15238" w14:paraId="0B066A36" w14:textId="77777777" w:rsidTr="00083008">
        <w:tc>
          <w:tcPr>
            <w:tcW w:w="1418" w:type="dxa"/>
            <w:shd w:val="clear" w:color="auto" w:fill="DBE5F1" w:themeFill="accent1" w:themeFillTint="33"/>
            <w:vAlign w:val="center"/>
          </w:tcPr>
          <w:p w14:paraId="17937302" w14:textId="4346F4CD" w:rsidR="003A37E8" w:rsidRPr="00D15238" w:rsidRDefault="003A37E8" w:rsidP="00083008">
            <w:pPr>
              <w:pStyle w:val="Default"/>
              <w:spacing w:before="40" w:after="40"/>
              <w:jc w:val="center"/>
              <w:rPr>
                <w:sz w:val="20"/>
                <w:szCs w:val="20"/>
              </w:rPr>
            </w:pPr>
            <w:r w:rsidRPr="00D15238">
              <w:rPr>
                <w:sz w:val="20"/>
                <w:szCs w:val="20"/>
              </w:rPr>
              <w:t>4</w:t>
            </w:r>
          </w:p>
        </w:tc>
        <w:tc>
          <w:tcPr>
            <w:tcW w:w="7087" w:type="dxa"/>
            <w:shd w:val="clear" w:color="auto" w:fill="DBE5F1" w:themeFill="accent1" w:themeFillTint="33"/>
            <w:vAlign w:val="center"/>
          </w:tcPr>
          <w:p w14:paraId="0EAFD837" w14:textId="142A4753" w:rsidR="003A37E8" w:rsidRPr="00D15238" w:rsidRDefault="003A37E8" w:rsidP="00F343C2">
            <w:pPr>
              <w:pStyle w:val="Default"/>
              <w:spacing w:before="40" w:after="40"/>
              <w:rPr>
                <w:sz w:val="20"/>
                <w:szCs w:val="20"/>
              </w:rPr>
            </w:pPr>
            <w:r w:rsidRPr="00D15238">
              <w:rPr>
                <w:sz w:val="20"/>
                <w:szCs w:val="20"/>
              </w:rPr>
              <w:t>TCorp Financial Assessment on Blue Mountains City Council</w:t>
            </w:r>
          </w:p>
        </w:tc>
      </w:tr>
      <w:tr w:rsidR="003A37E8" w:rsidRPr="00D15238" w14:paraId="65CEC02B" w14:textId="77777777" w:rsidTr="00083008">
        <w:tc>
          <w:tcPr>
            <w:tcW w:w="1418" w:type="dxa"/>
            <w:shd w:val="clear" w:color="auto" w:fill="DBE5F1" w:themeFill="accent1" w:themeFillTint="33"/>
            <w:vAlign w:val="center"/>
          </w:tcPr>
          <w:p w14:paraId="586F727C" w14:textId="061FF8BA" w:rsidR="003A37E8" w:rsidRPr="00D15238" w:rsidRDefault="003A37E8" w:rsidP="00083008">
            <w:pPr>
              <w:pStyle w:val="Default"/>
              <w:spacing w:before="40" w:after="40"/>
              <w:jc w:val="center"/>
              <w:rPr>
                <w:sz w:val="20"/>
                <w:szCs w:val="20"/>
              </w:rPr>
            </w:pPr>
            <w:r w:rsidRPr="00D15238">
              <w:rPr>
                <w:sz w:val="20"/>
                <w:szCs w:val="20"/>
              </w:rPr>
              <w:t>6a</w:t>
            </w:r>
          </w:p>
        </w:tc>
        <w:tc>
          <w:tcPr>
            <w:tcW w:w="7087" w:type="dxa"/>
            <w:shd w:val="clear" w:color="auto" w:fill="DBE5F1" w:themeFill="accent1" w:themeFillTint="33"/>
            <w:vAlign w:val="center"/>
          </w:tcPr>
          <w:p w14:paraId="4687E0FA" w14:textId="79897367" w:rsidR="003A37E8" w:rsidRPr="00D15238" w:rsidRDefault="003A37E8" w:rsidP="00F343C2">
            <w:pPr>
              <w:pStyle w:val="Default"/>
              <w:spacing w:before="40" w:after="40"/>
              <w:rPr>
                <w:sz w:val="20"/>
                <w:szCs w:val="20"/>
              </w:rPr>
            </w:pPr>
            <w:r w:rsidRPr="00D15238">
              <w:rPr>
                <w:sz w:val="20"/>
                <w:szCs w:val="20"/>
              </w:rPr>
              <w:t xml:space="preserve">Outcomes of Resourcing Our Future Community Consultation </w:t>
            </w:r>
          </w:p>
        </w:tc>
      </w:tr>
      <w:tr w:rsidR="003A37E8" w:rsidRPr="00D15238" w14:paraId="6519B752" w14:textId="77777777" w:rsidTr="00083008">
        <w:tc>
          <w:tcPr>
            <w:tcW w:w="1418" w:type="dxa"/>
            <w:shd w:val="clear" w:color="auto" w:fill="DBE5F1" w:themeFill="accent1" w:themeFillTint="33"/>
            <w:vAlign w:val="center"/>
          </w:tcPr>
          <w:p w14:paraId="52AC459B" w14:textId="4154174A" w:rsidR="003A37E8" w:rsidRPr="00D15238" w:rsidRDefault="003A37E8" w:rsidP="00083008">
            <w:pPr>
              <w:pStyle w:val="Default"/>
              <w:spacing w:before="40" w:after="40"/>
              <w:jc w:val="center"/>
              <w:rPr>
                <w:sz w:val="20"/>
                <w:szCs w:val="20"/>
              </w:rPr>
            </w:pPr>
            <w:r w:rsidRPr="00D15238">
              <w:rPr>
                <w:sz w:val="20"/>
                <w:szCs w:val="20"/>
              </w:rPr>
              <w:t>6b</w:t>
            </w:r>
          </w:p>
        </w:tc>
        <w:tc>
          <w:tcPr>
            <w:tcW w:w="7087" w:type="dxa"/>
            <w:shd w:val="clear" w:color="auto" w:fill="DBE5F1" w:themeFill="accent1" w:themeFillTint="33"/>
            <w:vAlign w:val="center"/>
          </w:tcPr>
          <w:p w14:paraId="35F72380" w14:textId="2D6C77DC" w:rsidR="003A37E8" w:rsidRPr="00D15238" w:rsidRDefault="003A37E8" w:rsidP="005B4410">
            <w:pPr>
              <w:pStyle w:val="Default"/>
              <w:spacing w:before="40" w:after="40"/>
              <w:rPr>
                <w:sz w:val="20"/>
                <w:szCs w:val="20"/>
              </w:rPr>
            </w:pPr>
            <w:r w:rsidRPr="00D15238">
              <w:rPr>
                <w:sz w:val="20"/>
                <w:szCs w:val="20"/>
              </w:rPr>
              <w:t>Report on Resourcing our Future Telephone survey</w:t>
            </w:r>
          </w:p>
        </w:tc>
      </w:tr>
      <w:tr w:rsidR="003A37E8" w:rsidRPr="00D15238" w14:paraId="401A058F" w14:textId="77777777" w:rsidTr="00083008">
        <w:tc>
          <w:tcPr>
            <w:tcW w:w="1418" w:type="dxa"/>
            <w:shd w:val="clear" w:color="auto" w:fill="DBE5F1" w:themeFill="accent1" w:themeFillTint="33"/>
            <w:vAlign w:val="center"/>
          </w:tcPr>
          <w:p w14:paraId="54F96A9A" w14:textId="520E51A4" w:rsidR="003A37E8" w:rsidRPr="00D15238" w:rsidRDefault="003A37E8" w:rsidP="00083008">
            <w:pPr>
              <w:pStyle w:val="Default"/>
              <w:spacing w:before="40" w:after="40"/>
              <w:jc w:val="center"/>
              <w:rPr>
                <w:sz w:val="20"/>
                <w:szCs w:val="20"/>
              </w:rPr>
            </w:pPr>
            <w:r w:rsidRPr="00D15238">
              <w:rPr>
                <w:sz w:val="20"/>
                <w:szCs w:val="20"/>
              </w:rPr>
              <w:t>6c</w:t>
            </w:r>
          </w:p>
        </w:tc>
        <w:tc>
          <w:tcPr>
            <w:tcW w:w="7087" w:type="dxa"/>
            <w:shd w:val="clear" w:color="auto" w:fill="DBE5F1" w:themeFill="accent1" w:themeFillTint="33"/>
            <w:vAlign w:val="center"/>
          </w:tcPr>
          <w:p w14:paraId="7F7B813D" w14:textId="353F0B6A" w:rsidR="003A37E8" w:rsidRPr="00D15238" w:rsidRDefault="003A37E8" w:rsidP="005B4410">
            <w:pPr>
              <w:pStyle w:val="Default"/>
              <w:spacing w:before="40" w:after="40"/>
              <w:rPr>
                <w:sz w:val="20"/>
                <w:szCs w:val="20"/>
              </w:rPr>
            </w:pPr>
            <w:r w:rsidRPr="00D15238">
              <w:rPr>
                <w:sz w:val="20"/>
                <w:szCs w:val="20"/>
              </w:rPr>
              <w:t xml:space="preserve">Report on Resourcing Our future Area Community Workshops </w:t>
            </w:r>
          </w:p>
        </w:tc>
      </w:tr>
      <w:tr w:rsidR="003A37E8" w:rsidRPr="00D15238" w14:paraId="1624D88B" w14:textId="77777777" w:rsidTr="00083008">
        <w:tc>
          <w:tcPr>
            <w:tcW w:w="1418" w:type="dxa"/>
            <w:shd w:val="clear" w:color="auto" w:fill="DBE5F1" w:themeFill="accent1" w:themeFillTint="33"/>
            <w:vAlign w:val="center"/>
          </w:tcPr>
          <w:p w14:paraId="1230A0D2" w14:textId="4B9100F5" w:rsidR="003A37E8" w:rsidRPr="00D15238" w:rsidRDefault="003A37E8" w:rsidP="00083008">
            <w:pPr>
              <w:pStyle w:val="Default"/>
              <w:spacing w:before="40" w:after="40"/>
              <w:jc w:val="center"/>
              <w:rPr>
                <w:sz w:val="20"/>
                <w:szCs w:val="20"/>
              </w:rPr>
            </w:pPr>
            <w:r w:rsidRPr="00D15238">
              <w:rPr>
                <w:sz w:val="20"/>
                <w:szCs w:val="20"/>
              </w:rPr>
              <w:t>8</w:t>
            </w:r>
          </w:p>
        </w:tc>
        <w:tc>
          <w:tcPr>
            <w:tcW w:w="7087" w:type="dxa"/>
            <w:shd w:val="clear" w:color="auto" w:fill="DBE5F1" w:themeFill="accent1" w:themeFillTint="33"/>
            <w:vAlign w:val="center"/>
          </w:tcPr>
          <w:p w14:paraId="6E9646BE" w14:textId="16C9CE41" w:rsidR="003A37E8" w:rsidRPr="00D15238" w:rsidRDefault="003A37E8" w:rsidP="005B4410">
            <w:pPr>
              <w:pStyle w:val="Default"/>
              <w:spacing w:before="40" w:after="40"/>
              <w:rPr>
                <w:sz w:val="20"/>
                <w:szCs w:val="20"/>
              </w:rPr>
            </w:pPr>
            <w:r w:rsidRPr="00D15238">
              <w:rPr>
                <w:sz w:val="20"/>
                <w:szCs w:val="20"/>
              </w:rPr>
              <w:t>Resolution to Apply for a Special Variation</w:t>
            </w:r>
          </w:p>
        </w:tc>
      </w:tr>
      <w:tr w:rsidR="003A37E8" w:rsidRPr="00D15238" w14:paraId="7E108E67" w14:textId="77777777" w:rsidTr="00083008">
        <w:tc>
          <w:tcPr>
            <w:tcW w:w="1418" w:type="dxa"/>
            <w:shd w:val="clear" w:color="auto" w:fill="DBE5F1" w:themeFill="accent1" w:themeFillTint="33"/>
            <w:vAlign w:val="center"/>
          </w:tcPr>
          <w:p w14:paraId="24EAD381" w14:textId="5C34094A" w:rsidR="003A37E8" w:rsidRPr="00D15238" w:rsidRDefault="003A37E8" w:rsidP="00083008">
            <w:pPr>
              <w:pStyle w:val="Default"/>
              <w:spacing w:before="40" w:after="40"/>
              <w:jc w:val="center"/>
              <w:rPr>
                <w:sz w:val="20"/>
                <w:szCs w:val="20"/>
              </w:rPr>
            </w:pPr>
            <w:r w:rsidRPr="00D15238">
              <w:rPr>
                <w:sz w:val="20"/>
                <w:szCs w:val="20"/>
              </w:rPr>
              <w:t>10</w:t>
            </w:r>
          </w:p>
        </w:tc>
        <w:tc>
          <w:tcPr>
            <w:tcW w:w="7087" w:type="dxa"/>
            <w:shd w:val="clear" w:color="auto" w:fill="DBE5F1" w:themeFill="accent1" w:themeFillTint="33"/>
            <w:vAlign w:val="center"/>
          </w:tcPr>
          <w:p w14:paraId="5FC0AF43" w14:textId="3278B03F" w:rsidR="003A37E8" w:rsidRPr="00D15238" w:rsidRDefault="003A37E8" w:rsidP="000F4731">
            <w:pPr>
              <w:pStyle w:val="Default"/>
              <w:spacing w:before="40" w:after="40"/>
              <w:rPr>
                <w:sz w:val="20"/>
                <w:szCs w:val="20"/>
              </w:rPr>
            </w:pPr>
            <w:r w:rsidRPr="00D15238">
              <w:rPr>
                <w:sz w:val="20"/>
                <w:szCs w:val="20"/>
              </w:rPr>
              <w:t xml:space="preserve">Service Dashboards: Summary Service &amp; Asset Plans </w:t>
            </w:r>
          </w:p>
        </w:tc>
      </w:tr>
      <w:tr w:rsidR="003A37E8" w:rsidRPr="00D15238" w14:paraId="4E3211E1" w14:textId="77777777" w:rsidTr="00083008">
        <w:tc>
          <w:tcPr>
            <w:tcW w:w="1418" w:type="dxa"/>
            <w:shd w:val="clear" w:color="auto" w:fill="DBE5F1" w:themeFill="accent1" w:themeFillTint="33"/>
            <w:vAlign w:val="center"/>
          </w:tcPr>
          <w:p w14:paraId="1E94072B" w14:textId="75AFD2AD" w:rsidR="003A37E8" w:rsidRPr="00D15238" w:rsidRDefault="003A37E8" w:rsidP="00083008">
            <w:pPr>
              <w:pStyle w:val="Default"/>
              <w:spacing w:before="40" w:after="40"/>
              <w:jc w:val="center"/>
              <w:rPr>
                <w:sz w:val="20"/>
                <w:szCs w:val="20"/>
              </w:rPr>
            </w:pPr>
            <w:r w:rsidRPr="00D15238">
              <w:rPr>
                <w:sz w:val="20"/>
                <w:szCs w:val="20"/>
              </w:rPr>
              <w:t>13</w:t>
            </w:r>
          </w:p>
        </w:tc>
        <w:tc>
          <w:tcPr>
            <w:tcW w:w="7087" w:type="dxa"/>
            <w:shd w:val="clear" w:color="auto" w:fill="DBE5F1" w:themeFill="accent1" w:themeFillTint="33"/>
            <w:vAlign w:val="center"/>
          </w:tcPr>
          <w:p w14:paraId="2FE3B8B7" w14:textId="75324043" w:rsidR="003A37E8" w:rsidRPr="00D15238" w:rsidRDefault="003A37E8" w:rsidP="00083008">
            <w:pPr>
              <w:pStyle w:val="Default"/>
              <w:spacing w:before="40" w:after="40"/>
              <w:rPr>
                <w:sz w:val="20"/>
                <w:szCs w:val="20"/>
              </w:rPr>
            </w:pPr>
            <w:r w:rsidRPr="00D15238">
              <w:rPr>
                <w:sz w:val="20"/>
                <w:szCs w:val="20"/>
              </w:rPr>
              <w:t>Resourcing Strategy 2014-2024</w:t>
            </w:r>
          </w:p>
        </w:tc>
      </w:tr>
      <w:tr w:rsidR="003A37E8" w:rsidRPr="00D15238" w14:paraId="296BCABC" w14:textId="77777777" w:rsidTr="00083008">
        <w:tc>
          <w:tcPr>
            <w:tcW w:w="1418" w:type="dxa"/>
            <w:shd w:val="clear" w:color="auto" w:fill="DBE5F1" w:themeFill="accent1" w:themeFillTint="33"/>
            <w:vAlign w:val="center"/>
          </w:tcPr>
          <w:p w14:paraId="7714964B" w14:textId="274D4C44" w:rsidR="003A37E8" w:rsidRPr="00D15238" w:rsidRDefault="003A37E8" w:rsidP="00083008">
            <w:pPr>
              <w:pStyle w:val="Default"/>
              <w:spacing w:before="40" w:after="40"/>
              <w:jc w:val="center"/>
              <w:rPr>
                <w:sz w:val="20"/>
                <w:szCs w:val="20"/>
              </w:rPr>
            </w:pPr>
            <w:r w:rsidRPr="00D15238">
              <w:rPr>
                <w:sz w:val="20"/>
                <w:szCs w:val="20"/>
              </w:rPr>
              <w:t>15</w:t>
            </w:r>
          </w:p>
        </w:tc>
        <w:tc>
          <w:tcPr>
            <w:tcW w:w="7087" w:type="dxa"/>
            <w:shd w:val="clear" w:color="auto" w:fill="DBE5F1" w:themeFill="accent1" w:themeFillTint="33"/>
            <w:vAlign w:val="center"/>
          </w:tcPr>
          <w:p w14:paraId="6BD6C5B6" w14:textId="5B73887F" w:rsidR="003A37E8" w:rsidRPr="00D15238" w:rsidRDefault="003A37E8" w:rsidP="00083008">
            <w:pPr>
              <w:pStyle w:val="Default"/>
              <w:spacing w:before="40" w:after="40"/>
              <w:rPr>
                <w:sz w:val="20"/>
                <w:szCs w:val="20"/>
              </w:rPr>
            </w:pPr>
            <w:r w:rsidRPr="00D15238">
              <w:rPr>
                <w:sz w:val="20"/>
                <w:szCs w:val="20"/>
              </w:rPr>
              <w:t>Community Survey Results 2009-2014</w:t>
            </w:r>
          </w:p>
        </w:tc>
      </w:tr>
    </w:tbl>
    <w:p w14:paraId="187B8826" w14:textId="77777777" w:rsidR="00A90C82" w:rsidRPr="00D15238" w:rsidRDefault="00A90C82" w:rsidP="008361FC">
      <w:pPr>
        <w:rPr>
          <w:rFonts w:ascii="Arial" w:hAnsi="Arial" w:cs="Arial"/>
          <w:sz w:val="20"/>
          <w:szCs w:val="20"/>
        </w:rPr>
      </w:pPr>
    </w:p>
    <w:p w14:paraId="78694655" w14:textId="77777777" w:rsidR="008361FC" w:rsidRPr="005B4410" w:rsidRDefault="008361FC" w:rsidP="008361FC">
      <w:pPr>
        <w:rPr>
          <w:rFonts w:ascii="Arial" w:hAnsi="Arial" w:cs="Arial"/>
          <w:b/>
          <w:bCs/>
          <w:color w:val="00408A"/>
          <w:kern w:val="32"/>
          <w:sz w:val="30"/>
          <w:szCs w:val="30"/>
        </w:rPr>
      </w:pPr>
      <w:r w:rsidRPr="005B4410">
        <w:rPr>
          <w:rFonts w:ascii="Arial" w:hAnsi="Arial" w:cs="Arial"/>
        </w:rPr>
        <w:br w:type="page"/>
      </w:r>
    </w:p>
    <w:p w14:paraId="18D70490" w14:textId="51B15FB7" w:rsidR="007F05F6" w:rsidRDefault="00083008" w:rsidP="007F05F6">
      <w:pPr>
        <w:pStyle w:val="Heading2"/>
        <w:spacing w:after="240"/>
      </w:pPr>
      <w:bookmarkStart w:id="13" w:name="_Toc304287283"/>
      <w:bookmarkStart w:id="14" w:name="_Toc366160409"/>
      <w:bookmarkStart w:id="15" w:name="_Toc412798915"/>
      <w:r>
        <w:t>C</w:t>
      </w:r>
      <w:r w:rsidR="007F05F6">
        <w:t xml:space="preserve">apital </w:t>
      </w:r>
      <w:r w:rsidR="007F05F6" w:rsidRPr="005E5B1F">
        <w:t>e</w:t>
      </w:r>
      <w:r w:rsidR="007F05F6">
        <w:t>xpenditure</w:t>
      </w:r>
      <w:bookmarkEnd w:id="13"/>
      <w:r w:rsidR="007F05F6">
        <w:t xml:space="preserve"> review</w:t>
      </w:r>
      <w:bookmarkEnd w:id="14"/>
      <w:bookmarkEnd w:id="15"/>
    </w:p>
    <w:p w14:paraId="18D70491" w14:textId="77777777" w:rsidR="007F05F6" w:rsidRPr="00B27C78" w:rsidRDefault="008B1F5A" w:rsidP="007F05F6">
      <w:pPr>
        <w:pStyle w:val="BodyText"/>
        <w:rPr>
          <w:color w:val="548DD4" w:themeColor="text2" w:themeTint="99"/>
        </w:rPr>
      </w:pPr>
      <w:r w:rsidRPr="00B27C78">
        <w:rPr>
          <w:color w:val="548DD4" w:themeColor="text2" w:themeTint="99"/>
        </w:rPr>
        <w:t>You should c</w:t>
      </w:r>
      <w:r w:rsidR="000E41D5" w:rsidRPr="00B27C78">
        <w:rPr>
          <w:color w:val="548DD4" w:themeColor="text2" w:themeTint="99"/>
        </w:rPr>
        <w:t>omplete this section if c</w:t>
      </w:r>
      <w:r w:rsidR="007F05F6" w:rsidRPr="00B27C78">
        <w:rPr>
          <w:color w:val="548DD4" w:themeColor="text2" w:themeTint="99"/>
        </w:rPr>
        <w:t>ouncil</w:t>
      </w:r>
      <w:r w:rsidR="000E41D5" w:rsidRPr="00B27C78">
        <w:rPr>
          <w:color w:val="548DD4" w:themeColor="text2" w:themeTint="99"/>
        </w:rPr>
        <w:t xml:space="preserve"> i</w:t>
      </w:r>
      <w:r w:rsidR="007F05F6" w:rsidRPr="00B27C78">
        <w:rPr>
          <w:color w:val="548DD4" w:themeColor="text2" w:themeTint="99"/>
        </w:rPr>
        <w:t xml:space="preserve">s undertaking major capital projects </w:t>
      </w:r>
      <w:r w:rsidR="000E41D5" w:rsidRPr="00B27C78">
        <w:rPr>
          <w:color w:val="548DD4" w:themeColor="text2" w:themeTint="99"/>
        </w:rPr>
        <w:t xml:space="preserve">that </w:t>
      </w:r>
      <w:r w:rsidR="007F05F6" w:rsidRPr="00B27C78">
        <w:rPr>
          <w:color w:val="548DD4" w:themeColor="text2" w:themeTint="99"/>
        </w:rPr>
        <w:t xml:space="preserve">are required to comply with the OLG’s Capital Expenditure Guidelines, as outlined in OLG Circular 10-34.  A capital expenditure review is required for projects that are not exempt and cost in excess of 10% of council’s annual ordinary rates revenue or $1 million (GST exclusive), whichever is the greater.  </w:t>
      </w:r>
    </w:p>
    <w:p w14:paraId="18D70492" w14:textId="77777777" w:rsidR="007F05F6" w:rsidRPr="00B27C78" w:rsidRDefault="007F05F6" w:rsidP="007F05F6">
      <w:pPr>
        <w:pStyle w:val="BodyText"/>
        <w:rPr>
          <w:color w:val="548DD4" w:themeColor="text2" w:themeTint="99"/>
        </w:rPr>
      </w:pPr>
      <w:r w:rsidRPr="00B27C78">
        <w:rPr>
          <w:color w:val="548DD4" w:themeColor="text2" w:themeTint="99"/>
        </w:rPr>
        <w:t>A capital expenditure review is a necessary part of a council’s capital budgeting process and should have been undertaken as part of the Integrated Planning and Reporting requirements in the preparation of the Community Strategic Plan and Resourcing Strategy.</w:t>
      </w:r>
    </w:p>
    <w:p w14:paraId="18D70493" w14:textId="77777777" w:rsidR="007F05F6" w:rsidRPr="00B27C78" w:rsidRDefault="007F05F6" w:rsidP="007F05F6">
      <w:pPr>
        <w:pStyle w:val="BodyText"/>
        <w:spacing w:before="0"/>
      </w:pPr>
    </w:p>
    <w:tbl>
      <w:tblPr>
        <w:tblW w:w="0" w:type="auto"/>
        <w:tblLayout w:type="fixed"/>
        <w:tblLook w:val="01E0" w:firstRow="1" w:lastRow="1" w:firstColumn="1" w:lastColumn="1" w:noHBand="0" w:noVBand="0"/>
      </w:tblPr>
      <w:tblGrid>
        <w:gridCol w:w="6487"/>
        <w:gridCol w:w="851"/>
        <w:gridCol w:w="816"/>
      </w:tblGrid>
      <w:tr w:rsidR="007F05F6" w:rsidRPr="00B27C78" w14:paraId="18D70497" w14:textId="77777777" w:rsidTr="00452CBD">
        <w:trPr>
          <w:trHeight w:val="613"/>
        </w:trPr>
        <w:tc>
          <w:tcPr>
            <w:tcW w:w="6487" w:type="dxa"/>
          </w:tcPr>
          <w:p w14:paraId="18D70494" w14:textId="77777777" w:rsidR="007F05F6" w:rsidRPr="00B27C78" w:rsidRDefault="007F05F6" w:rsidP="00452CBD">
            <w:pPr>
              <w:pStyle w:val="TableTextEntries"/>
            </w:pPr>
            <w:r w:rsidRPr="00B27C78">
              <w:t>Does the proposed special variation require council to do a capital expenditure review in accordance with OLG Circular to Councils, Circular No 10-34 dated 20 December 2010</w:t>
            </w:r>
          </w:p>
        </w:tc>
        <w:tc>
          <w:tcPr>
            <w:tcW w:w="851" w:type="dxa"/>
          </w:tcPr>
          <w:p w14:paraId="18D70495" w14:textId="77777777" w:rsidR="007F05F6" w:rsidRPr="00B27C78" w:rsidRDefault="007F05F6" w:rsidP="00452CBD">
            <w:pPr>
              <w:pStyle w:val="TableTextEntries"/>
              <w:rPr>
                <w:rFonts w:cs="Arial"/>
              </w:rPr>
            </w:pPr>
            <w:r w:rsidRPr="00B27C78">
              <w:rPr>
                <w:rFonts w:cs="Arial"/>
              </w:rPr>
              <w:t xml:space="preserve">Yes </w:t>
            </w:r>
            <w:r w:rsidRPr="00B27C78">
              <w:rPr>
                <w:rFonts w:cs="Arial"/>
              </w:rPr>
              <w:fldChar w:fldCharType="begin">
                <w:ffData>
                  <w:name w:val="Check6"/>
                  <w:enabled/>
                  <w:calcOnExit w:val="0"/>
                  <w:checkBox>
                    <w:sizeAuto/>
                    <w:default w:val="0"/>
                  </w:checkBox>
                </w:ffData>
              </w:fldChar>
            </w:r>
            <w:r w:rsidRPr="00B27C78">
              <w:rPr>
                <w:rFonts w:cs="Arial"/>
              </w:rPr>
              <w:instrText xml:space="preserve"> FORMCHECKBOX </w:instrText>
            </w:r>
            <w:r w:rsidR="004217BA">
              <w:rPr>
                <w:rFonts w:cs="Arial"/>
              </w:rPr>
            </w:r>
            <w:r w:rsidR="004217BA">
              <w:rPr>
                <w:rFonts w:cs="Arial"/>
              </w:rPr>
              <w:fldChar w:fldCharType="separate"/>
            </w:r>
            <w:r w:rsidRPr="00B27C78">
              <w:rPr>
                <w:rFonts w:cs="Arial"/>
              </w:rPr>
              <w:fldChar w:fldCharType="end"/>
            </w:r>
          </w:p>
        </w:tc>
        <w:tc>
          <w:tcPr>
            <w:tcW w:w="816" w:type="dxa"/>
          </w:tcPr>
          <w:p w14:paraId="18D70496" w14:textId="2EEF3621" w:rsidR="007F05F6" w:rsidRPr="00B27C78" w:rsidRDefault="00584602" w:rsidP="00584602">
            <w:pPr>
              <w:pStyle w:val="TableTextEntries"/>
            </w:pPr>
            <w:r w:rsidRPr="00B27C78">
              <w:rPr>
                <w:rFonts w:cs="Arial"/>
                <w:noProof/>
                <w:lang w:eastAsia="en-AU"/>
              </w:rPr>
              <mc:AlternateContent>
                <mc:Choice Requires="wps">
                  <w:drawing>
                    <wp:anchor distT="0" distB="0" distL="114300" distR="114300" simplePos="0" relativeHeight="251659264" behindDoc="1" locked="0" layoutInCell="1" allowOverlap="1" wp14:anchorId="1080CF9F" wp14:editId="50BA3B1D">
                      <wp:simplePos x="0" y="0"/>
                      <wp:positionH relativeFrom="column">
                        <wp:posOffset>190187</wp:posOffset>
                      </wp:positionH>
                      <wp:positionV relativeFrom="paragraph">
                        <wp:posOffset>26386</wp:posOffset>
                      </wp:positionV>
                      <wp:extent cx="129654" cy="136478"/>
                      <wp:effectExtent l="0" t="0" r="22860" b="16510"/>
                      <wp:wrapNone/>
                      <wp:docPr id="1" name="Text Box 1"/>
                      <wp:cNvGraphicFramePr/>
                      <a:graphic xmlns:a="http://schemas.openxmlformats.org/drawingml/2006/main">
                        <a:graphicData uri="http://schemas.microsoft.com/office/word/2010/wordprocessingShape">
                          <wps:wsp>
                            <wps:cNvSpPr txBox="1"/>
                            <wps:spPr>
                              <a:xfrm>
                                <a:off x="0" y="0"/>
                                <a:ext cx="129654" cy="1364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95B4F7" w14:textId="77777777" w:rsidR="005864FD" w:rsidRDefault="005864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34" type="#_x0000_t202" style="position:absolute;margin-left:15pt;margin-top:2.1pt;width:10.2pt;height:10.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" fillcolor="white [3201]" strokeweight=".5pt">
                      <v:textbox>
                        <w:txbxContent>
                          <w:p w14:paraId="4995B4F7" w14:textId="77777777" w:rsidR="005864FD" w:rsidRDefault="005864FD"/>
                        </w:txbxContent>
                      </v:textbox>
                    </v:shape>
                  </w:pict>
                </mc:Fallback>
              </mc:AlternateContent>
            </w:r>
            <w:r w:rsidRPr="00B27C78">
              <w:rPr>
                <w:rFonts w:cs="Arial"/>
              </w:rPr>
              <w:t xml:space="preserve">No </w:t>
            </w:r>
            <w:r w:rsidRPr="00B27C78">
              <w:rPr>
                <w:sz w:val="24"/>
                <w:szCs w:val="24"/>
              </w:rPr>
              <w:sym w:font="Wingdings" w:char="F0FC"/>
            </w:r>
          </w:p>
        </w:tc>
      </w:tr>
      <w:tr w:rsidR="007F05F6" w:rsidRPr="00B27C78" w14:paraId="18D7049B" w14:textId="77777777" w:rsidTr="00452CBD">
        <w:tc>
          <w:tcPr>
            <w:tcW w:w="6487" w:type="dxa"/>
          </w:tcPr>
          <w:p w14:paraId="18D70498" w14:textId="77777777" w:rsidR="007F05F6" w:rsidRPr="00B27C78" w:rsidRDefault="007F05F6" w:rsidP="00452CBD">
            <w:pPr>
              <w:pStyle w:val="TableTextEntries"/>
            </w:pPr>
            <w:r w:rsidRPr="00B27C78">
              <w:t xml:space="preserve">If </w:t>
            </w:r>
            <w:r w:rsidRPr="00B27C78">
              <w:rPr>
                <w:i/>
              </w:rPr>
              <w:t>Yes</w:t>
            </w:r>
            <w:r w:rsidRPr="00B27C78">
              <w:t>, has a review been done and submitted to OLG?</w:t>
            </w:r>
          </w:p>
        </w:tc>
        <w:tc>
          <w:tcPr>
            <w:tcW w:w="851" w:type="dxa"/>
          </w:tcPr>
          <w:p w14:paraId="18D70499" w14:textId="77777777" w:rsidR="007F05F6" w:rsidRPr="00B27C78" w:rsidRDefault="007F05F6" w:rsidP="00452CBD">
            <w:pPr>
              <w:pStyle w:val="TableTextEntries"/>
              <w:rPr>
                <w:rFonts w:cs="Arial"/>
              </w:rPr>
            </w:pPr>
            <w:r w:rsidRPr="00B27C78">
              <w:rPr>
                <w:rFonts w:cs="Arial"/>
              </w:rPr>
              <w:t xml:space="preserve">Yes </w:t>
            </w:r>
            <w:r w:rsidRPr="00B27C78">
              <w:rPr>
                <w:rFonts w:cs="Arial"/>
              </w:rPr>
              <w:fldChar w:fldCharType="begin">
                <w:ffData>
                  <w:name w:val="Check6"/>
                  <w:enabled/>
                  <w:calcOnExit w:val="0"/>
                  <w:checkBox>
                    <w:sizeAuto/>
                    <w:default w:val="0"/>
                  </w:checkBox>
                </w:ffData>
              </w:fldChar>
            </w:r>
            <w:r w:rsidRPr="00B27C78">
              <w:rPr>
                <w:rFonts w:cs="Arial"/>
              </w:rPr>
              <w:instrText xml:space="preserve"> FORMCHECKBOX </w:instrText>
            </w:r>
            <w:r w:rsidR="004217BA">
              <w:rPr>
                <w:rFonts w:cs="Arial"/>
              </w:rPr>
            </w:r>
            <w:r w:rsidR="004217BA">
              <w:rPr>
                <w:rFonts w:cs="Arial"/>
              </w:rPr>
              <w:fldChar w:fldCharType="separate"/>
            </w:r>
            <w:r w:rsidRPr="00B27C78">
              <w:rPr>
                <w:rFonts w:cs="Arial"/>
              </w:rPr>
              <w:fldChar w:fldCharType="end"/>
            </w:r>
          </w:p>
        </w:tc>
        <w:tc>
          <w:tcPr>
            <w:tcW w:w="816" w:type="dxa"/>
          </w:tcPr>
          <w:p w14:paraId="18D7049A" w14:textId="7E44D872" w:rsidR="007F05F6" w:rsidRPr="00B27C78" w:rsidRDefault="00584602" w:rsidP="00573B77">
            <w:pPr>
              <w:pStyle w:val="TableTextEntries"/>
            </w:pPr>
            <w:r w:rsidRPr="00B27C78">
              <w:rPr>
                <w:rFonts w:cs="Arial"/>
                <w:noProof/>
                <w:lang w:eastAsia="en-AU"/>
              </w:rPr>
              <mc:AlternateContent>
                <mc:Choice Requires="wps">
                  <w:drawing>
                    <wp:anchor distT="0" distB="0" distL="114300" distR="114300" simplePos="0" relativeHeight="251660288" behindDoc="1" locked="0" layoutInCell="1" allowOverlap="1" wp14:anchorId="77273A6B" wp14:editId="237CB4B4">
                      <wp:simplePos x="0" y="0"/>
                      <wp:positionH relativeFrom="column">
                        <wp:posOffset>190187</wp:posOffset>
                      </wp:positionH>
                      <wp:positionV relativeFrom="paragraph">
                        <wp:posOffset>30508</wp:posOffset>
                      </wp:positionV>
                      <wp:extent cx="129540" cy="129540"/>
                      <wp:effectExtent l="0" t="0" r="22860" b="22860"/>
                      <wp:wrapNone/>
                      <wp:docPr id="5" name="Text Box 5"/>
                      <wp:cNvGraphicFramePr/>
                      <a:graphic xmlns:a="http://schemas.openxmlformats.org/drawingml/2006/main">
                        <a:graphicData uri="http://schemas.microsoft.com/office/word/2010/wordprocessingShape">
                          <wps:wsp>
                            <wps:cNvSpPr txBox="1"/>
                            <wps:spPr>
                              <a:xfrm>
                                <a:off x="0" y="0"/>
                                <a:ext cx="129540" cy="129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0D778E" w14:textId="77777777" w:rsidR="005864FD" w:rsidRDefault="005864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5" type="#_x0000_t202" style="position:absolute;margin-left:15pt;margin-top:2.4pt;width:10.2pt;height:10.2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" fillcolor="white [3201]" strokeweight=".5pt">
                      <v:textbox>
                        <w:txbxContent>
                          <w:p w14:paraId="650D778E" w14:textId="77777777" w:rsidR="005864FD" w:rsidRDefault="005864FD"/>
                        </w:txbxContent>
                      </v:textbox>
                    </v:shape>
                  </w:pict>
                </mc:Fallback>
              </mc:AlternateContent>
            </w:r>
            <w:r w:rsidR="007F05F6" w:rsidRPr="00B27C78">
              <w:rPr>
                <w:rFonts w:cs="Arial"/>
              </w:rPr>
              <w:t xml:space="preserve">No </w:t>
            </w:r>
          </w:p>
        </w:tc>
      </w:tr>
      <w:tr w:rsidR="00987CF3" w:rsidRPr="00B27C78" w14:paraId="64A2B120" w14:textId="77777777" w:rsidTr="00452CBD">
        <w:tc>
          <w:tcPr>
            <w:tcW w:w="6487" w:type="dxa"/>
          </w:tcPr>
          <w:p w14:paraId="35A9E0BD" w14:textId="77777777" w:rsidR="00987CF3" w:rsidRPr="00B27C78" w:rsidRDefault="00987CF3" w:rsidP="00452CBD">
            <w:pPr>
              <w:pStyle w:val="TableTextEntries"/>
            </w:pPr>
          </w:p>
        </w:tc>
        <w:tc>
          <w:tcPr>
            <w:tcW w:w="851" w:type="dxa"/>
          </w:tcPr>
          <w:p w14:paraId="511F94E4" w14:textId="77777777" w:rsidR="00987CF3" w:rsidRPr="00B27C78" w:rsidRDefault="00987CF3" w:rsidP="00452CBD">
            <w:pPr>
              <w:pStyle w:val="TableTextEntries"/>
              <w:rPr>
                <w:rFonts w:cs="Arial"/>
              </w:rPr>
            </w:pPr>
          </w:p>
        </w:tc>
        <w:tc>
          <w:tcPr>
            <w:tcW w:w="816" w:type="dxa"/>
          </w:tcPr>
          <w:p w14:paraId="439FCDB0" w14:textId="77777777" w:rsidR="00987CF3" w:rsidRPr="00B27C78" w:rsidRDefault="00987CF3" w:rsidP="005D0DB4">
            <w:pPr>
              <w:pStyle w:val="TableTextEntries"/>
              <w:rPr>
                <w:rFonts w:cs="Arial"/>
                <w:noProof/>
                <w:lang w:eastAsia="en-AU"/>
              </w:rPr>
            </w:pPr>
          </w:p>
        </w:tc>
      </w:tr>
    </w:tbl>
    <w:p w14:paraId="27685C07" w14:textId="77777777" w:rsidR="00987CF3" w:rsidRDefault="00987CF3">
      <w:r>
        <w:br w:type="page"/>
      </w:r>
    </w:p>
    <w:p w14:paraId="18D7049C" w14:textId="1F9B646D" w:rsidR="000F359C" w:rsidRDefault="00E3295D" w:rsidP="006607B9">
      <w:pPr>
        <w:pStyle w:val="Heading1"/>
      </w:pPr>
      <w:bookmarkStart w:id="16" w:name="_Toc412798916"/>
      <w:r>
        <w:t xml:space="preserve">Assessment Criterion 1: </w:t>
      </w:r>
      <w:r w:rsidR="000F359C">
        <w:t>Need for the variation</w:t>
      </w:r>
      <w:bookmarkEnd w:id="16"/>
    </w:p>
    <w:p w14:paraId="49E1509D" w14:textId="77777777" w:rsidR="004A2652" w:rsidRPr="00B27C78" w:rsidRDefault="004A2652" w:rsidP="004A2652">
      <w:pPr>
        <w:pStyle w:val="BodyText"/>
        <w:rPr>
          <w:color w:val="548DD4" w:themeColor="text2" w:themeTint="99"/>
        </w:rPr>
      </w:pPr>
      <w:r w:rsidRPr="00B27C78">
        <w:rPr>
          <w:color w:val="548DD4" w:themeColor="text2" w:themeTint="99"/>
        </w:rPr>
        <w:t>Criterion 1 within the OLG Guidelines is:</w:t>
      </w:r>
    </w:p>
    <w:p w14:paraId="63DE81A8" w14:textId="77777777" w:rsidR="004A2652" w:rsidRPr="00B27C78" w:rsidRDefault="004A2652" w:rsidP="004A2652">
      <w:pPr>
        <w:pStyle w:val="Quote"/>
        <w:rPr>
          <w:rFonts w:ascii="Arial" w:hAnsi="Arial"/>
          <w:i/>
          <w:color w:val="548DD4" w:themeColor="text2" w:themeTint="99"/>
        </w:rPr>
      </w:pPr>
      <w:r w:rsidRPr="00B27C78">
        <w:rPr>
          <w:rFonts w:ascii="Arial" w:hAnsi="Arial"/>
          <w:i/>
          <w:color w:val="548DD4" w:themeColor="text2" w:themeTint="99"/>
        </w:rPr>
        <w:t>The need for and purpose of a different revenue path for the council’s General Fund (as requested through the special variation) is clearly articulated and identified in the council’s IP&amp;R documents, including its Delivery Program, Long Term Financial Plan and Asset Management Plan where appropriate.  In establishing need for the special variation, the relevant IP&amp;R documents should canvass alternatives to the rate rise.  In demonstrating this need councils must indicate the financial impact in their Long Term Financial Plan applying the following two scenarios:</w:t>
      </w:r>
    </w:p>
    <w:p w14:paraId="6A20F613" w14:textId="77777777" w:rsidR="004A2652" w:rsidRPr="00B27C78" w:rsidRDefault="004A2652" w:rsidP="004A2652">
      <w:pPr>
        <w:pStyle w:val="QuoteBullet"/>
        <w:rPr>
          <w:rFonts w:ascii="Arial" w:hAnsi="Arial"/>
          <w:i/>
          <w:color w:val="548DD4" w:themeColor="text2" w:themeTint="99"/>
        </w:rPr>
      </w:pPr>
      <w:r w:rsidRPr="00B27C78">
        <w:rPr>
          <w:rFonts w:ascii="Arial" w:hAnsi="Arial"/>
          <w:i/>
          <w:color w:val="548DD4" w:themeColor="text2" w:themeTint="99"/>
        </w:rPr>
        <w:t>Baseline scenario – General Fund revenue and expenditure forecasts which reflect the business as usual model, and exclude the special variation, and</w:t>
      </w:r>
    </w:p>
    <w:p w14:paraId="0D8D3443" w14:textId="77777777" w:rsidR="004A2652" w:rsidRPr="00B27C78" w:rsidRDefault="004A2652" w:rsidP="004A2652">
      <w:pPr>
        <w:pStyle w:val="QuoteBullet"/>
        <w:rPr>
          <w:rFonts w:ascii="Arial" w:hAnsi="Arial"/>
          <w:i/>
          <w:color w:val="548DD4" w:themeColor="text2" w:themeTint="99"/>
        </w:rPr>
      </w:pPr>
      <w:r w:rsidRPr="00B27C78">
        <w:rPr>
          <w:rFonts w:ascii="Arial" w:hAnsi="Arial"/>
          <w:i/>
          <w:color w:val="548DD4" w:themeColor="text2" w:themeTint="99"/>
        </w:rPr>
        <w:t>Special variation scenario – the result of approving the special variation in full is shown and reflected in the General Fund revenue forecast with the additional expenditure levels intended to be funded by the special variation.</w:t>
      </w:r>
    </w:p>
    <w:p w14:paraId="7D1A9D64" w14:textId="77777777" w:rsidR="004A2652" w:rsidRPr="00B27C78" w:rsidRDefault="004A2652" w:rsidP="004A2652">
      <w:pPr>
        <w:pStyle w:val="Quote"/>
        <w:rPr>
          <w:rFonts w:ascii="Arial" w:hAnsi="Arial" w:cs="Arial"/>
          <w:i/>
          <w:color w:val="548DD4" w:themeColor="text2" w:themeTint="99"/>
        </w:rPr>
      </w:pPr>
      <w:r w:rsidRPr="00B27C78">
        <w:rPr>
          <w:rFonts w:ascii="Arial" w:hAnsi="Arial" w:cs="Arial"/>
          <w:i/>
          <w:color w:val="548DD4" w:themeColor="text2" w:themeTint="99"/>
        </w:rPr>
        <w:t>Evidence to establish this criterion could include evidence of community need /desire for service levels/projects and limited council resourcing alternatives.</w:t>
      </w:r>
    </w:p>
    <w:p w14:paraId="0115083B" w14:textId="77777777" w:rsidR="004A2652" w:rsidRPr="00B27C78" w:rsidRDefault="004A2652" w:rsidP="004A2652">
      <w:pPr>
        <w:pStyle w:val="Quote"/>
        <w:rPr>
          <w:rFonts w:ascii="Arial" w:hAnsi="Arial" w:cs="Arial"/>
          <w:i/>
          <w:color w:val="548DD4" w:themeColor="text2" w:themeTint="99"/>
        </w:rPr>
      </w:pPr>
      <w:r w:rsidRPr="00B27C78">
        <w:rPr>
          <w:rFonts w:ascii="Arial" w:hAnsi="Arial" w:cs="Arial"/>
          <w:i/>
          <w:color w:val="548DD4" w:themeColor="text2" w:themeTint="99"/>
        </w:rPr>
        <w:t>Evidence could also include the assessment of the council’s financial sustainability conducted by the NSW Treasury Corporation.</w:t>
      </w:r>
    </w:p>
    <w:p w14:paraId="1EE97F80" w14:textId="77777777" w:rsidR="004A2652" w:rsidRPr="00B27C78" w:rsidRDefault="004A2652" w:rsidP="004A2652">
      <w:pPr>
        <w:pStyle w:val="BodyText"/>
        <w:rPr>
          <w:color w:val="548DD4" w:themeColor="text2" w:themeTint="99"/>
        </w:rPr>
      </w:pPr>
      <w:r w:rsidRPr="00B27C78">
        <w:rPr>
          <w:color w:val="548DD4" w:themeColor="text2" w:themeTint="99"/>
        </w:rPr>
        <w:t>The response to this criterion should summarise the council’s case for the proposed special variation.  It is necessary to show how the council has identified and considered its community’s needs, alternative funding options (to a rates rise) and the assessment of its financial sustainability as conducted by the NSW Treasury Corporation (TCorp).</w:t>
      </w:r>
    </w:p>
    <w:p w14:paraId="7ECD1096" w14:textId="77777777" w:rsidR="004A2652" w:rsidRPr="00B27C78" w:rsidRDefault="004A2652" w:rsidP="004A2652">
      <w:pPr>
        <w:pStyle w:val="BodyText"/>
        <w:rPr>
          <w:color w:val="548DD4" w:themeColor="text2" w:themeTint="99"/>
        </w:rPr>
      </w:pPr>
      <w:r w:rsidRPr="00B27C78">
        <w:rPr>
          <w:color w:val="548DD4" w:themeColor="text2" w:themeTint="99"/>
        </w:rPr>
        <w:t xml:space="preserve">The criterion states that the need for the special variation must be identified and clearly articulated in the council’s IP&amp;R documents especially the Long Term Financial Plan (LTFP) and the Delivery Program, and, where appropriate, the Asset Management Plan (AMP).  The purpose of the special variation should also be consistent with the priorities of the Community Strategic Plan (CSP). </w:t>
      </w:r>
    </w:p>
    <w:p w14:paraId="1C0253F3" w14:textId="77777777" w:rsidR="004A2652" w:rsidRPr="00FE2452" w:rsidRDefault="004A2652" w:rsidP="004A2652">
      <w:pPr>
        <w:pStyle w:val="Heading2"/>
      </w:pPr>
      <w:bookmarkStart w:id="17" w:name="_Toc366160406"/>
      <w:bookmarkStart w:id="18" w:name="_Toc411861135"/>
      <w:bookmarkStart w:id="19" w:name="_Toc412798917"/>
      <w:r>
        <w:t xml:space="preserve">Case for special variation - </w:t>
      </w:r>
      <w:r w:rsidRPr="00FE2452">
        <w:t>community need</w:t>
      </w:r>
      <w:bookmarkEnd w:id="17"/>
      <w:bookmarkEnd w:id="18"/>
      <w:bookmarkEnd w:id="19"/>
    </w:p>
    <w:p w14:paraId="205B6054" w14:textId="77777777" w:rsidR="004A2652" w:rsidRPr="00343ABB" w:rsidRDefault="004A2652" w:rsidP="004A2652">
      <w:pPr>
        <w:pStyle w:val="BodyText"/>
        <w:rPr>
          <w:color w:val="548DD4" w:themeColor="text2" w:themeTint="99"/>
          <w:sz w:val="20"/>
          <w:szCs w:val="20"/>
        </w:rPr>
      </w:pPr>
      <w:r w:rsidRPr="00343ABB">
        <w:rPr>
          <w:color w:val="548DD4" w:themeColor="text2" w:themeTint="99"/>
          <w:sz w:val="20"/>
          <w:szCs w:val="20"/>
        </w:rPr>
        <w:t>Summarise and explain below:</w:t>
      </w:r>
    </w:p>
    <w:p w14:paraId="6C8B4231" w14:textId="77777777" w:rsidR="004A2652" w:rsidRPr="00343ABB" w:rsidRDefault="004A2652" w:rsidP="004A2652">
      <w:pPr>
        <w:pStyle w:val="ListBullet"/>
        <w:spacing w:line="240" w:lineRule="auto"/>
        <w:rPr>
          <w:b/>
          <w:color w:val="548DD4" w:themeColor="text2" w:themeTint="99"/>
          <w:sz w:val="20"/>
          <w:szCs w:val="20"/>
        </w:rPr>
      </w:pPr>
      <w:r w:rsidRPr="00343ABB">
        <w:rPr>
          <w:b/>
          <w:color w:val="548DD4" w:themeColor="text2" w:themeTint="99"/>
          <w:sz w:val="20"/>
          <w:szCs w:val="20"/>
        </w:rPr>
        <w:t>How the council identified and considered the community’s needs and desires in relation to matters such as levels of service delivery and asset maintenance and provision.</w:t>
      </w:r>
    </w:p>
    <w:p w14:paraId="35773D2D" w14:textId="77777777" w:rsidR="004A2652" w:rsidRPr="00343ABB" w:rsidRDefault="004A2652" w:rsidP="004A2652">
      <w:pPr>
        <w:pStyle w:val="ListBullet"/>
        <w:spacing w:line="240" w:lineRule="auto"/>
        <w:rPr>
          <w:b/>
          <w:color w:val="548DD4" w:themeColor="text2" w:themeTint="99"/>
          <w:sz w:val="20"/>
          <w:szCs w:val="20"/>
        </w:rPr>
      </w:pPr>
      <w:r w:rsidRPr="00343ABB">
        <w:rPr>
          <w:b/>
          <w:color w:val="548DD4" w:themeColor="text2" w:themeTint="99"/>
          <w:sz w:val="20"/>
          <w:szCs w:val="20"/>
        </w:rPr>
        <w:t>How the decision to seek higher revenues above the rate peg was made and which other options were examined, such as changing expenditure priorities or using alternative modes of service delivery.</w:t>
      </w:r>
    </w:p>
    <w:p w14:paraId="3A72A610" w14:textId="77777777" w:rsidR="004A2652" w:rsidRPr="00343ABB" w:rsidRDefault="004A2652" w:rsidP="004A2652">
      <w:pPr>
        <w:pStyle w:val="ListBullet"/>
        <w:spacing w:line="240" w:lineRule="auto"/>
        <w:rPr>
          <w:b/>
          <w:color w:val="548DD4" w:themeColor="text2" w:themeTint="99"/>
          <w:sz w:val="20"/>
          <w:szCs w:val="20"/>
        </w:rPr>
      </w:pPr>
      <w:r w:rsidRPr="00343ABB">
        <w:rPr>
          <w:b/>
          <w:color w:val="548DD4" w:themeColor="text2" w:themeTint="99"/>
          <w:sz w:val="20"/>
          <w:szCs w:val="20"/>
        </w:rPr>
        <w:t>Why the special variation is the most appropriate option.  For example, typically other options would include introducing new or higher user charges and/or an increase in council loan borrowings, or private public partnerships or joint ventures.</w:t>
      </w:r>
    </w:p>
    <w:p w14:paraId="5B598EED" w14:textId="77777777" w:rsidR="004A2652" w:rsidRPr="00343ABB" w:rsidRDefault="004A2652" w:rsidP="004A2652">
      <w:pPr>
        <w:pStyle w:val="ListBullet"/>
        <w:spacing w:line="240" w:lineRule="auto"/>
        <w:rPr>
          <w:b/>
          <w:color w:val="548DD4" w:themeColor="text2" w:themeTint="99"/>
          <w:sz w:val="20"/>
          <w:szCs w:val="20"/>
        </w:rPr>
      </w:pPr>
      <w:r w:rsidRPr="00343ABB">
        <w:rPr>
          <w:b/>
          <w:color w:val="548DD4" w:themeColor="text2" w:themeTint="99"/>
          <w:sz w:val="20"/>
          <w:szCs w:val="20"/>
        </w:rPr>
        <w:t>How the proposed special variation impacts the LTFP forecasts and how this relates to the need the council identified. Our assessment will also consider the assumptions which underpin the council’s LTFP forecasts.</w:t>
      </w:r>
    </w:p>
    <w:p w14:paraId="15CCEF25" w14:textId="77777777" w:rsidR="004A2652" w:rsidRPr="00343ABB" w:rsidRDefault="004A2652" w:rsidP="004A2652">
      <w:pPr>
        <w:pStyle w:val="ListBullet"/>
        <w:numPr>
          <w:ilvl w:val="0"/>
          <w:numId w:val="0"/>
        </w:numPr>
        <w:spacing w:line="240" w:lineRule="auto"/>
        <w:ind w:left="284"/>
        <w:rPr>
          <w:color w:val="548DD4" w:themeColor="text2" w:themeTint="99"/>
          <w:sz w:val="20"/>
          <w:szCs w:val="20"/>
        </w:rPr>
      </w:pPr>
      <w:r w:rsidRPr="00343ABB">
        <w:rPr>
          <w:color w:val="548DD4" w:themeColor="text2" w:themeTint="99"/>
          <w:sz w:val="20"/>
          <w:szCs w:val="20"/>
        </w:rPr>
        <w:t xml:space="preserve">In addressing this criterion, you should include extracts from, or references to, the IP&amp;R document(s) that demonstrate how the council meets this criterion.  </w:t>
      </w:r>
    </w:p>
    <w:p w14:paraId="71FF1822" w14:textId="77777777" w:rsidR="004A2652" w:rsidRPr="00C81F43" w:rsidRDefault="004A2652" w:rsidP="004A2652">
      <w:pPr>
        <w:pStyle w:val="Heading3"/>
        <w:tabs>
          <w:tab w:val="clear" w:pos="1844"/>
          <w:tab w:val="num" w:pos="709"/>
        </w:tabs>
        <w:ind w:left="709"/>
      </w:pPr>
      <w:r w:rsidRPr="00C81F43">
        <w:t>How the council identified and considered the community’s needs and desires in relation to matters such as levels of service delivery and asset maintenance and provision</w:t>
      </w:r>
    </w:p>
    <w:p w14:paraId="624DCB4F" w14:textId="14033A23" w:rsidR="004A2652" w:rsidRDefault="004A2652" w:rsidP="00CE3BFE">
      <w:pPr>
        <w:spacing w:before="240" w:line="276" w:lineRule="auto"/>
        <w:jc w:val="both"/>
        <w:rPr>
          <w:rFonts w:ascii="Arial" w:hAnsi="Arial" w:cs="Arial"/>
          <w:bCs/>
          <w:sz w:val="20"/>
          <w:szCs w:val="20"/>
        </w:rPr>
      </w:pPr>
      <w:r w:rsidRPr="00E70B7F">
        <w:rPr>
          <w:rFonts w:ascii="Arial" w:hAnsi="Arial" w:cs="Arial"/>
          <w:bCs/>
          <w:sz w:val="20"/>
          <w:szCs w:val="20"/>
        </w:rPr>
        <w:t>The Council has identified and considered community needs informing this application in a range of ways</w:t>
      </w:r>
      <w:r w:rsidR="006916B3">
        <w:rPr>
          <w:rFonts w:ascii="Arial" w:hAnsi="Arial" w:cs="Arial"/>
          <w:bCs/>
          <w:sz w:val="20"/>
          <w:szCs w:val="20"/>
        </w:rPr>
        <w:t xml:space="preserve"> including</w:t>
      </w:r>
      <w:r w:rsidRPr="00E70B7F">
        <w:rPr>
          <w:rFonts w:ascii="Arial" w:hAnsi="Arial" w:cs="Arial"/>
          <w:bCs/>
          <w:sz w:val="20"/>
          <w:szCs w:val="20"/>
        </w:rPr>
        <w:t>:</w:t>
      </w:r>
    </w:p>
    <w:p w14:paraId="5D7D7262" w14:textId="40499939" w:rsidR="004A2652" w:rsidRDefault="004A2652" w:rsidP="00695720">
      <w:pPr>
        <w:pStyle w:val="ListParagraph"/>
        <w:numPr>
          <w:ilvl w:val="0"/>
          <w:numId w:val="92"/>
        </w:numPr>
        <w:spacing w:before="240" w:line="276" w:lineRule="auto"/>
        <w:ind w:left="714" w:hanging="357"/>
        <w:jc w:val="both"/>
        <w:rPr>
          <w:rFonts w:ascii="Arial" w:hAnsi="Arial" w:cs="Arial"/>
          <w:bCs/>
          <w:sz w:val="20"/>
          <w:szCs w:val="20"/>
        </w:rPr>
      </w:pPr>
      <w:r>
        <w:rPr>
          <w:rFonts w:ascii="Arial" w:hAnsi="Arial" w:cs="Arial"/>
          <w:bCs/>
          <w:sz w:val="20"/>
          <w:szCs w:val="20"/>
        </w:rPr>
        <w:t>Four years of integrated planning and reporting</w:t>
      </w:r>
      <w:r w:rsidR="006916B3">
        <w:rPr>
          <w:rFonts w:ascii="Arial" w:hAnsi="Arial" w:cs="Arial"/>
          <w:bCs/>
          <w:sz w:val="20"/>
          <w:szCs w:val="20"/>
        </w:rPr>
        <w:t xml:space="preserve"> and associated community engag</w:t>
      </w:r>
      <w:r w:rsidR="00CB1643">
        <w:rPr>
          <w:rFonts w:ascii="Arial" w:hAnsi="Arial" w:cs="Arial"/>
          <w:bCs/>
          <w:sz w:val="20"/>
          <w:szCs w:val="20"/>
        </w:rPr>
        <w:t>e</w:t>
      </w:r>
      <w:r w:rsidR="006916B3">
        <w:rPr>
          <w:rFonts w:ascii="Arial" w:hAnsi="Arial" w:cs="Arial"/>
          <w:bCs/>
          <w:sz w:val="20"/>
          <w:szCs w:val="20"/>
        </w:rPr>
        <w:t>ment</w:t>
      </w:r>
      <w:r>
        <w:rPr>
          <w:rFonts w:ascii="Arial" w:hAnsi="Arial" w:cs="Arial"/>
          <w:bCs/>
          <w:sz w:val="20"/>
          <w:szCs w:val="20"/>
        </w:rPr>
        <w:t>;</w:t>
      </w:r>
    </w:p>
    <w:p w14:paraId="309A0DE4" w14:textId="0BC53828" w:rsidR="004A2652" w:rsidRDefault="006916B3" w:rsidP="00695720">
      <w:pPr>
        <w:pStyle w:val="ListParagraph"/>
        <w:numPr>
          <w:ilvl w:val="0"/>
          <w:numId w:val="92"/>
        </w:numPr>
        <w:spacing w:line="276" w:lineRule="auto"/>
        <w:ind w:left="714" w:hanging="357"/>
        <w:jc w:val="both"/>
        <w:rPr>
          <w:rFonts w:ascii="Arial" w:hAnsi="Arial" w:cs="Arial"/>
          <w:bCs/>
          <w:sz w:val="20"/>
          <w:szCs w:val="20"/>
        </w:rPr>
      </w:pPr>
      <w:r>
        <w:rPr>
          <w:rFonts w:ascii="Arial" w:hAnsi="Arial" w:cs="Arial"/>
          <w:bCs/>
          <w:sz w:val="20"/>
          <w:szCs w:val="20"/>
        </w:rPr>
        <w:t>Comprehensive s</w:t>
      </w:r>
      <w:r w:rsidR="004A2652">
        <w:rPr>
          <w:rFonts w:ascii="Arial" w:hAnsi="Arial" w:cs="Arial"/>
          <w:bCs/>
          <w:sz w:val="20"/>
          <w:szCs w:val="20"/>
        </w:rPr>
        <w:t>ervice and asset planning; and</w:t>
      </w:r>
    </w:p>
    <w:p w14:paraId="2113BA13" w14:textId="044D7993" w:rsidR="004A2652" w:rsidRDefault="004A2652" w:rsidP="00695720">
      <w:pPr>
        <w:pStyle w:val="ListParagraph"/>
        <w:numPr>
          <w:ilvl w:val="0"/>
          <w:numId w:val="92"/>
        </w:numPr>
        <w:spacing w:line="276" w:lineRule="auto"/>
        <w:ind w:left="714" w:hanging="357"/>
        <w:jc w:val="both"/>
        <w:rPr>
          <w:rFonts w:ascii="Arial" w:hAnsi="Arial" w:cs="Arial"/>
          <w:bCs/>
          <w:sz w:val="20"/>
          <w:szCs w:val="20"/>
        </w:rPr>
      </w:pPr>
      <w:r>
        <w:rPr>
          <w:rFonts w:ascii="Arial" w:hAnsi="Arial" w:cs="Arial"/>
          <w:bCs/>
          <w:sz w:val="20"/>
          <w:szCs w:val="20"/>
        </w:rPr>
        <w:t>Analysis of annual</w:t>
      </w:r>
      <w:r w:rsidR="00BF2CCA">
        <w:rPr>
          <w:rFonts w:ascii="Arial" w:hAnsi="Arial" w:cs="Arial"/>
          <w:bCs/>
          <w:sz w:val="20"/>
          <w:szCs w:val="20"/>
        </w:rPr>
        <w:t xml:space="preserve"> C</w:t>
      </w:r>
      <w:r>
        <w:rPr>
          <w:rFonts w:ascii="Arial" w:hAnsi="Arial" w:cs="Arial"/>
          <w:bCs/>
          <w:sz w:val="20"/>
          <w:szCs w:val="20"/>
        </w:rPr>
        <w:t xml:space="preserve">ommunity </w:t>
      </w:r>
      <w:r w:rsidR="00BF2CCA">
        <w:rPr>
          <w:rFonts w:ascii="Arial" w:hAnsi="Arial" w:cs="Arial"/>
          <w:bCs/>
          <w:sz w:val="20"/>
          <w:szCs w:val="20"/>
        </w:rPr>
        <w:t>S</w:t>
      </w:r>
      <w:r>
        <w:rPr>
          <w:rFonts w:ascii="Arial" w:hAnsi="Arial" w:cs="Arial"/>
          <w:bCs/>
          <w:sz w:val="20"/>
          <w:szCs w:val="20"/>
        </w:rPr>
        <w:t>urvey results.</w:t>
      </w:r>
    </w:p>
    <w:p w14:paraId="0CD62101" w14:textId="77777777" w:rsidR="004A2652" w:rsidRPr="006720F8" w:rsidRDefault="004A2652" w:rsidP="00CE3BFE">
      <w:pPr>
        <w:spacing w:before="240" w:line="276" w:lineRule="auto"/>
        <w:jc w:val="both"/>
        <w:rPr>
          <w:rFonts w:ascii="Arial" w:hAnsi="Arial" w:cs="Arial"/>
          <w:bCs/>
          <w:sz w:val="20"/>
          <w:szCs w:val="20"/>
        </w:rPr>
      </w:pPr>
      <w:r>
        <w:rPr>
          <w:rFonts w:ascii="Arial" w:hAnsi="Arial" w:cs="Arial"/>
          <w:bCs/>
          <w:sz w:val="20"/>
          <w:szCs w:val="20"/>
        </w:rPr>
        <w:t>Details of these approaches are provided below.</w:t>
      </w:r>
    </w:p>
    <w:p w14:paraId="0DBCDC63" w14:textId="65703BD5" w:rsidR="004A2652" w:rsidRPr="00043A19" w:rsidRDefault="00CB1643" w:rsidP="00695720">
      <w:pPr>
        <w:pStyle w:val="ListParagraph"/>
        <w:numPr>
          <w:ilvl w:val="0"/>
          <w:numId w:val="99"/>
        </w:numPr>
        <w:spacing w:before="240" w:line="276" w:lineRule="auto"/>
        <w:ind w:left="284" w:hanging="284"/>
        <w:jc w:val="both"/>
        <w:rPr>
          <w:rFonts w:ascii="Arial" w:hAnsi="Arial" w:cs="Arial"/>
          <w:b/>
          <w:bCs/>
          <w:sz w:val="20"/>
          <w:szCs w:val="20"/>
        </w:rPr>
      </w:pPr>
      <w:r>
        <w:rPr>
          <w:rFonts w:ascii="Arial" w:hAnsi="Arial" w:cs="Arial"/>
          <w:b/>
          <w:bCs/>
          <w:sz w:val="20"/>
          <w:szCs w:val="20"/>
        </w:rPr>
        <w:t>F</w:t>
      </w:r>
      <w:r w:rsidR="004A2652" w:rsidRPr="00043A19">
        <w:rPr>
          <w:rFonts w:ascii="Arial" w:hAnsi="Arial" w:cs="Arial"/>
          <w:b/>
          <w:bCs/>
          <w:sz w:val="20"/>
          <w:szCs w:val="20"/>
        </w:rPr>
        <w:t xml:space="preserve">our </w:t>
      </w:r>
      <w:r w:rsidR="004A2652">
        <w:rPr>
          <w:rFonts w:ascii="Arial" w:hAnsi="Arial" w:cs="Arial"/>
          <w:b/>
          <w:bCs/>
          <w:sz w:val="20"/>
          <w:szCs w:val="20"/>
        </w:rPr>
        <w:t>y</w:t>
      </w:r>
      <w:r w:rsidR="004A2652" w:rsidRPr="00043A19">
        <w:rPr>
          <w:rFonts w:ascii="Arial" w:hAnsi="Arial" w:cs="Arial"/>
          <w:b/>
          <w:bCs/>
          <w:sz w:val="20"/>
          <w:szCs w:val="20"/>
        </w:rPr>
        <w:t>ears of Integrated Planning and Reporting</w:t>
      </w:r>
      <w:r w:rsidR="004A2652">
        <w:rPr>
          <w:rFonts w:ascii="Arial" w:hAnsi="Arial" w:cs="Arial"/>
          <w:b/>
          <w:bCs/>
          <w:sz w:val="20"/>
          <w:szCs w:val="20"/>
        </w:rPr>
        <w:t xml:space="preserve"> including community engagement on service levels</w:t>
      </w:r>
    </w:p>
    <w:p w14:paraId="5D26FEE8" w14:textId="77777777" w:rsidR="00114636" w:rsidRDefault="00114636" w:rsidP="00CE3BFE">
      <w:pPr>
        <w:autoSpaceDE w:val="0"/>
        <w:autoSpaceDN w:val="0"/>
        <w:adjustRightInd w:val="0"/>
        <w:spacing w:line="276" w:lineRule="auto"/>
        <w:contextualSpacing/>
        <w:jc w:val="both"/>
        <w:rPr>
          <w:rFonts w:ascii="Arial" w:hAnsi="Arial" w:cs="Arial"/>
          <w:sz w:val="20"/>
          <w:szCs w:val="20"/>
        </w:rPr>
      </w:pPr>
    </w:p>
    <w:p w14:paraId="24CEB7B1" w14:textId="01922601" w:rsidR="00477737" w:rsidRDefault="00477737" w:rsidP="00CE3BFE">
      <w:pPr>
        <w:autoSpaceDE w:val="0"/>
        <w:autoSpaceDN w:val="0"/>
        <w:adjustRightInd w:val="0"/>
        <w:spacing w:line="276" w:lineRule="auto"/>
        <w:contextualSpacing/>
        <w:jc w:val="both"/>
        <w:rPr>
          <w:rFonts w:ascii="Arial" w:hAnsi="Arial" w:cs="Arial"/>
          <w:sz w:val="20"/>
          <w:szCs w:val="20"/>
        </w:rPr>
      </w:pPr>
      <w:r w:rsidRPr="00477737">
        <w:rPr>
          <w:rFonts w:ascii="Arial" w:hAnsi="Arial" w:cs="Arial"/>
          <w:b/>
          <w:sz w:val="20"/>
          <w:szCs w:val="20"/>
        </w:rPr>
        <w:t xml:space="preserve">Section 2.2.2 </w:t>
      </w:r>
      <w:r w:rsidR="00343ABB">
        <w:rPr>
          <w:rFonts w:ascii="Arial" w:hAnsi="Arial" w:cs="Arial"/>
          <w:b/>
          <w:sz w:val="20"/>
          <w:szCs w:val="20"/>
        </w:rPr>
        <w:t>(</w:t>
      </w:r>
      <w:r w:rsidRPr="00477737">
        <w:rPr>
          <w:rFonts w:ascii="Arial" w:hAnsi="Arial" w:cs="Arial"/>
          <w:b/>
          <w:sz w:val="20"/>
          <w:szCs w:val="20"/>
        </w:rPr>
        <w:t>a)</w:t>
      </w:r>
      <w:r>
        <w:rPr>
          <w:rFonts w:ascii="Arial" w:hAnsi="Arial" w:cs="Arial"/>
          <w:sz w:val="20"/>
          <w:szCs w:val="20"/>
        </w:rPr>
        <w:t xml:space="preserve"> above has </w:t>
      </w:r>
      <w:r w:rsidR="00343ABB">
        <w:rPr>
          <w:rFonts w:ascii="Arial" w:hAnsi="Arial" w:cs="Arial"/>
          <w:sz w:val="20"/>
          <w:szCs w:val="20"/>
        </w:rPr>
        <w:t xml:space="preserve">already </w:t>
      </w:r>
      <w:r>
        <w:rPr>
          <w:rFonts w:ascii="Arial" w:hAnsi="Arial" w:cs="Arial"/>
          <w:sz w:val="20"/>
          <w:szCs w:val="20"/>
        </w:rPr>
        <w:t xml:space="preserve">provided a </w:t>
      </w:r>
      <w:r w:rsidR="00343ABB">
        <w:rPr>
          <w:rFonts w:ascii="Arial" w:hAnsi="Arial" w:cs="Arial"/>
          <w:sz w:val="20"/>
          <w:szCs w:val="20"/>
        </w:rPr>
        <w:t>summary</w:t>
      </w:r>
      <w:r>
        <w:rPr>
          <w:rFonts w:ascii="Arial" w:hAnsi="Arial" w:cs="Arial"/>
          <w:sz w:val="20"/>
          <w:szCs w:val="20"/>
        </w:rPr>
        <w:t xml:space="preserve"> overview of the Council’s integrated planning and community engagement on </w:t>
      </w:r>
      <w:r w:rsidR="00343ABB">
        <w:rPr>
          <w:rFonts w:ascii="Arial" w:hAnsi="Arial" w:cs="Arial"/>
          <w:sz w:val="20"/>
          <w:szCs w:val="20"/>
        </w:rPr>
        <w:t xml:space="preserve">affordable and acceptable </w:t>
      </w:r>
      <w:r>
        <w:rPr>
          <w:rFonts w:ascii="Arial" w:hAnsi="Arial" w:cs="Arial"/>
          <w:sz w:val="20"/>
          <w:szCs w:val="20"/>
        </w:rPr>
        <w:t>service level</w:t>
      </w:r>
      <w:r w:rsidR="00343ABB">
        <w:rPr>
          <w:rFonts w:ascii="Arial" w:hAnsi="Arial" w:cs="Arial"/>
          <w:sz w:val="20"/>
          <w:szCs w:val="20"/>
        </w:rPr>
        <w:t>s over the past four years</w:t>
      </w:r>
      <w:r>
        <w:rPr>
          <w:rFonts w:ascii="Arial" w:hAnsi="Arial" w:cs="Arial"/>
          <w:sz w:val="20"/>
          <w:szCs w:val="20"/>
        </w:rPr>
        <w:t xml:space="preserve">. </w:t>
      </w:r>
    </w:p>
    <w:p w14:paraId="59964D74" w14:textId="77777777" w:rsidR="00477737" w:rsidRDefault="00477737" w:rsidP="00CE3BFE">
      <w:pPr>
        <w:autoSpaceDE w:val="0"/>
        <w:autoSpaceDN w:val="0"/>
        <w:adjustRightInd w:val="0"/>
        <w:spacing w:line="276" w:lineRule="auto"/>
        <w:contextualSpacing/>
        <w:jc w:val="both"/>
        <w:rPr>
          <w:rFonts w:ascii="Arial" w:hAnsi="Arial" w:cs="Arial"/>
          <w:sz w:val="20"/>
          <w:szCs w:val="20"/>
        </w:rPr>
      </w:pPr>
    </w:p>
    <w:p w14:paraId="3DF994CE" w14:textId="22A44056" w:rsidR="004A2652" w:rsidRPr="007A260D" w:rsidRDefault="00343ABB" w:rsidP="00CE3BFE">
      <w:pPr>
        <w:autoSpaceDE w:val="0"/>
        <w:autoSpaceDN w:val="0"/>
        <w:adjustRightInd w:val="0"/>
        <w:spacing w:line="276" w:lineRule="auto"/>
        <w:contextualSpacing/>
        <w:jc w:val="both"/>
        <w:rPr>
          <w:rFonts w:ascii="Arial" w:hAnsi="Arial" w:cs="Arial"/>
          <w:sz w:val="20"/>
          <w:szCs w:val="20"/>
        </w:rPr>
      </w:pPr>
      <w:r w:rsidRPr="00A403E3">
        <w:rPr>
          <w:rFonts w:ascii="Arial" w:hAnsi="Arial" w:cs="Arial"/>
          <w:b/>
          <w:sz w:val="20"/>
          <w:szCs w:val="20"/>
        </w:rPr>
        <w:t>I</w:t>
      </w:r>
      <w:r w:rsidR="004A2652" w:rsidRPr="00A403E3">
        <w:rPr>
          <w:rFonts w:ascii="Arial" w:hAnsi="Arial" w:cs="Arial"/>
          <w:b/>
          <w:sz w:val="20"/>
          <w:szCs w:val="20"/>
        </w:rPr>
        <w:t>n 2010</w:t>
      </w:r>
      <w:r w:rsidR="004A2652">
        <w:rPr>
          <w:rFonts w:ascii="Arial" w:hAnsi="Arial" w:cs="Arial"/>
          <w:sz w:val="20"/>
          <w:szCs w:val="20"/>
        </w:rPr>
        <w:t xml:space="preserve"> a comprehensive </w:t>
      </w:r>
      <w:r>
        <w:rPr>
          <w:rFonts w:ascii="Arial" w:hAnsi="Arial" w:cs="Arial"/>
          <w:sz w:val="20"/>
          <w:szCs w:val="20"/>
        </w:rPr>
        <w:t xml:space="preserve">community </w:t>
      </w:r>
      <w:r w:rsidR="004A2652">
        <w:rPr>
          <w:rFonts w:ascii="Arial" w:hAnsi="Arial" w:cs="Arial"/>
          <w:sz w:val="20"/>
          <w:szCs w:val="20"/>
        </w:rPr>
        <w:t>engagement program on affordable levels of service was implemented as part of the Council’s Integrated Planning process</w:t>
      </w:r>
      <w:r>
        <w:rPr>
          <w:rFonts w:ascii="Arial" w:hAnsi="Arial" w:cs="Arial"/>
          <w:sz w:val="20"/>
          <w:szCs w:val="20"/>
        </w:rPr>
        <w:t xml:space="preserve"> and the update of the Community Strategic Plan</w:t>
      </w:r>
      <w:r w:rsidR="004A2652">
        <w:rPr>
          <w:rFonts w:ascii="Arial" w:hAnsi="Arial" w:cs="Arial"/>
          <w:sz w:val="20"/>
          <w:szCs w:val="20"/>
        </w:rPr>
        <w:t xml:space="preserve">. This process resulted in </w:t>
      </w:r>
      <w:r>
        <w:rPr>
          <w:rFonts w:ascii="Arial" w:hAnsi="Arial" w:cs="Arial"/>
          <w:sz w:val="20"/>
          <w:szCs w:val="20"/>
        </w:rPr>
        <w:t xml:space="preserve">community endorsement for </w:t>
      </w:r>
      <w:r w:rsidR="004A2652">
        <w:rPr>
          <w:rFonts w:ascii="Arial" w:hAnsi="Arial" w:cs="Arial"/>
          <w:sz w:val="20"/>
          <w:szCs w:val="20"/>
        </w:rPr>
        <w:t xml:space="preserve">a </w:t>
      </w:r>
      <w:r w:rsidR="004A2652" w:rsidRPr="007A260D">
        <w:rPr>
          <w:rFonts w:ascii="Arial" w:hAnsi="Arial" w:cs="Arial"/>
          <w:sz w:val="20"/>
          <w:szCs w:val="20"/>
        </w:rPr>
        <w:t xml:space="preserve">special variation to rates </w:t>
      </w:r>
      <w:r>
        <w:rPr>
          <w:rFonts w:ascii="Arial" w:hAnsi="Arial" w:cs="Arial"/>
          <w:sz w:val="20"/>
          <w:szCs w:val="20"/>
        </w:rPr>
        <w:t xml:space="preserve">that </w:t>
      </w:r>
      <w:r w:rsidR="004A2652" w:rsidRPr="007A260D">
        <w:rPr>
          <w:rFonts w:ascii="Arial" w:hAnsi="Arial" w:cs="Arial"/>
          <w:sz w:val="20"/>
          <w:szCs w:val="20"/>
        </w:rPr>
        <w:t>rais</w:t>
      </w:r>
      <w:r>
        <w:rPr>
          <w:rFonts w:ascii="Arial" w:hAnsi="Arial" w:cs="Arial"/>
          <w:sz w:val="20"/>
          <w:szCs w:val="20"/>
        </w:rPr>
        <w:t>ed</w:t>
      </w:r>
      <w:r w:rsidR="004A2652" w:rsidRPr="007A260D">
        <w:rPr>
          <w:rFonts w:ascii="Arial" w:hAnsi="Arial" w:cs="Arial"/>
          <w:sz w:val="20"/>
          <w:szCs w:val="20"/>
        </w:rPr>
        <w:t xml:space="preserve"> $5.5 million over 2010-2013 </w:t>
      </w:r>
      <w:r>
        <w:rPr>
          <w:rFonts w:ascii="Arial" w:hAnsi="Arial" w:cs="Arial"/>
          <w:sz w:val="20"/>
          <w:szCs w:val="20"/>
        </w:rPr>
        <w:t xml:space="preserve">to </w:t>
      </w:r>
      <w:r w:rsidR="004A2652" w:rsidRPr="007A260D">
        <w:rPr>
          <w:rFonts w:ascii="Arial" w:hAnsi="Arial" w:cs="Arial"/>
          <w:sz w:val="20"/>
          <w:szCs w:val="20"/>
        </w:rPr>
        <w:t xml:space="preserve">maintain and renew built </w:t>
      </w:r>
      <w:r w:rsidR="004A2652">
        <w:rPr>
          <w:rFonts w:ascii="Arial" w:hAnsi="Arial" w:cs="Arial"/>
          <w:sz w:val="20"/>
          <w:szCs w:val="20"/>
        </w:rPr>
        <w:t xml:space="preserve">infrastructure and </w:t>
      </w:r>
      <w:r w:rsidR="004A2652" w:rsidRPr="007A260D">
        <w:rPr>
          <w:rFonts w:ascii="Arial" w:hAnsi="Arial" w:cs="Arial"/>
          <w:sz w:val="20"/>
          <w:szCs w:val="20"/>
        </w:rPr>
        <w:t>community assets.</w:t>
      </w:r>
    </w:p>
    <w:p w14:paraId="2ACE7688" w14:textId="4784AC43" w:rsidR="004A2652" w:rsidRPr="007C30A1" w:rsidRDefault="004A2652" w:rsidP="00CE3BFE">
      <w:pPr>
        <w:spacing w:before="240" w:line="276" w:lineRule="auto"/>
        <w:jc w:val="both"/>
        <w:rPr>
          <w:rFonts w:ascii="Arial" w:hAnsi="Arial" w:cs="Arial"/>
          <w:sz w:val="20"/>
          <w:szCs w:val="20"/>
        </w:rPr>
      </w:pPr>
      <w:r w:rsidRPr="00A403E3">
        <w:rPr>
          <w:rFonts w:ascii="Arial" w:hAnsi="Arial" w:cs="Arial"/>
          <w:b/>
          <w:bCs/>
          <w:sz w:val="20"/>
          <w:szCs w:val="20"/>
        </w:rPr>
        <w:t>In 2012/13</w:t>
      </w:r>
      <w:r>
        <w:rPr>
          <w:rFonts w:ascii="Arial" w:hAnsi="Arial" w:cs="Arial"/>
          <w:bCs/>
          <w:sz w:val="20"/>
          <w:szCs w:val="20"/>
        </w:rPr>
        <w:t xml:space="preserve"> an extensive community engagement program was implemented to </w:t>
      </w:r>
      <w:r w:rsidR="0013221E">
        <w:rPr>
          <w:rFonts w:ascii="Arial" w:hAnsi="Arial" w:cs="Arial"/>
          <w:bCs/>
          <w:sz w:val="20"/>
          <w:szCs w:val="20"/>
        </w:rPr>
        <w:t xml:space="preserve">again </w:t>
      </w:r>
      <w:r>
        <w:rPr>
          <w:rFonts w:ascii="Arial" w:hAnsi="Arial" w:cs="Arial"/>
          <w:bCs/>
          <w:sz w:val="20"/>
          <w:szCs w:val="20"/>
        </w:rPr>
        <w:t>update the City’s Community Strategic Plan -</w:t>
      </w:r>
      <w:r w:rsidRPr="005F135B">
        <w:rPr>
          <w:rFonts w:ascii="Arial" w:hAnsi="Arial" w:cs="Arial"/>
          <w:bCs/>
          <w:i/>
          <w:sz w:val="20"/>
          <w:szCs w:val="20"/>
        </w:rPr>
        <w:t xml:space="preserve"> </w:t>
      </w:r>
      <w:r w:rsidRPr="0001010E">
        <w:rPr>
          <w:rFonts w:ascii="Arial" w:hAnsi="Arial" w:cs="Arial"/>
          <w:bCs/>
          <w:i/>
          <w:sz w:val="20"/>
          <w:szCs w:val="20"/>
        </w:rPr>
        <w:t>Sustainable Blue Mountains 2025</w:t>
      </w:r>
      <w:r>
        <w:rPr>
          <w:rFonts w:ascii="Arial" w:hAnsi="Arial" w:cs="Arial"/>
          <w:bCs/>
          <w:sz w:val="20"/>
          <w:szCs w:val="20"/>
        </w:rPr>
        <w:t xml:space="preserve"> (SBM2025)</w:t>
      </w:r>
      <w:r w:rsidR="007C30A1">
        <w:rPr>
          <w:rFonts w:ascii="Arial" w:hAnsi="Arial" w:cs="Arial"/>
          <w:bCs/>
          <w:sz w:val="20"/>
          <w:szCs w:val="20"/>
        </w:rPr>
        <w:t xml:space="preserve"> and the Council’s 10 year Resourcing Strategy</w:t>
      </w:r>
      <w:r>
        <w:rPr>
          <w:rFonts w:ascii="Arial" w:hAnsi="Arial" w:cs="Arial"/>
          <w:bCs/>
          <w:sz w:val="20"/>
          <w:szCs w:val="20"/>
        </w:rPr>
        <w:t xml:space="preserve">. Over 2,500 </w:t>
      </w:r>
      <w:r w:rsidRPr="00987CF3">
        <w:rPr>
          <w:rFonts w:ascii="Arial" w:hAnsi="Arial" w:cs="Arial"/>
          <w:bCs/>
          <w:sz w:val="20"/>
          <w:szCs w:val="20"/>
        </w:rPr>
        <w:t>residents</w:t>
      </w:r>
      <w:r>
        <w:rPr>
          <w:rFonts w:ascii="Arial" w:hAnsi="Arial" w:cs="Arial"/>
          <w:bCs/>
          <w:sz w:val="20"/>
          <w:szCs w:val="20"/>
        </w:rPr>
        <w:t>,</w:t>
      </w:r>
      <w:r w:rsidRPr="00987CF3">
        <w:rPr>
          <w:rFonts w:ascii="Arial" w:hAnsi="Arial" w:cs="Arial"/>
          <w:bCs/>
          <w:sz w:val="20"/>
          <w:szCs w:val="20"/>
        </w:rPr>
        <w:t xml:space="preserve"> </w:t>
      </w:r>
      <w:r>
        <w:rPr>
          <w:rFonts w:ascii="Arial" w:hAnsi="Arial" w:cs="Arial"/>
          <w:bCs/>
          <w:sz w:val="20"/>
          <w:szCs w:val="20"/>
        </w:rPr>
        <w:t xml:space="preserve">special needs groups, local </w:t>
      </w:r>
      <w:r w:rsidRPr="00987CF3">
        <w:rPr>
          <w:rFonts w:ascii="Arial" w:hAnsi="Arial" w:cs="Arial"/>
          <w:bCs/>
          <w:sz w:val="20"/>
          <w:szCs w:val="20"/>
        </w:rPr>
        <w:t>organisation</w:t>
      </w:r>
      <w:r>
        <w:rPr>
          <w:rFonts w:ascii="Arial" w:hAnsi="Arial" w:cs="Arial"/>
          <w:bCs/>
          <w:sz w:val="20"/>
          <w:szCs w:val="20"/>
        </w:rPr>
        <w:t>s</w:t>
      </w:r>
      <w:r w:rsidRPr="00987CF3">
        <w:rPr>
          <w:rFonts w:ascii="Arial" w:hAnsi="Arial" w:cs="Arial"/>
          <w:bCs/>
          <w:sz w:val="20"/>
          <w:szCs w:val="20"/>
        </w:rPr>
        <w:t xml:space="preserve"> </w:t>
      </w:r>
      <w:r>
        <w:rPr>
          <w:rFonts w:ascii="Arial" w:hAnsi="Arial" w:cs="Arial"/>
          <w:bCs/>
          <w:sz w:val="20"/>
          <w:szCs w:val="20"/>
        </w:rPr>
        <w:t xml:space="preserve">and agency </w:t>
      </w:r>
      <w:r w:rsidRPr="00987CF3">
        <w:rPr>
          <w:rFonts w:ascii="Arial" w:hAnsi="Arial" w:cs="Arial"/>
          <w:bCs/>
          <w:sz w:val="20"/>
          <w:szCs w:val="20"/>
        </w:rPr>
        <w:t>representatives</w:t>
      </w:r>
      <w:r>
        <w:rPr>
          <w:rFonts w:ascii="Arial" w:hAnsi="Arial" w:cs="Arial"/>
          <w:bCs/>
          <w:sz w:val="20"/>
          <w:szCs w:val="20"/>
        </w:rPr>
        <w:t xml:space="preserve"> were consulted through focus groups, meetings, workshops, surveys and the </w:t>
      </w:r>
      <w:r w:rsidRPr="00420354">
        <w:rPr>
          <w:rFonts w:ascii="Arial" w:hAnsi="Arial" w:cs="Arial"/>
          <w:bCs/>
          <w:i/>
          <w:sz w:val="20"/>
          <w:szCs w:val="20"/>
        </w:rPr>
        <w:t>Our City Our Future</w:t>
      </w:r>
      <w:r>
        <w:rPr>
          <w:rFonts w:ascii="Arial" w:hAnsi="Arial" w:cs="Arial"/>
          <w:bCs/>
          <w:sz w:val="20"/>
          <w:szCs w:val="20"/>
        </w:rPr>
        <w:t xml:space="preserve"> Community Forum held in February 2013</w:t>
      </w:r>
      <w:r w:rsidRPr="00987CF3">
        <w:rPr>
          <w:rFonts w:ascii="Arial" w:hAnsi="Arial" w:cs="Arial"/>
          <w:bCs/>
          <w:sz w:val="20"/>
          <w:szCs w:val="20"/>
        </w:rPr>
        <w:t>.</w:t>
      </w:r>
      <w:r>
        <w:rPr>
          <w:rFonts w:ascii="Arial" w:hAnsi="Arial" w:cs="Arial"/>
          <w:bCs/>
          <w:sz w:val="20"/>
          <w:szCs w:val="20"/>
        </w:rPr>
        <w:t xml:space="preserve"> </w:t>
      </w:r>
      <w:r>
        <w:rPr>
          <w:rFonts w:ascii="Arial" w:hAnsi="Arial" w:cs="Arial"/>
          <w:sz w:val="20"/>
          <w:szCs w:val="20"/>
        </w:rPr>
        <w:t xml:space="preserve">This </w:t>
      </w:r>
      <w:r w:rsidRPr="007A260D">
        <w:rPr>
          <w:rFonts w:ascii="Arial" w:hAnsi="Arial" w:cs="Arial"/>
          <w:sz w:val="20"/>
          <w:szCs w:val="20"/>
        </w:rPr>
        <w:t xml:space="preserve">engagement confirmed </w:t>
      </w:r>
      <w:r>
        <w:rPr>
          <w:rFonts w:ascii="Arial" w:hAnsi="Arial" w:cs="Arial"/>
          <w:sz w:val="20"/>
          <w:szCs w:val="20"/>
        </w:rPr>
        <w:t xml:space="preserve">the importance of the City improving its overall financial sustainability and addressing its asset funding challenges through implementing a </w:t>
      </w:r>
      <w:r w:rsidRPr="00EA2A79">
        <w:rPr>
          <w:rFonts w:ascii="Arial" w:hAnsi="Arial" w:cs="Arial"/>
          <w:i/>
          <w:sz w:val="20"/>
          <w:szCs w:val="20"/>
        </w:rPr>
        <w:t>Six Point Strategy</w:t>
      </w:r>
      <w:r w:rsidR="007C30A1">
        <w:rPr>
          <w:rFonts w:ascii="Arial" w:hAnsi="Arial" w:cs="Arial"/>
          <w:i/>
          <w:sz w:val="20"/>
          <w:szCs w:val="20"/>
        </w:rPr>
        <w:t xml:space="preserve"> for Financial Sustainability </w:t>
      </w:r>
      <w:r w:rsidR="007C30A1" w:rsidRPr="007C30A1">
        <w:rPr>
          <w:rFonts w:ascii="Arial" w:hAnsi="Arial" w:cs="Arial"/>
          <w:sz w:val="20"/>
          <w:szCs w:val="20"/>
        </w:rPr>
        <w:t xml:space="preserve">(see </w:t>
      </w:r>
      <w:r w:rsidR="007C30A1" w:rsidRPr="007C30A1">
        <w:rPr>
          <w:rFonts w:ascii="Arial" w:hAnsi="Arial" w:cs="Arial"/>
          <w:b/>
          <w:sz w:val="20"/>
          <w:szCs w:val="20"/>
        </w:rPr>
        <w:t>Section 3.1.3</w:t>
      </w:r>
      <w:r w:rsidR="007C30A1" w:rsidRPr="007C30A1">
        <w:rPr>
          <w:rFonts w:ascii="Arial" w:hAnsi="Arial" w:cs="Arial"/>
          <w:sz w:val="20"/>
          <w:szCs w:val="20"/>
        </w:rPr>
        <w:t>)</w:t>
      </w:r>
      <w:r w:rsidRPr="007C30A1">
        <w:rPr>
          <w:rFonts w:ascii="Arial" w:hAnsi="Arial" w:cs="Arial"/>
          <w:sz w:val="20"/>
          <w:szCs w:val="20"/>
        </w:rPr>
        <w:t xml:space="preserve">. </w:t>
      </w:r>
    </w:p>
    <w:p w14:paraId="4DA61520" w14:textId="77777777" w:rsidR="004A2652" w:rsidRDefault="004A2652" w:rsidP="00CE3BFE">
      <w:pPr>
        <w:autoSpaceDE w:val="0"/>
        <w:autoSpaceDN w:val="0"/>
        <w:adjustRightInd w:val="0"/>
        <w:spacing w:line="276" w:lineRule="auto"/>
        <w:contextualSpacing/>
        <w:jc w:val="both"/>
        <w:rPr>
          <w:rFonts w:ascii="Arial" w:hAnsi="Arial" w:cs="Arial"/>
          <w:bCs/>
          <w:sz w:val="20"/>
          <w:szCs w:val="20"/>
        </w:rPr>
      </w:pPr>
    </w:p>
    <w:p w14:paraId="77853EAB" w14:textId="77777777" w:rsidR="004A2652" w:rsidRDefault="004A2652" w:rsidP="00CE3BFE">
      <w:pPr>
        <w:autoSpaceDE w:val="0"/>
        <w:autoSpaceDN w:val="0"/>
        <w:adjustRightInd w:val="0"/>
        <w:spacing w:line="276" w:lineRule="auto"/>
        <w:contextualSpacing/>
        <w:jc w:val="both"/>
        <w:rPr>
          <w:rFonts w:ascii="Arial" w:hAnsi="Arial" w:cs="Arial"/>
          <w:bCs/>
          <w:sz w:val="20"/>
          <w:szCs w:val="20"/>
        </w:rPr>
      </w:pPr>
      <w:r w:rsidRPr="006F5CB2">
        <w:rPr>
          <w:rFonts w:ascii="Arial" w:hAnsi="Arial" w:cs="Arial"/>
          <w:b/>
          <w:bCs/>
          <w:sz w:val="20"/>
          <w:szCs w:val="20"/>
        </w:rPr>
        <w:t>Attachment 1</w:t>
      </w:r>
      <w:r>
        <w:rPr>
          <w:rFonts w:ascii="Arial" w:hAnsi="Arial" w:cs="Arial"/>
          <w:bCs/>
          <w:sz w:val="20"/>
          <w:szCs w:val="20"/>
        </w:rPr>
        <w:t xml:space="preserve"> provides relevant extracts from the Council’s Community Strategic Plan updated in 2013 that link with this special variation application, including: </w:t>
      </w:r>
    </w:p>
    <w:p w14:paraId="4DC2225A" w14:textId="77777777" w:rsidR="004A2652" w:rsidRDefault="004A2652" w:rsidP="00695720">
      <w:pPr>
        <w:pStyle w:val="ListParagraph"/>
        <w:numPr>
          <w:ilvl w:val="0"/>
          <w:numId w:val="69"/>
        </w:numPr>
        <w:spacing w:before="240" w:line="276" w:lineRule="auto"/>
        <w:ind w:left="709" w:hanging="283"/>
        <w:jc w:val="both"/>
        <w:rPr>
          <w:rFonts w:ascii="Arial" w:hAnsi="Arial" w:cs="Arial"/>
          <w:bCs/>
          <w:sz w:val="20"/>
          <w:szCs w:val="20"/>
        </w:rPr>
      </w:pPr>
      <w:r>
        <w:rPr>
          <w:rFonts w:ascii="Arial" w:hAnsi="Arial" w:cs="Arial"/>
          <w:bCs/>
          <w:sz w:val="20"/>
          <w:szCs w:val="20"/>
        </w:rPr>
        <w:t>The SBM2025 objectives and strategies that support the Council seeking this special rate variation as part of its strategies for improving financial sustainability, achieving sustainable services, assets and infrastructure and protecting the Blue Mountains natural environment;</w:t>
      </w:r>
    </w:p>
    <w:p w14:paraId="2BACB6AE" w14:textId="77777777" w:rsidR="004A2652" w:rsidRDefault="004A2652" w:rsidP="00695720">
      <w:pPr>
        <w:pStyle w:val="ListParagraph"/>
        <w:numPr>
          <w:ilvl w:val="0"/>
          <w:numId w:val="69"/>
        </w:numPr>
        <w:spacing w:line="276" w:lineRule="auto"/>
        <w:ind w:left="709" w:hanging="283"/>
        <w:jc w:val="both"/>
        <w:rPr>
          <w:rFonts w:ascii="Arial" w:hAnsi="Arial" w:cs="Arial"/>
          <w:bCs/>
          <w:sz w:val="20"/>
          <w:szCs w:val="20"/>
        </w:rPr>
      </w:pPr>
      <w:r>
        <w:rPr>
          <w:rFonts w:ascii="Arial" w:hAnsi="Arial" w:cs="Arial"/>
          <w:bCs/>
          <w:sz w:val="20"/>
          <w:szCs w:val="20"/>
        </w:rPr>
        <w:t>Evidence of the community engagement informing the update of the Plan;</w:t>
      </w:r>
    </w:p>
    <w:p w14:paraId="1BE8FED7" w14:textId="11E54268" w:rsidR="004A2652" w:rsidRDefault="00A72001" w:rsidP="00695720">
      <w:pPr>
        <w:pStyle w:val="ListParagraph"/>
        <w:numPr>
          <w:ilvl w:val="0"/>
          <w:numId w:val="69"/>
        </w:numPr>
        <w:spacing w:line="276" w:lineRule="auto"/>
        <w:ind w:left="709" w:hanging="283"/>
        <w:jc w:val="both"/>
        <w:rPr>
          <w:rFonts w:ascii="Arial" w:hAnsi="Arial" w:cs="Arial"/>
          <w:bCs/>
          <w:sz w:val="20"/>
          <w:szCs w:val="20"/>
        </w:rPr>
      </w:pPr>
      <w:r>
        <w:rPr>
          <w:rFonts w:ascii="Arial" w:hAnsi="Arial" w:cs="Arial"/>
          <w:bCs/>
          <w:sz w:val="20"/>
          <w:szCs w:val="20"/>
        </w:rPr>
        <w:t xml:space="preserve">Evidence of </w:t>
      </w:r>
      <w:r w:rsidR="004A2652">
        <w:rPr>
          <w:rFonts w:ascii="Arial" w:hAnsi="Arial" w:cs="Arial"/>
          <w:bCs/>
          <w:sz w:val="20"/>
          <w:szCs w:val="20"/>
        </w:rPr>
        <w:t xml:space="preserve">community priorities </w:t>
      </w:r>
      <w:r>
        <w:rPr>
          <w:rFonts w:ascii="Arial" w:hAnsi="Arial" w:cs="Arial"/>
          <w:bCs/>
          <w:sz w:val="20"/>
          <w:szCs w:val="20"/>
        </w:rPr>
        <w:t>relative</w:t>
      </w:r>
      <w:r w:rsidR="004A2652">
        <w:rPr>
          <w:rFonts w:ascii="Arial" w:hAnsi="Arial" w:cs="Arial"/>
          <w:bCs/>
          <w:sz w:val="20"/>
          <w:szCs w:val="20"/>
        </w:rPr>
        <w:t xml:space="preserve"> to:</w:t>
      </w:r>
    </w:p>
    <w:p w14:paraId="54853879" w14:textId="77777777" w:rsidR="004A2652" w:rsidRDefault="004A2652" w:rsidP="00695720">
      <w:pPr>
        <w:pStyle w:val="ListParagraph"/>
        <w:numPr>
          <w:ilvl w:val="0"/>
          <w:numId w:val="77"/>
        </w:numPr>
        <w:spacing w:line="276" w:lineRule="auto"/>
        <w:ind w:left="993" w:hanging="284"/>
        <w:jc w:val="both"/>
        <w:rPr>
          <w:rFonts w:ascii="Arial" w:hAnsi="Arial" w:cs="Arial"/>
          <w:bCs/>
          <w:sz w:val="20"/>
          <w:szCs w:val="20"/>
        </w:rPr>
      </w:pPr>
      <w:r>
        <w:rPr>
          <w:rFonts w:ascii="Arial" w:hAnsi="Arial" w:cs="Arial"/>
          <w:bCs/>
          <w:sz w:val="20"/>
          <w:szCs w:val="20"/>
        </w:rPr>
        <w:t>Maintaining and renewing built infrastructure and assets</w:t>
      </w:r>
    </w:p>
    <w:p w14:paraId="15D466E8" w14:textId="77777777" w:rsidR="004A2652" w:rsidRDefault="004A2652" w:rsidP="00695720">
      <w:pPr>
        <w:pStyle w:val="ListParagraph"/>
        <w:numPr>
          <w:ilvl w:val="0"/>
          <w:numId w:val="77"/>
        </w:numPr>
        <w:spacing w:line="276" w:lineRule="auto"/>
        <w:ind w:left="993" w:hanging="284"/>
        <w:jc w:val="both"/>
        <w:rPr>
          <w:rFonts w:ascii="Arial" w:hAnsi="Arial" w:cs="Arial"/>
          <w:bCs/>
          <w:sz w:val="20"/>
          <w:szCs w:val="20"/>
        </w:rPr>
      </w:pPr>
      <w:r>
        <w:rPr>
          <w:rFonts w:ascii="Arial" w:hAnsi="Arial" w:cs="Arial"/>
          <w:bCs/>
          <w:sz w:val="20"/>
          <w:szCs w:val="20"/>
        </w:rPr>
        <w:t>Protecting and restoring the natural environment.</w:t>
      </w:r>
    </w:p>
    <w:p w14:paraId="107C89CE" w14:textId="77777777" w:rsidR="004A2652" w:rsidRDefault="004A2652" w:rsidP="00695720">
      <w:pPr>
        <w:pStyle w:val="ListParagraph"/>
        <w:numPr>
          <w:ilvl w:val="0"/>
          <w:numId w:val="77"/>
        </w:numPr>
        <w:spacing w:line="276" w:lineRule="auto"/>
        <w:ind w:left="993" w:hanging="284"/>
        <w:jc w:val="both"/>
        <w:rPr>
          <w:rFonts w:ascii="Arial" w:hAnsi="Arial" w:cs="Arial"/>
          <w:bCs/>
          <w:sz w:val="20"/>
          <w:szCs w:val="20"/>
        </w:rPr>
      </w:pPr>
      <w:r>
        <w:rPr>
          <w:rFonts w:ascii="Arial" w:hAnsi="Arial" w:cs="Arial"/>
          <w:bCs/>
          <w:sz w:val="20"/>
          <w:szCs w:val="20"/>
        </w:rPr>
        <w:t>Improving emergency preparedness and response</w:t>
      </w:r>
    </w:p>
    <w:p w14:paraId="14BF6E2B" w14:textId="77777777" w:rsidR="004A2652" w:rsidRDefault="004A2652" w:rsidP="00695720">
      <w:pPr>
        <w:pStyle w:val="ListParagraph"/>
        <w:numPr>
          <w:ilvl w:val="0"/>
          <w:numId w:val="77"/>
        </w:numPr>
        <w:spacing w:line="276" w:lineRule="auto"/>
        <w:ind w:left="993" w:hanging="284"/>
        <w:jc w:val="both"/>
        <w:rPr>
          <w:rFonts w:ascii="Arial" w:hAnsi="Arial" w:cs="Arial"/>
          <w:bCs/>
          <w:sz w:val="20"/>
          <w:szCs w:val="20"/>
        </w:rPr>
      </w:pPr>
      <w:r>
        <w:rPr>
          <w:rFonts w:ascii="Arial" w:hAnsi="Arial" w:cs="Arial"/>
          <w:bCs/>
          <w:sz w:val="20"/>
          <w:szCs w:val="20"/>
        </w:rPr>
        <w:t>Improving services to the community.</w:t>
      </w:r>
    </w:p>
    <w:p w14:paraId="0EF2224B" w14:textId="77777777" w:rsidR="004A2652" w:rsidRPr="007A260D" w:rsidRDefault="004A2652" w:rsidP="00CE3BFE">
      <w:pPr>
        <w:pStyle w:val="ListParagraph"/>
        <w:spacing w:line="276" w:lineRule="auto"/>
        <w:jc w:val="both"/>
        <w:rPr>
          <w:rFonts w:ascii="Arial" w:hAnsi="Arial" w:cs="Arial"/>
          <w:sz w:val="20"/>
          <w:szCs w:val="20"/>
        </w:rPr>
      </w:pPr>
    </w:p>
    <w:p w14:paraId="7A1A5356" w14:textId="5652163B" w:rsidR="004A2652" w:rsidRPr="007A260D" w:rsidRDefault="004A2652" w:rsidP="00CE3BFE">
      <w:pPr>
        <w:autoSpaceDE w:val="0"/>
        <w:autoSpaceDN w:val="0"/>
        <w:adjustRightInd w:val="0"/>
        <w:spacing w:line="276" w:lineRule="auto"/>
        <w:contextualSpacing/>
        <w:jc w:val="both"/>
        <w:rPr>
          <w:rFonts w:ascii="Arial" w:hAnsi="Arial" w:cs="Arial"/>
          <w:sz w:val="20"/>
          <w:szCs w:val="20"/>
        </w:rPr>
      </w:pPr>
      <w:r w:rsidRPr="00A403E3">
        <w:rPr>
          <w:rFonts w:ascii="Arial" w:hAnsi="Arial" w:cs="Arial"/>
          <w:b/>
          <w:sz w:val="20"/>
          <w:szCs w:val="20"/>
        </w:rPr>
        <w:t xml:space="preserve">In </w:t>
      </w:r>
      <w:r w:rsidR="00A403E3">
        <w:rPr>
          <w:rFonts w:ascii="Arial" w:hAnsi="Arial" w:cs="Arial"/>
          <w:b/>
          <w:sz w:val="20"/>
          <w:szCs w:val="20"/>
        </w:rPr>
        <w:t xml:space="preserve">February </w:t>
      </w:r>
      <w:r w:rsidRPr="00A403E3">
        <w:rPr>
          <w:rFonts w:ascii="Arial" w:hAnsi="Arial" w:cs="Arial"/>
          <w:b/>
          <w:sz w:val="20"/>
          <w:szCs w:val="20"/>
        </w:rPr>
        <w:t>2013</w:t>
      </w:r>
      <w:r w:rsidR="00A403E3">
        <w:rPr>
          <w:rFonts w:ascii="Arial" w:hAnsi="Arial" w:cs="Arial"/>
          <w:sz w:val="20"/>
          <w:szCs w:val="20"/>
        </w:rPr>
        <w:t xml:space="preserve">, again with majority community endorsement, </w:t>
      </w:r>
      <w:r w:rsidRPr="007A260D">
        <w:rPr>
          <w:rFonts w:ascii="Arial" w:hAnsi="Arial" w:cs="Arial"/>
          <w:sz w:val="20"/>
          <w:szCs w:val="20"/>
        </w:rPr>
        <w:t>the Council</w:t>
      </w:r>
      <w:r w:rsidR="00A403E3">
        <w:rPr>
          <w:rFonts w:ascii="Arial" w:hAnsi="Arial" w:cs="Arial"/>
          <w:sz w:val="20"/>
          <w:szCs w:val="20"/>
        </w:rPr>
        <w:t xml:space="preserve"> submitted a successful </w:t>
      </w:r>
      <w:r w:rsidRPr="007A260D">
        <w:rPr>
          <w:rFonts w:ascii="Arial" w:hAnsi="Arial" w:cs="Arial"/>
          <w:sz w:val="20"/>
          <w:szCs w:val="20"/>
        </w:rPr>
        <w:t xml:space="preserve">application </w:t>
      </w:r>
      <w:r w:rsidR="00A403E3">
        <w:rPr>
          <w:rFonts w:ascii="Arial" w:hAnsi="Arial" w:cs="Arial"/>
          <w:sz w:val="20"/>
          <w:szCs w:val="20"/>
        </w:rPr>
        <w:t xml:space="preserve">to IPART </w:t>
      </w:r>
      <w:r w:rsidRPr="007A260D">
        <w:rPr>
          <w:rFonts w:ascii="Arial" w:hAnsi="Arial" w:cs="Arial"/>
          <w:sz w:val="20"/>
          <w:szCs w:val="20"/>
        </w:rPr>
        <w:t xml:space="preserve">for </w:t>
      </w:r>
      <w:r w:rsidR="00A403E3">
        <w:rPr>
          <w:rFonts w:ascii="Arial" w:hAnsi="Arial" w:cs="Arial"/>
          <w:sz w:val="20"/>
          <w:szCs w:val="20"/>
        </w:rPr>
        <w:t>c</w:t>
      </w:r>
      <w:r w:rsidRPr="007A260D">
        <w:rPr>
          <w:rFonts w:ascii="Arial" w:hAnsi="Arial" w:cs="Arial"/>
          <w:sz w:val="20"/>
          <w:szCs w:val="20"/>
        </w:rPr>
        <w:t xml:space="preserve">ontinuation of the 2010 special variation. </w:t>
      </w:r>
      <w:r w:rsidR="00A403E3">
        <w:rPr>
          <w:rFonts w:ascii="Arial" w:hAnsi="Arial" w:cs="Arial"/>
          <w:sz w:val="20"/>
          <w:szCs w:val="20"/>
        </w:rPr>
        <w:t xml:space="preserve"> </w:t>
      </w:r>
      <w:r w:rsidRPr="007A260D">
        <w:rPr>
          <w:rFonts w:ascii="Arial" w:hAnsi="Arial" w:cs="Arial"/>
          <w:sz w:val="20"/>
          <w:szCs w:val="20"/>
        </w:rPr>
        <w:t xml:space="preserve">A comprehensive program of community engagement </w:t>
      </w:r>
      <w:r>
        <w:rPr>
          <w:rFonts w:ascii="Arial" w:hAnsi="Arial" w:cs="Arial"/>
          <w:sz w:val="20"/>
          <w:szCs w:val="20"/>
        </w:rPr>
        <w:t>in 2012-2013 on service levels and community priorities</w:t>
      </w:r>
      <w:r w:rsidRPr="007A260D">
        <w:rPr>
          <w:rFonts w:ascii="Arial" w:hAnsi="Arial" w:cs="Arial"/>
          <w:sz w:val="20"/>
          <w:szCs w:val="20"/>
        </w:rPr>
        <w:t xml:space="preserve"> supported this</w:t>
      </w:r>
      <w:r>
        <w:rPr>
          <w:rFonts w:ascii="Arial" w:hAnsi="Arial" w:cs="Arial"/>
          <w:sz w:val="20"/>
          <w:szCs w:val="20"/>
        </w:rPr>
        <w:t>.</w:t>
      </w:r>
    </w:p>
    <w:p w14:paraId="5EFBFE01" w14:textId="77777777" w:rsidR="004A2652" w:rsidRDefault="004A2652" w:rsidP="00CE3BFE">
      <w:pPr>
        <w:spacing w:line="276" w:lineRule="auto"/>
        <w:jc w:val="both"/>
        <w:rPr>
          <w:rFonts w:ascii="Arial" w:hAnsi="Arial" w:cs="Arial"/>
          <w:bCs/>
          <w:sz w:val="20"/>
          <w:szCs w:val="20"/>
        </w:rPr>
      </w:pPr>
    </w:p>
    <w:p w14:paraId="044C5EA2" w14:textId="57C8D164" w:rsidR="004A2652" w:rsidRPr="007A260D" w:rsidRDefault="004A2652" w:rsidP="00CE3BFE">
      <w:pPr>
        <w:autoSpaceDE w:val="0"/>
        <w:autoSpaceDN w:val="0"/>
        <w:adjustRightInd w:val="0"/>
        <w:spacing w:line="276" w:lineRule="auto"/>
        <w:contextualSpacing/>
        <w:jc w:val="both"/>
        <w:rPr>
          <w:rFonts w:ascii="Arial" w:hAnsi="Arial" w:cs="Arial"/>
          <w:sz w:val="20"/>
          <w:szCs w:val="20"/>
        </w:rPr>
      </w:pPr>
      <w:r w:rsidRPr="00A403E3">
        <w:rPr>
          <w:rFonts w:ascii="Arial" w:hAnsi="Arial" w:cs="Arial"/>
          <w:b/>
          <w:sz w:val="20"/>
          <w:szCs w:val="20"/>
        </w:rPr>
        <w:t>In 2014</w:t>
      </w:r>
      <w:r w:rsidRPr="007A260D">
        <w:rPr>
          <w:rFonts w:ascii="Arial" w:hAnsi="Arial" w:cs="Arial"/>
          <w:sz w:val="20"/>
          <w:szCs w:val="20"/>
        </w:rPr>
        <w:t xml:space="preserve">, the Council </w:t>
      </w:r>
      <w:r w:rsidR="00A57F29">
        <w:rPr>
          <w:rFonts w:ascii="Arial" w:hAnsi="Arial" w:cs="Arial"/>
          <w:sz w:val="20"/>
          <w:szCs w:val="20"/>
        </w:rPr>
        <w:t xml:space="preserve">implemented an extensive review of affordable levels of service against three different financial scenarios as detailed in the Long Term Financial Plan (see </w:t>
      </w:r>
      <w:r w:rsidR="00A57F29" w:rsidRPr="00A57F29">
        <w:rPr>
          <w:rFonts w:ascii="Arial" w:hAnsi="Arial" w:cs="Arial"/>
          <w:b/>
          <w:sz w:val="20"/>
          <w:szCs w:val="20"/>
        </w:rPr>
        <w:t>Attachment 3</w:t>
      </w:r>
      <w:r w:rsidR="00A57F29">
        <w:rPr>
          <w:rFonts w:ascii="Arial" w:hAnsi="Arial" w:cs="Arial"/>
          <w:sz w:val="20"/>
          <w:szCs w:val="20"/>
        </w:rPr>
        <w:t xml:space="preserve">) and in the Service dashboards (see </w:t>
      </w:r>
      <w:r w:rsidR="00A57F29" w:rsidRPr="008527C9">
        <w:rPr>
          <w:rFonts w:ascii="Arial" w:hAnsi="Arial" w:cs="Arial"/>
          <w:b/>
          <w:sz w:val="20"/>
          <w:szCs w:val="20"/>
        </w:rPr>
        <w:t>Attachment 10</w:t>
      </w:r>
      <w:r w:rsidR="00A57F29">
        <w:rPr>
          <w:rFonts w:ascii="Arial" w:hAnsi="Arial" w:cs="Arial"/>
          <w:sz w:val="20"/>
          <w:szCs w:val="20"/>
        </w:rPr>
        <w:t xml:space="preserve">). The community was then engaged </w:t>
      </w:r>
      <w:r w:rsidRPr="007A260D">
        <w:rPr>
          <w:rFonts w:ascii="Arial" w:hAnsi="Arial" w:cs="Arial"/>
          <w:sz w:val="20"/>
          <w:szCs w:val="20"/>
        </w:rPr>
        <w:t xml:space="preserve">on three Options for </w:t>
      </w:r>
      <w:r w:rsidRPr="007A260D">
        <w:rPr>
          <w:rFonts w:ascii="Arial" w:hAnsi="Arial" w:cs="Arial"/>
          <w:i/>
          <w:sz w:val="20"/>
          <w:szCs w:val="20"/>
        </w:rPr>
        <w:t>Resourcing our Future</w:t>
      </w:r>
      <w:r w:rsidR="00A57F29">
        <w:rPr>
          <w:rFonts w:ascii="Arial" w:hAnsi="Arial" w:cs="Arial"/>
          <w:i/>
          <w:sz w:val="20"/>
          <w:szCs w:val="20"/>
        </w:rPr>
        <w:t xml:space="preserve"> </w:t>
      </w:r>
      <w:r w:rsidR="00A57F29" w:rsidRPr="00A57F29">
        <w:rPr>
          <w:rFonts w:ascii="Arial" w:hAnsi="Arial" w:cs="Arial"/>
          <w:sz w:val="20"/>
          <w:szCs w:val="20"/>
        </w:rPr>
        <w:t xml:space="preserve">(see </w:t>
      </w:r>
      <w:r w:rsidR="00A57F29" w:rsidRPr="00A57F29">
        <w:rPr>
          <w:rFonts w:ascii="Arial" w:hAnsi="Arial" w:cs="Arial"/>
          <w:b/>
          <w:sz w:val="20"/>
          <w:szCs w:val="20"/>
        </w:rPr>
        <w:t>Section 4.1</w:t>
      </w:r>
      <w:r w:rsidR="00A57F29" w:rsidRPr="00A57F29">
        <w:rPr>
          <w:rFonts w:ascii="Arial" w:hAnsi="Arial" w:cs="Arial"/>
          <w:sz w:val="20"/>
          <w:szCs w:val="20"/>
        </w:rPr>
        <w:t>)</w:t>
      </w:r>
      <w:r w:rsidRPr="00A57F29">
        <w:rPr>
          <w:rFonts w:ascii="Arial" w:hAnsi="Arial" w:cs="Arial"/>
          <w:sz w:val="20"/>
          <w:szCs w:val="20"/>
        </w:rPr>
        <w:t>.</w:t>
      </w:r>
      <w:r w:rsidRPr="007A260D">
        <w:rPr>
          <w:rFonts w:ascii="Arial" w:hAnsi="Arial" w:cs="Arial"/>
          <w:sz w:val="20"/>
          <w:szCs w:val="20"/>
        </w:rPr>
        <w:t xml:space="preserve"> The Council sought </w:t>
      </w:r>
      <w:r w:rsidR="00A57F29">
        <w:rPr>
          <w:rFonts w:ascii="Arial" w:hAnsi="Arial" w:cs="Arial"/>
          <w:sz w:val="20"/>
          <w:szCs w:val="20"/>
        </w:rPr>
        <w:t xml:space="preserve">the views of the </w:t>
      </w:r>
      <w:r w:rsidRPr="007A260D">
        <w:rPr>
          <w:rFonts w:ascii="Arial" w:hAnsi="Arial" w:cs="Arial"/>
          <w:sz w:val="20"/>
          <w:szCs w:val="20"/>
        </w:rPr>
        <w:t xml:space="preserve">community on how best </w:t>
      </w:r>
      <w:r w:rsidR="00A57F29">
        <w:rPr>
          <w:rFonts w:ascii="Arial" w:hAnsi="Arial" w:cs="Arial"/>
          <w:sz w:val="20"/>
          <w:szCs w:val="20"/>
        </w:rPr>
        <w:t xml:space="preserve">the City could </w:t>
      </w:r>
      <w:r w:rsidRPr="007A260D">
        <w:rPr>
          <w:rFonts w:ascii="Arial" w:hAnsi="Arial" w:cs="Arial"/>
          <w:sz w:val="20"/>
          <w:szCs w:val="20"/>
        </w:rPr>
        <w:t xml:space="preserve">achieve affordable and acceptable levels of service </w:t>
      </w:r>
      <w:r w:rsidR="00A57F29">
        <w:rPr>
          <w:rFonts w:ascii="Arial" w:hAnsi="Arial" w:cs="Arial"/>
          <w:sz w:val="20"/>
          <w:szCs w:val="20"/>
        </w:rPr>
        <w:t xml:space="preserve">provision </w:t>
      </w:r>
      <w:r w:rsidRPr="007A260D">
        <w:rPr>
          <w:rFonts w:ascii="Arial" w:hAnsi="Arial" w:cs="Arial"/>
          <w:sz w:val="20"/>
          <w:szCs w:val="20"/>
        </w:rPr>
        <w:t xml:space="preserve">into the future.  </w:t>
      </w:r>
    </w:p>
    <w:p w14:paraId="00D72068" w14:textId="77777777" w:rsidR="004A2652" w:rsidRPr="002F6180" w:rsidRDefault="004A2652" w:rsidP="00CE3BFE">
      <w:pPr>
        <w:pStyle w:val="ListParagraph"/>
        <w:spacing w:line="276" w:lineRule="auto"/>
        <w:jc w:val="both"/>
        <w:rPr>
          <w:rFonts w:ascii="Arial" w:hAnsi="Arial" w:cs="Arial"/>
          <w:color w:val="000000"/>
          <w:sz w:val="20"/>
          <w:szCs w:val="20"/>
        </w:rPr>
      </w:pPr>
    </w:p>
    <w:p w14:paraId="5802E80F" w14:textId="1A687C47" w:rsidR="004A2652" w:rsidRPr="00FE2F05" w:rsidRDefault="004A2652" w:rsidP="00CE3BFE">
      <w:pPr>
        <w:spacing w:line="276" w:lineRule="auto"/>
        <w:jc w:val="both"/>
        <w:rPr>
          <w:rFonts w:ascii="Arial" w:hAnsi="Arial" w:cs="Arial"/>
          <w:bCs/>
          <w:sz w:val="20"/>
          <w:szCs w:val="20"/>
        </w:rPr>
      </w:pPr>
      <w:r>
        <w:rPr>
          <w:rFonts w:ascii="Arial" w:hAnsi="Arial" w:cs="Arial"/>
          <w:bCs/>
          <w:sz w:val="20"/>
          <w:szCs w:val="20"/>
        </w:rPr>
        <w:t xml:space="preserve">The identified community needs and priorities emerging from </w:t>
      </w:r>
      <w:r w:rsidR="00A403E3">
        <w:rPr>
          <w:rFonts w:ascii="Arial" w:hAnsi="Arial" w:cs="Arial"/>
          <w:bCs/>
          <w:sz w:val="20"/>
          <w:szCs w:val="20"/>
        </w:rPr>
        <w:t xml:space="preserve">all of the above IPR related </w:t>
      </w:r>
      <w:r>
        <w:rPr>
          <w:rFonts w:ascii="Arial" w:hAnsi="Arial" w:cs="Arial"/>
          <w:bCs/>
          <w:sz w:val="20"/>
          <w:szCs w:val="20"/>
        </w:rPr>
        <w:t xml:space="preserve"> consultation ha</w:t>
      </w:r>
      <w:r w:rsidR="00A403E3">
        <w:rPr>
          <w:rFonts w:ascii="Arial" w:hAnsi="Arial" w:cs="Arial"/>
          <w:bCs/>
          <w:sz w:val="20"/>
          <w:szCs w:val="20"/>
        </w:rPr>
        <w:t>s</w:t>
      </w:r>
      <w:r>
        <w:rPr>
          <w:rFonts w:ascii="Arial" w:hAnsi="Arial" w:cs="Arial"/>
          <w:bCs/>
          <w:sz w:val="20"/>
          <w:szCs w:val="20"/>
        </w:rPr>
        <w:t xml:space="preserve"> informed </w:t>
      </w:r>
      <w:r w:rsidR="007C30A1">
        <w:rPr>
          <w:rFonts w:ascii="Arial" w:hAnsi="Arial" w:cs="Arial"/>
          <w:bCs/>
          <w:sz w:val="20"/>
          <w:szCs w:val="20"/>
        </w:rPr>
        <w:t xml:space="preserve">this application </w:t>
      </w:r>
      <w:r w:rsidRPr="007E7F15">
        <w:rPr>
          <w:rFonts w:ascii="Arial" w:hAnsi="Arial" w:cs="Arial"/>
          <w:bCs/>
          <w:sz w:val="20"/>
          <w:szCs w:val="20"/>
        </w:rPr>
        <w:t xml:space="preserve">and </w:t>
      </w:r>
      <w:r w:rsidR="007C30A1">
        <w:rPr>
          <w:rFonts w:ascii="Arial" w:hAnsi="Arial" w:cs="Arial"/>
          <w:bCs/>
          <w:sz w:val="20"/>
          <w:szCs w:val="20"/>
        </w:rPr>
        <w:t xml:space="preserve">the update of the Council’s </w:t>
      </w:r>
      <w:r w:rsidRPr="007C30A1">
        <w:rPr>
          <w:rFonts w:ascii="Arial" w:hAnsi="Arial" w:cs="Arial"/>
          <w:bCs/>
          <w:i/>
          <w:sz w:val="20"/>
          <w:szCs w:val="20"/>
        </w:rPr>
        <w:t>Resourcing Strategy</w:t>
      </w:r>
      <w:r w:rsidR="007C30A1" w:rsidRPr="007C30A1">
        <w:rPr>
          <w:rFonts w:ascii="Arial" w:hAnsi="Arial" w:cs="Arial"/>
          <w:bCs/>
          <w:i/>
          <w:sz w:val="20"/>
          <w:szCs w:val="20"/>
        </w:rPr>
        <w:t xml:space="preserve"> 2014-2024</w:t>
      </w:r>
      <w:r w:rsidR="007C30A1">
        <w:rPr>
          <w:rFonts w:ascii="Arial" w:hAnsi="Arial" w:cs="Arial"/>
          <w:bCs/>
          <w:sz w:val="20"/>
          <w:szCs w:val="20"/>
        </w:rPr>
        <w:t xml:space="preserve"> </w:t>
      </w:r>
      <w:r w:rsidRPr="007E7F15">
        <w:rPr>
          <w:rFonts w:ascii="Arial" w:hAnsi="Arial" w:cs="Arial"/>
          <w:bCs/>
          <w:sz w:val="20"/>
          <w:szCs w:val="20"/>
        </w:rPr>
        <w:t xml:space="preserve"> (</w:t>
      </w:r>
      <w:r w:rsidRPr="00A57F29">
        <w:rPr>
          <w:rFonts w:ascii="Arial" w:hAnsi="Arial" w:cs="Arial"/>
          <w:b/>
          <w:bCs/>
          <w:sz w:val="20"/>
          <w:szCs w:val="20"/>
        </w:rPr>
        <w:t>Attachment 13</w:t>
      </w:r>
      <w:r w:rsidRPr="007E7F15">
        <w:rPr>
          <w:rFonts w:ascii="Arial" w:hAnsi="Arial" w:cs="Arial"/>
          <w:bCs/>
          <w:sz w:val="20"/>
          <w:szCs w:val="20"/>
        </w:rPr>
        <w:t>)</w:t>
      </w:r>
      <w:r w:rsidR="00A403E3">
        <w:rPr>
          <w:rFonts w:ascii="Arial" w:hAnsi="Arial" w:cs="Arial"/>
          <w:bCs/>
          <w:sz w:val="20"/>
          <w:szCs w:val="20"/>
        </w:rPr>
        <w:t xml:space="preserve"> and</w:t>
      </w:r>
      <w:r>
        <w:rPr>
          <w:rFonts w:ascii="Arial" w:hAnsi="Arial" w:cs="Arial"/>
          <w:bCs/>
          <w:sz w:val="20"/>
          <w:szCs w:val="20"/>
        </w:rPr>
        <w:t xml:space="preserve"> Supplementary </w:t>
      </w:r>
      <w:r w:rsidRPr="007E7F15">
        <w:rPr>
          <w:rFonts w:ascii="Arial" w:hAnsi="Arial" w:cs="Arial"/>
          <w:bCs/>
          <w:sz w:val="20"/>
          <w:szCs w:val="20"/>
        </w:rPr>
        <w:t>Delivery Program (</w:t>
      </w:r>
      <w:r w:rsidRPr="00A57F29">
        <w:rPr>
          <w:rFonts w:ascii="Arial" w:hAnsi="Arial" w:cs="Arial"/>
          <w:b/>
          <w:bCs/>
          <w:sz w:val="20"/>
          <w:szCs w:val="20"/>
        </w:rPr>
        <w:t>Attachment 2</w:t>
      </w:r>
      <w:r>
        <w:rPr>
          <w:rFonts w:ascii="Arial" w:hAnsi="Arial" w:cs="Arial"/>
          <w:bCs/>
          <w:sz w:val="20"/>
          <w:szCs w:val="20"/>
        </w:rPr>
        <w:t>)</w:t>
      </w:r>
      <w:r w:rsidRPr="007E7F15">
        <w:rPr>
          <w:rFonts w:ascii="Arial" w:hAnsi="Arial" w:cs="Arial"/>
          <w:bCs/>
          <w:sz w:val="20"/>
          <w:szCs w:val="20"/>
        </w:rPr>
        <w:t>.</w:t>
      </w:r>
    </w:p>
    <w:p w14:paraId="028D5CB9" w14:textId="77777777" w:rsidR="004A2652" w:rsidRPr="00B20003" w:rsidRDefault="004A2652" w:rsidP="00695720">
      <w:pPr>
        <w:pStyle w:val="ListParagraph"/>
        <w:numPr>
          <w:ilvl w:val="0"/>
          <w:numId w:val="99"/>
        </w:numPr>
        <w:spacing w:before="240" w:line="276" w:lineRule="auto"/>
        <w:ind w:left="284" w:hanging="284"/>
        <w:jc w:val="both"/>
        <w:rPr>
          <w:rFonts w:ascii="Arial" w:hAnsi="Arial" w:cs="Arial"/>
          <w:b/>
          <w:bCs/>
          <w:sz w:val="20"/>
          <w:szCs w:val="20"/>
        </w:rPr>
      </w:pPr>
      <w:r>
        <w:rPr>
          <w:rFonts w:ascii="Arial" w:hAnsi="Arial" w:cs="Arial"/>
          <w:b/>
          <w:bCs/>
          <w:sz w:val="20"/>
          <w:szCs w:val="20"/>
        </w:rPr>
        <w:t>Service and Asset Planning</w:t>
      </w:r>
    </w:p>
    <w:p w14:paraId="4E15D47A" w14:textId="119B0011" w:rsidR="00206238" w:rsidRDefault="00F21B7A" w:rsidP="00CE3BFE">
      <w:pPr>
        <w:spacing w:line="276" w:lineRule="auto"/>
        <w:jc w:val="both"/>
        <w:rPr>
          <w:rFonts w:ascii="Arial" w:hAnsi="Arial" w:cs="Arial"/>
          <w:bCs/>
          <w:sz w:val="20"/>
          <w:szCs w:val="20"/>
        </w:rPr>
      </w:pPr>
      <w:r>
        <w:rPr>
          <w:rFonts w:ascii="Arial" w:hAnsi="Arial" w:cs="Arial"/>
          <w:bCs/>
          <w:sz w:val="20"/>
          <w:szCs w:val="20"/>
        </w:rPr>
        <w:t>T</w:t>
      </w:r>
      <w:r w:rsidR="004A2652">
        <w:rPr>
          <w:rFonts w:ascii="Arial" w:hAnsi="Arial" w:cs="Arial"/>
          <w:bCs/>
          <w:sz w:val="20"/>
          <w:szCs w:val="20"/>
        </w:rPr>
        <w:t xml:space="preserve">he Council has implemented comprehensive </w:t>
      </w:r>
      <w:r w:rsidR="004A2652" w:rsidRPr="00FE2F05">
        <w:rPr>
          <w:rFonts w:ascii="Arial" w:hAnsi="Arial" w:cs="Arial"/>
          <w:bCs/>
          <w:sz w:val="20"/>
          <w:szCs w:val="20"/>
        </w:rPr>
        <w:t xml:space="preserve">service and asset planning to </w:t>
      </w:r>
      <w:r w:rsidR="00C51264">
        <w:rPr>
          <w:rFonts w:ascii="Arial" w:hAnsi="Arial" w:cs="Arial"/>
          <w:bCs/>
          <w:sz w:val="20"/>
          <w:szCs w:val="20"/>
        </w:rPr>
        <w:t xml:space="preserve">identify </w:t>
      </w:r>
      <w:r>
        <w:rPr>
          <w:rFonts w:ascii="Arial" w:hAnsi="Arial" w:cs="Arial"/>
          <w:bCs/>
          <w:sz w:val="20"/>
          <w:szCs w:val="20"/>
        </w:rPr>
        <w:t xml:space="preserve">community needs </w:t>
      </w:r>
      <w:r w:rsidR="00C51264">
        <w:rPr>
          <w:rFonts w:ascii="Arial" w:hAnsi="Arial" w:cs="Arial"/>
          <w:bCs/>
          <w:sz w:val="20"/>
          <w:szCs w:val="20"/>
        </w:rPr>
        <w:t xml:space="preserve">and </w:t>
      </w:r>
      <w:r>
        <w:rPr>
          <w:rFonts w:ascii="Arial" w:hAnsi="Arial" w:cs="Arial"/>
          <w:bCs/>
          <w:sz w:val="20"/>
          <w:szCs w:val="20"/>
        </w:rPr>
        <w:t xml:space="preserve">enable the community to </w:t>
      </w:r>
      <w:r w:rsidR="00C51264">
        <w:rPr>
          <w:rFonts w:ascii="Arial" w:hAnsi="Arial" w:cs="Arial"/>
          <w:bCs/>
          <w:sz w:val="20"/>
          <w:szCs w:val="20"/>
        </w:rPr>
        <w:t xml:space="preserve">consider </w:t>
      </w:r>
      <w:r w:rsidR="004A2652" w:rsidRPr="00FE2F05">
        <w:rPr>
          <w:rFonts w:ascii="Arial" w:hAnsi="Arial" w:cs="Arial"/>
          <w:bCs/>
          <w:sz w:val="20"/>
          <w:szCs w:val="20"/>
        </w:rPr>
        <w:t xml:space="preserve">define </w:t>
      </w:r>
      <w:r w:rsidR="004A2652">
        <w:rPr>
          <w:rFonts w:ascii="Arial" w:hAnsi="Arial" w:cs="Arial"/>
          <w:bCs/>
          <w:sz w:val="20"/>
          <w:szCs w:val="20"/>
        </w:rPr>
        <w:t xml:space="preserve">affordable </w:t>
      </w:r>
      <w:r w:rsidR="004A2652" w:rsidRPr="00FE2F05">
        <w:rPr>
          <w:rFonts w:ascii="Arial" w:hAnsi="Arial" w:cs="Arial"/>
          <w:bCs/>
          <w:sz w:val="20"/>
          <w:szCs w:val="20"/>
        </w:rPr>
        <w:t>levels of service that can be achieved against alternative financial scenarios</w:t>
      </w:r>
      <w:r w:rsidR="004A2652">
        <w:rPr>
          <w:rFonts w:ascii="Arial" w:hAnsi="Arial" w:cs="Arial"/>
          <w:bCs/>
          <w:sz w:val="20"/>
          <w:szCs w:val="20"/>
        </w:rPr>
        <w:t xml:space="preserve"> and </w:t>
      </w:r>
      <w:r w:rsidR="004A2652" w:rsidRPr="00FE2F05">
        <w:rPr>
          <w:rFonts w:ascii="Arial" w:hAnsi="Arial" w:cs="Arial"/>
          <w:bCs/>
          <w:sz w:val="20"/>
          <w:szCs w:val="20"/>
        </w:rPr>
        <w:t xml:space="preserve">funding options. </w:t>
      </w:r>
    </w:p>
    <w:p w14:paraId="2BA01561" w14:textId="77777777" w:rsidR="00206238" w:rsidRDefault="00206238" w:rsidP="00CE3BFE">
      <w:pPr>
        <w:spacing w:line="276" w:lineRule="auto"/>
        <w:jc w:val="both"/>
        <w:rPr>
          <w:rFonts w:ascii="Arial" w:hAnsi="Arial" w:cs="Arial"/>
          <w:bCs/>
          <w:sz w:val="20"/>
          <w:szCs w:val="20"/>
        </w:rPr>
      </w:pPr>
    </w:p>
    <w:p w14:paraId="09559734" w14:textId="2BC089CD" w:rsidR="00206238" w:rsidRDefault="00206238" w:rsidP="00CE3BFE">
      <w:pPr>
        <w:spacing w:line="276" w:lineRule="auto"/>
        <w:jc w:val="both"/>
        <w:rPr>
          <w:rFonts w:ascii="Arial" w:hAnsi="Arial" w:cs="Arial"/>
          <w:bCs/>
          <w:sz w:val="20"/>
          <w:szCs w:val="20"/>
        </w:rPr>
      </w:pPr>
      <w:r>
        <w:rPr>
          <w:rFonts w:ascii="Arial" w:hAnsi="Arial" w:cs="Arial"/>
          <w:bCs/>
          <w:sz w:val="20"/>
          <w:szCs w:val="20"/>
        </w:rPr>
        <w:t>As previously mentioned, t</w:t>
      </w:r>
      <w:r w:rsidR="004A2652">
        <w:rPr>
          <w:rFonts w:ascii="Arial" w:hAnsi="Arial" w:cs="Arial"/>
          <w:bCs/>
          <w:sz w:val="20"/>
          <w:szCs w:val="20"/>
        </w:rPr>
        <w:t xml:space="preserve">his has resulted in the development of a set of Service Dashboards (see </w:t>
      </w:r>
      <w:r w:rsidR="004A2652" w:rsidRPr="00206238">
        <w:rPr>
          <w:rFonts w:ascii="Arial" w:hAnsi="Arial" w:cs="Arial"/>
          <w:b/>
          <w:bCs/>
          <w:sz w:val="20"/>
          <w:szCs w:val="20"/>
        </w:rPr>
        <w:t>Attachment 10</w:t>
      </w:r>
      <w:r w:rsidR="004A2652" w:rsidRPr="007E7F15">
        <w:rPr>
          <w:rFonts w:ascii="Arial" w:hAnsi="Arial" w:cs="Arial"/>
          <w:bCs/>
          <w:sz w:val="20"/>
          <w:szCs w:val="20"/>
        </w:rPr>
        <w:t>) which summarise for each service area of the C</w:t>
      </w:r>
      <w:r w:rsidR="004A2652">
        <w:rPr>
          <w:rFonts w:ascii="Arial" w:hAnsi="Arial" w:cs="Arial"/>
          <w:bCs/>
          <w:sz w:val="20"/>
          <w:szCs w:val="20"/>
        </w:rPr>
        <w:t xml:space="preserve">ouncil the impact of available funding </w:t>
      </w:r>
      <w:r>
        <w:rPr>
          <w:rFonts w:ascii="Arial" w:hAnsi="Arial" w:cs="Arial"/>
          <w:bCs/>
          <w:sz w:val="20"/>
          <w:szCs w:val="20"/>
        </w:rPr>
        <w:t xml:space="preserve">– and in particular the three different options for </w:t>
      </w:r>
      <w:r w:rsidRPr="00206238">
        <w:rPr>
          <w:rFonts w:ascii="Arial" w:hAnsi="Arial" w:cs="Arial"/>
          <w:bCs/>
          <w:i/>
          <w:sz w:val="20"/>
          <w:szCs w:val="20"/>
        </w:rPr>
        <w:t>Resourcing Our Future</w:t>
      </w:r>
      <w:r>
        <w:rPr>
          <w:rFonts w:ascii="Arial" w:hAnsi="Arial" w:cs="Arial"/>
          <w:bCs/>
          <w:sz w:val="20"/>
          <w:szCs w:val="20"/>
        </w:rPr>
        <w:t xml:space="preserve"> - </w:t>
      </w:r>
      <w:r w:rsidR="004A2652">
        <w:rPr>
          <w:rFonts w:ascii="Arial" w:hAnsi="Arial" w:cs="Arial"/>
          <w:bCs/>
          <w:sz w:val="20"/>
          <w:szCs w:val="20"/>
        </w:rPr>
        <w:t xml:space="preserve">on service levels. </w:t>
      </w:r>
    </w:p>
    <w:p w14:paraId="2C987E2C" w14:textId="77777777" w:rsidR="00206238" w:rsidRDefault="00206238" w:rsidP="00CE3BFE">
      <w:pPr>
        <w:spacing w:line="276" w:lineRule="auto"/>
        <w:jc w:val="both"/>
        <w:rPr>
          <w:rFonts w:ascii="Arial" w:hAnsi="Arial" w:cs="Arial"/>
          <w:bCs/>
          <w:sz w:val="20"/>
          <w:szCs w:val="20"/>
        </w:rPr>
      </w:pPr>
    </w:p>
    <w:p w14:paraId="042AD8E9" w14:textId="58A02AD5" w:rsidR="004A2652" w:rsidRPr="00FE2F05" w:rsidRDefault="004A2652" w:rsidP="00CE3BFE">
      <w:pPr>
        <w:spacing w:line="276" w:lineRule="auto"/>
        <w:jc w:val="both"/>
        <w:rPr>
          <w:rFonts w:ascii="Arial" w:hAnsi="Arial" w:cs="Arial"/>
          <w:bCs/>
          <w:sz w:val="20"/>
          <w:szCs w:val="20"/>
        </w:rPr>
      </w:pPr>
      <w:r>
        <w:rPr>
          <w:rFonts w:ascii="Arial" w:hAnsi="Arial" w:cs="Arial"/>
          <w:bCs/>
          <w:sz w:val="20"/>
          <w:szCs w:val="20"/>
        </w:rPr>
        <w:t xml:space="preserve">The Service Dashboards are a companion document to the Resourcing Strategy </w:t>
      </w:r>
      <w:r w:rsidR="00F21B7A">
        <w:rPr>
          <w:rFonts w:ascii="Arial" w:hAnsi="Arial" w:cs="Arial"/>
          <w:bCs/>
          <w:sz w:val="20"/>
          <w:szCs w:val="20"/>
        </w:rPr>
        <w:t xml:space="preserve">exhibited and then adopted by the Council. The Dashboards </w:t>
      </w:r>
      <w:r>
        <w:rPr>
          <w:rFonts w:ascii="Arial" w:hAnsi="Arial" w:cs="Arial"/>
          <w:bCs/>
          <w:sz w:val="20"/>
          <w:szCs w:val="20"/>
        </w:rPr>
        <w:t>have supported community engagement on affordable service levels</w:t>
      </w:r>
      <w:r w:rsidR="00F21B7A">
        <w:rPr>
          <w:rFonts w:ascii="Arial" w:hAnsi="Arial" w:cs="Arial"/>
          <w:bCs/>
          <w:sz w:val="20"/>
          <w:szCs w:val="20"/>
        </w:rPr>
        <w:t>,</w:t>
      </w:r>
      <w:r>
        <w:rPr>
          <w:rFonts w:ascii="Arial" w:hAnsi="Arial" w:cs="Arial"/>
          <w:bCs/>
          <w:sz w:val="20"/>
          <w:szCs w:val="20"/>
        </w:rPr>
        <w:t xml:space="preserve"> particularly in the Area Community Workshops (</w:t>
      </w:r>
      <w:r w:rsidRPr="007E7F15">
        <w:rPr>
          <w:rFonts w:ascii="Arial" w:hAnsi="Arial" w:cs="Arial"/>
          <w:bCs/>
          <w:sz w:val="20"/>
          <w:szCs w:val="20"/>
        </w:rPr>
        <w:t xml:space="preserve">see </w:t>
      </w:r>
      <w:r w:rsidRPr="00C51264">
        <w:rPr>
          <w:rFonts w:ascii="Arial" w:hAnsi="Arial" w:cs="Arial"/>
          <w:b/>
          <w:bCs/>
          <w:sz w:val="20"/>
          <w:szCs w:val="20"/>
        </w:rPr>
        <w:t>Attachment 5c: Area Workshops Presentation</w:t>
      </w:r>
      <w:r>
        <w:rPr>
          <w:rFonts w:ascii="Arial" w:hAnsi="Arial" w:cs="Arial"/>
          <w:bCs/>
          <w:sz w:val="20"/>
          <w:szCs w:val="20"/>
        </w:rPr>
        <w:t>).</w:t>
      </w:r>
    </w:p>
    <w:p w14:paraId="7AD022DB" w14:textId="77777777" w:rsidR="004A2652" w:rsidRDefault="004A2652" w:rsidP="00CE3BFE">
      <w:pPr>
        <w:spacing w:line="276" w:lineRule="auto"/>
        <w:jc w:val="both"/>
        <w:rPr>
          <w:rFonts w:ascii="Arial" w:hAnsi="Arial" w:cs="Arial"/>
          <w:b/>
          <w:bCs/>
          <w:i/>
          <w:sz w:val="20"/>
          <w:szCs w:val="20"/>
        </w:rPr>
      </w:pPr>
    </w:p>
    <w:p w14:paraId="1DD635F3" w14:textId="71CF3AF5" w:rsidR="004A2652" w:rsidRDefault="004A2652" w:rsidP="00CE3BFE">
      <w:pPr>
        <w:spacing w:line="276" w:lineRule="auto"/>
        <w:jc w:val="both"/>
        <w:rPr>
          <w:rFonts w:ascii="Arial" w:hAnsi="Arial" w:cs="Arial"/>
          <w:sz w:val="20"/>
          <w:szCs w:val="20"/>
        </w:rPr>
      </w:pPr>
      <w:r w:rsidRPr="00087DF1">
        <w:rPr>
          <w:rFonts w:ascii="Arial" w:hAnsi="Arial" w:cs="Arial"/>
          <w:sz w:val="20"/>
          <w:szCs w:val="20"/>
        </w:rPr>
        <w:t xml:space="preserve">The </w:t>
      </w:r>
      <w:r w:rsidR="0093732D">
        <w:rPr>
          <w:rFonts w:ascii="Arial" w:hAnsi="Arial" w:cs="Arial"/>
          <w:sz w:val="20"/>
          <w:szCs w:val="20"/>
        </w:rPr>
        <w:t xml:space="preserve">sections below </w:t>
      </w:r>
      <w:r>
        <w:rPr>
          <w:rFonts w:ascii="Arial" w:hAnsi="Arial" w:cs="Arial"/>
          <w:sz w:val="20"/>
          <w:szCs w:val="20"/>
        </w:rPr>
        <w:t xml:space="preserve">present </w:t>
      </w:r>
      <w:r w:rsidRPr="0093732D">
        <w:rPr>
          <w:rFonts w:ascii="Arial" w:hAnsi="Arial" w:cs="Arial"/>
          <w:b/>
          <w:sz w:val="20"/>
          <w:szCs w:val="20"/>
        </w:rPr>
        <w:t>sample extracts from the Service Dashboards</w:t>
      </w:r>
      <w:r w:rsidRPr="001D6099">
        <w:rPr>
          <w:rFonts w:ascii="Arial" w:hAnsi="Arial" w:cs="Arial"/>
          <w:sz w:val="20"/>
          <w:szCs w:val="20"/>
        </w:rPr>
        <w:t xml:space="preserve"> </w:t>
      </w:r>
      <w:r>
        <w:rPr>
          <w:rFonts w:ascii="Arial" w:hAnsi="Arial" w:cs="Arial"/>
          <w:sz w:val="20"/>
          <w:szCs w:val="20"/>
        </w:rPr>
        <w:t xml:space="preserve">relative to </w:t>
      </w:r>
      <w:r w:rsidR="0093732D">
        <w:rPr>
          <w:rFonts w:ascii="Arial" w:hAnsi="Arial" w:cs="Arial"/>
          <w:sz w:val="20"/>
          <w:szCs w:val="20"/>
        </w:rPr>
        <w:t xml:space="preserve">each of </w:t>
      </w:r>
      <w:r w:rsidR="00F21B7A">
        <w:rPr>
          <w:rFonts w:ascii="Arial" w:hAnsi="Arial" w:cs="Arial"/>
          <w:sz w:val="20"/>
          <w:szCs w:val="20"/>
        </w:rPr>
        <w:t xml:space="preserve">the </w:t>
      </w:r>
      <w:r w:rsidR="0093732D">
        <w:rPr>
          <w:rFonts w:ascii="Arial" w:hAnsi="Arial" w:cs="Arial"/>
          <w:sz w:val="20"/>
          <w:szCs w:val="20"/>
        </w:rPr>
        <w:t xml:space="preserve">priority expenditure </w:t>
      </w:r>
      <w:r>
        <w:rPr>
          <w:rFonts w:ascii="Arial" w:hAnsi="Arial" w:cs="Arial"/>
          <w:sz w:val="20"/>
          <w:szCs w:val="20"/>
        </w:rPr>
        <w:t xml:space="preserve">areas </w:t>
      </w:r>
      <w:r w:rsidR="0093732D">
        <w:rPr>
          <w:rFonts w:ascii="Arial" w:hAnsi="Arial" w:cs="Arial"/>
          <w:sz w:val="20"/>
          <w:szCs w:val="20"/>
        </w:rPr>
        <w:t xml:space="preserve">for the </w:t>
      </w:r>
      <w:r>
        <w:rPr>
          <w:rFonts w:ascii="Arial" w:hAnsi="Arial" w:cs="Arial"/>
          <w:sz w:val="20"/>
          <w:szCs w:val="20"/>
        </w:rPr>
        <w:t>special variation application</w:t>
      </w:r>
      <w:r w:rsidR="0093732D">
        <w:rPr>
          <w:rFonts w:ascii="Arial" w:hAnsi="Arial" w:cs="Arial"/>
          <w:sz w:val="20"/>
          <w:szCs w:val="20"/>
        </w:rPr>
        <w:t xml:space="preserve"> including:</w:t>
      </w:r>
    </w:p>
    <w:p w14:paraId="3615ACA9" w14:textId="77777777" w:rsidR="0093732D" w:rsidRDefault="0093732D" w:rsidP="00CE3BFE">
      <w:pPr>
        <w:spacing w:line="276" w:lineRule="auto"/>
        <w:jc w:val="both"/>
        <w:rPr>
          <w:rFonts w:ascii="Arial" w:hAnsi="Arial" w:cs="Arial"/>
          <w:sz w:val="20"/>
          <w:szCs w:val="20"/>
        </w:rPr>
      </w:pPr>
    </w:p>
    <w:p w14:paraId="788D9932" w14:textId="1691332A" w:rsidR="0093732D" w:rsidRDefault="0093732D" w:rsidP="0093732D">
      <w:pPr>
        <w:pStyle w:val="ListParagraph"/>
        <w:numPr>
          <w:ilvl w:val="0"/>
          <w:numId w:val="124"/>
        </w:numPr>
        <w:spacing w:line="276" w:lineRule="auto"/>
        <w:ind w:left="851" w:hanging="425"/>
        <w:jc w:val="both"/>
        <w:rPr>
          <w:rFonts w:ascii="Arial" w:hAnsi="Arial" w:cs="Arial"/>
          <w:sz w:val="20"/>
          <w:szCs w:val="20"/>
        </w:rPr>
      </w:pPr>
      <w:r>
        <w:rPr>
          <w:rFonts w:ascii="Arial" w:hAnsi="Arial" w:cs="Arial"/>
          <w:sz w:val="20"/>
          <w:szCs w:val="20"/>
        </w:rPr>
        <w:t>Reversing the decline in Built Infrastructure</w:t>
      </w:r>
    </w:p>
    <w:p w14:paraId="4B7D3198" w14:textId="5B649338" w:rsidR="0093732D" w:rsidRPr="0093732D" w:rsidRDefault="0093732D" w:rsidP="0093732D">
      <w:pPr>
        <w:pStyle w:val="ListParagraph"/>
        <w:numPr>
          <w:ilvl w:val="0"/>
          <w:numId w:val="124"/>
        </w:numPr>
        <w:ind w:left="851" w:hanging="425"/>
        <w:rPr>
          <w:rFonts w:ascii="Arial" w:hAnsi="Arial" w:cs="Arial"/>
          <w:sz w:val="20"/>
          <w:szCs w:val="20"/>
        </w:rPr>
      </w:pPr>
      <w:r w:rsidRPr="0093732D">
        <w:rPr>
          <w:rFonts w:ascii="Arial" w:hAnsi="Arial" w:cs="Arial"/>
          <w:sz w:val="20"/>
          <w:szCs w:val="20"/>
        </w:rPr>
        <w:t xml:space="preserve">Protecting and </w:t>
      </w:r>
      <w:r>
        <w:rPr>
          <w:rFonts w:ascii="Arial" w:hAnsi="Arial" w:cs="Arial"/>
          <w:sz w:val="20"/>
          <w:szCs w:val="20"/>
        </w:rPr>
        <w:t>r</w:t>
      </w:r>
      <w:r w:rsidRPr="0093732D">
        <w:rPr>
          <w:rFonts w:ascii="Arial" w:hAnsi="Arial" w:cs="Arial"/>
          <w:sz w:val="20"/>
          <w:szCs w:val="20"/>
        </w:rPr>
        <w:t xml:space="preserve">estoring the Natural Environment </w:t>
      </w:r>
    </w:p>
    <w:p w14:paraId="5FAD426D" w14:textId="4B43CDCD" w:rsidR="0093732D" w:rsidRDefault="0093732D" w:rsidP="0093732D">
      <w:pPr>
        <w:pStyle w:val="ListParagraph"/>
        <w:numPr>
          <w:ilvl w:val="0"/>
          <w:numId w:val="124"/>
        </w:numPr>
        <w:spacing w:line="276" w:lineRule="auto"/>
        <w:ind w:left="851" w:hanging="425"/>
        <w:jc w:val="both"/>
        <w:rPr>
          <w:rFonts w:ascii="Arial" w:hAnsi="Arial" w:cs="Arial"/>
          <w:sz w:val="20"/>
          <w:szCs w:val="20"/>
        </w:rPr>
      </w:pPr>
      <w:r>
        <w:rPr>
          <w:rFonts w:ascii="Arial" w:hAnsi="Arial" w:cs="Arial"/>
          <w:sz w:val="20"/>
          <w:szCs w:val="20"/>
        </w:rPr>
        <w:t>Improving Emergency Preparedness and Response</w:t>
      </w:r>
    </w:p>
    <w:p w14:paraId="3C70B7B1" w14:textId="1A900A6A" w:rsidR="0093732D" w:rsidRPr="0093732D" w:rsidRDefault="0093732D" w:rsidP="0093732D">
      <w:pPr>
        <w:pStyle w:val="ListParagraph"/>
        <w:numPr>
          <w:ilvl w:val="0"/>
          <w:numId w:val="124"/>
        </w:numPr>
        <w:spacing w:line="276" w:lineRule="auto"/>
        <w:ind w:left="851" w:hanging="425"/>
        <w:jc w:val="both"/>
        <w:rPr>
          <w:rFonts w:ascii="Arial" w:hAnsi="Arial" w:cs="Arial"/>
          <w:sz w:val="20"/>
          <w:szCs w:val="20"/>
        </w:rPr>
      </w:pPr>
      <w:r>
        <w:rPr>
          <w:rFonts w:ascii="Arial" w:hAnsi="Arial" w:cs="Arial"/>
          <w:sz w:val="20"/>
          <w:szCs w:val="20"/>
        </w:rPr>
        <w:t>Improving Services to Community</w:t>
      </w:r>
    </w:p>
    <w:p w14:paraId="3DE069FE" w14:textId="77777777" w:rsidR="004A2652" w:rsidRDefault="004A2652" w:rsidP="00CE3BFE">
      <w:pPr>
        <w:spacing w:line="276" w:lineRule="auto"/>
        <w:jc w:val="both"/>
        <w:rPr>
          <w:rFonts w:ascii="Arial" w:hAnsi="Arial" w:cs="Arial"/>
          <w:b/>
          <w:bCs/>
          <w:i/>
          <w:sz w:val="20"/>
          <w:szCs w:val="20"/>
        </w:rPr>
      </w:pPr>
    </w:p>
    <w:p w14:paraId="25347B03" w14:textId="54A04079" w:rsidR="004A2652" w:rsidRPr="0093732D" w:rsidRDefault="004A2652" w:rsidP="0093732D">
      <w:pPr>
        <w:pStyle w:val="ListParagraph"/>
        <w:numPr>
          <w:ilvl w:val="0"/>
          <w:numId w:val="123"/>
        </w:numPr>
        <w:spacing w:line="276" w:lineRule="auto"/>
        <w:ind w:left="426" w:hanging="426"/>
        <w:jc w:val="both"/>
        <w:rPr>
          <w:rFonts w:ascii="Arial" w:hAnsi="Arial" w:cs="Arial"/>
          <w:bCs/>
          <w:sz w:val="20"/>
          <w:szCs w:val="20"/>
        </w:rPr>
      </w:pPr>
      <w:r w:rsidRPr="0093732D">
        <w:rPr>
          <w:rFonts w:ascii="Arial" w:hAnsi="Arial" w:cs="Arial"/>
          <w:b/>
          <w:bCs/>
          <w:sz w:val="20"/>
          <w:szCs w:val="20"/>
          <w:u w:val="single"/>
        </w:rPr>
        <w:t>Re</w:t>
      </w:r>
      <w:r w:rsidR="0093732D" w:rsidRPr="0093732D">
        <w:rPr>
          <w:rFonts w:ascii="Arial" w:hAnsi="Arial" w:cs="Arial"/>
          <w:b/>
          <w:bCs/>
          <w:sz w:val="20"/>
          <w:szCs w:val="20"/>
          <w:u w:val="single"/>
        </w:rPr>
        <w:t>versing the decline in bu</w:t>
      </w:r>
      <w:r w:rsidRPr="0093732D">
        <w:rPr>
          <w:rFonts w:ascii="Arial" w:hAnsi="Arial" w:cs="Arial"/>
          <w:b/>
          <w:bCs/>
          <w:sz w:val="20"/>
          <w:szCs w:val="20"/>
          <w:u w:val="single"/>
        </w:rPr>
        <w:t xml:space="preserve">ilt </w:t>
      </w:r>
      <w:r w:rsidR="0093732D" w:rsidRPr="0093732D">
        <w:rPr>
          <w:rFonts w:ascii="Arial" w:hAnsi="Arial" w:cs="Arial"/>
          <w:b/>
          <w:bCs/>
          <w:sz w:val="20"/>
          <w:szCs w:val="20"/>
          <w:u w:val="single"/>
        </w:rPr>
        <w:t>i</w:t>
      </w:r>
      <w:r w:rsidRPr="0093732D">
        <w:rPr>
          <w:rFonts w:ascii="Arial" w:hAnsi="Arial" w:cs="Arial"/>
          <w:b/>
          <w:bCs/>
          <w:sz w:val="20"/>
          <w:szCs w:val="20"/>
          <w:u w:val="single"/>
        </w:rPr>
        <w:t xml:space="preserve">nfrastructure </w:t>
      </w:r>
    </w:p>
    <w:p w14:paraId="7A193E0C" w14:textId="02C1DB0B" w:rsidR="0093732D" w:rsidRDefault="004A2652" w:rsidP="00CE3BFE">
      <w:pPr>
        <w:spacing w:line="276" w:lineRule="auto"/>
        <w:jc w:val="both"/>
        <w:rPr>
          <w:rFonts w:ascii="Arial" w:hAnsi="Arial" w:cs="Arial"/>
          <w:bCs/>
          <w:sz w:val="20"/>
          <w:szCs w:val="20"/>
        </w:rPr>
      </w:pPr>
      <w:r>
        <w:rPr>
          <w:rFonts w:ascii="Arial" w:hAnsi="Arial" w:cs="Arial"/>
          <w:bCs/>
          <w:sz w:val="20"/>
          <w:szCs w:val="20"/>
        </w:rPr>
        <w:t>As shown in the Service Dashboard</w:t>
      </w:r>
      <w:r w:rsidR="0093732D">
        <w:rPr>
          <w:rFonts w:ascii="Arial" w:hAnsi="Arial" w:cs="Arial"/>
          <w:bCs/>
          <w:sz w:val="20"/>
          <w:szCs w:val="20"/>
        </w:rPr>
        <w:t xml:space="preserve"> excerpt below</w:t>
      </w:r>
      <w:r>
        <w:rPr>
          <w:rFonts w:ascii="Arial" w:hAnsi="Arial" w:cs="Arial"/>
          <w:bCs/>
          <w:sz w:val="20"/>
          <w:szCs w:val="20"/>
        </w:rPr>
        <w:t>, it</w:t>
      </w:r>
      <w:r w:rsidRPr="009B3412">
        <w:rPr>
          <w:rFonts w:ascii="Arial" w:hAnsi="Arial" w:cs="Arial"/>
          <w:bCs/>
          <w:sz w:val="20"/>
          <w:szCs w:val="20"/>
        </w:rPr>
        <w:t xml:space="preserve"> is estimated that 21% of the City’s $1 billion worth of built assets (roads, bridges, footpaths, stormwater drainage, community and recreation facilities etc.) are in poor </w:t>
      </w:r>
      <w:r>
        <w:rPr>
          <w:rFonts w:ascii="Arial" w:hAnsi="Arial" w:cs="Arial"/>
          <w:bCs/>
          <w:sz w:val="20"/>
          <w:szCs w:val="20"/>
        </w:rPr>
        <w:t xml:space="preserve">or very poor </w:t>
      </w:r>
      <w:r w:rsidRPr="009B3412">
        <w:rPr>
          <w:rFonts w:ascii="Arial" w:hAnsi="Arial" w:cs="Arial"/>
          <w:bCs/>
          <w:sz w:val="20"/>
          <w:szCs w:val="20"/>
        </w:rPr>
        <w:t xml:space="preserve">condition. This is estimated to increase to 37% in poor condition by 2024 without corrective action. </w:t>
      </w:r>
    </w:p>
    <w:p w14:paraId="623768F1" w14:textId="77777777" w:rsidR="0093732D" w:rsidRDefault="0093732D" w:rsidP="00CE3BFE">
      <w:pPr>
        <w:spacing w:line="276" w:lineRule="auto"/>
        <w:jc w:val="both"/>
        <w:rPr>
          <w:rFonts w:ascii="Arial" w:hAnsi="Arial" w:cs="Arial"/>
          <w:bCs/>
          <w:sz w:val="20"/>
          <w:szCs w:val="20"/>
        </w:rPr>
      </w:pPr>
    </w:p>
    <w:p w14:paraId="3FC29DA6" w14:textId="356E441A" w:rsidR="004A2652" w:rsidRDefault="004A2652" w:rsidP="00CE3BFE">
      <w:pPr>
        <w:spacing w:line="276" w:lineRule="auto"/>
        <w:jc w:val="both"/>
        <w:rPr>
          <w:rFonts w:ascii="Arial" w:hAnsi="Arial" w:cs="Arial"/>
          <w:bCs/>
          <w:sz w:val="20"/>
          <w:szCs w:val="20"/>
        </w:rPr>
      </w:pPr>
      <w:r w:rsidRPr="00607806">
        <w:rPr>
          <w:rFonts w:ascii="Arial" w:hAnsi="Arial" w:cs="Arial"/>
          <w:bCs/>
          <w:sz w:val="20"/>
          <w:szCs w:val="20"/>
        </w:rPr>
        <w:t>Over time, this</w:t>
      </w:r>
      <w:r>
        <w:rPr>
          <w:rFonts w:ascii="Arial" w:hAnsi="Arial" w:cs="Arial"/>
          <w:bCs/>
          <w:sz w:val="20"/>
          <w:szCs w:val="20"/>
        </w:rPr>
        <w:t xml:space="preserve"> underfunding</w:t>
      </w:r>
      <w:r w:rsidRPr="00607806">
        <w:rPr>
          <w:rFonts w:ascii="Arial" w:hAnsi="Arial" w:cs="Arial"/>
          <w:bCs/>
          <w:sz w:val="20"/>
          <w:szCs w:val="20"/>
        </w:rPr>
        <w:t xml:space="preserve"> </w:t>
      </w:r>
      <w:r>
        <w:rPr>
          <w:rFonts w:ascii="Arial" w:hAnsi="Arial" w:cs="Arial"/>
          <w:bCs/>
          <w:sz w:val="20"/>
          <w:szCs w:val="20"/>
        </w:rPr>
        <w:t xml:space="preserve">of renewal and maintenance </w:t>
      </w:r>
      <w:r w:rsidRPr="00607806">
        <w:rPr>
          <w:rFonts w:ascii="Arial" w:hAnsi="Arial" w:cs="Arial"/>
          <w:bCs/>
          <w:sz w:val="20"/>
          <w:szCs w:val="20"/>
        </w:rPr>
        <w:t>has resulted in widespread and gradual deterioration in built asset condition</w:t>
      </w:r>
      <w:r>
        <w:rPr>
          <w:rFonts w:ascii="Arial" w:hAnsi="Arial" w:cs="Arial"/>
          <w:bCs/>
          <w:sz w:val="20"/>
          <w:szCs w:val="20"/>
        </w:rPr>
        <w:t xml:space="preserve"> and the need for a priority focus on managing risk, including closure and removal of unsafe infrastructure/ facilities.</w:t>
      </w:r>
      <w:r w:rsidRPr="00607806">
        <w:rPr>
          <w:rFonts w:ascii="Arial" w:hAnsi="Arial" w:cs="Arial"/>
          <w:bCs/>
          <w:sz w:val="20"/>
          <w:szCs w:val="20"/>
        </w:rPr>
        <w:t xml:space="preserve"> </w:t>
      </w:r>
    </w:p>
    <w:p w14:paraId="2826B043" w14:textId="77777777" w:rsidR="004A2652" w:rsidRDefault="004A2652" w:rsidP="00CE3BFE">
      <w:pPr>
        <w:spacing w:line="276" w:lineRule="auto"/>
        <w:jc w:val="both"/>
        <w:rPr>
          <w:rFonts w:ascii="Arial" w:hAnsi="Arial" w:cs="Arial"/>
          <w:bCs/>
          <w:sz w:val="20"/>
          <w:szCs w:val="20"/>
        </w:rPr>
      </w:pPr>
    </w:p>
    <w:p w14:paraId="1591216C" w14:textId="77777777" w:rsidR="00A62C55" w:rsidRDefault="00A62C55">
      <w:pPr>
        <w:rPr>
          <w:rFonts w:asciiTheme="minorHAnsi" w:eastAsiaTheme="minorHAnsi" w:hAnsiTheme="minorHAnsi" w:cstheme="minorBidi"/>
          <w:b/>
          <w:szCs w:val="22"/>
          <w:lang w:eastAsia="en-US"/>
        </w:rPr>
      </w:pPr>
      <w:r>
        <w:rPr>
          <w:rFonts w:asciiTheme="minorHAnsi" w:eastAsiaTheme="minorHAnsi" w:hAnsiTheme="minorHAnsi" w:cstheme="minorBidi"/>
          <w:b/>
          <w:szCs w:val="22"/>
          <w:lang w:eastAsia="en-US"/>
        </w:rPr>
        <w:br w:type="page"/>
      </w:r>
    </w:p>
    <w:p w14:paraId="7721478C" w14:textId="45343313" w:rsidR="00A62C55" w:rsidRPr="000E654F" w:rsidRDefault="008F361C" w:rsidP="00A62C55">
      <w:pPr>
        <w:spacing w:line="276" w:lineRule="auto"/>
        <w:rPr>
          <w:rFonts w:asciiTheme="minorHAnsi" w:eastAsiaTheme="minorHAnsi" w:hAnsiTheme="minorHAnsi" w:cstheme="minorBidi"/>
          <w:i/>
          <w:sz w:val="20"/>
          <w:szCs w:val="20"/>
          <w:lang w:eastAsia="en-US"/>
        </w:rPr>
      </w:pPr>
      <w:r w:rsidRPr="000E654F">
        <w:rPr>
          <w:rFonts w:asciiTheme="minorHAnsi" w:eastAsiaTheme="minorHAnsi" w:hAnsiTheme="minorHAnsi" w:cstheme="minorBidi"/>
          <w:b/>
          <w:i/>
          <w:sz w:val="20"/>
          <w:szCs w:val="20"/>
          <w:lang w:eastAsia="en-US"/>
        </w:rPr>
        <w:t>Overall C</w:t>
      </w:r>
      <w:r w:rsidR="00A62C55" w:rsidRPr="000E654F">
        <w:rPr>
          <w:rFonts w:asciiTheme="minorHAnsi" w:eastAsiaTheme="minorHAnsi" w:hAnsiTheme="minorHAnsi" w:cstheme="minorBidi"/>
          <w:b/>
          <w:i/>
          <w:sz w:val="20"/>
          <w:szCs w:val="20"/>
          <w:lang w:eastAsia="en-US"/>
        </w:rPr>
        <w:t xml:space="preserve">ondition of Built Assets - Service Dashboards </w:t>
      </w:r>
      <w:r w:rsidR="00A62C55" w:rsidRPr="000E654F">
        <w:rPr>
          <w:rFonts w:asciiTheme="minorHAnsi" w:eastAsiaTheme="minorHAnsi" w:hAnsiTheme="minorHAnsi" w:cstheme="minorBidi"/>
          <w:i/>
          <w:sz w:val="20"/>
          <w:szCs w:val="20"/>
          <w:lang w:eastAsia="en-US"/>
        </w:rPr>
        <w:t>page 10</w:t>
      </w:r>
      <w:r w:rsidR="00A62C55" w:rsidRPr="000E654F">
        <w:rPr>
          <w:rFonts w:asciiTheme="minorHAnsi" w:eastAsiaTheme="minorHAnsi" w:hAnsiTheme="minorHAnsi" w:cstheme="minorBidi"/>
          <w:b/>
          <w:i/>
          <w:sz w:val="20"/>
          <w:szCs w:val="20"/>
          <w:lang w:eastAsia="en-US"/>
        </w:rPr>
        <w:t xml:space="preserve"> [Attachment 10</w:t>
      </w:r>
      <w:r w:rsidR="00A62C55" w:rsidRPr="000E654F">
        <w:rPr>
          <w:rFonts w:asciiTheme="minorHAnsi" w:eastAsiaTheme="minorHAnsi" w:hAnsiTheme="minorHAnsi" w:cstheme="minorBidi"/>
          <w:i/>
          <w:sz w:val="20"/>
          <w:szCs w:val="20"/>
          <w:lang w:eastAsia="en-US"/>
        </w:rPr>
        <w:t>]</w:t>
      </w:r>
    </w:p>
    <w:p w14:paraId="694C61C9" w14:textId="77777777" w:rsidR="004A2652" w:rsidRDefault="004A2652" w:rsidP="004A2652">
      <w:pPr>
        <w:spacing w:line="360" w:lineRule="auto"/>
        <w:jc w:val="both"/>
        <w:rPr>
          <w:rFonts w:ascii="Arial" w:hAnsi="Arial" w:cs="Arial"/>
          <w:bCs/>
          <w:sz w:val="20"/>
          <w:szCs w:val="20"/>
        </w:rPr>
      </w:pPr>
      <w:r>
        <w:rPr>
          <w:rFonts w:ascii="Arial" w:hAnsi="Arial" w:cs="Arial"/>
          <w:b/>
          <w:bCs/>
          <w:noProof/>
          <w:color w:val="FF0000"/>
          <w:sz w:val="20"/>
          <w:szCs w:val="20"/>
        </w:rPr>
        <w:drawing>
          <wp:inline distT="0" distB="0" distL="0" distR="0" wp14:anchorId="508B9289" wp14:editId="271D1449">
            <wp:extent cx="5088999" cy="3590544"/>
            <wp:effectExtent l="19050" t="19050" r="16510" b="1016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088943" cy="3590505"/>
                    </a:xfrm>
                    <a:prstGeom prst="rect">
                      <a:avLst/>
                    </a:prstGeom>
                    <a:noFill/>
                    <a:ln>
                      <a:solidFill>
                        <a:schemeClr val="tx1">
                          <a:lumMod val="50000"/>
                          <a:lumOff val="50000"/>
                          <a:alpha val="77000"/>
                        </a:schemeClr>
                      </a:solidFill>
                    </a:ln>
                  </pic:spPr>
                </pic:pic>
              </a:graphicData>
            </a:graphic>
          </wp:inline>
        </w:drawing>
      </w:r>
    </w:p>
    <w:p w14:paraId="3BAFCF23" w14:textId="77777777" w:rsidR="002D76F6" w:rsidRDefault="002D76F6" w:rsidP="0093732D">
      <w:pPr>
        <w:spacing w:line="276" w:lineRule="auto"/>
        <w:jc w:val="both"/>
        <w:rPr>
          <w:rFonts w:ascii="Arial" w:hAnsi="Arial" w:cs="Arial"/>
          <w:bCs/>
          <w:sz w:val="20"/>
          <w:szCs w:val="20"/>
        </w:rPr>
      </w:pPr>
    </w:p>
    <w:p w14:paraId="2A031029" w14:textId="2B3D9F52" w:rsidR="00AA4270" w:rsidRPr="00AA4270" w:rsidRDefault="00AA4270" w:rsidP="002D76F6">
      <w:pPr>
        <w:spacing w:line="276" w:lineRule="auto"/>
        <w:jc w:val="both"/>
        <w:rPr>
          <w:rFonts w:ascii="Arial" w:hAnsi="Arial" w:cs="Arial"/>
          <w:bCs/>
          <w:i/>
          <w:sz w:val="20"/>
          <w:szCs w:val="20"/>
        </w:rPr>
      </w:pPr>
      <w:r w:rsidRPr="00AA4270">
        <w:rPr>
          <w:rFonts w:ascii="Arial" w:hAnsi="Arial" w:cs="Arial"/>
          <w:bCs/>
          <w:i/>
          <w:sz w:val="20"/>
          <w:szCs w:val="20"/>
        </w:rPr>
        <w:t>Transport and Public Access Service</w:t>
      </w:r>
      <w:r w:rsidR="00BF2CCA">
        <w:rPr>
          <w:rFonts w:ascii="Arial" w:hAnsi="Arial" w:cs="Arial"/>
          <w:bCs/>
          <w:i/>
          <w:sz w:val="20"/>
          <w:szCs w:val="20"/>
        </w:rPr>
        <w:t xml:space="preserve"> Example</w:t>
      </w:r>
    </w:p>
    <w:p w14:paraId="3D236601" w14:textId="77777777" w:rsidR="000E654F" w:rsidRDefault="000E654F" w:rsidP="008F361C">
      <w:pPr>
        <w:spacing w:line="276" w:lineRule="auto"/>
        <w:jc w:val="both"/>
        <w:rPr>
          <w:rFonts w:ascii="Arial" w:hAnsi="Arial" w:cs="Arial"/>
          <w:bCs/>
          <w:sz w:val="20"/>
          <w:szCs w:val="20"/>
        </w:rPr>
      </w:pPr>
      <w:r>
        <w:rPr>
          <w:rFonts w:ascii="Arial" w:hAnsi="Arial" w:cs="Arial"/>
          <w:bCs/>
          <w:sz w:val="20"/>
          <w:szCs w:val="20"/>
        </w:rPr>
        <w:t>T</w:t>
      </w:r>
      <w:r w:rsidR="0093732D">
        <w:rPr>
          <w:rFonts w:ascii="Arial" w:hAnsi="Arial" w:cs="Arial"/>
          <w:bCs/>
          <w:sz w:val="20"/>
          <w:szCs w:val="20"/>
        </w:rPr>
        <w:t xml:space="preserve">he Council’s Transport and Public Access Service, </w:t>
      </w:r>
      <w:r>
        <w:rPr>
          <w:rFonts w:ascii="Arial" w:hAnsi="Arial" w:cs="Arial"/>
          <w:bCs/>
          <w:sz w:val="20"/>
          <w:szCs w:val="20"/>
        </w:rPr>
        <w:t xml:space="preserve">includes provision of </w:t>
      </w:r>
      <w:r w:rsidR="0093732D">
        <w:rPr>
          <w:rFonts w:ascii="Arial" w:hAnsi="Arial" w:cs="Arial"/>
          <w:bCs/>
          <w:sz w:val="20"/>
          <w:szCs w:val="20"/>
        </w:rPr>
        <w:t>6</w:t>
      </w:r>
      <w:r w:rsidR="002D76F6">
        <w:rPr>
          <w:rFonts w:ascii="Arial" w:hAnsi="Arial" w:cs="Arial"/>
          <w:bCs/>
          <w:sz w:val="20"/>
          <w:szCs w:val="20"/>
        </w:rPr>
        <w:t>81</w:t>
      </w:r>
      <w:r w:rsidR="0093732D">
        <w:rPr>
          <w:rFonts w:ascii="Arial" w:hAnsi="Arial" w:cs="Arial"/>
          <w:bCs/>
          <w:sz w:val="20"/>
          <w:szCs w:val="20"/>
        </w:rPr>
        <w:t>km of sealed roads</w:t>
      </w:r>
      <w:r w:rsidR="00477808">
        <w:rPr>
          <w:rFonts w:ascii="Arial" w:hAnsi="Arial" w:cs="Arial"/>
          <w:bCs/>
          <w:sz w:val="20"/>
          <w:szCs w:val="20"/>
        </w:rPr>
        <w:t xml:space="preserve"> </w:t>
      </w:r>
      <w:r>
        <w:rPr>
          <w:rFonts w:ascii="Arial" w:hAnsi="Arial" w:cs="Arial"/>
          <w:bCs/>
          <w:sz w:val="20"/>
          <w:szCs w:val="20"/>
        </w:rPr>
        <w:t xml:space="preserve">and related transport infrastructure </w:t>
      </w:r>
      <w:r w:rsidR="00477808">
        <w:rPr>
          <w:rFonts w:ascii="Arial" w:hAnsi="Arial" w:cs="Arial"/>
          <w:bCs/>
          <w:sz w:val="20"/>
          <w:szCs w:val="20"/>
        </w:rPr>
        <w:t>accounting for 63</w:t>
      </w:r>
      <w:r w:rsidR="002D76F6">
        <w:rPr>
          <w:rFonts w:ascii="Arial" w:hAnsi="Arial" w:cs="Arial"/>
          <w:bCs/>
          <w:sz w:val="20"/>
          <w:szCs w:val="20"/>
        </w:rPr>
        <w:t>%</w:t>
      </w:r>
      <w:r w:rsidR="00477808">
        <w:rPr>
          <w:rFonts w:ascii="Arial" w:hAnsi="Arial" w:cs="Arial"/>
          <w:bCs/>
          <w:sz w:val="20"/>
          <w:szCs w:val="20"/>
        </w:rPr>
        <w:t xml:space="preserve"> of the total value of the </w:t>
      </w:r>
      <w:r w:rsidR="002D76F6">
        <w:rPr>
          <w:rFonts w:ascii="Arial" w:hAnsi="Arial" w:cs="Arial"/>
          <w:bCs/>
          <w:sz w:val="20"/>
          <w:szCs w:val="20"/>
        </w:rPr>
        <w:t xml:space="preserve">Council’s </w:t>
      </w:r>
      <w:r w:rsidR="00477808">
        <w:rPr>
          <w:rFonts w:ascii="Arial" w:hAnsi="Arial" w:cs="Arial"/>
          <w:bCs/>
          <w:sz w:val="20"/>
          <w:szCs w:val="20"/>
        </w:rPr>
        <w:t>$1 billion worth of assets</w:t>
      </w:r>
      <w:r w:rsidR="0093732D">
        <w:rPr>
          <w:rFonts w:ascii="Arial" w:hAnsi="Arial" w:cs="Arial"/>
          <w:bCs/>
          <w:sz w:val="20"/>
          <w:szCs w:val="20"/>
        </w:rPr>
        <w:t>. A key Objective in the Community Strategic Plan is that the “</w:t>
      </w:r>
      <w:r w:rsidR="0093732D" w:rsidRPr="006F6E82">
        <w:rPr>
          <w:rFonts w:ascii="Arial" w:hAnsi="Arial" w:cs="Arial"/>
          <w:bCs/>
          <w:i/>
          <w:sz w:val="20"/>
          <w:szCs w:val="20"/>
        </w:rPr>
        <w:t>The City has a safe, well designed and maintained network of roads</w:t>
      </w:r>
      <w:r w:rsidR="0093732D">
        <w:rPr>
          <w:rFonts w:ascii="Arial" w:hAnsi="Arial" w:cs="Arial"/>
          <w:bCs/>
          <w:i/>
          <w:sz w:val="20"/>
          <w:szCs w:val="20"/>
        </w:rPr>
        <w:t>.</w:t>
      </w:r>
      <w:r w:rsidR="0093732D">
        <w:rPr>
          <w:rFonts w:ascii="Arial" w:hAnsi="Arial" w:cs="Arial"/>
          <w:bCs/>
          <w:sz w:val="20"/>
          <w:szCs w:val="20"/>
        </w:rPr>
        <w:t>” The community has consistently identified improving roads as a key priority for the City, in Area Workshops and community surveys</w:t>
      </w:r>
      <w:r w:rsidR="002D76F6">
        <w:rPr>
          <w:rFonts w:ascii="Arial" w:hAnsi="Arial" w:cs="Arial"/>
          <w:bCs/>
          <w:sz w:val="20"/>
          <w:szCs w:val="20"/>
        </w:rPr>
        <w:t xml:space="preserve"> (see </w:t>
      </w:r>
      <w:r w:rsidR="002D76F6" w:rsidRPr="002D76F6">
        <w:rPr>
          <w:rFonts w:ascii="Arial" w:hAnsi="Arial" w:cs="Arial"/>
          <w:b/>
          <w:bCs/>
          <w:sz w:val="20"/>
          <w:szCs w:val="20"/>
        </w:rPr>
        <w:t>Attachment 15</w:t>
      </w:r>
      <w:r w:rsidR="002D76F6">
        <w:rPr>
          <w:rFonts w:ascii="Arial" w:hAnsi="Arial" w:cs="Arial"/>
          <w:bCs/>
          <w:sz w:val="20"/>
          <w:szCs w:val="20"/>
        </w:rPr>
        <w:t>)</w:t>
      </w:r>
      <w:r w:rsidR="0093732D">
        <w:rPr>
          <w:rFonts w:ascii="Arial" w:hAnsi="Arial" w:cs="Arial"/>
          <w:bCs/>
          <w:sz w:val="20"/>
          <w:szCs w:val="20"/>
        </w:rPr>
        <w:t>.</w:t>
      </w:r>
      <w:r w:rsidR="0093732D" w:rsidRPr="006F6E82">
        <w:rPr>
          <w:rFonts w:ascii="Arial" w:hAnsi="Arial" w:cs="Arial"/>
          <w:bCs/>
          <w:sz w:val="20"/>
          <w:szCs w:val="20"/>
        </w:rPr>
        <w:t xml:space="preserve"> </w:t>
      </w:r>
    </w:p>
    <w:p w14:paraId="1A065124" w14:textId="77777777" w:rsidR="000E654F" w:rsidRDefault="000E654F" w:rsidP="008F361C">
      <w:pPr>
        <w:spacing w:line="276" w:lineRule="auto"/>
        <w:jc w:val="both"/>
        <w:rPr>
          <w:rFonts w:ascii="Arial" w:hAnsi="Arial" w:cs="Arial"/>
          <w:bCs/>
          <w:sz w:val="20"/>
          <w:szCs w:val="20"/>
        </w:rPr>
      </w:pPr>
    </w:p>
    <w:p w14:paraId="3CFA4A32" w14:textId="120D0F08" w:rsidR="0093732D" w:rsidRDefault="0093732D" w:rsidP="008F361C">
      <w:pPr>
        <w:spacing w:line="276" w:lineRule="auto"/>
        <w:jc w:val="both"/>
        <w:rPr>
          <w:rFonts w:ascii="Arial" w:hAnsi="Arial" w:cs="Arial"/>
          <w:bCs/>
          <w:sz w:val="20"/>
          <w:szCs w:val="20"/>
        </w:rPr>
      </w:pPr>
      <w:r>
        <w:rPr>
          <w:rFonts w:ascii="Arial" w:hAnsi="Arial" w:cs="Arial"/>
          <w:bCs/>
          <w:sz w:val="20"/>
          <w:szCs w:val="20"/>
        </w:rPr>
        <w:t>However, a key risk identified through asset planning has been:  “</w:t>
      </w:r>
      <w:r w:rsidRPr="00124144">
        <w:rPr>
          <w:rFonts w:ascii="Arial" w:hAnsi="Arial" w:cs="Arial"/>
          <w:bCs/>
          <w:i/>
          <w:sz w:val="20"/>
          <w:szCs w:val="20"/>
        </w:rPr>
        <w:t>road deterioration and / or failure due to weathering, age,  road base subsidence from the non-funding of the annual road reseal program resulting in increased localised road failures including pot holes, uneven road surface, erosion and sediment run-off</w:t>
      </w:r>
      <w:r>
        <w:rPr>
          <w:rFonts w:ascii="Arial" w:hAnsi="Arial" w:cs="Arial"/>
          <w:bCs/>
          <w:sz w:val="20"/>
          <w:szCs w:val="20"/>
        </w:rPr>
        <w:t xml:space="preserve">.” </w:t>
      </w:r>
    </w:p>
    <w:p w14:paraId="644BB2CB" w14:textId="77777777" w:rsidR="0093732D" w:rsidRDefault="0093732D" w:rsidP="000F7567">
      <w:pPr>
        <w:spacing w:line="276" w:lineRule="auto"/>
        <w:jc w:val="both"/>
        <w:rPr>
          <w:rFonts w:ascii="Arial" w:eastAsiaTheme="minorEastAsia" w:hAnsi="Arial" w:cs="Arial"/>
          <w:sz w:val="20"/>
          <w:szCs w:val="20"/>
          <w:lang w:eastAsia="en-US"/>
        </w:rPr>
      </w:pPr>
    </w:p>
    <w:p w14:paraId="4F425023" w14:textId="30506903" w:rsidR="004A2652" w:rsidRDefault="004A2652" w:rsidP="000F7567">
      <w:pPr>
        <w:spacing w:line="276" w:lineRule="auto"/>
        <w:jc w:val="both"/>
        <w:rPr>
          <w:rFonts w:ascii="Arial" w:eastAsiaTheme="minorEastAsia" w:hAnsi="Arial" w:cs="Arial"/>
          <w:sz w:val="20"/>
          <w:szCs w:val="20"/>
          <w:lang w:eastAsia="en-US"/>
        </w:rPr>
      </w:pPr>
      <w:r>
        <w:rPr>
          <w:rFonts w:ascii="Arial" w:eastAsiaTheme="minorEastAsia" w:hAnsi="Arial" w:cs="Arial"/>
          <w:sz w:val="20"/>
          <w:szCs w:val="20"/>
          <w:lang w:eastAsia="en-US"/>
        </w:rPr>
        <w:t>As shown in the pie charts below, the Service Dashboards show that currently 18% of roads are in poor condition and under Option 3 (base case no special variation) this proportion increases to 39% in 10 years’ time.  Whereas under funding Options 1 and 2 (including special variations), the proportion in poor condition reduces to 15% and 18% respectively by 2024</w:t>
      </w:r>
      <w:r w:rsidR="000E654F">
        <w:rPr>
          <w:rFonts w:ascii="Arial" w:eastAsiaTheme="minorEastAsia" w:hAnsi="Arial" w:cs="Arial"/>
          <w:sz w:val="20"/>
          <w:szCs w:val="20"/>
          <w:lang w:eastAsia="en-US"/>
        </w:rPr>
        <w:t xml:space="preserve"> (</w:t>
      </w:r>
      <w:r w:rsidR="000E654F" w:rsidRPr="000E654F">
        <w:rPr>
          <w:rFonts w:ascii="Arial" w:eastAsiaTheme="minorEastAsia" w:hAnsi="Arial" w:cs="Arial"/>
          <w:b/>
          <w:sz w:val="20"/>
          <w:szCs w:val="20"/>
          <w:lang w:eastAsia="en-US"/>
        </w:rPr>
        <w:t>Attachment 10,</w:t>
      </w:r>
      <w:r w:rsidR="000E654F">
        <w:rPr>
          <w:rFonts w:ascii="Arial" w:eastAsiaTheme="minorEastAsia" w:hAnsi="Arial" w:cs="Arial"/>
          <w:sz w:val="20"/>
          <w:szCs w:val="20"/>
          <w:lang w:eastAsia="en-US"/>
        </w:rPr>
        <w:t xml:space="preserve"> page 63)</w:t>
      </w:r>
      <w:r>
        <w:rPr>
          <w:rFonts w:ascii="Arial" w:eastAsiaTheme="minorEastAsia" w:hAnsi="Arial" w:cs="Arial"/>
          <w:sz w:val="20"/>
          <w:szCs w:val="20"/>
          <w:lang w:eastAsia="en-US"/>
        </w:rPr>
        <w:t xml:space="preserve">. </w:t>
      </w:r>
    </w:p>
    <w:p w14:paraId="7D3B54B7" w14:textId="77777777" w:rsidR="002D76F6" w:rsidRDefault="002D76F6" w:rsidP="00BB4BFC">
      <w:pPr>
        <w:autoSpaceDE w:val="0"/>
        <w:autoSpaceDN w:val="0"/>
        <w:adjustRightInd w:val="0"/>
        <w:jc w:val="both"/>
        <w:rPr>
          <w:rFonts w:ascii="Arial" w:eastAsiaTheme="minorHAnsi" w:hAnsi="Arial" w:cs="Arial"/>
          <w:b/>
          <w:color w:val="000000"/>
          <w:sz w:val="20"/>
          <w:szCs w:val="20"/>
          <w:lang w:eastAsia="en-US"/>
        </w:rPr>
      </w:pPr>
    </w:p>
    <w:p w14:paraId="0F580068" w14:textId="3D9C4D5B" w:rsidR="00BB4BFC" w:rsidRPr="000E654F" w:rsidRDefault="000E654F" w:rsidP="00BB4BFC">
      <w:pPr>
        <w:autoSpaceDE w:val="0"/>
        <w:autoSpaceDN w:val="0"/>
        <w:adjustRightInd w:val="0"/>
        <w:jc w:val="both"/>
        <w:rPr>
          <w:rFonts w:ascii="Arial" w:eastAsiaTheme="minorHAnsi" w:hAnsi="Arial" w:cs="Arial"/>
          <w:b/>
          <w:i/>
          <w:color w:val="000000"/>
          <w:sz w:val="18"/>
          <w:szCs w:val="18"/>
          <w:lang w:eastAsia="en-US"/>
        </w:rPr>
      </w:pPr>
      <w:r w:rsidRPr="000E654F">
        <w:rPr>
          <w:rFonts w:ascii="Arial" w:eastAsiaTheme="minorHAnsi" w:hAnsi="Arial" w:cs="Arial"/>
          <w:b/>
          <w:i/>
          <w:color w:val="000000"/>
          <w:sz w:val="18"/>
          <w:szCs w:val="18"/>
          <w:lang w:eastAsia="en-US"/>
        </w:rPr>
        <w:t xml:space="preserve">Current and 10 year Projected Road Condition under </w:t>
      </w:r>
      <w:r w:rsidR="00BB4BFC" w:rsidRPr="000E654F">
        <w:rPr>
          <w:rFonts w:ascii="Arial" w:eastAsiaTheme="minorHAnsi" w:hAnsi="Arial" w:cs="Arial"/>
          <w:b/>
          <w:i/>
          <w:color w:val="000000"/>
          <w:sz w:val="18"/>
          <w:szCs w:val="18"/>
          <w:lang w:eastAsia="en-US"/>
        </w:rPr>
        <w:t xml:space="preserve">Resourcing </w:t>
      </w:r>
      <w:r w:rsidRPr="000E654F">
        <w:rPr>
          <w:rFonts w:ascii="Arial" w:eastAsiaTheme="minorHAnsi" w:hAnsi="Arial" w:cs="Arial"/>
          <w:b/>
          <w:i/>
          <w:color w:val="000000"/>
          <w:sz w:val="18"/>
          <w:szCs w:val="18"/>
          <w:lang w:eastAsia="en-US"/>
        </w:rPr>
        <w:t>O</w:t>
      </w:r>
      <w:r w:rsidR="00BB4BFC" w:rsidRPr="000E654F">
        <w:rPr>
          <w:rFonts w:ascii="Arial" w:eastAsiaTheme="minorHAnsi" w:hAnsi="Arial" w:cs="Arial"/>
          <w:b/>
          <w:i/>
          <w:color w:val="000000"/>
          <w:sz w:val="18"/>
          <w:szCs w:val="18"/>
          <w:lang w:eastAsia="en-US"/>
        </w:rPr>
        <w:t>ur Future Options</w:t>
      </w:r>
    </w:p>
    <w:p w14:paraId="02E3C48D" w14:textId="77777777" w:rsidR="004A2652" w:rsidRDefault="004A2652" w:rsidP="004A2652">
      <w:pPr>
        <w:rPr>
          <w:rFonts w:ascii="Arial" w:eastAsiaTheme="minorEastAsia" w:hAnsi="Arial" w:cs="Arial"/>
          <w:sz w:val="20"/>
          <w:szCs w:val="20"/>
          <w:lang w:eastAsia="en-US"/>
        </w:rPr>
      </w:pPr>
      <w:r>
        <w:rPr>
          <w:rFonts w:ascii="Arial" w:eastAsiaTheme="minorHAnsi" w:hAnsi="Arial" w:cs="Arial"/>
          <w:noProof/>
          <w:color w:val="000000"/>
          <w:sz w:val="20"/>
          <w:szCs w:val="20"/>
        </w:rPr>
        <w:drawing>
          <wp:inline distT="0" distB="0" distL="0" distR="0" wp14:anchorId="20B3D53A" wp14:editId="4620D39E">
            <wp:extent cx="6162345" cy="1533525"/>
            <wp:effectExtent l="0" t="0" r="0" b="0"/>
            <wp:docPr id="2105" name="Picture 2105" descr="C:\Users\nfarquharson\AppData\Local\Microsoft\Windows\Temporary Internet Files\Content.Outlook\I4WB9P0C\Condition of Roa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farquharson\AppData\Local\Microsoft\Windows\Temporary Internet Files\Content.Outlook\I4WB9P0C\Condition of Roads.PN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194482" cy="1541522"/>
                    </a:xfrm>
                    <a:prstGeom prst="rect">
                      <a:avLst/>
                    </a:prstGeom>
                    <a:noFill/>
                    <a:ln>
                      <a:noFill/>
                    </a:ln>
                  </pic:spPr>
                </pic:pic>
              </a:graphicData>
            </a:graphic>
          </wp:inline>
        </w:drawing>
      </w:r>
    </w:p>
    <w:p w14:paraId="4AED8738" w14:textId="741CBDDE" w:rsidR="00A62C55" w:rsidRPr="000E654F" w:rsidRDefault="008F361C" w:rsidP="00A62C55">
      <w:pPr>
        <w:spacing w:line="276" w:lineRule="auto"/>
        <w:rPr>
          <w:rFonts w:asciiTheme="minorHAnsi" w:eastAsiaTheme="minorHAnsi" w:hAnsiTheme="minorHAnsi" w:cstheme="minorBidi"/>
          <w:i/>
          <w:sz w:val="20"/>
          <w:szCs w:val="20"/>
          <w:lang w:eastAsia="en-US"/>
        </w:rPr>
      </w:pPr>
      <w:r>
        <w:rPr>
          <w:rFonts w:asciiTheme="minorHAnsi" w:eastAsiaTheme="minorHAnsi" w:hAnsiTheme="minorHAnsi" w:cstheme="minorBidi"/>
          <w:b/>
          <w:szCs w:val="22"/>
          <w:lang w:eastAsia="en-US"/>
        </w:rPr>
        <w:t xml:space="preserve">   </w:t>
      </w:r>
      <w:r w:rsidR="00A62C55" w:rsidRPr="000E654F">
        <w:rPr>
          <w:rFonts w:asciiTheme="minorHAnsi" w:eastAsiaTheme="minorHAnsi" w:hAnsiTheme="minorHAnsi" w:cstheme="minorBidi"/>
          <w:b/>
          <w:i/>
          <w:sz w:val="20"/>
          <w:szCs w:val="20"/>
          <w:lang w:eastAsia="en-US"/>
        </w:rPr>
        <w:t xml:space="preserve">Transport - Service Dashboards </w:t>
      </w:r>
      <w:r w:rsidR="00287166" w:rsidRPr="000E654F">
        <w:rPr>
          <w:rFonts w:asciiTheme="minorHAnsi" w:eastAsiaTheme="minorHAnsi" w:hAnsiTheme="minorHAnsi" w:cstheme="minorBidi"/>
          <w:b/>
          <w:i/>
          <w:sz w:val="20"/>
          <w:szCs w:val="20"/>
          <w:lang w:eastAsia="en-US"/>
        </w:rPr>
        <w:t xml:space="preserve">Sample Extract </w:t>
      </w:r>
      <w:r w:rsidR="00A62C55" w:rsidRPr="000E654F">
        <w:rPr>
          <w:rFonts w:asciiTheme="minorHAnsi" w:eastAsiaTheme="minorHAnsi" w:hAnsiTheme="minorHAnsi" w:cstheme="minorBidi"/>
          <w:i/>
          <w:sz w:val="20"/>
          <w:szCs w:val="20"/>
          <w:lang w:eastAsia="en-US"/>
        </w:rPr>
        <w:t>pages 57, 58 &amp; 63</w:t>
      </w:r>
      <w:r w:rsidR="00A62C55" w:rsidRPr="000E654F">
        <w:rPr>
          <w:rFonts w:asciiTheme="minorHAnsi" w:eastAsiaTheme="minorHAnsi" w:hAnsiTheme="minorHAnsi" w:cstheme="minorBidi"/>
          <w:b/>
          <w:i/>
          <w:sz w:val="20"/>
          <w:szCs w:val="20"/>
          <w:lang w:eastAsia="en-US"/>
        </w:rPr>
        <w:t xml:space="preserve"> [Attachment 10</w:t>
      </w:r>
      <w:r w:rsidR="00A62C55" w:rsidRPr="000E654F">
        <w:rPr>
          <w:rFonts w:asciiTheme="minorHAnsi" w:eastAsiaTheme="minorHAnsi" w:hAnsiTheme="minorHAnsi" w:cstheme="minorBidi"/>
          <w:i/>
          <w:sz w:val="20"/>
          <w:szCs w:val="20"/>
          <w:lang w:eastAsia="en-US"/>
        </w:rPr>
        <w:t>]</w:t>
      </w:r>
    </w:p>
    <w:p w14:paraId="15695AB8" w14:textId="77777777" w:rsidR="00A62C55" w:rsidRPr="00A62C55" w:rsidRDefault="00A62C55" w:rsidP="00A62C55">
      <w:pPr>
        <w:spacing w:line="276" w:lineRule="auto"/>
        <w:rPr>
          <w:rFonts w:asciiTheme="minorHAnsi" w:eastAsiaTheme="minorHAnsi" w:hAnsiTheme="minorHAnsi" w:cstheme="minorBidi"/>
          <w:szCs w:val="22"/>
          <w:lang w:eastAsia="en-US"/>
        </w:rPr>
      </w:pPr>
      <w:r w:rsidRPr="00A62C55">
        <w:rPr>
          <w:rFonts w:asciiTheme="minorHAnsi" w:eastAsiaTheme="minorHAnsi" w:hAnsiTheme="minorHAnsi" w:cstheme="minorBidi"/>
          <w:noProof/>
          <w:szCs w:val="22"/>
        </w:rPr>
        <w:drawing>
          <wp:inline distT="0" distB="0" distL="0" distR="0" wp14:anchorId="0BE6B0F8" wp14:editId="2B907DAB">
            <wp:extent cx="6109812" cy="4320000"/>
            <wp:effectExtent l="0" t="0" r="5715"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10 - Summary Service and Asset Plans_Page_057.jpg"/>
                    <pic:cNvPicPr/>
                  </pic:nvPicPr>
                  <pic:blipFill>
                    <a:blip r:embed="rId30" cstate="screen">
                      <a:extLst>
                        <a:ext uri="{28A0092B-C50C-407E-A947-70E740481C1C}">
                          <a14:useLocalDpi xmlns:a14="http://schemas.microsoft.com/office/drawing/2010/main"/>
                        </a:ext>
                      </a:extLst>
                    </a:blip>
                    <a:stretch>
                      <a:fillRect/>
                    </a:stretch>
                  </pic:blipFill>
                  <pic:spPr>
                    <a:xfrm>
                      <a:off x="0" y="0"/>
                      <a:ext cx="6109812" cy="4320000"/>
                    </a:xfrm>
                    <a:prstGeom prst="rect">
                      <a:avLst/>
                    </a:prstGeom>
                  </pic:spPr>
                </pic:pic>
              </a:graphicData>
            </a:graphic>
          </wp:inline>
        </w:drawing>
      </w:r>
    </w:p>
    <w:p w14:paraId="05CA037D" w14:textId="77777777" w:rsidR="00A62C55" w:rsidRPr="00A62C55" w:rsidRDefault="00A62C55" w:rsidP="00A62C55">
      <w:pPr>
        <w:spacing w:line="276" w:lineRule="auto"/>
        <w:rPr>
          <w:rFonts w:asciiTheme="minorHAnsi" w:eastAsiaTheme="minorHAnsi" w:hAnsiTheme="minorHAnsi" w:cstheme="minorBidi"/>
          <w:szCs w:val="22"/>
          <w:lang w:eastAsia="en-US"/>
        </w:rPr>
      </w:pPr>
      <w:r w:rsidRPr="00A62C55">
        <w:rPr>
          <w:rFonts w:asciiTheme="minorHAnsi" w:eastAsiaTheme="minorHAnsi" w:hAnsiTheme="minorHAnsi" w:cstheme="minorBidi"/>
          <w:noProof/>
          <w:szCs w:val="22"/>
        </w:rPr>
        <w:drawing>
          <wp:inline distT="0" distB="0" distL="0" distR="0" wp14:anchorId="5BFE619F" wp14:editId="48F401FA">
            <wp:extent cx="6109813" cy="4320000"/>
            <wp:effectExtent l="0" t="0" r="5715"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10 - Summary Service and Asset Plans_Page_058.jpg"/>
                    <pic:cNvPicPr/>
                  </pic:nvPicPr>
                  <pic:blipFill>
                    <a:blip r:embed="rId31" cstate="screen">
                      <a:extLst>
                        <a:ext uri="{28A0092B-C50C-407E-A947-70E740481C1C}">
                          <a14:useLocalDpi xmlns:a14="http://schemas.microsoft.com/office/drawing/2010/main"/>
                        </a:ext>
                      </a:extLst>
                    </a:blip>
                    <a:stretch>
                      <a:fillRect/>
                    </a:stretch>
                  </pic:blipFill>
                  <pic:spPr>
                    <a:xfrm>
                      <a:off x="0" y="0"/>
                      <a:ext cx="6109813" cy="4320000"/>
                    </a:xfrm>
                    <a:prstGeom prst="rect">
                      <a:avLst/>
                    </a:prstGeom>
                  </pic:spPr>
                </pic:pic>
              </a:graphicData>
            </a:graphic>
          </wp:inline>
        </w:drawing>
      </w:r>
    </w:p>
    <w:p w14:paraId="31F48031" w14:textId="77777777" w:rsidR="00A62C55" w:rsidRPr="00A62C55" w:rsidRDefault="00A62C55" w:rsidP="008309B7">
      <w:pPr>
        <w:spacing w:line="276" w:lineRule="auto"/>
        <w:ind w:left="-284"/>
        <w:rPr>
          <w:rFonts w:asciiTheme="minorHAnsi" w:eastAsiaTheme="minorHAnsi" w:hAnsiTheme="minorHAnsi" w:cstheme="minorBidi"/>
          <w:szCs w:val="22"/>
          <w:lang w:eastAsia="en-US"/>
        </w:rPr>
      </w:pPr>
      <w:r w:rsidRPr="00A62C55">
        <w:rPr>
          <w:rFonts w:asciiTheme="minorHAnsi" w:eastAsiaTheme="minorHAnsi" w:hAnsiTheme="minorHAnsi" w:cstheme="minorBidi"/>
          <w:noProof/>
          <w:szCs w:val="22"/>
        </w:rPr>
        <w:drawing>
          <wp:inline distT="0" distB="0" distL="0" distR="0" wp14:anchorId="53FCBF44" wp14:editId="4C4337F4">
            <wp:extent cx="6547996" cy="4629150"/>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10 - Summary Service and Asset Plans_Page_063.jpg"/>
                    <pic:cNvPicPr/>
                  </pic:nvPicPr>
                  <pic:blipFill>
                    <a:blip r:embed="rId32" cstate="screen">
                      <a:extLst>
                        <a:ext uri="{28A0092B-C50C-407E-A947-70E740481C1C}">
                          <a14:useLocalDpi xmlns:a14="http://schemas.microsoft.com/office/drawing/2010/main"/>
                        </a:ext>
                      </a:extLst>
                    </a:blip>
                    <a:stretch>
                      <a:fillRect/>
                    </a:stretch>
                  </pic:blipFill>
                  <pic:spPr>
                    <a:xfrm>
                      <a:off x="0" y="0"/>
                      <a:ext cx="6547996" cy="4629150"/>
                    </a:xfrm>
                    <a:prstGeom prst="rect">
                      <a:avLst/>
                    </a:prstGeom>
                  </pic:spPr>
                </pic:pic>
              </a:graphicData>
            </a:graphic>
          </wp:inline>
        </w:drawing>
      </w:r>
    </w:p>
    <w:p w14:paraId="17BE939B" w14:textId="77777777" w:rsidR="006758F8" w:rsidRDefault="006758F8" w:rsidP="006758F8">
      <w:pPr>
        <w:jc w:val="both"/>
        <w:rPr>
          <w:rFonts w:ascii="Arial" w:eastAsiaTheme="minorEastAsia" w:hAnsi="Arial" w:cs="Arial"/>
          <w:i/>
          <w:sz w:val="20"/>
          <w:szCs w:val="20"/>
          <w:lang w:eastAsia="en-US"/>
        </w:rPr>
      </w:pPr>
    </w:p>
    <w:p w14:paraId="5A250BCD" w14:textId="7615D8FD" w:rsidR="008309B7" w:rsidRDefault="00974015" w:rsidP="006758F8">
      <w:pPr>
        <w:jc w:val="both"/>
        <w:rPr>
          <w:rFonts w:ascii="Arial" w:eastAsiaTheme="minorEastAsia" w:hAnsi="Arial" w:cs="Arial"/>
          <w:i/>
          <w:sz w:val="20"/>
          <w:szCs w:val="20"/>
          <w:lang w:eastAsia="en-US"/>
        </w:rPr>
      </w:pPr>
      <w:r w:rsidRPr="00974015">
        <w:rPr>
          <w:rFonts w:ascii="Arial" w:eastAsiaTheme="minorEastAsia" w:hAnsi="Arial" w:cs="Arial"/>
          <w:i/>
          <w:sz w:val="20"/>
          <w:szCs w:val="20"/>
          <w:lang w:eastAsia="en-US"/>
        </w:rPr>
        <w:t xml:space="preserve">Town Centre Services </w:t>
      </w:r>
      <w:r w:rsidR="00BF2CCA">
        <w:rPr>
          <w:rFonts w:ascii="Arial" w:eastAsiaTheme="minorEastAsia" w:hAnsi="Arial" w:cs="Arial"/>
          <w:i/>
          <w:sz w:val="20"/>
          <w:szCs w:val="20"/>
          <w:lang w:eastAsia="en-US"/>
        </w:rPr>
        <w:t>Example</w:t>
      </w:r>
    </w:p>
    <w:p w14:paraId="46B0BD07" w14:textId="77777777" w:rsidR="008309B7" w:rsidRDefault="008309B7" w:rsidP="006758F8">
      <w:pPr>
        <w:jc w:val="both"/>
        <w:rPr>
          <w:rFonts w:ascii="Arial" w:eastAsiaTheme="minorEastAsia" w:hAnsi="Arial" w:cs="Arial"/>
          <w:sz w:val="20"/>
          <w:szCs w:val="20"/>
          <w:lang w:eastAsia="en-US"/>
        </w:rPr>
      </w:pPr>
    </w:p>
    <w:p w14:paraId="62252AAA" w14:textId="77777777" w:rsidR="00434F93" w:rsidRDefault="008309B7" w:rsidP="006758F8">
      <w:pPr>
        <w:spacing w:line="276" w:lineRule="auto"/>
        <w:jc w:val="both"/>
        <w:rPr>
          <w:rFonts w:ascii="Arial" w:eastAsiaTheme="minorEastAsia" w:hAnsi="Arial" w:cs="Arial"/>
          <w:i/>
          <w:sz w:val="20"/>
          <w:szCs w:val="20"/>
          <w:lang w:eastAsia="en-US"/>
        </w:rPr>
      </w:pPr>
      <w:r>
        <w:rPr>
          <w:rFonts w:ascii="Arial" w:eastAsiaTheme="minorEastAsia" w:hAnsi="Arial" w:cs="Arial"/>
          <w:sz w:val="20"/>
          <w:szCs w:val="20"/>
          <w:lang w:eastAsia="en-US"/>
        </w:rPr>
        <w:t xml:space="preserve">The Council maintains, renews and resources services and facilities in 27 towns and villages. This supports achievement of our Community Strategic Plan objective of </w:t>
      </w:r>
      <w:r w:rsidR="00434F93">
        <w:rPr>
          <w:rFonts w:ascii="Arial" w:eastAsiaTheme="minorEastAsia" w:hAnsi="Arial" w:cs="Arial"/>
          <w:sz w:val="20"/>
          <w:szCs w:val="20"/>
          <w:lang w:eastAsia="en-US"/>
        </w:rPr>
        <w:t>“</w:t>
      </w:r>
      <w:r w:rsidR="00434F93" w:rsidRPr="00434F93">
        <w:rPr>
          <w:rFonts w:ascii="Arial" w:eastAsiaTheme="minorEastAsia" w:hAnsi="Arial" w:cs="Arial"/>
          <w:i/>
          <w:sz w:val="20"/>
          <w:szCs w:val="20"/>
          <w:lang w:eastAsia="en-US"/>
        </w:rPr>
        <w:t>the liveability, vibrancy and safety of towns and villages is strengthened.”</w:t>
      </w:r>
    </w:p>
    <w:p w14:paraId="016EB3C5" w14:textId="77777777" w:rsidR="00434F93" w:rsidRDefault="00434F93" w:rsidP="006758F8">
      <w:pPr>
        <w:spacing w:line="276" w:lineRule="auto"/>
        <w:jc w:val="both"/>
        <w:rPr>
          <w:rFonts w:ascii="Arial" w:eastAsiaTheme="minorEastAsia" w:hAnsi="Arial" w:cs="Arial"/>
          <w:i/>
          <w:sz w:val="20"/>
          <w:szCs w:val="20"/>
          <w:lang w:eastAsia="en-US"/>
        </w:rPr>
      </w:pPr>
    </w:p>
    <w:p w14:paraId="617F7B52" w14:textId="244575A2" w:rsidR="006758F8" w:rsidRDefault="006758F8" w:rsidP="006758F8">
      <w:pPr>
        <w:spacing w:line="276" w:lineRule="auto"/>
        <w:jc w:val="both"/>
        <w:rPr>
          <w:rFonts w:ascii="Arial" w:eastAsiaTheme="minorEastAsia" w:hAnsi="Arial" w:cs="Arial"/>
          <w:sz w:val="20"/>
          <w:szCs w:val="20"/>
          <w:lang w:eastAsia="en-US"/>
        </w:rPr>
      </w:pPr>
      <w:r>
        <w:rPr>
          <w:rFonts w:ascii="Arial" w:eastAsiaTheme="minorEastAsia" w:hAnsi="Arial" w:cs="Arial"/>
          <w:sz w:val="20"/>
          <w:szCs w:val="20"/>
          <w:lang w:eastAsia="en-US"/>
        </w:rPr>
        <w:t>As shown in the Service Dashboard Town centre extracts below, k</w:t>
      </w:r>
      <w:r w:rsidR="00434F93">
        <w:rPr>
          <w:rFonts w:ascii="Arial" w:eastAsiaTheme="minorEastAsia" w:hAnsi="Arial" w:cs="Arial"/>
          <w:sz w:val="20"/>
          <w:szCs w:val="20"/>
          <w:lang w:eastAsia="en-US"/>
        </w:rPr>
        <w:t xml:space="preserve">ey risks for town centres under existing levels of funding or the base case (Option 3) include: deteriorating amenity and built facilities in town centres, inadequate funding to renew and maintain street furniture, public toilets, footpaths, car parks and landscapes. </w:t>
      </w:r>
    </w:p>
    <w:p w14:paraId="2210F19D" w14:textId="77777777" w:rsidR="006758F8" w:rsidRDefault="006758F8" w:rsidP="006758F8">
      <w:pPr>
        <w:spacing w:line="276" w:lineRule="auto"/>
        <w:jc w:val="both"/>
        <w:rPr>
          <w:rFonts w:ascii="Arial" w:eastAsiaTheme="minorEastAsia" w:hAnsi="Arial" w:cs="Arial"/>
          <w:sz w:val="20"/>
          <w:szCs w:val="20"/>
          <w:lang w:eastAsia="en-US"/>
        </w:rPr>
      </w:pPr>
    </w:p>
    <w:p w14:paraId="5780AE29" w14:textId="7B83DD5E" w:rsidR="00426825" w:rsidRPr="000E654F" w:rsidRDefault="00974015" w:rsidP="00426825">
      <w:pPr>
        <w:rPr>
          <w:rFonts w:asciiTheme="minorHAnsi" w:eastAsiaTheme="minorHAnsi" w:hAnsiTheme="minorHAnsi" w:cstheme="minorBidi"/>
          <w:i/>
          <w:sz w:val="20"/>
          <w:szCs w:val="20"/>
          <w:lang w:eastAsia="en-US"/>
        </w:rPr>
      </w:pPr>
      <w:r w:rsidRPr="00434F93">
        <w:rPr>
          <w:rFonts w:ascii="Arial" w:eastAsiaTheme="minorEastAsia" w:hAnsi="Arial" w:cs="Arial"/>
          <w:i/>
          <w:sz w:val="20"/>
          <w:szCs w:val="20"/>
          <w:lang w:eastAsia="en-US"/>
        </w:rPr>
        <w:br w:type="page"/>
      </w:r>
      <w:r w:rsidR="000E654F">
        <w:rPr>
          <w:rFonts w:ascii="Arial" w:eastAsiaTheme="minorEastAsia" w:hAnsi="Arial" w:cs="Arial"/>
          <w:i/>
          <w:sz w:val="20"/>
          <w:szCs w:val="20"/>
          <w:lang w:eastAsia="en-US"/>
        </w:rPr>
        <w:t xml:space="preserve">  </w:t>
      </w:r>
      <w:r w:rsidR="00426825" w:rsidRPr="000E654F">
        <w:rPr>
          <w:rFonts w:asciiTheme="minorHAnsi" w:eastAsiaTheme="minorHAnsi" w:hAnsiTheme="minorHAnsi" w:cstheme="minorBidi"/>
          <w:b/>
          <w:i/>
          <w:sz w:val="20"/>
          <w:szCs w:val="20"/>
          <w:lang w:eastAsia="en-US"/>
        </w:rPr>
        <w:t xml:space="preserve">Town Centres - Service Dashboards </w:t>
      </w:r>
      <w:r w:rsidR="00426825" w:rsidRPr="000E654F">
        <w:rPr>
          <w:rFonts w:asciiTheme="minorHAnsi" w:eastAsiaTheme="minorHAnsi" w:hAnsiTheme="minorHAnsi" w:cstheme="minorBidi"/>
          <w:i/>
          <w:sz w:val="20"/>
          <w:szCs w:val="20"/>
          <w:lang w:eastAsia="en-US"/>
        </w:rPr>
        <w:t>pages 52, 53</w:t>
      </w:r>
      <w:r w:rsidR="00426825" w:rsidRPr="000E654F">
        <w:rPr>
          <w:rFonts w:asciiTheme="minorHAnsi" w:eastAsiaTheme="minorHAnsi" w:hAnsiTheme="minorHAnsi" w:cstheme="minorBidi"/>
          <w:b/>
          <w:i/>
          <w:sz w:val="20"/>
          <w:szCs w:val="20"/>
          <w:lang w:eastAsia="en-US"/>
        </w:rPr>
        <w:t xml:space="preserve"> [Attachment 10</w:t>
      </w:r>
      <w:r w:rsidR="00426825" w:rsidRPr="000E654F">
        <w:rPr>
          <w:rFonts w:asciiTheme="minorHAnsi" w:eastAsiaTheme="minorHAnsi" w:hAnsiTheme="minorHAnsi" w:cstheme="minorBidi"/>
          <w:i/>
          <w:sz w:val="20"/>
          <w:szCs w:val="20"/>
          <w:lang w:eastAsia="en-US"/>
        </w:rPr>
        <w:t>]</w:t>
      </w:r>
    </w:p>
    <w:p w14:paraId="7EA64A4F" w14:textId="77777777" w:rsidR="00426825" w:rsidRPr="00426825" w:rsidRDefault="00426825" w:rsidP="00426825">
      <w:pPr>
        <w:spacing w:line="276" w:lineRule="auto"/>
        <w:rPr>
          <w:rFonts w:asciiTheme="minorHAnsi" w:eastAsiaTheme="minorHAnsi" w:hAnsiTheme="minorHAnsi" w:cstheme="minorBidi"/>
          <w:szCs w:val="22"/>
          <w:lang w:eastAsia="en-US"/>
        </w:rPr>
      </w:pPr>
      <w:r w:rsidRPr="00426825">
        <w:rPr>
          <w:rFonts w:asciiTheme="minorHAnsi" w:eastAsiaTheme="minorHAnsi" w:hAnsiTheme="minorHAnsi" w:cstheme="minorBidi"/>
          <w:noProof/>
          <w:szCs w:val="22"/>
        </w:rPr>
        <w:drawing>
          <wp:inline distT="0" distB="0" distL="0" distR="0" wp14:anchorId="256D5DAC" wp14:editId="6FAF4A73">
            <wp:extent cx="6188710" cy="4375785"/>
            <wp:effectExtent l="0" t="0" r="254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10 - Summary Service and Asset Plans_Page_052.jpg"/>
                    <pic:cNvPicPr/>
                  </pic:nvPicPr>
                  <pic:blipFill>
                    <a:blip r:embed="rId33" cstate="screen">
                      <a:extLst>
                        <a:ext uri="{28A0092B-C50C-407E-A947-70E740481C1C}">
                          <a14:useLocalDpi xmlns:a14="http://schemas.microsoft.com/office/drawing/2010/main"/>
                        </a:ext>
                      </a:extLst>
                    </a:blip>
                    <a:stretch>
                      <a:fillRect/>
                    </a:stretch>
                  </pic:blipFill>
                  <pic:spPr>
                    <a:xfrm>
                      <a:off x="0" y="0"/>
                      <a:ext cx="6188710" cy="4375785"/>
                    </a:xfrm>
                    <a:prstGeom prst="rect">
                      <a:avLst/>
                    </a:prstGeom>
                  </pic:spPr>
                </pic:pic>
              </a:graphicData>
            </a:graphic>
          </wp:inline>
        </w:drawing>
      </w:r>
    </w:p>
    <w:p w14:paraId="4C7DBCB9" w14:textId="12921DB6" w:rsidR="00426825" w:rsidRPr="00426825" w:rsidRDefault="00426825" w:rsidP="00426825">
      <w:pPr>
        <w:spacing w:line="276" w:lineRule="auto"/>
        <w:rPr>
          <w:rFonts w:asciiTheme="minorHAnsi" w:eastAsiaTheme="minorHAnsi" w:hAnsiTheme="minorHAnsi" w:cstheme="minorBidi"/>
          <w:szCs w:val="22"/>
          <w:lang w:eastAsia="en-US"/>
        </w:rPr>
      </w:pPr>
    </w:p>
    <w:p w14:paraId="5204261B" w14:textId="43300B8A" w:rsidR="004A2652" w:rsidRPr="00306749" w:rsidRDefault="004A2652" w:rsidP="0093732D">
      <w:pPr>
        <w:pStyle w:val="Default"/>
        <w:numPr>
          <w:ilvl w:val="0"/>
          <w:numId w:val="123"/>
        </w:numPr>
        <w:spacing w:line="276" w:lineRule="auto"/>
        <w:ind w:left="426" w:hanging="426"/>
        <w:jc w:val="both"/>
        <w:rPr>
          <w:b/>
          <w:sz w:val="20"/>
          <w:szCs w:val="20"/>
          <w:u w:val="single"/>
        </w:rPr>
      </w:pPr>
      <w:r w:rsidRPr="00306749">
        <w:rPr>
          <w:b/>
          <w:sz w:val="20"/>
          <w:szCs w:val="20"/>
          <w:u w:val="single"/>
        </w:rPr>
        <w:t xml:space="preserve">Protecting and Restoring the Natural Environment </w:t>
      </w:r>
    </w:p>
    <w:p w14:paraId="23C18CE2" w14:textId="77777777" w:rsidR="00AA4270" w:rsidRDefault="00AA4270" w:rsidP="000F7567">
      <w:pPr>
        <w:spacing w:line="276" w:lineRule="auto"/>
        <w:jc w:val="both"/>
        <w:rPr>
          <w:rFonts w:ascii="Arial" w:hAnsi="Arial" w:cs="Arial"/>
          <w:bCs/>
          <w:sz w:val="20"/>
          <w:szCs w:val="20"/>
        </w:rPr>
      </w:pPr>
    </w:p>
    <w:p w14:paraId="53468B19" w14:textId="0B3A7FD8" w:rsidR="00AA4270" w:rsidRPr="00AA4270" w:rsidRDefault="00AA4270" w:rsidP="000F7567">
      <w:pPr>
        <w:spacing w:line="276" w:lineRule="auto"/>
        <w:jc w:val="both"/>
        <w:rPr>
          <w:rFonts w:ascii="Arial" w:hAnsi="Arial" w:cs="Arial"/>
          <w:bCs/>
          <w:i/>
          <w:sz w:val="20"/>
          <w:szCs w:val="20"/>
        </w:rPr>
      </w:pPr>
      <w:r>
        <w:rPr>
          <w:rFonts w:ascii="Arial" w:hAnsi="Arial" w:cs="Arial"/>
          <w:bCs/>
          <w:i/>
          <w:sz w:val="20"/>
          <w:szCs w:val="20"/>
        </w:rPr>
        <w:t>Natural Environment S</w:t>
      </w:r>
      <w:r w:rsidRPr="00AA4270">
        <w:rPr>
          <w:rFonts w:ascii="Arial" w:hAnsi="Arial" w:cs="Arial"/>
          <w:bCs/>
          <w:i/>
          <w:sz w:val="20"/>
          <w:szCs w:val="20"/>
        </w:rPr>
        <w:t>ervice</w:t>
      </w:r>
      <w:r w:rsidR="00BF2CCA">
        <w:rPr>
          <w:rFonts w:ascii="Arial" w:hAnsi="Arial" w:cs="Arial"/>
          <w:bCs/>
          <w:i/>
          <w:sz w:val="20"/>
          <w:szCs w:val="20"/>
        </w:rPr>
        <w:t xml:space="preserve"> Example</w:t>
      </w:r>
    </w:p>
    <w:p w14:paraId="0436ABB6" w14:textId="5453257B" w:rsidR="004A2652" w:rsidRDefault="004A2652" w:rsidP="000F7567">
      <w:pPr>
        <w:spacing w:line="276" w:lineRule="auto"/>
        <w:jc w:val="both"/>
        <w:rPr>
          <w:rFonts w:ascii="Arial" w:hAnsi="Arial" w:cs="Arial"/>
          <w:bCs/>
          <w:sz w:val="20"/>
          <w:szCs w:val="20"/>
        </w:rPr>
      </w:pPr>
      <w:r>
        <w:rPr>
          <w:rFonts w:ascii="Arial" w:hAnsi="Arial" w:cs="Arial"/>
          <w:bCs/>
          <w:sz w:val="20"/>
          <w:szCs w:val="20"/>
        </w:rPr>
        <w:t>T</w:t>
      </w:r>
      <w:r w:rsidRPr="0091227E">
        <w:rPr>
          <w:rFonts w:ascii="Arial" w:hAnsi="Arial" w:cs="Arial"/>
          <w:bCs/>
          <w:sz w:val="20"/>
          <w:szCs w:val="20"/>
        </w:rPr>
        <w:t>he case for continuation of the existing Environment Levy</w:t>
      </w:r>
      <w:r>
        <w:rPr>
          <w:rFonts w:ascii="Arial" w:hAnsi="Arial" w:cs="Arial"/>
          <w:bCs/>
          <w:sz w:val="20"/>
          <w:szCs w:val="20"/>
        </w:rPr>
        <w:t xml:space="preserve"> is outlined in </w:t>
      </w:r>
      <w:r w:rsidRPr="00860D7C">
        <w:rPr>
          <w:rFonts w:ascii="Arial" w:hAnsi="Arial" w:cs="Arial"/>
          <w:b/>
          <w:bCs/>
          <w:sz w:val="20"/>
          <w:szCs w:val="20"/>
        </w:rPr>
        <w:t>Attachment 5b</w:t>
      </w:r>
      <w:r>
        <w:rPr>
          <w:rFonts w:ascii="Arial" w:hAnsi="Arial" w:cs="Arial"/>
          <w:bCs/>
          <w:sz w:val="20"/>
          <w:szCs w:val="20"/>
        </w:rPr>
        <w:t xml:space="preserve"> (Information Sheet 2 – Your Environment Levy). In addition, the telephone survey of rate payers on options for </w:t>
      </w:r>
      <w:r w:rsidRPr="00651B62">
        <w:rPr>
          <w:rFonts w:ascii="Arial" w:hAnsi="Arial" w:cs="Arial"/>
          <w:bCs/>
          <w:i/>
          <w:sz w:val="20"/>
          <w:szCs w:val="20"/>
        </w:rPr>
        <w:t>Resourcing Our Future</w:t>
      </w:r>
      <w:r>
        <w:rPr>
          <w:rFonts w:ascii="Arial" w:hAnsi="Arial" w:cs="Arial"/>
          <w:bCs/>
          <w:sz w:val="20"/>
          <w:szCs w:val="20"/>
        </w:rPr>
        <w:t xml:space="preserve">, indicated that 88% of those surveyed had medium to high support for the Environment Levy being continued beyond June 2015 (see </w:t>
      </w:r>
      <w:r w:rsidRPr="00651B62">
        <w:rPr>
          <w:rFonts w:ascii="Arial" w:hAnsi="Arial" w:cs="Arial"/>
          <w:b/>
          <w:bCs/>
          <w:sz w:val="20"/>
          <w:szCs w:val="20"/>
        </w:rPr>
        <w:t>Attachment 6b</w:t>
      </w:r>
      <w:r>
        <w:rPr>
          <w:rFonts w:ascii="Arial" w:hAnsi="Arial" w:cs="Arial"/>
          <w:bCs/>
          <w:sz w:val="20"/>
          <w:szCs w:val="20"/>
        </w:rPr>
        <w:t>, page 13).</w:t>
      </w:r>
    </w:p>
    <w:p w14:paraId="406606AF" w14:textId="77777777" w:rsidR="004A2652" w:rsidRDefault="004A2652" w:rsidP="000F7567">
      <w:pPr>
        <w:autoSpaceDE w:val="0"/>
        <w:autoSpaceDN w:val="0"/>
        <w:adjustRightInd w:val="0"/>
        <w:spacing w:line="276" w:lineRule="auto"/>
        <w:jc w:val="both"/>
        <w:rPr>
          <w:rFonts w:ascii="Arial" w:eastAsiaTheme="minorEastAsia" w:hAnsi="Arial" w:cs="Arial"/>
          <w:sz w:val="20"/>
          <w:szCs w:val="20"/>
        </w:rPr>
      </w:pPr>
    </w:p>
    <w:p w14:paraId="251B4FCD" w14:textId="60A61495" w:rsidR="004A2652" w:rsidRPr="008D030C" w:rsidRDefault="004A2652" w:rsidP="000F7567">
      <w:pPr>
        <w:pStyle w:val="Default"/>
        <w:spacing w:line="276" w:lineRule="auto"/>
        <w:jc w:val="both"/>
        <w:rPr>
          <w:sz w:val="20"/>
          <w:szCs w:val="20"/>
        </w:rPr>
      </w:pPr>
      <w:r w:rsidRPr="00903A6A">
        <w:rPr>
          <w:rFonts w:eastAsiaTheme="minorEastAsia"/>
          <w:sz w:val="20"/>
          <w:szCs w:val="20"/>
        </w:rPr>
        <w:t xml:space="preserve">The quality of the natural environment is important to Blue Mountains residents. </w:t>
      </w:r>
      <w:r>
        <w:rPr>
          <w:sz w:val="20"/>
          <w:szCs w:val="20"/>
        </w:rPr>
        <w:t xml:space="preserve">In the 2014 BMCC community survey of resident satisfaction with </w:t>
      </w:r>
      <w:r w:rsidR="00651B62">
        <w:rPr>
          <w:sz w:val="20"/>
          <w:szCs w:val="20"/>
        </w:rPr>
        <w:t>C</w:t>
      </w:r>
      <w:r>
        <w:rPr>
          <w:sz w:val="20"/>
          <w:szCs w:val="20"/>
        </w:rPr>
        <w:t xml:space="preserve">ouncil service delivery, ‘Looking After Environment’ was rated as the most important service area. </w:t>
      </w:r>
    </w:p>
    <w:p w14:paraId="23D1385A" w14:textId="77777777" w:rsidR="004A2652" w:rsidRDefault="004A2652" w:rsidP="000F7567">
      <w:pPr>
        <w:autoSpaceDE w:val="0"/>
        <w:autoSpaceDN w:val="0"/>
        <w:adjustRightInd w:val="0"/>
        <w:spacing w:line="276" w:lineRule="auto"/>
        <w:jc w:val="both"/>
        <w:rPr>
          <w:rFonts w:ascii="Arial" w:hAnsi="Arial" w:cs="Arial"/>
          <w:bCs/>
          <w:sz w:val="20"/>
          <w:szCs w:val="20"/>
        </w:rPr>
      </w:pPr>
      <w:r w:rsidRPr="00903A6A">
        <w:rPr>
          <w:rFonts w:ascii="Arial" w:eastAsiaTheme="minorEastAsia" w:hAnsi="Arial" w:cs="Arial"/>
          <w:sz w:val="20"/>
          <w:szCs w:val="20"/>
        </w:rPr>
        <w:t xml:space="preserve"> </w:t>
      </w:r>
    </w:p>
    <w:p w14:paraId="2C6B961C" w14:textId="77777777" w:rsidR="004A2652" w:rsidRDefault="004A2652" w:rsidP="000F7567">
      <w:pPr>
        <w:spacing w:line="276" w:lineRule="auto"/>
        <w:jc w:val="both"/>
        <w:rPr>
          <w:rFonts w:ascii="Arial" w:hAnsi="Arial" w:cs="Arial"/>
          <w:bCs/>
          <w:sz w:val="20"/>
          <w:szCs w:val="20"/>
        </w:rPr>
      </w:pPr>
      <w:r w:rsidRPr="0091227E">
        <w:rPr>
          <w:rFonts w:ascii="Arial" w:hAnsi="Arial" w:cs="Arial"/>
          <w:bCs/>
          <w:sz w:val="20"/>
          <w:szCs w:val="20"/>
        </w:rPr>
        <w:t>The Environment Levy has raised approximately $1.5</w:t>
      </w:r>
      <w:r>
        <w:rPr>
          <w:rFonts w:ascii="Arial" w:hAnsi="Arial" w:cs="Arial"/>
          <w:bCs/>
          <w:sz w:val="20"/>
          <w:szCs w:val="20"/>
        </w:rPr>
        <w:t xml:space="preserve"> million</w:t>
      </w:r>
      <w:r w:rsidRPr="0091227E">
        <w:rPr>
          <w:rFonts w:ascii="Arial" w:hAnsi="Arial" w:cs="Arial"/>
          <w:bCs/>
          <w:sz w:val="20"/>
          <w:szCs w:val="20"/>
        </w:rPr>
        <w:t xml:space="preserve"> annually </w:t>
      </w:r>
      <w:r w:rsidRPr="0059057C">
        <w:rPr>
          <w:rFonts w:ascii="Arial" w:hAnsi="Arial" w:cs="Arial"/>
          <w:bCs/>
          <w:sz w:val="20"/>
          <w:szCs w:val="20"/>
        </w:rPr>
        <w:t xml:space="preserve">to fund environmental restoration projects across the City including: bush regeneration; support for over 500 conservation volunteers, repair of local creeks and waterways; weed control; restoration of wildlife habitats and corridors; protection of rare and unique forests, swamps, plant and animal species; environmental education; and building/maintaining natural area visitor facilities such as walking tracks and lookouts. </w:t>
      </w:r>
    </w:p>
    <w:p w14:paraId="366A799A" w14:textId="77777777" w:rsidR="004A2652" w:rsidRDefault="004A2652" w:rsidP="000F7567">
      <w:pPr>
        <w:spacing w:line="276" w:lineRule="auto"/>
        <w:jc w:val="both"/>
        <w:rPr>
          <w:rFonts w:ascii="Arial" w:hAnsi="Arial" w:cs="Arial"/>
          <w:bCs/>
          <w:sz w:val="20"/>
          <w:szCs w:val="20"/>
        </w:rPr>
      </w:pPr>
    </w:p>
    <w:p w14:paraId="2DC7E316" w14:textId="77777777" w:rsidR="004A2652" w:rsidRPr="003C0CDF" w:rsidRDefault="004A2652" w:rsidP="000F7567">
      <w:pPr>
        <w:autoSpaceDE w:val="0"/>
        <w:autoSpaceDN w:val="0"/>
        <w:adjustRightInd w:val="0"/>
        <w:spacing w:line="276" w:lineRule="auto"/>
        <w:contextualSpacing/>
        <w:jc w:val="both"/>
        <w:rPr>
          <w:rFonts w:ascii="Arial" w:hAnsi="Arial" w:cs="Arial"/>
          <w:color w:val="000000"/>
          <w:sz w:val="20"/>
          <w:szCs w:val="20"/>
        </w:rPr>
      </w:pPr>
      <w:r w:rsidRPr="003C0CDF">
        <w:rPr>
          <w:rFonts w:ascii="Arial" w:hAnsi="Arial" w:cs="Arial"/>
          <w:color w:val="000000"/>
          <w:sz w:val="20"/>
          <w:szCs w:val="20"/>
        </w:rPr>
        <w:t xml:space="preserve">The community has received significant benefits from the Environment Levy since 2005, such </w:t>
      </w:r>
      <w:r>
        <w:rPr>
          <w:rFonts w:ascii="Arial" w:hAnsi="Arial" w:cs="Arial"/>
          <w:color w:val="000000"/>
          <w:sz w:val="20"/>
          <w:szCs w:val="20"/>
        </w:rPr>
        <w:t>as cleaner creeks and waterways;</w:t>
      </w:r>
      <w:r w:rsidRPr="003C0CDF">
        <w:rPr>
          <w:rFonts w:ascii="Arial" w:hAnsi="Arial" w:cs="Arial"/>
          <w:color w:val="000000"/>
          <w:sz w:val="20"/>
          <w:szCs w:val="20"/>
        </w:rPr>
        <w:t xml:space="preserve"> up to 95% reduction in weeds s</w:t>
      </w:r>
      <w:r>
        <w:rPr>
          <w:rFonts w:ascii="Arial" w:hAnsi="Arial" w:cs="Arial"/>
          <w:color w:val="000000"/>
          <w:sz w:val="20"/>
          <w:szCs w:val="20"/>
        </w:rPr>
        <w:t xml:space="preserve">uch as gorse across the City; </w:t>
      </w:r>
      <w:r w:rsidRPr="003C0CDF">
        <w:rPr>
          <w:rFonts w:ascii="Arial" w:hAnsi="Arial" w:cs="Arial"/>
          <w:color w:val="000000"/>
          <w:sz w:val="20"/>
          <w:szCs w:val="20"/>
        </w:rPr>
        <w:t>improvements to walking tracks, lookout</w:t>
      </w:r>
      <w:r>
        <w:rPr>
          <w:rFonts w:ascii="Arial" w:hAnsi="Arial" w:cs="Arial"/>
          <w:color w:val="000000"/>
          <w:sz w:val="20"/>
          <w:szCs w:val="20"/>
        </w:rPr>
        <w:t>s, campgrounds and picnic areas;</w:t>
      </w:r>
      <w:r w:rsidRPr="003C0CDF">
        <w:rPr>
          <w:rFonts w:ascii="Arial" w:hAnsi="Arial" w:cs="Arial"/>
          <w:color w:val="000000"/>
          <w:sz w:val="20"/>
          <w:szCs w:val="20"/>
        </w:rPr>
        <w:t xml:space="preserve"> rehabilitation of creek</w:t>
      </w:r>
      <w:r>
        <w:rPr>
          <w:rFonts w:ascii="Arial" w:hAnsi="Arial" w:cs="Arial"/>
          <w:color w:val="000000"/>
          <w:sz w:val="20"/>
          <w:szCs w:val="20"/>
        </w:rPr>
        <w:t>s and bushland across 130 sites;</w:t>
      </w:r>
      <w:r w:rsidRPr="003C0CDF">
        <w:rPr>
          <w:rFonts w:ascii="Arial" w:hAnsi="Arial" w:cs="Arial"/>
          <w:color w:val="000000"/>
          <w:sz w:val="20"/>
          <w:szCs w:val="20"/>
        </w:rPr>
        <w:t xml:space="preserve"> habitat protection for threatened spe</w:t>
      </w:r>
      <w:r>
        <w:rPr>
          <w:rFonts w:ascii="Arial" w:hAnsi="Arial" w:cs="Arial"/>
          <w:color w:val="000000"/>
          <w:sz w:val="20"/>
          <w:szCs w:val="20"/>
        </w:rPr>
        <w:t xml:space="preserve">cies; </w:t>
      </w:r>
      <w:r w:rsidRPr="003C0CDF">
        <w:rPr>
          <w:rFonts w:ascii="Arial" w:hAnsi="Arial" w:cs="Arial"/>
          <w:color w:val="000000"/>
          <w:sz w:val="20"/>
          <w:szCs w:val="20"/>
        </w:rPr>
        <w:t xml:space="preserve">and over $3.6 million attracted in additional funding from </w:t>
      </w:r>
      <w:r>
        <w:rPr>
          <w:rFonts w:ascii="Arial" w:hAnsi="Arial" w:cs="Arial"/>
          <w:color w:val="000000"/>
          <w:sz w:val="20"/>
          <w:szCs w:val="20"/>
        </w:rPr>
        <w:t>other</w:t>
      </w:r>
      <w:r w:rsidRPr="003C0CDF">
        <w:rPr>
          <w:rFonts w:ascii="Arial" w:hAnsi="Arial" w:cs="Arial"/>
          <w:color w:val="000000"/>
          <w:sz w:val="20"/>
          <w:szCs w:val="20"/>
        </w:rPr>
        <w:t xml:space="preserve"> government agencies for local projects.</w:t>
      </w:r>
    </w:p>
    <w:p w14:paraId="685F8A2C" w14:textId="77777777" w:rsidR="004A2652" w:rsidRDefault="004A2652" w:rsidP="000F7567">
      <w:pPr>
        <w:pStyle w:val="Default"/>
        <w:spacing w:line="276" w:lineRule="auto"/>
        <w:jc w:val="both"/>
        <w:rPr>
          <w:sz w:val="20"/>
          <w:szCs w:val="20"/>
        </w:rPr>
      </w:pPr>
    </w:p>
    <w:p w14:paraId="3444A941" w14:textId="77777777" w:rsidR="004A2652" w:rsidRPr="008D030C" w:rsidRDefault="004A2652" w:rsidP="000F7567">
      <w:pPr>
        <w:pStyle w:val="Default"/>
        <w:spacing w:line="276" w:lineRule="auto"/>
        <w:jc w:val="both"/>
        <w:rPr>
          <w:sz w:val="20"/>
          <w:szCs w:val="20"/>
        </w:rPr>
      </w:pPr>
      <w:r>
        <w:rPr>
          <w:sz w:val="20"/>
          <w:szCs w:val="20"/>
        </w:rPr>
        <w:t>Protection and r</w:t>
      </w:r>
      <w:r w:rsidRPr="008D030C">
        <w:rPr>
          <w:sz w:val="20"/>
          <w:szCs w:val="20"/>
        </w:rPr>
        <w:t xml:space="preserve">estoration of our natural assets is </w:t>
      </w:r>
      <w:r>
        <w:rPr>
          <w:sz w:val="20"/>
          <w:szCs w:val="20"/>
        </w:rPr>
        <w:t xml:space="preserve">very </w:t>
      </w:r>
      <w:r w:rsidRPr="008D030C">
        <w:rPr>
          <w:sz w:val="20"/>
          <w:szCs w:val="20"/>
        </w:rPr>
        <w:t xml:space="preserve">important given the impacts of settlement on the Greater Blue Mountains World Heritage Area and Sydney’s drinking water catchment. It is also critical to supporting tourism and the economy of the Blue Mountains as well as the </w:t>
      </w:r>
      <w:r>
        <w:rPr>
          <w:sz w:val="20"/>
          <w:szCs w:val="20"/>
        </w:rPr>
        <w:t xml:space="preserve">health and </w:t>
      </w:r>
      <w:r w:rsidRPr="008D030C">
        <w:rPr>
          <w:sz w:val="20"/>
          <w:szCs w:val="20"/>
        </w:rPr>
        <w:t xml:space="preserve">well-being of the community. </w:t>
      </w:r>
      <w:r>
        <w:rPr>
          <w:sz w:val="20"/>
          <w:szCs w:val="20"/>
        </w:rPr>
        <w:t xml:space="preserve">The quality of the natural environment is of significant importance to Blue Mountains residents. </w:t>
      </w:r>
    </w:p>
    <w:p w14:paraId="491DF256" w14:textId="77777777" w:rsidR="004A2652" w:rsidRPr="008D030C" w:rsidRDefault="004A2652" w:rsidP="000F7567">
      <w:pPr>
        <w:pStyle w:val="Default"/>
        <w:spacing w:line="276" w:lineRule="auto"/>
        <w:jc w:val="both"/>
        <w:rPr>
          <w:sz w:val="20"/>
          <w:szCs w:val="20"/>
        </w:rPr>
      </w:pPr>
    </w:p>
    <w:p w14:paraId="1CE6B146" w14:textId="77777777" w:rsidR="004A2652" w:rsidRDefault="004A2652" w:rsidP="000F7567">
      <w:pPr>
        <w:spacing w:line="276" w:lineRule="auto"/>
        <w:jc w:val="both"/>
        <w:rPr>
          <w:rFonts w:ascii="Arial" w:hAnsi="Arial" w:cs="Arial"/>
          <w:sz w:val="20"/>
          <w:szCs w:val="20"/>
        </w:rPr>
      </w:pPr>
      <w:r w:rsidRPr="008D030C">
        <w:rPr>
          <w:rFonts w:ascii="Arial" w:hAnsi="Arial" w:cs="Arial"/>
          <w:sz w:val="20"/>
          <w:szCs w:val="20"/>
        </w:rPr>
        <w:t>Without a continuation of the Environment Levy, service levels for the natural envi</w:t>
      </w:r>
      <w:r>
        <w:rPr>
          <w:rFonts w:ascii="Arial" w:hAnsi="Arial" w:cs="Arial"/>
          <w:sz w:val="20"/>
          <w:szCs w:val="20"/>
        </w:rPr>
        <w:t>ronment will have to be reduced and the Council could only afford to run very basic programs such as limited weed control and walking track maintenance.</w:t>
      </w:r>
      <w:r w:rsidRPr="008D030C">
        <w:rPr>
          <w:rFonts w:ascii="Arial" w:hAnsi="Arial" w:cs="Arial"/>
          <w:sz w:val="20"/>
          <w:szCs w:val="20"/>
        </w:rPr>
        <w:t xml:space="preserve"> </w:t>
      </w:r>
    </w:p>
    <w:p w14:paraId="1AB5A3AD" w14:textId="77777777" w:rsidR="00651B62" w:rsidRDefault="00651B62" w:rsidP="000F7567">
      <w:pPr>
        <w:spacing w:line="276" w:lineRule="auto"/>
        <w:jc w:val="both"/>
        <w:rPr>
          <w:rFonts w:ascii="Arial" w:hAnsi="Arial" w:cs="Arial"/>
          <w:sz w:val="20"/>
          <w:szCs w:val="20"/>
        </w:rPr>
      </w:pPr>
    </w:p>
    <w:p w14:paraId="717A01C0" w14:textId="77777777" w:rsidR="00651B62" w:rsidRDefault="00651B62" w:rsidP="00651B62">
      <w:pPr>
        <w:spacing w:line="276" w:lineRule="auto"/>
        <w:jc w:val="both"/>
        <w:rPr>
          <w:rFonts w:ascii="Arial" w:hAnsi="Arial" w:cs="Arial"/>
          <w:bCs/>
          <w:sz w:val="20"/>
          <w:szCs w:val="20"/>
        </w:rPr>
      </w:pPr>
      <w:r>
        <w:rPr>
          <w:rFonts w:ascii="Arial" w:hAnsi="Arial" w:cs="Arial"/>
          <w:bCs/>
          <w:sz w:val="20"/>
          <w:szCs w:val="20"/>
        </w:rPr>
        <w:t xml:space="preserve">The Levy is </w:t>
      </w:r>
      <w:r w:rsidRPr="0091227E">
        <w:rPr>
          <w:rFonts w:ascii="Arial" w:hAnsi="Arial" w:cs="Arial"/>
          <w:bCs/>
          <w:sz w:val="20"/>
          <w:szCs w:val="20"/>
        </w:rPr>
        <w:t xml:space="preserve">due to expire in June 2015 with </w:t>
      </w:r>
      <w:r>
        <w:rPr>
          <w:rFonts w:ascii="Arial" w:hAnsi="Arial" w:cs="Arial"/>
          <w:bCs/>
          <w:sz w:val="20"/>
          <w:szCs w:val="20"/>
        </w:rPr>
        <w:t xml:space="preserve">the following </w:t>
      </w:r>
      <w:r w:rsidRPr="0091227E">
        <w:rPr>
          <w:rFonts w:ascii="Arial" w:hAnsi="Arial" w:cs="Arial"/>
          <w:bCs/>
          <w:sz w:val="20"/>
          <w:szCs w:val="20"/>
        </w:rPr>
        <w:t>potentially significant adverse impact on the natural environment</w:t>
      </w:r>
      <w:r>
        <w:rPr>
          <w:rFonts w:ascii="Arial" w:hAnsi="Arial" w:cs="Arial"/>
          <w:bCs/>
          <w:sz w:val="20"/>
          <w:szCs w:val="20"/>
        </w:rPr>
        <w:t>:</w:t>
      </w:r>
    </w:p>
    <w:p w14:paraId="70A208E0" w14:textId="77777777" w:rsidR="00651B62" w:rsidRPr="00A22274" w:rsidRDefault="00651B62" w:rsidP="00651B62">
      <w:pPr>
        <w:pStyle w:val="ListParagraph"/>
        <w:numPr>
          <w:ilvl w:val="0"/>
          <w:numId w:val="60"/>
        </w:numPr>
        <w:spacing w:line="276" w:lineRule="auto"/>
        <w:jc w:val="both"/>
        <w:rPr>
          <w:rFonts w:ascii="Arial" w:hAnsi="Arial" w:cs="Arial"/>
          <w:bCs/>
          <w:sz w:val="20"/>
          <w:szCs w:val="20"/>
        </w:rPr>
      </w:pPr>
      <w:r w:rsidRPr="00A22274">
        <w:rPr>
          <w:rFonts w:ascii="Arial" w:hAnsi="Arial" w:cs="Arial"/>
          <w:bCs/>
          <w:sz w:val="20"/>
          <w:szCs w:val="20"/>
        </w:rPr>
        <w:t xml:space="preserve"> Rapid and significant loss of environmental gains made over the last ten years </w:t>
      </w:r>
    </w:p>
    <w:p w14:paraId="133B6965" w14:textId="77777777" w:rsidR="00651B62" w:rsidRPr="00A22274" w:rsidRDefault="00651B62" w:rsidP="00651B62">
      <w:pPr>
        <w:pStyle w:val="ListParagraph"/>
        <w:numPr>
          <w:ilvl w:val="0"/>
          <w:numId w:val="60"/>
        </w:numPr>
        <w:spacing w:line="276" w:lineRule="auto"/>
        <w:jc w:val="both"/>
        <w:rPr>
          <w:rFonts w:ascii="Arial" w:hAnsi="Arial" w:cs="Arial"/>
          <w:bCs/>
          <w:sz w:val="20"/>
          <w:szCs w:val="20"/>
        </w:rPr>
      </w:pPr>
      <w:r w:rsidRPr="00A22274">
        <w:rPr>
          <w:rFonts w:ascii="Arial" w:hAnsi="Arial" w:cs="Arial"/>
          <w:bCs/>
          <w:sz w:val="20"/>
          <w:szCs w:val="20"/>
        </w:rPr>
        <w:t>Reduced capacity of Council to attract external grant</w:t>
      </w:r>
      <w:r>
        <w:rPr>
          <w:rFonts w:ascii="Arial" w:hAnsi="Arial" w:cs="Arial"/>
          <w:bCs/>
          <w:sz w:val="20"/>
          <w:szCs w:val="20"/>
        </w:rPr>
        <w:t>s</w:t>
      </w:r>
      <w:r w:rsidRPr="00A22274">
        <w:rPr>
          <w:rFonts w:ascii="Arial" w:hAnsi="Arial" w:cs="Arial"/>
          <w:bCs/>
          <w:sz w:val="20"/>
          <w:szCs w:val="20"/>
        </w:rPr>
        <w:t xml:space="preserve"> for environmental programs</w:t>
      </w:r>
    </w:p>
    <w:p w14:paraId="69471072" w14:textId="77777777" w:rsidR="00651B62" w:rsidRPr="00A22274" w:rsidRDefault="00651B62" w:rsidP="00651B62">
      <w:pPr>
        <w:pStyle w:val="ListParagraph"/>
        <w:numPr>
          <w:ilvl w:val="0"/>
          <w:numId w:val="60"/>
        </w:numPr>
        <w:spacing w:line="276" w:lineRule="auto"/>
        <w:jc w:val="both"/>
        <w:rPr>
          <w:rFonts w:ascii="Arial" w:hAnsi="Arial" w:cs="Arial"/>
          <w:bCs/>
          <w:sz w:val="20"/>
          <w:szCs w:val="20"/>
        </w:rPr>
      </w:pPr>
      <w:r w:rsidRPr="00A22274">
        <w:rPr>
          <w:rFonts w:ascii="Arial" w:hAnsi="Arial" w:cs="Arial"/>
          <w:bCs/>
          <w:sz w:val="20"/>
          <w:szCs w:val="20"/>
        </w:rPr>
        <w:t>Loss of biodiversity and associated resilience to climate change</w:t>
      </w:r>
    </w:p>
    <w:p w14:paraId="664ECD90" w14:textId="77777777" w:rsidR="00651B62" w:rsidRPr="00A22274" w:rsidRDefault="00651B62" w:rsidP="00651B62">
      <w:pPr>
        <w:pStyle w:val="ListParagraph"/>
        <w:numPr>
          <w:ilvl w:val="0"/>
          <w:numId w:val="60"/>
        </w:numPr>
        <w:spacing w:line="276" w:lineRule="auto"/>
        <w:jc w:val="both"/>
        <w:rPr>
          <w:rFonts w:ascii="Arial" w:hAnsi="Arial" w:cs="Arial"/>
          <w:bCs/>
          <w:sz w:val="20"/>
          <w:szCs w:val="20"/>
        </w:rPr>
      </w:pPr>
      <w:r w:rsidRPr="00A22274">
        <w:rPr>
          <w:rFonts w:ascii="Arial" w:hAnsi="Arial" w:cs="Arial"/>
          <w:bCs/>
          <w:sz w:val="20"/>
          <w:szCs w:val="20"/>
        </w:rPr>
        <w:t>Compromised World Heritage status</w:t>
      </w:r>
    </w:p>
    <w:p w14:paraId="7830F995" w14:textId="77777777" w:rsidR="00651B62" w:rsidRPr="00A22274" w:rsidRDefault="00651B62" w:rsidP="00651B62">
      <w:pPr>
        <w:pStyle w:val="ListParagraph"/>
        <w:numPr>
          <w:ilvl w:val="0"/>
          <w:numId w:val="60"/>
        </w:numPr>
        <w:spacing w:line="276" w:lineRule="auto"/>
        <w:jc w:val="both"/>
        <w:rPr>
          <w:rFonts w:ascii="Arial" w:hAnsi="Arial" w:cs="Arial"/>
          <w:bCs/>
          <w:sz w:val="20"/>
          <w:szCs w:val="20"/>
        </w:rPr>
      </w:pPr>
      <w:r w:rsidRPr="00A22274">
        <w:rPr>
          <w:rFonts w:ascii="Arial" w:hAnsi="Arial" w:cs="Arial"/>
          <w:bCs/>
          <w:sz w:val="20"/>
          <w:szCs w:val="20"/>
        </w:rPr>
        <w:t>Loss of nature tourism values and associated reduction in visitation, and impacts on the local economy</w:t>
      </w:r>
    </w:p>
    <w:p w14:paraId="09E3B507" w14:textId="77777777" w:rsidR="00651B62" w:rsidRPr="00A22274" w:rsidRDefault="00651B62" w:rsidP="00651B62">
      <w:pPr>
        <w:pStyle w:val="ListParagraph"/>
        <w:numPr>
          <w:ilvl w:val="0"/>
          <w:numId w:val="60"/>
        </w:numPr>
        <w:spacing w:line="276" w:lineRule="auto"/>
        <w:jc w:val="both"/>
        <w:rPr>
          <w:rFonts w:ascii="Arial" w:hAnsi="Arial" w:cs="Arial"/>
          <w:bCs/>
          <w:sz w:val="20"/>
          <w:szCs w:val="20"/>
        </w:rPr>
      </w:pPr>
      <w:r w:rsidRPr="00A22274">
        <w:rPr>
          <w:rFonts w:ascii="Arial" w:hAnsi="Arial" w:cs="Arial"/>
          <w:bCs/>
          <w:sz w:val="20"/>
          <w:szCs w:val="20"/>
        </w:rPr>
        <w:t>Land degradation, including erosion and sedimentation</w:t>
      </w:r>
    </w:p>
    <w:p w14:paraId="7FA49698" w14:textId="77777777" w:rsidR="00651B62" w:rsidRPr="00A22274" w:rsidRDefault="00651B62" w:rsidP="00651B62">
      <w:pPr>
        <w:pStyle w:val="ListParagraph"/>
        <w:numPr>
          <w:ilvl w:val="0"/>
          <w:numId w:val="60"/>
        </w:numPr>
        <w:spacing w:line="276" w:lineRule="auto"/>
        <w:jc w:val="both"/>
        <w:rPr>
          <w:rFonts w:ascii="Arial" w:hAnsi="Arial" w:cs="Arial"/>
          <w:bCs/>
          <w:sz w:val="20"/>
          <w:szCs w:val="20"/>
        </w:rPr>
      </w:pPr>
      <w:r w:rsidRPr="00A22274">
        <w:rPr>
          <w:rFonts w:ascii="Arial" w:hAnsi="Arial" w:cs="Arial"/>
          <w:bCs/>
          <w:sz w:val="20"/>
          <w:szCs w:val="20"/>
        </w:rPr>
        <w:t>Increase in pest species and associated environmental, social and economic impacts</w:t>
      </w:r>
    </w:p>
    <w:p w14:paraId="6832493E" w14:textId="77777777" w:rsidR="00651B62" w:rsidRPr="00A22274" w:rsidRDefault="00651B62" w:rsidP="00651B62">
      <w:pPr>
        <w:pStyle w:val="ListParagraph"/>
        <w:numPr>
          <w:ilvl w:val="0"/>
          <w:numId w:val="60"/>
        </w:numPr>
        <w:spacing w:line="276" w:lineRule="auto"/>
        <w:jc w:val="both"/>
        <w:rPr>
          <w:rFonts w:ascii="Arial" w:hAnsi="Arial" w:cs="Arial"/>
          <w:bCs/>
          <w:sz w:val="20"/>
          <w:szCs w:val="20"/>
        </w:rPr>
      </w:pPr>
      <w:r w:rsidRPr="00A22274">
        <w:rPr>
          <w:rFonts w:ascii="Arial" w:hAnsi="Arial" w:cs="Arial"/>
          <w:bCs/>
          <w:sz w:val="20"/>
          <w:szCs w:val="20"/>
        </w:rPr>
        <w:t>Reduced water quality</w:t>
      </w:r>
    </w:p>
    <w:p w14:paraId="6C30AB4F" w14:textId="77777777" w:rsidR="00651B62" w:rsidRPr="00A22274" w:rsidRDefault="00651B62" w:rsidP="00651B62">
      <w:pPr>
        <w:pStyle w:val="ListParagraph"/>
        <w:numPr>
          <w:ilvl w:val="0"/>
          <w:numId w:val="60"/>
        </w:numPr>
        <w:spacing w:line="276" w:lineRule="auto"/>
        <w:jc w:val="both"/>
        <w:rPr>
          <w:rFonts w:ascii="Arial" w:hAnsi="Arial" w:cs="Arial"/>
          <w:bCs/>
          <w:sz w:val="20"/>
          <w:szCs w:val="20"/>
        </w:rPr>
      </w:pPr>
      <w:r w:rsidRPr="00A22274">
        <w:rPr>
          <w:rFonts w:ascii="Arial" w:hAnsi="Arial" w:cs="Arial"/>
          <w:bCs/>
          <w:sz w:val="20"/>
          <w:szCs w:val="20"/>
        </w:rPr>
        <w:t xml:space="preserve">A decline in the contribution </w:t>
      </w:r>
      <w:r>
        <w:rPr>
          <w:rFonts w:ascii="Arial" w:hAnsi="Arial" w:cs="Arial"/>
          <w:bCs/>
          <w:sz w:val="20"/>
          <w:szCs w:val="20"/>
        </w:rPr>
        <w:t>of</w:t>
      </w:r>
      <w:r w:rsidRPr="00A22274">
        <w:rPr>
          <w:rFonts w:ascii="Arial" w:hAnsi="Arial" w:cs="Arial"/>
          <w:bCs/>
          <w:sz w:val="20"/>
          <w:szCs w:val="20"/>
        </w:rPr>
        <w:t xml:space="preserve"> community towards management of natural areas, and</w:t>
      </w:r>
    </w:p>
    <w:p w14:paraId="2228E319" w14:textId="77777777" w:rsidR="00651B62" w:rsidRPr="00A22274" w:rsidRDefault="00651B62" w:rsidP="00651B62">
      <w:pPr>
        <w:pStyle w:val="ListParagraph"/>
        <w:numPr>
          <w:ilvl w:val="0"/>
          <w:numId w:val="60"/>
        </w:numPr>
        <w:spacing w:line="276" w:lineRule="auto"/>
        <w:jc w:val="both"/>
        <w:rPr>
          <w:rFonts w:ascii="Arial" w:hAnsi="Arial" w:cs="Arial"/>
          <w:bCs/>
          <w:sz w:val="20"/>
          <w:szCs w:val="20"/>
        </w:rPr>
      </w:pPr>
      <w:r w:rsidRPr="00A22274">
        <w:rPr>
          <w:rFonts w:ascii="Arial" w:hAnsi="Arial" w:cs="Arial"/>
          <w:bCs/>
          <w:sz w:val="20"/>
          <w:szCs w:val="20"/>
        </w:rPr>
        <w:t>Increased future environmental rehabilitation costs.</w:t>
      </w:r>
    </w:p>
    <w:p w14:paraId="159CF10E" w14:textId="77777777" w:rsidR="00651B62" w:rsidRDefault="00651B62" w:rsidP="00651B62">
      <w:pPr>
        <w:spacing w:line="276" w:lineRule="auto"/>
        <w:jc w:val="both"/>
        <w:rPr>
          <w:rFonts w:ascii="Arial" w:hAnsi="Arial" w:cs="Arial"/>
          <w:bCs/>
          <w:sz w:val="20"/>
          <w:szCs w:val="20"/>
        </w:rPr>
      </w:pPr>
    </w:p>
    <w:p w14:paraId="40D857B0" w14:textId="77777777" w:rsidR="00651B62" w:rsidRDefault="00651B62" w:rsidP="00651B62">
      <w:pPr>
        <w:spacing w:line="276" w:lineRule="auto"/>
        <w:jc w:val="both"/>
        <w:rPr>
          <w:rFonts w:ascii="Arial" w:hAnsi="Arial" w:cs="Arial"/>
          <w:bCs/>
          <w:sz w:val="20"/>
          <w:szCs w:val="20"/>
        </w:rPr>
      </w:pPr>
      <w:r w:rsidRPr="00A22274">
        <w:rPr>
          <w:rFonts w:ascii="Arial" w:hAnsi="Arial" w:cs="Arial"/>
          <w:bCs/>
          <w:sz w:val="20"/>
          <w:szCs w:val="20"/>
        </w:rPr>
        <w:t xml:space="preserve">There are also a </w:t>
      </w:r>
      <w:r>
        <w:rPr>
          <w:rFonts w:ascii="Arial" w:hAnsi="Arial" w:cs="Arial"/>
          <w:bCs/>
          <w:sz w:val="20"/>
          <w:szCs w:val="20"/>
        </w:rPr>
        <w:t xml:space="preserve">range </w:t>
      </w:r>
      <w:r w:rsidRPr="00A22274">
        <w:rPr>
          <w:rFonts w:ascii="Arial" w:hAnsi="Arial" w:cs="Arial"/>
          <w:bCs/>
          <w:sz w:val="20"/>
          <w:szCs w:val="20"/>
        </w:rPr>
        <w:t>of social</w:t>
      </w:r>
      <w:r>
        <w:rPr>
          <w:rFonts w:ascii="Arial" w:hAnsi="Arial" w:cs="Arial"/>
          <w:bCs/>
          <w:sz w:val="20"/>
          <w:szCs w:val="20"/>
        </w:rPr>
        <w:t>, cultural</w:t>
      </w:r>
      <w:r w:rsidRPr="00A22274">
        <w:rPr>
          <w:rFonts w:ascii="Arial" w:hAnsi="Arial" w:cs="Arial"/>
          <w:bCs/>
          <w:sz w:val="20"/>
          <w:szCs w:val="20"/>
        </w:rPr>
        <w:t xml:space="preserve"> and economic benefits </w:t>
      </w:r>
      <w:r>
        <w:rPr>
          <w:rFonts w:ascii="Arial" w:hAnsi="Arial" w:cs="Arial"/>
          <w:bCs/>
          <w:sz w:val="20"/>
          <w:szCs w:val="20"/>
        </w:rPr>
        <w:t xml:space="preserve">that Blue Mountains </w:t>
      </w:r>
      <w:r w:rsidRPr="00A22274">
        <w:rPr>
          <w:rFonts w:ascii="Arial" w:hAnsi="Arial" w:cs="Arial"/>
          <w:bCs/>
          <w:sz w:val="20"/>
          <w:szCs w:val="20"/>
        </w:rPr>
        <w:t>natural assets provide to the local community</w:t>
      </w:r>
      <w:r>
        <w:rPr>
          <w:rFonts w:ascii="Arial" w:hAnsi="Arial" w:cs="Arial"/>
          <w:bCs/>
          <w:sz w:val="20"/>
          <w:szCs w:val="20"/>
        </w:rPr>
        <w:t xml:space="preserve"> and to the region</w:t>
      </w:r>
      <w:r w:rsidRPr="00A22274">
        <w:rPr>
          <w:rFonts w:ascii="Arial" w:hAnsi="Arial" w:cs="Arial"/>
          <w:bCs/>
          <w:sz w:val="20"/>
          <w:szCs w:val="20"/>
        </w:rPr>
        <w:t xml:space="preserve">. Without continued investment, these benefits will degrade over time. </w:t>
      </w:r>
    </w:p>
    <w:p w14:paraId="46A8DE38" w14:textId="77777777" w:rsidR="00651B62" w:rsidRDefault="00651B62" w:rsidP="00651B62">
      <w:pPr>
        <w:spacing w:line="276" w:lineRule="auto"/>
        <w:jc w:val="both"/>
        <w:rPr>
          <w:rFonts w:ascii="Arial" w:hAnsi="Arial" w:cs="Arial"/>
          <w:bCs/>
          <w:sz w:val="20"/>
          <w:szCs w:val="20"/>
        </w:rPr>
      </w:pPr>
    </w:p>
    <w:p w14:paraId="5761D7AB" w14:textId="77777777" w:rsidR="00651B62" w:rsidRDefault="00651B62" w:rsidP="00651B62">
      <w:pPr>
        <w:spacing w:line="276" w:lineRule="auto"/>
        <w:jc w:val="both"/>
        <w:rPr>
          <w:rFonts w:ascii="Arial" w:hAnsi="Arial" w:cs="Arial"/>
          <w:bCs/>
          <w:sz w:val="20"/>
          <w:szCs w:val="20"/>
        </w:rPr>
      </w:pPr>
      <w:r>
        <w:rPr>
          <w:rFonts w:ascii="Arial" w:hAnsi="Arial" w:cs="Arial"/>
          <w:bCs/>
          <w:sz w:val="20"/>
          <w:szCs w:val="20"/>
        </w:rPr>
        <w:t xml:space="preserve">The Environment Levy has been particularly important in the context of supporting the Council and the NSW State Government in meeting standards set by UNESCO relative to supporting the declaration of the Greater Blue Mountains World Heritage Area. </w:t>
      </w:r>
    </w:p>
    <w:p w14:paraId="5F9BA658" w14:textId="77777777" w:rsidR="00651B62" w:rsidRDefault="00651B62" w:rsidP="00651B62">
      <w:pPr>
        <w:spacing w:line="276" w:lineRule="auto"/>
        <w:jc w:val="both"/>
        <w:rPr>
          <w:rFonts w:ascii="Arial" w:hAnsi="Arial" w:cs="Arial"/>
          <w:bCs/>
          <w:sz w:val="20"/>
          <w:szCs w:val="20"/>
        </w:rPr>
      </w:pPr>
    </w:p>
    <w:p w14:paraId="71495508" w14:textId="77777777" w:rsidR="00651B62" w:rsidRDefault="00651B62" w:rsidP="00651B62">
      <w:pPr>
        <w:spacing w:line="276" w:lineRule="auto"/>
        <w:jc w:val="both"/>
        <w:rPr>
          <w:rFonts w:ascii="Arial" w:hAnsi="Arial" w:cs="Arial"/>
          <w:bCs/>
          <w:sz w:val="20"/>
          <w:szCs w:val="20"/>
        </w:rPr>
      </w:pPr>
      <w:r>
        <w:rPr>
          <w:rFonts w:ascii="Arial" w:hAnsi="Arial" w:cs="Arial"/>
          <w:bCs/>
          <w:sz w:val="20"/>
          <w:szCs w:val="20"/>
        </w:rPr>
        <w:t xml:space="preserve">In the late 1990s the Council received approx. $15 million from the State Government to implement a critically required Urban Run-Off Control Program to prevent deterioration of World Heritage Area catchments from pollutants and sediments. The Environment Levy was an important initiative to ensure results achieved from the Urban Run-Off Control Program were not lost but rather maintained and further built upon.  </w:t>
      </w:r>
    </w:p>
    <w:p w14:paraId="255016A8" w14:textId="77777777" w:rsidR="00651B62" w:rsidRDefault="00651B62" w:rsidP="00651B62">
      <w:pPr>
        <w:spacing w:line="276" w:lineRule="auto"/>
        <w:jc w:val="both"/>
        <w:rPr>
          <w:rFonts w:ascii="Arial" w:hAnsi="Arial" w:cs="Arial"/>
          <w:bCs/>
          <w:sz w:val="20"/>
          <w:szCs w:val="20"/>
        </w:rPr>
      </w:pPr>
    </w:p>
    <w:p w14:paraId="0C820386" w14:textId="77777777" w:rsidR="00651B62" w:rsidRDefault="00651B62" w:rsidP="00651B62">
      <w:pPr>
        <w:spacing w:line="276" w:lineRule="auto"/>
        <w:jc w:val="both"/>
        <w:rPr>
          <w:rFonts w:ascii="Arial" w:hAnsi="Arial" w:cs="Arial"/>
          <w:bCs/>
          <w:sz w:val="20"/>
          <w:szCs w:val="20"/>
        </w:rPr>
      </w:pPr>
      <w:r>
        <w:rPr>
          <w:rFonts w:ascii="Arial" w:hAnsi="Arial" w:cs="Arial"/>
          <w:bCs/>
          <w:sz w:val="20"/>
          <w:szCs w:val="20"/>
        </w:rPr>
        <w:t xml:space="preserve">Without a continuation of the current Levy, extensive achievements and ground made in many areas would be significantly lost bring into question the millions invested to date. </w:t>
      </w:r>
    </w:p>
    <w:p w14:paraId="4554DAD8" w14:textId="77777777" w:rsidR="00651B62" w:rsidRDefault="00651B62" w:rsidP="000F7567">
      <w:pPr>
        <w:spacing w:line="276" w:lineRule="auto"/>
        <w:jc w:val="both"/>
        <w:rPr>
          <w:rFonts w:ascii="Arial" w:hAnsi="Arial" w:cs="Arial"/>
          <w:sz w:val="20"/>
          <w:szCs w:val="20"/>
        </w:rPr>
      </w:pPr>
    </w:p>
    <w:p w14:paraId="3174D05C" w14:textId="5E854859" w:rsidR="008F361C" w:rsidRDefault="008F361C">
      <w:pPr>
        <w:rPr>
          <w:rFonts w:ascii="Arial" w:hAnsi="Arial" w:cs="Arial"/>
          <w:bCs/>
          <w:noProof/>
          <w:sz w:val="20"/>
          <w:szCs w:val="20"/>
        </w:rPr>
      </w:pPr>
    </w:p>
    <w:p w14:paraId="655430BE" w14:textId="77777777" w:rsidR="00E92457" w:rsidRDefault="00E92457" w:rsidP="00287166">
      <w:pPr>
        <w:spacing w:line="276" w:lineRule="auto"/>
        <w:rPr>
          <w:rFonts w:asciiTheme="minorHAnsi" w:eastAsiaTheme="minorHAnsi" w:hAnsiTheme="minorHAnsi" w:cstheme="minorBidi"/>
          <w:b/>
          <w:szCs w:val="22"/>
          <w:lang w:eastAsia="en-US"/>
        </w:rPr>
      </w:pPr>
    </w:p>
    <w:p w14:paraId="1C962515" w14:textId="7E40B7A8" w:rsidR="00287166" w:rsidRPr="000E654F" w:rsidRDefault="00287166" w:rsidP="00287166">
      <w:pPr>
        <w:spacing w:line="276" w:lineRule="auto"/>
        <w:rPr>
          <w:rFonts w:asciiTheme="minorHAnsi" w:eastAsiaTheme="minorHAnsi" w:hAnsiTheme="minorHAnsi" w:cstheme="minorBidi"/>
          <w:i/>
          <w:sz w:val="20"/>
          <w:szCs w:val="20"/>
          <w:lang w:eastAsia="en-US"/>
        </w:rPr>
      </w:pPr>
      <w:r w:rsidRPr="000E654F">
        <w:rPr>
          <w:rFonts w:asciiTheme="minorHAnsi" w:eastAsiaTheme="minorHAnsi" w:hAnsiTheme="minorHAnsi" w:cstheme="minorBidi"/>
          <w:b/>
          <w:i/>
          <w:sz w:val="20"/>
          <w:szCs w:val="20"/>
          <w:lang w:eastAsia="en-US"/>
        </w:rPr>
        <w:t xml:space="preserve">Environment - Service Dashboards Sample Extract </w:t>
      </w:r>
      <w:r w:rsidRPr="000E654F">
        <w:rPr>
          <w:rFonts w:asciiTheme="minorHAnsi" w:eastAsiaTheme="minorHAnsi" w:hAnsiTheme="minorHAnsi" w:cstheme="minorBidi"/>
          <w:i/>
          <w:sz w:val="20"/>
          <w:szCs w:val="20"/>
          <w:lang w:eastAsia="en-US"/>
        </w:rPr>
        <w:t>pages 13, 14, 15 &amp; 21</w:t>
      </w:r>
      <w:r w:rsidRPr="000E654F">
        <w:rPr>
          <w:rFonts w:asciiTheme="minorHAnsi" w:eastAsiaTheme="minorHAnsi" w:hAnsiTheme="minorHAnsi" w:cstheme="minorBidi"/>
          <w:b/>
          <w:i/>
          <w:sz w:val="20"/>
          <w:szCs w:val="20"/>
          <w:lang w:eastAsia="en-US"/>
        </w:rPr>
        <w:t xml:space="preserve"> [Attachment 10</w:t>
      </w:r>
      <w:r w:rsidRPr="000E654F">
        <w:rPr>
          <w:rFonts w:asciiTheme="minorHAnsi" w:eastAsiaTheme="minorHAnsi" w:hAnsiTheme="minorHAnsi" w:cstheme="minorBidi"/>
          <w:i/>
          <w:sz w:val="20"/>
          <w:szCs w:val="20"/>
          <w:lang w:eastAsia="en-US"/>
        </w:rPr>
        <w:t>]</w:t>
      </w:r>
    </w:p>
    <w:p w14:paraId="47195AAA" w14:textId="13D293B5" w:rsidR="00287166" w:rsidRPr="00287166" w:rsidRDefault="00E92457" w:rsidP="00287166">
      <w:pPr>
        <w:spacing w:line="276" w:lineRule="auto"/>
        <w:rPr>
          <w:rFonts w:asciiTheme="minorHAnsi" w:eastAsiaTheme="minorHAnsi" w:hAnsiTheme="minorHAnsi" w:cstheme="minorBidi"/>
          <w:b/>
          <w:szCs w:val="22"/>
          <w:lang w:eastAsia="en-US"/>
        </w:rPr>
      </w:pPr>
      <w:r w:rsidRPr="00287166">
        <w:rPr>
          <w:rFonts w:asciiTheme="minorHAnsi" w:eastAsiaTheme="minorHAnsi" w:hAnsiTheme="minorHAnsi" w:cstheme="minorBidi"/>
          <w:b/>
          <w:noProof/>
          <w:szCs w:val="22"/>
        </w:rPr>
        <w:drawing>
          <wp:anchor distT="0" distB="0" distL="114300" distR="114300" simplePos="0" relativeHeight="251898880" behindDoc="1" locked="0" layoutInCell="1" allowOverlap="1" wp14:anchorId="0017551D" wp14:editId="10793AFB">
            <wp:simplePos x="0" y="0"/>
            <wp:positionH relativeFrom="column">
              <wp:posOffset>-127635</wp:posOffset>
            </wp:positionH>
            <wp:positionV relativeFrom="paragraph">
              <wp:posOffset>213360</wp:posOffset>
            </wp:positionV>
            <wp:extent cx="6057900" cy="4283075"/>
            <wp:effectExtent l="0" t="0" r="0" b="3175"/>
            <wp:wrapTight wrapText="bothSides">
              <wp:wrapPolygon edited="0">
                <wp:start x="0" y="0"/>
                <wp:lineTo x="0" y="21520"/>
                <wp:lineTo x="21532" y="21520"/>
                <wp:lineTo x="21532"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10 - Summary Service and Asset Plans_Page_013.jpg"/>
                    <pic:cNvPicPr/>
                  </pic:nvPicPr>
                  <pic:blipFill>
                    <a:blip r:embed="rId34" cstate="screen">
                      <a:extLst>
                        <a:ext uri="{28A0092B-C50C-407E-A947-70E740481C1C}">
                          <a14:useLocalDpi xmlns:a14="http://schemas.microsoft.com/office/drawing/2010/main"/>
                        </a:ext>
                      </a:extLst>
                    </a:blip>
                    <a:stretch>
                      <a:fillRect/>
                    </a:stretch>
                  </pic:blipFill>
                  <pic:spPr>
                    <a:xfrm>
                      <a:off x="0" y="0"/>
                      <a:ext cx="6057900" cy="4283075"/>
                    </a:xfrm>
                    <a:prstGeom prst="rect">
                      <a:avLst/>
                    </a:prstGeom>
                  </pic:spPr>
                </pic:pic>
              </a:graphicData>
            </a:graphic>
            <wp14:sizeRelH relativeFrom="page">
              <wp14:pctWidth>0</wp14:pctWidth>
            </wp14:sizeRelH>
            <wp14:sizeRelV relativeFrom="page">
              <wp14:pctHeight>0</wp14:pctHeight>
            </wp14:sizeRelV>
          </wp:anchor>
        </w:drawing>
      </w:r>
    </w:p>
    <w:p w14:paraId="32B802E7" w14:textId="77777777" w:rsidR="00287166" w:rsidRPr="00287166" w:rsidRDefault="00287166" w:rsidP="00287166">
      <w:pPr>
        <w:spacing w:line="276" w:lineRule="auto"/>
        <w:rPr>
          <w:rFonts w:asciiTheme="minorHAnsi" w:eastAsiaTheme="minorHAnsi" w:hAnsiTheme="minorHAnsi" w:cstheme="minorBidi"/>
          <w:b/>
          <w:szCs w:val="22"/>
          <w:lang w:eastAsia="en-US"/>
        </w:rPr>
      </w:pPr>
      <w:r w:rsidRPr="00287166">
        <w:rPr>
          <w:rFonts w:asciiTheme="minorHAnsi" w:eastAsiaTheme="minorHAnsi" w:hAnsiTheme="minorHAnsi" w:cstheme="minorBidi"/>
          <w:b/>
          <w:noProof/>
          <w:szCs w:val="22"/>
        </w:rPr>
        <w:drawing>
          <wp:inline distT="0" distB="0" distL="0" distR="0" wp14:anchorId="29E9DEA1" wp14:editId="0C0E88CE">
            <wp:extent cx="6188710" cy="4375785"/>
            <wp:effectExtent l="0" t="0" r="254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10 - Summary Service and Asset Plans_Page_014.jpg"/>
                    <pic:cNvPicPr/>
                  </pic:nvPicPr>
                  <pic:blipFill>
                    <a:blip r:embed="rId35" cstate="screen">
                      <a:extLst>
                        <a:ext uri="{28A0092B-C50C-407E-A947-70E740481C1C}">
                          <a14:useLocalDpi xmlns:a14="http://schemas.microsoft.com/office/drawing/2010/main"/>
                        </a:ext>
                      </a:extLst>
                    </a:blip>
                    <a:stretch>
                      <a:fillRect/>
                    </a:stretch>
                  </pic:blipFill>
                  <pic:spPr>
                    <a:xfrm>
                      <a:off x="0" y="0"/>
                      <a:ext cx="6188710" cy="4375785"/>
                    </a:xfrm>
                    <a:prstGeom prst="rect">
                      <a:avLst/>
                    </a:prstGeom>
                  </pic:spPr>
                </pic:pic>
              </a:graphicData>
            </a:graphic>
          </wp:inline>
        </w:drawing>
      </w:r>
    </w:p>
    <w:p w14:paraId="585414E9" w14:textId="77777777" w:rsidR="00287166" w:rsidRPr="00287166" w:rsidRDefault="00287166" w:rsidP="00287166">
      <w:pPr>
        <w:spacing w:line="276" w:lineRule="auto"/>
        <w:rPr>
          <w:rFonts w:asciiTheme="minorHAnsi" w:eastAsiaTheme="minorHAnsi" w:hAnsiTheme="minorHAnsi" w:cstheme="minorBidi"/>
          <w:b/>
          <w:szCs w:val="22"/>
          <w:lang w:eastAsia="en-US"/>
        </w:rPr>
      </w:pPr>
      <w:r w:rsidRPr="00287166">
        <w:rPr>
          <w:rFonts w:asciiTheme="minorHAnsi" w:eastAsiaTheme="minorHAnsi" w:hAnsiTheme="minorHAnsi" w:cstheme="minorBidi"/>
          <w:b/>
          <w:noProof/>
          <w:szCs w:val="22"/>
        </w:rPr>
        <w:drawing>
          <wp:anchor distT="0" distB="0" distL="114300" distR="114300" simplePos="0" relativeHeight="251899904" behindDoc="1" locked="0" layoutInCell="1" allowOverlap="1" wp14:anchorId="25DC6A82" wp14:editId="6F2500B9">
            <wp:simplePos x="0" y="0"/>
            <wp:positionH relativeFrom="column">
              <wp:posOffset>-635</wp:posOffset>
            </wp:positionH>
            <wp:positionV relativeFrom="paragraph">
              <wp:posOffset>174625</wp:posOffset>
            </wp:positionV>
            <wp:extent cx="5939790" cy="4199255"/>
            <wp:effectExtent l="0" t="0" r="3810" b="0"/>
            <wp:wrapTight wrapText="bothSides">
              <wp:wrapPolygon edited="0">
                <wp:start x="0" y="0"/>
                <wp:lineTo x="0" y="21460"/>
                <wp:lineTo x="21545" y="21460"/>
                <wp:lineTo x="21545"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10 - Summary Service and Asset Plans_Page_015.jpg"/>
                    <pic:cNvPicPr/>
                  </pic:nvPicPr>
                  <pic:blipFill>
                    <a:blip r:embed="rId36" cstate="screen">
                      <a:extLst>
                        <a:ext uri="{28A0092B-C50C-407E-A947-70E740481C1C}">
                          <a14:useLocalDpi xmlns:a14="http://schemas.microsoft.com/office/drawing/2010/main"/>
                        </a:ext>
                      </a:extLst>
                    </a:blip>
                    <a:stretch>
                      <a:fillRect/>
                    </a:stretch>
                  </pic:blipFill>
                  <pic:spPr>
                    <a:xfrm>
                      <a:off x="0" y="0"/>
                      <a:ext cx="5939790" cy="4199255"/>
                    </a:xfrm>
                    <a:prstGeom prst="rect">
                      <a:avLst/>
                    </a:prstGeom>
                  </pic:spPr>
                </pic:pic>
              </a:graphicData>
            </a:graphic>
            <wp14:sizeRelH relativeFrom="page">
              <wp14:pctWidth>0</wp14:pctWidth>
            </wp14:sizeRelH>
            <wp14:sizeRelV relativeFrom="page">
              <wp14:pctHeight>0</wp14:pctHeight>
            </wp14:sizeRelV>
          </wp:anchor>
        </w:drawing>
      </w:r>
    </w:p>
    <w:p w14:paraId="2CB302F1" w14:textId="77777777" w:rsidR="00287166" w:rsidRPr="00287166" w:rsidRDefault="00287166" w:rsidP="00287166">
      <w:pPr>
        <w:spacing w:line="276" w:lineRule="auto"/>
        <w:rPr>
          <w:rFonts w:asciiTheme="minorHAnsi" w:eastAsiaTheme="minorHAnsi" w:hAnsiTheme="minorHAnsi" w:cstheme="minorBidi"/>
          <w:b/>
          <w:szCs w:val="22"/>
          <w:lang w:eastAsia="en-US"/>
        </w:rPr>
      </w:pPr>
      <w:r w:rsidRPr="00287166">
        <w:rPr>
          <w:rFonts w:asciiTheme="minorHAnsi" w:eastAsiaTheme="minorHAnsi" w:hAnsiTheme="minorHAnsi" w:cstheme="minorBidi"/>
          <w:b/>
          <w:noProof/>
          <w:szCs w:val="22"/>
        </w:rPr>
        <w:drawing>
          <wp:inline distT="0" distB="0" distL="0" distR="0" wp14:anchorId="09599D93" wp14:editId="4DFED569">
            <wp:extent cx="6188710" cy="4375150"/>
            <wp:effectExtent l="0" t="0" r="254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10 - Summary Service and Asset Plans_Page_021.jpg"/>
                    <pic:cNvPicPr/>
                  </pic:nvPicPr>
                  <pic:blipFill>
                    <a:blip r:embed="rId37" cstate="screen">
                      <a:extLst>
                        <a:ext uri="{28A0092B-C50C-407E-A947-70E740481C1C}">
                          <a14:useLocalDpi xmlns:a14="http://schemas.microsoft.com/office/drawing/2010/main"/>
                        </a:ext>
                      </a:extLst>
                    </a:blip>
                    <a:stretch>
                      <a:fillRect/>
                    </a:stretch>
                  </pic:blipFill>
                  <pic:spPr>
                    <a:xfrm>
                      <a:off x="0" y="0"/>
                      <a:ext cx="6188710" cy="4375150"/>
                    </a:xfrm>
                    <a:prstGeom prst="rect">
                      <a:avLst/>
                    </a:prstGeom>
                  </pic:spPr>
                </pic:pic>
              </a:graphicData>
            </a:graphic>
          </wp:inline>
        </w:drawing>
      </w:r>
    </w:p>
    <w:p w14:paraId="50227D33" w14:textId="3A357266" w:rsidR="004A2652" w:rsidRDefault="004A2652" w:rsidP="00974015">
      <w:pPr>
        <w:spacing w:after="200" w:line="276" w:lineRule="auto"/>
        <w:rPr>
          <w:rFonts w:ascii="Arial" w:eastAsiaTheme="minorEastAsia" w:hAnsi="Arial" w:cs="Arial"/>
          <w:sz w:val="20"/>
          <w:szCs w:val="20"/>
          <w:lang w:eastAsia="en-US"/>
        </w:rPr>
      </w:pPr>
    </w:p>
    <w:p w14:paraId="5629E412" w14:textId="77777777" w:rsidR="004A2652" w:rsidRPr="00306749" w:rsidRDefault="004A2652" w:rsidP="0093732D">
      <w:pPr>
        <w:pStyle w:val="Default"/>
        <w:numPr>
          <w:ilvl w:val="0"/>
          <w:numId w:val="123"/>
        </w:numPr>
        <w:spacing w:line="276" w:lineRule="auto"/>
        <w:ind w:left="426" w:hanging="426"/>
        <w:jc w:val="both"/>
        <w:rPr>
          <w:b/>
          <w:sz w:val="20"/>
          <w:szCs w:val="20"/>
          <w:u w:val="single"/>
        </w:rPr>
      </w:pPr>
      <w:r w:rsidRPr="00306749">
        <w:rPr>
          <w:b/>
          <w:sz w:val="20"/>
          <w:szCs w:val="20"/>
          <w:u w:val="single"/>
        </w:rPr>
        <w:t>Need to Improve Emergency Preparedness and Response</w:t>
      </w:r>
    </w:p>
    <w:p w14:paraId="6C9190A3" w14:textId="5E4741FB" w:rsidR="00AA4270" w:rsidRPr="00AA4270" w:rsidRDefault="00AA4270" w:rsidP="00306749">
      <w:pPr>
        <w:keepNext/>
        <w:keepLines/>
        <w:spacing w:before="200" w:line="276" w:lineRule="auto"/>
        <w:jc w:val="both"/>
        <w:outlineLvl w:val="3"/>
        <w:rPr>
          <w:rFonts w:ascii="Arial" w:eastAsiaTheme="majorEastAsia" w:hAnsi="Arial" w:cs="Arial"/>
          <w:bCs/>
          <w:i/>
          <w:iCs/>
          <w:sz w:val="20"/>
          <w:szCs w:val="20"/>
          <w:lang w:eastAsia="en-US"/>
        </w:rPr>
      </w:pPr>
      <w:bookmarkStart w:id="20" w:name="_Toc393110007"/>
      <w:bookmarkStart w:id="21" w:name="_Toc393113517"/>
      <w:bookmarkStart w:id="22" w:name="_Toc393982246"/>
      <w:bookmarkStart w:id="23" w:name="_Toc394483558"/>
      <w:bookmarkStart w:id="24" w:name="_Toc394573302"/>
      <w:r w:rsidRPr="00AA4270">
        <w:rPr>
          <w:rFonts w:ascii="Arial" w:eastAsiaTheme="majorEastAsia" w:hAnsi="Arial" w:cs="Arial"/>
          <w:bCs/>
          <w:i/>
          <w:iCs/>
          <w:sz w:val="20"/>
          <w:szCs w:val="20"/>
          <w:lang w:eastAsia="en-US"/>
        </w:rPr>
        <w:t>Emergency Management Service</w:t>
      </w:r>
      <w:r w:rsidR="00BF2CCA">
        <w:rPr>
          <w:rFonts w:ascii="Arial" w:eastAsiaTheme="majorEastAsia" w:hAnsi="Arial" w:cs="Arial"/>
          <w:bCs/>
          <w:i/>
          <w:iCs/>
          <w:sz w:val="20"/>
          <w:szCs w:val="20"/>
          <w:lang w:eastAsia="en-US"/>
        </w:rPr>
        <w:t xml:space="preserve"> Example</w:t>
      </w:r>
    </w:p>
    <w:p w14:paraId="656C5F4E" w14:textId="1D488A91" w:rsidR="006C00C0" w:rsidRDefault="004A2652" w:rsidP="00306749">
      <w:pPr>
        <w:keepNext/>
        <w:keepLines/>
        <w:spacing w:before="200" w:line="276" w:lineRule="auto"/>
        <w:jc w:val="both"/>
        <w:outlineLvl w:val="3"/>
        <w:rPr>
          <w:rFonts w:ascii="Arial" w:eastAsiaTheme="majorEastAsia" w:hAnsi="Arial" w:cs="Arial"/>
          <w:bCs/>
          <w:iCs/>
          <w:sz w:val="20"/>
          <w:szCs w:val="20"/>
          <w:lang w:eastAsia="en-US"/>
        </w:rPr>
      </w:pPr>
      <w:r>
        <w:rPr>
          <w:rFonts w:ascii="Arial" w:eastAsiaTheme="majorEastAsia" w:hAnsi="Arial" w:cs="Arial"/>
          <w:bCs/>
          <w:iCs/>
          <w:sz w:val="20"/>
          <w:szCs w:val="20"/>
          <w:lang w:eastAsia="en-US"/>
        </w:rPr>
        <w:t xml:space="preserve">As detailed in the </w:t>
      </w:r>
      <w:r w:rsidR="00EC178E">
        <w:rPr>
          <w:rFonts w:ascii="Arial" w:eastAsiaTheme="majorEastAsia" w:hAnsi="Arial" w:cs="Arial"/>
          <w:bCs/>
          <w:iCs/>
          <w:sz w:val="20"/>
          <w:szCs w:val="20"/>
          <w:lang w:eastAsia="en-US"/>
        </w:rPr>
        <w:t>S</w:t>
      </w:r>
      <w:r>
        <w:rPr>
          <w:rFonts w:ascii="Arial" w:eastAsiaTheme="majorEastAsia" w:hAnsi="Arial" w:cs="Arial"/>
          <w:bCs/>
          <w:iCs/>
          <w:sz w:val="20"/>
          <w:szCs w:val="20"/>
          <w:lang w:eastAsia="en-US"/>
        </w:rPr>
        <w:t xml:space="preserve">ervice </w:t>
      </w:r>
      <w:r w:rsidR="00EC178E">
        <w:rPr>
          <w:rFonts w:ascii="Arial" w:eastAsiaTheme="majorEastAsia" w:hAnsi="Arial" w:cs="Arial"/>
          <w:bCs/>
          <w:iCs/>
          <w:sz w:val="20"/>
          <w:szCs w:val="20"/>
          <w:lang w:eastAsia="en-US"/>
        </w:rPr>
        <w:t>D</w:t>
      </w:r>
      <w:r>
        <w:rPr>
          <w:rFonts w:ascii="Arial" w:eastAsiaTheme="majorEastAsia" w:hAnsi="Arial" w:cs="Arial"/>
          <w:bCs/>
          <w:iCs/>
          <w:sz w:val="20"/>
          <w:szCs w:val="20"/>
          <w:lang w:eastAsia="en-US"/>
        </w:rPr>
        <w:t>ashboards section on the Council’s Emergency Management Service</w:t>
      </w:r>
      <w:r w:rsidR="00EC178E">
        <w:rPr>
          <w:rFonts w:ascii="Arial" w:eastAsiaTheme="majorEastAsia" w:hAnsi="Arial" w:cs="Arial"/>
          <w:bCs/>
          <w:iCs/>
          <w:sz w:val="20"/>
          <w:szCs w:val="20"/>
          <w:lang w:eastAsia="en-US"/>
        </w:rPr>
        <w:t xml:space="preserve"> (see </w:t>
      </w:r>
      <w:r w:rsidR="00EC178E" w:rsidRPr="006C00C0">
        <w:rPr>
          <w:rFonts w:ascii="Arial" w:eastAsiaTheme="majorEastAsia" w:hAnsi="Arial" w:cs="Arial"/>
          <w:b/>
          <w:bCs/>
          <w:iCs/>
          <w:sz w:val="20"/>
          <w:szCs w:val="20"/>
          <w:lang w:eastAsia="en-US"/>
        </w:rPr>
        <w:t>Attachment 10</w:t>
      </w:r>
      <w:r w:rsidR="00EC178E">
        <w:rPr>
          <w:rFonts w:ascii="Arial" w:eastAsiaTheme="majorEastAsia" w:hAnsi="Arial" w:cs="Arial"/>
          <w:bCs/>
          <w:iCs/>
          <w:sz w:val="20"/>
          <w:szCs w:val="20"/>
          <w:lang w:eastAsia="en-US"/>
        </w:rPr>
        <w:t xml:space="preserve"> pages 88-94)</w:t>
      </w:r>
      <w:r>
        <w:rPr>
          <w:rFonts w:ascii="Arial" w:eastAsiaTheme="majorEastAsia" w:hAnsi="Arial" w:cs="Arial"/>
          <w:bCs/>
          <w:iCs/>
          <w:sz w:val="20"/>
          <w:szCs w:val="20"/>
          <w:lang w:eastAsia="en-US"/>
        </w:rPr>
        <w:t xml:space="preserve">, the Blue Mountains is one of the locations renowned for natural disasters including bushfires. </w:t>
      </w:r>
      <w:r w:rsidR="00572690">
        <w:rPr>
          <w:rFonts w:ascii="Arial" w:eastAsiaTheme="majorEastAsia" w:hAnsi="Arial" w:cs="Arial"/>
          <w:bCs/>
          <w:iCs/>
          <w:sz w:val="20"/>
          <w:szCs w:val="20"/>
          <w:lang w:eastAsia="en-US"/>
        </w:rPr>
        <w:t xml:space="preserve">This poses significant risks that need to be managed. </w:t>
      </w:r>
    </w:p>
    <w:p w14:paraId="201F5883" w14:textId="09911D10" w:rsidR="004A2652" w:rsidRDefault="004A2652" w:rsidP="00306749">
      <w:pPr>
        <w:keepNext/>
        <w:keepLines/>
        <w:spacing w:before="200" w:line="276" w:lineRule="auto"/>
        <w:jc w:val="both"/>
        <w:outlineLvl w:val="3"/>
        <w:rPr>
          <w:rFonts w:ascii="Arial" w:eastAsiaTheme="majorEastAsia" w:hAnsi="Arial" w:cs="Arial"/>
          <w:bCs/>
          <w:iCs/>
          <w:sz w:val="20"/>
          <w:szCs w:val="20"/>
          <w:lang w:eastAsia="en-US"/>
        </w:rPr>
      </w:pPr>
      <w:r w:rsidRPr="00903A6A">
        <w:rPr>
          <w:rFonts w:ascii="Arial" w:eastAsiaTheme="majorEastAsia" w:hAnsi="Arial" w:cs="Arial"/>
          <w:bCs/>
          <w:iCs/>
          <w:sz w:val="20"/>
          <w:szCs w:val="20"/>
          <w:lang w:eastAsia="en-US"/>
        </w:rPr>
        <w:t xml:space="preserve">The community has indicated </w:t>
      </w:r>
      <w:r>
        <w:rPr>
          <w:rFonts w:ascii="Arial" w:eastAsiaTheme="majorEastAsia" w:hAnsi="Arial" w:cs="Arial"/>
          <w:bCs/>
          <w:iCs/>
          <w:sz w:val="20"/>
          <w:szCs w:val="20"/>
          <w:lang w:eastAsia="en-US"/>
        </w:rPr>
        <w:t xml:space="preserve">through engagement and annual </w:t>
      </w:r>
      <w:r w:rsidRPr="00903A6A">
        <w:rPr>
          <w:rFonts w:ascii="Arial" w:eastAsiaTheme="majorEastAsia" w:hAnsi="Arial" w:cs="Arial"/>
          <w:bCs/>
          <w:iCs/>
          <w:sz w:val="20"/>
          <w:szCs w:val="20"/>
          <w:lang w:eastAsia="en-US"/>
        </w:rPr>
        <w:t xml:space="preserve">community surveys that </w:t>
      </w:r>
      <w:r>
        <w:rPr>
          <w:rFonts w:ascii="Arial" w:eastAsiaTheme="majorEastAsia" w:hAnsi="Arial" w:cs="Arial"/>
          <w:bCs/>
          <w:iCs/>
          <w:sz w:val="20"/>
          <w:szCs w:val="20"/>
          <w:lang w:eastAsia="en-US"/>
        </w:rPr>
        <w:t>improving “e</w:t>
      </w:r>
      <w:r w:rsidRPr="00903A6A">
        <w:rPr>
          <w:rFonts w:ascii="Arial" w:eastAsiaTheme="majorEastAsia" w:hAnsi="Arial" w:cs="Arial"/>
          <w:bCs/>
          <w:iCs/>
          <w:sz w:val="20"/>
          <w:szCs w:val="20"/>
          <w:lang w:eastAsia="en-US"/>
        </w:rPr>
        <w:t>mergency preparedness and response</w:t>
      </w:r>
      <w:r>
        <w:rPr>
          <w:rFonts w:ascii="Arial" w:eastAsiaTheme="majorEastAsia" w:hAnsi="Arial" w:cs="Arial"/>
          <w:bCs/>
          <w:iCs/>
          <w:sz w:val="20"/>
          <w:szCs w:val="20"/>
          <w:lang w:eastAsia="en-US"/>
        </w:rPr>
        <w:t>”</w:t>
      </w:r>
      <w:r w:rsidRPr="00903A6A">
        <w:rPr>
          <w:rFonts w:ascii="Arial" w:eastAsiaTheme="majorEastAsia" w:hAnsi="Arial" w:cs="Arial"/>
          <w:bCs/>
          <w:iCs/>
          <w:sz w:val="20"/>
          <w:szCs w:val="20"/>
          <w:lang w:eastAsia="en-US"/>
        </w:rPr>
        <w:t xml:space="preserve"> is of high priority</w:t>
      </w:r>
      <w:r>
        <w:rPr>
          <w:rFonts w:ascii="Arial" w:eastAsiaTheme="majorEastAsia" w:hAnsi="Arial" w:cs="Arial"/>
          <w:bCs/>
          <w:iCs/>
          <w:sz w:val="20"/>
          <w:szCs w:val="20"/>
          <w:lang w:eastAsia="en-US"/>
        </w:rPr>
        <w:t xml:space="preserve"> (</w:t>
      </w:r>
      <w:r w:rsidRPr="007E7F15">
        <w:rPr>
          <w:rFonts w:ascii="Arial" w:eastAsiaTheme="majorEastAsia" w:hAnsi="Arial" w:cs="Arial"/>
          <w:bCs/>
          <w:iCs/>
          <w:sz w:val="20"/>
          <w:szCs w:val="20"/>
          <w:lang w:eastAsia="en-US"/>
        </w:rPr>
        <w:t xml:space="preserve">see </w:t>
      </w:r>
      <w:r w:rsidRPr="006C00C0">
        <w:rPr>
          <w:rFonts w:ascii="Arial" w:eastAsiaTheme="majorEastAsia" w:hAnsi="Arial" w:cs="Arial"/>
          <w:b/>
          <w:bCs/>
          <w:iCs/>
          <w:sz w:val="20"/>
          <w:szCs w:val="20"/>
          <w:lang w:eastAsia="en-US"/>
        </w:rPr>
        <w:t>Attachment 15</w:t>
      </w:r>
      <w:r w:rsidRPr="007E7F15">
        <w:rPr>
          <w:rFonts w:ascii="Arial" w:eastAsiaTheme="majorEastAsia" w:hAnsi="Arial" w:cs="Arial"/>
          <w:bCs/>
          <w:iCs/>
          <w:sz w:val="20"/>
          <w:szCs w:val="20"/>
          <w:lang w:eastAsia="en-US"/>
        </w:rPr>
        <w:t>). This</w:t>
      </w:r>
      <w:r w:rsidRPr="00903A6A">
        <w:rPr>
          <w:rFonts w:ascii="Arial" w:eastAsiaTheme="majorEastAsia" w:hAnsi="Arial" w:cs="Arial"/>
          <w:bCs/>
          <w:iCs/>
          <w:sz w:val="20"/>
          <w:szCs w:val="20"/>
          <w:lang w:eastAsia="en-US"/>
        </w:rPr>
        <w:t xml:space="preserve"> is particularly </w:t>
      </w:r>
      <w:r>
        <w:rPr>
          <w:rFonts w:ascii="Arial" w:eastAsiaTheme="majorEastAsia" w:hAnsi="Arial" w:cs="Arial"/>
          <w:bCs/>
          <w:iCs/>
          <w:sz w:val="20"/>
          <w:szCs w:val="20"/>
          <w:lang w:eastAsia="en-US"/>
        </w:rPr>
        <w:t xml:space="preserve">so in the context of the State Declared Natural Disaster in response to the devastating October 2013 bushfires, where the City lost over 200 homes with a further 100 significantly damaged, the worst in the State’s history. </w:t>
      </w:r>
    </w:p>
    <w:p w14:paraId="6D93687D" w14:textId="77777777" w:rsidR="004A2652" w:rsidRPr="00235888" w:rsidRDefault="004A2652" w:rsidP="00306749">
      <w:pPr>
        <w:keepNext/>
        <w:keepLines/>
        <w:spacing w:before="200" w:line="276" w:lineRule="auto"/>
        <w:ind w:left="864" w:hanging="864"/>
        <w:jc w:val="both"/>
        <w:outlineLvl w:val="3"/>
        <w:rPr>
          <w:rFonts w:ascii="Arial" w:eastAsiaTheme="majorEastAsia" w:hAnsi="Arial" w:cs="Arial"/>
          <w:bCs/>
          <w:i/>
          <w:iCs/>
          <w:sz w:val="20"/>
          <w:szCs w:val="20"/>
          <w:lang w:eastAsia="en-US"/>
        </w:rPr>
      </w:pPr>
      <w:r w:rsidRPr="00235888">
        <w:rPr>
          <w:rFonts w:ascii="Arial" w:eastAsiaTheme="majorEastAsia" w:hAnsi="Arial" w:cs="Arial"/>
          <w:bCs/>
          <w:i/>
          <w:iCs/>
          <w:sz w:val="20"/>
          <w:szCs w:val="20"/>
          <w:lang w:eastAsia="en-US"/>
        </w:rPr>
        <w:t>Management of bushfire risks</w:t>
      </w:r>
    </w:p>
    <w:p w14:paraId="4B1C6784" w14:textId="77777777" w:rsidR="004A2652" w:rsidRPr="00235888" w:rsidRDefault="004A2652" w:rsidP="00306749">
      <w:pPr>
        <w:spacing w:afterLines="80" w:after="192" w:line="276" w:lineRule="auto"/>
        <w:jc w:val="both"/>
        <w:rPr>
          <w:rFonts w:ascii="Arial" w:eastAsiaTheme="minorEastAsia" w:hAnsi="Arial" w:cs="Arial"/>
          <w:sz w:val="20"/>
          <w:szCs w:val="20"/>
        </w:rPr>
      </w:pPr>
      <w:r>
        <w:rPr>
          <w:rFonts w:ascii="Arial" w:eastAsiaTheme="minorEastAsia" w:hAnsi="Arial" w:cs="Arial"/>
          <w:sz w:val="20"/>
          <w:szCs w:val="20"/>
        </w:rPr>
        <w:t xml:space="preserve">The Council is </w:t>
      </w:r>
      <w:r w:rsidRPr="00235888">
        <w:rPr>
          <w:rFonts w:ascii="Arial" w:eastAsiaTheme="minorEastAsia" w:hAnsi="Arial" w:cs="Arial"/>
          <w:sz w:val="20"/>
          <w:szCs w:val="20"/>
        </w:rPr>
        <w:t>reliant on grant-based funding to assist with natural disaster mitigation which, in the Blue Mountains, is largely focused on bushfire asset protection zones and fire trails. Bushfire asset protection zones and fire trails need to compete for funding with other core Council business needs and levels of service provision for increasingly limited resources.</w:t>
      </w:r>
    </w:p>
    <w:p w14:paraId="1BBC0035" w14:textId="6B8C383D" w:rsidR="004A2652" w:rsidRPr="00903A6A" w:rsidRDefault="004A2652" w:rsidP="00306749">
      <w:pPr>
        <w:spacing w:after="240" w:line="276" w:lineRule="auto"/>
        <w:jc w:val="both"/>
        <w:rPr>
          <w:rFonts w:ascii="Arial" w:eastAsiaTheme="minorEastAsia" w:hAnsi="Arial" w:cs="Arial"/>
          <w:sz w:val="20"/>
          <w:szCs w:val="20"/>
        </w:rPr>
      </w:pPr>
      <w:r w:rsidRPr="00903A6A">
        <w:rPr>
          <w:rFonts w:ascii="Arial" w:eastAsiaTheme="minorEastAsia" w:hAnsi="Arial" w:cs="Arial"/>
          <w:sz w:val="20"/>
          <w:szCs w:val="20"/>
        </w:rPr>
        <w:t>Council has not had a</w:t>
      </w:r>
      <w:r w:rsidR="00CB1643">
        <w:rPr>
          <w:rFonts w:ascii="Arial" w:eastAsiaTheme="minorEastAsia" w:hAnsi="Arial" w:cs="Arial"/>
          <w:sz w:val="20"/>
          <w:szCs w:val="20"/>
        </w:rPr>
        <w:t xml:space="preserve">dequate </w:t>
      </w:r>
      <w:r w:rsidRPr="00903A6A">
        <w:rPr>
          <w:rFonts w:ascii="Arial" w:eastAsiaTheme="minorEastAsia" w:hAnsi="Arial" w:cs="Arial"/>
          <w:sz w:val="20"/>
          <w:szCs w:val="20"/>
        </w:rPr>
        <w:t xml:space="preserve">budget for routine maintenance on fire trails for at least the last 15 years. Council regularly applies for grant funding for fire trail renewal work, however, </w:t>
      </w:r>
      <w:r w:rsidR="00CB1643">
        <w:rPr>
          <w:rFonts w:ascii="Arial" w:eastAsiaTheme="minorEastAsia" w:hAnsi="Arial" w:cs="Arial"/>
          <w:sz w:val="20"/>
          <w:szCs w:val="20"/>
        </w:rPr>
        <w:t xml:space="preserve">required </w:t>
      </w:r>
      <w:r w:rsidRPr="00903A6A">
        <w:rPr>
          <w:rFonts w:ascii="Arial" w:eastAsiaTheme="minorEastAsia" w:hAnsi="Arial" w:cs="Arial"/>
          <w:sz w:val="20"/>
          <w:szCs w:val="20"/>
        </w:rPr>
        <w:t xml:space="preserve">maintenance </w:t>
      </w:r>
      <w:r w:rsidR="00CB1643">
        <w:rPr>
          <w:rFonts w:ascii="Arial" w:eastAsiaTheme="minorEastAsia" w:hAnsi="Arial" w:cs="Arial"/>
          <w:sz w:val="20"/>
          <w:szCs w:val="20"/>
        </w:rPr>
        <w:t>regimes cannot be resourced adequately within existing funding</w:t>
      </w:r>
      <w:r w:rsidRPr="00903A6A">
        <w:rPr>
          <w:rFonts w:ascii="Arial" w:eastAsiaTheme="minorEastAsia" w:hAnsi="Arial" w:cs="Arial"/>
          <w:sz w:val="20"/>
          <w:szCs w:val="20"/>
        </w:rPr>
        <w:t xml:space="preserve"> and fire trails may degrade to the point of failure before grant funding is allocated. Through the latest round of asset management planning, it is estimated that routine maintenance of Council fire trails will cost approximately $150,000 per annum, with ongoing renewal and upgrade work being additional to and greatly exceeding that figure. </w:t>
      </w:r>
      <w:r w:rsidR="00AA4270">
        <w:rPr>
          <w:rFonts w:ascii="Arial" w:eastAsiaTheme="minorEastAsia" w:hAnsi="Arial" w:cs="Arial"/>
          <w:sz w:val="20"/>
          <w:szCs w:val="20"/>
        </w:rPr>
        <w:t>A</w:t>
      </w:r>
      <w:r w:rsidRPr="00903A6A">
        <w:rPr>
          <w:rFonts w:ascii="Arial" w:eastAsiaTheme="minorEastAsia" w:hAnsi="Arial" w:cs="Arial"/>
          <w:sz w:val="20"/>
          <w:szCs w:val="20"/>
        </w:rPr>
        <w:t xml:space="preserve">dditional recurrent funding </w:t>
      </w:r>
      <w:r w:rsidR="00AA4270">
        <w:rPr>
          <w:rFonts w:ascii="Arial" w:eastAsiaTheme="minorEastAsia" w:hAnsi="Arial" w:cs="Arial"/>
          <w:sz w:val="20"/>
          <w:szCs w:val="20"/>
        </w:rPr>
        <w:t xml:space="preserve">is required </w:t>
      </w:r>
      <w:r w:rsidRPr="00903A6A">
        <w:rPr>
          <w:rFonts w:ascii="Arial" w:eastAsiaTheme="minorEastAsia" w:hAnsi="Arial" w:cs="Arial"/>
          <w:sz w:val="20"/>
          <w:szCs w:val="20"/>
        </w:rPr>
        <w:t xml:space="preserve">to provide for improved management of these important assets. </w:t>
      </w:r>
      <w:r>
        <w:rPr>
          <w:rFonts w:ascii="Arial" w:eastAsiaTheme="minorEastAsia" w:hAnsi="Arial" w:cs="Arial"/>
          <w:sz w:val="20"/>
          <w:szCs w:val="20"/>
        </w:rPr>
        <w:t>This would assist the Council in managing its risk management obligations.</w:t>
      </w:r>
    </w:p>
    <w:bookmarkEnd w:id="20"/>
    <w:bookmarkEnd w:id="21"/>
    <w:bookmarkEnd w:id="22"/>
    <w:bookmarkEnd w:id="23"/>
    <w:bookmarkEnd w:id="24"/>
    <w:p w14:paraId="1660AF26" w14:textId="77777777" w:rsidR="004A2652" w:rsidRPr="0074701D" w:rsidRDefault="004A2652" w:rsidP="00306749">
      <w:pPr>
        <w:spacing w:afterLines="80" w:after="192" w:line="276" w:lineRule="auto"/>
        <w:jc w:val="both"/>
        <w:rPr>
          <w:rFonts w:ascii="Arial" w:eastAsiaTheme="minorEastAsia" w:hAnsi="Arial" w:cs="Arial"/>
          <w:i/>
          <w:sz w:val="20"/>
          <w:szCs w:val="20"/>
        </w:rPr>
      </w:pPr>
      <w:r w:rsidRPr="0074701D">
        <w:rPr>
          <w:rFonts w:ascii="Arial" w:eastAsiaTheme="minorEastAsia" w:hAnsi="Arial" w:cs="Arial"/>
          <w:i/>
          <w:sz w:val="20"/>
          <w:szCs w:val="20"/>
        </w:rPr>
        <w:t>Required Statutory Contributions</w:t>
      </w:r>
    </w:p>
    <w:p w14:paraId="162BF9A2" w14:textId="77777777" w:rsidR="004A2652" w:rsidRDefault="004A2652" w:rsidP="00306749">
      <w:pPr>
        <w:spacing w:afterLines="80" w:after="192" w:line="276" w:lineRule="auto"/>
        <w:jc w:val="both"/>
        <w:rPr>
          <w:rFonts w:ascii="Arial" w:eastAsiaTheme="minorEastAsia" w:hAnsi="Arial" w:cs="Arial"/>
          <w:sz w:val="20"/>
          <w:szCs w:val="20"/>
        </w:rPr>
      </w:pPr>
      <w:r w:rsidRPr="00235888">
        <w:rPr>
          <w:rFonts w:ascii="Arial" w:eastAsiaTheme="minorEastAsia" w:hAnsi="Arial" w:cs="Arial"/>
          <w:sz w:val="20"/>
          <w:szCs w:val="20"/>
        </w:rPr>
        <w:t>The Council is required to pay a prescribed amount of 11.7% of the cost of NSW State Government emergency management service provision in the Blue Mountains</w:t>
      </w:r>
      <w:r>
        <w:rPr>
          <w:rFonts w:ascii="Arial" w:eastAsiaTheme="minorEastAsia" w:hAnsi="Arial" w:cs="Arial"/>
          <w:sz w:val="20"/>
          <w:szCs w:val="20"/>
        </w:rPr>
        <w:t xml:space="preserve"> (including State Emergency Service, Rural Fire Service and Fire &amp; Rescue NSW)</w:t>
      </w:r>
      <w:r w:rsidRPr="00235888">
        <w:rPr>
          <w:rFonts w:ascii="Arial" w:eastAsiaTheme="minorEastAsia" w:hAnsi="Arial" w:cs="Arial"/>
          <w:sz w:val="20"/>
          <w:szCs w:val="20"/>
        </w:rPr>
        <w:t xml:space="preserve">. </w:t>
      </w:r>
      <w:r>
        <w:rPr>
          <w:rFonts w:ascii="Arial" w:eastAsiaTheme="minorEastAsia" w:hAnsi="Arial" w:cs="Arial"/>
          <w:sz w:val="20"/>
          <w:szCs w:val="20"/>
        </w:rPr>
        <w:t xml:space="preserve">In meeting this cost, the </w:t>
      </w:r>
      <w:r w:rsidRPr="00235888">
        <w:rPr>
          <w:rFonts w:ascii="Arial" w:eastAsiaTheme="minorEastAsia" w:hAnsi="Arial" w:cs="Arial"/>
          <w:sz w:val="20"/>
          <w:szCs w:val="20"/>
        </w:rPr>
        <w:t>Council is</w:t>
      </w:r>
      <w:r>
        <w:rPr>
          <w:rFonts w:ascii="Arial" w:eastAsiaTheme="minorEastAsia" w:hAnsi="Arial" w:cs="Arial"/>
          <w:sz w:val="20"/>
          <w:szCs w:val="20"/>
        </w:rPr>
        <w:t xml:space="preserve"> </w:t>
      </w:r>
      <w:r w:rsidRPr="00235888">
        <w:rPr>
          <w:rFonts w:ascii="Arial" w:eastAsiaTheme="minorEastAsia" w:hAnsi="Arial" w:cs="Arial"/>
          <w:sz w:val="20"/>
          <w:szCs w:val="20"/>
        </w:rPr>
        <w:t>having to make reductions to its core service delivery in other areas.</w:t>
      </w:r>
      <w:r>
        <w:rPr>
          <w:rFonts w:ascii="Arial" w:eastAsiaTheme="minorEastAsia" w:hAnsi="Arial" w:cs="Arial"/>
          <w:sz w:val="20"/>
          <w:szCs w:val="20"/>
        </w:rPr>
        <w:t xml:space="preserve"> In 2013/14 these required contributions increased in dollar amount by 12%, while the allowable increase in rating revenue was 2.3%.  </w:t>
      </w:r>
    </w:p>
    <w:p w14:paraId="30147180" w14:textId="77777777" w:rsidR="004A2652" w:rsidRPr="00A21AD5" w:rsidRDefault="004A2652" w:rsidP="00306749">
      <w:pPr>
        <w:spacing w:afterLines="80" w:after="192" w:line="276" w:lineRule="auto"/>
        <w:jc w:val="both"/>
        <w:rPr>
          <w:rFonts w:ascii="Arial" w:eastAsiaTheme="minorEastAsia" w:hAnsi="Arial" w:cs="Arial"/>
          <w:i/>
          <w:sz w:val="20"/>
          <w:szCs w:val="20"/>
        </w:rPr>
      </w:pPr>
      <w:r w:rsidRPr="00A21AD5">
        <w:rPr>
          <w:rFonts w:ascii="Arial" w:eastAsiaTheme="minorEastAsia" w:hAnsi="Arial" w:cs="Arial"/>
          <w:i/>
          <w:sz w:val="20"/>
          <w:szCs w:val="20"/>
        </w:rPr>
        <w:t xml:space="preserve">Annual Charge for Emergency Service </w:t>
      </w:r>
      <w:r>
        <w:rPr>
          <w:rFonts w:ascii="Arial" w:eastAsiaTheme="minorEastAsia" w:hAnsi="Arial" w:cs="Arial"/>
          <w:i/>
          <w:sz w:val="20"/>
          <w:szCs w:val="20"/>
        </w:rPr>
        <w:t>P</w:t>
      </w:r>
      <w:r w:rsidRPr="00A21AD5">
        <w:rPr>
          <w:rFonts w:ascii="Arial" w:eastAsiaTheme="minorEastAsia" w:hAnsi="Arial" w:cs="Arial"/>
          <w:i/>
          <w:sz w:val="20"/>
          <w:szCs w:val="20"/>
        </w:rPr>
        <w:t>rovision</w:t>
      </w:r>
    </w:p>
    <w:p w14:paraId="7D5663C8" w14:textId="77777777" w:rsidR="00AA4270" w:rsidRDefault="004A2652" w:rsidP="00306749">
      <w:pPr>
        <w:spacing w:afterLines="80" w:after="192" w:line="276" w:lineRule="auto"/>
        <w:jc w:val="both"/>
        <w:rPr>
          <w:rFonts w:ascii="Arial" w:eastAsiaTheme="minorEastAsia" w:hAnsi="Arial" w:cs="Arial"/>
          <w:sz w:val="20"/>
          <w:szCs w:val="20"/>
        </w:rPr>
      </w:pPr>
      <w:r w:rsidRPr="00235888">
        <w:rPr>
          <w:rFonts w:ascii="Arial" w:eastAsiaTheme="minorEastAsia" w:hAnsi="Arial" w:cs="Arial"/>
          <w:sz w:val="20"/>
          <w:szCs w:val="20"/>
        </w:rPr>
        <w:t xml:space="preserve">The Council obtains additional emergency management revenue through Section 501 of the </w:t>
      </w:r>
      <w:r w:rsidRPr="00235888">
        <w:rPr>
          <w:rFonts w:ascii="Arial" w:eastAsiaTheme="minorEastAsia" w:hAnsi="Arial" w:cs="Arial"/>
          <w:i/>
          <w:sz w:val="20"/>
          <w:szCs w:val="20"/>
        </w:rPr>
        <w:t>Local Government Act 1993</w:t>
      </w:r>
      <w:r w:rsidRPr="00235888">
        <w:rPr>
          <w:rFonts w:ascii="Arial" w:eastAsiaTheme="minorEastAsia" w:hAnsi="Arial" w:cs="Arial"/>
          <w:sz w:val="20"/>
          <w:szCs w:val="20"/>
        </w:rPr>
        <w:t xml:space="preserve"> and relevant regulations, which allows the Council to make an annual charge for the provision of emergency services and bushfire control. </w:t>
      </w:r>
    </w:p>
    <w:p w14:paraId="1B531771" w14:textId="763EF7F3" w:rsidR="004A2652" w:rsidRDefault="004A2652" w:rsidP="00306749">
      <w:pPr>
        <w:spacing w:afterLines="80" w:after="192" w:line="276" w:lineRule="auto"/>
        <w:jc w:val="both"/>
        <w:rPr>
          <w:rFonts w:ascii="Arial" w:eastAsiaTheme="minorEastAsia" w:hAnsi="Arial" w:cs="Arial"/>
          <w:sz w:val="20"/>
          <w:szCs w:val="20"/>
        </w:rPr>
      </w:pPr>
      <w:r>
        <w:rPr>
          <w:rFonts w:ascii="Arial" w:eastAsiaTheme="minorEastAsia" w:hAnsi="Arial" w:cs="Arial"/>
          <w:sz w:val="20"/>
          <w:szCs w:val="20"/>
        </w:rPr>
        <w:t xml:space="preserve">However, this is not sufficient to fund required improvements and emergency preparedness and responsiveness including renewal and maintenance of fire trails and asset protection zones. </w:t>
      </w:r>
    </w:p>
    <w:p w14:paraId="5DB6F8A8" w14:textId="77777777" w:rsidR="004A2652" w:rsidRPr="00235888" w:rsidRDefault="004A2652" w:rsidP="00306749">
      <w:pPr>
        <w:spacing w:afterLines="80" w:after="192" w:line="276" w:lineRule="auto"/>
        <w:jc w:val="both"/>
        <w:rPr>
          <w:rFonts w:ascii="Arial" w:eastAsiaTheme="minorEastAsia" w:hAnsi="Arial" w:cs="Arial"/>
          <w:sz w:val="20"/>
          <w:szCs w:val="20"/>
        </w:rPr>
      </w:pPr>
      <w:r>
        <w:rPr>
          <w:rFonts w:ascii="Arial" w:eastAsiaTheme="minorEastAsia" w:hAnsi="Arial" w:cs="Arial"/>
          <w:sz w:val="20"/>
          <w:szCs w:val="20"/>
        </w:rPr>
        <w:t>The Council is responsible for over 300 Bushfire Protection Zones protecting more than 1,100 houses across the City, approximately 63km of fire trail and maintenance of 24 Rural Fire Service buildings.</w:t>
      </w:r>
    </w:p>
    <w:p w14:paraId="74FC2CE8" w14:textId="3C381BF1" w:rsidR="00426825" w:rsidRPr="000E654F" w:rsidRDefault="00E92457" w:rsidP="00426825">
      <w:pPr>
        <w:spacing w:line="276" w:lineRule="auto"/>
        <w:rPr>
          <w:rFonts w:asciiTheme="minorHAnsi" w:eastAsiaTheme="minorHAnsi" w:hAnsiTheme="minorHAnsi" w:cstheme="minorBidi"/>
          <w:i/>
          <w:szCs w:val="22"/>
          <w:lang w:eastAsia="en-US"/>
        </w:rPr>
      </w:pPr>
      <w:r w:rsidRPr="000E654F">
        <w:rPr>
          <w:rFonts w:asciiTheme="minorHAnsi" w:eastAsiaTheme="minorHAnsi" w:hAnsiTheme="minorHAnsi" w:cstheme="minorBidi"/>
          <w:i/>
          <w:noProof/>
          <w:sz w:val="20"/>
          <w:szCs w:val="20"/>
        </w:rPr>
        <w:drawing>
          <wp:anchor distT="0" distB="0" distL="114300" distR="114300" simplePos="0" relativeHeight="251888640" behindDoc="1" locked="0" layoutInCell="1" allowOverlap="1" wp14:anchorId="4C6F2763" wp14:editId="04356049">
            <wp:simplePos x="0" y="0"/>
            <wp:positionH relativeFrom="column">
              <wp:posOffset>-318135</wp:posOffset>
            </wp:positionH>
            <wp:positionV relativeFrom="paragraph">
              <wp:posOffset>310515</wp:posOffset>
            </wp:positionV>
            <wp:extent cx="5958840" cy="4213225"/>
            <wp:effectExtent l="0" t="0" r="3810" b="0"/>
            <wp:wrapTight wrapText="bothSides">
              <wp:wrapPolygon edited="0">
                <wp:start x="0" y="0"/>
                <wp:lineTo x="0" y="21486"/>
                <wp:lineTo x="21545" y="21486"/>
                <wp:lineTo x="2154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10 - Summary Service and Asset Plans_Page_088.jpg"/>
                    <pic:cNvPicPr/>
                  </pic:nvPicPr>
                  <pic:blipFill>
                    <a:blip r:embed="rId38" cstate="screen">
                      <a:extLst>
                        <a:ext uri="{28A0092B-C50C-407E-A947-70E740481C1C}">
                          <a14:useLocalDpi xmlns:a14="http://schemas.microsoft.com/office/drawing/2010/main"/>
                        </a:ext>
                      </a:extLst>
                    </a:blip>
                    <a:stretch>
                      <a:fillRect/>
                    </a:stretch>
                  </pic:blipFill>
                  <pic:spPr>
                    <a:xfrm>
                      <a:off x="0" y="0"/>
                      <a:ext cx="5958840" cy="4213225"/>
                    </a:xfrm>
                    <a:prstGeom prst="rect">
                      <a:avLst/>
                    </a:prstGeom>
                  </pic:spPr>
                </pic:pic>
              </a:graphicData>
            </a:graphic>
            <wp14:sizeRelH relativeFrom="page">
              <wp14:pctWidth>0</wp14:pctWidth>
            </wp14:sizeRelH>
            <wp14:sizeRelV relativeFrom="page">
              <wp14:pctHeight>0</wp14:pctHeight>
            </wp14:sizeRelV>
          </wp:anchor>
        </w:drawing>
      </w:r>
      <w:r w:rsidR="00426825" w:rsidRPr="000E654F">
        <w:rPr>
          <w:rFonts w:asciiTheme="minorHAnsi" w:eastAsiaTheme="minorHAnsi" w:hAnsiTheme="minorHAnsi" w:cstheme="minorBidi"/>
          <w:b/>
          <w:i/>
          <w:sz w:val="20"/>
          <w:szCs w:val="20"/>
          <w:lang w:eastAsia="en-US"/>
        </w:rPr>
        <w:t>Emergency - Service Dashboards</w:t>
      </w:r>
      <w:r w:rsidR="00BF2CCA" w:rsidRPr="000E654F">
        <w:rPr>
          <w:rFonts w:asciiTheme="minorHAnsi" w:eastAsiaTheme="minorHAnsi" w:hAnsiTheme="minorHAnsi" w:cstheme="minorBidi"/>
          <w:b/>
          <w:i/>
          <w:sz w:val="20"/>
          <w:szCs w:val="20"/>
          <w:lang w:eastAsia="en-US"/>
        </w:rPr>
        <w:t xml:space="preserve"> Sample Extracts</w:t>
      </w:r>
      <w:r w:rsidR="00426825" w:rsidRPr="000E654F">
        <w:rPr>
          <w:rFonts w:asciiTheme="minorHAnsi" w:eastAsiaTheme="minorHAnsi" w:hAnsiTheme="minorHAnsi" w:cstheme="minorBidi"/>
          <w:b/>
          <w:i/>
          <w:sz w:val="20"/>
          <w:szCs w:val="20"/>
          <w:lang w:eastAsia="en-US"/>
        </w:rPr>
        <w:t xml:space="preserve"> </w:t>
      </w:r>
      <w:r w:rsidR="00426825" w:rsidRPr="000E654F">
        <w:rPr>
          <w:rFonts w:asciiTheme="minorHAnsi" w:eastAsiaTheme="minorHAnsi" w:hAnsiTheme="minorHAnsi" w:cstheme="minorBidi"/>
          <w:i/>
          <w:sz w:val="20"/>
          <w:szCs w:val="20"/>
          <w:lang w:eastAsia="en-US"/>
        </w:rPr>
        <w:t>pages 88, 89 &amp; 93</w:t>
      </w:r>
      <w:r w:rsidR="00426825" w:rsidRPr="000E654F">
        <w:rPr>
          <w:rFonts w:asciiTheme="minorHAnsi" w:eastAsiaTheme="minorHAnsi" w:hAnsiTheme="minorHAnsi" w:cstheme="minorBidi"/>
          <w:b/>
          <w:i/>
          <w:sz w:val="20"/>
          <w:szCs w:val="20"/>
          <w:lang w:eastAsia="en-US"/>
        </w:rPr>
        <w:t xml:space="preserve"> [Attachment 10</w:t>
      </w:r>
      <w:r w:rsidR="00426825" w:rsidRPr="000E654F">
        <w:rPr>
          <w:rFonts w:asciiTheme="minorHAnsi" w:eastAsiaTheme="minorHAnsi" w:hAnsiTheme="minorHAnsi" w:cstheme="minorBidi"/>
          <w:i/>
          <w:szCs w:val="22"/>
          <w:lang w:eastAsia="en-US"/>
        </w:rPr>
        <w:t>]</w:t>
      </w:r>
    </w:p>
    <w:p w14:paraId="0953C582" w14:textId="25A168A4" w:rsidR="00426825" w:rsidRPr="00426825" w:rsidRDefault="00426825" w:rsidP="00426825">
      <w:pPr>
        <w:spacing w:line="276" w:lineRule="auto"/>
        <w:rPr>
          <w:rFonts w:asciiTheme="minorHAnsi" w:eastAsiaTheme="minorHAnsi" w:hAnsiTheme="minorHAnsi" w:cstheme="minorBidi"/>
          <w:szCs w:val="22"/>
          <w:lang w:eastAsia="en-US"/>
        </w:rPr>
      </w:pPr>
    </w:p>
    <w:p w14:paraId="6DCCBE0D" w14:textId="77777777" w:rsidR="00426825" w:rsidRPr="00426825" w:rsidRDefault="00426825" w:rsidP="00426825">
      <w:pPr>
        <w:spacing w:line="276" w:lineRule="auto"/>
        <w:rPr>
          <w:rFonts w:asciiTheme="minorHAnsi" w:eastAsiaTheme="minorHAnsi" w:hAnsiTheme="minorHAnsi" w:cstheme="minorBidi"/>
          <w:szCs w:val="22"/>
          <w:lang w:eastAsia="en-US"/>
        </w:rPr>
      </w:pPr>
      <w:r w:rsidRPr="00426825">
        <w:rPr>
          <w:rFonts w:asciiTheme="minorHAnsi" w:eastAsiaTheme="minorHAnsi" w:hAnsiTheme="minorHAnsi" w:cstheme="minorBidi"/>
          <w:noProof/>
          <w:szCs w:val="22"/>
        </w:rPr>
        <w:drawing>
          <wp:inline distT="0" distB="0" distL="0" distR="0" wp14:anchorId="283FDEB5" wp14:editId="78D22F8F">
            <wp:extent cx="6049971" cy="4277689"/>
            <wp:effectExtent l="0" t="0" r="8255"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10 - Summary Service and Asset Plans_Page_089.jpg"/>
                    <pic:cNvPicPr/>
                  </pic:nvPicPr>
                  <pic:blipFill>
                    <a:blip r:embed="rId39" cstate="screen">
                      <a:extLst>
                        <a:ext uri="{28A0092B-C50C-407E-A947-70E740481C1C}">
                          <a14:useLocalDpi xmlns:a14="http://schemas.microsoft.com/office/drawing/2010/main"/>
                        </a:ext>
                      </a:extLst>
                    </a:blip>
                    <a:stretch>
                      <a:fillRect/>
                    </a:stretch>
                  </pic:blipFill>
                  <pic:spPr>
                    <a:xfrm>
                      <a:off x="0" y="0"/>
                      <a:ext cx="6055243" cy="4281417"/>
                    </a:xfrm>
                    <a:prstGeom prst="rect">
                      <a:avLst/>
                    </a:prstGeom>
                  </pic:spPr>
                </pic:pic>
              </a:graphicData>
            </a:graphic>
          </wp:inline>
        </w:drawing>
      </w:r>
    </w:p>
    <w:p w14:paraId="62A3F0E8" w14:textId="77777777" w:rsidR="00426825" w:rsidRPr="00426825" w:rsidRDefault="00426825" w:rsidP="00426825">
      <w:pPr>
        <w:spacing w:line="276" w:lineRule="auto"/>
        <w:rPr>
          <w:rFonts w:asciiTheme="minorHAnsi" w:eastAsiaTheme="minorHAnsi" w:hAnsiTheme="minorHAnsi" w:cstheme="minorBidi"/>
          <w:szCs w:val="22"/>
          <w:lang w:eastAsia="en-US"/>
        </w:rPr>
      </w:pPr>
      <w:r w:rsidRPr="00426825">
        <w:rPr>
          <w:rFonts w:asciiTheme="minorHAnsi" w:eastAsiaTheme="minorHAnsi" w:hAnsiTheme="minorHAnsi" w:cstheme="minorBidi"/>
          <w:noProof/>
          <w:szCs w:val="22"/>
        </w:rPr>
        <w:drawing>
          <wp:inline distT="0" distB="0" distL="0" distR="0" wp14:anchorId="458B96DD" wp14:editId="17277514">
            <wp:extent cx="6188710" cy="4375150"/>
            <wp:effectExtent l="0" t="0" r="254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10 - Summary Service and Asset Plans_Page_093.jpg"/>
                    <pic:cNvPicPr/>
                  </pic:nvPicPr>
                  <pic:blipFill>
                    <a:blip r:embed="rId40" cstate="screen">
                      <a:extLst>
                        <a:ext uri="{28A0092B-C50C-407E-A947-70E740481C1C}">
                          <a14:useLocalDpi xmlns:a14="http://schemas.microsoft.com/office/drawing/2010/main"/>
                        </a:ext>
                      </a:extLst>
                    </a:blip>
                    <a:stretch>
                      <a:fillRect/>
                    </a:stretch>
                  </pic:blipFill>
                  <pic:spPr>
                    <a:xfrm>
                      <a:off x="0" y="0"/>
                      <a:ext cx="6188710" cy="4375150"/>
                    </a:xfrm>
                    <a:prstGeom prst="rect">
                      <a:avLst/>
                    </a:prstGeom>
                  </pic:spPr>
                </pic:pic>
              </a:graphicData>
            </a:graphic>
          </wp:inline>
        </w:drawing>
      </w:r>
    </w:p>
    <w:p w14:paraId="1476D2D0" w14:textId="4ED0399A" w:rsidR="004A2652" w:rsidRPr="00306749" w:rsidRDefault="00426825" w:rsidP="00426825">
      <w:pPr>
        <w:spacing w:after="200" w:line="276" w:lineRule="auto"/>
        <w:rPr>
          <w:rFonts w:ascii="Arial" w:hAnsi="Arial" w:cs="Arial"/>
          <w:b/>
          <w:bCs/>
          <w:sz w:val="20"/>
          <w:szCs w:val="20"/>
          <w:u w:val="single"/>
        </w:rPr>
      </w:pPr>
      <w:r w:rsidRPr="00426825">
        <w:rPr>
          <w:rFonts w:asciiTheme="minorHAnsi" w:eastAsiaTheme="minorHAnsi" w:hAnsiTheme="minorHAnsi" w:cstheme="minorBidi"/>
          <w:b/>
          <w:szCs w:val="22"/>
          <w:lang w:eastAsia="en-US"/>
        </w:rPr>
        <w:br w:type="page"/>
      </w:r>
      <w:r w:rsidR="004A2652" w:rsidRPr="0037458D">
        <w:rPr>
          <w:b/>
          <w:sz w:val="20"/>
          <w:szCs w:val="20"/>
        </w:rPr>
        <w:t xml:space="preserve"> </w:t>
      </w:r>
      <w:r w:rsidR="004A2652" w:rsidRPr="00306749">
        <w:rPr>
          <w:rFonts w:ascii="Arial" w:hAnsi="Arial" w:cs="Arial"/>
          <w:b/>
          <w:bCs/>
          <w:sz w:val="20"/>
          <w:szCs w:val="20"/>
          <w:u w:val="single"/>
        </w:rPr>
        <w:t>Need for improved services to the community</w:t>
      </w:r>
    </w:p>
    <w:p w14:paraId="24B1A807" w14:textId="5139CE45" w:rsidR="00AA4270" w:rsidRPr="00AA4270" w:rsidRDefault="00AA4270" w:rsidP="00306749">
      <w:pPr>
        <w:spacing w:before="240" w:line="276" w:lineRule="auto"/>
        <w:jc w:val="both"/>
        <w:rPr>
          <w:rFonts w:ascii="Arial" w:hAnsi="Arial" w:cs="Arial"/>
          <w:bCs/>
          <w:i/>
          <w:sz w:val="20"/>
          <w:szCs w:val="20"/>
        </w:rPr>
      </w:pPr>
      <w:r w:rsidRPr="00AA4270">
        <w:rPr>
          <w:rFonts w:ascii="Arial" w:hAnsi="Arial" w:cs="Arial"/>
          <w:bCs/>
          <w:i/>
          <w:sz w:val="20"/>
          <w:szCs w:val="20"/>
        </w:rPr>
        <w:t>Community Development Service</w:t>
      </w:r>
      <w:r w:rsidR="00BF2CCA">
        <w:rPr>
          <w:rFonts w:ascii="Arial" w:hAnsi="Arial" w:cs="Arial"/>
          <w:bCs/>
          <w:i/>
          <w:sz w:val="20"/>
          <w:szCs w:val="20"/>
        </w:rPr>
        <w:t xml:space="preserve"> Example</w:t>
      </w:r>
    </w:p>
    <w:p w14:paraId="060ADECD" w14:textId="77777777" w:rsidR="00572690" w:rsidRDefault="004A2652" w:rsidP="00306749">
      <w:pPr>
        <w:spacing w:before="240" w:line="276" w:lineRule="auto"/>
        <w:jc w:val="both"/>
        <w:rPr>
          <w:rFonts w:ascii="Arial" w:hAnsi="Arial" w:cs="Arial"/>
          <w:bCs/>
          <w:sz w:val="20"/>
          <w:szCs w:val="20"/>
        </w:rPr>
      </w:pPr>
      <w:r>
        <w:rPr>
          <w:rFonts w:ascii="Arial" w:hAnsi="Arial" w:cs="Arial"/>
          <w:bCs/>
          <w:sz w:val="20"/>
          <w:szCs w:val="20"/>
        </w:rPr>
        <w:t>As shown in the excerpts from the Service Dashboards below,</w:t>
      </w:r>
      <w:r w:rsidR="00AA4270">
        <w:rPr>
          <w:rFonts w:ascii="Arial" w:hAnsi="Arial" w:cs="Arial"/>
          <w:bCs/>
          <w:sz w:val="20"/>
          <w:szCs w:val="20"/>
        </w:rPr>
        <w:t xml:space="preserve"> the Council’s Community Development Service aims to increase the well-being, resilience and capacity of the local community, particularly disadvantaged groups. Council works in partnership with all levels of government and many agencies to ensure all residents have access to required services and facilities. This is especially important for disadvantaged and vulnerable groups. </w:t>
      </w:r>
    </w:p>
    <w:p w14:paraId="6B2FD8BE" w14:textId="6A121804" w:rsidR="00AA4270" w:rsidRDefault="00572690" w:rsidP="00306749">
      <w:pPr>
        <w:spacing w:before="240" w:line="276" w:lineRule="auto"/>
        <w:jc w:val="both"/>
        <w:rPr>
          <w:rFonts w:ascii="Arial" w:hAnsi="Arial" w:cs="Arial"/>
          <w:bCs/>
          <w:sz w:val="20"/>
          <w:szCs w:val="20"/>
        </w:rPr>
      </w:pPr>
      <w:r>
        <w:rPr>
          <w:rFonts w:ascii="Arial" w:hAnsi="Arial" w:cs="Arial"/>
          <w:bCs/>
          <w:sz w:val="20"/>
          <w:szCs w:val="20"/>
        </w:rPr>
        <w:t>Key risks being addressed include limited funding to renew and maintain required community facilities 9neighbourhood centres, child care centres, libraries, halls etc) and reduced state and federal government funding to community service programs.</w:t>
      </w:r>
    </w:p>
    <w:p w14:paraId="7B02AA03" w14:textId="77777777" w:rsidR="00AA4270" w:rsidRDefault="00AA4270" w:rsidP="00AA4270">
      <w:pPr>
        <w:spacing w:line="276" w:lineRule="auto"/>
        <w:jc w:val="both"/>
        <w:rPr>
          <w:rFonts w:ascii="Arial" w:hAnsi="Arial" w:cs="Arial"/>
          <w:bCs/>
          <w:sz w:val="20"/>
          <w:szCs w:val="20"/>
        </w:rPr>
      </w:pPr>
    </w:p>
    <w:p w14:paraId="2EAB41A9" w14:textId="21967921" w:rsidR="00AA4270" w:rsidRDefault="00AA4270" w:rsidP="00AA4270">
      <w:pPr>
        <w:spacing w:line="276" w:lineRule="auto"/>
        <w:jc w:val="both"/>
        <w:rPr>
          <w:rFonts w:ascii="Arial" w:hAnsi="Arial" w:cs="Arial"/>
          <w:b/>
          <w:bCs/>
          <w:i/>
          <w:sz w:val="20"/>
          <w:szCs w:val="20"/>
        </w:rPr>
      </w:pPr>
      <w:r>
        <w:rPr>
          <w:rFonts w:ascii="Arial" w:hAnsi="Arial" w:cs="Arial"/>
          <w:bCs/>
          <w:sz w:val="20"/>
          <w:szCs w:val="20"/>
        </w:rPr>
        <w:t xml:space="preserve">Community Survey results over the past five years (see </w:t>
      </w:r>
      <w:r w:rsidRPr="00AA4270">
        <w:rPr>
          <w:rFonts w:ascii="Arial" w:hAnsi="Arial" w:cs="Arial"/>
          <w:b/>
          <w:bCs/>
          <w:sz w:val="20"/>
          <w:szCs w:val="20"/>
        </w:rPr>
        <w:t>Attachment 15</w:t>
      </w:r>
      <w:r>
        <w:rPr>
          <w:rFonts w:ascii="Arial" w:hAnsi="Arial" w:cs="Arial"/>
          <w:bCs/>
          <w:sz w:val="20"/>
          <w:szCs w:val="20"/>
        </w:rPr>
        <w:t xml:space="preserve">), consistently highlight community dissatisfaction with services and facilities for children and families, for young people, for older people and for people with a disability, consistently over the last five years. In the 2014 survey this dissatisfaction was highest relative to services for young people and people with a disability. </w:t>
      </w:r>
    </w:p>
    <w:p w14:paraId="65DE5401" w14:textId="77777777" w:rsidR="004A2652" w:rsidRDefault="004A2652" w:rsidP="00306749">
      <w:pPr>
        <w:spacing w:line="276" w:lineRule="auto"/>
        <w:jc w:val="both"/>
        <w:rPr>
          <w:rFonts w:ascii="Arial" w:hAnsi="Arial" w:cs="Arial"/>
          <w:b/>
          <w:bCs/>
          <w:i/>
          <w:sz w:val="20"/>
          <w:szCs w:val="20"/>
        </w:rPr>
      </w:pPr>
    </w:p>
    <w:p w14:paraId="69439467" w14:textId="16DFC179" w:rsidR="00426825" w:rsidRPr="000E654F" w:rsidRDefault="00426825" w:rsidP="00426825">
      <w:pPr>
        <w:spacing w:line="276" w:lineRule="auto"/>
        <w:rPr>
          <w:rFonts w:asciiTheme="minorHAnsi" w:eastAsiaTheme="minorHAnsi" w:hAnsiTheme="minorHAnsi" w:cstheme="minorBidi"/>
          <w:i/>
          <w:sz w:val="20"/>
          <w:szCs w:val="20"/>
          <w:lang w:eastAsia="en-US"/>
        </w:rPr>
      </w:pPr>
      <w:r w:rsidRPr="000E654F">
        <w:rPr>
          <w:rFonts w:asciiTheme="minorHAnsi" w:eastAsiaTheme="minorHAnsi" w:hAnsiTheme="minorHAnsi" w:cstheme="minorBidi"/>
          <w:i/>
          <w:noProof/>
          <w:sz w:val="20"/>
          <w:szCs w:val="20"/>
        </w:rPr>
        <w:drawing>
          <wp:anchor distT="0" distB="0" distL="114300" distR="114300" simplePos="0" relativeHeight="251889664" behindDoc="1" locked="0" layoutInCell="1" allowOverlap="1" wp14:anchorId="2E489202" wp14:editId="65FFE529">
            <wp:simplePos x="0" y="0"/>
            <wp:positionH relativeFrom="column">
              <wp:posOffset>-470535</wp:posOffset>
            </wp:positionH>
            <wp:positionV relativeFrom="paragraph">
              <wp:posOffset>250190</wp:posOffset>
            </wp:positionV>
            <wp:extent cx="6640195" cy="4695825"/>
            <wp:effectExtent l="0" t="0" r="8255" b="9525"/>
            <wp:wrapTight wrapText="bothSides">
              <wp:wrapPolygon edited="0">
                <wp:start x="0" y="0"/>
                <wp:lineTo x="0" y="21556"/>
                <wp:lineTo x="21565" y="21556"/>
                <wp:lineTo x="21565"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10 - Summary Service and Asset Plans_Page_074.jpg"/>
                    <pic:cNvPicPr/>
                  </pic:nvPicPr>
                  <pic:blipFill>
                    <a:blip r:embed="rId41" cstate="screen">
                      <a:extLst>
                        <a:ext uri="{28A0092B-C50C-407E-A947-70E740481C1C}">
                          <a14:useLocalDpi xmlns:a14="http://schemas.microsoft.com/office/drawing/2010/main"/>
                        </a:ext>
                      </a:extLst>
                    </a:blip>
                    <a:stretch>
                      <a:fillRect/>
                    </a:stretch>
                  </pic:blipFill>
                  <pic:spPr>
                    <a:xfrm>
                      <a:off x="0" y="0"/>
                      <a:ext cx="6640195" cy="4695825"/>
                    </a:xfrm>
                    <a:prstGeom prst="rect">
                      <a:avLst/>
                    </a:prstGeom>
                  </pic:spPr>
                </pic:pic>
              </a:graphicData>
            </a:graphic>
            <wp14:sizeRelH relativeFrom="page">
              <wp14:pctWidth>0</wp14:pctWidth>
            </wp14:sizeRelH>
            <wp14:sizeRelV relativeFrom="page">
              <wp14:pctHeight>0</wp14:pctHeight>
            </wp14:sizeRelV>
          </wp:anchor>
        </w:drawing>
      </w:r>
      <w:r w:rsidRPr="000E654F">
        <w:rPr>
          <w:rFonts w:asciiTheme="minorHAnsi" w:eastAsiaTheme="minorHAnsi" w:hAnsiTheme="minorHAnsi" w:cstheme="minorBidi"/>
          <w:b/>
          <w:i/>
          <w:sz w:val="20"/>
          <w:szCs w:val="20"/>
          <w:lang w:eastAsia="en-US"/>
        </w:rPr>
        <w:t xml:space="preserve">Community - Service Dashboards </w:t>
      </w:r>
      <w:r w:rsidR="00BF2CCA" w:rsidRPr="000E654F">
        <w:rPr>
          <w:rFonts w:asciiTheme="minorHAnsi" w:eastAsiaTheme="minorHAnsi" w:hAnsiTheme="minorHAnsi" w:cstheme="minorBidi"/>
          <w:b/>
          <w:i/>
          <w:sz w:val="20"/>
          <w:szCs w:val="20"/>
          <w:lang w:eastAsia="en-US"/>
        </w:rPr>
        <w:t xml:space="preserve">Sample Extracts </w:t>
      </w:r>
      <w:r w:rsidRPr="000E654F">
        <w:rPr>
          <w:rFonts w:asciiTheme="minorHAnsi" w:eastAsiaTheme="minorHAnsi" w:hAnsiTheme="minorHAnsi" w:cstheme="minorBidi"/>
          <w:i/>
          <w:sz w:val="20"/>
          <w:szCs w:val="20"/>
          <w:lang w:eastAsia="en-US"/>
        </w:rPr>
        <w:t>pages 74, 75 &amp; 80</w:t>
      </w:r>
      <w:r w:rsidRPr="000E654F">
        <w:rPr>
          <w:rFonts w:asciiTheme="minorHAnsi" w:eastAsiaTheme="minorHAnsi" w:hAnsiTheme="minorHAnsi" w:cstheme="minorBidi"/>
          <w:b/>
          <w:i/>
          <w:sz w:val="20"/>
          <w:szCs w:val="20"/>
          <w:lang w:eastAsia="en-US"/>
        </w:rPr>
        <w:t xml:space="preserve"> [Attachment 10</w:t>
      </w:r>
      <w:r w:rsidRPr="000E654F">
        <w:rPr>
          <w:rFonts w:asciiTheme="minorHAnsi" w:eastAsiaTheme="minorHAnsi" w:hAnsiTheme="minorHAnsi" w:cstheme="minorBidi"/>
          <w:i/>
          <w:sz w:val="20"/>
          <w:szCs w:val="20"/>
          <w:lang w:eastAsia="en-US"/>
        </w:rPr>
        <w:t>]</w:t>
      </w:r>
    </w:p>
    <w:p w14:paraId="60A11413" w14:textId="5EA79A64" w:rsidR="00426825" w:rsidRPr="00426825" w:rsidRDefault="00426825" w:rsidP="00426825">
      <w:pPr>
        <w:spacing w:line="276" w:lineRule="auto"/>
        <w:rPr>
          <w:rFonts w:asciiTheme="minorHAnsi" w:eastAsiaTheme="minorHAnsi" w:hAnsiTheme="minorHAnsi" w:cstheme="minorBidi"/>
          <w:szCs w:val="22"/>
          <w:lang w:eastAsia="en-US"/>
        </w:rPr>
      </w:pPr>
    </w:p>
    <w:p w14:paraId="1E8C02E2" w14:textId="0DF596D5" w:rsidR="00426825" w:rsidRPr="00426825" w:rsidRDefault="00E92457" w:rsidP="00426825">
      <w:pPr>
        <w:spacing w:line="276" w:lineRule="auto"/>
        <w:rPr>
          <w:rFonts w:asciiTheme="minorHAnsi" w:eastAsiaTheme="minorHAnsi" w:hAnsiTheme="minorHAnsi" w:cstheme="minorBidi"/>
          <w:szCs w:val="22"/>
          <w:lang w:eastAsia="en-US"/>
        </w:rPr>
      </w:pPr>
      <w:r w:rsidRPr="00426825">
        <w:rPr>
          <w:rFonts w:asciiTheme="minorHAnsi" w:eastAsiaTheme="minorHAnsi" w:hAnsiTheme="minorHAnsi" w:cstheme="minorBidi"/>
          <w:noProof/>
          <w:szCs w:val="22"/>
        </w:rPr>
        <w:drawing>
          <wp:anchor distT="0" distB="0" distL="114300" distR="114300" simplePos="0" relativeHeight="251890688" behindDoc="1" locked="0" layoutInCell="1" allowOverlap="1" wp14:anchorId="4465196C" wp14:editId="6C14275B">
            <wp:simplePos x="0" y="0"/>
            <wp:positionH relativeFrom="column">
              <wp:posOffset>-270510</wp:posOffset>
            </wp:positionH>
            <wp:positionV relativeFrom="paragraph">
              <wp:posOffset>-294640</wp:posOffset>
            </wp:positionV>
            <wp:extent cx="6194425" cy="4378960"/>
            <wp:effectExtent l="0" t="0" r="0" b="2540"/>
            <wp:wrapTight wrapText="bothSides">
              <wp:wrapPolygon edited="0">
                <wp:start x="0" y="0"/>
                <wp:lineTo x="0" y="21519"/>
                <wp:lineTo x="21523" y="21519"/>
                <wp:lineTo x="21523"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10 - Summary Service and Asset Plans_Page_075.jpg"/>
                    <pic:cNvPicPr/>
                  </pic:nvPicPr>
                  <pic:blipFill>
                    <a:blip r:embed="rId42" cstate="screen">
                      <a:extLst>
                        <a:ext uri="{28A0092B-C50C-407E-A947-70E740481C1C}">
                          <a14:useLocalDpi xmlns:a14="http://schemas.microsoft.com/office/drawing/2010/main"/>
                        </a:ext>
                      </a:extLst>
                    </a:blip>
                    <a:stretch>
                      <a:fillRect/>
                    </a:stretch>
                  </pic:blipFill>
                  <pic:spPr>
                    <a:xfrm>
                      <a:off x="0" y="0"/>
                      <a:ext cx="6194425" cy="4378960"/>
                    </a:xfrm>
                    <a:prstGeom prst="rect">
                      <a:avLst/>
                    </a:prstGeom>
                  </pic:spPr>
                </pic:pic>
              </a:graphicData>
            </a:graphic>
            <wp14:sizeRelH relativeFrom="page">
              <wp14:pctWidth>0</wp14:pctWidth>
            </wp14:sizeRelH>
            <wp14:sizeRelV relativeFrom="page">
              <wp14:pctHeight>0</wp14:pctHeight>
            </wp14:sizeRelV>
          </wp:anchor>
        </w:drawing>
      </w:r>
      <w:r w:rsidRPr="00426825">
        <w:rPr>
          <w:rFonts w:asciiTheme="minorHAnsi" w:eastAsiaTheme="minorHAnsi" w:hAnsiTheme="minorHAnsi" w:cstheme="minorBidi"/>
          <w:noProof/>
          <w:szCs w:val="22"/>
        </w:rPr>
        <w:drawing>
          <wp:anchor distT="0" distB="0" distL="114300" distR="114300" simplePos="0" relativeHeight="251891712" behindDoc="1" locked="0" layoutInCell="1" allowOverlap="1" wp14:anchorId="4CFEF411" wp14:editId="21A82014">
            <wp:simplePos x="0" y="0"/>
            <wp:positionH relativeFrom="column">
              <wp:posOffset>-270510</wp:posOffset>
            </wp:positionH>
            <wp:positionV relativeFrom="paragraph">
              <wp:posOffset>4172585</wp:posOffset>
            </wp:positionV>
            <wp:extent cx="6464300" cy="4569460"/>
            <wp:effectExtent l="0" t="0" r="0" b="2540"/>
            <wp:wrapTight wrapText="bothSides">
              <wp:wrapPolygon edited="0">
                <wp:start x="0" y="0"/>
                <wp:lineTo x="0" y="21522"/>
                <wp:lineTo x="21515" y="21522"/>
                <wp:lineTo x="21515"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10 - Summary Service and Asset Plans_Page_080.jpg"/>
                    <pic:cNvPicPr/>
                  </pic:nvPicPr>
                  <pic:blipFill>
                    <a:blip r:embed="rId43" cstate="screen">
                      <a:extLst>
                        <a:ext uri="{28A0092B-C50C-407E-A947-70E740481C1C}">
                          <a14:useLocalDpi xmlns:a14="http://schemas.microsoft.com/office/drawing/2010/main"/>
                        </a:ext>
                      </a:extLst>
                    </a:blip>
                    <a:stretch>
                      <a:fillRect/>
                    </a:stretch>
                  </pic:blipFill>
                  <pic:spPr>
                    <a:xfrm>
                      <a:off x="0" y="0"/>
                      <a:ext cx="6464300" cy="4569460"/>
                    </a:xfrm>
                    <a:prstGeom prst="rect">
                      <a:avLst/>
                    </a:prstGeom>
                  </pic:spPr>
                </pic:pic>
              </a:graphicData>
            </a:graphic>
            <wp14:sizeRelH relativeFrom="page">
              <wp14:pctWidth>0</wp14:pctWidth>
            </wp14:sizeRelH>
            <wp14:sizeRelV relativeFrom="page">
              <wp14:pctHeight>0</wp14:pctHeight>
            </wp14:sizeRelV>
          </wp:anchor>
        </w:drawing>
      </w:r>
    </w:p>
    <w:p w14:paraId="686D1490" w14:textId="33EEA960" w:rsidR="00426825" w:rsidRPr="00D402E8" w:rsidRDefault="00426825" w:rsidP="00426825">
      <w:pPr>
        <w:spacing w:before="240" w:line="276" w:lineRule="auto"/>
        <w:jc w:val="both"/>
        <w:rPr>
          <w:rFonts w:ascii="Arial" w:hAnsi="Arial" w:cs="Arial"/>
          <w:bCs/>
          <w:i/>
          <w:sz w:val="20"/>
          <w:szCs w:val="20"/>
        </w:rPr>
      </w:pPr>
      <w:r w:rsidRPr="00D402E8">
        <w:rPr>
          <w:rFonts w:ascii="Arial" w:hAnsi="Arial" w:cs="Arial"/>
          <w:bCs/>
          <w:i/>
          <w:sz w:val="20"/>
          <w:szCs w:val="20"/>
        </w:rPr>
        <w:t xml:space="preserve">Sports and Recreation Service </w:t>
      </w:r>
    </w:p>
    <w:p w14:paraId="09089D87" w14:textId="6DFA0969" w:rsidR="00426825" w:rsidRDefault="00426825" w:rsidP="00426825">
      <w:pPr>
        <w:spacing w:before="240" w:line="276" w:lineRule="auto"/>
        <w:jc w:val="both"/>
        <w:rPr>
          <w:rFonts w:ascii="Arial" w:hAnsi="Arial" w:cs="Arial"/>
          <w:bCs/>
          <w:sz w:val="20"/>
          <w:szCs w:val="20"/>
        </w:rPr>
      </w:pPr>
      <w:r>
        <w:rPr>
          <w:rFonts w:ascii="Arial" w:hAnsi="Arial" w:cs="Arial"/>
          <w:bCs/>
          <w:sz w:val="20"/>
          <w:szCs w:val="20"/>
        </w:rPr>
        <w:t>As shown in the sample Service Dashboard excerpts below, the Council provides a wide range of recreational opportunities for the community that contribute to our community Strategic Plan objective of “</w:t>
      </w:r>
      <w:r w:rsidRPr="00572690">
        <w:rPr>
          <w:rFonts w:ascii="Arial" w:hAnsi="Arial" w:cs="Arial"/>
          <w:bCs/>
          <w:i/>
          <w:sz w:val="20"/>
          <w:szCs w:val="20"/>
        </w:rPr>
        <w:t>Community health and well-being are improved</w:t>
      </w:r>
      <w:r>
        <w:rPr>
          <w:rFonts w:ascii="Arial" w:hAnsi="Arial" w:cs="Arial"/>
          <w:bCs/>
          <w:sz w:val="20"/>
          <w:szCs w:val="20"/>
        </w:rPr>
        <w:t>”. Key risks of current funding levels include significant decline and deterioration in the City’s parks, aquatic and leisure centres, sportsgrounds and associated amenity facilities including fencing, public toilets and parking. For example it is estimated that 20% of the City’s sportsground assets are in poor or very poor condition and 20%-31% of aquatic and leisure centre assets are in poor or very condition. These are important assets that support community wellbeing.</w:t>
      </w:r>
    </w:p>
    <w:p w14:paraId="158772CD" w14:textId="77777777" w:rsidR="00C03946" w:rsidRDefault="00C03946" w:rsidP="00426825">
      <w:pPr>
        <w:spacing w:before="240" w:line="276" w:lineRule="auto"/>
        <w:jc w:val="both"/>
        <w:rPr>
          <w:rFonts w:ascii="Arial" w:hAnsi="Arial" w:cs="Arial"/>
          <w:bCs/>
          <w:sz w:val="20"/>
          <w:szCs w:val="20"/>
        </w:rPr>
      </w:pPr>
    </w:p>
    <w:p w14:paraId="1DDF3449" w14:textId="53BE23E5" w:rsidR="00C03946" w:rsidRPr="000E654F" w:rsidRDefault="00C03946" w:rsidP="00426825">
      <w:pPr>
        <w:spacing w:before="240" w:line="276" w:lineRule="auto"/>
        <w:jc w:val="both"/>
        <w:rPr>
          <w:rFonts w:ascii="Arial" w:hAnsi="Arial" w:cs="Arial"/>
          <w:bCs/>
          <w:i/>
          <w:sz w:val="20"/>
          <w:szCs w:val="20"/>
        </w:rPr>
      </w:pPr>
      <w:r>
        <w:rPr>
          <w:rFonts w:ascii="Arial" w:hAnsi="Arial" w:cs="Arial"/>
          <w:bCs/>
          <w:noProof/>
          <w:sz w:val="20"/>
          <w:szCs w:val="20"/>
        </w:rPr>
        <w:drawing>
          <wp:anchor distT="0" distB="0" distL="114300" distR="114300" simplePos="0" relativeHeight="251893760" behindDoc="1" locked="0" layoutInCell="1" allowOverlap="1" wp14:anchorId="7C75B6BA" wp14:editId="3732F876">
            <wp:simplePos x="0" y="0"/>
            <wp:positionH relativeFrom="column">
              <wp:posOffset>-380365</wp:posOffset>
            </wp:positionH>
            <wp:positionV relativeFrom="paragraph">
              <wp:posOffset>502285</wp:posOffset>
            </wp:positionV>
            <wp:extent cx="6668770" cy="4714875"/>
            <wp:effectExtent l="0" t="0" r="0" b="9525"/>
            <wp:wrapTight wrapText="bothSides">
              <wp:wrapPolygon edited="0">
                <wp:start x="0" y="0"/>
                <wp:lineTo x="0" y="21556"/>
                <wp:lineTo x="21534" y="21556"/>
                <wp:lineTo x="21534"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10 - Summary Service and Asset Plans_Page_120.jpg"/>
                    <pic:cNvPicPr/>
                  </pic:nvPicPr>
                  <pic:blipFill>
                    <a:blip r:embed="rId44" cstate="screen">
                      <a:extLst>
                        <a:ext uri="{28A0092B-C50C-407E-A947-70E740481C1C}">
                          <a14:useLocalDpi xmlns:a14="http://schemas.microsoft.com/office/drawing/2010/main"/>
                        </a:ext>
                      </a:extLst>
                    </a:blip>
                    <a:stretch>
                      <a:fillRect/>
                    </a:stretch>
                  </pic:blipFill>
                  <pic:spPr>
                    <a:xfrm>
                      <a:off x="0" y="0"/>
                      <a:ext cx="6668770" cy="471487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b/>
          <w:szCs w:val="22"/>
          <w:lang w:eastAsia="en-US"/>
        </w:rPr>
        <w:t xml:space="preserve">  </w:t>
      </w:r>
      <w:r w:rsidRPr="000E654F">
        <w:rPr>
          <w:rFonts w:asciiTheme="minorHAnsi" w:eastAsiaTheme="minorHAnsi" w:hAnsiTheme="minorHAnsi" w:cstheme="minorBidi"/>
          <w:b/>
          <w:i/>
          <w:sz w:val="20"/>
          <w:szCs w:val="20"/>
          <w:lang w:eastAsia="en-US"/>
        </w:rPr>
        <w:t xml:space="preserve">Recreation- Service Dashboards </w:t>
      </w:r>
      <w:r w:rsidR="00BF2CCA" w:rsidRPr="000E654F">
        <w:rPr>
          <w:rFonts w:asciiTheme="minorHAnsi" w:eastAsiaTheme="minorHAnsi" w:hAnsiTheme="minorHAnsi" w:cstheme="minorBidi"/>
          <w:b/>
          <w:i/>
          <w:sz w:val="20"/>
          <w:szCs w:val="20"/>
          <w:lang w:eastAsia="en-US"/>
        </w:rPr>
        <w:t xml:space="preserve">Sample Extracts </w:t>
      </w:r>
      <w:r w:rsidRPr="000E654F">
        <w:rPr>
          <w:rFonts w:asciiTheme="minorHAnsi" w:eastAsiaTheme="minorHAnsi" w:hAnsiTheme="minorHAnsi" w:cstheme="minorBidi"/>
          <w:i/>
          <w:sz w:val="20"/>
          <w:szCs w:val="20"/>
          <w:lang w:eastAsia="en-US"/>
        </w:rPr>
        <w:t xml:space="preserve">page 120 </w:t>
      </w:r>
      <w:r w:rsidRPr="000E654F">
        <w:rPr>
          <w:rFonts w:asciiTheme="minorHAnsi" w:eastAsiaTheme="minorHAnsi" w:hAnsiTheme="minorHAnsi" w:cstheme="minorBidi"/>
          <w:b/>
          <w:i/>
          <w:sz w:val="20"/>
          <w:szCs w:val="20"/>
          <w:lang w:eastAsia="en-US"/>
        </w:rPr>
        <w:t>[Attachment 10</w:t>
      </w:r>
      <w:r w:rsidRPr="000E654F">
        <w:rPr>
          <w:rFonts w:asciiTheme="minorHAnsi" w:eastAsiaTheme="minorHAnsi" w:hAnsiTheme="minorHAnsi" w:cstheme="minorBidi"/>
          <w:i/>
          <w:sz w:val="20"/>
          <w:szCs w:val="20"/>
          <w:lang w:eastAsia="en-US"/>
        </w:rPr>
        <w:t>]</w:t>
      </w:r>
    </w:p>
    <w:p w14:paraId="16E58FA4" w14:textId="0E9BD16A" w:rsidR="00C03946" w:rsidRDefault="00C03946" w:rsidP="00426825">
      <w:pPr>
        <w:spacing w:before="240" w:line="276" w:lineRule="auto"/>
        <w:jc w:val="both"/>
        <w:rPr>
          <w:rFonts w:ascii="Arial" w:hAnsi="Arial" w:cs="Arial"/>
          <w:bCs/>
          <w:sz w:val="20"/>
          <w:szCs w:val="20"/>
        </w:rPr>
      </w:pPr>
    </w:p>
    <w:p w14:paraId="2A8FF293" w14:textId="77777777" w:rsidR="00426825" w:rsidRDefault="00426825" w:rsidP="00426825">
      <w:pPr>
        <w:spacing w:line="276" w:lineRule="auto"/>
        <w:jc w:val="both"/>
        <w:rPr>
          <w:rFonts w:ascii="Arial" w:hAnsi="Arial" w:cs="Arial"/>
          <w:bCs/>
          <w:sz w:val="20"/>
          <w:szCs w:val="20"/>
        </w:rPr>
      </w:pPr>
    </w:p>
    <w:p w14:paraId="6B7B0BC9" w14:textId="1D36D831" w:rsidR="00C03946" w:rsidRPr="00FC7879" w:rsidRDefault="00C03946" w:rsidP="00C03946">
      <w:pPr>
        <w:spacing w:line="276" w:lineRule="auto"/>
        <w:rPr>
          <w:rFonts w:asciiTheme="minorHAnsi" w:eastAsiaTheme="minorHAnsi" w:hAnsiTheme="minorHAnsi" w:cstheme="minorBidi"/>
          <w:i/>
          <w:sz w:val="20"/>
          <w:szCs w:val="20"/>
          <w:lang w:eastAsia="en-US"/>
        </w:rPr>
      </w:pPr>
      <w:r w:rsidRPr="00C03946">
        <w:rPr>
          <w:rFonts w:asciiTheme="minorHAnsi" w:eastAsiaTheme="minorHAnsi" w:hAnsiTheme="minorHAnsi" w:cstheme="minorBidi"/>
          <w:noProof/>
          <w:szCs w:val="22"/>
        </w:rPr>
        <w:drawing>
          <wp:anchor distT="0" distB="0" distL="114300" distR="114300" simplePos="0" relativeHeight="251892736" behindDoc="1" locked="0" layoutInCell="1" allowOverlap="1" wp14:anchorId="6DC89D81" wp14:editId="44EC95FF">
            <wp:simplePos x="0" y="0"/>
            <wp:positionH relativeFrom="column">
              <wp:posOffset>-499110</wp:posOffset>
            </wp:positionH>
            <wp:positionV relativeFrom="paragraph">
              <wp:posOffset>200660</wp:posOffset>
            </wp:positionV>
            <wp:extent cx="6781800" cy="4728210"/>
            <wp:effectExtent l="0" t="0" r="0" b="0"/>
            <wp:wrapTight wrapText="bothSides">
              <wp:wrapPolygon edited="0">
                <wp:start x="0" y="0"/>
                <wp:lineTo x="0" y="21496"/>
                <wp:lineTo x="21539" y="21496"/>
                <wp:lineTo x="21539"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10 - Summary Service and Asset Plans_Page_121.jpg"/>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6781800" cy="4728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b/>
          <w:szCs w:val="22"/>
          <w:lang w:eastAsia="en-US"/>
        </w:rPr>
        <w:t xml:space="preserve">   </w:t>
      </w:r>
      <w:r w:rsidRPr="00FC7879">
        <w:rPr>
          <w:rFonts w:asciiTheme="minorHAnsi" w:eastAsiaTheme="minorHAnsi" w:hAnsiTheme="minorHAnsi" w:cstheme="minorBidi"/>
          <w:b/>
          <w:i/>
          <w:sz w:val="20"/>
          <w:szCs w:val="20"/>
          <w:lang w:eastAsia="en-US"/>
        </w:rPr>
        <w:t xml:space="preserve">Recreation- Service Dashboards </w:t>
      </w:r>
      <w:r w:rsidR="00BF2CCA" w:rsidRPr="00FC7879">
        <w:rPr>
          <w:rFonts w:asciiTheme="minorHAnsi" w:eastAsiaTheme="minorHAnsi" w:hAnsiTheme="minorHAnsi" w:cstheme="minorBidi"/>
          <w:b/>
          <w:i/>
          <w:sz w:val="20"/>
          <w:szCs w:val="20"/>
          <w:lang w:eastAsia="en-US"/>
        </w:rPr>
        <w:t xml:space="preserve">Sample Extract </w:t>
      </w:r>
      <w:r w:rsidRPr="00FC7879">
        <w:rPr>
          <w:rFonts w:asciiTheme="minorHAnsi" w:eastAsiaTheme="minorHAnsi" w:hAnsiTheme="minorHAnsi" w:cstheme="minorBidi"/>
          <w:i/>
          <w:sz w:val="20"/>
          <w:szCs w:val="20"/>
          <w:lang w:eastAsia="en-US"/>
        </w:rPr>
        <w:t xml:space="preserve">page 121 </w:t>
      </w:r>
      <w:r w:rsidRPr="00FC7879">
        <w:rPr>
          <w:rFonts w:asciiTheme="minorHAnsi" w:eastAsiaTheme="minorHAnsi" w:hAnsiTheme="minorHAnsi" w:cstheme="minorBidi"/>
          <w:b/>
          <w:i/>
          <w:sz w:val="20"/>
          <w:szCs w:val="20"/>
          <w:lang w:eastAsia="en-US"/>
        </w:rPr>
        <w:t>[Attachment 10</w:t>
      </w:r>
      <w:r w:rsidRPr="00FC7879">
        <w:rPr>
          <w:rFonts w:asciiTheme="minorHAnsi" w:eastAsiaTheme="minorHAnsi" w:hAnsiTheme="minorHAnsi" w:cstheme="minorBidi"/>
          <w:i/>
          <w:sz w:val="20"/>
          <w:szCs w:val="20"/>
          <w:lang w:eastAsia="en-US"/>
        </w:rPr>
        <w:t>]</w:t>
      </w:r>
    </w:p>
    <w:p w14:paraId="6A800B0A" w14:textId="5C109662" w:rsidR="00C03946" w:rsidRPr="00FC7879" w:rsidRDefault="00C03946" w:rsidP="00C03946">
      <w:pPr>
        <w:spacing w:line="276" w:lineRule="auto"/>
        <w:rPr>
          <w:rFonts w:asciiTheme="minorHAnsi" w:eastAsiaTheme="minorHAnsi" w:hAnsiTheme="minorHAnsi" w:cstheme="minorBidi"/>
          <w:i/>
          <w:sz w:val="20"/>
          <w:szCs w:val="20"/>
          <w:lang w:eastAsia="en-US"/>
        </w:rPr>
      </w:pPr>
      <w:r w:rsidRPr="00FC7879">
        <w:rPr>
          <w:rFonts w:ascii="Arial" w:hAnsi="Arial" w:cs="Arial"/>
          <w:b/>
          <w:bCs/>
          <w:i/>
          <w:noProof/>
          <w:sz w:val="20"/>
          <w:szCs w:val="20"/>
        </w:rPr>
        <w:drawing>
          <wp:anchor distT="0" distB="0" distL="114300" distR="114300" simplePos="0" relativeHeight="251894784" behindDoc="1" locked="0" layoutInCell="1" allowOverlap="1" wp14:anchorId="3278B1E6" wp14:editId="5ADE481C">
            <wp:simplePos x="0" y="0"/>
            <wp:positionH relativeFrom="column">
              <wp:posOffset>-361950</wp:posOffset>
            </wp:positionH>
            <wp:positionV relativeFrom="paragraph">
              <wp:posOffset>354330</wp:posOffset>
            </wp:positionV>
            <wp:extent cx="6431280" cy="3276600"/>
            <wp:effectExtent l="19050" t="19050" r="26670" b="19050"/>
            <wp:wrapTight wrapText="bothSides">
              <wp:wrapPolygon edited="0">
                <wp:start x="-64" y="-126"/>
                <wp:lineTo x="-64" y="21600"/>
                <wp:lineTo x="21626" y="21600"/>
                <wp:lineTo x="21626" y="-126"/>
                <wp:lineTo x="-64" y="-126"/>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6431280" cy="3276600"/>
                    </a:xfrm>
                    <a:prstGeom prst="rect">
                      <a:avLst/>
                    </a:prstGeom>
                    <a:noFill/>
                    <a:ln>
                      <a:solidFill>
                        <a:sysClr val="windowText" lastClr="000000">
                          <a:lumMod val="50000"/>
                          <a:lumOff val="50000"/>
                        </a:sysClr>
                      </a:solidFill>
                    </a:ln>
                  </pic:spPr>
                </pic:pic>
              </a:graphicData>
            </a:graphic>
            <wp14:sizeRelH relativeFrom="page">
              <wp14:pctWidth>0</wp14:pctWidth>
            </wp14:sizeRelH>
            <wp14:sizeRelV relativeFrom="page">
              <wp14:pctHeight>0</wp14:pctHeight>
            </wp14:sizeRelV>
          </wp:anchor>
        </w:drawing>
      </w:r>
      <w:r w:rsidRPr="00FC7879">
        <w:rPr>
          <w:rFonts w:asciiTheme="minorHAnsi" w:eastAsiaTheme="minorHAnsi" w:hAnsiTheme="minorHAnsi" w:cstheme="minorBidi"/>
          <w:b/>
          <w:i/>
          <w:sz w:val="20"/>
          <w:szCs w:val="20"/>
          <w:lang w:eastAsia="en-US"/>
        </w:rPr>
        <w:t xml:space="preserve">Recreation- Service Dashboards </w:t>
      </w:r>
      <w:r w:rsidR="00BF2CCA" w:rsidRPr="00FC7879">
        <w:rPr>
          <w:rFonts w:asciiTheme="minorHAnsi" w:eastAsiaTheme="minorHAnsi" w:hAnsiTheme="minorHAnsi" w:cstheme="minorBidi"/>
          <w:b/>
          <w:i/>
          <w:sz w:val="20"/>
          <w:szCs w:val="20"/>
          <w:lang w:eastAsia="en-US"/>
        </w:rPr>
        <w:t xml:space="preserve">Sample Extract </w:t>
      </w:r>
      <w:r w:rsidRPr="00FC7879">
        <w:rPr>
          <w:rFonts w:asciiTheme="minorHAnsi" w:eastAsiaTheme="minorHAnsi" w:hAnsiTheme="minorHAnsi" w:cstheme="minorBidi"/>
          <w:i/>
          <w:sz w:val="20"/>
          <w:szCs w:val="20"/>
          <w:lang w:eastAsia="en-US"/>
        </w:rPr>
        <w:t xml:space="preserve">page 126 </w:t>
      </w:r>
      <w:r w:rsidRPr="00FC7879">
        <w:rPr>
          <w:rFonts w:asciiTheme="minorHAnsi" w:eastAsiaTheme="minorHAnsi" w:hAnsiTheme="minorHAnsi" w:cstheme="minorBidi"/>
          <w:b/>
          <w:i/>
          <w:sz w:val="20"/>
          <w:szCs w:val="20"/>
          <w:lang w:eastAsia="en-US"/>
        </w:rPr>
        <w:t>[Attachment 10</w:t>
      </w:r>
      <w:r w:rsidRPr="00FC7879">
        <w:rPr>
          <w:rFonts w:asciiTheme="minorHAnsi" w:eastAsiaTheme="minorHAnsi" w:hAnsiTheme="minorHAnsi" w:cstheme="minorBidi"/>
          <w:i/>
          <w:sz w:val="20"/>
          <w:szCs w:val="20"/>
          <w:lang w:eastAsia="en-US"/>
        </w:rPr>
        <w:t>]</w:t>
      </w:r>
    </w:p>
    <w:p w14:paraId="33DE03DB" w14:textId="77777777" w:rsidR="00C03946" w:rsidRDefault="00C03946">
      <w:pPr>
        <w:rPr>
          <w:rFonts w:ascii="Arial" w:hAnsi="Arial" w:cs="Arial"/>
          <w:b/>
          <w:bCs/>
          <w:i/>
          <w:sz w:val="20"/>
          <w:szCs w:val="20"/>
        </w:rPr>
      </w:pPr>
    </w:p>
    <w:p w14:paraId="5DB84E27" w14:textId="599827B1" w:rsidR="0057698D" w:rsidRPr="00C03946" w:rsidRDefault="0057698D" w:rsidP="0057698D">
      <w:pPr>
        <w:spacing w:line="276" w:lineRule="auto"/>
        <w:rPr>
          <w:rFonts w:asciiTheme="minorHAnsi" w:eastAsiaTheme="minorHAnsi" w:hAnsiTheme="minorHAnsi" w:cstheme="minorBidi"/>
          <w:szCs w:val="22"/>
          <w:lang w:eastAsia="en-US"/>
        </w:rPr>
      </w:pPr>
      <w:r w:rsidRPr="00C03946">
        <w:rPr>
          <w:rFonts w:asciiTheme="minorHAnsi" w:eastAsiaTheme="minorHAnsi" w:hAnsiTheme="minorHAnsi" w:cstheme="minorBidi"/>
          <w:b/>
          <w:szCs w:val="22"/>
          <w:lang w:eastAsia="en-US"/>
        </w:rPr>
        <w:t xml:space="preserve">Recreation- Service Dashboards </w:t>
      </w:r>
      <w:r w:rsidR="00BF2CCA">
        <w:rPr>
          <w:rFonts w:asciiTheme="minorHAnsi" w:eastAsiaTheme="minorHAnsi" w:hAnsiTheme="minorHAnsi" w:cstheme="minorBidi"/>
          <w:b/>
          <w:szCs w:val="22"/>
          <w:lang w:eastAsia="en-US"/>
        </w:rPr>
        <w:t xml:space="preserve">Sample Extract </w:t>
      </w:r>
      <w:r w:rsidRPr="00C03946">
        <w:rPr>
          <w:rFonts w:asciiTheme="minorHAnsi" w:eastAsiaTheme="minorHAnsi" w:hAnsiTheme="minorHAnsi" w:cstheme="minorBidi"/>
          <w:szCs w:val="22"/>
          <w:lang w:eastAsia="en-US"/>
        </w:rPr>
        <w:t xml:space="preserve">page </w:t>
      </w:r>
      <w:r w:rsidR="00BF2CCA">
        <w:rPr>
          <w:rFonts w:asciiTheme="minorHAnsi" w:eastAsiaTheme="minorHAnsi" w:hAnsiTheme="minorHAnsi" w:cstheme="minorBidi"/>
          <w:szCs w:val="22"/>
          <w:lang w:eastAsia="en-US"/>
        </w:rPr>
        <w:t>71</w:t>
      </w:r>
      <w:r w:rsidRPr="00C03946">
        <w:rPr>
          <w:rFonts w:asciiTheme="minorHAnsi" w:eastAsiaTheme="minorHAnsi" w:hAnsiTheme="minorHAnsi" w:cstheme="minorBidi"/>
          <w:szCs w:val="22"/>
          <w:lang w:eastAsia="en-US"/>
        </w:rPr>
        <w:t xml:space="preserve"> </w:t>
      </w:r>
      <w:r w:rsidRPr="00C03946">
        <w:rPr>
          <w:rFonts w:asciiTheme="minorHAnsi" w:eastAsiaTheme="minorHAnsi" w:hAnsiTheme="minorHAnsi" w:cstheme="minorBidi"/>
          <w:b/>
          <w:szCs w:val="22"/>
          <w:lang w:eastAsia="en-US"/>
        </w:rPr>
        <w:t>[Attachment 10</w:t>
      </w:r>
      <w:r w:rsidRPr="00C03946">
        <w:rPr>
          <w:rFonts w:asciiTheme="minorHAnsi" w:eastAsiaTheme="minorHAnsi" w:hAnsiTheme="minorHAnsi" w:cstheme="minorBidi"/>
          <w:szCs w:val="22"/>
          <w:lang w:eastAsia="en-US"/>
        </w:rPr>
        <w:t>]</w:t>
      </w:r>
    </w:p>
    <w:p w14:paraId="5D5338F5" w14:textId="3FD33836" w:rsidR="00BF2CCA" w:rsidRDefault="00BF2CCA">
      <w:pPr>
        <w:rPr>
          <w:rFonts w:ascii="Arial" w:hAnsi="Arial" w:cs="Arial"/>
          <w:b/>
          <w:bCs/>
          <w:i/>
          <w:sz w:val="20"/>
          <w:szCs w:val="20"/>
        </w:rPr>
      </w:pPr>
      <w:r>
        <w:rPr>
          <w:noProof/>
        </w:rPr>
        <w:drawing>
          <wp:anchor distT="0" distB="0" distL="114300" distR="114300" simplePos="0" relativeHeight="251895808" behindDoc="1" locked="0" layoutInCell="1" allowOverlap="1" wp14:anchorId="4825C63E" wp14:editId="63CABC31">
            <wp:simplePos x="0" y="0"/>
            <wp:positionH relativeFrom="column">
              <wp:posOffset>-334645</wp:posOffset>
            </wp:positionH>
            <wp:positionV relativeFrom="paragraph">
              <wp:posOffset>201295</wp:posOffset>
            </wp:positionV>
            <wp:extent cx="6369050" cy="4457700"/>
            <wp:effectExtent l="19050" t="19050" r="12700" b="19050"/>
            <wp:wrapThrough wrapText="bothSides">
              <wp:wrapPolygon edited="0">
                <wp:start x="-65" y="-92"/>
                <wp:lineTo x="-65" y="21600"/>
                <wp:lineTo x="21578" y="21600"/>
                <wp:lineTo x="21578" y="-92"/>
                <wp:lineTo x="-65" y="-92"/>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email">
                      <a:extLst>
                        <a:ext uri="{28A0092B-C50C-407E-A947-70E740481C1C}">
                          <a14:useLocalDpi xmlns:a14="http://schemas.microsoft.com/office/drawing/2010/main"/>
                        </a:ext>
                      </a:extLst>
                    </a:blip>
                    <a:stretch>
                      <a:fillRect/>
                    </a:stretch>
                  </pic:blipFill>
                  <pic:spPr>
                    <a:xfrm>
                      <a:off x="0" y="0"/>
                      <a:ext cx="6369050" cy="4457700"/>
                    </a:xfrm>
                    <a:prstGeom prst="rect">
                      <a:avLst/>
                    </a:prstGeom>
                    <a:ln>
                      <a:solidFill>
                        <a:sysClr val="windowText" lastClr="000000">
                          <a:lumMod val="50000"/>
                          <a:lumOff val="50000"/>
                        </a:sysClr>
                      </a:solidFill>
                    </a:ln>
                  </pic:spPr>
                </pic:pic>
              </a:graphicData>
            </a:graphic>
            <wp14:sizeRelH relativeFrom="page">
              <wp14:pctWidth>0</wp14:pctWidth>
            </wp14:sizeRelH>
            <wp14:sizeRelV relativeFrom="page">
              <wp14:pctHeight>0</wp14:pctHeight>
            </wp14:sizeRelV>
          </wp:anchor>
        </w:drawing>
      </w:r>
    </w:p>
    <w:p w14:paraId="603131CD" w14:textId="77777777" w:rsidR="00426825" w:rsidRDefault="00426825">
      <w:pPr>
        <w:rPr>
          <w:rFonts w:ascii="Arial" w:hAnsi="Arial" w:cs="Arial"/>
          <w:b/>
          <w:bCs/>
          <w:i/>
          <w:sz w:val="20"/>
          <w:szCs w:val="20"/>
        </w:rPr>
      </w:pPr>
    </w:p>
    <w:p w14:paraId="59CB8E10" w14:textId="77777777" w:rsidR="00FC7879" w:rsidRDefault="00FC7879" w:rsidP="00FC7879">
      <w:pPr>
        <w:rPr>
          <w:rFonts w:ascii="Arial" w:hAnsi="Arial" w:cs="Arial"/>
          <w:b/>
          <w:bCs/>
          <w:i/>
          <w:sz w:val="20"/>
          <w:szCs w:val="20"/>
        </w:rPr>
      </w:pPr>
    </w:p>
    <w:p w14:paraId="12F9C244" w14:textId="77777777" w:rsidR="00FC7879" w:rsidRDefault="00FC7879">
      <w:pPr>
        <w:rPr>
          <w:rFonts w:ascii="Arial" w:hAnsi="Arial" w:cs="Arial"/>
          <w:b/>
          <w:bCs/>
          <w:i/>
          <w:sz w:val="20"/>
          <w:szCs w:val="20"/>
        </w:rPr>
      </w:pPr>
      <w:r>
        <w:rPr>
          <w:rFonts w:ascii="Arial" w:hAnsi="Arial" w:cs="Arial"/>
          <w:b/>
          <w:bCs/>
          <w:i/>
          <w:sz w:val="20"/>
          <w:szCs w:val="20"/>
        </w:rPr>
        <w:br w:type="page"/>
      </w:r>
    </w:p>
    <w:p w14:paraId="3629F2B7" w14:textId="66A64033" w:rsidR="004A2652" w:rsidRPr="006F6E82" w:rsidRDefault="004A2652" w:rsidP="00FC7879">
      <w:pPr>
        <w:spacing w:before="240" w:after="240"/>
        <w:rPr>
          <w:rFonts w:ascii="Arial" w:hAnsi="Arial" w:cs="Arial"/>
          <w:b/>
          <w:bCs/>
          <w:i/>
          <w:sz w:val="20"/>
          <w:szCs w:val="20"/>
        </w:rPr>
      </w:pPr>
      <w:r w:rsidRPr="006F6E82">
        <w:rPr>
          <w:rFonts w:ascii="Arial" w:hAnsi="Arial" w:cs="Arial"/>
          <w:b/>
          <w:bCs/>
          <w:i/>
          <w:sz w:val="20"/>
          <w:szCs w:val="20"/>
        </w:rPr>
        <w:t>Analysis of Annual Community Survey Results</w:t>
      </w:r>
    </w:p>
    <w:p w14:paraId="162B41A8" w14:textId="77777777" w:rsidR="00384FFC" w:rsidRDefault="004A2652" w:rsidP="00306749">
      <w:pPr>
        <w:spacing w:line="276" w:lineRule="auto"/>
        <w:jc w:val="both"/>
        <w:rPr>
          <w:rFonts w:ascii="Arial" w:hAnsi="Arial" w:cs="Arial"/>
          <w:bCs/>
          <w:sz w:val="20"/>
          <w:szCs w:val="20"/>
        </w:rPr>
      </w:pPr>
      <w:r>
        <w:rPr>
          <w:rFonts w:ascii="Arial" w:hAnsi="Arial" w:cs="Arial"/>
          <w:bCs/>
          <w:sz w:val="20"/>
          <w:szCs w:val="20"/>
        </w:rPr>
        <w:t>Results of the</w:t>
      </w:r>
      <w:r w:rsidR="00572690">
        <w:rPr>
          <w:rFonts w:ascii="Arial" w:hAnsi="Arial" w:cs="Arial"/>
          <w:bCs/>
          <w:sz w:val="20"/>
          <w:szCs w:val="20"/>
        </w:rPr>
        <w:t xml:space="preserve"> </w:t>
      </w:r>
      <w:r w:rsidR="00384FFC">
        <w:rPr>
          <w:rFonts w:ascii="Arial" w:hAnsi="Arial" w:cs="Arial"/>
          <w:bCs/>
          <w:sz w:val="20"/>
          <w:szCs w:val="20"/>
        </w:rPr>
        <w:t>C</w:t>
      </w:r>
      <w:r w:rsidR="00572690">
        <w:rPr>
          <w:rFonts w:ascii="Arial" w:hAnsi="Arial" w:cs="Arial"/>
          <w:bCs/>
          <w:sz w:val="20"/>
          <w:szCs w:val="20"/>
        </w:rPr>
        <w:t>ouncil’s annual C</w:t>
      </w:r>
      <w:r>
        <w:rPr>
          <w:rFonts w:ascii="Arial" w:hAnsi="Arial" w:cs="Arial"/>
          <w:bCs/>
          <w:sz w:val="20"/>
          <w:szCs w:val="20"/>
        </w:rPr>
        <w:t xml:space="preserve">ommunity </w:t>
      </w:r>
      <w:r w:rsidR="00572690">
        <w:rPr>
          <w:rFonts w:ascii="Arial" w:hAnsi="Arial" w:cs="Arial"/>
          <w:bCs/>
          <w:sz w:val="20"/>
          <w:szCs w:val="20"/>
        </w:rPr>
        <w:t>S</w:t>
      </w:r>
      <w:r>
        <w:rPr>
          <w:rFonts w:ascii="Arial" w:hAnsi="Arial" w:cs="Arial"/>
          <w:bCs/>
          <w:sz w:val="20"/>
          <w:szCs w:val="20"/>
        </w:rPr>
        <w:t xml:space="preserve">urvey of resident satisfaction with Council service delivery, have also been assessed for the past five years and used to identify community priorities relative to service delivery. </w:t>
      </w:r>
    </w:p>
    <w:p w14:paraId="6DED4C32" w14:textId="77777777" w:rsidR="00384FFC" w:rsidRDefault="00384FFC" w:rsidP="00306749">
      <w:pPr>
        <w:spacing w:line="276" w:lineRule="auto"/>
        <w:jc w:val="both"/>
        <w:rPr>
          <w:rFonts w:ascii="Arial" w:hAnsi="Arial" w:cs="Arial"/>
          <w:bCs/>
          <w:sz w:val="20"/>
          <w:szCs w:val="20"/>
        </w:rPr>
      </w:pPr>
    </w:p>
    <w:p w14:paraId="025125FC" w14:textId="14828321" w:rsidR="004A2652" w:rsidRDefault="004A2652" w:rsidP="00306749">
      <w:pPr>
        <w:spacing w:line="276" w:lineRule="auto"/>
        <w:jc w:val="both"/>
        <w:rPr>
          <w:rFonts w:ascii="Arial" w:hAnsi="Arial" w:cs="Arial"/>
          <w:bCs/>
          <w:sz w:val="20"/>
          <w:szCs w:val="20"/>
        </w:rPr>
      </w:pPr>
      <w:r>
        <w:rPr>
          <w:rFonts w:ascii="Arial" w:hAnsi="Arial" w:cs="Arial"/>
          <w:bCs/>
          <w:sz w:val="20"/>
          <w:szCs w:val="20"/>
        </w:rPr>
        <w:t xml:space="preserve">This survey is independently conducted by IRIS Research in April/ May each year. </w:t>
      </w:r>
      <w:r w:rsidRPr="00384FFC">
        <w:rPr>
          <w:rFonts w:ascii="Arial" w:hAnsi="Arial" w:cs="Arial"/>
          <w:b/>
          <w:bCs/>
          <w:sz w:val="20"/>
          <w:szCs w:val="20"/>
        </w:rPr>
        <w:t xml:space="preserve">Attachment 15 </w:t>
      </w:r>
      <w:r w:rsidRPr="00A071EB">
        <w:rPr>
          <w:rFonts w:ascii="Arial" w:hAnsi="Arial" w:cs="Arial"/>
          <w:bCs/>
          <w:sz w:val="20"/>
          <w:szCs w:val="20"/>
        </w:rPr>
        <w:t>presents</w:t>
      </w:r>
      <w:r>
        <w:rPr>
          <w:rFonts w:ascii="Arial" w:hAnsi="Arial" w:cs="Arial"/>
          <w:bCs/>
          <w:sz w:val="20"/>
          <w:szCs w:val="20"/>
        </w:rPr>
        <w:t xml:space="preserve"> an analysis of the key priorities and gaps in service provision identified in community survey results over the period 2009–2014. It highlights significant requirement for improved service delivery, of relevance to this application, in the following areas:</w:t>
      </w:r>
    </w:p>
    <w:p w14:paraId="7E2ADD4E" w14:textId="77777777" w:rsidR="004A2652" w:rsidRDefault="004A2652" w:rsidP="004A2652">
      <w:pPr>
        <w:rPr>
          <w:rFonts w:ascii="Arial" w:hAnsi="Arial" w:cs="Arial"/>
          <w:bCs/>
          <w:sz w:val="20"/>
          <w:szCs w:val="20"/>
        </w:rPr>
      </w:pPr>
    </w:p>
    <w:p w14:paraId="4D78F259" w14:textId="77777777" w:rsidR="004A2652" w:rsidRDefault="004A2652" w:rsidP="004A2652">
      <w:pPr>
        <w:spacing w:line="360" w:lineRule="auto"/>
        <w:jc w:val="both"/>
        <w:rPr>
          <w:rFonts w:ascii="Arial" w:hAnsi="Arial" w:cs="Arial"/>
          <w:bCs/>
          <w:sz w:val="20"/>
          <w:szCs w:val="20"/>
        </w:rPr>
      </w:pPr>
      <w:r w:rsidRPr="00595EC1">
        <w:rPr>
          <w:rFonts w:ascii="Arial" w:hAnsi="Arial" w:cs="Arial"/>
          <w:bCs/>
          <w:i/>
          <w:sz w:val="20"/>
          <w:szCs w:val="20"/>
        </w:rPr>
        <w:t>Looking After Environment</w:t>
      </w:r>
      <w:r>
        <w:rPr>
          <w:rFonts w:ascii="Arial" w:hAnsi="Arial" w:cs="Arial"/>
          <w:bCs/>
          <w:sz w:val="20"/>
          <w:szCs w:val="20"/>
        </w:rPr>
        <w:t>:</w:t>
      </w:r>
    </w:p>
    <w:p w14:paraId="33F61839" w14:textId="77777777" w:rsidR="004A2652" w:rsidRPr="006449C1" w:rsidRDefault="004A2652" w:rsidP="00695720">
      <w:pPr>
        <w:pStyle w:val="ListParagraph"/>
        <w:numPr>
          <w:ilvl w:val="0"/>
          <w:numId w:val="109"/>
        </w:numPr>
        <w:spacing w:line="360" w:lineRule="auto"/>
        <w:ind w:left="567" w:hanging="283"/>
        <w:jc w:val="both"/>
        <w:rPr>
          <w:rFonts w:ascii="Arial" w:hAnsi="Arial" w:cs="Arial"/>
          <w:bCs/>
          <w:sz w:val="18"/>
          <w:szCs w:val="18"/>
        </w:rPr>
      </w:pPr>
      <w:r w:rsidRPr="006449C1">
        <w:rPr>
          <w:rFonts w:ascii="Arial" w:hAnsi="Arial" w:cs="Arial"/>
          <w:bCs/>
          <w:sz w:val="18"/>
          <w:szCs w:val="18"/>
        </w:rPr>
        <w:t>Clean creeks and waterways</w:t>
      </w:r>
    </w:p>
    <w:p w14:paraId="030C1F06" w14:textId="77777777" w:rsidR="004A2652" w:rsidRPr="006449C1" w:rsidRDefault="004A2652" w:rsidP="00695720">
      <w:pPr>
        <w:pStyle w:val="ListParagraph"/>
        <w:numPr>
          <w:ilvl w:val="0"/>
          <w:numId w:val="109"/>
        </w:numPr>
        <w:spacing w:line="360" w:lineRule="auto"/>
        <w:ind w:left="567" w:hanging="283"/>
        <w:jc w:val="both"/>
        <w:rPr>
          <w:rFonts w:ascii="Arial" w:hAnsi="Arial" w:cs="Arial"/>
          <w:bCs/>
          <w:sz w:val="18"/>
          <w:szCs w:val="18"/>
        </w:rPr>
      </w:pPr>
      <w:r w:rsidRPr="006449C1">
        <w:rPr>
          <w:rFonts w:ascii="Arial" w:hAnsi="Arial" w:cs="Arial"/>
          <w:bCs/>
          <w:sz w:val="18"/>
          <w:szCs w:val="18"/>
        </w:rPr>
        <w:t>Weed control</w:t>
      </w:r>
    </w:p>
    <w:p w14:paraId="030ED444" w14:textId="77777777" w:rsidR="004A2652" w:rsidRPr="006449C1" w:rsidRDefault="004A2652" w:rsidP="00695720">
      <w:pPr>
        <w:pStyle w:val="ListParagraph"/>
        <w:numPr>
          <w:ilvl w:val="0"/>
          <w:numId w:val="109"/>
        </w:numPr>
        <w:spacing w:line="360" w:lineRule="auto"/>
        <w:ind w:left="567" w:hanging="283"/>
        <w:jc w:val="both"/>
        <w:rPr>
          <w:rFonts w:ascii="Arial" w:hAnsi="Arial" w:cs="Arial"/>
          <w:bCs/>
          <w:sz w:val="18"/>
          <w:szCs w:val="18"/>
        </w:rPr>
      </w:pPr>
      <w:r w:rsidRPr="006449C1">
        <w:rPr>
          <w:rFonts w:ascii="Arial" w:hAnsi="Arial" w:cs="Arial"/>
          <w:bCs/>
          <w:sz w:val="18"/>
          <w:szCs w:val="18"/>
        </w:rPr>
        <w:t>Storm water management</w:t>
      </w:r>
    </w:p>
    <w:p w14:paraId="6AF1F930" w14:textId="77777777" w:rsidR="004A2652" w:rsidRPr="006449C1" w:rsidRDefault="004A2652" w:rsidP="00695720">
      <w:pPr>
        <w:pStyle w:val="ListParagraph"/>
        <w:numPr>
          <w:ilvl w:val="0"/>
          <w:numId w:val="109"/>
        </w:numPr>
        <w:spacing w:line="360" w:lineRule="auto"/>
        <w:ind w:left="567" w:hanging="283"/>
        <w:jc w:val="both"/>
        <w:rPr>
          <w:rFonts w:ascii="Arial" w:hAnsi="Arial" w:cs="Arial"/>
          <w:bCs/>
          <w:sz w:val="18"/>
          <w:szCs w:val="18"/>
        </w:rPr>
      </w:pPr>
      <w:r w:rsidRPr="006449C1">
        <w:rPr>
          <w:rFonts w:ascii="Arial" w:hAnsi="Arial" w:cs="Arial"/>
          <w:bCs/>
          <w:sz w:val="18"/>
          <w:szCs w:val="18"/>
        </w:rPr>
        <w:t>Protection of natural bushland</w:t>
      </w:r>
    </w:p>
    <w:p w14:paraId="5FF19806" w14:textId="77777777" w:rsidR="004A2652" w:rsidRDefault="004A2652" w:rsidP="004A2652">
      <w:pPr>
        <w:spacing w:line="360" w:lineRule="auto"/>
        <w:jc w:val="both"/>
        <w:rPr>
          <w:rFonts w:ascii="Arial" w:hAnsi="Arial" w:cs="Arial"/>
          <w:bCs/>
          <w:i/>
          <w:sz w:val="20"/>
          <w:szCs w:val="20"/>
        </w:rPr>
      </w:pPr>
    </w:p>
    <w:p w14:paraId="5261FE76" w14:textId="77777777" w:rsidR="004A2652" w:rsidRPr="00595EC1" w:rsidRDefault="004A2652" w:rsidP="004A2652">
      <w:pPr>
        <w:spacing w:line="360" w:lineRule="auto"/>
        <w:jc w:val="both"/>
        <w:rPr>
          <w:rFonts w:ascii="Arial" w:hAnsi="Arial" w:cs="Arial"/>
          <w:bCs/>
          <w:i/>
          <w:sz w:val="20"/>
          <w:szCs w:val="20"/>
        </w:rPr>
      </w:pPr>
      <w:r w:rsidRPr="00595EC1">
        <w:rPr>
          <w:rFonts w:ascii="Arial" w:hAnsi="Arial" w:cs="Arial"/>
          <w:bCs/>
          <w:i/>
          <w:sz w:val="20"/>
          <w:szCs w:val="20"/>
        </w:rPr>
        <w:t>Built Environment</w:t>
      </w:r>
      <w:r>
        <w:rPr>
          <w:rFonts w:ascii="Arial" w:hAnsi="Arial" w:cs="Arial"/>
          <w:bCs/>
          <w:i/>
          <w:sz w:val="20"/>
          <w:szCs w:val="20"/>
        </w:rPr>
        <w:t>/ Infrastructure</w:t>
      </w:r>
    </w:p>
    <w:p w14:paraId="146BDE5F" w14:textId="77777777" w:rsidR="004A2652" w:rsidRPr="00306749" w:rsidRDefault="004A2652" w:rsidP="00695720">
      <w:pPr>
        <w:pStyle w:val="ListParagraph"/>
        <w:numPr>
          <w:ilvl w:val="0"/>
          <w:numId w:val="110"/>
        </w:numPr>
        <w:spacing w:line="360" w:lineRule="auto"/>
        <w:ind w:left="567" w:hanging="283"/>
        <w:jc w:val="both"/>
        <w:rPr>
          <w:rFonts w:ascii="Arial" w:hAnsi="Arial" w:cs="Arial"/>
          <w:bCs/>
          <w:sz w:val="18"/>
          <w:szCs w:val="18"/>
        </w:rPr>
      </w:pPr>
      <w:r w:rsidRPr="00306749">
        <w:rPr>
          <w:rFonts w:ascii="Arial" w:hAnsi="Arial" w:cs="Arial"/>
          <w:bCs/>
          <w:sz w:val="18"/>
          <w:szCs w:val="18"/>
        </w:rPr>
        <w:t>Sealed roads</w:t>
      </w:r>
    </w:p>
    <w:p w14:paraId="093E8C66" w14:textId="77777777" w:rsidR="004A2652" w:rsidRPr="00306749" w:rsidRDefault="004A2652" w:rsidP="00695720">
      <w:pPr>
        <w:pStyle w:val="ListParagraph"/>
        <w:numPr>
          <w:ilvl w:val="0"/>
          <w:numId w:val="110"/>
        </w:numPr>
        <w:spacing w:line="360" w:lineRule="auto"/>
        <w:ind w:left="567" w:hanging="283"/>
        <w:jc w:val="both"/>
        <w:rPr>
          <w:rFonts w:ascii="Arial" w:hAnsi="Arial" w:cs="Arial"/>
          <w:bCs/>
          <w:sz w:val="18"/>
          <w:szCs w:val="18"/>
        </w:rPr>
      </w:pPr>
      <w:r w:rsidRPr="00306749">
        <w:rPr>
          <w:rFonts w:ascii="Arial" w:hAnsi="Arial" w:cs="Arial"/>
          <w:bCs/>
          <w:sz w:val="18"/>
          <w:szCs w:val="18"/>
        </w:rPr>
        <w:t>Footpaths/ cycle ways</w:t>
      </w:r>
    </w:p>
    <w:p w14:paraId="3F9CED23" w14:textId="77777777" w:rsidR="004A2652" w:rsidRPr="00306749" w:rsidRDefault="004A2652" w:rsidP="00695720">
      <w:pPr>
        <w:pStyle w:val="ListParagraph"/>
        <w:numPr>
          <w:ilvl w:val="0"/>
          <w:numId w:val="110"/>
        </w:numPr>
        <w:spacing w:line="360" w:lineRule="auto"/>
        <w:ind w:left="567" w:hanging="283"/>
        <w:jc w:val="both"/>
        <w:rPr>
          <w:rFonts w:ascii="Arial" w:hAnsi="Arial" w:cs="Arial"/>
          <w:bCs/>
          <w:sz w:val="18"/>
          <w:szCs w:val="18"/>
        </w:rPr>
      </w:pPr>
      <w:r w:rsidRPr="00306749">
        <w:rPr>
          <w:rFonts w:ascii="Arial" w:hAnsi="Arial" w:cs="Arial"/>
          <w:bCs/>
          <w:sz w:val="18"/>
          <w:szCs w:val="18"/>
        </w:rPr>
        <w:t>Traffic safety for pedestrians and vehicles</w:t>
      </w:r>
    </w:p>
    <w:p w14:paraId="02422784" w14:textId="77777777" w:rsidR="004A2652" w:rsidRPr="00306749" w:rsidRDefault="004A2652" w:rsidP="00695720">
      <w:pPr>
        <w:pStyle w:val="ListParagraph"/>
        <w:numPr>
          <w:ilvl w:val="0"/>
          <w:numId w:val="110"/>
        </w:numPr>
        <w:spacing w:line="360" w:lineRule="auto"/>
        <w:ind w:left="567" w:hanging="283"/>
        <w:jc w:val="both"/>
        <w:rPr>
          <w:rFonts w:ascii="Arial" w:hAnsi="Arial" w:cs="Arial"/>
          <w:bCs/>
          <w:sz w:val="18"/>
          <w:szCs w:val="18"/>
        </w:rPr>
      </w:pPr>
      <w:r w:rsidRPr="00306749">
        <w:rPr>
          <w:rFonts w:ascii="Arial" w:hAnsi="Arial" w:cs="Arial"/>
          <w:bCs/>
          <w:sz w:val="18"/>
          <w:szCs w:val="18"/>
        </w:rPr>
        <w:t>Public toilets in town centres</w:t>
      </w:r>
    </w:p>
    <w:p w14:paraId="3EF2B796" w14:textId="77777777" w:rsidR="004A2652" w:rsidRPr="00306749" w:rsidRDefault="004A2652" w:rsidP="00695720">
      <w:pPr>
        <w:pStyle w:val="ListParagraph"/>
        <w:numPr>
          <w:ilvl w:val="0"/>
          <w:numId w:val="110"/>
        </w:numPr>
        <w:spacing w:line="360" w:lineRule="auto"/>
        <w:ind w:left="567" w:hanging="283"/>
        <w:jc w:val="both"/>
        <w:rPr>
          <w:rFonts w:ascii="Arial" w:hAnsi="Arial" w:cs="Arial"/>
          <w:bCs/>
          <w:sz w:val="18"/>
          <w:szCs w:val="18"/>
        </w:rPr>
      </w:pPr>
      <w:r w:rsidRPr="00306749">
        <w:rPr>
          <w:rFonts w:ascii="Arial" w:hAnsi="Arial" w:cs="Arial"/>
          <w:bCs/>
          <w:sz w:val="18"/>
          <w:szCs w:val="18"/>
        </w:rPr>
        <w:t>Atmosphere, look and feel of towns and villages</w:t>
      </w:r>
    </w:p>
    <w:p w14:paraId="0079DE06" w14:textId="77777777" w:rsidR="004A2652" w:rsidRPr="00306749" w:rsidRDefault="004A2652" w:rsidP="00695720">
      <w:pPr>
        <w:pStyle w:val="ListParagraph"/>
        <w:numPr>
          <w:ilvl w:val="0"/>
          <w:numId w:val="110"/>
        </w:numPr>
        <w:spacing w:line="360" w:lineRule="auto"/>
        <w:ind w:left="567" w:hanging="283"/>
        <w:jc w:val="both"/>
        <w:rPr>
          <w:rFonts w:ascii="Arial" w:hAnsi="Arial" w:cs="Arial"/>
          <w:bCs/>
          <w:sz w:val="18"/>
          <w:szCs w:val="18"/>
        </w:rPr>
      </w:pPr>
      <w:r w:rsidRPr="00306749">
        <w:rPr>
          <w:rFonts w:ascii="Arial" w:hAnsi="Arial" w:cs="Arial"/>
          <w:bCs/>
          <w:sz w:val="18"/>
          <w:szCs w:val="18"/>
        </w:rPr>
        <w:t>Litter control</w:t>
      </w:r>
    </w:p>
    <w:p w14:paraId="5E473F34" w14:textId="77777777" w:rsidR="004A2652" w:rsidRDefault="004A2652" w:rsidP="004A2652">
      <w:pPr>
        <w:spacing w:line="360" w:lineRule="auto"/>
        <w:jc w:val="both"/>
        <w:rPr>
          <w:rFonts w:ascii="Arial" w:hAnsi="Arial" w:cs="Arial"/>
          <w:bCs/>
          <w:i/>
          <w:sz w:val="20"/>
          <w:szCs w:val="20"/>
        </w:rPr>
      </w:pPr>
    </w:p>
    <w:p w14:paraId="6E50A27A" w14:textId="77777777" w:rsidR="004A2652" w:rsidRPr="00595EC1" w:rsidRDefault="004A2652" w:rsidP="004A2652">
      <w:pPr>
        <w:spacing w:line="360" w:lineRule="auto"/>
        <w:jc w:val="both"/>
        <w:rPr>
          <w:rFonts w:ascii="Arial" w:hAnsi="Arial" w:cs="Arial"/>
          <w:bCs/>
          <w:i/>
          <w:sz w:val="20"/>
          <w:szCs w:val="20"/>
        </w:rPr>
      </w:pPr>
      <w:r w:rsidRPr="00595EC1">
        <w:rPr>
          <w:rFonts w:ascii="Arial" w:hAnsi="Arial" w:cs="Arial"/>
          <w:bCs/>
          <w:i/>
          <w:sz w:val="20"/>
          <w:szCs w:val="20"/>
        </w:rPr>
        <w:t>Looking After People</w:t>
      </w:r>
    </w:p>
    <w:p w14:paraId="26761FE7" w14:textId="77777777" w:rsidR="004A2652" w:rsidRPr="006449C1" w:rsidRDefault="004A2652" w:rsidP="00695720">
      <w:pPr>
        <w:pStyle w:val="ListParagraph"/>
        <w:numPr>
          <w:ilvl w:val="0"/>
          <w:numId w:val="111"/>
        </w:numPr>
        <w:spacing w:line="360" w:lineRule="auto"/>
        <w:ind w:left="567" w:hanging="283"/>
        <w:jc w:val="both"/>
        <w:rPr>
          <w:rFonts w:ascii="Arial" w:hAnsi="Arial" w:cs="Arial"/>
          <w:bCs/>
          <w:sz w:val="18"/>
          <w:szCs w:val="18"/>
        </w:rPr>
      </w:pPr>
      <w:r w:rsidRPr="006449C1">
        <w:rPr>
          <w:rFonts w:ascii="Arial" w:hAnsi="Arial" w:cs="Arial"/>
          <w:bCs/>
          <w:sz w:val="18"/>
          <w:szCs w:val="18"/>
        </w:rPr>
        <w:t>Protection from bushfires</w:t>
      </w:r>
    </w:p>
    <w:p w14:paraId="1CB2A4E1" w14:textId="77777777" w:rsidR="004A2652" w:rsidRPr="006449C1" w:rsidRDefault="004A2652" w:rsidP="00695720">
      <w:pPr>
        <w:pStyle w:val="ListParagraph"/>
        <w:numPr>
          <w:ilvl w:val="0"/>
          <w:numId w:val="111"/>
        </w:numPr>
        <w:spacing w:line="360" w:lineRule="auto"/>
        <w:ind w:left="567" w:hanging="283"/>
        <w:jc w:val="both"/>
        <w:rPr>
          <w:rFonts w:ascii="Arial" w:hAnsi="Arial" w:cs="Arial"/>
          <w:bCs/>
          <w:sz w:val="18"/>
          <w:szCs w:val="18"/>
        </w:rPr>
      </w:pPr>
      <w:r w:rsidRPr="006449C1">
        <w:rPr>
          <w:rFonts w:ascii="Arial" w:hAnsi="Arial" w:cs="Arial"/>
          <w:bCs/>
          <w:sz w:val="18"/>
          <w:szCs w:val="18"/>
        </w:rPr>
        <w:t>Managing bushfire risk on Council land</w:t>
      </w:r>
    </w:p>
    <w:p w14:paraId="0C6C1BEA" w14:textId="77777777" w:rsidR="004A2652" w:rsidRPr="006449C1" w:rsidRDefault="004A2652" w:rsidP="00695720">
      <w:pPr>
        <w:pStyle w:val="ListParagraph"/>
        <w:numPr>
          <w:ilvl w:val="0"/>
          <w:numId w:val="111"/>
        </w:numPr>
        <w:spacing w:line="360" w:lineRule="auto"/>
        <w:ind w:left="567" w:hanging="283"/>
        <w:jc w:val="both"/>
        <w:rPr>
          <w:rFonts w:ascii="Arial" w:hAnsi="Arial" w:cs="Arial"/>
          <w:bCs/>
          <w:sz w:val="18"/>
          <w:szCs w:val="18"/>
        </w:rPr>
      </w:pPr>
      <w:r w:rsidRPr="006449C1">
        <w:rPr>
          <w:rFonts w:ascii="Arial" w:hAnsi="Arial" w:cs="Arial"/>
          <w:bCs/>
          <w:sz w:val="18"/>
          <w:szCs w:val="18"/>
        </w:rPr>
        <w:t>Service and facilities for young people, older people, people with a disability</w:t>
      </w:r>
    </w:p>
    <w:p w14:paraId="2A77A11F" w14:textId="77777777" w:rsidR="004A2652" w:rsidRDefault="004A2652" w:rsidP="00695720">
      <w:pPr>
        <w:pStyle w:val="ListParagraph"/>
        <w:numPr>
          <w:ilvl w:val="0"/>
          <w:numId w:val="111"/>
        </w:numPr>
        <w:spacing w:line="360" w:lineRule="auto"/>
        <w:ind w:left="567" w:hanging="283"/>
        <w:jc w:val="both"/>
        <w:rPr>
          <w:rFonts w:ascii="Arial" w:hAnsi="Arial" w:cs="Arial"/>
          <w:bCs/>
          <w:sz w:val="18"/>
          <w:szCs w:val="18"/>
        </w:rPr>
      </w:pPr>
      <w:r>
        <w:rPr>
          <w:rFonts w:ascii="Arial" w:hAnsi="Arial" w:cs="Arial"/>
          <w:bCs/>
          <w:sz w:val="18"/>
          <w:szCs w:val="18"/>
        </w:rPr>
        <w:t>Parks and playgrounds</w:t>
      </w:r>
    </w:p>
    <w:p w14:paraId="4A6CF62E" w14:textId="77777777" w:rsidR="004A2652" w:rsidRPr="006449C1" w:rsidRDefault="004A2652" w:rsidP="00695720">
      <w:pPr>
        <w:pStyle w:val="ListParagraph"/>
        <w:numPr>
          <w:ilvl w:val="0"/>
          <w:numId w:val="111"/>
        </w:numPr>
        <w:spacing w:line="360" w:lineRule="auto"/>
        <w:ind w:left="567" w:hanging="283"/>
        <w:jc w:val="both"/>
        <w:rPr>
          <w:rFonts w:ascii="Arial" w:hAnsi="Arial" w:cs="Arial"/>
          <w:bCs/>
          <w:sz w:val="18"/>
          <w:szCs w:val="18"/>
        </w:rPr>
      </w:pPr>
      <w:r w:rsidRPr="006449C1">
        <w:rPr>
          <w:rFonts w:ascii="Arial" w:hAnsi="Arial" w:cs="Arial"/>
          <w:bCs/>
          <w:sz w:val="18"/>
          <w:szCs w:val="18"/>
        </w:rPr>
        <w:t>Clean, safe and healthy living environments</w:t>
      </w:r>
    </w:p>
    <w:p w14:paraId="512D2D55" w14:textId="77777777" w:rsidR="004A2652" w:rsidRDefault="004A2652" w:rsidP="004A2652">
      <w:pPr>
        <w:spacing w:line="360" w:lineRule="auto"/>
        <w:jc w:val="both"/>
        <w:rPr>
          <w:rFonts w:ascii="Arial" w:hAnsi="Arial" w:cs="Arial"/>
          <w:bCs/>
          <w:i/>
          <w:sz w:val="20"/>
          <w:szCs w:val="20"/>
        </w:rPr>
      </w:pPr>
    </w:p>
    <w:p w14:paraId="4D3101ED" w14:textId="77777777" w:rsidR="004A2652" w:rsidRPr="00595EC1" w:rsidRDefault="004A2652" w:rsidP="004A2652">
      <w:pPr>
        <w:spacing w:line="360" w:lineRule="auto"/>
        <w:jc w:val="both"/>
        <w:rPr>
          <w:rFonts w:ascii="Arial" w:hAnsi="Arial" w:cs="Arial"/>
          <w:bCs/>
          <w:i/>
          <w:sz w:val="20"/>
          <w:szCs w:val="20"/>
        </w:rPr>
      </w:pPr>
      <w:r w:rsidRPr="00595EC1">
        <w:rPr>
          <w:rFonts w:ascii="Arial" w:hAnsi="Arial" w:cs="Arial"/>
          <w:bCs/>
          <w:i/>
          <w:sz w:val="20"/>
          <w:szCs w:val="20"/>
        </w:rPr>
        <w:t>Sustainable Economy</w:t>
      </w:r>
    </w:p>
    <w:p w14:paraId="6C23B816" w14:textId="77777777" w:rsidR="004A2652" w:rsidRPr="006449C1" w:rsidRDefault="004A2652" w:rsidP="004A2652">
      <w:pPr>
        <w:pStyle w:val="ListParagraph"/>
        <w:numPr>
          <w:ilvl w:val="0"/>
          <w:numId w:val="68"/>
        </w:numPr>
        <w:spacing w:line="360" w:lineRule="auto"/>
        <w:ind w:left="567" w:hanging="283"/>
        <w:jc w:val="both"/>
        <w:rPr>
          <w:rFonts w:ascii="Arial" w:hAnsi="Arial" w:cs="Arial"/>
          <w:bCs/>
          <w:sz w:val="18"/>
          <w:szCs w:val="18"/>
        </w:rPr>
      </w:pPr>
      <w:r w:rsidRPr="006449C1">
        <w:rPr>
          <w:rFonts w:ascii="Arial" w:hAnsi="Arial" w:cs="Arial"/>
          <w:bCs/>
          <w:sz w:val="18"/>
          <w:szCs w:val="18"/>
        </w:rPr>
        <w:t xml:space="preserve">Access to local employment  </w:t>
      </w:r>
    </w:p>
    <w:p w14:paraId="315A1FC6" w14:textId="77777777" w:rsidR="004A2652" w:rsidRDefault="004A2652" w:rsidP="004A2652">
      <w:pPr>
        <w:rPr>
          <w:rFonts w:ascii="Arial" w:eastAsiaTheme="minorEastAsia" w:hAnsi="Arial" w:cs="Arial"/>
          <w:sz w:val="20"/>
          <w:szCs w:val="20"/>
          <w:lang w:eastAsia="en-US"/>
        </w:rPr>
      </w:pPr>
    </w:p>
    <w:p w14:paraId="33677A95" w14:textId="29220503" w:rsidR="004A2652" w:rsidRPr="00A071EB" w:rsidRDefault="004A2652" w:rsidP="00306749">
      <w:pPr>
        <w:spacing w:after="200" w:line="276" w:lineRule="auto"/>
        <w:jc w:val="both"/>
        <w:rPr>
          <w:rFonts w:ascii="Arial" w:eastAsiaTheme="minorEastAsia" w:hAnsi="Arial" w:cs="Arial"/>
          <w:sz w:val="20"/>
          <w:szCs w:val="20"/>
          <w:lang w:eastAsia="en-US"/>
        </w:rPr>
      </w:pPr>
      <w:r w:rsidRPr="00A071EB">
        <w:rPr>
          <w:rFonts w:ascii="Arial" w:eastAsiaTheme="minorEastAsia" w:hAnsi="Arial" w:cs="Arial"/>
          <w:sz w:val="20"/>
          <w:szCs w:val="20"/>
          <w:lang w:eastAsia="en-US"/>
        </w:rPr>
        <w:t>As detailed in the Council’s Resourcing Strategy (</w:t>
      </w:r>
      <w:r w:rsidRPr="00384FFC">
        <w:rPr>
          <w:rFonts w:ascii="Arial" w:eastAsiaTheme="minorEastAsia" w:hAnsi="Arial" w:cs="Arial"/>
          <w:b/>
          <w:sz w:val="20"/>
          <w:szCs w:val="20"/>
          <w:lang w:eastAsia="en-US"/>
        </w:rPr>
        <w:t>Attachment 13</w:t>
      </w:r>
      <w:r w:rsidRPr="00A071EB">
        <w:rPr>
          <w:rFonts w:ascii="Arial" w:eastAsiaTheme="minorEastAsia" w:hAnsi="Arial" w:cs="Arial"/>
          <w:sz w:val="20"/>
          <w:szCs w:val="20"/>
          <w:lang w:eastAsia="en-US"/>
        </w:rPr>
        <w:t xml:space="preserve">, </w:t>
      </w:r>
      <w:r w:rsidRPr="00384FFC">
        <w:rPr>
          <w:rFonts w:ascii="Arial" w:eastAsiaTheme="minorEastAsia" w:hAnsi="Arial" w:cs="Arial"/>
          <w:b/>
          <w:sz w:val="20"/>
          <w:szCs w:val="20"/>
          <w:lang w:eastAsia="en-US"/>
        </w:rPr>
        <w:t>Part 1</w:t>
      </w:r>
      <w:r w:rsidRPr="00A071EB">
        <w:rPr>
          <w:rFonts w:ascii="Arial" w:eastAsiaTheme="minorEastAsia" w:hAnsi="Arial" w:cs="Arial"/>
          <w:sz w:val="20"/>
          <w:szCs w:val="20"/>
          <w:lang w:eastAsia="en-US"/>
        </w:rPr>
        <w:t xml:space="preserve">), analysis of  </w:t>
      </w:r>
      <w:r w:rsidR="00384FFC">
        <w:rPr>
          <w:rFonts w:ascii="Arial" w:eastAsiaTheme="minorEastAsia" w:hAnsi="Arial" w:cs="Arial"/>
          <w:sz w:val="20"/>
          <w:szCs w:val="20"/>
          <w:lang w:eastAsia="en-US"/>
        </w:rPr>
        <w:t>C</w:t>
      </w:r>
      <w:r w:rsidRPr="00A071EB">
        <w:rPr>
          <w:rFonts w:ascii="Arial" w:eastAsiaTheme="minorEastAsia" w:hAnsi="Arial" w:cs="Arial"/>
          <w:sz w:val="20"/>
          <w:szCs w:val="20"/>
          <w:lang w:eastAsia="en-US"/>
        </w:rPr>
        <w:t xml:space="preserve">ommunity </w:t>
      </w:r>
      <w:r w:rsidR="00384FFC">
        <w:rPr>
          <w:rFonts w:ascii="Arial" w:eastAsiaTheme="minorEastAsia" w:hAnsi="Arial" w:cs="Arial"/>
          <w:sz w:val="20"/>
          <w:szCs w:val="20"/>
          <w:lang w:eastAsia="en-US"/>
        </w:rPr>
        <w:t>S</w:t>
      </w:r>
      <w:r w:rsidRPr="00A071EB">
        <w:rPr>
          <w:rFonts w:ascii="Arial" w:eastAsiaTheme="minorEastAsia" w:hAnsi="Arial" w:cs="Arial"/>
          <w:sz w:val="20"/>
          <w:szCs w:val="20"/>
          <w:lang w:eastAsia="en-US"/>
        </w:rPr>
        <w:t xml:space="preserve">urvey data </w:t>
      </w:r>
      <w:r w:rsidR="00384FFC">
        <w:rPr>
          <w:rFonts w:ascii="Arial" w:eastAsiaTheme="minorEastAsia" w:hAnsi="Arial" w:cs="Arial"/>
          <w:sz w:val="20"/>
          <w:szCs w:val="20"/>
          <w:lang w:eastAsia="en-US"/>
        </w:rPr>
        <w:t xml:space="preserve">over the past five years, </w:t>
      </w:r>
      <w:r w:rsidRPr="00A071EB">
        <w:rPr>
          <w:rFonts w:ascii="Arial" w:eastAsiaTheme="minorEastAsia" w:hAnsi="Arial" w:cs="Arial"/>
          <w:sz w:val="20"/>
          <w:szCs w:val="20"/>
          <w:lang w:eastAsia="en-US"/>
        </w:rPr>
        <w:t xml:space="preserve">combined with results of community engagement and comprehensive service and asset planning work, led to four expenditure priority areas being identified relative to the proposed expenditure focus of the special variation: </w:t>
      </w:r>
    </w:p>
    <w:p w14:paraId="23D6849E" w14:textId="77777777" w:rsidR="004A2652" w:rsidRDefault="004A2652" w:rsidP="004A2652">
      <w:pPr>
        <w:rPr>
          <w:rFonts w:ascii="Arial" w:eastAsiaTheme="minorEastAsia" w:hAnsi="Arial" w:cs="Arial"/>
          <w:sz w:val="20"/>
          <w:szCs w:val="20"/>
          <w:lang w:eastAsia="en-US"/>
        </w:rPr>
      </w:pPr>
      <w:r w:rsidRPr="00CE2CCD">
        <w:rPr>
          <w:rFonts w:ascii="Arial" w:eastAsiaTheme="minorEastAsia" w:hAnsi="Arial" w:cs="Arial"/>
          <w:noProof/>
          <w:sz w:val="20"/>
          <w:szCs w:val="20"/>
        </w:rPr>
        <mc:AlternateContent>
          <mc:Choice Requires="wpg">
            <w:drawing>
              <wp:inline distT="0" distB="0" distL="0" distR="0" wp14:anchorId="2EE883FF" wp14:editId="291C87B5">
                <wp:extent cx="5535382" cy="724619"/>
                <wp:effectExtent l="0" t="0" r="27305" b="18415"/>
                <wp:docPr id="2061" name="Group 2061"/>
                <wp:cNvGraphicFramePr/>
                <a:graphic xmlns:a="http://schemas.openxmlformats.org/drawingml/2006/main">
                  <a:graphicData uri="http://schemas.microsoft.com/office/word/2010/wordprocessingGroup">
                    <wpg:wgp>
                      <wpg:cNvGrpSpPr/>
                      <wpg:grpSpPr>
                        <a:xfrm>
                          <a:off x="0" y="0"/>
                          <a:ext cx="5535382" cy="724619"/>
                          <a:chOff x="-1" y="0"/>
                          <a:chExt cx="5535382" cy="560053"/>
                        </a:xfrm>
                      </wpg:grpSpPr>
                      <wps:wsp>
                        <wps:cNvPr id="2064" name="Rounded Rectangle 2064"/>
                        <wps:cNvSpPr/>
                        <wps:spPr>
                          <a:xfrm>
                            <a:off x="-1" y="0"/>
                            <a:ext cx="1266825" cy="551815"/>
                          </a:xfrm>
                          <a:prstGeom prst="roundRect">
                            <a:avLst/>
                          </a:prstGeom>
                          <a:solidFill>
                            <a:srgbClr val="4F81BD">
                              <a:lumMod val="40000"/>
                              <a:lumOff val="60000"/>
                            </a:srgbClr>
                          </a:solidFill>
                          <a:ln w="25400" cap="flat" cmpd="sng" algn="ctr">
                            <a:solidFill>
                              <a:srgbClr val="4F81BD"/>
                            </a:solidFill>
                            <a:prstDash val="solid"/>
                          </a:ln>
                          <a:effectLst/>
                        </wps:spPr>
                        <wps:txbx>
                          <w:txbxContent>
                            <w:p w14:paraId="424200AF" w14:textId="77777777" w:rsidR="005864FD" w:rsidRPr="00B43066" w:rsidRDefault="005864FD" w:rsidP="004A2652">
                              <w:pPr>
                                <w:jc w:val="center"/>
                                <w:rPr>
                                  <w:rFonts w:ascii="Arial" w:hAnsi="Arial" w:cs="Arial"/>
                                  <w:b/>
                                  <w:szCs w:val="22"/>
                                </w:rPr>
                              </w:pPr>
                              <w:r w:rsidRPr="00B43066">
                                <w:rPr>
                                  <w:rFonts w:ascii="Arial" w:hAnsi="Arial" w:cs="Arial"/>
                                  <w:b/>
                                  <w:szCs w:val="22"/>
                                </w:rPr>
                                <w:t>Built Infrastructure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6" name="Rounded Rectangle 2066"/>
                        <wps:cNvSpPr/>
                        <wps:spPr>
                          <a:xfrm>
                            <a:off x="1359243" y="0"/>
                            <a:ext cx="1309370" cy="551815"/>
                          </a:xfrm>
                          <a:prstGeom prst="roundRect">
                            <a:avLst/>
                          </a:prstGeom>
                          <a:solidFill>
                            <a:srgbClr val="C0504D">
                              <a:lumMod val="40000"/>
                              <a:lumOff val="60000"/>
                            </a:srgbClr>
                          </a:solidFill>
                          <a:ln w="25400" cap="flat" cmpd="sng" algn="ctr">
                            <a:solidFill>
                              <a:srgbClr val="C0504D"/>
                            </a:solidFill>
                            <a:prstDash val="solid"/>
                          </a:ln>
                          <a:effectLst/>
                        </wps:spPr>
                        <wps:txbx>
                          <w:txbxContent>
                            <w:p w14:paraId="79211AD4" w14:textId="77777777" w:rsidR="005864FD" w:rsidRPr="00B43066" w:rsidRDefault="005864FD" w:rsidP="004A2652">
                              <w:pPr>
                                <w:jc w:val="center"/>
                                <w:rPr>
                                  <w:rFonts w:ascii="Arial" w:hAnsi="Arial" w:cs="Arial"/>
                                  <w:b/>
                                </w:rPr>
                              </w:pPr>
                              <w:r w:rsidRPr="00B43066">
                                <w:rPr>
                                  <w:rFonts w:ascii="Arial" w:hAnsi="Arial" w:cs="Arial"/>
                                  <w:b/>
                                </w:rPr>
                                <w:t>Emergency Preparedness &amp; 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7" name="Rounded Rectangle 2077"/>
                        <wps:cNvSpPr/>
                        <wps:spPr>
                          <a:xfrm>
                            <a:off x="2759676" y="8238"/>
                            <a:ext cx="1309370" cy="551815"/>
                          </a:xfrm>
                          <a:prstGeom prst="roundRect">
                            <a:avLst/>
                          </a:prstGeom>
                          <a:solidFill>
                            <a:srgbClr val="9BBB59">
                              <a:lumMod val="60000"/>
                              <a:lumOff val="40000"/>
                            </a:srgbClr>
                          </a:solidFill>
                          <a:ln w="25400" cap="flat" cmpd="sng" algn="ctr">
                            <a:solidFill>
                              <a:srgbClr val="9BBB59"/>
                            </a:solidFill>
                            <a:prstDash val="solid"/>
                          </a:ln>
                          <a:effectLst/>
                        </wps:spPr>
                        <wps:txbx>
                          <w:txbxContent>
                            <w:p w14:paraId="060F2E61" w14:textId="77777777" w:rsidR="005864FD" w:rsidRPr="00B43066" w:rsidRDefault="005864FD" w:rsidP="004A2652">
                              <w:pPr>
                                <w:jc w:val="center"/>
                                <w:rPr>
                                  <w:rFonts w:ascii="Arial" w:hAnsi="Arial" w:cs="Arial"/>
                                  <w:b/>
                                </w:rPr>
                              </w:pPr>
                              <w:r w:rsidRPr="00B43066">
                                <w:rPr>
                                  <w:rFonts w:ascii="Arial" w:hAnsi="Arial" w:cs="Arial"/>
                                  <w:b/>
                                </w:rPr>
                                <w:t>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8" name="Rounded Rectangle 2078"/>
                        <wps:cNvSpPr/>
                        <wps:spPr>
                          <a:xfrm>
                            <a:off x="4226011" y="0"/>
                            <a:ext cx="1309370" cy="551815"/>
                          </a:xfrm>
                          <a:prstGeom prst="roundRect">
                            <a:avLst/>
                          </a:prstGeom>
                          <a:solidFill>
                            <a:srgbClr val="F79646">
                              <a:lumMod val="60000"/>
                              <a:lumOff val="40000"/>
                            </a:srgbClr>
                          </a:solidFill>
                          <a:ln w="25400" cap="flat" cmpd="sng" algn="ctr">
                            <a:solidFill>
                              <a:srgbClr val="F79646"/>
                            </a:solidFill>
                            <a:prstDash val="solid"/>
                          </a:ln>
                          <a:effectLst/>
                        </wps:spPr>
                        <wps:txbx>
                          <w:txbxContent>
                            <w:p w14:paraId="0F73005B" w14:textId="77777777" w:rsidR="005864FD" w:rsidRPr="00B43066" w:rsidRDefault="005864FD" w:rsidP="004A2652">
                              <w:pPr>
                                <w:jc w:val="center"/>
                                <w:rPr>
                                  <w:rFonts w:ascii="Arial" w:hAnsi="Arial" w:cs="Arial"/>
                                  <w:b/>
                                </w:rPr>
                              </w:pPr>
                              <w:r w:rsidRPr="00B43066">
                                <w:rPr>
                                  <w:rFonts w:ascii="Arial" w:hAnsi="Arial" w:cs="Arial"/>
                                  <w:b/>
                                </w:rPr>
                                <w:t xml:space="preserve">Community </w:t>
                              </w:r>
                              <w:r>
                                <w:rPr>
                                  <w:rFonts w:ascii="Arial" w:hAnsi="Arial" w:cs="Arial"/>
                                  <w:b/>
                                </w:rPr>
                                <w:t>services &amp; facilities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2061" o:spid="_x0000_s1036" style="width:435.85pt;height:57.05pt;mso-position-horizontal-relative:char;mso-position-vertical-relative:line" coordorigin="" coordsize="55353,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">
                <v:roundrect id="Rounded Rectangle 2064" o:spid="_x0000_s1037" style="position:absolute;width:12668;height:55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RfycQA&#10;AADdAAAADwAAAGRycy9kb3ducmV2LnhtbESPQWvCQBSE7wX/w/IEb3VjECvRVYIg7U3UVq+P7DMb&#10;zb4N2VWjv75bEHocZuYbZr7sbC1u1PrKsYLRMAFBXDhdcange79+n4LwAVlj7ZgUPMjDctF7m2Om&#10;3Z23dNuFUkQI+wwVmBCaTEpfGLLoh64hjt7JtRZDlG0pdYv3CLe1TJNkIi1WHBcMNrQyVFx2Vxsp&#10;m/PzsKWPazrix8+nM/lxxblSg36Xz0AE6sJ/+NX+0grSZDKGvzfxCc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kX8nEAAAA3QAAAA8AAAAAAAAAAAAAAAAAmAIAAGRycy9k&#10;b3ducmV2LnhtbFBLBQYAAAAABAAEAPUAAACJAwAAAAA=&#10;" fillcolor="#b9cde5" strokecolor="#4f81bd" strokeweight="2pt">
                  <v:textbox>
                    <w:txbxContent>
                      <w:p w14:paraId="424200AF" w14:textId="77777777" w:rsidR="005864FD" w:rsidRPr="00B43066" w:rsidRDefault="005864FD" w:rsidP="004A2652">
                        <w:pPr>
                          <w:jc w:val="center"/>
                          <w:rPr>
                            <w:rFonts w:ascii="Arial" w:hAnsi="Arial" w:cs="Arial"/>
                            <w:b/>
                            <w:szCs w:val="22"/>
                          </w:rPr>
                        </w:pPr>
                        <w:r w:rsidRPr="00B43066">
                          <w:rPr>
                            <w:rFonts w:ascii="Arial" w:hAnsi="Arial" w:cs="Arial"/>
                            <w:b/>
                            <w:szCs w:val="22"/>
                          </w:rPr>
                          <w:t>Built Infrastructure</w:t>
                        </w:r>
                      </w:p>
                    </w:txbxContent>
                  </v:textbox>
                </v:roundrect>
                <v:roundrect id="Rounded Rectangle 2066" o:spid="_x0000_s1038" style="position:absolute;left:13592;width:13094;height:55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bDIsQA&#10;AADdAAAADwAAAGRycy9kb3ducmV2LnhtbESP0YrCMBRE3xf8h3CFfVtTFepSTYsKggv6sO1+wKW5&#10;tsXmpjZR698bQdjHYWbOMKtsMK24Ue8aywqmkwgEcWl1w5WCv2L39Q3CeWSNrWVS8CAHWTr6WGGi&#10;7Z1/6Zb7SgQIuwQV1N53iZSurMmgm9iOOHgn2xv0QfaV1D3eA9y0chZFsTTYcFiosaNtTeU5vxoF&#10;+pgf5xuz1j8L010Wh0fRuHmh1Od4WC9BeBr8f/jd3msFsyiO4fUmPAGZ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2wyLEAAAA3QAAAA8AAAAAAAAAAAAAAAAAmAIAAGRycy9k&#10;b3ducmV2LnhtbFBLBQYAAAAABAAEAPUAAACJAwAAAAA=&#10;" fillcolor="#e6b9b8" strokecolor="#c0504d" strokeweight="2pt">
                  <v:textbox>
                    <w:txbxContent>
                      <w:p w14:paraId="79211AD4" w14:textId="77777777" w:rsidR="005864FD" w:rsidRPr="00B43066" w:rsidRDefault="005864FD" w:rsidP="004A2652">
                        <w:pPr>
                          <w:jc w:val="center"/>
                          <w:rPr>
                            <w:rFonts w:ascii="Arial" w:hAnsi="Arial" w:cs="Arial"/>
                            <w:b/>
                          </w:rPr>
                        </w:pPr>
                        <w:r w:rsidRPr="00B43066">
                          <w:rPr>
                            <w:rFonts w:ascii="Arial" w:hAnsi="Arial" w:cs="Arial"/>
                            <w:b/>
                          </w:rPr>
                          <w:t>Emergency Preparedness &amp; Response</w:t>
                        </w:r>
                      </w:p>
                    </w:txbxContent>
                  </v:textbox>
                </v:roundrect>
                <v:roundrect id="Rounded Rectangle 2077" o:spid="_x0000_s1039" style="position:absolute;left:27596;top:82;width:13094;height:55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Mf18YA&#10;AADdAAAADwAAAGRycy9kb3ducmV2LnhtbESPT2vCQBTE74V+h+UJXkrdVIJK6iaU0kBOBf+Bx0f2&#10;mQSzb0N2G6Of3i0IHoeZ+Q2zzkbTioF611hW8DGLQBCXVjdcKdjv8vcVCOeRNbaWScGVHGTp68sa&#10;E20vvKFh6ysRIOwSVFB73yVSurImg25mO+LgnWxv0AfZV1L3eAlw08p5FC2kwYbDQo0dfddUnrd/&#10;RkHsCqzyNj4OP6fDcdUVbzdpfpWaTsavTxCeRv8MP9qFVjCPlkv4fxOegE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Mf18YAAADdAAAADwAAAAAAAAAAAAAAAACYAgAAZHJz&#10;L2Rvd25yZXYueG1sUEsFBgAAAAAEAAQA9QAAAIsDAAAAAA==&#10;" fillcolor="#c3d69b" strokecolor="#9bbb59" strokeweight="2pt">
                  <v:textbox>
                    <w:txbxContent>
                      <w:p w14:paraId="060F2E61" w14:textId="77777777" w:rsidR="005864FD" w:rsidRPr="00B43066" w:rsidRDefault="005864FD" w:rsidP="004A2652">
                        <w:pPr>
                          <w:jc w:val="center"/>
                          <w:rPr>
                            <w:rFonts w:ascii="Arial" w:hAnsi="Arial" w:cs="Arial"/>
                            <w:b/>
                          </w:rPr>
                        </w:pPr>
                        <w:r w:rsidRPr="00B43066">
                          <w:rPr>
                            <w:rFonts w:ascii="Arial" w:hAnsi="Arial" w:cs="Arial"/>
                            <w:b/>
                          </w:rPr>
                          <w:t>Environment</w:t>
                        </w:r>
                      </w:p>
                    </w:txbxContent>
                  </v:textbox>
                </v:roundrect>
                <v:roundrect id="Rounded Rectangle 2078" o:spid="_x0000_s1040" style="position:absolute;left:42260;width:13093;height:55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TnX8QA&#10;AADdAAAADwAAAGRycy9kb3ducmV2LnhtbERPTU/CQBC9m/AfNmPCTbYWo01lIWhC8IJGNMJx0h3b&#10;hu5s6Q5Q+PXswcTjy/uezHrXqCN1ofZs4H6UgCIuvK25NPD9tbjLQAVBtth4JgNnCjCbDm4mmFt/&#10;4k86rqVUMYRDjgYqkTbXOhQVOQwj3xJH7td3DiXCrtS2w1MMd41Ok+RRO6w5NlTY0mtFxW59cAY+&#10;fPqe9ZtsvLvgy8PyZ7sqZC/GDG/7+TMooV7+xX/uN2sgTZ7i3PgmPgE9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E51/EAAAA3QAAAA8AAAAAAAAAAAAAAAAAmAIAAGRycy9k&#10;b3ducmV2LnhtbFBLBQYAAAAABAAEAPUAAACJAwAAAAA=&#10;" fillcolor="#fac090" strokecolor="#f79646" strokeweight="2pt">
                  <v:textbox>
                    <w:txbxContent>
                      <w:p w14:paraId="0F73005B" w14:textId="77777777" w:rsidR="005864FD" w:rsidRPr="00B43066" w:rsidRDefault="005864FD" w:rsidP="004A2652">
                        <w:pPr>
                          <w:jc w:val="center"/>
                          <w:rPr>
                            <w:rFonts w:ascii="Arial" w:hAnsi="Arial" w:cs="Arial"/>
                            <w:b/>
                          </w:rPr>
                        </w:pPr>
                        <w:r w:rsidRPr="00B43066">
                          <w:rPr>
                            <w:rFonts w:ascii="Arial" w:hAnsi="Arial" w:cs="Arial"/>
                            <w:b/>
                          </w:rPr>
                          <w:t xml:space="preserve">Community </w:t>
                        </w:r>
                        <w:r>
                          <w:rPr>
                            <w:rFonts w:ascii="Arial" w:hAnsi="Arial" w:cs="Arial"/>
                            <w:b/>
                          </w:rPr>
                          <w:t>services &amp; facilities</w:t>
                        </w:r>
                      </w:p>
                    </w:txbxContent>
                  </v:textbox>
                </v:roundrect>
                <w10:anchorlock/>
              </v:group>
            </w:pict>
          </mc:Fallback>
        </mc:AlternateContent>
      </w:r>
    </w:p>
    <w:p w14:paraId="77AA56BF" w14:textId="77777777" w:rsidR="004A2652" w:rsidRDefault="004A2652" w:rsidP="004A2652">
      <w:pPr>
        <w:rPr>
          <w:rFonts w:ascii="Arial" w:eastAsiaTheme="minorEastAsia" w:hAnsi="Arial" w:cs="Arial"/>
          <w:sz w:val="20"/>
          <w:szCs w:val="20"/>
          <w:lang w:eastAsia="en-US"/>
        </w:rPr>
      </w:pPr>
    </w:p>
    <w:p w14:paraId="0B8352D8" w14:textId="77777777" w:rsidR="00384FFC" w:rsidRDefault="00384FFC">
      <w:pPr>
        <w:rPr>
          <w:rFonts w:ascii="Arial" w:eastAsiaTheme="minorEastAsia" w:hAnsi="Arial" w:cs="Arial"/>
          <w:sz w:val="20"/>
          <w:szCs w:val="20"/>
          <w:lang w:eastAsia="en-US"/>
        </w:rPr>
      </w:pPr>
      <w:r>
        <w:rPr>
          <w:rFonts w:ascii="Arial" w:eastAsiaTheme="minorEastAsia" w:hAnsi="Arial" w:cs="Arial"/>
          <w:sz w:val="20"/>
          <w:szCs w:val="20"/>
          <w:lang w:eastAsia="en-US"/>
        </w:rPr>
        <w:br w:type="page"/>
      </w:r>
    </w:p>
    <w:p w14:paraId="480DEA55" w14:textId="0BA2A0D8" w:rsidR="00384FFC" w:rsidRPr="00384FFC" w:rsidRDefault="00384FFC" w:rsidP="00E42574">
      <w:pPr>
        <w:spacing w:line="276" w:lineRule="auto"/>
        <w:jc w:val="both"/>
        <w:rPr>
          <w:rFonts w:ascii="Arial" w:eastAsiaTheme="minorEastAsia" w:hAnsi="Arial" w:cs="Arial"/>
          <w:b/>
          <w:i/>
          <w:sz w:val="20"/>
          <w:szCs w:val="20"/>
          <w:lang w:eastAsia="en-US"/>
        </w:rPr>
      </w:pPr>
      <w:r w:rsidRPr="00384FFC">
        <w:rPr>
          <w:rFonts w:ascii="Arial" w:eastAsiaTheme="minorEastAsia" w:hAnsi="Arial" w:cs="Arial"/>
          <w:b/>
          <w:i/>
          <w:sz w:val="20"/>
          <w:szCs w:val="20"/>
          <w:lang w:eastAsia="en-US"/>
        </w:rPr>
        <w:t xml:space="preserve">Top Issues of Concern </w:t>
      </w:r>
      <w:r w:rsidR="00BF32DB">
        <w:rPr>
          <w:rFonts w:ascii="Arial" w:eastAsiaTheme="minorEastAsia" w:hAnsi="Arial" w:cs="Arial"/>
          <w:b/>
          <w:i/>
          <w:sz w:val="20"/>
          <w:szCs w:val="20"/>
          <w:lang w:eastAsia="en-US"/>
        </w:rPr>
        <w:t>Overall -</w:t>
      </w:r>
      <w:r w:rsidRPr="00384FFC">
        <w:rPr>
          <w:rFonts w:ascii="Arial" w:eastAsiaTheme="minorEastAsia" w:hAnsi="Arial" w:cs="Arial"/>
          <w:b/>
          <w:i/>
          <w:sz w:val="20"/>
          <w:szCs w:val="20"/>
          <w:lang w:eastAsia="en-US"/>
        </w:rPr>
        <w:t xml:space="preserve"> Identified in Community Surveys</w:t>
      </w:r>
    </w:p>
    <w:p w14:paraId="5CCEC3D0" w14:textId="192715FD" w:rsidR="004A2652" w:rsidRDefault="004A2652" w:rsidP="003B5CED">
      <w:pPr>
        <w:spacing w:before="240" w:after="200" w:line="276" w:lineRule="auto"/>
        <w:jc w:val="both"/>
        <w:rPr>
          <w:rFonts w:ascii="Arial" w:eastAsiaTheme="minorEastAsia" w:hAnsi="Arial" w:cs="Arial"/>
          <w:sz w:val="20"/>
          <w:szCs w:val="20"/>
          <w:lang w:eastAsia="en-US"/>
        </w:rPr>
      </w:pPr>
      <w:r w:rsidRPr="00730A7B">
        <w:rPr>
          <w:rFonts w:ascii="Arial" w:eastAsiaTheme="minorEastAsia" w:hAnsi="Arial" w:cs="Arial"/>
          <w:sz w:val="20"/>
          <w:szCs w:val="20"/>
          <w:lang w:eastAsia="en-US"/>
        </w:rPr>
        <w:t xml:space="preserve">When residents were asked about their top issues of concern </w:t>
      </w:r>
      <w:r w:rsidRPr="00730A7B">
        <w:rPr>
          <w:rFonts w:ascii="Arial" w:eastAsiaTheme="minorEastAsia" w:hAnsi="Arial" w:cs="Arial"/>
          <w:b/>
          <w:sz w:val="20"/>
          <w:szCs w:val="20"/>
          <w:lang w:eastAsia="en-US"/>
        </w:rPr>
        <w:t xml:space="preserve">overall </w:t>
      </w:r>
      <w:r>
        <w:rPr>
          <w:rFonts w:ascii="Arial" w:eastAsiaTheme="minorEastAsia" w:hAnsi="Arial" w:cs="Arial"/>
          <w:b/>
          <w:sz w:val="20"/>
          <w:szCs w:val="20"/>
          <w:lang w:eastAsia="en-US"/>
        </w:rPr>
        <w:t xml:space="preserve">for the </w:t>
      </w:r>
      <w:r w:rsidRPr="00730A7B">
        <w:rPr>
          <w:rFonts w:ascii="Arial" w:eastAsiaTheme="minorEastAsia" w:hAnsi="Arial" w:cs="Arial"/>
          <w:b/>
          <w:sz w:val="20"/>
          <w:szCs w:val="20"/>
          <w:lang w:eastAsia="en-US"/>
        </w:rPr>
        <w:t xml:space="preserve">Blue Mountains area, </w:t>
      </w:r>
      <w:r w:rsidRPr="00157DAE">
        <w:rPr>
          <w:rFonts w:ascii="Arial" w:eastAsiaTheme="minorEastAsia" w:hAnsi="Arial" w:cs="Arial"/>
          <w:sz w:val="20"/>
          <w:szCs w:val="20"/>
          <w:lang w:eastAsia="en-US"/>
        </w:rPr>
        <w:t>roads</w:t>
      </w:r>
      <w:r w:rsidRPr="00730A7B">
        <w:rPr>
          <w:rFonts w:ascii="Arial" w:eastAsiaTheme="minorEastAsia" w:hAnsi="Arial" w:cs="Arial"/>
          <w:sz w:val="20"/>
          <w:szCs w:val="20"/>
          <w:lang w:eastAsia="en-US"/>
        </w:rPr>
        <w:t xml:space="preserve"> </w:t>
      </w:r>
      <w:r>
        <w:rPr>
          <w:rFonts w:ascii="Arial" w:eastAsiaTheme="minorEastAsia" w:hAnsi="Arial" w:cs="Arial"/>
          <w:sz w:val="20"/>
          <w:szCs w:val="20"/>
          <w:lang w:eastAsia="en-US"/>
        </w:rPr>
        <w:t>was</w:t>
      </w:r>
      <w:r w:rsidRPr="00730A7B">
        <w:rPr>
          <w:rFonts w:ascii="Arial" w:eastAsiaTheme="minorEastAsia" w:hAnsi="Arial" w:cs="Arial"/>
          <w:sz w:val="20"/>
          <w:szCs w:val="20"/>
          <w:lang w:eastAsia="en-US"/>
        </w:rPr>
        <w:t xml:space="preserve"> the most common response</w:t>
      </w:r>
      <w:r>
        <w:rPr>
          <w:rFonts w:ascii="Arial" w:eastAsiaTheme="minorEastAsia" w:hAnsi="Arial" w:cs="Arial"/>
          <w:sz w:val="20"/>
          <w:szCs w:val="20"/>
          <w:lang w:eastAsia="en-US"/>
        </w:rPr>
        <w:t xml:space="preserve"> in each of the 2012, 2013 and 2014 surveys. </w:t>
      </w:r>
      <w:r>
        <w:rPr>
          <w:rFonts w:ascii="Arial" w:eastAsiaTheme="minorEastAsia" w:hAnsi="Arial" w:cs="Arial"/>
          <w:sz w:val="20"/>
          <w:szCs w:val="20"/>
          <w:lang w:eastAsia="en-US"/>
        </w:rPr>
        <w:br/>
        <w:t xml:space="preserve">In 2014, this overall priority was </w:t>
      </w:r>
      <w:r w:rsidRPr="00730A7B">
        <w:rPr>
          <w:rFonts w:ascii="Arial" w:eastAsiaTheme="minorEastAsia" w:hAnsi="Arial" w:cs="Arial"/>
          <w:sz w:val="20"/>
          <w:szCs w:val="20"/>
          <w:lang w:eastAsia="en-US"/>
        </w:rPr>
        <w:t xml:space="preserve">followed by Bushfire Protection and Traffic Management. </w:t>
      </w:r>
    </w:p>
    <w:p w14:paraId="033AE818" w14:textId="77777777" w:rsidR="004A2652" w:rsidRDefault="004A2652" w:rsidP="004A2652">
      <w:pPr>
        <w:spacing w:after="200" w:line="360" w:lineRule="auto"/>
        <w:jc w:val="both"/>
        <w:rPr>
          <w:rFonts w:ascii="Arial" w:eastAsiaTheme="minorEastAsia" w:hAnsi="Arial" w:cs="Arial"/>
          <w:sz w:val="20"/>
          <w:szCs w:val="20"/>
          <w:lang w:eastAsia="en-US"/>
        </w:rPr>
      </w:pPr>
      <w:r w:rsidRPr="00DC2C9F">
        <w:rPr>
          <w:rFonts w:asciiTheme="minorHAnsi" w:eastAsiaTheme="minorEastAsia" w:hAnsiTheme="minorHAnsi" w:cstheme="minorBidi"/>
          <w:noProof/>
          <w:szCs w:val="22"/>
        </w:rPr>
        <w:drawing>
          <wp:inline distT="0" distB="0" distL="0" distR="0" wp14:anchorId="468EFBD4" wp14:editId="3886AB54">
            <wp:extent cx="4925568" cy="3243072"/>
            <wp:effectExtent l="0" t="0" r="27940" b="14605"/>
            <wp:docPr id="305" name="Chart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704C41E" w14:textId="055381D9" w:rsidR="00384FFC" w:rsidRPr="00384FFC" w:rsidRDefault="00384FFC" w:rsidP="00E42574">
      <w:pPr>
        <w:spacing w:line="276" w:lineRule="auto"/>
        <w:jc w:val="both"/>
        <w:rPr>
          <w:rFonts w:ascii="Arial" w:eastAsiaTheme="minorEastAsia" w:hAnsi="Arial" w:cs="Arial"/>
          <w:b/>
          <w:i/>
          <w:sz w:val="20"/>
          <w:szCs w:val="20"/>
          <w:lang w:eastAsia="en-US"/>
        </w:rPr>
      </w:pPr>
      <w:r w:rsidRPr="00384FFC">
        <w:rPr>
          <w:rFonts w:ascii="Arial" w:eastAsiaTheme="minorEastAsia" w:hAnsi="Arial" w:cs="Arial"/>
          <w:b/>
          <w:i/>
          <w:sz w:val="20"/>
          <w:szCs w:val="20"/>
          <w:lang w:eastAsia="en-US"/>
        </w:rPr>
        <w:t xml:space="preserve">Top Issues of Concern </w:t>
      </w:r>
      <w:r w:rsidR="00BF32DB">
        <w:rPr>
          <w:rFonts w:ascii="Arial" w:eastAsiaTheme="minorEastAsia" w:hAnsi="Arial" w:cs="Arial"/>
          <w:b/>
          <w:i/>
          <w:sz w:val="20"/>
          <w:szCs w:val="20"/>
          <w:lang w:eastAsia="en-US"/>
        </w:rPr>
        <w:t>at Neighbourhood Level -</w:t>
      </w:r>
      <w:r w:rsidRPr="00384FFC">
        <w:rPr>
          <w:rFonts w:ascii="Arial" w:eastAsiaTheme="minorEastAsia" w:hAnsi="Arial" w:cs="Arial"/>
          <w:b/>
          <w:i/>
          <w:sz w:val="20"/>
          <w:szCs w:val="20"/>
          <w:lang w:eastAsia="en-US"/>
        </w:rPr>
        <w:t xml:space="preserve"> Identified in Community </w:t>
      </w:r>
      <w:r>
        <w:rPr>
          <w:rFonts w:ascii="Arial" w:eastAsiaTheme="minorEastAsia" w:hAnsi="Arial" w:cs="Arial"/>
          <w:b/>
          <w:i/>
          <w:sz w:val="20"/>
          <w:szCs w:val="20"/>
          <w:lang w:eastAsia="en-US"/>
        </w:rPr>
        <w:t>S</w:t>
      </w:r>
      <w:r w:rsidRPr="00384FFC">
        <w:rPr>
          <w:rFonts w:ascii="Arial" w:eastAsiaTheme="minorEastAsia" w:hAnsi="Arial" w:cs="Arial"/>
          <w:b/>
          <w:i/>
          <w:sz w:val="20"/>
          <w:szCs w:val="20"/>
          <w:lang w:eastAsia="en-US"/>
        </w:rPr>
        <w:t xml:space="preserve">urvey </w:t>
      </w:r>
    </w:p>
    <w:p w14:paraId="05E698EB" w14:textId="77777777" w:rsidR="004A2652" w:rsidRPr="00DC2C9F" w:rsidRDefault="004A2652" w:rsidP="003B5CED">
      <w:pPr>
        <w:spacing w:before="240" w:after="200" w:line="276" w:lineRule="auto"/>
        <w:jc w:val="both"/>
        <w:rPr>
          <w:rFonts w:ascii="Arial" w:eastAsiaTheme="minorEastAsia" w:hAnsi="Arial" w:cs="Arial"/>
          <w:sz w:val="20"/>
          <w:szCs w:val="20"/>
          <w:lang w:eastAsia="en-US"/>
        </w:rPr>
      </w:pPr>
      <w:r>
        <w:rPr>
          <w:rFonts w:ascii="Arial" w:eastAsiaTheme="minorEastAsia" w:hAnsi="Arial" w:cs="Arial"/>
          <w:sz w:val="20"/>
          <w:szCs w:val="20"/>
          <w:lang w:eastAsia="en-US"/>
        </w:rPr>
        <w:t>In addition, w</w:t>
      </w:r>
      <w:r w:rsidRPr="00DC2C9F">
        <w:rPr>
          <w:rFonts w:ascii="Arial" w:eastAsiaTheme="minorEastAsia" w:hAnsi="Arial" w:cs="Arial"/>
          <w:sz w:val="20"/>
          <w:szCs w:val="20"/>
          <w:lang w:eastAsia="en-US"/>
        </w:rPr>
        <w:t xml:space="preserve">hen </w:t>
      </w:r>
      <w:r>
        <w:rPr>
          <w:rFonts w:ascii="Arial" w:eastAsiaTheme="minorEastAsia" w:hAnsi="Arial" w:cs="Arial"/>
          <w:sz w:val="20"/>
          <w:szCs w:val="20"/>
          <w:lang w:eastAsia="en-US"/>
        </w:rPr>
        <w:t xml:space="preserve">survey respondents were asked about </w:t>
      </w:r>
      <w:r w:rsidRPr="00DC2C9F">
        <w:rPr>
          <w:rFonts w:ascii="Arial" w:eastAsiaTheme="minorEastAsia" w:hAnsi="Arial" w:cs="Arial"/>
          <w:sz w:val="20"/>
          <w:szCs w:val="20"/>
          <w:lang w:eastAsia="en-US"/>
        </w:rPr>
        <w:t>the</w:t>
      </w:r>
      <w:r>
        <w:rPr>
          <w:rFonts w:ascii="Arial" w:eastAsiaTheme="minorEastAsia" w:hAnsi="Arial" w:cs="Arial"/>
          <w:sz w:val="20"/>
          <w:szCs w:val="20"/>
          <w:lang w:eastAsia="en-US"/>
        </w:rPr>
        <w:t>ir</w:t>
      </w:r>
      <w:r w:rsidRPr="00DC2C9F">
        <w:rPr>
          <w:rFonts w:ascii="Arial" w:eastAsiaTheme="minorEastAsia" w:hAnsi="Arial" w:cs="Arial"/>
          <w:sz w:val="20"/>
          <w:szCs w:val="20"/>
          <w:lang w:eastAsia="en-US"/>
        </w:rPr>
        <w:t xml:space="preserve"> top issues of concern for </w:t>
      </w:r>
      <w:r w:rsidRPr="00DC2C9F">
        <w:rPr>
          <w:rFonts w:ascii="Arial" w:eastAsiaTheme="minorEastAsia" w:hAnsi="Arial" w:cs="Arial"/>
          <w:b/>
          <w:sz w:val="20"/>
          <w:szCs w:val="20"/>
          <w:lang w:eastAsia="en-US"/>
        </w:rPr>
        <w:t>their local neighbourhood</w:t>
      </w:r>
      <w:r w:rsidRPr="00DC2C9F">
        <w:rPr>
          <w:rFonts w:ascii="Arial" w:eastAsiaTheme="minorEastAsia" w:hAnsi="Arial" w:cs="Arial"/>
          <w:sz w:val="20"/>
          <w:szCs w:val="20"/>
          <w:lang w:eastAsia="en-US"/>
        </w:rPr>
        <w:t>, the most commonly cited issue</w:t>
      </w:r>
      <w:r>
        <w:rPr>
          <w:rFonts w:ascii="Arial" w:eastAsiaTheme="minorEastAsia" w:hAnsi="Arial" w:cs="Arial"/>
          <w:sz w:val="20"/>
          <w:szCs w:val="20"/>
          <w:lang w:eastAsia="en-US"/>
        </w:rPr>
        <w:t>s</w:t>
      </w:r>
      <w:r w:rsidRPr="00DC2C9F">
        <w:rPr>
          <w:rFonts w:ascii="Arial" w:eastAsiaTheme="minorEastAsia" w:hAnsi="Arial" w:cs="Arial"/>
          <w:sz w:val="20"/>
          <w:szCs w:val="20"/>
          <w:lang w:eastAsia="en-US"/>
        </w:rPr>
        <w:t xml:space="preserve"> </w:t>
      </w:r>
      <w:r>
        <w:rPr>
          <w:rFonts w:ascii="Arial" w:eastAsiaTheme="minorEastAsia" w:hAnsi="Arial" w:cs="Arial"/>
          <w:sz w:val="20"/>
          <w:szCs w:val="20"/>
          <w:lang w:eastAsia="en-US"/>
        </w:rPr>
        <w:t xml:space="preserve">in the 2012, 2013 and 2014 Community Surveys were </w:t>
      </w:r>
      <w:r w:rsidRPr="00DC2C9F">
        <w:rPr>
          <w:rFonts w:ascii="Arial" w:eastAsiaTheme="minorEastAsia" w:hAnsi="Arial" w:cs="Arial"/>
          <w:sz w:val="20"/>
          <w:szCs w:val="20"/>
          <w:lang w:eastAsia="en-US"/>
        </w:rPr>
        <w:t xml:space="preserve">Roads/Kerb/Footpaths, with Bushfire Prevention and Recovery </w:t>
      </w:r>
      <w:r>
        <w:rPr>
          <w:rFonts w:ascii="Arial" w:eastAsiaTheme="minorEastAsia" w:hAnsi="Arial" w:cs="Arial"/>
          <w:sz w:val="20"/>
          <w:szCs w:val="20"/>
          <w:lang w:eastAsia="en-US"/>
        </w:rPr>
        <w:t xml:space="preserve">also </w:t>
      </w:r>
      <w:r w:rsidRPr="00DC2C9F">
        <w:rPr>
          <w:rFonts w:ascii="Arial" w:eastAsiaTheme="minorEastAsia" w:hAnsi="Arial" w:cs="Arial"/>
          <w:sz w:val="20"/>
          <w:szCs w:val="20"/>
          <w:lang w:eastAsia="en-US"/>
        </w:rPr>
        <w:t xml:space="preserve">featuring prominently in 2014. </w:t>
      </w:r>
    </w:p>
    <w:p w14:paraId="7A852BB0" w14:textId="30B961F9" w:rsidR="00306749" w:rsidRDefault="004A2652" w:rsidP="004A2652">
      <w:pPr>
        <w:spacing w:after="200" w:line="276" w:lineRule="auto"/>
        <w:jc w:val="both"/>
        <w:rPr>
          <w:rFonts w:asciiTheme="minorHAnsi" w:eastAsiaTheme="minorEastAsia" w:hAnsiTheme="minorHAnsi" w:cstheme="minorBidi"/>
          <w:szCs w:val="22"/>
          <w:lang w:eastAsia="en-US"/>
        </w:rPr>
      </w:pPr>
      <w:r w:rsidRPr="00DC2C9F">
        <w:rPr>
          <w:rFonts w:asciiTheme="minorHAnsi" w:eastAsiaTheme="minorEastAsia" w:hAnsiTheme="minorHAnsi" w:cstheme="minorBidi"/>
          <w:noProof/>
          <w:szCs w:val="22"/>
        </w:rPr>
        <w:drawing>
          <wp:inline distT="0" distB="0" distL="0" distR="0" wp14:anchorId="51BCFB02" wp14:editId="3CA7FA8C">
            <wp:extent cx="4962144" cy="3072384"/>
            <wp:effectExtent l="0" t="0" r="10160" b="13970"/>
            <wp:docPr id="2080" name="Chart 20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1E9F83D" w14:textId="77777777" w:rsidR="004A2652" w:rsidRDefault="004A2652" w:rsidP="004A2652">
      <w:pPr>
        <w:pStyle w:val="Heading3"/>
        <w:tabs>
          <w:tab w:val="clear" w:pos="1844"/>
          <w:tab w:val="num" w:pos="1135"/>
        </w:tabs>
        <w:ind w:left="1135"/>
      </w:pPr>
      <w:r>
        <w:t>Conclusion – Case for Special Variation – Community Need</w:t>
      </w:r>
    </w:p>
    <w:p w14:paraId="67E537B7" w14:textId="77777777" w:rsidR="004A2652" w:rsidRDefault="004A2652" w:rsidP="004A2652">
      <w:pPr>
        <w:keepNext/>
        <w:spacing w:line="360" w:lineRule="auto"/>
        <w:jc w:val="both"/>
        <w:rPr>
          <w:rFonts w:ascii="Arial" w:hAnsi="Arial" w:cs="Arial"/>
          <w:bCs/>
          <w:sz w:val="20"/>
          <w:szCs w:val="20"/>
        </w:rPr>
      </w:pPr>
    </w:p>
    <w:p w14:paraId="5F975579" w14:textId="49DB09C3" w:rsidR="004A2652" w:rsidRDefault="004A2652" w:rsidP="00306749">
      <w:pPr>
        <w:keepNext/>
        <w:spacing w:line="276" w:lineRule="auto"/>
        <w:jc w:val="both"/>
        <w:rPr>
          <w:rFonts w:ascii="Arial" w:hAnsi="Arial" w:cs="Arial"/>
          <w:bCs/>
          <w:sz w:val="20"/>
          <w:szCs w:val="20"/>
        </w:rPr>
      </w:pPr>
      <w:r w:rsidRPr="009547E5">
        <w:rPr>
          <w:rFonts w:ascii="Arial" w:hAnsi="Arial" w:cs="Arial"/>
          <w:bCs/>
          <w:sz w:val="20"/>
          <w:szCs w:val="20"/>
        </w:rPr>
        <w:t xml:space="preserve">In </w:t>
      </w:r>
      <w:r>
        <w:rPr>
          <w:rFonts w:ascii="Arial" w:hAnsi="Arial" w:cs="Arial"/>
          <w:bCs/>
          <w:sz w:val="20"/>
          <w:szCs w:val="20"/>
        </w:rPr>
        <w:t>conclusion</w:t>
      </w:r>
      <w:r w:rsidRPr="009547E5">
        <w:rPr>
          <w:rFonts w:ascii="Arial" w:hAnsi="Arial" w:cs="Arial"/>
          <w:bCs/>
          <w:sz w:val="20"/>
          <w:szCs w:val="20"/>
        </w:rPr>
        <w:t xml:space="preserve">, </w:t>
      </w:r>
      <w:r>
        <w:rPr>
          <w:rFonts w:ascii="Arial" w:hAnsi="Arial" w:cs="Arial"/>
          <w:bCs/>
          <w:sz w:val="20"/>
          <w:szCs w:val="20"/>
        </w:rPr>
        <w:t xml:space="preserve">the Council’s decision to proceed with this application was based on an extensive assessment of community needs and City requirements, taking into consideration the results of integrated planning community engagement, past community surveys, </w:t>
      </w:r>
      <w:r w:rsidR="00FC7879">
        <w:rPr>
          <w:rFonts w:ascii="Arial" w:hAnsi="Arial" w:cs="Arial"/>
          <w:bCs/>
          <w:sz w:val="20"/>
          <w:szCs w:val="20"/>
        </w:rPr>
        <w:t xml:space="preserve">comprehensive </w:t>
      </w:r>
      <w:r>
        <w:rPr>
          <w:rFonts w:ascii="Arial" w:hAnsi="Arial" w:cs="Arial"/>
          <w:bCs/>
          <w:sz w:val="20"/>
          <w:szCs w:val="20"/>
        </w:rPr>
        <w:t>service and asset planning</w:t>
      </w:r>
      <w:r w:rsidR="00FC7879">
        <w:rPr>
          <w:rFonts w:ascii="Arial" w:hAnsi="Arial" w:cs="Arial"/>
          <w:bCs/>
          <w:sz w:val="20"/>
          <w:szCs w:val="20"/>
        </w:rPr>
        <w:t xml:space="preserve"> and results of community </w:t>
      </w:r>
      <w:r>
        <w:rPr>
          <w:rFonts w:ascii="Arial" w:hAnsi="Arial" w:cs="Arial"/>
          <w:bCs/>
          <w:sz w:val="20"/>
          <w:szCs w:val="20"/>
        </w:rPr>
        <w:t>engagement on affordable and acceptable levels of service.</w:t>
      </w:r>
    </w:p>
    <w:p w14:paraId="4BB6F5AC" w14:textId="77777777" w:rsidR="004A2652" w:rsidRDefault="004A2652" w:rsidP="00306749">
      <w:pPr>
        <w:spacing w:line="276" w:lineRule="auto"/>
        <w:jc w:val="both"/>
        <w:rPr>
          <w:rFonts w:ascii="Arial" w:hAnsi="Arial" w:cs="Arial"/>
          <w:bCs/>
          <w:sz w:val="20"/>
          <w:szCs w:val="20"/>
        </w:rPr>
      </w:pPr>
    </w:p>
    <w:p w14:paraId="44FBA4D8" w14:textId="73125787" w:rsidR="004A2652" w:rsidRDefault="004A2652" w:rsidP="00306749">
      <w:pPr>
        <w:spacing w:line="276" w:lineRule="auto"/>
        <w:jc w:val="both"/>
        <w:rPr>
          <w:rFonts w:ascii="Arial" w:hAnsi="Arial" w:cs="Arial"/>
          <w:bCs/>
          <w:sz w:val="20"/>
          <w:szCs w:val="20"/>
        </w:rPr>
      </w:pPr>
      <w:r>
        <w:rPr>
          <w:rFonts w:ascii="Arial" w:hAnsi="Arial" w:cs="Arial"/>
          <w:bCs/>
          <w:sz w:val="20"/>
          <w:szCs w:val="20"/>
        </w:rPr>
        <w:t xml:space="preserve">Of the three options for </w:t>
      </w:r>
      <w:r w:rsidRPr="00E00029">
        <w:rPr>
          <w:rFonts w:ascii="Arial" w:hAnsi="Arial" w:cs="Arial"/>
          <w:bCs/>
          <w:i/>
          <w:sz w:val="20"/>
          <w:szCs w:val="20"/>
        </w:rPr>
        <w:t>Resourcing Our Future</w:t>
      </w:r>
      <w:r>
        <w:rPr>
          <w:rFonts w:ascii="Arial" w:hAnsi="Arial" w:cs="Arial"/>
          <w:bCs/>
          <w:sz w:val="20"/>
          <w:szCs w:val="20"/>
        </w:rPr>
        <w:t>, the Council resolved to proceed with Option 1 because it is w</w:t>
      </w:r>
      <w:r w:rsidRPr="0040109F">
        <w:rPr>
          <w:rFonts w:ascii="Arial" w:hAnsi="Arial" w:cs="Arial"/>
          <w:bCs/>
          <w:sz w:val="20"/>
          <w:szCs w:val="20"/>
        </w:rPr>
        <w:t xml:space="preserve">as supported by a majority of </w:t>
      </w:r>
      <w:r>
        <w:rPr>
          <w:rFonts w:ascii="Arial" w:hAnsi="Arial" w:cs="Arial"/>
          <w:bCs/>
          <w:sz w:val="20"/>
          <w:szCs w:val="20"/>
        </w:rPr>
        <w:t xml:space="preserve">the </w:t>
      </w:r>
      <w:r w:rsidRPr="0040109F">
        <w:rPr>
          <w:rFonts w:ascii="Arial" w:hAnsi="Arial" w:cs="Arial"/>
          <w:bCs/>
          <w:sz w:val="20"/>
          <w:szCs w:val="20"/>
        </w:rPr>
        <w:t xml:space="preserve">community who made public submissions, </w:t>
      </w:r>
      <w:r>
        <w:rPr>
          <w:rFonts w:ascii="Arial" w:hAnsi="Arial" w:cs="Arial"/>
          <w:bCs/>
          <w:sz w:val="20"/>
          <w:szCs w:val="20"/>
        </w:rPr>
        <w:t xml:space="preserve">and the majority of those who </w:t>
      </w:r>
      <w:r w:rsidRPr="0040109F">
        <w:rPr>
          <w:rFonts w:ascii="Arial" w:hAnsi="Arial" w:cs="Arial"/>
          <w:bCs/>
          <w:sz w:val="20"/>
          <w:szCs w:val="20"/>
        </w:rPr>
        <w:t>par</w:t>
      </w:r>
      <w:r>
        <w:rPr>
          <w:rFonts w:ascii="Arial" w:hAnsi="Arial" w:cs="Arial"/>
          <w:bCs/>
          <w:sz w:val="20"/>
          <w:szCs w:val="20"/>
        </w:rPr>
        <w:t>ticipated in the survey of ratepayers and</w:t>
      </w:r>
      <w:r w:rsidRPr="0040109F">
        <w:rPr>
          <w:rFonts w:ascii="Arial" w:hAnsi="Arial" w:cs="Arial"/>
          <w:bCs/>
          <w:sz w:val="20"/>
          <w:szCs w:val="20"/>
        </w:rPr>
        <w:t xml:space="preserve"> the </w:t>
      </w:r>
      <w:r>
        <w:rPr>
          <w:rFonts w:ascii="Arial" w:hAnsi="Arial" w:cs="Arial"/>
          <w:bCs/>
          <w:sz w:val="20"/>
          <w:szCs w:val="20"/>
        </w:rPr>
        <w:t>community w</w:t>
      </w:r>
      <w:r w:rsidRPr="0040109F">
        <w:rPr>
          <w:rFonts w:ascii="Arial" w:hAnsi="Arial" w:cs="Arial"/>
          <w:bCs/>
          <w:sz w:val="20"/>
          <w:szCs w:val="20"/>
        </w:rPr>
        <w:t>orkshops</w:t>
      </w:r>
      <w:r>
        <w:rPr>
          <w:rFonts w:ascii="Arial" w:hAnsi="Arial" w:cs="Arial"/>
          <w:bCs/>
          <w:sz w:val="20"/>
          <w:szCs w:val="20"/>
        </w:rPr>
        <w:t>.</w:t>
      </w:r>
    </w:p>
    <w:p w14:paraId="005AEEE8" w14:textId="77777777" w:rsidR="004A2652" w:rsidRPr="003B5CED" w:rsidRDefault="004A2652" w:rsidP="004A2652">
      <w:pPr>
        <w:pStyle w:val="BodyText"/>
        <w:spacing w:after="60"/>
        <w:rPr>
          <w:rFonts w:ascii="Arial" w:hAnsi="Arial" w:cs="Arial"/>
          <w:b/>
          <w:sz w:val="18"/>
          <w:szCs w:val="18"/>
        </w:rPr>
      </w:pPr>
      <w:r w:rsidRPr="003B5CED">
        <w:rPr>
          <w:rFonts w:ascii="Arial" w:hAnsi="Arial" w:cs="Arial"/>
          <w:b/>
          <w:sz w:val="18"/>
          <w:szCs w:val="18"/>
        </w:rPr>
        <w:t xml:space="preserve">Table 3.1: Summary of Community Engagement Results on Options for Resourcing Our Future </w:t>
      </w:r>
    </w:p>
    <w:tbl>
      <w:tblPr>
        <w:tblW w:w="9072" w:type="dxa"/>
        <w:tblInd w:w="108" w:type="dxa"/>
        <w:tblLayout w:type="fixed"/>
        <w:tblCellMar>
          <w:left w:w="0" w:type="dxa"/>
          <w:right w:w="0" w:type="dxa"/>
        </w:tblCellMar>
        <w:tblLook w:val="04A0" w:firstRow="1" w:lastRow="0" w:firstColumn="1" w:lastColumn="0" w:noHBand="0" w:noVBand="1"/>
      </w:tblPr>
      <w:tblGrid>
        <w:gridCol w:w="2410"/>
        <w:gridCol w:w="2268"/>
        <w:gridCol w:w="2268"/>
        <w:gridCol w:w="2126"/>
      </w:tblGrid>
      <w:tr w:rsidR="004A2652" w:rsidRPr="00E151A8" w14:paraId="25827647" w14:textId="77777777" w:rsidTr="004A2652">
        <w:trPr>
          <w:trHeight w:val="313"/>
        </w:trPr>
        <w:tc>
          <w:tcPr>
            <w:tcW w:w="2410" w:type="dxa"/>
            <w:vMerge w:val="restart"/>
            <w:tcBorders>
              <w:top w:val="single" w:sz="4" w:space="0" w:color="auto"/>
              <w:left w:val="single" w:sz="4" w:space="0" w:color="auto"/>
              <w:right w:val="single" w:sz="4" w:space="0" w:color="auto"/>
            </w:tcBorders>
            <w:shd w:val="pct10" w:color="auto" w:fill="auto"/>
            <w:tcMar>
              <w:top w:w="0" w:type="dxa"/>
              <w:left w:w="108" w:type="dxa"/>
              <w:bottom w:w="0" w:type="dxa"/>
              <w:right w:w="108" w:type="dxa"/>
            </w:tcMar>
            <w:vAlign w:val="center"/>
          </w:tcPr>
          <w:p w14:paraId="3B8BF3C0" w14:textId="77777777" w:rsidR="004A2652" w:rsidRPr="00E151A8" w:rsidRDefault="004A2652" w:rsidP="004A2652">
            <w:pPr>
              <w:widowControl w:val="0"/>
              <w:spacing w:line="276" w:lineRule="auto"/>
              <w:rPr>
                <w:rFonts w:ascii="Arial" w:eastAsiaTheme="minorHAnsi" w:hAnsi="Arial" w:cs="Arial"/>
                <w:b/>
                <w:sz w:val="18"/>
                <w:szCs w:val="18"/>
                <w:lang w:val="en-US" w:eastAsia="en-US"/>
              </w:rPr>
            </w:pPr>
            <w:r w:rsidRPr="00E151A8">
              <w:rPr>
                <w:rFonts w:ascii="Arial" w:eastAsiaTheme="minorHAnsi" w:hAnsi="Arial" w:cs="Arial"/>
                <w:b/>
                <w:sz w:val="18"/>
                <w:szCs w:val="18"/>
                <w:lang w:val="en-US" w:eastAsia="en-US"/>
              </w:rPr>
              <w:t>OPTION</w:t>
            </w:r>
          </w:p>
        </w:tc>
        <w:tc>
          <w:tcPr>
            <w:tcW w:w="2268" w:type="dxa"/>
            <w:tcBorders>
              <w:top w:val="single" w:sz="4" w:space="0" w:color="auto"/>
              <w:left w:val="single" w:sz="4" w:space="0" w:color="auto"/>
              <w:bottom w:val="single" w:sz="4" w:space="0" w:color="auto"/>
              <w:right w:val="single" w:sz="4" w:space="0" w:color="auto"/>
            </w:tcBorders>
            <w:shd w:val="pct10" w:color="auto" w:fill="auto"/>
            <w:vAlign w:val="center"/>
          </w:tcPr>
          <w:p w14:paraId="0312F2CF" w14:textId="77777777" w:rsidR="004A2652" w:rsidRPr="00E151A8" w:rsidRDefault="004A2652" w:rsidP="004A2652">
            <w:pPr>
              <w:widowControl w:val="0"/>
              <w:spacing w:line="276" w:lineRule="auto"/>
              <w:jc w:val="center"/>
              <w:rPr>
                <w:rFonts w:ascii="Arial" w:eastAsiaTheme="minorHAnsi" w:hAnsi="Arial" w:cs="Arial"/>
                <w:b/>
                <w:sz w:val="18"/>
                <w:szCs w:val="18"/>
                <w:lang w:val="en-US" w:eastAsia="en-US"/>
              </w:rPr>
            </w:pPr>
            <w:r w:rsidRPr="00E151A8">
              <w:rPr>
                <w:rFonts w:ascii="Arial" w:eastAsiaTheme="minorHAnsi" w:hAnsi="Arial" w:cs="Arial"/>
                <w:b/>
                <w:sz w:val="18"/>
                <w:szCs w:val="18"/>
                <w:lang w:val="en-US" w:eastAsia="en-US"/>
              </w:rPr>
              <w:t>Public Exhibition Valid Submissions</w:t>
            </w:r>
          </w:p>
          <w:p w14:paraId="08F999D6" w14:textId="77777777" w:rsidR="004A2652" w:rsidRPr="00E151A8" w:rsidRDefault="004A2652" w:rsidP="004A2652">
            <w:pPr>
              <w:widowControl w:val="0"/>
              <w:spacing w:line="276" w:lineRule="auto"/>
              <w:jc w:val="center"/>
              <w:rPr>
                <w:rFonts w:ascii="Arial" w:eastAsiaTheme="minorHAnsi" w:hAnsi="Arial" w:cs="Arial"/>
                <w:b/>
                <w:sz w:val="18"/>
                <w:szCs w:val="18"/>
                <w:lang w:val="en-US" w:eastAsia="en-US"/>
              </w:rPr>
            </w:pPr>
            <w:r w:rsidRPr="00E151A8">
              <w:rPr>
                <w:rFonts w:ascii="Arial" w:eastAsiaTheme="minorHAnsi" w:hAnsi="Arial" w:cs="Arial"/>
                <w:b/>
                <w:sz w:val="18"/>
                <w:szCs w:val="18"/>
                <w:lang w:val="en-US" w:eastAsia="en-US"/>
              </w:rPr>
              <w:t xml:space="preserve">(n=4,312) </w:t>
            </w:r>
          </w:p>
        </w:tc>
        <w:tc>
          <w:tcPr>
            <w:tcW w:w="2268" w:type="dxa"/>
            <w:tcBorders>
              <w:top w:val="single" w:sz="4" w:space="0" w:color="auto"/>
              <w:left w:val="single" w:sz="4" w:space="0" w:color="auto"/>
              <w:bottom w:val="single" w:sz="4" w:space="0" w:color="auto"/>
              <w:right w:val="single" w:sz="4" w:space="0" w:color="auto"/>
            </w:tcBorders>
            <w:shd w:val="pct10" w:color="auto" w:fill="auto"/>
            <w:vAlign w:val="center"/>
          </w:tcPr>
          <w:p w14:paraId="6A8F67C8" w14:textId="4FDA4198" w:rsidR="004A2652" w:rsidRPr="00E151A8" w:rsidRDefault="00FC7879" w:rsidP="004A2652">
            <w:pPr>
              <w:widowControl w:val="0"/>
              <w:spacing w:line="276" w:lineRule="auto"/>
              <w:jc w:val="center"/>
              <w:rPr>
                <w:rFonts w:ascii="Arial" w:eastAsiaTheme="minorHAnsi" w:hAnsi="Arial" w:cs="Arial"/>
                <w:b/>
                <w:sz w:val="18"/>
                <w:szCs w:val="18"/>
                <w:lang w:val="en-US" w:eastAsia="en-US"/>
              </w:rPr>
            </w:pPr>
            <w:r>
              <w:rPr>
                <w:rFonts w:ascii="Arial" w:eastAsiaTheme="minorHAnsi" w:hAnsi="Arial" w:cs="Arial"/>
                <w:b/>
                <w:sz w:val="18"/>
                <w:szCs w:val="18"/>
                <w:lang w:val="en-US" w:eastAsia="en-US"/>
              </w:rPr>
              <w:t xml:space="preserve">Independent </w:t>
            </w:r>
            <w:r w:rsidR="004A2652" w:rsidRPr="00E151A8">
              <w:rPr>
                <w:rFonts w:ascii="Arial" w:eastAsiaTheme="minorHAnsi" w:hAnsi="Arial" w:cs="Arial"/>
                <w:b/>
                <w:sz w:val="18"/>
                <w:szCs w:val="18"/>
                <w:lang w:val="en-US" w:eastAsia="en-US"/>
              </w:rPr>
              <w:t>Telephone Survey of Ratepayers</w:t>
            </w:r>
            <w:r w:rsidRPr="00FC7879">
              <w:rPr>
                <w:rFonts w:ascii="Arial" w:eastAsiaTheme="minorHAnsi" w:hAnsi="Arial" w:cs="Arial"/>
                <w:b/>
                <w:szCs w:val="22"/>
                <w:lang w:val="en-US" w:eastAsia="en-US"/>
              </w:rPr>
              <w:t>*</w:t>
            </w:r>
          </w:p>
          <w:p w14:paraId="1A8D479B" w14:textId="77777777" w:rsidR="004A2652" w:rsidRPr="00E151A8" w:rsidRDefault="004A2652" w:rsidP="004A2652">
            <w:pPr>
              <w:widowControl w:val="0"/>
              <w:spacing w:line="276" w:lineRule="auto"/>
              <w:jc w:val="center"/>
              <w:rPr>
                <w:rFonts w:ascii="Arial" w:eastAsiaTheme="minorHAnsi" w:hAnsi="Arial" w:cs="Arial"/>
                <w:b/>
                <w:sz w:val="18"/>
                <w:szCs w:val="18"/>
                <w:lang w:val="en-US" w:eastAsia="en-US"/>
              </w:rPr>
            </w:pPr>
            <w:r w:rsidRPr="00E151A8">
              <w:rPr>
                <w:rFonts w:ascii="Arial" w:eastAsiaTheme="minorHAnsi" w:hAnsi="Arial" w:cs="Arial"/>
                <w:b/>
                <w:sz w:val="18"/>
                <w:szCs w:val="18"/>
                <w:lang w:val="en-US" w:eastAsia="en-US"/>
              </w:rPr>
              <w:t>(n=504)</w:t>
            </w:r>
          </w:p>
        </w:tc>
        <w:tc>
          <w:tcPr>
            <w:tcW w:w="2126" w:type="dxa"/>
            <w:tcBorders>
              <w:top w:val="single" w:sz="4" w:space="0" w:color="auto"/>
              <w:left w:val="single" w:sz="4" w:space="0" w:color="auto"/>
              <w:bottom w:val="single" w:sz="4" w:space="0" w:color="auto"/>
              <w:right w:val="single" w:sz="4" w:space="0" w:color="auto"/>
            </w:tcBorders>
            <w:shd w:val="pct10" w:color="auto" w:fill="auto"/>
            <w:vAlign w:val="center"/>
          </w:tcPr>
          <w:p w14:paraId="3900B557" w14:textId="77777777" w:rsidR="004A2652" w:rsidRPr="00E151A8" w:rsidRDefault="004A2652" w:rsidP="004A2652">
            <w:pPr>
              <w:widowControl w:val="0"/>
              <w:spacing w:line="276" w:lineRule="auto"/>
              <w:jc w:val="center"/>
              <w:rPr>
                <w:rFonts w:ascii="Arial" w:eastAsiaTheme="minorHAnsi" w:hAnsi="Arial" w:cs="Arial"/>
                <w:b/>
                <w:sz w:val="18"/>
                <w:szCs w:val="18"/>
                <w:lang w:val="en-US" w:eastAsia="en-US"/>
              </w:rPr>
            </w:pPr>
            <w:r w:rsidRPr="00E151A8">
              <w:rPr>
                <w:rFonts w:ascii="Arial" w:eastAsiaTheme="minorHAnsi" w:hAnsi="Arial" w:cs="Arial"/>
                <w:b/>
                <w:sz w:val="18"/>
                <w:szCs w:val="18"/>
                <w:lang w:val="en-US" w:eastAsia="en-US"/>
              </w:rPr>
              <w:t xml:space="preserve">Area Community </w:t>
            </w:r>
          </w:p>
          <w:p w14:paraId="6B398EA3" w14:textId="77777777" w:rsidR="004A2652" w:rsidRPr="00E151A8" w:rsidRDefault="004A2652" w:rsidP="004A2652">
            <w:pPr>
              <w:widowControl w:val="0"/>
              <w:spacing w:line="276" w:lineRule="auto"/>
              <w:jc w:val="center"/>
              <w:rPr>
                <w:rFonts w:ascii="Arial" w:eastAsiaTheme="minorHAnsi" w:hAnsi="Arial" w:cs="Arial"/>
                <w:b/>
                <w:sz w:val="18"/>
                <w:szCs w:val="18"/>
                <w:lang w:val="en-US" w:eastAsia="en-US"/>
              </w:rPr>
            </w:pPr>
            <w:r w:rsidRPr="00E151A8">
              <w:rPr>
                <w:rFonts w:ascii="Arial" w:eastAsiaTheme="minorHAnsi" w:hAnsi="Arial" w:cs="Arial"/>
                <w:b/>
                <w:sz w:val="18"/>
                <w:szCs w:val="18"/>
                <w:lang w:val="en-US" w:eastAsia="en-US"/>
              </w:rPr>
              <w:t>Workshops</w:t>
            </w:r>
          </w:p>
          <w:p w14:paraId="1A2200B9" w14:textId="77777777" w:rsidR="004A2652" w:rsidRPr="00E151A8" w:rsidRDefault="004A2652" w:rsidP="004A2652">
            <w:pPr>
              <w:widowControl w:val="0"/>
              <w:spacing w:line="276" w:lineRule="auto"/>
              <w:jc w:val="center"/>
              <w:rPr>
                <w:rFonts w:ascii="Arial" w:eastAsiaTheme="minorHAnsi" w:hAnsi="Arial" w:cs="Arial"/>
                <w:b/>
                <w:sz w:val="18"/>
                <w:szCs w:val="18"/>
                <w:lang w:val="en-US" w:eastAsia="en-US"/>
              </w:rPr>
            </w:pPr>
            <w:r w:rsidRPr="00E151A8">
              <w:rPr>
                <w:rFonts w:ascii="Arial" w:eastAsiaTheme="minorHAnsi" w:hAnsi="Arial" w:cs="Arial"/>
                <w:b/>
                <w:sz w:val="18"/>
                <w:szCs w:val="18"/>
                <w:lang w:val="en-US" w:eastAsia="en-US"/>
              </w:rPr>
              <w:t>(n=90)</w:t>
            </w:r>
          </w:p>
        </w:tc>
      </w:tr>
      <w:tr w:rsidR="004A2652" w:rsidRPr="00E151A8" w14:paraId="65072CF8" w14:textId="77777777" w:rsidTr="004A2652">
        <w:trPr>
          <w:trHeight w:val="313"/>
        </w:trPr>
        <w:tc>
          <w:tcPr>
            <w:tcW w:w="2410"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90036B2" w14:textId="77777777" w:rsidR="004A2652" w:rsidRPr="00E151A8" w:rsidRDefault="004A2652" w:rsidP="004A2652">
            <w:pPr>
              <w:widowControl w:val="0"/>
              <w:spacing w:line="276" w:lineRule="auto"/>
              <w:rPr>
                <w:rFonts w:ascii="Arial" w:eastAsiaTheme="minorHAnsi" w:hAnsi="Arial" w:cs="Arial"/>
                <w:b/>
                <w:sz w:val="18"/>
                <w:szCs w:val="18"/>
                <w:lang w:val="en-US" w:eastAsia="en-US"/>
              </w:rPr>
            </w:pPr>
          </w:p>
        </w:tc>
        <w:tc>
          <w:tcPr>
            <w:tcW w:w="6662" w:type="dxa"/>
            <w:gridSpan w:val="3"/>
            <w:tcBorders>
              <w:top w:val="single" w:sz="4" w:space="0" w:color="auto"/>
              <w:left w:val="single" w:sz="4" w:space="0" w:color="auto"/>
              <w:bottom w:val="single" w:sz="4" w:space="0" w:color="auto"/>
              <w:right w:val="single" w:sz="4" w:space="0" w:color="auto"/>
            </w:tcBorders>
            <w:shd w:val="pct10" w:color="auto" w:fill="auto"/>
            <w:vAlign w:val="center"/>
          </w:tcPr>
          <w:p w14:paraId="383F0748" w14:textId="77777777" w:rsidR="004A2652" w:rsidRPr="00E151A8" w:rsidRDefault="004A2652" w:rsidP="004A2652">
            <w:pPr>
              <w:widowControl w:val="0"/>
              <w:spacing w:line="276" w:lineRule="auto"/>
              <w:jc w:val="center"/>
              <w:rPr>
                <w:rFonts w:ascii="Arial" w:eastAsiaTheme="minorHAnsi" w:hAnsi="Arial" w:cs="Arial"/>
                <w:b/>
                <w:sz w:val="18"/>
                <w:szCs w:val="18"/>
                <w:lang w:val="en-US" w:eastAsia="en-US"/>
              </w:rPr>
            </w:pPr>
            <w:r w:rsidRPr="00E151A8">
              <w:rPr>
                <w:rFonts w:ascii="Arial" w:eastAsiaTheme="minorHAnsi" w:hAnsi="Arial" w:cs="Arial"/>
                <w:b/>
                <w:sz w:val="18"/>
                <w:szCs w:val="18"/>
                <w:lang w:val="en-US" w:eastAsia="en-US"/>
              </w:rPr>
              <w:t>SUPPORT FOR DIFFERENT OPTIONS (%)</w:t>
            </w:r>
          </w:p>
        </w:tc>
      </w:tr>
      <w:tr w:rsidR="004A2652" w:rsidRPr="00E151A8" w14:paraId="03008AFB" w14:textId="77777777" w:rsidTr="004A2652">
        <w:trPr>
          <w:trHeight w:val="593"/>
        </w:trPr>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5F5521CC" w14:textId="77777777" w:rsidR="004A2652" w:rsidRPr="00E151A8" w:rsidRDefault="004A2652" w:rsidP="004A2652">
            <w:pPr>
              <w:widowControl w:val="0"/>
              <w:spacing w:line="276" w:lineRule="auto"/>
              <w:rPr>
                <w:rFonts w:ascii="Arial" w:eastAsiaTheme="minorHAnsi" w:hAnsi="Arial" w:cs="Arial"/>
                <w:b/>
                <w:color w:val="000000" w:themeColor="text1"/>
                <w:sz w:val="18"/>
                <w:szCs w:val="18"/>
                <w:lang w:val="en-US" w:eastAsia="en-US"/>
              </w:rPr>
            </w:pPr>
            <w:r w:rsidRPr="00E151A8">
              <w:rPr>
                <w:rFonts w:ascii="Arial" w:eastAsiaTheme="minorHAnsi" w:hAnsi="Arial" w:cs="Arial"/>
                <w:b/>
                <w:color w:val="000000" w:themeColor="text1"/>
                <w:sz w:val="18"/>
                <w:szCs w:val="18"/>
                <w:lang w:val="en-US" w:eastAsia="en-US"/>
              </w:rPr>
              <w:t>Option 1</w:t>
            </w:r>
          </w:p>
          <w:p w14:paraId="5FFE8B0A" w14:textId="77777777" w:rsidR="004A2652" w:rsidRPr="00E151A8" w:rsidRDefault="004A2652" w:rsidP="004A2652">
            <w:pPr>
              <w:widowControl w:val="0"/>
              <w:spacing w:line="276" w:lineRule="auto"/>
              <w:rPr>
                <w:rFonts w:ascii="Arial" w:eastAsiaTheme="minorHAnsi" w:hAnsi="Arial" w:cs="Arial"/>
                <w:i/>
                <w:color w:val="000000" w:themeColor="text1"/>
                <w:sz w:val="18"/>
                <w:szCs w:val="18"/>
                <w:lang w:val="en-US" w:eastAsia="en-US"/>
              </w:rPr>
            </w:pPr>
            <w:r w:rsidRPr="00E151A8">
              <w:rPr>
                <w:rFonts w:ascii="Arial" w:eastAsiaTheme="minorHAnsi" w:hAnsi="Arial" w:cs="Arial"/>
                <w:i/>
                <w:color w:val="000000" w:themeColor="text1"/>
                <w:sz w:val="18"/>
                <w:szCs w:val="18"/>
                <w:lang w:val="en-US" w:eastAsia="en-US"/>
              </w:rPr>
              <w:t>Service Levels Improved</w:t>
            </w:r>
          </w:p>
        </w:tc>
        <w:tc>
          <w:tcPr>
            <w:tcW w:w="2268" w:type="dxa"/>
            <w:tcBorders>
              <w:top w:val="single" w:sz="4" w:space="0" w:color="auto"/>
              <w:left w:val="single" w:sz="4" w:space="0" w:color="auto"/>
              <w:bottom w:val="single" w:sz="4" w:space="0" w:color="auto"/>
              <w:right w:val="single" w:sz="4" w:space="0" w:color="auto"/>
            </w:tcBorders>
            <w:vAlign w:val="center"/>
          </w:tcPr>
          <w:p w14:paraId="4328E91B" w14:textId="77777777" w:rsidR="004A2652" w:rsidRPr="00E151A8" w:rsidRDefault="004A2652" w:rsidP="004A2652">
            <w:pPr>
              <w:widowControl w:val="0"/>
              <w:spacing w:line="276" w:lineRule="auto"/>
              <w:jc w:val="center"/>
              <w:rPr>
                <w:rFonts w:ascii="Arial" w:eastAsiaTheme="minorHAnsi" w:hAnsi="Arial" w:cs="Arial"/>
                <w:color w:val="000000"/>
                <w:sz w:val="18"/>
                <w:szCs w:val="18"/>
                <w:lang w:val="en-US" w:eastAsia="en-US"/>
              </w:rPr>
            </w:pPr>
            <w:r w:rsidRPr="00E151A8">
              <w:rPr>
                <w:rFonts w:ascii="Arial" w:eastAsiaTheme="minorHAnsi" w:hAnsi="Arial" w:cs="Arial"/>
                <w:color w:val="000000" w:themeColor="text1"/>
                <w:sz w:val="18"/>
                <w:szCs w:val="18"/>
                <w:lang w:val="en-US" w:eastAsia="en-US"/>
              </w:rPr>
              <w:t>54.6%</w:t>
            </w:r>
          </w:p>
        </w:tc>
        <w:tc>
          <w:tcPr>
            <w:tcW w:w="2268" w:type="dxa"/>
            <w:tcBorders>
              <w:top w:val="single" w:sz="4" w:space="0" w:color="auto"/>
              <w:left w:val="single" w:sz="4" w:space="0" w:color="auto"/>
              <w:bottom w:val="single" w:sz="4" w:space="0" w:color="auto"/>
              <w:right w:val="single" w:sz="4" w:space="0" w:color="auto"/>
            </w:tcBorders>
            <w:vAlign w:val="center"/>
          </w:tcPr>
          <w:p w14:paraId="13838EEC" w14:textId="77777777" w:rsidR="004A2652" w:rsidRPr="00E151A8" w:rsidRDefault="004A2652" w:rsidP="004A2652">
            <w:pPr>
              <w:widowControl w:val="0"/>
              <w:spacing w:line="276" w:lineRule="auto"/>
              <w:jc w:val="center"/>
              <w:rPr>
                <w:rFonts w:ascii="Arial" w:eastAsiaTheme="minorHAnsi" w:hAnsi="Arial" w:cs="Arial"/>
                <w:color w:val="000000" w:themeColor="text1"/>
                <w:sz w:val="18"/>
                <w:szCs w:val="18"/>
                <w:lang w:val="en-US" w:eastAsia="en-US"/>
              </w:rPr>
            </w:pPr>
            <w:r w:rsidRPr="00E151A8">
              <w:rPr>
                <w:rFonts w:ascii="Arial" w:eastAsiaTheme="minorHAnsi" w:hAnsi="Arial" w:cs="Arial"/>
                <w:color w:val="000000" w:themeColor="text1"/>
                <w:sz w:val="18"/>
                <w:szCs w:val="18"/>
                <w:lang w:val="en-US" w:eastAsia="en-US"/>
              </w:rPr>
              <w:t>48.8%</w:t>
            </w:r>
          </w:p>
        </w:tc>
        <w:tc>
          <w:tcPr>
            <w:tcW w:w="2126" w:type="dxa"/>
            <w:tcBorders>
              <w:top w:val="single" w:sz="4" w:space="0" w:color="auto"/>
              <w:left w:val="single" w:sz="4" w:space="0" w:color="auto"/>
              <w:bottom w:val="single" w:sz="4" w:space="0" w:color="auto"/>
              <w:right w:val="single" w:sz="4" w:space="0" w:color="auto"/>
            </w:tcBorders>
            <w:vAlign w:val="center"/>
          </w:tcPr>
          <w:p w14:paraId="390EAC9B" w14:textId="77777777" w:rsidR="004A2652" w:rsidRPr="00E151A8" w:rsidRDefault="004A2652" w:rsidP="004A2652">
            <w:pPr>
              <w:widowControl w:val="0"/>
              <w:spacing w:line="276" w:lineRule="auto"/>
              <w:jc w:val="center"/>
              <w:rPr>
                <w:rFonts w:ascii="Arial" w:eastAsiaTheme="minorHAnsi" w:hAnsi="Arial" w:cs="Arial"/>
                <w:color w:val="000000" w:themeColor="text1"/>
                <w:sz w:val="18"/>
                <w:szCs w:val="18"/>
                <w:lang w:val="en-US" w:eastAsia="en-US"/>
              </w:rPr>
            </w:pPr>
            <w:r w:rsidRPr="00E151A8">
              <w:rPr>
                <w:rFonts w:ascii="Arial" w:eastAsiaTheme="minorHAnsi" w:hAnsi="Arial" w:cs="Arial"/>
                <w:color w:val="000000" w:themeColor="text1"/>
                <w:sz w:val="18"/>
                <w:szCs w:val="18"/>
                <w:lang w:val="en-US" w:eastAsia="en-US"/>
              </w:rPr>
              <w:t>58.3%</w:t>
            </w:r>
          </w:p>
        </w:tc>
      </w:tr>
      <w:tr w:rsidR="004A2652" w:rsidRPr="00E151A8" w14:paraId="5FAA5F8C" w14:textId="77777777" w:rsidTr="004A2652">
        <w:trPr>
          <w:trHeight w:val="300"/>
        </w:trPr>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46E07C66" w14:textId="77777777" w:rsidR="004A2652" w:rsidRPr="00E151A8" w:rsidRDefault="004A2652" w:rsidP="004A2652">
            <w:pPr>
              <w:widowControl w:val="0"/>
              <w:spacing w:line="276" w:lineRule="auto"/>
              <w:rPr>
                <w:rFonts w:ascii="Arial" w:eastAsiaTheme="minorHAnsi" w:hAnsi="Arial" w:cs="Arial"/>
                <w:b/>
                <w:color w:val="000000" w:themeColor="text1"/>
                <w:sz w:val="18"/>
                <w:szCs w:val="18"/>
                <w:lang w:val="en-US" w:eastAsia="en-US"/>
              </w:rPr>
            </w:pPr>
            <w:r w:rsidRPr="00E151A8">
              <w:rPr>
                <w:rFonts w:ascii="Arial" w:eastAsiaTheme="minorHAnsi" w:hAnsi="Arial" w:cs="Arial"/>
                <w:b/>
                <w:color w:val="000000" w:themeColor="text1"/>
                <w:sz w:val="18"/>
                <w:szCs w:val="18"/>
                <w:lang w:val="en-US" w:eastAsia="en-US"/>
              </w:rPr>
              <w:t>Option 2</w:t>
            </w:r>
          </w:p>
          <w:p w14:paraId="2D113E42" w14:textId="77777777" w:rsidR="004A2652" w:rsidRPr="00E151A8" w:rsidRDefault="004A2652" w:rsidP="004A2652">
            <w:pPr>
              <w:widowControl w:val="0"/>
              <w:spacing w:line="276" w:lineRule="auto"/>
              <w:rPr>
                <w:rFonts w:ascii="Arial" w:eastAsiaTheme="minorHAnsi" w:hAnsi="Arial" w:cs="Arial"/>
                <w:i/>
                <w:color w:val="000000" w:themeColor="text1"/>
                <w:sz w:val="18"/>
                <w:szCs w:val="18"/>
                <w:lang w:val="en-US" w:eastAsia="en-US"/>
              </w:rPr>
            </w:pPr>
            <w:r w:rsidRPr="00E151A8">
              <w:rPr>
                <w:rFonts w:ascii="Arial" w:eastAsiaTheme="minorHAnsi" w:hAnsi="Arial" w:cs="Arial"/>
                <w:i/>
                <w:color w:val="000000" w:themeColor="text1"/>
                <w:sz w:val="18"/>
                <w:szCs w:val="18"/>
                <w:lang w:val="en-US" w:eastAsia="en-US"/>
              </w:rPr>
              <w:t>Service Levels Maintained</w:t>
            </w:r>
          </w:p>
        </w:tc>
        <w:tc>
          <w:tcPr>
            <w:tcW w:w="2268" w:type="dxa"/>
            <w:tcBorders>
              <w:top w:val="single" w:sz="4" w:space="0" w:color="auto"/>
              <w:left w:val="single" w:sz="4" w:space="0" w:color="auto"/>
              <w:bottom w:val="single" w:sz="4" w:space="0" w:color="auto"/>
              <w:right w:val="single" w:sz="4" w:space="0" w:color="auto"/>
            </w:tcBorders>
            <w:vAlign w:val="center"/>
          </w:tcPr>
          <w:p w14:paraId="098E355C" w14:textId="77777777" w:rsidR="004A2652" w:rsidRPr="00E151A8" w:rsidRDefault="004A2652" w:rsidP="004A2652">
            <w:pPr>
              <w:widowControl w:val="0"/>
              <w:spacing w:line="276" w:lineRule="auto"/>
              <w:jc w:val="center"/>
              <w:rPr>
                <w:rFonts w:ascii="Arial" w:eastAsiaTheme="minorHAnsi" w:hAnsi="Arial" w:cs="Arial"/>
                <w:color w:val="000000"/>
                <w:sz w:val="18"/>
                <w:szCs w:val="18"/>
                <w:lang w:val="en-US" w:eastAsia="en-US"/>
              </w:rPr>
            </w:pPr>
            <w:r w:rsidRPr="00E151A8">
              <w:rPr>
                <w:rFonts w:ascii="Arial" w:eastAsiaTheme="minorHAnsi" w:hAnsi="Arial" w:cs="Arial"/>
                <w:color w:val="000000" w:themeColor="text1"/>
                <w:sz w:val="18"/>
                <w:szCs w:val="18"/>
                <w:lang w:val="en-US" w:eastAsia="en-US"/>
              </w:rPr>
              <w:t>23.3%</w:t>
            </w:r>
          </w:p>
        </w:tc>
        <w:tc>
          <w:tcPr>
            <w:tcW w:w="2268" w:type="dxa"/>
            <w:tcBorders>
              <w:top w:val="single" w:sz="4" w:space="0" w:color="auto"/>
              <w:left w:val="single" w:sz="4" w:space="0" w:color="auto"/>
              <w:bottom w:val="single" w:sz="4" w:space="0" w:color="auto"/>
              <w:right w:val="single" w:sz="4" w:space="0" w:color="auto"/>
            </w:tcBorders>
            <w:vAlign w:val="center"/>
          </w:tcPr>
          <w:p w14:paraId="2FA1B38F" w14:textId="77777777" w:rsidR="004A2652" w:rsidRPr="00E151A8" w:rsidRDefault="004A2652" w:rsidP="004A2652">
            <w:pPr>
              <w:widowControl w:val="0"/>
              <w:spacing w:line="276" w:lineRule="auto"/>
              <w:jc w:val="center"/>
              <w:rPr>
                <w:rFonts w:ascii="Arial" w:eastAsiaTheme="minorHAnsi" w:hAnsi="Arial" w:cs="Arial"/>
                <w:color w:val="000000" w:themeColor="text1"/>
                <w:sz w:val="18"/>
                <w:szCs w:val="18"/>
                <w:lang w:val="en-US" w:eastAsia="en-US"/>
              </w:rPr>
            </w:pPr>
            <w:r w:rsidRPr="00E151A8">
              <w:rPr>
                <w:rFonts w:ascii="Arial" w:eastAsiaTheme="minorHAnsi" w:hAnsi="Arial" w:cs="Arial"/>
                <w:color w:val="000000" w:themeColor="text1"/>
                <w:sz w:val="18"/>
                <w:szCs w:val="18"/>
                <w:lang w:val="en-US" w:eastAsia="en-US"/>
              </w:rPr>
              <w:t>35.7%</w:t>
            </w:r>
          </w:p>
        </w:tc>
        <w:tc>
          <w:tcPr>
            <w:tcW w:w="2126" w:type="dxa"/>
            <w:tcBorders>
              <w:top w:val="single" w:sz="4" w:space="0" w:color="auto"/>
              <w:left w:val="single" w:sz="4" w:space="0" w:color="auto"/>
              <w:bottom w:val="single" w:sz="4" w:space="0" w:color="auto"/>
              <w:right w:val="single" w:sz="4" w:space="0" w:color="auto"/>
            </w:tcBorders>
            <w:vAlign w:val="center"/>
          </w:tcPr>
          <w:p w14:paraId="69724412" w14:textId="77777777" w:rsidR="004A2652" w:rsidRPr="00E151A8" w:rsidRDefault="004A2652" w:rsidP="004A2652">
            <w:pPr>
              <w:widowControl w:val="0"/>
              <w:spacing w:line="276" w:lineRule="auto"/>
              <w:jc w:val="center"/>
              <w:rPr>
                <w:rFonts w:ascii="Arial" w:eastAsiaTheme="minorHAnsi" w:hAnsi="Arial" w:cs="Arial"/>
                <w:color w:val="000000" w:themeColor="text1"/>
                <w:sz w:val="18"/>
                <w:szCs w:val="18"/>
                <w:lang w:val="en-US" w:eastAsia="en-US"/>
              </w:rPr>
            </w:pPr>
            <w:r w:rsidRPr="00E151A8">
              <w:rPr>
                <w:rFonts w:ascii="Arial" w:eastAsiaTheme="minorHAnsi" w:hAnsi="Arial" w:cs="Arial"/>
                <w:color w:val="000000" w:themeColor="text1"/>
                <w:sz w:val="18"/>
                <w:szCs w:val="18"/>
                <w:lang w:val="en-US" w:eastAsia="en-US"/>
              </w:rPr>
              <w:t>35.7%</w:t>
            </w:r>
          </w:p>
        </w:tc>
      </w:tr>
      <w:tr w:rsidR="004A2652" w:rsidRPr="00E151A8" w14:paraId="17DF61FA" w14:textId="77777777" w:rsidTr="004A2652">
        <w:trPr>
          <w:trHeight w:val="300"/>
        </w:trPr>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2620651D" w14:textId="77777777" w:rsidR="004A2652" w:rsidRPr="00E151A8" w:rsidRDefault="004A2652" w:rsidP="004A2652">
            <w:pPr>
              <w:widowControl w:val="0"/>
              <w:spacing w:line="276" w:lineRule="auto"/>
              <w:rPr>
                <w:rFonts w:ascii="Arial" w:eastAsiaTheme="minorHAnsi" w:hAnsi="Arial" w:cs="Arial"/>
                <w:b/>
                <w:color w:val="000000" w:themeColor="text1"/>
                <w:sz w:val="18"/>
                <w:szCs w:val="18"/>
                <w:lang w:val="en-US" w:eastAsia="en-US"/>
              </w:rPr>
            </w:pPr>
            <w:r w:rsidRPr="00E151A8">
              <w:rPr>
                <w:rFonts w:ascii="Arial" w:eastAsiaTheme="minorHAnsi" w:hAnsi="Arial" w:cs="Arial"/>
                <w:b/>
                <w:color w:val="000000" w:themeColor="text1"/>
                <w:sz w:val="18"/>
                <w:szCs w:val="18"/>
                <w:lang w:val="en-US" w:eastAsia="en-US"/>
              </w:rPr>
              <w:t>Option 3</w:t>
            </w:r>
            <w:r w:rsidRPr="00E151A8">
              <w:rPr>
                <w:rFonts w:ascii="Arial" w:eastAsiaTheme="minorHAnsi" w:hAnsi="Arial" w:cs="Arial"/>
                <w:color w:val="000000" w:themeColor="text1"/>
                <w:sz w:val="18"/>
                <w:szCs w:val="18"/>
                <w:lang w:val="en-US" w:eastAsia="en-US"/>
              </w:rPr>
              <w:t xml:space="preserve"> </w:t>
            </w:r>
          </w:p>
          <w:p w14:paraId="43D3C88D" w14:textId="77777777" w:rsidR="004A2652" w:rsidRPr="00E151A8" w:rsidRDefault="004A2652" w:rsidP="004A2652">
            <w:pPr>
              <w:widowControl w:val="0"/>
              <w:spacing w:line="276" w:lineRule="auto"/>
              <w:rPr>
                <w:rFonts w:ascii="Arial" w:eastAsiaTheme="minorHAnsi" w:hAnsi="Arial" w:cs="Arial"/>
                <w:i/>
                <w:color w:val="000000" w:themeColor="text1"/>
                <w:sz w:val="18"/>
                <w:szCs w:val="18"/>
                <w:lang w:val="en-US" w:eastAsia="en-US"/>
              </w:rPr>
            </w:pPr>
            <w:r w:rsidRPr="00E151A8">
              <w:rPr>
                <w:rFonts w:ascii="Arial" w:eastAsiaTheme="minorHAnsi" w:hAnsi="Arial" w:cs="Arial"/>
                <w:i/>
                <w:color w:val="000000" w:themeColor="text1"/>
                <w:sz w:val="18"/>
                <w:szCs w:val="18"/>
                <w:lang w:val="en-US" w:eastAsia="en-US"/>
              </w:rPr>
              <w:t>Service Levels Reduced</w:t>
            </w:r>
          </w:p>
        </w:tc>
        <w:tc>
          <w:tcPr>
            <w:tcW w:w="2268" w:type="dxa"/>
            <w:tcBorders>
              <w:top w:val="single" w:sz="4" w:space="0" w:color="auto"/>
              <w:left w:val="single" w:sz="4" w:space="0" w:color="auto"/>
              <w:bottom w:val="single" w:sz="4" w:space="0" w:color="auto"/>
              <w:right w:val="single" w:sz="4" w:space="0" w:color="auto"/>
            </w:tcBorders>
            <w:vAlign w:val="center"/>
          </w:tcPr>
          <w:p w14:paraId="2EC199D9" w14:textId="77777777" w:rsidR="004A2652" w:rsidRPr="00E151A8" w:rsidRDefault="004A2652" w:rsidP="004A2652">
            <w:pPr>
              <w:widowControl w:val="0"/>
              <w:spacing w:line="276" w:lineRule="auto"/>
              <w:jc w:val="center"/>
              <w:rPr>
                <w:rFonts w:ascii="Arial" w:eastAsiaTheme="minorHAnsi" w:hAnsi="Arial" w:cs="Arial"/>
                <w:color w:val="000000"/>
                <w:sz w:val="18"/>
                <w:szCs w:val="18"/>
                <w:lang w:val="en-US" w:eastAsia="en-US"/>
              </w:rPr>
            </w:pPr>
            <w:r w:rsidRPr="00E151A8">
              <w:rPr>
                <w:rFonts w:ascii="Arial" w:eastAsiaTheme="minorHAnsi" w:hAnsi="Arial" w:cs="Arial"/>
                <w:color w:val="000000" w:themeColor="text1"/>
                <w:sz w:val="18"/>
                <w:szCs w:val="18"/>
                <w:lang w:val="en-US" w:eastAsia="en-US"/>
              </w:rPr>
              <w:t>20.4%</w:t>
            </w:r>
          </w:p>
        </w:tc>
        <w:tc>
          <w:tcPr>
            <w:tcW w:w="2268" w:type="dxa"/>
            <w:tcBorders>
              <w:top w:val="single" w:sz="4" w:space="0" w:color="auto"/>
              <w:left w:val="single" w:sz="4" w:space="0" w:color="auto"/>
              <w:bottom w:val="single" w:sz="4" w:space="0" w:color="auto"/>
              <w:right w:val="single" w:sz="4" w:space="0" w:color="auto"/>
            </w:tcBorders>
            <w:vAlign w:val="center"/>
          </w:tcPr>
          <w:p w14:paraId="5437DE64" w14:textId="77777777" w:rsidR="004A2652" w:rsidRPr="00E151A8" w:rsidRDefault="004A2652" w:rsidP="004A2652">
            <w:pPr>
              <w:widowControl w:val="0"/>
              <w:spacing w:line="276" w:lineRule="auto"/>
              <w:jc w:val="center"/>
              <w:rPr>
                <w:rFonts w:ascii="Arial" w:eastAsiaTheme="minorHAnsi" w:hAnsi="Arial" w:cs="Arial"/>
                <w:color w:val="000000" w:themeColor="text1"/>
                <w:sz w:val="18"/>
                <w:szCs w:val="18"/>
                <w:lang w:val="en-US" w:eastAsia="en-US"/>
              </w:rPr>
            </w:pPr>
            <w:r w:rsidRPr="00E151A8">
              <w:rPr>
                <w:rFonts w:ascii="Arial" w:eastAsiaTheme="minorHAnsi" w:hAnsi="Arial" w:cs="Arial"/>
                <w:color w:val="000000" w:themeColor="text1"/>
                <w:sz w:val="18"/>
                <w:szCs w:val="18"/>
                <w:lang w:val="en-US" w:eastAsia="en-US"/>
              </w:rPr>
              <w:t>15.5%</w:t>
            </w:r>
          </w:p>
        </w:tc>
        <w:tc>
          <w:tcPr>
            <w:tcW w:w="2126" w:type="dxa"/>
            <w:tcBorders>
              <w:top w:val="single" w:sz="4" w:space="0" w:color="auto"/>
              <w:left w:val="single" w:sz="4" w:space="0" w:color="auto"/>
              <w:bottom w:val="single" w:sz="4" w:space="0" w:color="auto"/>
              <w:right w:val="single" w:sz="4" w:space="0" w:color="auto"/>
            </w:tcBorders>
            <w:vAlign w:val="center"/>
          </w:tcPr>
          <w:p w14:paraId="7E5B83E2" w14:textId="77777777" w:rsidR="004A2652" w:rsidRPr="00E151A8" w:rsidRDefault="004A2652" w:rsidP="004A2652">
            <w:pPr>
              <w:widowControl w:val="0"/>
              <w:spacing w:line="276" w:lineRule="auto"/>
              <w:jc w:val="center"/>
              <w:rPr>
                <w:rFonts w:ascii="Arial" w:eastAsiaTheme="minorHAnsi" w:hAnsi="Arial" w:cs="Arial"/>
                <w:color w:val="000000" w:themeColor="text1"/>
                <w:sz w:val="18"/>
                <w:szCs w:val="18"/>
                <w:lang w:val="en-US" w:eastAsia="en-US"/>
              </w:rPr>
            </w:pPr>
            <w:r w:rsidRPr="00E151A8">
              <w:rPr>
                <w:rFonts w:ascii="Arial" w:eastAsiaTheme="minorHAnsi" w:hAnsi="Arial" w:cs="Arial"/>
                <w:color w:val="000000" w:themeColor="text1"/>
                <w:sz w:val="18"/>
                <w:szCs w:val="18"/>
                <w:lang w:val="en-US" w:eastAsia="en-US"/>
              </w:rPr>
              <w:t>6.0%</w:t>
            </w:r>
          </w:p>
        </w:tc>
      </w:tr>
      <w:tr w:rsidR="004A2652" w:rsidRPr="00E151A8" w14:paraId="29F91F98" w14:textId="77777777" w:rsidTr="004A2652">
        <w:trPr>
          <w:trHeight w:val="313"/>
        </w:trPr>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E6472" w14:textId="77777777" w:rsidR="004A2652" w:rsidRPr="00E151A8" w:rsidRDefault="004A2652" w:rsidP="004A2652">
            <w:pPr>
              <w:widowControl w:val="0"/>
              <w:spacing w:line="276" w:lineRule="auto"/>
              <w:rPr>
                <w:rFonts w:ascii="Arial" w:eastAsiaTheme="minorHAnsi" w:hAnsi="Arial" w:cs="Arial"/>
                <w:b/>
                <w:bCs/>
                <w:color w:val="000000" w:themeColor="text1"/>
                <w:sz w:val="18"/>
                <w:szCs w:val="18"/>
                <w:lang w:val="en-US" w:eastAsia="en-US"/>
              </w:rPr>
            </w:pPr>
            <w:r w:rsidRPr="00E151A8">
              <w:rPr>
                <w:rFonts w:ascii="Arial" w:eastAsiaTheme="minorHAnsi" w:hAnsi="Arial" w:cs="Arial"/>
                <w:b/>
                <w:bCs/>
                <w:color w:val="000000" w:themeColor="text1"/>
                <w:sz w:val="18"/>
                <w:szCs w:val="18"/>
                <w:lang w:val="en-US" w:eastAsia="en-US"/>
              </w:rPr>
              <w:t>Comments Only</w:t>
            </w:r>
          </w:p>
        </w:tc>
        <w:tc>
          <w:tcPr>
            <w:tcW w:w="2268" w:type="dxa"/>
            <w:tcBorders>
              <w:top w:val="single" w:sz="4" w:space="0" w:color="auto"/>
              <w:left w:val="single" w:sz="4" w:space="0" w:color="auto"/>
              <w:bottom w:val="single" w:sz="4" w:space="0" w:color="auto"/>
              <w:right w:val="single" w:sz="4" w:space="0" w:color="auto"/>
            </w:tcBorders>
            <w:vAlign w:val="center"/>
          </w:tcPr>
          <w:p w14:paraId="76206531" w14:textId="77777777" w:rsidR="004A2652" w:rsidRPr="00E151A8" w:rsidRDefault="004A2652" w:rsidP="004A2652">
            <w:pPr>
              <w:widowControl w:val="0"/>
              <w:spacing w:line="276" w:lineRule="auto"/>
              <w:jc w:val="center"/>
              <w:rPr>
                <w:rFonts w:ascii="Arial" w:eastAsiaTheme="minorHAnsi" w:hAnsi="Arial" w:cs="Arial"/>
                <w:color w:val="000000"/>
                <w:sz w:val="18"/>
                <w:szCs w:val="18"/>
                <w:lang w:val="en-US" w:eastAsia="en-US"/>
              </w:rPr>
            </w:pPr>
            <w:r w:rsidRPr="00E151A8">
              <w:rPr>
                <w:rFonts w:ascii="Arial" w:eastAsiaTheme="minorHAnsi" w:hAnsi="Arial" w:cs="Arial"/>
                <w:color w:val="000000" w:themeColor="text1"/>
                <w:sz w:val="18"/>
                <w:szCs w:val="18"/>
                <w:lang w:val="en-US" w:eastAsia="en-US"/>
              </w:rPr>
              <w:t>1.7%</w:t>
            </w:r>
          </w:p>
        </w:tc>
        <w:tc>
          <w:tcPr>
            <w:tcW w:w="2268" w:type="dxa"/>
            <w:tcBorders>
              <w:top w:val="single" w:sz="4" w:space="0" w:color="auto"/>
              <w:left w:val="single" w:sz="4" w:space="0" w:color="auto"/>
              <w:bottom w:val="single" w:sz="4" w:space="0" w:color="auto"/>
              <w:right w:val="single" w:sz="4" w:space="0" w:color="auto"/>
            </w:tcBorders>
            <w:vAlign w:val="center"/>
          </w:tcPr>
          <w:p w14:paraId="53D70BB3" w14:textId="77777777" w:rsidR="004A2652" w:rsidRPr="00E151A8" w:rsidRDefault="004A2652" w:rsidP="004A2652">
            <w:pPr>
              <w:widowControl w:val="0"/>
              <w:spacing w:line="276" w:lineRule="auto"/>
              <w:jc w:val="center"/>
              <w:rPr>
                <w:rFonts w:ascii="Arial" w:eastAsiaTheme="minorHAnsi" w:hAnsi="Arial" w:cs="Arial"/>
                <w:b/>
                <w:color w:val="000000" w:themeColor="text1"/>
                <w:sz w:val="18"/>
                <w:szCs w:val="18"/>
                <w:lang w:val="en-US" w:eastAsia="en-US"/>
              </w:rPr>
            </w:pPr>
            <w:r w:rsidRPr="00E151A8">
              <w:rPr>
                <w:rFonts w:ascii="Arial" w:eastAsiaTheme="minorHAnsi" w:hAnsi="Arial" w:cs="Arial"/>
                <w:b/>
                <w:color w:val="000000" w:themeColor="text1"/>
                <w:sz w:val="18"/>
                <w:szCs w:val="18"/>
                <w:lang w:val="en-US" w:eastAsia="en-US"/>
              </w:rPr>
              <w:t>-</w:t>
            </w:r>
          </w:p>
        </w:tc>
        <w:tc>
          <w:tcPr>
            <w:tcW w:w="2126" w:type="dxa"/>
            <w:tcBorders>
              <w:top w:val="single" w:sz="4" w:space="0" w:color="auto"/>
              <w:left w:val="single" w:sz="4" w:space="0" w:color="auto"/>
              <w:bottom w:val="single" w:sz="4" w:space="0" w:color="auto"/>
              <w:right w:val="single" w:sz="4" w:space="0" w:color="auto"/>
            </w:tcBorders>
            <w:vAlign w:val="center"/>
          </w:tcPr>
          <w:p w14:paraId="7BE8B873" w14:textId="77777777" w:rsidR="004A2652" w:rsidRPr="00E151A8" w:rsidRDefault="004A2652" w:rsidP="004A2652">
            <w:pPr>
              <w:widowControl w:val="0"/>
              <w:spacing w:line="276" w:lineRule="auto"/>
              <w:jc w:val="center"/>
              <w:rPr>
                <w:rFonts w:ascii="Arial" w:eastAsiaTheme="minorHAnsi" w:hAnsi="Arial" w:cs="Arial"/>
                <w:b/>
                <w:bCs/>
                <w:color w:val="000000" w:themeColor="text1"/>
                <w:sz w:val="18"/>
                <w:szCs w:val="18"/>
                <w:lang w:val="en-US" w:eastAsia="en-US"/>
              </w:rPr>
            </w:pPr>
            <w:r w:rsidRPr="00E151A8">
              <w:rPr>
                <w:rFonts w:ascii="Arial" w:eastAsiaTheme="minorHAnsi" w:hAnsi="Arial" w:cs="Arial"/>
                <w:b/>
                <w:bCs/>
                <w:color w:val="000000" w:themeColor="text1"/>
                <w:sz w:val="18"/>
                <w:szCs w:val="18"/>
                <w:lang w:val="en-US" w:eastAsia="en-US"/>
              </w:rPr>
              <w:t>-</w:t>
            </w:r>
          </w:p>
        </w:tc>
      </w:tr>
      <w:tr w:rsidR="004A2652" w:rsidRPr="00E151A8" w14:paraId="49244AE0" w14:textId="77777777" w:rsidTr="004A2652">
        <w:trPr>
          <w:trHeight w:val="313"/>
        </w:trPr>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53DE1CF" w14:textId="77777777" w:rsidR="004A2652" w:rsidRPr="00E151A8" w:rsidRDefault="004A2652" w:rsidP="004A2652">
            <w:pPr>
              <w:widowControl w:val="0"/>
              <w:spacing w:line="276" w:lineRule="auto"/>
              <w:rPr>
                <w:rFonts w:ascii="Arial" w:eastAsiaTheme="minorHAnsi" w:hAnsi="Arial" w:cs="Arial"/>
                <w:b/>
                <w:bCs/>
                <w:color w:val="000000" w:themeColor="text1"/>
                <w:sz w:val="18"/>
                <w:szCs w:val="18"/>
                <w:lang w:val="en-US" w:eastAsia="en-US"/>
              </w:rPr>
            </w:pPr>
            <w:r w:rsidRPr="00E151A8">
              <w:rPr>
                <w:rFonts w:ascii="Arial" w:eastAsiaTheme="minorHAnsi" w:hAnsi="Arial" w:cs="Arial"/>
                <w:b/>
                <w:bCs/>
                <w:color w:val="000000" w:themeColor="text1"/>
                <w:sz w:val="18"/>
                <w:szCs w:val="18"/>
                <w:lang w:val="en-US" w:eastAsia="en-US"/>
              </w:rPr>
              <w:t>Total</w:t>
            </w:r>
          </w:p>
        </w:tc>
        <w:tc>
          <w:tcPr>
            <w:tcW w:w="2268" w:type="dxa"/>
            <w:tcBorders>
              <w:top w:val="single" w:sz="4" w:space="0" w:color="auto"/>
              <w:left w:val="single" w:sz="4" w:space="0" w:color="auto"/>
              <w:bottom w:val="single" w:sz="4" w:space="0" w:color="auto"/>
              <w:right w:val="single" w:sz="4" w:space="0" w:color="auto"/>
            </w:tcBorders>
            <w:vAlign w:val="center"/>
          </w:tcPr>
          <w:p w14:paraId="420CA900" w14:textId="77777777" w:rsidR="004A2652" w:rsidRPr="00E151A8" w:rsidRDefault="004A2652" w:rsidP="004A2652">
            <w:pPr>
              <w:widowControl w:val="0"/>
              <w:spacing w:line="276" w:lineRule="auto"/>
              <w:jc w:val="center"/>
              <w:rPr>
                <w:rFonts w:ascii="Arial" w:eastAsiaTheme="minorHAnsi" w:hAnsi="Arial" w:cs="Arial"/>
                <w:b/>
                <w:bCs/>
                <w:color w:val="000000" w:themeColor="text1"/>
                <w:sz w:val="18"/>
                <w:szCs w:val="18"/>
                <w:lang w:val="en-US" w:eastAsia="en-US"/>
              </w:rPr>
            </w:pPr>
            <w:r w:rsidRPr="00E151A8">
              <w:rPr>
                <w:rFonts w:ascii="Arial" w:eastAsiaTheme="minorHAnsi" w:hAnsi="Arial" w:cs="Arial"/>
                <w:b/>
                <w:bCs/>
                <w:color w:val="000000" w:themeColor="text1"/>
                <w:sz w:val="18"/>
                <w:szCs w:val="18"/>
                <w:lang w:val="en-US" w:eastAsia="en-US"/>
              </w:rPr>
              <w:t>100.0%</w:t>
            </w:r>
          </w:p>
        </w:tc>
        <w:tc>
          <w:tcPr>
            <w:tcW w:w="2268" w:type="dxa"/>
            <w:tcBorders>
              <w:top w:val="single" w:sz="4" w:space="0" w:color="auto"/>
              <w:left w:val="single" w:sz="4" w:space="0" w:color="auto"/>
              <w:bottom w:val="single" w:sz="4" w:space="0" w:color="auto"/>
              <w:right w:val="single" w:sz="4" w:space="0" w:color="auto"/>
            </w:tcBorders>
            <w:vAlign w:val="center"/>
          </w:tcPr>
          <w:p w14:paraId="7ABC46EE" w14:textId="77777777" w:rsidR="004A2652" w:rsidRPr="00E151A8" w:rsidRDefault="004A2652" w:rsidP="004A2652">
            <w:pPr>
              <w:widowControl w:val="0"/>
              <w:spacing w:line="276" w:lineRule="auto"/>
              <w:jc w:val="center"/>
              <w:rPr>
                <w:rFonts w:ascii="Arial" w:eastAsiaTheme="minorHAnsi" w:hAnsi="Arial" w:cs="Arial"/>
                <w:b/>
                <w:color w:val="000000" w:themeColor="text1"/>
                <w:sz w:val="18"/>
                <w:szCs w:val="18"/>
                <w:lang w:val="en-US" w:eastAsia="en-US"/>
              </w:rPr>
            </w:pPr>
            <w:r w:rsidRPr="00E151A8">
              <w:rPr>
                <w:rFonts w:ascii="Arial" w:eastAsiaTheme="minorHAnsi" w:hAnsi="Arial" w:cs="Arial"/>
                <w:b/>
                <w:color w:val="000000" w:themeColor="text1"/>
                <w:sz w:val="18"/>
                <w:szCs w:val="18"/>
                <w:lang w:val="en-US" w:eastAsia="en-US"/>
              </w:rPr>
              <w:t>100.0%</w:t>
            </w:r>
          </w:p>
        </w:tc>
        <w:tc>
          <w:tcPr>
            <w:tcW w:w="2126" w:type="dxa"/>
            <w:tcBorders>
              <w:top w:val="single" w:sz="4" w:space="0" w:color="auto"/>
              <w:left w:val="single" w:sz="4" w:space="0" w:color="auto"/>
              <w:bottom w:val="single" w:sz="4" w:space="0" w:color="auto"/>
              <w:right w:val="single" w:sz="4" w:space="0" w:color="auto"/>
            </w:tcBorders>
            <w:vAlign w:val="center"/>
          </w:tcPr>
          <w:p w14:paraId="23FA01D0" w14:textId="77777777" w:rsidR="004A2652" w:rsidRPr="00E151A8" w:rsidRDefault="004A2652" w:rsidP="004A2652">
            <w:pPr>
              <w:widowControl w:val="0"/>
              <w:spacing w:line="276" w:lineRule="auto"/>
              <w:jc w:val="center"/>
              <w:rPr>
                <w:rFonts w:ascii="Arial" w:eastAsiaTheme="minorHAnsi" w:hAnsi="Arial" w:cs="Arial"/>
                <w:b/>
                <w:bCs/>
                <w:color w:val="000000" w:themeColor="text1"/>
                <w:sz w:val="18"/>
                <w:szCs w:val="18"/>
                <w:lang w:val="en-US" w:eastAsia="en-US"/>
              </w:rPr>
            </w:pPr>
            <w:r w:rsidRPr="00E151A8">
              <w:rPr>
                <w:rFonts w:ascii="Arial" w:eastAsiaTheme="minorHAnsi" w:hAnsi="Arial" w:cs="Arial"/>
                <w:b/>
                <w:bCs/>
                <w:color w:val="000000" w:themeColor="text1"/>
                <w:sz w:val="18"/>
                <w:szCs w:val="18"/>
                <w:lang w:val="en-US" w:eastAsia="en-US"/>
              </w:rPr>
              <w:t>100.0%</w:t>
            </w:r>
          </w:p>
        </w:tc>
      </w:tr>
    </w:tbl>
    <w:p w14:paraId="105943B4" w14:textId="23432693" w:rsidR="004A2652" w:rsidRPr="00B63E9B" w:rsidRDefault="00B63E9B" w:rsidP="00B63E9B">
      <w:pPr>
        <w:spacing w:after="200"/>
        <w:ind w:left="567" w:hanging="425"/>
        <w:jc w:val="both"/>
        <w:rPr>
          <w:rFonts w:ascii="Arial" w:eastAsiaTheme="minorEastAsia" w:hAnsi="Arial" w:cs="Arial"/>
          <w:i/>
          <w:sz w:val="18"/>
          <w:szCs w:val="18"/>
        </w:rPr>
      </w:pPr>
      <w:r w:rsidRPr="00B63E9B">
        <w:rPr>
          <w:rFonts w:ascii="Arial" w:eastAsiaTheme="minorEastAsia" w:hAnsi="Arial" w:cs="Arial"/>
          <w:sz w:val="24"/>
        </w:rPr>
        <w:t>*</w:t>
      </w:r>
      <w:r w:rsidRPr="00B63E9B">
        <w:rPr>
          <w:rFonts w:ascii="Arial" w:eastAsiaTheme="minorEastAsia" w:hAnsi="Arial" w:cs="Arial"/>
          <w:sz w:val="18"/>
          <w:szCs w:val="18"/>
        </w:rPr>
        <w:t xml:space="preserve">   </w:t>
      </w:r>
      <w:r w:rsidRPr="00B63E9B">
        <w:rPr>
          <w:rFonts w:ascii="Arial" w:eastAsiaTheme="minorEastAsia" w:hAnsi="Arial" w:cs="Arial"/>
          <w:i/>
          <w:sz w:val="18"/>
          <w:szCs w:val="18"/>
        </w:rPr>
        <w:t>In addition, when asked how supportive they were of Option 1</w:t>
      </w:r>
      <w:r>
        <w:rPr>
          <w:rFonts w:ascii="Arial" w:eastAsiaTheme="minorEastAsia" w:hAnsi="Arial" w:cs="Arial"/>
          <w:i/>
          <w:sz w:val="18"/>
          <w:szCs w:val="18"/>
        </w:rPr>
        <w:t xml:space="preserve"> itself</w:t>
      </w:r>
      <w:r w:rsidRPr="00B63E9B">
        <w:rPr>
          <w:rFonts w:ascii="Arial" w:eastAsiaTheme="minorEastAsia" w:hAnsi="Arial" w:cs="Arial"/>
          <w:i/>
          <w:sz w:val="18"/>
          <w:szCs w:val="18"/>
        </w:rPr>
        <w:t xml:space="preserve">, </w:t>
      </w:r>
      <w:r w:rsidRPr="00B63E9B">
        <w:rPr>
          <w:rFonts w:ascii="Arial" w:eastAsiaTheme="minorEastAsia" w:hAnsi="Arial" w:cs="Arial"/>
          <w:b/>
          <w:i/>
          <w:sz w:val="18"/>
          <w:szCs w:val="18"/>
        </w:rPr>
        <w:t>64% of survey respondents</w:t>
      </w:r>
      <w:r w:rsidRPr="00B63E9B">
        <w:rPr>
          <w:rFonts w:ascii="Arial" w:eastAsiaTheme="minorEastAsia" w:hAnsi="Arial" w:cs="Arial"/>
          <w:i/>
          <w:sz w:val="18"/>
          <w:szCs w:val="18"/>
        </w:rPr>
        <w:t xml:space="preserve"> indicated medium</w:t>
      </w:r>
      <w:r>
        <w:rPr>
          <w:rFonts w:ascii="Arial" w:eastAsiaTheme="minorEastAsia" w:hAnsi="Arial" w:cs="Arial"/>
          <w:i/>
          <w:sz w:val="18"/>
          <w:szCs w:val="18"/>
        </w:rPr>
        <w:t xml:space="preserve"> (16%) or </w:t>
      </w:r>
      <w:r w:rsidRPr="00B63E9B">
        <w:rPr>
          <w:rFonts w:ascii="Arial" w:eastAsiaTheme="minorEastAsia" w:hAnsi="Arial" w:cs="Arial"/>
          <w:i/>
          <w:sz w:val="18"/>
          <w:szCs w:val="18"/>
        </w:rPr>
        <w:t>high support</w:t>
      </w:r>
      <w:r>
        <w:rPr>
          <w:rFonts w:ascii="Arial" w:eastAsiaTheme="minorEastAsia" w:hAnsi="Arial" w:cs="Arial"/>
          <w:i/>
          <w:sz w:val="18"/>
          <w:szCs w:val="18"/>
        </w:rPr>
        <w:t xml:space="preserve"> (48%) </w:t>
      </w:r>
      <w:r w:rsidR="007453E2">
        <w:rPr>
          <w:rFonts w:ascii="Arial" w:eastAsiaTheme="minorEastAsia" w:hAnsi="Arial" w:cs="Arial"/>
          <w:i/>
          <w:sz w:val="18"/>
          <w:szCs w:val="18"/>
        </w:rPr>
        <w:t xml:space="preserve">(see </w:t>
      </w:r>
      <w:r w:rsidR="007453E2" w:rsidRPr="007453E2">
        <w:rPr>
          <w:rFonts w:ascii="Arial" w:eastAsiaTheme="minorEastAsia" w:hAnsi="Arial" w:cs="Arial"/>
          <w:b/>
          <w:i/>
          <w:sz w:val="18"/>
          <w:szCs w:val="18"/>
        </w:rPr>
        <w:t xml:space="preserve">Attachment </w:t>
      </w:r>
      <w:r w:rsidR="007453E2">
        <w:rPr>
          <w:rFonts w:ascii="Arial" w:eastAsiaTheme="minorEastAsia" w:hAnsi="Arial" w:cs="Arial"/>
          <w:b/>
          <w:i/>
          <w:sz w:val="18"/>
          <w:szCs w:val="18"/>
        </w:rPr>
        <w:t>6b</w:t>
      </w:r>
      <w:r w:rsidR="007453E2">
        <w:rPr>
          <w:rFonts w:ascii="Arial" w:eastAsiaTheme="minorEastAsia" w:hAnsi="Arial" w:cs="Arial"/>
          <w:i/>
          <w:sz w:val="18"/>
          <w:szCs w:val="18"/>
        </w:rPr>
        <w:t>, page 14)</w:t>
      </w:r>
      <w:r w:rsidR="007453E2" w:rsidRPr="00B63E9B">
        <w:rPr>
          <w:rFonts w:ascii="Arial" w:eastAsiaTheme="minorEastAsia" w:hAnsi="Arial" w:cs="Arial"/>
          <w:i/>
          <w:sz w:val="18"/>
          <w:szCs w:val="18"/>
        </w:rPr>
        <w:t>.</w:t>
      </w:r>
    </w:p>
    <w:p w14:paraId="4B86F914" w14:textId="77777777" w:rsidR="004A2652" w:rsidRPr="00CC6500" w:rsidRDefault="004A2652" w:rsidP="00306749">
      <w:pPr>
        <w:spacing w:line="276" w:lineRule="auto"/>
        <w:jc w:val="both"/>
        <w:rPr>
          <w:rFonts w:ascii="Arial" w:hAnsi="Arial" w:cs="Arial"/>
          <w:sz w:val="20"/>
          <w:szCs w:val="20"/>
        </w:rPr>
      </w:pPr>
      <w:r>
        <w:rPr>
          <w:rFonts w:ascii="Arial" w:hAnsi="Arial" w:cs="Arial"/>
          <w:sz w:val="20"/>
          <w:szCs w:val="20"/>
        </w:rPr>
        <w:t xml:space="preserve">The </w:t>
      </w:r>
      <w:r w:rsidRPr="00CC6500">
        <w:rPr>
          <w:rFonts w:ascii="Arial" w:hAnsi="Arial" w:cs="Arial"/>
          <w:sz w:val="20"/>
          <w:szCs w:val="20"/>
        </w:rPr>
        <w:t xml:space="preserve">scale of the </w:t>
      </w:r>
      <w:r>
        <w:rPr>
          <w:rFonts w:ascii="Arial" w:hAnsi="Arial" w:cs="Arial"/>
          <w:sz w:val="20"/>
          <w:szCs w:val="20"/>
        </w:rPr>
        <w:t xml:space="preserve">City’s </w:t>
      </w:r>
      <w:r w:rsidRPr="00CC6500">
        <w:rPr>
          <w:rFonts w:ascii="Arial" w:hAnsi="Arial" w:cs="Arial"/>
          <w:sz w:val="20"/>
          <w:szCs w:val="20"/>
        </w:rPr>
        <w:t>infrastructure backlog combined with an increas</w:t>
      </w:r>
      <w:r>
        <w:rPr>
          <w:rFonts w:ascii="Arial" w:hAnsi="Arial" w:cs="Arial"/>
          <w:sz w:val="20"/>
          <w:szCs w:val="20"/>
        </w:rPr>
        <w:t>e in natural disasters, reduced</w:t>
      </w:r>
      <w:r w:rsidRPr="00CC6500">
        <w:rPr>
          <w:rFonts w:ascii="Arial" w:hAnsi="Arial" w:cs="Arial"/>
          <w:sz w:val="20"/>
          <w:szCs w:val="20"/>
        </w:rPr>
        <w:t xml:space="preserve"> federal funding, cost shifting by governments and increasing community expectation for </w:t>
      </w:r>
      <w:r>
        <w:rPr>
          <w:rFonts w:ascii="Arial" w:hAnsi="Arial" w:cs="Arial"/>
          <w:sz w:val="20"/>
          <w:szCs w:val="20"/>
        </w:rPr>
        <w:t xml:space="preserve">improved services, has culminated in the </w:t>
      </w:r>
      <w:r w:rsidRPr="00CC6500">
        <w:rPr>
          <w:rFonts w:ascii="Arial" w:hAnsi="Arial" w:cs="Arial"/>
          <w:sz w:val="20"/>
          <w:szCs w:val="20"/>
        </w:rPr>
        <w:t xml:space="preserve">community </w:t>
      </w:r>
      <w:r>
        <w:rPr>
          <w:rFonts w:ascii="Arial" w:hAnsi="Arial" w:cs="Arial"/>
          <w:sz w:val="20"/>
          <w:szCs w:val="20"/>
        </w:rPr>
        <w:t xml:space="preserve">supporting </w:t>
      </w:r>
      <w:r w:rsidRPr="00CC6500">
        <w:rPr>
          <w:rFonts w:ascii="Arial" w:hAnsi="Arial" w:cs="Arial"/>
          <w:sz w:val="20"/>
          <w:szCs w:val="20"/>
        </w:rPr>
        <w:t>increase</w:t>
      </w:r>
      <w:r>
        <w:rPr>
          <w:rFonts w:ascii="Arial" w:hAnsi="Arial" w:cs="Arial"/>
          <w:sz w:val="20"/>
          <w:szCs w:val="20"/>
        </w:rPr>
        <w:t>d</w:t>
      </w:r>
      <w:r w:rsidRPr="00CC6500">
        <w:rPr>
          <w:rFonts w:ascii="Arial" w:hAnsi="Arial" w:cs="Arial"/>
          <w:sz w:val="20"/>
          <w:szCs w:val="20"/>
        </w:rPr>
        <w:t xml:space="preserve"> rates to enable the Council to address the significant infrastructure backlog and reverse the decline in City’s built assets, improve capacity to prepare and respond to bushfire and other emergencies and continue </w:t>
      </w:r>
      <w:r>
        <w:rPr>
          <w:rFonts w:ascii="Arial" w:hAnsi="Arial" w:cs="Arial"/>
          <w:sz w:val="20"/>
          <w:szCs w:val="20"/>
        </w:rPr>
        <w:t xml:space="preserve">the programs and initiatives for </w:t>
      </w:r>
      <w:r w:rsidRPr="00CC6500">
        <w:rPr>
          <w:rFonts w:ascii="Arial" w:hAnsi="Arial" w:cs="Arial"/>
          <w:sz w:val="20"/>
          <w:szCs w:val="20"/>
        </w:rPr>
        <w:t xml:space="preserve">protecting the environment. </w:t>
      </w:r>
    </w:p>
    <w:p w14:paraId="140E3FF2" w14:textId="77777777" w:rsidR="004A2652" w:rsidRPr="00CC6500" w:rsidRDefault="004A2652" w:rsidP="00306749">
      <w:pPr>
        <w:autoSpaceDE w:val="0"/>
        <w:autoSpaceDN w:val="0"/>
        <w:adjustRightInd w:val="0"/>
        <w:spacing w:line="276" w:lineRule="auto"/>
        <w:contextualSpacing/>
        <w:jc w:val="both"/>
        <w:rPr>
          <w:rFonts w:ascii="Arial" w:hAnsi="Arial" w:cs="Arial"/>
          <w:sz w:val="20"/>
          <w:szCs w:val="20"/>
        </w:rPr>
      </w:pPr>
    </w:p>
    <w:p w14:paraId="01B7EBED" w14:textId="77777777" w:rsidR="004A2652" w:rsidRDefault="004A2652" w:rsidP="00306749">
      <w:pPr>
        <w:autoSpaceDE w:val="0"/>
        <w:autoSpaceDN w:val="0"/>
        <w:adjustRightInd w:val="0"/>
        <w:spacing w:line="276" w:lineRule="auto"/>
        <w:contextualSpacing/>
        <w:jc w:val="both"/>
        <w:rPr>
          <w:rFonts w:ascii="Arial" w:hAnsi="Arial" w:cs="Arial"/>
          <w:sz w:val="20"/>
          <w:szCs w:val="20"/>
        </w:rPr>
      </w:pPr>
      <w:r w:rsidRPr="00CC6500">
        <w:rPr>
          <w:rFonts w:ascii="Arial" w:hAnsi="Arial" w:cs="Arial"/>
          <w:sz w:val="20"/>
          <w:szCs w:val="20"/>
        </w:rPr>
        <w:t xml:space="preserve">Council’s policy settings for Option 1 require ongoing efficiency, financial discipline and tight control of long term operating costs.  This road to sustainability for the City </w:t>
      </w:r>
      <w:r>
        <w:rPr>
          <w:rFonts w:ascii="Arial" w:hAnsi="Arial" w:cs="Arial"/>
          <w:sz w:val="20"/>
          <w:szCs w:val="20"/>
        </w:rPr>
        <w:t xml:space="preserve">is projected to </w:t>
      </w:r>
      <w:r w:rsidRPr="00CC6500">
        <w:rPr>
          <w:rFonts w:ascii="Arial" w:hAnsi="Arial" w:cs="Arial"/>
          <w:sz w:val="20"/>
          <w:szCs w:val="20"/>
        </w:rPr>
        <w:t>take 20 years to complete and Council has diligently put in place plans and strategies to ensure a continued program of accountability for efficiency and effective allocation of community resources</w:t>
      </w:r>
      <w:r>
        <w:rPr>
          <w:rFonts w:ascii="Arial" w:hAnsi="Arial" w:cs="Arial"/>
          <w:sz w:val="20"/>
          <w:szCs w:val="20"/>
        </w:rPr>
        <w:t xml:space="preserve"> (as detailed in </w:t>
      </w:r>
      <w:r w:rsidRPr="00E92457">
        <w:rPr>
          <w:rFonts w:ascii="Arial" w:hAnsi="Arial" w:cs="Arial"/>
          <w:b/>
          <w:sz w:val="20"/>
          <w:szCs w:val="20"/>
        </w:rPr>
        <w:t>Section 7</w:t>
      </w:r>
      <w:r>
        <w:rPr>
          <w:rFonts w:ascii="Arial" w:hAnsi="Arial" w:cs="Arial"/>
          <w:sz w:val="20"/>
          <w:szCs w:val="20"/>
        </w:rPr>
        <w:t>)</w:t>
      </w:r>
      <w:r w:rsidRPr="00CC6500">
        <w:rPr>
          <w:rFonts w:ascii="Arial" w:hAnsi="Arial" w:cs="Arial"/>
          <w:sz w:val="20"/>
          <w:szCs w:val="20"/>
        </w:rPr>
        <w:t xml:space="preserve">. </w:t>
      </w:r>
    </w:p>
    <w:p w14:paraId="07E2A1BE" w14:textId="77777777" w:rsidR="004A2652" w:rsidRPr="00CC6500" w:rsidRDefault="004A2652" w:rsidP="00306749">
      <w:pPr>
        <w:autoSpaceDE w:val="0"/>
        <w:autoSpaceDN w:val="0"/>
        <w:adjustRightInd w:val="0"/>
        <w:spacing w:line="276" w:lineRule="auto"/>
        <w:contextualSpacing/>
        <w:jc w:val="both"/>
        <w:rPr>
          <w:rFonts w:ascii="Arial" w:hAnsi="Arial" w:cs="Arial"/>
          <w:sz w:val="20"/>
          <w:szCs w:val="20"/>
        </w:rPr>
      </w:pPr>
    </w:p>
    <w:p w14:paraId="1C63A3CF" w14:textId="5DF5D33D" w:rsidR="00306749" w:rsidRDefault="004A2652" w:rsidP="00306749">
      <w:pPr>
        <w:autoSpaceDE w:val="0"/>
        <w:autoSpaceDN w:val="0"/>
        <w:adjustRightInd w:val="0"/>
        <w:spacing w:line="276" w:lineRule="auto"/>
        <w:contextualSpacing/>
        <w:jc w:val="both"/>
        <w:rPr>
          <w:rFonts w:ascii="Arial" w:hAnsi="Arial" w:cs="Arial"/>
          <w:sz w:val="20"/>
          <w:szCs w:val="20"/>
        </w:rPr>
      </w:pPr>
      <w:r>
        <w:rPr>
          <w:rFonts w:ascii="Arial" w:hAnsi="Arial" w:cs="Arial"/>
          <w:sz w:val="20"/>
          <w:szCs w:val="20"/>
        </w:rPr>
        <w:t xml:space="preserve">Council is also acutely </w:t>
      </w:r>
      <w:r w:rsidRPr="00CC6500">
        <w:rPr>
          <w:rFonts w:ascii="Arial" w:hAnsi="Arial" w:cs="Arial"/>
          <w:sz w:val="20"/>
          <w:szCs w:val="20"/>
        </w:rPr>
        <w:t>aware that any decision, whether to reduce services or increase income is a trade-off and that the well-being of th</w:t>
      </w:r>
      <w:r>
        <w:rPr>
          <w:rFonts w:ascii="Arial" w:hAnsi="Arial" w:cs="Arial"/>
          <w:sz w:val="20"/>
          <w:szCs w:val="20"/>
        </w:rPr>
        <w:t xml:space="preserve">e community is paramount. </w:t>
      </w:r>
      <w:r w:rsidRPr="00E92457">
        <w:rPr>
          <w:rFonts w:ascii="Arial" w:hAnsi="Arial" w:cs="Arial"/>
          <w:b/>
          <w:sz w:val="20"/>
          <w:szCs w:val="20"/>
        </w:rPr>
        <w:t>Section 5</w:t>
      </w:r>
      <w:r>
        <w:rPr>
          <w:rFonts w:ascii="Arial" w:hAnsi="Arial" w:cs="Arial"/>
          <w:sz w:val="20"/>
          <w:szCs w:val="20"/>
        </w:rPr>
        <w:t xml:space="preserve"> outlines the Council’s commitment to pro-actively supporting th</w:t>
      </w:r>
      <w:r w:rsidRPr="00CC6500">
        <w:rPr>
          <w:rFonts w:ascii="Arial" w:hAnsi="Arial" w:cs="Arial"/>
          <w:sz w:val="20"/>
          <w:szCs w:val="20"/>
        </w:rPr>
        <w:t xml:space="preserve">ose </w:t>
      </w:r>
      <w:r>
        <w:rPr>
          <w:rFonts w:ascii="Arial" w:hAnsi="Arial" w:cs="Arial"/>
          <w:sz w:val="20"/>
          <w:szCs w:val="20"/>
        </w:rPr>
        <w:t xml:space="preserve">who may be </w:t>
      </w:r>
      <w:r w:rsidRPr="00CC6500">
        <w:rPr>
          <w:rFonts w:ascii="Arial" w:hAnsi="Arial" w:cs="Arial"/>
          <w:sz w:val="20"/>
          <w:szCs w:val="20"/>
        </w:rPr>
        <w:t xml:space="preserve">adversely affected </w:t>
      </w:r>
      <w:r>
        <w:rPr>
          <w:rFonts w:ascii="Arial" w:hAnsi="Arial" w:cs="Arial"/>
          <w:sz w:val="20"/>
          <w:szCs w:val="20"/>
        </w:rPr>
        <w:t xml:space="preserve">by an increase in rates through a range of initiatives. </w:t>
      </w:r>
    </w:p>
    <w:p w14:paraId="3AB5C598" w14:textId="77777777" w:rsidR="00306749" w:rsidRDefault="00306749">
      <w:pPr>
        <w:rPr>
          <w:rFonts w:ascii="Arial" w:hAnsi="Arial" w:cs="Arial"/>
          <w:sz w:val="20"/>
          <w:szCs w:val="20"/>
        </w:rPr>
      </w:pPr>
      <w:r>
        <w:rPr>
          <w:rFonts w:ascii="Arial" w:hAnsi="Arial" w:cs="Arial"/>
          <w:sz w:val="20"/>
          <w:szCs w:val="20"/>
        </w:rPr>
        <w:br w:type="page"/>
      </w:r>
    </w:p>
    <w:p w14:paraId="359005FF" w14:textId="77777777" w:rsidR="004A2652" w:rsidRPr="00B22CC7" w:rsidRDefault="004A2652" w:rsidP="004A2652">
      <w:pPr>
        <w:pStyle w:val="Heading3"/>
        <w:tabs>
          <w:tab w:val="clear" w:pos="1844"/>
          <w:tab w:val="num" w:pos="709"/>
        </w:tabs>
        <w:ind w:left="709"/>
        <w:rPr>
          <w:color w:val="548DD4" w:themeColor="text2" w:themeTint="99"/>
        </w:rPr>
      </w:pPr>
      <w:r w:rsidRPr="002D4798">
        <w:t>How the decision to seek higher revenues above the rate peg was made and which other options were examined</w:t>
      </w:r>
    </w:p>
    <w:p w14:paraId="7142CF01" w14:textId="77777777" w:rsidR="004A2652" w:rsidRDefault="004A2652" w:rsidP="004A2652">
      <w:pPr>
        <w:pStyle w:val="ListBullet"/>
        <w:numPr>
          <w:ilvl w:val="0"/>
          <w:numId w:val="0"/>
        </w:numPr>
        <w:ind w:left="284" w:hanging="284"/>
        <w:rPr>
          <w:color w:val="548DD4" w:themeColor="text2" w:themeTint="99"/>
        </w:rPr>
      </w:pPr>
    </w:p>
    <w:p w14:paraId="2B0C46E9" w14:textId="77777777" w:rsidR="004A2652" w:rsidRPr="00A257B4" w:rsidRDefault="004A2652" w:rsidP="00306749">
      <w:pPr>
        <w:pStyle w:val="Default"/>
        <w:spacing w:line="276" w:lineRule="auto"/>
        <w:jc w:val="both"/>
        <w:rPr>
          <w:b/>
          <w:bCs/>
          <w:i/>
          <w:sz w:val="20"/>
          <w:szCs w:val="20"/>
        </w:rPr>
      </w:pPr>
      <w:r w:rsidRPr="00A257B4">
        <w:rPr>
          <w:b/>
          <w:bCs/>
          <w:i/>
          <w:sz w:val="20"/>
          <w:szCs w:val="20"/>
        </w:rPr>
        <w:t>How the decision to seek higher revenues was made</w:t>
      </w:r>
    </w:p>
    <w:p w14:paraId="1109218E" w14:textId="1F518A49" w:rsidR="004A2652" w:rsidRDefault="004A2652" w:rsidP="00306749">
      <w:pPr>
        <w:pStyle w:val="Default"/>
        <w:spacing w:line="276" w:lineRule="auto"/>
        <w:jc w:val="both"/>
        <w:rPr>
          <w:bCs/>
          <w:sz w:val="20"/>
          <w:szCs w:val="20"/>
        </w:rPr>
      </w:pPr>
      <w:r w:rsidRPr="00765936">
        <w:rPr>
          <w:bCs/>
          <w:sz w:val="20"/>
          <w:szCs w:val="20"/>
        </w:rPr>
        <w:t xml:space="preserve">As detailed in this application, the Council </w:t>
      </w:r>
      <w:r>
        <w:rPr>
          <w:bCs/>
          <w:sz w:val="20"/>
          <w:szCs w:val="20"/>
        </w:rPr>
        <w:t>is seeking to</w:t>
      </w:r>
      <w:r w:rsidRPr="00765936">
        <w:rPr>
          <w:bCs/>
          <w:sz w:val="20"/>
          <w:szCs w:val="20"/>
        </w:rPr>
        <w:t xml:space="preserve"> increase its revenue through a special variation</w:t>
      </w:r>
      <w:r w:rsidR="006B1B06">
        <w:rPr>
          <w:bCs/>
          <w:sz w:val="20"/>
          <w:szCs w:val="20"/>
        </w:rPr>
        <w:t xml:space="preserve">. This decision was reached </w:t>
      </w:r>
      <w:r>
        <w:rPr>
          <w:bCs/>
          <w:sz w:val="20"/>
          <w:szCs w:val="20"/>
        </w:rPr>
        <w:t>on the basis that t</w:t>
      </w:r>
      <w:r w:rsidRPr="005E07ED">
        <w:rPr>
          <w:bCs/>
          <w:sz w:val="20"/>
          <w:szCs w:val="20"/>
        </w:rPr>
        <w:t xml:space="preserve">he Council’s </w:t>
      </w:r>
      <w:r>
        <w:rPr>
          <w:bCs/>
          <w:sz w:val="20"/>
          <w:szCs w:val="20"/>
        </w:rPr>
        <w:t>IP&amp;R</w:t>
      </w:r>
      <w:r w:rsidRPr="005E07ED">
        <w:rPr>
          <w:bCs/>
          <w:sz w:val="20"/>
          <w:szCs w:val="20"/>
        </w:rPr>
        <w:t xml:space="preserve"> processes identified </w:t>
      </w:r>
      <w:r>
        <w:rPr>
          <w:bCs/>
          <w:sz w:val="20"/>
          <w:szCs w:val="20"/>
        </w:rPr>
        <w:t>that projected available revenue over the next 10 years is insufficient to maintain, let alone improve, existing levels of service and a rebalancing of service levels is required</w:t>
      </w:r>
      <w:r w:rsidRPr="003049A1">
        <w:rPr>
          <w:bCs/>
          <w:sz w:val="20"/>
          <w:szCs w:val="20"/>
        </w:rPr>
        <w:t>, while managing risk and engaging the community on service level trade-offs.</w:t>
      </w:r>
      <w:r>
        <w:rPr>
          <w:bCs/>
          <w:sz w:val="20"/>
          <w:szCs w:val="20"/>
        </w:rPr>
        <w:t xml:space="preserve"> </w:t>
      </w:r>
      <w:r w:rsidR="006B1B06">
        <w:rPr>
          <w:bCs/>
          <w:sz w:val="20"/>
          <w:szCs w:val="20"/>
        </w:rPr>
        <w:t>This is evidenced in the Council’</w:t>
      </w:r>
      <w:r w:rsidR="00C23A40">
        <w:rPr>
          <w:bCs/>
          <w:sz w:val="20"/>
          <w:szCs w:val="20"/>
        </w:rPr>
        <w:t>s Long T</w:t>
      </w:r>
      <w:r w:rsidR="006B1B06">
        <w:rPr>
          <w:bCs/>
          <w:sz w:val="20"/>
          <w:szCs w:val="20"/>
        </w:rPr>
        <w:t xml:space="preserve">erm Financial Plan </w:t>
      </w:r>
      <w:r w:rsidR="00C23A40">
        <w:rPr>
          <w:bCs/>
          <w:sz w:val="20"/>
          <w:szCs w:val="20"/>
        </w:rPr>
        <w:t>(</w:t>
      </w:r>
      <w:r w:rsidR="00C23A40" w:rsidRPr="00C23A40">
        <w:rPr>
          <w:b/>
          <w:bCs/>
          <w:sz w:val="20"/>
          <w:szCs w:val="20"/>
        </w:rPr>
        <w:t>Attachment 3</w:t>
      </w:r>
      <w:r w:rsidR="00C23A40">
        <w:rPr>
          <w:bCs/>
          <w:sz w:val="20"/>
          <w:szCs w:val="20"/>
        </w:rPr>
        <w:t xml:space="preserve">) </w:t>
      </w:r>
      <w:r w:rsidR="006B1B06">
        <w:rPr>
          <w:bCs/>
          <w:sz w:val="20"/>
          <w:szCs w:val="20"/>
        </w:rPr>
        <w:t>and Asset Management Strategy (</w:t>
      </w:r>
      <w:r w:rsidR="006B1B06" w:rsidRPr="00C23A40">
        <w:rPr>
          <w:b/>
          <w:bCs/>
          <w:sz w:val="20"/>
          <w:szCs w:val="20"/>
        </w:rPr>
        <w:t>Attachment 13, Part 5</w:t>
      </w:r>
      <w:r w:rsidR="006B1B06">
        <w:rPr>
          <w:bCs/>
          <w:sz w:val="20"/>
          <w:szCs w:val="20"/>
        </w:rPr>
        <w:t xml:space="preserve">).  </w:t>
      </w:r>
    </w:p>
    <w:p w14:paraId="2658EDF3" w14:textId="77777777" w:rsidR="004A2652" w:rsidRDefault="004A2652" w:rsidP="00306749">
      <w:pPr>
        <w:pStyle w:val="Default"/>
        <w:spacing w:line="276" w:lineRule="auto"/>
        <w:jc w:val="both"/>
        <w:rPr>
          <w:bCs/>
          <w:sz w:val="20"/>
          <w:szCs w:val="20"/>
        </w:rPr>
      </w:pPr>
    </w:p>
    <w:p w14:paraId="3CAD40F2" w14:textId="77777777" w:rsidR="004A2652" w:rsidRPr="00821112" w:rsidRDefault="004A2652" w:rsidP="00306749">
      <w:pPr>
        <w:pStyle w:val="Default"/>
        <w:spacing w:line="276" w:lineRule="auto"/>
        <w:jc w:val="both"/>
        <w:rPr>
          <w:bCs/>
          <w:sz w:val="20"/>
          <w:szCs w:val="20"/>
        </w:rPr>
      </w:pPr>
      <w:r>
        <w:rPr>
          <w:bCs/>
          <w:sz w:val="20"/>
          <w:szCs w:val="20"/>
        </w:rPr>
        <w:t xml:space="preserve">For the Council to be sustainable into the future, its operating revenues must cover operating costs including the funding required to maintain and renew built assets. </w:t>
      </w:r>
      <w:r w:rsidRPr="00821112">
        <w:rPr>
          <w:bCs/>
          <w:sz w:val="20"/>
          <w:szCs w:val="20"/>
        </w:rPr>
        <w:t xml:space="preserve">The following chart shows the estimated funding gap for all services and assets over the next 20 years. Projected revenue is shown by the black line and the bars show the annual projected expenditure requirements on operations, maintenance, renewal and upgrade. </w:t>
      </w:r>
    </w:p>
    <w:p w14:paraId="5DA14A32" w14:textId="0B0EC2A2" w:rsidR="004A2652" w:rsidRPr="003B5CED" w:rsidRDefault="004A2652" w:rsidP="004A2652">
      <w:pPr>
        <w:pStyle w:val="BodyText"/>
        <w:keepNext/>
        <w:rPr>
          <w:rFonts w:ascii="Arial" w:hAnsi="Arial" w:cs="Arial"/>
          <w:b/>
          <w:sz w:val="18"/>
          <w:szCs w:val="18"/>
        </w:rPr>
      </w:pPr>
      <w:r w:rsidRPr="003B5CED">
        <w:rPr>
          <w:rFonts w:ascii="Arial" w:hAnsi="Arial" w:cs="Arial"/>
          <w:b/>
          <w:sz w:val="18"/>
          <w:szCs w:val="18"/>
        </w:rPr>
        <w:t xml:space="preserve">Figure </w:t>
      </w:r>
      <w:r w:rsidR="00B74436" w:rsidRPr="003B5CED">
        <w:rPr>
          <w:rFonts w:ascii="Arial" w:hAnsi="Arial" w:cs="Arial"/>
          <w:b/>
          <w:sz w:val="18"/>
          <w:szCs w:val="18"/>
        </w:rPr>
        <w:t>3.</w:t>
      </w:r>
      <w:r w:rsidRPr="003B5CED">
        <w:rPr>
          <w:rFonts w:ascii="Arial" w:hAnsi="Arial" w:cs="Arial"/>
          <w:b/>
          <w:sz w:val="18"/>
          <w:szCs w:val="18"/>
        </w:rPr>
        <w:t>1: Projected Operating and Capital Expenditure 2015/16 – 2034/35</w:t>
      </w:r>
    </w:p>
    <w:p w14:paraId="0FA8488B" w14:textId="77777777" w:rsidR="004A2652" w:rsidRDefault="004A2652" w:rsidP="004A2652">
      <w:pPr>
        <w:pStyle w:val="Default"/>
        <w:spacing w:line="360" w:lineRule="auto"/>
        <w:jc w:val="both"/>
        <w:rPr>
          <w:bCs/>
          <w:sz w:val="20"/>
          <w:szCs w:val="20"/>
        </w:rPr>
      </w:pPr>
      <w:r w:rsidRPr="00196EAC">
        <w:rPr>
          <w:noProof/>
        </w:rPr>
        <w:drawing>
          <wp:inline distT="0" distB="0" distL="0" distR="0" wp14:anchorId="5D6DC89E" wp14:editId="57B641AB">
            <wp:extent cx="5760000" cy="2799254"/>
            <wp:effectExtent l="19050" t="19050" r="12700" b="20320"/>
            <wp:docPr id="29" name="Picture 29" descr="C:\Users\sjohnson\AppData\Local\Microsoft\Windows\Temporary Internet Files\Content.Word\Summary Fig 7 Graph - Option 3 (Reduced) v2 140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johnson\AppData\Local\Microsoft\Windows\Temporary Internet Files\Content.Word\Summary Fig 7 Graph - Option 3 (Reduced) v2 140710.pn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760000" cy="2799254"/>
                    </a:xfrm>
                    <a:prstGeom prst="rect">
                      <a:avLst/>
                    </a:prstGeom>
                    <a:noFill/>
                    <a:ln w="3175">
                      <a:solidFill>
                        <a:sysClr val="windowText" lastClr="000000"/>
                      </a:solidFill>
                    </a:ln>
                  </pic:spPr>
                </pic:pic>
              </a:graphicData>
            </a:graphic>
          </wp:inline>
        </w:drawing>
      </w:r>
    </w:p>
    <w:p w14:paraId="45F3B0F2" w14:textId="629A268F" w:rsidR="004A2652" w:rsidRPr="00F4111A" w:rsidRDefault="004A2652" w:rsidP="004A2652">
      <w:pPr>
        <w:pStyle w:val="Default"/>
        <w:spacing w:line="360" w:lineRule="auto"/>
        <w:jc w:val="both"/>
        <w:rPr>
          <w:bCs/>
          <w:i/>
          <w:sz w:val="18"/>
          <w:szCs w:val="18"/>
        </w:rPr>
      </w:pPr>
      <w:r w:rsidRPr="00F4111A">
        <w:rPr>
          <w:bCs/>
          <w:i/>
          <w:sz w:val="18"/>
          <w:szCs w:val="18"/>
        </w:rPr>
        <w:t xml:space="preserve">Source: </w:t>
      </w:r>
      <w:r w:rsidRPr="008D103D">
        <w:rPr>
          <w:b/>
          <w:bCs/>
          <w:i/>
          <w:sz w:val="18"/>
          <w:szCs w:val="18"/>
        </w:rPr>
        <w:t xml:space="preserve">Attachment </w:t>
      </w:r>
      <w:r w:rsidR="003A37E8" w:rsidRPr="008D103D">
        <w:rPr>
          <w:b/>
          <w:bCs/>
          <w:i/>
          <w:sz w:val="18"/>
          <w:szCs w:val="18"/>
        </w:rPr>
        <w:t>1</w:t>
      </w:r>
      <w:r w:rsidRPr="008D103D">
        <w:rPr>
          <w:b/>
          <w:bCs/>
          <w:i/>
          <w:sz w:val="18"/>
          <w:szCs w:val="18"/>
        </w:rPr>
        <w:t>3,</w:t>
      </w:r>
      <w:r w:rsidRPr="00F4111A">
        <w:rPr>
          <w:bCs/>
          <w:i/>
          <w:sz w:val="18"/>
          <w:szCs w:val="18"/>
        </w:rPr>
        <w:t xml:space="preserve"> </w:t>
      </w:r>
      <w:r w:rsidR="003A37E8">
        <w:rPr>
          <w:bCs/>
          <w:i/>
          <w:sz w:val="18"/>
          <w:szCs w:val="18"/>
        </w:rPr>
        <w:t>Resourcing Strategy – Part 4 Asset Management Strategy, page 160</w:t>
      </w:r>
    </w:p>
    <w:p w14:paraId="30D81373" w14:textId="77777777" w:rsidR="004A2652" w:rsidRDefault="004A2652" w:rsidP="004A2652">
      <w:pPr>
        <w:spacing w:line="360" w:lineRule="auto"/>
        <w:jc w:val="both"/>
        <w:rPr>
          <w:rFonts w:ascii="Arial" w:hAnsi="Arial" w:cs="Arial"/>
          <w:bCs/>
          <w:sz w:val="20"/>
          <w:szCs w:val="20"/>
        </w:rPr>
      </w:pPr>
    </w:p>
    <w:p w14:paraId="6C6EECF4" w14:textId="1632CA45" w:rsidR="004A2652" w:rsidRDefault="004A2652" w:rsidP="00401AA8">
      <w:pPr>
        <w:pStyle w:val="Default"/>
        <w:spacing w:line="276" w:lineRule="auto"/>
        <w:jc w:val="both"/>
        <w:rPr>
          <w:sz w:val="20"/>
          <w:szCs w:val="20"/>
        </w:rPr>
      </w:pPr>
      <w:r w:rsidRPr="009E79D9">
        <w:rPr>
          <w:sz w:val="20"/>
          <w:szCs w:val="20"/>
        </w:rPr>
        <w:t>The Council has a significant ongoing challenge to fund the maintenance and renewal of its built assets at a level considered acceptable by the community.  A special variation that remains permanently in the rate base will give the Council long-term certainty as to the funds available for asset renewal works</w:t>
      </w:r>
      <w:r>
        <w:rPr>
          <w:sz w:val="20"/>
          <w:szCs w:val="20"/>
        </w:rPr>
        <w:t>.</w:t>
      </w:r>
    </w:p>
    <w:p w14:paraId="76854619" w14:textId="77777777" w:rsidR="004A2652" w:rsidRDefault="004A2652" w:rsidP="00401AA8">
      <w:pPr>
        <w:pStyle w:val="ListParagraph"/>
        <w:spacing w:line="276" w:lineRule="auto"/>
        <w:rPr>
          <w:sz w:val="20"/>
          <w:szCs w:val="20"/>
        </w:rPr>
      </w:pPr>
    </w:p>
    <w:p w14:paraId="064D9369" w14:textId="358671F0" w:rsidR="004A2652" w:rsidRPr="00EB5EDC" w:rsidRDefault="004A2652" w:rsidP="00401AA8">
      <w:pPr>
        <w:spacing w:line="276" w:lineRule="auto"/>
        <w:jc w:val="both"/>
        <w:rPr>
          <w:rFonts w:ascii="Arial" w:hAnsi="Arial" w:cs="Arial"/>
          <w:bCs/>
          <w:sz w:val="20"/>
          <w:szCs w:val="20"/>
        </w:rPr>
      </w:pPr>
      <w:r w:rsidRPr="00EB5EDC">
        <w:rPr>
          <w:rFonts w:ascii="Arial" w:hAnsi="Arial" w:cs="Arial"/>
          <w:bCs/>
          <w:sz w:val="20"/>
          <w:szCs w:val="20"/>
        </w:rPr>
        <w:t xml:space="preserve">The Council engaged the community on three possible options for </w:t>
      </w:r>
      <w:r w:rsidRPr="00EB5EDC">
        <w:rPr>
          <w:rFonts w:ascii="Arial" w:hAnsi="Arial" w:cs="Arial"/>
          <w:bCs/>
          <w:i/>
          <w:sz w:val="20"/>
          <w:szCs w:val="20"/>
        </w:rPr>
        <w:t>Resourcing Our Future</w:t>
      </w:r>
      <w:r w:rsidRPr="00EB5EDC">
        <w:rPr>
          <w:rFonts w:ascii="Arial" w:hAnsi="Arial" w:cs="Arial"/>
          <w:bCs/>
          <w:sz w:val="20"/>
          <w:szCs w:val="20"/>
        </w:rPr>
        <w:t>. Two of these options (Options 1 and 2) included an application to IPART for a special rate variation, while the third option (the base case)</w:t>
      </w:r>
      <w:r w:rsidR="00C23A40">
        <w:rPr>
          <w:rFonts w:ascii="Arial" w:hAnsi="Arial" w:cs="Arial"/>
          <w:bCs/>
          <w:sz w:val="20"/>
          <w:szCs w:val="20"/>
        </w:rPr>
        <w:t>,</w:t>
      </w:r>
      <w:r w:rsidRPr="00EB5EDC">
        <w:rPr>
          <w:rFonts w:ascii="Arial" w:hAnsi="Arial" w:cs="Arial"/>
          <w:bCs/>
          <w:sz w:val="20"/>
          <w:szCs w:val="20"/>
        </w:rPr>
        <w:t xml:space="preserve"> proposed no special variation and a consequent reduction in service levels. Each option presented to the community balanced service levels to available projected funding over the next 10 years. </w:t>
      </w:r>
    </w:p>
    <w:p w14:paraId="691CD5CB" w14:textId="77777777" w:rsidR="004A2652" w:rsidRDefault="004A2652" w:rsidP="00401AA8">
      <w:pPr>
        <w:pStyle w:val="Default"/>
        <w:spacing w:line="276" w:lineRule="auto"/>
        <w:jc w:val="both"/>
        <w:rPr>
          <w:bCs/>
          <w:sz w:val="20"/>
          <w:szCs w:val="20"/>
        </w:rPr>
      </w:pPr>
    </w:p>
    <w:p w14:paraId="202F327A" w14:textId="0B948E1B" w:rsidR="004A2652" w:rsidRDefault="004A2652" w:rsidP="00401AA8">
      <w:pPr>
        <w:pStyle w:val="Default"/>
        <w:spacing w:line="276" w:lineRule="auto"/>
        <w:jc w:val="both"/>
        <w:rPr>
          <w:bCs/>
          <w:sz w:val="20"/>
          <w:szCs w:val="20"/>
        </w:rPr>
      </w:pPr>
      <w:r>
        <w:rPr>
          <w:bCs/>
          <w:sz w:val="20"/>
          <w:szCs w:val="20"/>
        </w:rPr>
        <w:t xml:space="preserve">As detailed </w:t>
      </w:r>
      <w:r w:rsidRPr="00666016">
        <w:rPr>
          <w:bCs/>
          <w:sz w:val="20"/>
          <w:szCs w:val="20"/>
        </w:rPr>
        <w:t xml:space="preserve">in </w:t>
      </w:r>
      <w:r w:rsidRPr="008D103D">
        <w:rPr>
          <w:b/>
          <w:bCs/>
          <w:sz w:val="20"/>
          <w:szCs w:val="20"/>
        </w:rPr>
        <w:t>Attachments 6a, 6b, and 6c</w:t>
      </w:r>
      <w:r w:rsidRPr="00666016">
        <w:rPr>
          <w:bCs/>
          <w:sz w:val="20"/>
          <w:szCs w:val="20"/>
        </w:rPr>
        <w:t>, engagement</w:t>
      </w:r>
      <w:r w:rsidRPr="0023017E">
        <w:rPr>
          <w:bCs/>
          <w:sz w:val="20"/>
          <w:szCs w:val="20"/>
        </w:rPr>
        <w:t xml:space="preserve"> with community </w:t>
      </w:r>
      <w:r>
        <w:rPr>
          <w:bCs/>
          <w:sz w:val="20"/>
          <w:szCs w:val="20"/>
        </w:rPr>
        <w:t>resulted in majority support for Option 1</w:t>
      </w:r>
      <w:r w:rsidR="00F00075">
        <w:rPr>
          <w:bCs/>
          <w:sz w:val="20"/>
          <w:szCs w:val="20"/>
        </w:rPr>
        <w:t xml:space="preserve">. The Council took into consideration this public support and </w:t>
      </w:r>
      <w:r>
        <w:rPr>
          <w:bCs/>
          <w:sz w:val="20"/>
          <w:szCs w:val="20"/>
        </w:rPr>
        <w:t xml:space="preserve">subsequently resolved to </w:t>
      </w:r>
      <w:r w:rsidR="00F00075">
        <w:rPr>
          <w:bCs/>
          <w:sz w:val="20"/>
          <w:szCs w:val="20"/>
        </w:rPr>
        <w:t xml:space="preserve">seek additional funding at the level proposed under Option 1, </w:t>
      </w:r>
      <w:r>
        <w:rPr>
          <w:bCs/>
          <w:sz w:val="20"/>
          <w:szCs w:val="20"/>
        </w:rPr>
        <w:t xml:space="preserve">because it is the only option that delivers a sustainable Operating Result (see Section 3.3) and </w:t>
      </w:r>
      <w:r w:rsidRPr="00EB5EDC">
        <w:rPr>
          <w:bCs/>
          <w:sz w:val="20"/>
          <w:szCs w:val="20"/>
        </w:rPr>
        <w:t xml:space="preserve">best positions the City of Blue Mountains to be Fit </w:t>
      </w:r>
      <w:r w:rsidR="003B5CED">
        <w:rPr>
          <w:bCs/>
          <w:sz w:val="20"/>
          <w:szCs w:val="20"/>
        </w:rPr>
        <w:t>F</w:t>
      </w:r>
      <w:r w:rsidRPr="00EB5EDC">
        <w:rPr>
          <w:bCs/>
          <w:sz w:val="20"/>
          <w:szCs w:val="20"/>
        </w:rPr>
        <w:t>or the Future</w:t>
      </w:r>
      <w:r>
        <w:rPr>
          <w:bCs/>
          <w:sz w:val="20"/>
          <w:szCs w:val="20"/>
        </w:rPr>
        <w:t xml:space="preserve">. </w:t>
      </w:r>
    </w:p>
    <w:p w14:paraId="4DB03E72" w14:textId="77777777" w:rsidR="004A2652" w:rsidRDefault="004A2652" w:rsidP="00401AA8">
      <w:pPr>
        <w:pStyle w:val="ListParagraph"/>
        <w:spacing w:line="276" w:lineRule="auto"/>
        <w:rPr>
          <w:sz w:val="20"/>
          <w:szCs w:val="20"/>
        </w:rPr>
      </w:pPr>
    </w:p>
    <w:p w14:paraId="7D588A3B" w14:textId="5AF13BC9" w:rsidR="004A2652" w:rsidRDefault="00F00075" w:rsidP="00401AA8">
      <w:pPr>
        <w:spacing w:line="276" w:lineRule="auto"/>
        <w:jc w:val="both"/>
        <w:rPr>
          <w:rFonts w:ascii="Arial" w:hAnsi="Arial" w:cs="Arial"/>
          <w:bCs/>
          <w:sz w:val="20"/>
          <w:szCs w:val="20"/>
        </w:rPr>
      </w:pPr>
      <w:r>
        <w:rPr>
          <w:rFonts w:ascii="Arial" w:hAnsi="Arial" w:cs="Arial"/>
          <w:bCs/>
          <w:sz w:val="20"/>
          <w:szCs w:val="20"/>
        </w:rPr>
        <w:t>H</w:t>
      </w:r>
      <w:r w:rsidR="004A2652">
        <w:rPr>
          <w:rFonts w:ascii="Arial" w:hAnsi="Arial" w:cs="Arial"/>
          <w:bCs/>
          <w:sz w:val="20"/>
          <w:szCs w:val="20"/>
        </w:rPr>
        <w:t xml:space="preserve">igher revenues </w:t>
      </w:r>
      <w:r>
        <w:rPr>
          <w:rFonts w:ascii="Arial" w:hAnsi="Arial" w:cs="Arial"/>
          <w:bCs/>
          <w:sz w:val="20"/>
          <w:szCs w:val="20"/>
        </w:rPr>
        <w:t xml:space="preserve">will </w:t>
      </w:r>
      <w:r w:rsidR="004A2652">
        <w:rPr>
          <w:rFonts w:ascii="Arial" w:hAnsi="Arial" w:cs="Arial"/>
          <w:bCs/>
          <w:sz w:val="20"/>
          <w:szCs w:val="20"/>
        </w:rPr>
        <w:t>enable the Council to invest in built infrastructure renewal and maintenance and</w:t>
      </w:r>
      <w:r>
        <w:rPr>
          <w:rFonts w:ascii="Arial" w:hAnsi="Arial" w:cs="Arial"/>
          <w:bCs/>
          <w:sz w:val="20"/>
          <w:szCs w:val="20"/>
        </w:rPr>
        <w:t xml:space="preserve"> importantly,</w:t>
      </w:r>
      <w:r w:rsidR="004A2652">
        <w:rPr>
          <w:rFonts w:ascii="Arial" w:hAnsi="Arial" w:cs="Arial"/>
          <w:bCs/>
          <w:sz w:val="20"/>
          <w:szCs w:val="20"/>
        </w:rPr>
        <w:t xml:space="preserve"> in efficiencies</w:t>
      </w:r>
      <w:r>
        <w:rPr>
          <w:rFonts w:ascii="Arial" w:hAnsi="Arial" w:cs="Arial"/>
          <w:bCs/>
          <w:sz w:val="20"/>
          <w:szCs w:val="20"/>
        </w:rPr>
        <w:t xml:space="preserve"> targeted at reducing</w:t>
      </w:r>
      <w:r w:rsidR="004A2652">
        <w:rPr>
          <w:rFonts w:ascii="Arial" w:hAnsi="Arial" w:cs="Arial"/>
          <w:bCs/>
          <w:sz w:val="20"/>
          <w:szCs w:val="20"/>
        </w:rPr>
        <w:t xml:space="preserve"> long term costs (including whole of lifecycle asset costs). </w:t>
      </w:r>
    </w:p>
    <w:p w14:paraId="48C77C7C" w14:textId="77777777" w:rsidR="00F00075" w:rsidRDefault="00F00075" w:rsidP="00401AA8">
      <w:pPr>
        <w:spacing w:line="276" w:lineRule="auto"/>
        <w:jc w:val="both"/>
        <w:rPr>
          <w:rFonts w:ascii="Arial" w:hAnsi="Arial" w:cs="Arial"/>
          <w:bCs/>
          <w:sz w:val="20"/>
          <w:szCs w:val="20"/>
        </w:rPr>
      </w:pPr>
    </w:p>
    <w:p w14:paraId="48BBEC13" w14:textId="75AB5421" w:rsidR="004A2652" w:rsidRDefault="00F00075" w:rsidP="00401AA8">
      <w:pPr>
        <w:spacing w:line="276" w:lineRule="auto"/>
        <w:jc w:val="both"/>
        <w:rPr>
          <w:rFonts w:ascii="Arial" w:hAnsi="Arial" w:cs="Arial"/>
          <w:bCs/>
          <w:sz w:val="20"/>
          <w:szCs w:val="20"/>
        </w:rPr>
      </w:pPr>
      <w:r>
        <w:rPr>
          <w:rFonts w:ascii="Arial" w:hAnsi="Arial" w:cs="Arial"/>
          <w:bCs/>
          <w:sz w:val="20"/>
          <w:szCs w:val="20"/>
        </w:rPr>
        <w:t>It would</w:t>
      </w:r>
      <w:r w:rsidR="004A2652">
        <w:rPr>
          <w:rFonts w:ascii="Arial" w:hAnsi="Arial" w:cs="Arial"/>
          <w:bCs/>
          <w:sz w:val="20"/>
          <w:szCs w:val="20"/>
        </w:rPr>
        <w:t xml:space="preserve"> also e</w:t>
      </w:r>
      <w:r>
        <w:rPr>
          <w:rFonts w:ascii="Arial" w:hAnsi="Arial" w:cs="Arial"/>
          <w:bCs/>
          <w:sz w:val="20"/>
          <w:szCs w:val="20"/>
        </w:rPr>
        <w:t>nable</w:t>
      </w:r>
      <w:r w:rsidR="004A2652" w:rsidRPr="00EB5EDC">
        <w:rPr>
          <w:rFonts w:ascii="Arial" w:hAnsi="Arial" w:cs="Arial"/>
          <w:bCs/>
          <w:sz w:val="20"/>
          <w:szCs w:val="20"/>
        </w:rPr>
        <w:t xml:space="preserve"> the Council to build required capacity for preparing and responding to natural disasters and emergencies including bushfires</w:t>
      </w:r>
      <w:r w:rsidR="004A2652">
        <w:rPr>
          <w:rFonts w:ascii="Arial" w:hAnsi="Arial" w:cs="Arial"/>
          <w:bCs/>
          <w:sz w:val="20"/>
          <w:szCs w:val="20"/>
        </w:rPr>
        <w:t xml:space="preserve">, continue to protect and restore the natural environment and key visitor facilities. It also best meets responsibilities </w:t>
      </w:r>
      <w:r w:rsidR="004A2652" w:rsidRPr="00083008">
        <w:rPr>
          <w:rFonts w:ascii="Arial" w:hAnsi="Arial" w:cs="Arial"/>
          <w:bCs/>
          <w:sz w:val="20"/>
          <w:szCs w:val="20"/>
        </w:rPr>
        <w:t xml:space="preserve">associated with being surrounded by a </w:t>
      </w:r>
      <w:r w:rsidR="004A2652">
        <w:rPr>
          <w:rFonts w:ascii="Arial" w:hAnsi="Arial" w:cs="Arial"/>
          <w:bCs/>
          <w:sz w:val="20"/>
          <w:szCs w:val="20"/>
        </w:rPr>
        <w:t xml:space="preserve">UNESCO </w:t>
      </w:r>
      <w:r w:rsidR="004A2652" w:rsidRPr="00083008">
        <w:rPr>
          <w:rFonts w:ascii="Arial" w:hAnsi="Arial" w:cs="Arial"/>
          <w:bCs/>
          <w:sz w:val="20"/>
          <w:szCs w:val="20"/>
        </w:rPr>
        <w:t xml:space="preserve">World Heritage </w:t>
      </w:r>
      <w:r w:rsidR="004A2652">
        <w:rPr>
          <w:rFonts w:ascii="Arial" w:hAnsi="Arial" w:cs="Arial"/>
          <w:bCs/>
          <w:sz w:val="20"/>
          <w:szCs w:val="20"/>
        </w:rPr>
        <w:t>Listed</w:t>
      </w:r>
      <w:r w:rsidR="004A2652" w:rsidRPr="00083008">
        <w:rPr>
          <w:rFonts w:ascii="Arial" w:hAnsi="Arial" w:cs="Arial"/>
          <w:bCs/>
          <w:sz w:val="20"/>
          <w:szCs w:val="20"/>
        </w:rPr>
        <w:t xml:space="preserve"> Environment </w:t>
      </w:r>
      <w:r w:rsidR="004A2652">
        <w:rPr>
          <w:rFonts w:ascii="Arial" w:hAnsi="Arial" w:cs="Arial"/>
          <w:bCs/>
          <w:sz w:val="20"/>
          <w:szCs w:val="20"/>
        </w:rPr>
        <w:t>and being part of Sydney’s drinking water catchment.</w:t>
      </w:r>
    </w:p>
    <w:p w14:paraId="6C5C6B4B" w14:textId="77777777" w:rsidR="004A2652" w:rsidRDefault="004A2652" w:rsidP="00401AA8">
      <w:pPr>
        <w:spacing w:line="276" w:lineRule="auto"/>
        <w:jc w:val="both"/>
        <w:rPr>
          <w:rFonts w:ascii="Arial" w:hAnsi="Arial" w:cs="Arial"/>
          <w:bCs/>
          <w:sz w:val="20"/>
          <w:szCs w:val="20"/>
        </w:rPr>
      </w:pPr>
    </w:p>
    <w:p w14:paraId="51052D23" w14:textId="77777777" w:rsidR="00C23A40" w:rsidRDefault="00C23A40" w:rsidP="00C23A40">
      <w:pPr>
        <w:pStyle w:val="Default"/>
        <w:spacing w:line="276" w:lineRule="auto"/>
        <w:jc w:val="both"/>
        <w:rPr>
          <w:sz w:val="20"/>
          <w:szCs w:val="20"/>
        </w:rPr>
      </w:pPr>
      <w:r w:rsidRPr="00EB5EDC">
        <w:rPr>
          <w:sz w:val="20"/>
          <w:szCs w:val="20"/>
        </w:rPr>
        <w:t xml:space="preserve">Without a special variation, the Environment Levy is due to expire on 30 June 2015. This Levy has funded important environmental programs and attracted significant co-funding from other levels of government. </w:t>
      </w:r>
    </w:p>
    <w:p w14:paraId="4EA180EA" w14:textId="77777777" w:rsidR="00C23A40" w:rsidRPr="007863E0" w:rsidRDefault="00C23A40" w:rsidP="00C23A40">
      <w:pPr>
        <w:pStyle w:val="Default"/>
        <w:spacing w:line="276" w:lineRule="auto"/>
        <w:jc w:val="both"/>
        <w:rPr>
          <w:sz w:val="20"/>
          <w:szCs w:val="20"/>
        </w:rPr>
      </w:pPr>
    </w:p>
    <w:p w14:paraId="308D06A5" w14:textId="501C8D7B" w:rsidR="004A2652" w:rsidRDefault="00F00075" w:rsidP="00401AA8">
      <w:pPr>
        <w:spacing w:line="276" w:lineRule="auto"/>
        <w:jc w:val="both"/>
        <w:rPr>
          <w:rFonts w:ascii="Arial" w:hAnsi="Arial" w:cs="Arial"/>
          <w:bCs/>
          <w:sz w:val="20"/>
          <w:szCs w:val="20"/>
        </w:rPr>
      </w:pPr>
      <w:r>
        <w:rPr>
          <w:rFonts w:ascii="Arial" w:hAnsi="Arial" w:cs="Arial"/>
          <w:bCs/>
          <w:sz w:val="20"/>
          <w:szCs w:val="20"/>
        </w:rPr>
        <w:t>As well, the</w:t>
      </w:r>
      <w:r w:rsidR="004A2652">
        <w:rPr>
          <w:rFonts w:ascii="Arial" w:hAnsi="Arial" w:cs="Arial"/>
          <w:bCs/>
          <w:sz w:val="20"/>
          <w:szCs w:val="20"/>
        </w:rPr>
        <w:t xml:space="preserve"> additional income will enable</w:t>
      </w:r>
      <w:r w:rsidR="004A2652" w:rsidRPr="00083008">
        <w:rPr>
          <w:rFonts w:ascii="Arial" w:hAnsi="Arial" w:cs="Arial"/>
          <w:bCs/>
          <w:sz w:val="20"/>
          <w:szCs w:val="20"/>
        </w:rPr>
        <w:t xml:space="preserve"> the City, an internationally and nationally significant tourist destination (one of 16 National Landscapes promoted by the government)</w:t>
      </w:r>
      <w:r w:rsidR="004A2652">
        <w:rPr>
          <w:rFonts w:ascii="Arial" w:hAnsi="Arial" w:cs="Arial"/>
          <w:bCs/>
          <w:sz w:val="20"/>
          <w:szCs w:val="20"/>
        </w:rPr>
        <w:t>,</w:t>
      </w:r>
      <w:r w:rsidR="004A2652" w:rsidRPr="00083008">
        <w:rPr>
          <w:rFonts w:ascii="Arial" w:hAnsi="Arial" w:cs="Arial"/>
          <w:bCs/>
          <w:sz w:val="20"/>
          <w:szCs w:val="20"/>
        </w:rPr>
        <w:t xml:space="preserve"> to </w:t>
      </w:r>
      <w:r w:rsidR="004A2652">
        <w:rPr>
          <w:rFonts w:ascii="Arial" w:hAnsi="Arial" w:cs="Arial"/>
          <w:bCs/>
          <w:sz w:val="20"/>
          <w:szCs w:val="20"/>
        </w:rPr>
        <w:t>invest in improvements to local amenity,</w:t>
      </w:r>
      <w:r w:rsidR="004A2652" w:rsidRPr="00083008">
        <w:rPr>
          <w:rFonts w:ascii="Arial" w:hAnsi="Arial" w:cs="Arial"/>
          <w:bCs/>
          <w:sz w:val="20"/>
          <w:szCs w:val="20"/>
        </w:rPr>
        <w:t xml:space="preserve"> town centres, parks and community facilities such as public toilets</w:t>
      </w:r>
      <w:r w:rsidR="004A2652">
        <w:rPr>
          <w:rFonts w:ascii="Arial" w:hAnsi="Arial" w:cs="Arial"/>
          <w:bCs/>
          <w:sz w:val="20"/>
          <w:szCs w:val="20"/>
        </w:rPr>
        <w:t>. The multiplier effect of this expenditure will also boost the local and regional economies.</w:t>
      </w:r>
    </w:p>
    <w:p w14:paraId="2D44BF16" w14:textId="77777777" w:rsidR="004A2652" w:rsidRPr="00083008" w:rsidRDefault="004A2652" w:rsidP="00401AA8">
      <w:pPr>
        <w:spacing w:line="276" w:lineRule="auto"/>
        <w:jc w:val="both"/>
        <w:rPr>
          <w:rFonts w:ascii="Arial" w:hAnsi="Arial" w:cs="Arial"/>
          <w:b/>
          <w:bCs/>
          <w:i/>
          <w:sz w:val="20"/>
          <w:szCs w:val="20"/>
        </w:rPr>
      </w:pPr>
    </w:p>
    <w:p w14:paraId="41636BFC" w14:textId="2753709D" w:rsidR="004A2652" w:rsidRDefault="004A2652" w:rsidP="00401AA8">
      <w:pPr>
        <w:spacing w:line="276" w:lineRule="auto"/>
        <w:jc w:val="both"/>
        <w:rPr>
          <w:rFonts w:ascii="Arial" w:hAnsi="Arial" w:cs="Arial"/>
          <w:bCs/>
          <w:sz w:val="20"/>
          <w:szCs w:val="20"/>
        </w:rPr>
      </w:pPr>
      <w:r w:rsidRPr="00083008">
        <w:rPr>
          <w:rFonts w:ascii="Arial" w:hAnsi="Arial" w:cs="Arial"/>
          <w:bCs/>
          <w:sz w:val="20"/>
          <w:szCs w:val="20"/>
        </w:rPr>
        <w:t xml:space="preserve">In contrast, </w:t>
      </w:r>
      <w:r w:rsidRPr="00B518EE">
        <w:rPr>
          <w:rFonts w:ascii="Arial" w:hAnsi="Arial" w:cs="Arial"/>
          <w:bCs/>
          <w:sz w:val="20"/>
          <w:szCs w:val="20"/>
        </w:rPr>
        <w:t xml:space="preserve">Option 2: Service </w:t>
      </w:r>
      <w:r>
        <w:rPr>
          <w:rFonts w:ascii="Arial" w:hAnsi="Arial" w:cs="Arial"/>
          <w:bCs/>
          <w:sz w:val="20"/>
          <w:szCs w:val="20"/>
        </w:rPr>
        <w:t>L</w:t>
      </w:r>
      <w:r w:rsidRPr="00B518EE">
        <w:rPr>
          <w:rFonts w:ascii="Arial" w:hAnsi="Arial" w:cs="Arial"/>
          <w:bCs/>
          <w:sz w:val="20"/>
          <w:szCs w:val="20"/>
        </w:rPr>
        <w:t>evels Maintained,</w:t>
      </w:r>
      <w:r w:rsidRPr="00083008">
        <w:rPr>
          <w:rFonts w:ascii="Arial" w:hAnsi="Arial" w:cs="Arial"/>
          <w:bCs/>
          <w:sz w:val="20"/>
          <w:szCs w:val="20"/>
        </w:rPr>
        <w:t xml:space="preserve"> </w:t>
      </w:r>
      <w:r>
        <w:rPr>
          <w:rFonts w:ascii="Arial" w:hAnsi="Arial" w:cs="Arial"/>
          <w:bCs/>
          <w:sz w:val="20"/>
          <w:szCs w:val="20"/>
        </w:rPr>
        <w:t>is not financially sustainable</w:t>
      </w:r>
      <w:r w:rsidR="00F00075">
        <w:rPr>
          <w:rFonts w:ascii="Arial" w:hAnsi="Arial" w:cs="Arial"/>
          <w:bCs/>
          <w:sz w:val="20"/>
          <w:szCs w:val="20"/>
        </w:rPr>
        <w:t>.</w:t>
      </w:r>
      <w:r>
        <w:rPr>
          <w:rFonts w:ascii="Arial" w:hAnsi="Arial" w:cs="Arial"/>
          <w:bCs/>
          <w:sz w:val="20"/>
          <w:szCs w:val="20"/>
        </w:rPr>
        <w:t xml:space="preserve"> It d</w:t>
      </w:r>
      <w:r w:rsidRPr="00083008">
        <w:rPr>
          <w:rFonts w:ascii="Arial" w:hAnsi="Arial" w:cs="Arial"/>
          <w:bCs/>
          <w:sz w:val="20"/>
          <w:szCs w:val="20"/>
        </w:rPr>
        <w:t>oes not reverse the decline in the built infr</w:t>
      </w:r>
      <w:r w:rsidR="00F00075">
        <w:rPr>
          <w:rFonts w:ascii="Arial" w:hAnsi="Arial" w:cs="Arial"/>
          <w:bCs/>
          <w:sz w:val="20"/>
          <w:szCs w:val="20"/>
        </w:rPr>
        <w:t>astructure, does not allow the C</w:t>
      </w:r>
      <w:r w:rsidRPr="00083008">
        <w:rPr>
          <w:rFonts w:ascii="Arial" w:hAnsi="Arial" w:cs="Arial"/>
          <w:bCs/>
          <w:sz w:val="20"/>
          <w:szCs w:val="20"/>
        </w:rPr>
        <w:t>ouncil to build required capacity to improve planning and response to bushfires and other natural disasters. Under this option</w:t>
      </w:r>
      <w:r w:rsidR="00F00075">
        <w:rPr>
          <w:rFonts w:ascii="Arial" w:hAnsi="Arial" w:cs="Arial"/>
          <w:bCs/>
          <w:sz w:val="20"/>
          <w:szCs w:val="20"/>
        </w:rPr>
        <w:t>,</w:t>
      </w:r>
      <w:r w:rsidRPr="00083008">
        <w:rPr>
          <w:rFonts w:ascii="Arial" w:hAnsi="Arial" w:cs="Arial"/>
          <w:bCs/>
          <w:sz w:val="20"/>
          <w:szCs w:val="20"/>
        </w:rPr>
        <w:t xml:space="preserve"> just under one-quarter (21%) of all the City’s council owned built infrastructure and assets </w:t>
      </w:r>
      <w:r>
        <w:rPr>
          <w:rFonts w:ascii="Arial" w:hAnsi="Arial" w:cs="Arial"/>
          <w:bCs/>
          <w:sz w:val="20"/>
          <w:szCs w:val="20"/>
        </w:rPr>
        <w:t xml:space="preserve">remain </w:t>
      </w:r>
      <w:r w:rsidRPr="00083008">
        <w:rPr>
          <w:rFonts w:ascii="Arial" w:hAnsi="Arial" w:cs="Arial"/>
          <w:bCs/>
          <w:sz w:val="20"/>
          <w:szCs w:val="20"/>
        </w:rPr>
        <w:t xml:space="preserve">in poor condition </w:t>
      </w:r>
      <w:r>
        <w:rPr>
          <w:rFonts w:ascii="Arial" w:hAnsi="Arial" w:cs="Arial"/>
          <w:bCs/>
          <w:sz w:val="20"/>
          <w:szCs w:val="20"/>
        </w:rPr>
        <w:t>over the next 10 years</w:t>
      </w:r>
      <w:r w:rsidRPr="00083008">
        <w:rPr>
          <w:rFonts w:ascii="Arial" w:hAnsi="Arial" w:cs="Arial"/>
          <w:bCs/>
          <w:sz w:val="20"/>
          <w:szCs w:val="20"/>
        </w:rPr>
        <w:t>. As conveyed to the community</w:t>
      </w:r>
      <w:r>
        <w:rPr>
          <w:rFonts w:ascii="Arial" w:hAnsi="Arial" w:cs="Arial"/>
          <w:bCs/>
          <w:sz w:val="20"/>
          <w:szCs w:val="20"/>
        </w:rPr>
        <w:t>,</w:t>
      </w:r>
      <w:r w:rsidRPr="00083008">
        <w:rPr>
          <w:rFonts w:ascii="Arial" w:hAnsi="Arial" w:cs="Arial"/>
          <w:bCs/>
          <w:sz w:val="20"/>
          <w:szCs w:val="20"/>
        </w:rPr>
        <w:t xml:space="preserve"> </w:t>
      </w:r>
      <w:r w:rsidRPr="00B518EE">
        <w:rPr>
          <w:rFonts w:ascii="Arial" w:hAnsi="Arial" w:cs="Arial"/>
          <w:bCs/>
          <w:sz w:val="20"/>
          <w:szCs w:val="20"/>
        </w:rPr>
        <w:t>Option 2 w</w:t>
      </w:r>
      <w:r>
        <w:rPr>
          <w:rFonts w:ascii="Arial" w:hAnsi="Arial" w:cs="Arial"/>
          <w:bCs/>
          <w:sz w:val="20"/>
          <w:szCs w:val="20"/>
        </w:rPr>
        <w:t>ould also</w:t>
      </w:r>
      <w:r w:rsidRPr="00B518EE">
        <w:rPr>
          <w:rFonts w:ascii="Arial" w:hAnsi="Arial" w:cs="Arial"/>
          <w:bCs/>
          <w:sz w:val="20"/>
          <w:szCs w:val="20"/>
        </w:rPr>
        <w:t xml:space="preserve"> </w:t>
      </w:r>
      <w:r>
        <w:rPr>
          <w:rFonts w:ascii="Arial" w:hAnsi="Arial" w:cs="Arial"/>
          <w:bCs/>
          <w:sz w:val="20"/>
          <w:szCs w:val="20"/>
        </w:rPr>
        <w:t>require</w:t>
      </w:r>
      <w:r w:rsidRPr="00B518EE">
        <w:rPr>
          <w:rFonts w:ascii="Arial" w:hAnsi="Arial" w:cs="Arial"/>
          <w:bCs/>
          <w:sz w:val="20"/>
          <w:szCs w:val="20"/>
        </w:rPr>
        <w:t xml:space="preserve"> </w:t>
      </w:r>
      <w:r>
        <w:rPr>
          <w:rFonts w:ascii="Arial" w:hAnsi="Arial" w:cs="Arial"/>
          <w:bCs/>
          <w:sz w:val="20"/>
          <w:szCs w:val="20"/>
        </w:rPr>
        <w:t xml:space="preserve">significant risk management - including </w:t>
      </w:r>
      <w:r w:rsidRPr="00B518EE">
        <w:rPr>
          <w:rFonts w:ascii="Arial" w:hAnsi="Arial" w:cs="Arial"/>
          <w:bCs/>
          <w:sz w:val="20"/>
          <w:szCs w:val="20"/>
        </w:rPr>
        <w:t xml:space="preserve">closure and removal of unsafe facilities and infrastructure. </w:t>
      </w:r>
    </w:p>
    <w:p w14:paraId="1E3276D8" w14:textId="77777777" w:rsidR="004A2652" w:rsidRDefault="004A2652" w:rsidP="00401AA8">
      <w:pPr>
        <w:spacing w:line="276" w:lineRule="auto"/>
        <w:jc w:val="both"/>
        <w:rPr>
          <w:rFonts w:ascii="Arial" w:hAnsi="Arial" w:cs="Arial"/>
          <w:bCs/>
          <w:sz w:val="20"/>
          <w:szCs w:val="20"/>
        </w:rPr>
      </w:pPr>
    </w:p>
    <w:p w14:paraId="1105FD36" w14:textId="77777777" w:rsidR="004A2652" w:rsidRDefault="004A2652" w:rsidP="00401AA8">
      <w:pPr>
        <w:spacing w:line="276" w:lineRule="auto"/>
        <w:jc w:val="both"/>
        <w:rPr>
          <w:rFonts w:ascii="Arial" w:hAnsi="Arial" w:cs="Arial"/>
          <w:bCs/>
          <w:sz w:val="20"/>
          <w:szCs w:val="20"/>
        </w:rPr>
      </w:pPr>
      <w:r>
        <w:rPr>
          <w:rFonts w:ascii="Arial" w:hAnsi="Arial" w:cs="Arial"/>
          <w:bCs/>
          <w:sz w:val="20"/>
          <w:szCs w:val="20"/>
        </w:rPr>
        <w:t xml:space="preserve">While </w:t>
      </w:r>
      <w:r w:rsidRPr="00F00075">
        <w:rPr>
          <w:rFonts w:ascii="Arial" w:hAnsi="Arial" w:cs="Arial"/>
          <w:bCs/>
          <w:sz w:val="20"/>
          <w:szCs w:val="20"/>
        </w:rPr>
        <w:t>Option 3: Reduce Service Levels</w:t>
      </w:r>
      <w:r w:rsidRPr="00B518EE">
        <w:rPr>
          <w:rFonts w:ascii="Arial" w:hAnsi="Arial" w:cs="Arial"/>
          <w:bCs/>
          <w:sz w:val="20"/>
          <w:szCs w:val="20"/>
        </w:rPr>
        <w:t xml:space="preserve"> </w:t>
      </w:r>
      <w:r w:rsidRPr="00083008">
        <w:rPr>
          <w:rFonts w:ascii="Arial" w:hAnsi="Arial" w:cs="Arial"/>
          <w:bCs/>
          <w:sz w:val="20"/>
          <w:szCs w:val="20"/>
        </w:rPr>
        <w:t xml:space="preserve">(the base case) </w:t>
      </w:r>
      <w:r>
        <w:rPr>
          <w:rFonts w:ascii="Arial" w:hAnsi="Arial" w:cs="Arial"/>
          <w:bCs/>
          <w:sz w:val="20"/>
          <w:szCs w:val="20"/>
        </w:rPr>
        <w:t>is even more unsustainable, and would result in an estimated</w:t>
      </w:r>
      <w:r w:rsidRPr="00083008">
        <w:rPr>
          <w:rFonts w:ascii="Arial" w:hAnsi="Arial" w:cs="Arial"/>
          <w:bCs/>
          <w:sz w:val="20"/>
          <w:szCs w:val="20"/>
        </w:rPr>
        <w:t xml:space="preserve"> 37</w:t>
      </w:r>
      <w:r>
        <w:rPr>
          <w:rFonts w:ascii="Arial" w:hAnsi="Arial" w:cs="Arial"/>
          <w:bCs/>
          <w:sz w:val="20"/>
          <w:szCs w:val="20"/>
        </w:rPr>
        <w:t>%</w:t>
      </w:r>
      <w:r w:rsidRPr="00083008">
        <w:rPr>
          <w:rFonts w:ascii="Arial" w:hAnsi="Arial" w:cs="Arial"/>
          <w:bCs/>
          <w:sz w:val="20"/>
          <w:szCs w:val="20"/>
        </w:rPr>
        <w:t xml:space="preserve"> of built assets in poor condition by 2024, and was </w:t>
      </w:r>
      <w:r>
        <w:rPr>
          <w:rFonts w:ascii="Arial" w:hAnsi="Arial" w:cs="Arial"/>
          <w:bCs/>
          <w:sz w:val="20"/>
          <w:szCs w:val="20"/>
        </w:rPr>
        <w:t xml:space="preserve">only supported by </w:t>
      </w:r>
      <w:r w:rsidRPr="00083008">
        <w:rPr>
          <w:rFonts w:ascii="Arial" w:hAnsi="Arial" w:cs="Arial"/>
          <w:bCs/>
          <w:sz w:val="20"/>
          <w:szCs w:val="20"/>
        </w:rPr>
        <w:t xml:space="preserve">a minority of residents. </w:t>
      </w:r>
    </w:p>
    <w:p w14:paraId="2DCFB1B2" w14:textId="77777777" w:rsidR="004A2652" w:rsidRDefault="004A2652" w:rsidP="00401AA8">
      <w:pPr>
        <w:pStyle w:val="Default"/>
        <w:spacing w:line="276" w:lineRule="auto"/>
        <w:ind w:left="720"/>
        <w:jc w:val="both"/>
        <w:rPr>
          <w:sz w:val="20"/>
          <w:szCs w:val="20"/>
        </w:rPr>
      </w:pPr>
    </w:p>
    <w:p w14:paraId="32F96F38" w14:textId="0EE09B0F" w:rsidR="004A2652" w:rsidRPr="00A257B4" w:rsidRDefault="00C23A40" w:rsidP="00401AA8">
      <w:pPr>
        <w:autoSpaceDE w:val="0"/>
        <w:autoSpaceDN w:val="0"/>
        <w:adjustRightInd w:val="0"/>
        <w:spacing w:line="276" w:lineRule="auto"/>
        <w:jc w:val="both"/>
        <w:rPr>
          <w:rFonts w:ascii="Arial" w:eastAsiaTheme="minorHAnsi" w:hAnsi="Arial" w:cs="Arial"/>
          <w:b/>
          <w:i/>
          <w:color w:val="000000"/>
          <w:sz w:val="20"/>
          <w:szCs w:val="20"/>
          <w:lang w:eastAsia="en-US"/>
        </w:rPr>
      </w:pPr>
      <w:r>
        <w:rPr>
          <w:rFonts w:ascii="Arial" w:eastAsiaTheme="minorHAnsi" w:hAnsi="Arial" w:cs="Arial"/>
          <w:b/>
          <w:i/>
          <w:color w:val="000000"/>
          <w:sz w:val="20"/>
          <w:szCs w:val="20"/>
          <w:lang w:eastAsia="en-US"/>
        </w:rPr>
        <w:t xml:space="preserve">Other Options Examined - </w:t>
      </w:r>
      <w:r w:rsidR="004A2652" w:rsidRPr="00A257B4">
        <w:rPr>
          <w:rFonts w:ascii="Arial" w:eastAsiaTheme="minorHAnsi" w:hAnsi="Arial" w:cs="Arial"/>
          <w:b/>
          <w:i/>
          <w:color w:val="000000"/>
          <w:sz w:val="20"/>
          <w:szCs w:val="20"/>
          <w:lang w:eastAsia="en-US"/>
        </w:rPr>
        <w:t>Six Key Strategies for Financial Sustainability</w:t>
      </w:r>
    </w:p>
    <w:p w14:paraId="39A7D999" w14:textId="5B0CAAC7" w:rsidR="00C23A40" w:rsidRDefault="00C23A40" w:rsidP="00C23A40">
      <w:pPr>
        <w:autoSpaceDE w:val="0"/>
        <w:autoSpaceDN w:val="0"/>
        <w:adjustRightInd w:val="0"/>
        <w:spacing w:line="276" w:lineRule="auto"/>
        <w:jc w:val="both"/>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 xml:space="preserve">The Council has exhaustively considered many different options for addressing its financial challenge – culminating in the development of its community endorsed </w:t>
      </w:r>
      <w:r w:rsidRPr="00C23A40">
        <w:rPr>
          <w:rFonts w:ascii="Arial" w:eastAsiaTheme="minorHAnsi" w:hAnsi="Arial" w:cs="Arial"/>
          <w:i/>
          <w:color w:val="000000"/>
          <w:sz w:val="20"/>
          <w:szCs w:val="20"/>
          <w:lang w:eastAsia="en-US"/>
        </w:rPr>
        <w:t xml:space="preserve">Six Point </w:t>
      </w:r>
      <w:r>
        <w:rPr>
          <w:rFonts w:ascii="Arial" w:eastAsiaTheme="minorHAnsi" w:hAnsi="Arial" w:cs="Arial"/>
          <w:i/>
          <w:color w:val="000000"/>
          <w:sz w:val="20"/>
          <w:szCs w:val="20"/>
          <w:lang w:eastAsia="en-US"/>
        </w:rPr>
        <w:t>S</w:t>
      </w:r>
      <w:r w:rsidRPr="00C23A40">
        <w:rPr>
          <w:rFonts w:ascii="Arial" w:eastAsiaTheme="minorHAnsi" w:hAnsi="Arial" w:cs="Arial"/>
          <w:i/>
          <w:color w:val="000000"/>
          <w:sz w:val="20"/>
          <w:szCs w:val="20"/>
          <w:lang w:eastAsia="en-US"/>
        </w:rPr>
        <w:t>trategy for Financial Sustainability</w:t>
      </w:r>
      <w:r>
        <w:rPr>
          <w:rFonts w:ascii="Arial" w:eastAsiaTheme="minorHAnsi" w:hAnsi="Arial" w:cs="Arial"/>
          <w:color w:val="000000"/>
          <w:sz w:val="20"/>
          <w:szCs w:val="20"/>
          <w:lang w:eastAsia="en-US"/>
        </w:rPr>
        <w:t xml:space="preserve">. These strategies are presented in summary below and further detailed in the Council’s Long Term Financial Plan (see </w:t>
      </w:r>
      <w:r w:rsidRPr="00C23A40">
        <w:rPr>
          <w:rFonts w:ascii="Arial" w:eastAsiaTheme="minorHAnsi" w:hAnsi="Arial" w:cs="Arial"/>
          <w:b/>
          <w:color w:val="000000"/>
          <w:sz w:val="20"/>
          <w:szCs w:val="20"/>
          <w:lang w:eastAsia="en-US"/>
        </w:rPr>
        <w:t>Attachment 3</w:t>
      </w:r>
      <w:r w:rsidRPr="00F00075">
        <w:rPr>
          <w:rFonts w:ascii="Arial" w:eastAsiaTheme="minorHAnsi" w:hAnsi="Arial" w:cs="Arial"/>
          <w:color w:val="000000"/>
          <w:sz w:val="20"/>
          <w:szCs w:val="20"/>
          <w:lang w:eastAsia="en-US"/>
        </w:rPr>
        <w:t xml:space="preserve">, </w:t>
      </w:r>
      <w:r w:rsidRPr="00C23A40">
        <w:rPr>
          <w:rFonts w:ascii="Arial" w:eastAsiaTheme="minorHAnsi" w:hAnsi="Arial" w:cs="Arial"/>
          <w:b/>
          <w:color w:val="000000"/>
          <w:sz w:val="20"/>
          <w:szCs w:val="20"/>
          <w:lang w:eastAsia="en-US"/>
        </w:rPr>
        <w:t>Section 3.5</w:t>
      </w:r>
      <w:r w:rsidRPr="00F00075">
        <w:rPr>
          <w:rFonts w:ascii="Arial" w:eastAsiaTheme="minorHAnsi" w:hAnsi="Arial" w:cs="Arial"/>
          <w:color w:val="000000"/>
          <w:sz w:val="20"/>
          <w:szCs w:val="20"/>
          <w:lang w:eastAsia="en-US"/>
        </w:rPr>
        <w:t>)</w:t>
      </w:r>
    </w:p>
    <w:p w14:paraId="74333BF1" w14:textId="1C00ED90" w:rsidR="00C23A40" w:rsidRDefault="00C23A40" w:rsidP="00C23A40">
      <w:pPr>
        <w:pStyle w:val="NormalWeb"/>
        <w:spacing w:before="0" w:beforeAutospacing="0" w:after="0" w:afterAutospacing="0" w:line="276" w:lineRule="auto"/>
        <w:jc w:val="both"/>
        <w:rPr>
          <w:rFonts w:ascii="Arial" w:eastAsiaTheme="minorHAnsi" w:hAnsi="Arial" w:cs="Arial"/>
          <w:color w:val="000000"/>
          <w:sz w:val="20"/>
          <w:szCs w:val="20"/>
          <w:lang w:eastAsia="en-US"/>
        </w:rPr>
      </w:pPr>
    </w:p>
    <w:p w14:paraId="3697BDD6" w14:textId="062A8A87" w:rsidR="004A2652" w:rsidRDefault="004A2652" w:rsidP="00C23A40">
      <w:pPr>
        <w:autoSpaceDE w:val="0"/>
        <w:autoSpaceDN w:val="0"/>
        <w:adjustRightInd w:val="0"/>
        <w:spacing w:line="276" w:lineRule="auto"/>
        <w:jc w:val="both"/>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Due</w:t>
      </w:r>
      <w:r w:rsidRPr="00491BFA">
        <w:rPr>
          <w:rFonts w:ascii="Arial" w:eastAsiaTheme="minorHAnsi" w:hAnsi="Arial" w:cs="Arial"/>
          <w:color w:val="000000"/>
          <w:sz w:val="20"/>
          <w:szCs w:val="20"/>
          <w:lang w:eastAsia="en-US"/>
        </w:rPr>
        <w:t xml:space="preserve"> </w:t>
      </w:r>
      <w:r>
        <w:rPr>
          <w:rFonts w:ascii="Arial" w:eastAsiaTheme="minorHAnsi" w:hAnsi="Arial" w:cs="Arial"/>
          <w:color w:val="000000"/>
          <w:sz w:val="20"/>
          <w:szCs w:val="20"/>
          <w:lang w:eastAsia="en-US"/>
        </w:rPr>
        <w:t xml:space="preserve">to </w:t>
      </w:r>
      <w:r w:rsidRPr="00491BFA">
        <w:rPr>
          <w:rFonts w:ascii="Arial" w:eastAsiaTheme="minorHAnsi" w:hAnsi="Arial" w:cs="Arial"/>
          <w:color w:val="000000"/>
          <w:sz w:val="20"/>
          <w:szCs w:val="20"/>
          <w:lang w:eastAsia="en-US"/>
        </w:rPr>
        <w:t>the scale of the Council’s financial challenges, it was necessary to develop a number of strategies across a varied range of possible alternatives to ensure that when implemented together</w:t>
      </w:r>
      <w:r w:rsidR="00F00075">
        <w:rPr>
          <w:rFonts w:ascii="Arial" w:eastAsiaTheme="minorHAnsi" w:hAnsi="Arial" w:cs="Arial"/>
          <w:color w:val="000000"/>
          <w:sz w:val="20"/>
          <w:szCs w:val="20"/>
          <w:lang w:eastAsia="en-US"/>
        </w:rPr>
        <w:t>,</w:t>
      </w:r>
      <w:r w:rsidRPr="00491BFA">
        <w:rPr>
          <w:rFonts w:ascii="Arial" w:eastAsiaTheme="minorHAnsi" w:hAnsi="Arial" w:cs="Arial"/>
          <w:color w:val="000000"/>
          <w:sz w:val="20"/>
          <w:szCs w:val="20"/>
          <w:lang w:eastAsia="en-US"/>
        </w:rPr>
        <w:t xml:space="preserve"> they </w:t>
      </w:r>
      <w:r>
        <w:rPr>
          <w:rFonts w:ascii="Arial" w:eastAsiaTheme="minorHAnsi" w:hAnsi="Arial" w:cs="Arial"/>
          <w:color w:val="000000"/>
          <w:sz w:val="20"/>
          <w:szCs w:val="20"/>
          <w:lang w:eastAsia="en-US"/>
        </w:rPr>
        <w:t>improv</w:t>
      </w:r>
      <w:r w:rsidR="00C23A40">
        <w:rPr>
          <w:rFonts w:ascii="Arial" w:eastAsiaTheme="minorHAnsi" w:hAnsi="Arial" w:cs="Arial"/>
          <w:color w:val="000000"/>
          <w:sz w:val="20"/>
          <w:szCs w:val="20"/>
          <w:lang w:eastAsia="en-US"/>
        </w:rPr>
        <w:t>e</w:t>
      </w:r>
      <w:r>
        <w:rPr>
          <w:rFonts w:ascii="Arial" w:eastAsiaTheme="minorHAnsi" w:hAnsi="Arial" w:cs="Arial"/>
          <w:color w:val="000000"/>
          <w:sz w:val="20"/>
          <w:szCs w:val="20"/>
          <w:lang w:eastAsia="en-US"/>
        </w:rPr>
        <w:t xml:space="preserve"> the Council’s financial position</w:t>
      </w:r>
      <w:r w:rsidR="00C23A40">
        <w:rPr>
          <w:rFonts w:ascii="Arial" w:eastAsiaTheme="minorHAnsi" w:hAnsi="Arial" w:cs="Arial"/>
          <w:color w:val="000000"/>
          <w:sz w:val="20"/>
          <w:szCs w:val="20"/>
          <w:lang w:eastAsia="en-US"/>
        </w:rPr>
        <w:t xml:space="preserve">. </w:t>
      </w:r>
      <w:r w:rsidR="00F00075">
        <w:rPr>
          <w:rFonts w:ascii="Arial" w:eastAsiaTheme="minorHAnsi" w:hAnsi="Arial" w:cs="Arial"/>
          <w:color w:val="000000"/>
          <w:sz w:val="20"/>
          <w:szCs w:val="20"/>
          <w:lang w:eastAsia="en-US"/>
        </w:rPr>
        <w:t>T</w:t>
      </w:r>
      <w:r w:rsidRPr="00491BFA">
        <w:rPr>
          <w:rFonts w:ascii="Arial" w:eastAsiaTheme="minorHAnsi" w:hAnsi="Arial" w:cs="Arial"/>
          <w:color w:val="000000"/>
          <w:sz w:val="20"/>
          <w:szCs w:val="20"/>
          <w:lang w:eastAsia="en-US"/>
        </w:rPr>
        <w:t xml:space="preserve">he </w:t>
      </w:r>
      <w:r w:rsidRPr="00A257B4">
        <w:rPr>
          <w:rFonts w:ascii="Arial" w:eastAsiaTheme="minorHAnsi" w:hAnsi="Arial" w:cs="Arial"/>
          <w:i/>
          <w:color w:val="000000"/>
          <w:sz w:val="20"/>
          <w:szCs w:val="20"/>
          <w:lang w:eastAsia="en-US"/>
        </w:rPr>
        <w:t>Six Strategies for Financial Sustainability</w:t>
      </w:r>
      <w:r w:rsidRPr="00491BFA">
        <w:rPr>
          <w:rFonts w:ascii="Arial" w:eastAsiaTheme="minorHAnsi" w:hAnsi="Arial" w:cs="Arial"/>
          <w:color w:val="000000"/>
          <w:sz w:val="20"/>
          <w:szCs w:val="20"/>
          <w:lang w:eastAsia="en-US"/>
        </w:rPr>
        <w:t xml:space="preserve"> include</w:t>
      </w:r>
      <w:r w:rsidR="00F00075">
        <w:rPr>
          <w:rFonts w:ascii="Arial" w:eastAsiaTheme="minorHAnsi" w:hAnsi="Arial" w:cs="Arial"/>
          <w:color w:val="000000"/>
          <w:sz w:val="20"/>
          <w:szCs w:val="20"/>
          <w:lang w:eastAsia="en-US"/>
        </w:rPr>
        <w:t>s</w:t>
      </w:r>
      <w:r w:rsidRPr="00491BFA">
        <w:rPr>
          <w:rFonts w:ascii="Arial" w:eastAsiaTheme="minorHAnsi" w:hAnsi="Arial" w:cs="Arial"/>
          <w:color w:val="000000"/>
          <w:sz w:val="20"/>
          <w:szCs w:val="20"/>
          <w:lang w:eastAsia="en-US"/>
        </w:rPr>
        <w:t xml:space="preserve"> </w:t>
      </w:r>
      <w:r w:rsidR="00F00075">
        <w:rPr>
          <w:rFonts w:ascii="Arial" w:eastAsiaTheme="minorHAnsi" w:hAnsi="Arial" w:cs="Arial"/>
          <w:color w:val="000000"/>
          <w:sz w:val="20"/>
          <w:szCs w:val="20"/>
          <w:lang w:eastAsia="en-US"/>
        </w:rPr>
        <w:t>actions</w:t>
      </w:r>
      <w:r w:rsidRPr="005616FF">
        <w:rPr>
          <w:rFonts w:ascii="Arial" w:eastAsiaTheme="minorHAnsi" w:hAnsi="Arial" w:cs="Arial"/>
          <w:color w:val="000000"/>
          <w:sz w:val="20"/>
          <w:szCs w:val="20"/>
          <w:lang w:eastAsia="en-US"/>
        </w:rPr>
        <w:t xml:space="preserve"> that must be implemented in </w:t>
      </w:r>
      <w:r>
        <w:rPr>
          <w:rFonts w:ascii="Arial" w:eastAsiaTheme="minorHAnsi" w:hAnsi="Arial" w:cs="Arial"/>
          <w:color w:val="000000"/>
          <w:sz w:val="20"/>
          <w:szCs w:val="20"/>
          <w:lang w:eastAsia="en-US"/>
        </w:rPr>
        <w:t>parallel</w:t>
      </w:r>
      <w:r w:rsidRPr="005616FF">
        <w:rPr>
          <w:rFonts w:ascii="Arial" w:eastAsiaTheme="minorHAnsi" w:hAnsi="Arial" w:cs="Arial"/>
          <w:color w:val="000000"/>
          <w:sz w:val="20"/>
          <w:szCs w:val="20"/>
          <w:lang w:eastAsia="en-US"/>
        </w:rPr>
        <w:t xml:space="preserve"> </w:t>
      </w:r>
      <w:r>
        <w:rPr>
          <w:rFonts w:ascii="Arial" w:eastAsiaTheme="minorHAnsi" w:hAnsi="Arial" w:cs="Arial"/>
          <w:color w:val="000000"/>
          <w:sz w:val="20"/>
          <w:szCs w:val="20"/>
          <w:lang w:eastAsia="en-US"/>
        </w:rPr>
        <w:t xml:space="preserve">with </w:t>
      </w:r>
      <w:r w:rsidRPr="00491BFA">
        <w:rPr>
          <w:rFonts w:ascii="Arial" w:eastAsiaTheme="minorHAnsi" w:hAnsi="Arial" w:cs="Arial"/>
          <w:color w:val="000000"/>
          <w:sz w:val="20"/>
          <w:szCs w:val="20"/>
          <w:lang w:eastAsia="en-US"/>
        </w:rPr>
        <w:t>a special variation application</w:t>
      </w:r>
      <w:r w:rsidR="00F00075">
        <w:rPr>
          <w:rFonts w:ascii="Arial" w:eastAsiaTheme="minorHAnsi" w:hAnsi="Arial" w:cs="Arial"/>
          <w:color w:val="000000"/>
          <w:sz w:val="20"/>
          <w:szCs w:val="20"/>
          <w:lang w:eastAsia="en-US"/>
        </w:rPr>
        <w:t xml:space="preserve"> b</w:t>
      </w:r>
      <w:r w:rsidRPr="00491BFA">
        <w:rPr>
          <w:rFonts w:ascii="Arial" w:eastAsiaTheme="minorHAnsi" w:hAnsi="Arial" w:cs="Arial"/>
          <w:color w:val="000000"/>
          <w:sz w:val="20"/>
          <w:szCs w:val="20"/>
          <w:lang w:eastAsia="en-US"/>
        </w:rPr>
        <w:t xml:space="preserve">ecause the </w:t>
      </w:r>
      <w:r w:rsidRPr="005616FF">
        <w:rPr>
          <w:rFonts w:ascii="Arial" w:eastAsiaTheme="minorHAnsi" w:hAnsi="Arial" w:cs="Arial"/>
          <w:color w:val="000000"/>
          <w:sz w:val="20"/>
          <w:szCs w:val="20"/>
          <w:lang w:eastAsia="en-US"/>
        </w:rPr>
        <w:t>proposed</w:t>
      </w:r>
      <w:r w:rsidRPr="00491BFA">
        <w:rPr>
          <w:rFonts w:ascii="Arial" w:eastAsiaTheme="minorHAnsi" w:hAnsi="Arial" w:cs="Arial"/>
          <w:color w:val="000000"/>
          <w:sz w:val="20"/>
          <w:szCs w:val="20"/>
          <w:lang w:eastAsia="en-US"/>
        </w:rPr>
        <w:t xml:space="preserve"> special variation</w:t>
      </w:r>
      <w:r w:rsidRPr="005616FF">
        <w:rPr>
          <w:rFonts w:ascii="Arial" w:eastAsiaTheme="minorHAnsi" w:hAnsi="Arial" w:cs="Arial"/>
          <w:color w:val="000000"/>
          <w:sz w:val="20"/>
          <w:szCs w:val="20"/>
          <w:lang w:eastAsia="en-US"/>
        </w:rPr>
        <w:t xml:space="preserve"> in isolation, is </w:t>
      </w:r>
      <w:r>
        <w:rPr>
          <w:rFonts w:ascii="Arial" w:eastAsiaTheme="minorHAnsi" w:hAnsi="Arial" w:cs="Arial"/>
          <w:color w:val="000000"/>
          <w:sz w:val="20"/>
          <w:szCs w:val="20"/>
          <w:lang w:eastAsia="en-US"/>
        </w:rPr>
        <w:t>insufficient</w:t>
      </w:r>
      <w:r w:rsidRPr="005616FF">
        <w:rPr>
          <w:rFonts w:ascii="Arial" w:eastAsiaTheme="minorHAnsi" w:hAnsi="Arial" w:cs="Arial"/>
          <w:color w:val="000000"/>
          <w:sz w:val="20"/>
          <w:szCs w:val="20"/>
          <w:lang w:eastAsia="en-US"/>
        </w:rPr>
        <w:t xml:space="preserve"> to address the </w:t>
      </w:r>
      <w:r w:rsidRPr="00491BFA">
        <w:rPr>
          <w:rFonts w:ascii="Arial" w:eastAsiaTheme="minorHAnsi" w:hAnsi="Arial" w:cs="Arial"/>
          <w:color w:val="000000"/>
          <w:sz w:val="20"/>
          <w:szCs w:val="20"/>
          <w:lang w:eastAsia="en-US"/>
        </w:rPr>
        <w:t xml:space="preserve">Council’s financial </w:t>
      </w:r>
      <w:r w:rsidRPr="005616FF">
        <w:rPr>
          <w:rFonts w:ascii="Arial" w:eastAsiaTheme="minorHAnsi" w:hAnsi="Arial" w:cs="Arial"/>
          <w:color w:val="000000"/>
          <w:sz w:val="20"/>
          <w:szCs w:val="20"/>
          <w:lang w:eastAsia="en-US"/>
        </w:rPr>
        <w:t>and asset challenge</w:t>
      </w:r>
      <w:r>
        <w:rPr>
          <w:rFonts w:ascii="Arial" w:eastAsiaTheme="minorHAnsi" w:hAnsi="Arial" w:cs="Arial"/>
          <w:color w:val="000000"/>
          <w:sz w:val="20"/>
          <w:szCs w:val="20"/>
          <w:lang w:eastAsia="en-US"/>
        </w:rPr>
        <w:t xml:space="preserve">. </w:t>
      </w:r>
    </w:p>
    <w:p w14:paraId="765A8DFC" w14:textId="77777777" w:rsidR="004A2652" w:rsidRDefault="004A2652" w:rsidP="00401AA8">
      <w:pPr>
        <w:pStyle w:val="NormalWeb"/>
        <w:spacing w:before="0" w:beforeAutospacing="0" w:after="0" w:afterAutospacing="0" w:line="276" w:lineRule="auto"/>
        <w:jc w:val="both"/>
        <w:rPr>
          <w:rFonts w:ascii="Arial" w:eastAsiaTheme="minorHAnsi" w:hAnsi="Arial" w:cs="Arial"/>
          <w:color w:val="000000"/>
          <w:sz w:val="20"/>
          <w:szCs w:val="20"/>
          <w:lang w:eastAsia="en-US"/>
        </w:rPr>
      </w:pPr>
    </w:p>
    <w:p w14:paraId="0B05F52F" w14:textId="6B07C526" w:rsidR="004A2652" w:rsidRDefault="00F00075" w:rsidP="00401AA8">
      <w:pPr>
        <w:pStyle w:val="NormalWeb"/>
        <w:spacing w:before="0" w:beforeAutospacing="0" w:after="0" w:afterAutospacing="0" w:line="276" w:lineRule="auto"/>
        <w:jc w:val="both"/>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 xml:space="preserve">It is also considered that a solution </w:t>
      </w:r>
      <w:r w:rsidR="004A2652" w:rsidRPr="005616FF">
        <w:rPr>
          <w:rFonts w:ascii="Arial" w:eastAsiaTheme="minorHAnsi" w:hAnsi="Arial" w:cs="Arial"/>
          <w:color w:val="000000"/>
          <w:sz w:val="20"/>
          <w:szCs w:val="20"/>
          <w:lang w:eastAsia="en-US"/>
        </w:rPr>
        <w:t>focused solely on an increase to rates revenue</w:t>
      </w:r>
      <w:r>
        <w:rPr>
          <w:rFonts w:ascii="Arial" w:eastAsiaTheme="minorHAnsi" w:hAnsi="Arial" w:cs="Arial"/>
          <w:color w:val="000000"/>
          <w:sz w:val="20"/>
          <w:szCs w:val="20"/>
          <w:lang w:eastAsia="en-US"/>
        </w:rPr>
        <w:t xml:space="preserve"> would not be appropriate, considering the community’s capacity to pay</w:t>
      </w:r>
      <w:r w:rsidR="004A2652" w:rsidRPr="005616FF">
        <w:rPr>
          <w:rFonts w:ascii="Arial" w:eastAsiaTheme="minorHAnsi" w:hAnsi="Arial" w:cs="Arial"/>
          <w:color w:val="000000"/>
          <w:sz w:val="20"/>
          <w:szCs w:val="20"/>
          <w:lang w:eastAsia="en-US"/>
        </w:rPr>
        <w:t xml:space="preserve">.  </w:t>
      </w:r>
    </w:p>
    <w:p w14:paraId="7E9BD07B" w14:textId="77777777" w:rsidR="004A2652" w:rsidRDefault="004A2652" w:rsidP="00401AA8">
      <w:pPr>
        <w:pStyle w:val="NormalWeb"/>
        <w:spacing w:before="0" w:beforeAutospacing="0" w:after="0" w:afterAutospacing="0" w:line="276" w:lineRule="auto"/>
        <w:jc w:val="both"/>
        <w:rPr>
          <w:rFonts w:ascii="Arial" w:eastAsiaTheme="minorHAnsi" w:hAnsi="Arial" w:cs="Arial"/>
          <w:color w:val="000000"/>
          <w:sz w:val="20"/>
          <w:szCs w:val="20"/>
          <w:lang w:eastAsia="en-US"/>
        </w:rPr>
      </w:pPr>
    </w:p>
    <w:p w14:paraId="3FE586DF" w14:textId="77777777" w:rsidR="004A2652" w:rsidRDefault="004A2652" w:rsidP="004A2652">
      <w:pPr>
        <w:autoSpaceDE w:val="0"/>
        <w:autoSpaceDN w:val="0"/>
        <w:adjustRightInd w:val="0"/>
        <w:jc w:val="both"/>
        <w:rPr>
          <w:rFonts w:ascii="Arial" w:eastAsiaTheme="minorHAnsi" w:hAnsi="Arial" w:cs="Arial"/>
          <w:color w:val="000000"/>
          <w:sz w:val="20"/>
          <w:szCs w:val="20"/>
          <w:lang w:eastAsia="en-US"/>
        </w:rPr>
      </w:pPr>
    </w:p>
    <w:p w14:paraId="2CA6CBD2" w14:textId="77777777" w:rsidR="00472FA9" w:rsidRDefault="008E14E1" w:rsidP="00401AA8">
      <w:pPr>
        <w:spacing w:line="276" w:lineRule="auto"/>
        <w:rPr>
          <w:rFonts w:ascii="Arial" w:hAnsi="Arial" w:cs="Arial"/>
          <w:b/>
          <w:bCs/>
          <w:sz w:val="20"/>
          <w:szCs w:val="20"/>
        </w:rPr>
      </w:pPr>
      <w:bookmarkStart w:id="25" w:name="_Toc393110004"/>
      <w:bookmarkStart w:id="26" w:name="_Toc393113514"/>
      <w:bookmarkStart w:id="27" w:name="_Toc393982243"/>
      <w:bookmarkStart w:id="28" w:name="_Toc394483555"/>
      <w:bookmarkStart w:id="29" w:name="_Toc394573299"/>
      <w:bookmarkStart w:id="30" w:name="_GoBack"/>
      <w:r>
        <w:rPr>
          <w:noProof/>
        </w:rPr>
        <w:drawing>
          <wp:anchor distT="0" distB="0" distL="114300" distR="114300" simplePos="0" relativeHeight="251897856" behindDoc="1" locked="0" layoutInCell="1" allowOverlap="1" wp14:anchorId="21A3B623" wp14:editId="7E8D1537">
            <wp:simplePos x="0" y="0"/>
            <wp:positionH relativeFrom="column">
              <wp:posOffset>-346710</wp:posOffset>
            </wp:positionH>
            <wp:positionV relativeFrom="paragraph">
              <wp:posOffset>110490</wp:posOffset>
            </wp:positionV>
            <wp:extent cx="6543040" cy="6881495"/>
            <wp:effectExtent l="0" t="0" r="0" b="0"/>
            <wp:wrapTight wrapText="bothSides">
              <wp:wrapPolygon edited="0">
                <wp:start x="0" y="0"/>
                <wp:lineTo x="0" y="21526"/>
                <wp:lineTo x="21508" y="21526"/>
                <wp:lineTo x="21508"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6-Point-Plan-Blue-GreenVFinal 25 Feb 2015.jpg"/>
                    <pic:cNvPicPr/>
                  </pic:nvPicPr>
                  <pic:blipFill>
                    <a:blip r:embed="rId27" cstate="email">
                      <a:extLst>
                        <a:ext uri="{28A0092B-C50C-407E-A947-70E740481C1C}">
                          <a14:useLocalDpi xmlns:a14="http://schemas.microsoft.com/office/drawing/2010/main"/>
                        </a:ext>
                      </a:extLst>
                    </a:blip>
                    <a:stretch>
                      <a:fillRect/>
                    </a:stretch>
                  </pic:blipFill>
                  <pic:spPr>
                    <a:xfrm>
                      <a:off x="0" y="0"/>
                      <a:ext cx="6543040" cy="6881495"/>
                    </a:xfrm>
                    <a:prstGeom prst="rect">
                      <a:avLst/>
                    </a:prstGeom>
                  </pic:spPr>
                </pic:pic>
              </a:graphicData>
            </a:graphic>
            <wp14:sizeRelH relativeFrom="page">
              <wp14:pctWidth>0</wp14:pctWidth>
            </wp14:sizeRelH>
            <wp14:sizeRelV relativeFrom="page">
              <wp14:pctHeight>0</wp14:pctHeight>
            </wp14:sizeRelV>
          </wp:anchor>
        </w:drawing>
      </w:r>
      <w:bookmarkEnd w:id="30"/>
      <w:r w:rsidR="004A2652">
        <w:rPr>
          <w:rFonts w:ascii="Arial" w:hAnsi="Arial" w:cs="Arial"/>
          <w:b/>
          <w:bCs/>
          <w:sz w:val="20"/>
          <w:szCs w:val="20"/>
        </w:rPr>
        <w:br w:type="page"/>
      </w:r>
    </w:p>
    <w:p w14:paraId="3DBD7551" w14:textId="77777777" w:rsidR="00472FA9" w:rsidRPr="00472FA9" w:rsidRDefault="00472FA9" w:rsidP="00472FA9">
      <w:pPr>
        <w:spacing w:line="276" w:lineRule="auto"/>
        <w:rPr>
          <w:rFonts w:ascii="Arial" w:hAnsi="Arial" w:cs="Arial"/>
          <w:bCs/>
          <w:i/>
          <w:sz w:val="20"/>
          <w:szCs w:val="20"/>
        </w:rPr>
      </w:pPr>
      <w:r w:rsidRPr="00472FA9">
        <w:rPr>
          <w:rFonts w:ascii="Arial" w:hAnsi="Arial" w:cs="Arial"/>
          <w:bCs/>
          <w:i/>
          <w:sz w:val="20"/>
          <w:szCs w:val="20"/>
        </w:rPr>
        <w:t>Overview of Six Strategies for Financial Sustainability</w:t>
      </w:r>
    </w:p>
    <w:p w14:paraId="284A7A5F" w14:textId="77777777" w:rsidR="00472FA9" w:rsidRPr="00472FA9" w:rsidRDefault="00472FA9" w:rsidP="00472FA9">
      <w:pPr>
        <w:spacing w:line="276" w:lineRule="auto"/>
        <w:jc w:val="both"/>
        <w:rPr>
          <w:rFonts w:ascii="Arial" w:hAnsi="Arial" w:cs="Arial"/>
          <w:b/>
          <w:bCs/>
          <w:sz w:val="20"/>
          <w:szCs w:val="20"/>
        </w:rPr>
      </w:pPr>
    </w:p>
    <w:p w14:paraId="4C454F19" w14:textId="77777777" w:rsidR="00472FA9" w:rsidRPr="00472FA9" w:rsidRDefault="00472FA9" w:rsidP="00472FA9">
      <w:pPr>
        <w:spacing w:line="276" w:lineRule="auto"/>
        <w:jc w:val="both"/>
        <w:rPr>
          <w:rFonts w:ascii="Arial" w:hAnsi="Arial" w:cs="Arial"/>
          <w:sz w:val="20"/>
          <w:szCs w:val="20"/>
        </w:rPr>
      </w:pPr>
      <w:r w:rsidRPr="00472FA9">
        <w:rPr>
          <w:rFonts w:ascii="Arial" w:hAnsi="Arial" w:cs="Arial"/>
          <w:b/>
          <w:sz w:val="20"/>
          <w:szCs w:val="20"/>
        </w:rPr>
        <w:t>Strategy 1: Avoid Shocks</w:t>
      </w:r>
      <w:r w:rsidRPr="00472FA9">
        <w:rPr>
          <w:rFonts w:ascii="Arial" w:hAnsi="Arial" w:cs="Arial"/>
          <w:sz w:val="20"/>
          <w:szCs w:val="20"/>
        </w:rPr>
        <w:t>: The Council is proactively implementing financial planning to ensure we live responsibly within our means, manage risks and prioritise resources to achieve best outcomes and retain restricted reserves for known future required spending.</w:t>
      </w:r>
    </w:p>
    <w:p w14:paraId="19F861F4" w14:textId="77777777" w:rsidR="00472FA9" w:rsidRPr="00472FA9" w:rsidRDefault="00472FA9" w:rsidP="00472FA9">
      <w:pPr>
        <w:spacing w:line="276" w:lineRule="auto"/>
        <w:jc w:val="both"/>
        <w:rPr>
          <w:rFonts w:ascii="Arial" w:hAnsi="Arial" w:cs="Arial"/>
          <w:sz w:val="20"/>
          <w:szCs w:val="20"/>
        </w:rPr>
      </w:pPr>
    </w:p>
    <w:p w14:paraId="68D28862" w14:textId="77777777" w:rsidR="00472FA9" w:rsidRPr="00472FA9" w:rsidRDefault="00472FA9" w:rsidP="00472FA9">
      <w:pPr>
        <w:autoSpaceDE w:val="0"/>
        <w:autoSpaceDN w:val="0"/>
        <w:adjustRightInd w:val="0"/>
        <w:spacing w:line="276" w:lineRule="auto"/>
        <w:jc w:val="both"/>
        <w:rPr>
          <w:rFonts w:ascii="Arial" w:eastAsiaTheme="minorHAnsi" w:hAnsi="Arial" w:cs="Arial"/>
          <w:sz w:val="20"/>
          <w:szCs w:val="20"/>
          <w:lang w:eastAsia="en-US"/>
        </w:rPr>
      </w:pPr>
      <w:r w:rsidRPr="00472FA9">
        <w:rPr>
          <w:rFonts w:ascii="Arial" w:eastAsiaTheme="minorHAnsi" w:hAnsi="Arial" w:cs="Arial"/>
          <w:sz w:val="20"/>
          <w:szCs w:val="20"/>
          <w:lang w:eastAsia="en-US"/>
        </w:rPr>
        <w:t xml:space="preserve">The </w:t>
      </w:r>
      <w:r w:rsidRPr="00472FA9">
        <w:rPr>
          <w:rFonts w:ascii="Arial" w:eastAsiaTheme="minorHAnsi" w:hAnsi="Arial" w:cs="Arial"/>
          <w:i/>
          <w:iCs/>
          <w:sz w:val="20"/>
          <w:szCs w:val="20"/>
          <w:lang w:eastAsia="en-US"/>
        </w:rPr>
        <w:t xml:space="preserve">LTFP </w:t>
      </w:r>
      <w:r w:rsidRPr="00472FA9">
        <w:rPr>
          <w:rFonts w:ascii="Arial" w:eastAsiaTheme="minorHAnsi" w:hAnsi="Arial" w:cs="Arial"/>
          <w:sz w:val="20"/>
          <w:szCs w:val="20"/>
          <w:lang w:eastAsia="en-US"/>
        </w:rPr>
        <w:t xml:space="preserve">assesses the Council’s revenue capacity and projects future costs. This strategy of avoiding shocks is implemented by the Council proactively using the </w:t>
      </w:r>
      <w:r w:rsidRPr="00472FA9">
        <w:rPr>
          <w:rFonts w:ascii="Arial" w:eastAsiaTheme="minorHAnsi" w:hAnsi="Arial" w:cs="Arial"/>
          <w:i/>
          <w:iCs/>
          <w:sz w:val="20"/>
          <w:szCs w:val="20"/>
          <w:lang w:eastAsia="en-US"/>
        </w:rPr>
        <w:t xml:space="preserve">LTFP </w:t>
      </w:r>
      <w:r w:rsidRPr="00472FA9">
        <w:rPr>
          <w:rFonts w:ascii="Arial" w:eastAsiaTheme="minorHAnsi" w:hAnsi="Arial" w:cs="Arial"/>
          <w:sz w:val="20"/>
          <w:szCs w:val="20"/>
          <w:lang w:eastAsia="en-US"/>
        </w:rPr>
        <w:t>to manage and smooth projected increases in costs or decreases in revenue. This provides the Council with an opportunity for early identification of financial issues and longer-term impacts. It also helps the Council make strategic decisions based on these issues and impacts – with the aim of minimising unexpected events.</w:t>
      </w:r>
    </w:p>
    <w:p w14:paraId="6FC70106" w14:textId="77777777" w:rsidR="00472FA9" w:rsidRPr="00472FA9" w:rsidRDefault="00472FA9" w:rsidP="00472FA9">
      <w:pPr>
        <w:autoSpaceDE w:val="0"/>
        <w:autoSpaceDN w:val="0"/>
        <w:adjustRightInd w:val="0"/>
        <w:spacing w:line="276" w:lineRule="auto"/>
        <w:jc w:val="both"/>
        <w:rPr>
          <w:rFonts w:ascii="Arial" w:eastAsiaTheme="minorHAnsi" w:hAnsi="Arial" w:cs="Arial"/>
          <w:sz w:val="20"/>
          <w:szCs w:val="20"/>
          <w:lang w:eastAsia="en-US"/>
        </w:rPr>
      </w:pPr>
    </w:p>
    <w:p w14:paraId="407F32D3" w14:textId="77777777" w:rsidR="00472FA9" w:rsidRPr="00472FA9" w:rsidRDefault="00472FA9" w:rsidP="00472FA9">
      <w:pPr>
        <w:autoSpaceDE w:val="0"/>
        <w:autoSpaceDN w:val="0"/>
        <w:adjustRightInd w:val="0"/>
        <w:spacing w:line="276" w:lineRule="auto"/>
        <w:jc w:val="both"/>
        <w:rPr>
          <w:rFonts w:ascii="Arial" w:eastAsiaTheme="minorHAnsi" w:hAnsi="Arial" w:cs="Arial"/>
          <w:sz w:val="20"/>
          <w:szCs w:val="20"/>
          <w:lang w:eastAsia="en-US"/>
        </w:rPr>
      </w:pPr>
      <w:r w:rsidRPr="00472FA9">
        <w:rPr>
          <w:rFonts w:ascii="Arial" w:eastAsiaTheme="minorHAnsi" w:hAnsi="Arial" w:cs="Arial"/>
          <w:sz w:val="20"/>
          <w:szCs w:val="20"/>
          <w:lang w:eastAsia="en-US"/>
        </w:rPr>
        <w:t>By managing and making appropriate adjustments for increases in costs or decreases in revenue, this strategy positions the City to better withstand costly unexpected events and to continue to deliver quality services that meet community needs. Examples of unexpected events include the devastating October 2013 bushfires and the recent $2.9 million reduction in Australian Government Financial Assistance Grant funding to the Blue Mountains over the next four years.</w:t>
      </w:r>
    </w:p>
    <w:p w14:paraId="6ACD94DA" w14:textId="77777777" w:rsidR="00472FA9" w:rsidRPr="00472FA9" w:rsidRDefault="00472FA9" w:rsidP="00472FA9">
      <w:pPr>
        <w:autoSpaceDE w:val="0"/>
        <w:autoSpaceDN w:val="0"/>
        <w:adjustRightInd w:val="0"/>
        <w:spacing w:line="276" w:lineRule="auto"/>
        <w:jc w:val="both"/>
        <w:rPr>
          <w:rFonts w:ascii="Arial" w:eastAsiaTheme="minorHAnsi" w:hAnsi="Arial" w:cs="Arial"/>
          <w:sz w:val="20"/>
          <w:szCs w:val="20"/>
          <w:lang w:eastAsia="en-US"/>
        </w:rPr>
      </w:pPr>
    </w:p>
    <w:p w14:paraId="6BD464FB" w14:textId="77777777" w:rsidR="00472FA9" w:rsidRPr="00472FA9" w:rsidRDefault="00472FA9" w:rsidP="00472FA9">
      <w:pPr>
        <w:autoSpaceDE w:val="0"/>
        <w:autoSpaceDN w:val="0"/>
        <w:adjustRightInd w:val="0"/>
        <w:spacing w:line="276" w:lineRule="auto"/>
        <w:jc w:val="both"/>
        <w:rPr>
          <w:rFonts w:ascii="Arial" w:hAnsi="Arial" w:cs="Arial"/>
          <w:sz w:val="20"/>
          <w:szCs w:val="20"/>
        </w:rPr>
      </w:pPr>
      <w:r w:rsidRPr="00472FA9">
        <w:rPr>
          <w:rFonts w:ascii="Arial" w:eastAsiaTheme="minorHAnsi" w:hAnsi="Arial" w:cs="Arial"/>
          <w:sz w:val="20"/>
          <w:szCs w:val="20"/>
          <w:lang w:eastAsia="en-US"/>
        </w:rPr>
        <w:t xml:space="preserve">Other examples of where the Council has implemented this strategy include the development of the Council’s Corporate Risk Register, the work the Council has progressed on Enterprise Risk Management, maintaining cash liquidity within the benchmark, and the risk management strategies identified in the Council’s Service Dashboards (see </w:t>
      </w:r>
      <w:r w:rsidRPr="00472FA9">
        <w:rPr>
          <w:rFonts w:ascii="Arial" w:eastAsiaTheme="minorHAnsi" w:hAnsi="Arial" w:cs="Arial"/>
          <w:b/>
          <w:sz w:val="20"/>
          <w:szCs w:val="20"/>
          <w:lang w:eastAsia="en-US"/>
        </w:rPr>
        <w:t>Attachment 10</w:t>
      </w:r>
      <w:r w:rsidRPr="00472FA9">
        <w:rPr>
          <w:rFonts w:ascii="Arial" w:eastAsiaTheme="minorHAnsi" w:hAnsi="Arial" w:cs="Arial"/>
          <w:sz w:val="20"/>
          <w:szCs w:val="20"/>
          <w:lang w:eastAsia="en-US"/>
        </w:rPr>
        <w:t>).</w:t>
      </w:r>
    </w:p>
    <w:p w14:paraId="4E32DFB4" w14:textId="77777777" w:rsidR="00472FA9" w:rsidRPr="00472FA9" w:rsidRDefault="00472FA9" w:rsidP="00472FA9">
      <w:pPr>
        <w:spacing w:line="276" w:lineRule="auto"/>
        <w:ind w:left="284"/>
        <w:jc w:val="both"/>
        <w:rPr>
          <w:rFonts w:ascii="Arial" w:hAnsi="Arial" w:cs="Arial"/>
          <w:sz w:val="20"/>
          <w:szCs w:val="20"/>
        </w:rPr>
      </w:pPr>
    </w:p>
    <w:p w14:paraId="10BCD33C" w14:textId="77777777" w:rsidR="00472FA9" w:rsidRPr="00472FA9" w:rsidRDefault="00472FA9" w:rsidP="00472FA9">
      <w:pPr>
        <w:spacing w:line="276" w:lineRule="auto"/>
        <w:jc w:val="both"/>
        <w:rPr>
          <w:rFonts w:ascii="Arial" w:hAnsi="Arial" w:cs="Arial"/>
          <w:sz w:val="20"/>
          <w:szCs w:val="20"/>
        </w:rPr>
      </w:pPr>
      <w:r w:rsidRPr="00472FA9">
        <w:rPr>
          <w:rFonts w:ascii="Arial" w:hAnsi="Arial" w:cs="Arial"/>
          <w:b/>
          <w:sz w:val="20"/>
          <w:szCs w:val="20"/>
        </w:rPr>
        <w:t>Strategy 2: Balance the Budget:</w:t>
      </w:r>
      <w:r w:rsidRPr="00472FA9">
        <w:rPr>
          <w:rFonts w:ascii="Arial" w:hAnsi="Arial" w:cs="Arial"/>
          <w:sz w:val="20"/>
          <w:szCs w:val="20"/>
        </w:rPr>
        <w:t xml:space="preserve"> Council is taking action to balance its cash budget each year through achieving significant productivity and cost savings (over $15 million in savings achieved over the past four years – see </w:t>
      </w:r>
      <w:r w:rsidRPr="00472FA9">
        <w:rPr>
          <w:rFonts w:ascii="Arial" w:hAnsi="Arial" w:cs="Arial"/>
          <w:b/>
          <w:sz w:val="20"/>
          <w:szCs w:val="20"/>
        </w:rPr>
        <w:t>Section 7.2.1</w:t>
      </w:r>
      <w:r w:rsidRPr="00472FA9">
        <w:rPr>
          <w:rFonts w:ascii="Arial" w:hAnsi="Arial" w:cs="Arial"/>
          <w:sz w:val="20"/>
          <w:szCs w:val="20"/>
        </w:rPr>
        <w:t xml:space="preserve">). Under this strategy, the Council is also building financial capacity to balance its Operating Balance Result (including depreciation) and meet future funding requirements for the City’s ageing infrastructure (roads, footpaths, drainage, community and recreational facilities etc.).  </w:t>
      </w:r>
    </w:p>
    <w:p w14:paraId="37006C48" w14:textId="77777777" w:rsidR="00472FA9" w:rsidRPr="00472FA9" w:rsidRDefault="00472FA9" w:rsidP="00472FA9">
      <w:pPr>
        <w:spacing w:line="276" w:lineRule="auto"/>
        <w:jc w:val="both"/>
        <w:rPr>
          <w:rFonts w:ascii="Arial" w:hAnsi="Arial" w:cs="Arial"/>
          <w:sz w:val="20"/>
          <w:szCs w:val="20"/>
        </w:rPr>
      </w:pPr>
    </w:p>
    <w:p w14:paraId="2646C493" w14:textId="77777777" w:rsidR="00472FA9" w:rsidRPr="00472FA9" w:rsidRDefault="00472FA9" w:rsidP="00472FA9">
      <w:pPr>
        <w:autoSpaceDE w:val="0"/>
        <w:autoSpaceDN w:val="0"/>
        <w:adjustRightInd w:val="0"/>
        <w:spacing w:line="276" w:lineRule="auto"/>
        <w:jc w:val="both"/>
        <w:rPr>
          <w:rFonts w:ascii="Arial" w:eastAsiaTheme="minorHAnsi" w:hAnsi="Arial" w:cs="Arial"/>
          <w:sz w:val="20"/>
          <w:szCs w:val="20"/>
          <w:lang w:eastAsia="en-US"/>
        </w:rPr>
      </w:pPr>
      <w:r w:rsidRPr="00472FA9">
        <w:rPr>
          <w:rFonts w:ascii="Arial" w:eastAsiaTheme="minorHAnsi" w:hAnsi="Arial" w:cs="Arial"/>
          <w:sz w:val="20"/>
          <w:szCs w:val="20"/>
          <w:lang w:eastAsia="en-US"/>
        </w:rPr>
        <w:t>This strategy involves balancing the Council’s cash budget each year through a combination of strategies, including reducing debt, increasing revenue and adjusting services as outlined below, as well as achieving operating savings through continuous business improvement initiatives.</w:t>
      </w:r>
    </w:p>
    <w:p w14:paraId="03EFFAA5" w14:textId="77777777" w:rsidR="00472FA9" w:rsidRPr="00472FA9" w:rsidRDefault="00472FA9" w:rsidP="00472FA9">
      <w:pPr>
        <w:autoSpaceDE w:val="0"/>
        <w:autoSpaceDN w:val="0"/>
        <w:adjustRightInd w:val="0"/>
        <w:spacing w:line="276" w:lineRule="auto"/>
        <w:jc w:val="both"/>
        <w:rPr>
          <w:rFonts w:ascii="Arial" w:eastAsiaTheme="minorHAnsi" w:hAnsi="Arial" w:cs="Arial"/>
          <w:sz w:val="20"/>
          <w:szCs w:val="20"/>
          <w:lang w:eastAsia="en-US"/>
        </w:rPr>
      </w:pPr>
    </w:p>
    <w:p w14:paraId="286F4B1C" w14:textId="77777777" w:rsidR="00472FA9" w:rsidRPr="00472FA9" w:rsidRDefault="00472FA9" w:rsidP="00472FA9">
      <w:pPr>
        <w:autoSpaceDE w:val="0"/>
        <w:autoSpaceDN w:val="0"/>
        <w:adjustRightInd w:val="0"/>
        <w:spacing w:line="276" w:lineRule="auto"/>
        <w:jc w:val="both"/>
        <w:rPr>
          <w:rFonts w:ascii="Arial" w:eastAsiaTheme="minorHAnsi" w:hAnsi="Arial" w:cs="Arial"/>
          <w:sz w:val="20"/>
          <w:szCs w:val="20"/>
          <w:lang w:eastAsia="en-US"/>
        </w:rPr>
      </w:pPr>
      <w:r w:rsidRPr="00472FA9">
        <w:rPr>
          <w:rFonts w:ascii="Arial" w:eastAsiaTheme="minorHAnsi" w:hAnsi="Arial" w:cs="Arial"/>
          <w:sz w:val="20"/>
          <w:szCs w:val="20"/>
          <w:lang w:eastAsia="en-US"/>
        </w:rPr>
        <w:t>Given that costs are rising in real terms by 2% more than income, the Council is taking action to balance its budget each year through a continued commitment to cost containment and business efficiency. Cost containment also includes intentional actions to reduce the cost of labour and materials and review servicing requirements.</w:t>
      </w:r>
    </w:p>
    <w:p w14:paraId="50A1295E" w14:textId="77777777" w:rsidR="00472FA9" w:rsidRPr="00472FA9" w:rsidRDefault="00472FA9" w:rsidP="00472FA9">
      <w:pPr>
        <w:autoSpaceDE w:val="0"/>
        <w:autoSpaceDN w:val="0"/>
        <w:adjustRightInd w:val="0"/>
        <w:spacing w:line="276" w:lineRule="auto"/>
        <w:jc w:val="both"/>
        <w:rPr>
          <w:rFonts w:ascii="Arial" w:eastAsiaTheme="minorHAnsi" w:hAnsi="Arial" w:cs="Arial"/>
          <w:sz w:val="20"/>
          <w:szCs w:val="20"/>
          <w:lang w:eastAsia="en-US"/>
        </w:rPr>
      </w:pPr>
    </w:p>
    <w:p w14:paraId="51BCDDD4" w14:textId="77777777" w:rsidR="00472FA9" w:rsidRPr="00472FA9" w:rsidRDefault="00472FA9" w:rsidP="00472FA9">
      <w:pPr>
        <w:autoSpaceDE w:val="0"/>
        <w:autoSpaceDN w:val="0"/>
        <w:adjustRightInd w:val="0"/>
        <w:spacing w:line="276" w:lineRule="auto"/>
        <w:jc w:val="both"/>
        <w:rPr>
          <w:rFonts w:ascii="Arial" w:eastAsiaTheme="minorHAnsi" w:hAnsi="Arial" w:cs="Arial"/>
          <w:sz w:val="20"/>
          <w:szCs w:val="20"/>
          <w:lang w:eastAsia="en-US"/>
        </w:rPr>
      </w:pPr>
      <w:r w:rsidRPr="00472FA9">
        <w:rPr>
          <w:rFonts w:ascii="Arial" w:eastAsiaTheme="minorHAnsi" w:hAnsi="Arial" w:cs="Arial"/>
          <w:sz w:val="20"/>
          <w:szCs w:val="20"/>
          <w:lang w:eastAsia="en-US"/>
        </w:rPr>
        <w:t>The Council has been striving for continuous improvement to enable it to balance its annual operating budget over the longer term. It has a rolling program of service reviews and enforces budget containment strategies each year to enable the cash budget to be balanced (i.e. expenditure equals available income).</w:t>
      </w:r>
    </w:p>
    <w:p w14:paraId="5596F052" w14:textId="77777777" w:rsidR="00472FA9" w:rsidRPr="00472FA9" w:rsidRDefault="00472FA9" w:rsidP="00472FA9">
      <w:pPr>
        <w:spacing w:line="276" w:lineRule="auto"/>
        <w:jc w:val="both"/>
        <w:rPr>
          <w:rFonts w:ascii="Arial" w:eastAsiaTheme="minorHAnsi" w:hAnsi="Arial" w:cs="Arial"/>
          <w:sz w:val="20"/>
          <w:szCs w:val="20"/>
          <w:lang w:eastAsia="en-US"/>
        </w:rPr>
      </w:pPr>
    </w:p>
    <w:p w14:paraId="1A8E5F9F" w14:textId="77777777" w:rsidR="00472FA9" w:rsidRDefault="00472FA9" w:rsidP="00472FA9">
      <w:pPr>
        <w:autoSpaceDE w:val="0"/>
        <w:autoSpaceDN w:val="0"/>
        <w:adjustRightInd w:val="0"/>
        <w:spacing w:line="276" w:lineRule="auto"/>
        <w:jc w:val="both"/>
        <w:rPr>
          <w:rFonts w:ascii="Arial" w:eastAsiaTheme="minorHAnsi" w:hAnsi="Arial" w:cs="Arial"/>
          <w:color w:val="231F20"/>
          <w:sz w:val="20"/>
          <w:szCs w:val="20"/>
          <w:lang w:eastAsia="en-US"/>
        </w:rPr>
      </w:pPr>
      <w:r w:rsidRPr="00472FA9">
        <w:rPr>
          <w:rFonts w:ascii="Arial" w:eastAsiaTheme="minorHAnsi" w:hAnsi="Arial" w:cs="Arial"/>
          <w:color w:val="231F20"/>
          <w:sz w:val="20"/>
          <w:szCs w:val="20"/>
          <w:lang w:eastAsia="en-US"/>
        </w:rPr>
        <w:t>The Council’s strategy is to balance the annual operating result within 10 years (including depreciation, excluding capital grants) to ensure it lives within its means. Once the operating result is balanced, the Council will start to build operating surpluses. This will be achieved by:</w:t>
      </w:r>
    </w:p>
    <w:p w14:paraId="342CD633" w14:textId="77777777" w:rsidR="006B1840" w:rsidRPr="006B1840" w:rsidRDefault="006B1840" w:rsidP="00472FA9">
      <w:pPr>
        <w:autoSpaceDE w:val="0"/>
        <w:autoSpaceDN w:val="0"/>
        <w:adjustRightInd w:val="0"/>
        <w:spacing w:line="276" w:lineRule="auto"/>
        <w:jc w:val="both"/>
        <w:rPr>
          <w:rFonts w:ascii="Arial" w:eastAsiaTheme="minorHAnsi" w:hAnsi="Arial" w:cs="Arial"/>
          <w:color w:val="231F20"/>
          <w:sz w:val="16"/>
          <w:szCs w:val="16"/>
          <w:lang w:eastAsia="en-US"/>
        </w:rPr>
      </w:pPr>
    </w:p>
    <w:p w14:paraId="62F70477" w14:textId="77777777" w:rsidR="00472FA9" w:rsidRDefault="00472FA9" w:rsidP="00472FA9">
      <w:pPr>
        <w:numPr>
          <w:ilvl w:val="0"/>
          <w:numId w:val="127"/>
        </w:numPr>
        <w:autoSpaceDE w:val="0"/>
        <w:autoSpaceDN w:val="0"/>
        <w:adjustRightInd w:val="0"/>
        <w:spacing w:after="200" w:line="276" w:lineRule="auto"/>
        <w:contextualSpacing/>
        <w:jc w:val="both"/>
        <w:rPr>
          <w:rFonts w:ascii="Arial" w:eastAsiaTheme="minorHAnsi" w:hAnsi="Arial" w:cs="Arial"/>
          <w:color w:val="231F20"/>
          <w:sz w:val="20"/>
          <w:szCs w:val="20"/>
          <w:lang w:eastAsia="en-US"/>
        </w:rPr>
      </w:pPr>
      <w:r w:rsidRPr="00472FA9">
        <w:rPr>
          <w:rFonts w:ascii="Arial" w:eastAsiaTheme="minorHAnsi" w:hAnsi="Arial" w:cs="Arial"/>
          <w:color w:val="231F20"/>
          <w:sz w:val="20"/>
          <w:szCs w:val="20"/>
          <w:lang w:eastAsia="en-US"/>
        </w:rPr>
        <w:t xml:space="preserve">Continuing to review and improve the accuracy of asset depreciation projections, including useful lives and asset revaluations. Being a key driver of the operating deficit, it is important that depreciation accurately represents the level of funding required to maintain agreed service levels. </w:t>
      </w:r>
    </w:p>
    <w:p w14:paraId="3E65EF39" w14:textId="77777777" w:rsidR="006B1840" w:rsidRPr="00472FA9" w:rsidRDefault="006B1840" w:rsidP="006B1840">
      <w:pPr>
        <w:autoSpaceDE w:val="0"/>
        <w:autoSpaceDN w:val="0"/>
        <w:adjustRightInd w:val="0"/>
        <w:spacing w:after="200" w:line="276" w:lineRule="auto"/>
        <w:ind w:left="928"/>
        <w:contextualSpacing/>
        <w:jc w:val="both"/>
        <w:rPr>
          <w:rFonts w:ascii="Arial" w:eastAsiaTheme="minorHAnsi" w:hAnsi="Arial" w:cs="Arial"/>
          <w:color w:val="231F20"/>
          <w:sz w:val="20"/>
          <w:szCs w:val="20"/>
          <w:lang w:eastAsia="en-US"/>
        </w:rPr>
      </w:pPr>
    </w:p>
    <w:p w14:paraId="397341CA" w14:textId="77777777" w:rsidR="00472FA9" w:rsidRPr="00472FA9" w:rsidRDefault="00472FA9" w:rsidP="006B1840">
      <w:pPr>
        <w:numPr>
          <w:ilvl w:val="0"/>
          <w:numId w:val="127"/>
        </w:numPr>
        <w:autoSpaceDE w:val="0"/>
        <w:autoSpaceDN w:val="0"/>
        <w:adjustRightInd w:val="0"/>
        <w:spacing w:before="80" w:after="200" w:line="276" w:lineRule="auto"/>
        <w:ind w:left="924" w:hanging="357"/>
        <w:contextualSpacing/>
        <w:jc w:val="both"/>
        <w:rPr>
          <w:rFonts w:ascii="Arial" w:eastAsiaTheme="minorHAnsi" w:hAnsi="Arial" w:cs="Arial"/>
          <w:color w:val="231F20"/>
          <w:sz w:val="20"/>
          <w:szCs w:val="20"/>
          <w:lang w:eastAsia="en-US"/>
        </w:rPr>
      </w:pPr>
      <w:r w:rsidRPr="00472FA9">
        <w:rPr>
          <w:rFonts w:ascii="Arial" w:eastAsiaTheme="minorHAnsi" w:hAnsi="Arial" w:cs="Arial"/>
          <w:color w:val="231F20"/>
          <w:sz w:val="20"/>
          <w:szCs w:val="20"/>
          <w:lang w:eastAsia="en-US"/>
        </w:rPr>
        <w:t>Implementing the strategies outlined below including reducing debt, increasing revenue, reviewing and adjusting services.</w:t>
      </w:r>
    </w:p>
    <w:p w14:paraId="15AFC631" w14:textId="77777777" w:rsidR="00472FA9" w:rsidRPr="00472FA9" w:rsidRDefault="00472FA9" w:rsidP="00472FA9">
      <w:pPr>
        <w:autoSpaceDE w:val="0"/>
        <w:autoSpaceDN w:val="0"/>
        <w:adjustRightInd w:val="0"/>
        <w:spacing w:line="276" w:lineRule="auto"/>
        <w:ind w:left="720"/>
        <w:jc w:val="both"/>
        <w:rPr>
          <w:rFonts w:ascii="Arial" w:eastAsiaTheme="minorHAnsi" w:hAnsi="Arial" w:cs="Arial"/>
          <w:color w:val="231F20"/>
          <w:sz w:val="20"/>
          <w:szCs w:val="20"/>
          <w:lang w:eastAsia="en-US"/>
        </w:rPr>
      </w:pPr>
    </w:p>
    <w:p w14:paraId="1352F72E" w14:textId="77777777" w:rsidR="00472FA9" w:rsidRPr="00472FA9" w:rsidRDefault="00472FA9" w:rsidP="00472FA9">
      <w:pPr>
        <w:autoSpaceDE w:val="0"/>
        <w:autoSpaceDN w:val="0"/>
        <w:adjustRightInd w:val="0"/>
        <w:spacing w:line="276" w:lineRule="auto"/>
        <w:jc w:val="both"/>
        <w:rPr>
          <w:rFonts w:ascii="Arial" w:hAnsi="Arial" w:cs="Arial"/>
          <w:sz w:val="20"/>
          <w:szCs w:val="20"/>
        </w:rPr>
      </w:pPr>
      <w:r w:rsidRPr="00472FA9">
        <w:rPr>
          <w:rFonts w:ascii="Arial" w:eastAsiaTheme="minorHAnsi" w:hAnsi="Arial" w:cs="Arial"/>
          <w:color w:val="231F20"/>
          <w:sz w:val="20"/>
          <w:szCs w:val="20"/>
          <w:lang w:eastAsia="en-US"/>
        </w:rPr>
        <w:t>Balancing the annual operating result will allow the Council to reduce the annual deterioration of its assets, and any operating surpluses will then be available to address future backlogs in asset maintenance and renewal.</w:t>
      </w:r>
    </w:p>
    <w:p w14:paraId="70E16E15" w14:textId="77777777" w:rsidR="00472FA9" w:rsidRPr="00472FA9" w:rsidRDefault="00472FA9" w:rsidP="00472FA9">
      <w:pPr>
        <w:spacing w:line="276" w:lineRule="auto"/>
        <w:ind w:left="720"/>
        <w:rPr>
          <w:rFonts w:ascii="Arial" w:eastAsiaTheme="minorHAnsi" w:hAnsi="Arial" w:cs="Arial"/>
          <w:b/>
          <w:sz w:val="20"/>
          <w:szCs w:val="20"/>
          <w:lang w:eastAsia="en-US"/>
        </w:rPr>
      </w:pPr>
    </w:p>
    <w:p w14:paraId="13491BAF" w14:textId="77777777" w:rsidR="00472FA9" w:rsidRPr="00472FA9" w:rsidRDefault="00472FA9" w:rsidP="00472FA9">
      <w:pPr>
        <w:autoSpaceDE w:val="0"/>
        <w:autoSpaceDN w:val="0"/>
        <w:adjustRightInd w:val="0"/>
        <w:spacing w:line="276" w:lineRule="auto"/>
        <w:jc w:val="both"/>
        <w:rPr>
          <w:rFonts w:ascii="Arial" w:eastAsiaTheme="minorHAnsi" w:hAnsi="Arial" w:cs="Arial"/>
          <w:color w:val="000000"/>
          <w:sz w:val="20"/>
          <w:szCs w:val="20"/>
          <w:lang w:eastAsia="en-US"/>
        </w:rPr>
      </w:pPr>
      <w:r w:rsidRPr="00472FA9">
        <w:rPr>
          <w:rFonts w:ascii="Arial" w:hAnsi="Arial" w:cs="Arial"/>
          <w:b/>
          <w:sz w:val="20"/>
          <w:szCs w:val="20"/>
        </w:rPr>
        <w:t>Strategy 3: Manage Borrowings Responsibly:</w:t>
      </w:r>
      <w:r w:rsidRPr="00472FA9">
        <w:rPr>
          <w:rFonts w:ascii="Arial" w:hAnsi="Arial" w:cs="Arial"/>
          <w:sz w:val="20"/>
          <w:szCs w:val="20"/>
        </w:rPr>
        <w:t xml:space="preserve"> </w:t>
      </w:r>
      <w:r w:rsidRPr="00472FA9">
        <w:rPr>
          <w:rFonts w:ascii="Arial" w:eastAsiaTheme="minorHAnsi" w:hAnsi="Arial" w:cs="Arial"/>
          <w:color w:val="000000"/>
          <w:sz w:val="20"/>
          <w:szCs w:val="20"/>
          <w:lang w:eastAsia="en-US"/>
        </w:rPr>
        <w:t xml:space="preserve">Prudently, the Council has determined that it cannot continue to annually borrow funds for asset renewal works, as it has done in the past, as it has reached its capacity to increase borrowings. This has been confirmed by TCorp who </w:t>
      </w:r>
      <w:r w:rsidRPr="00472FA9">
        <w:rPr>
          <w:rFonts w:ascii="Arial" w:hAnsi="Arial" w:cs="Arial"/>
          <w:bCs/>
          <w:sz w:val="20"/>
          <w:szCs w:val="20"/>
        </w:rPr>
        <w:t>specifically highlighted the importance of the Council restricting loan funding.</w:t>
      </w:r>
    </w:p>
    <w:p w14:paraId="76B7CC62" w14:textId="77777777" w:rsidR="00472FA9" w:rsidRPr="00472FA9" w:rsidRDefault="00472FA9" w:rsidP="00472FA9">
      <w:pPr>
        <w:spacing w:line="276" w:lineRule="auto"/>
        <w:jc w:val="both"/>
        <w:rPr>
          <w:rFonts w:ascii="Arial" w:hAnsi="Arial" w:cs="Arial"/>
          <w:sz w:val="20"/>
          <w:szCs w:val="20"/>
        </w:rPr>
      </w:pPr>
    </w:p>
    <w:p w14:paraId="0428B435" w14:textId="77777777" w:rsidR="00472FA9" w:rsidRPr="00472FA9" w:rsidRDefault="00472FA9" w:rsidP="00472FA9">
      <w:pPr>
        <w:spacing w:line="276" w:lineRule="auto"/>
        <w:jc w:val="both"/>
        <w:rPr>
          <w:rFonts w:ascii="Arial" w:hAnsi="Arial" w:cs="Arial"/>
          <w:sz w:val="20"/>
          <w:szCs w:val="20"/>
        </w:rPr>
      </w:pPr>
      <w:r w:rsidRPr="00472FA9">
        <w:rPr>
          <w:rFonts w:ascii="Arial" w:hAnsi="Arial" w:cs="Arial"/>
          <w:sz w:val="20"/>
          <w:szCs w:val="20"/>
        </w:rPr>
        <w:t xml:space="preserve">The Council is committed to reducing debt levels through ceasing new borrowings subject to annual reviews of financial capacity. Unless there is a sound business case to borrow funds, the Council will not be entering into new debt. Under this strategy debt is currently projected to reduce from $58 million in 2014/2015 to under $17 million by 2024/2025 (see </w:t>
      </w:r>
      <w:r w:rsidRPr="00472FA9">
        <w:rPr>
          <w:rFonts w:ascii="Arial" w:hAnsi="Arial" w:cs="Arial"/>
          <w:b/>
          <w:sz w:val="20"/>
          <w:szCs w:val="20"/>
        </w:rPr>
        <w:t>Figure 3.2</w:t>
      </w:r>
      <w:r w:rsidRPr="00472FA9">
        <w:rPr>
          <w:rFonts w:ascii="Arial" w:hAnsi="Arial" w:cs="Arial"/>
          <w:sz w:val="20"/>
          <w:szCs w:val="20"/>
        </w:rPr>
        <w:t xml:space="preserve"> below). </w:t>
      </w:r>
    </w:p>
    <w:p w14:paraId="2895F83F" w14:textId="77777777" w:rsidR="00472FA9" w:rsidRPr="00472FA9" w:rsidRDefault="00472FA9" w:rsidP="00472FA9">
      <w:pPr>
        <w:spacing w:line="276" w:lineRule="auto"/>
        <w:jc w:val="both"/>
        <w:rPr>
          <w:rFonts w:ascii="Arial" w:hAnsi="Arial" w:cs="Arial"/>
          <w:sz w:val="20"/>
          <w:szCs w:val="20"/>
        </w:rPr>
      </w:pPr>
    </w:p>
    <w:p w14:paraId="1C615C0F" w14:textId="77777777" w:rsidR="00472FA9" w:rsidRPr="00472FA9" w:rsidRDefault="00472FA9" w:rsidP="00472FA9">
      <w:pPr>
        <w:spacing w:line="276" w:lineRule="auto"/>
        <w:jc w:val="both"/>
        <w:rPr>
          <w:rFonts w:ascii="Arial" w:hAnsi="Arial" w:cs="Arial"/>
          <w:sz w:val="20"/>
          <w:szCs w:val="20"/>
        </w:rPr>
      </w:pPr>
      <w:r w:rsidRPr="00472FA9">
        <w:rPr>
          <w:rFonts w:ascii="Arial" w:hAnsi="Arial" w:cs="Arial"/>
          <w:sz w:val="20"/>
          <w:szCs w:val="20"/>
        </w:rPr>
        <w:t xml:space="preserve">It is important to note that a reduction in borrowings is an essential element in Council’s strategy to achieve financial sustainability. Without the proposed special variation, implementation of this critical strategy will require a drop in service levels. </w:t>
      </w:r>
    </w:p>
    <w:p w14:paraId="5E1576C0" w14:textId="2539932C" w:rsidR="00472FA9" w:rsidRPr="00472FA9" w:rsidRDefault="00472FA9" w:rsidP="00472FA9">
      <w:pPr>
        <w:spacing w:before="240" w:line="276" w:lineRule="auto"/>
        <w:jc w:val="both"/>
        <w:rPr>
          <w:rFonts w:ascii="Arial" w:hAnsi="Arial" w:cs="Arial"/>
          <w:b/>
          <w:sz w:val="20"/>
          <w:szCs w:val="20"/>
        </w:rPr>
      </w:pPr>
      <w:r w:rsidRPr="00472FA9">
        <w:rPr>
          <w:rFonts w:ascii="Arial" w:hAnsi="Arial" w:cs="Arial"/>
          <w:b/>
          <w:sz w:val="20"/>
          <w:szCs w:val="20"/>
        </w:rPr>
        <w:t>Figure 3.2</w:t>
      </w:r>
      <w:r>
        <w:rPr>
          <w:rFonts w:ascii="Arial" w:hAnsi="Arial" w:cs="Arial"/>
          <w:b/>
          <w:sz w:val="20"/>
          <w:szCs w:val="20"/>
        </w:rPr>
        <w:t>:</w:t>
      </w:r>
      <w:r w:rsidRPr="00472FA9">
        <w:rPr>
          <w:rFonts w:ascii="Arial" w:hAnsi="Arial" w:cs="Arial"/>
          <w:b/>
          <w:sz w:val="20"/>
          <w:szCs w:val="20"/>
        </w:rPr>
        <w:t xml:space="preserve"> Projected total borrowings 2014-2025</w:t>
      </w:r>
    </w:p>
    <w:p w14:paraId="787992A4" w14:textId="77777777" w:rsidR="00472FA9" w:rsidRPr="00472FA9" w:rsidRDefault="00472FA9" w:rsidP="00472FA9">
      <w:pPr>
        <w:spacing w:line="276" w:lineRule="auto"/>
        <w:ind w:firstLine="284"/>
        <w:jc w:val="both"/>
        <w:rPr>
          <w:rFonts w:ascii="Arial" w:hAnsi="Arial" w:cs="Arial"/>
          <w:szCs w:val="22"/>
        </w:rPr>
      </w:pPr>
      <w:r w:rsidRPr="00472FA9">
        <w:rPr>
          <w:rFonts w:ascii="Arial" w:hAnsi="Arial" w:cs="Arial"/>
          <w:noProof/>
          <w:szCs w:val="22"/>
        </w:rPr>
        <w:drawing>
          <wp:anchor distT="0" distB="0" distL="114300" distR="114300" simplePos="0" relativeHeight="251906048" behindDoc="0" locked="0" layoutInCell="1" allowOverlap="1" wp14:anchorId="3B64968C" wp14:editId="1CF05E64">
            <wp:simplePos x="0" y="0"/>
            <wp:positionH relativeFrom="column">
              <wp:posOffset>6061</wp:posOffset>
            </wp:positionH>
            <wp:positionV relativeFrom="paragraph">
              <wp:posOffset>1905</wp:posOffset>
            </wp:positionV>
            <wp:extent cx="5419677" cy="2347508"/>
            <wp:effectExtent l="0" t="0" r="0" b="0"/>
            <wp:wrapNone/>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422307" cy="23486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B972F" w14:textId="77777777" w:rsidR="00472FA9" w:rsidRPr="00472FA9" w:rsidRDefault="00472FA9" w:rsidP="00472FA9">
      <w:pPr>
        <w:spacing w:line="276" w:lineRule="auto"/>
        <w:ind w:left="284"/>
        <w:jc w:val="both"/>
        <w:rPr>
          <w:rFonts w:ascii="Arial" w:hAnsi="Arial" w:cs="Arial"/>
          <w:szCs w:val="22"/>
        </w:rPr>
      </w:pPr>
    </w:p>
    <w:p w14:paraId="50E3DEC8" w14:textId="77777777" w:rsidR="00472FA9" w:rsidRPr="00472FA9" w:rsidRDefault="00472FA9" w:rsidP="00472FA9">
      <w:pPr>
        <w:spacing w:line="276" w:lineRule="auto"/>
        <w:ind w:left="284"/>
        <w:jc w:val="both"/>
        <w:rPr>
          <w:rFonts w:ascii="Arial" w:hAnsi="Arial" w:cs="Arial"/>
          <w:szCs w:val="22"/>
        </w:rPr>
      </w:pPr>
    </w:p>
    <w:p w14:paraId="50E69079" w14:textId="77777777" w:rsidR="00472FA9" w:rsidRPr="00472FA9" w:rsidRDefault="00472FA9" w:rsidP="00472FA9">
      <w:pPr>
        <w:spacing w:line="276" w:lineRule="auto"/>
        <w:jc w:val="both"/>
        <w:rPr>
          <w:rFonts w:ascii="Arial" w:hAnsi="Arial" w:cs="Arial"/>
          <w:b/>
          <w:szCs w:val="22"/>
        </w:rPr>
      </w:pPr>
    </w:p>
    <w:p w14:paraId="3841486D" w14:textId="77777777" w:rsidR="00472FA9" w:rsidRPr="00472FA9" w:rsidRDefault="00472FA9" w:rsidP="00472FA9">
      <w:pPr>
        <w:spacing w:line="276" w:lineRule="auto"/>
        <w:jc w:val="both"/>
        <w:rPr>
          <w:rFonts w:ascii="Arial" w:hAnsi="Arial" w:cs="Arial"/>
          <w:b/>
          <w:szCs w:val="22"/>
        </w:rPr>
      </w:pPr>
    </w:p>
    <w:p w14:paraId="3B84489A" w14:textId="77777777" w:rsidR="00472FA9" w:rsidRPr="00472FA9" w:rsidRDefault="00472FA9" w:rsidP="00472FA9">
      <w:pPr>
        <w:spacing w:line="276" w:lineRule="auto"/>
        <w:jc w:val="both"/>
        <w:rPr>
          <w:rFonts w:ascii="Arial" w:hAnsi="Arial" w:cs="Arial"/>
          <w:b/>
          <w:szCs w:val="22"/>
        </w:rPr>
      </w:pPr>
    </w:p>
    <w:p w14:paraId="5CE20EF7" w14:textId="77777777" w:rsidR="00472FA9" w:rsidRPr="00472FA9" w:rsidRDefault="00472FA9" w:rsidP="00472FA9">
      <w:pPr>
        <w:spacing w:line="276" w:lineRule="auto"/>
        <w:jc w:val="both"/>
        <w:rPr>
          <w:rFonts w:ascii="Arial" w:hAnsi="Arial" w:cs="Arial"/>
          <w:b/>
          <w:szCs w:val="22"/>
        </w:rPr>
      </w:pPr>
    </w:p>
    <w:p w14:paraId="6764FD75" w14:textId="77777777" w:rsidR="00472FA9" w:rsidRPr="00472FA9" w:rsidRDefault="00472FA9" w:rsidP="00472FA9">
      <w:pPr>
        <w:spacing w:line="276" w:lineRule="auto"/>
        <w:jc w:val="both"/>
        <w:rPr>
          <w:rFonts w:ascii="Arial" w:hAnsi="Arial" w:cs="Arial"/>
          <w:b/>
          <w:szCs w:val="22"/>
        </w:rPr>
      </w:pPr>
    </w:p>
    <w:p w14:paraId="285C68A4" w14:textId="77777777" w:rsidR="00472FA9" w:rsidRPr="00472FA9" w:rsidRDefault="00472FA9" w:rsidP="00472FA9">
      <w:pPr>
        <w:spacing w:line="276" w:lineRule="auto"/>
        <w:jc w:val="both"/>
        <w:rPr>
          <w:rFonts w:ascii="Arial" w:hAnsi="Arial" w:cs="Arial"/>
          <w:b/>
          <w:szCs w:val="22"/>
        </w:rPr>
      </w:pPr>
    </w:p>
    <w:p w14:paraId="7C272E12" w14:textId="77777777" w:rsidR="00472FA9" w:rsidRPr="00472FA9" w:rsidRDefault="00472FA9" w:rsidP="00472FA9">
      <w:pPr>
        <w:spacing w:line="276" w:lineRule="auto"/>
        <w:jc w:val="both"/>
        <w:rPr>
          <w:rFonts w:ascii="Arial" w:hAnsi="Arial" w:cs="Arial"/>
          <w:b/>
          <w:szCs w:val="22"/>
        </w:rPr>
      </w:pPr>
    </w:p>
    <w:p w14:paraId="061F6839" w14:textId="77777777" w:rsidR="00472FA9" w:rsidRPr="00472FA9" w:rsidRDefault="00472FA9" w:rsidP="00472FA9">
      <w:pPr>
        <w:spacing w:line="276" w:lineRule="auto"/>
        <w:jc w:val="both"/>
        <w:rPr>
          <w:rFonts w:ascii="Arial" w:hAnsi="Arial" w:cs="Arial"/>
          <w:b/>
          <w:szCs w:val="22"/>
        </w:rPr>
      </w:pPr>
    </w:p>
    <w:p w14:paraId="7DEDF399" w14:textId="77777777" w:rsidR="00472FA9" w:rsidRPr="00472FA9" w:rsidRDefault="00472FA9" w:rsidP="00472FA9">
      <w:pPr>
        <w:spacing w:line="276" w:lineRule="auto"/>
        <w:jc w:val="both"/>
        <w:rPr>
          <w:rFonts w:ascii="Arial" w:hAnsi="Arial" w:cs="Arial"/>
          <w:b/>
          <w:szCs w:val="22"/>
        </w:rPr>
      </w:pPr>
    </w:p>
    <w:p w14:paraId="2CA72AD2" w14:textId="77777777" w:rsidR="00472FA9" w:rsidRPr="00472FA9" w:rsidRDefault="00472FA9" w:rsidP="00472FA9">
      <w:pPr>
        <w:spacing w:line="276" w:lineRule="auto"/>
        <w:jc w:val="both"/>
        <w:rPr>
          <w:rFonts w:ascii="Arial" w:hAnsi="Arial" w:cs="Arial"/>
          <w:b/>
          <w:szCs w:val="22"/>
        </w:rPr>
      </w:pPr>
    </w:p>
    <w:p w14:paraId="242285E5" w14:textId="77777777" w:rsidR="00472FA9" w:rsidRPr="00472FA9" w:rsidRDefault="00472FA9" w:rsidP="00472FA9">
      <w:pPr>
        <w:spacing w:line="276" w:lineRule="auto"/>
        <w:jc w:val="both"/>
        <w:rPr>
          <w:rFonts w:ascii="Arial" w:hAnsi="Arial" w:cs="Arial"/>
          <w:b/>
          <w:szCs w:val="22"/>
        </w:rPr>
      </w:pPr>
    </w:p>
    <w:p w14:paraId="5B77603B" w14:textId="77777777" w:rsidR="00472FA9" w:rsidRPr="00472FA9" w:rsidRDefault="00472FA9" w:rsidP="00472FA9">
      <w:pPr>
        <w:spacing w:line="276" w:lineRule="auto"/>
        <w:jc w:val="both"/>
        <w:rPr>
          <w:rFonts w:ascii="Arial" w:hAnsi="Arial" w:cs="Arial"/>
          <w:sz w:val="20"/>
          <w:szCs w:val="20"/>
        </w:rPr>
      </w:pPr>
      <w:r w:rsidRPr="00472FA9">
        <w:rPr>
          <w:rFonts w:ascii="Arial" w:hAnsi="Arial" w:cs="Arial"/>
          <w:iCs/>
          <w:sz w:val="20"/>
          <w:szCs w:val="20"/>
        </w:rPr>
        <w:t>Through Strategy 3 the Council has also committed to</w:t>
      </w:r>
      <w:r w:rsidRPr="00472FA9">
        <w:rPr>
          <w:rFonts w:ascii="Arial" w:hAnsi="Arial" w:cs="Arial"/>
          <w:sz w:val="20"/>
          <w:szCs w:val="20"/>
        </w:rPr>
        <w:t xml:space="preserve"> reducing its debt position by:</w:t>
      </w:r>
    </w:p>
    <w:p w14:paraId="0DB3A090" w14:textId="77777777" w:rsidR="00472FA9" w:rsidRPr="00472FA9" w:rsidRDefault="00472FA9" w:rsidP="00472FA9">
      <w:pPr>
        <w:numPr>
          <w:ilvl w:val="0"/>
          <w:numId w:val="84"/>
        </w:numPr>
        <w:spacing w:after="200" w:line="276" w:lineRule="auto"/>
        <w:contextualSpacing/>
        <w:jc w:val="both"/>
        <w:rPr>
          <w:rFonts w:ascii="Arial" w:hAnsi="Arial" w:cs="Arial"/>
          <w:sz w:val="20"/>
          <w:szCs w:val="20"/>
        </w:rPr>
      </w:pPr>
      <w:r w:rsidRPr="00472FA9">
        <w:rPr>
          <w:rFonts w:ascii="Arial" w:hAnsi="Arial" w:cs="Arial"/>
          <w:sz w:val="20"/>
          <w:szCs w:val="20"/>
        </w:rPr>
        <w:t>ceasing the practice of borrowing $2.3 million per annum to fund non-major asset renewal works;</w:t>
      </w:r>
    </w:p>
    <w:p w14:paraId="3F2361B8" w14:textId="77777777" w:rsidR="00472FA9" w:rsidRPr="00472FA9" w:rsidRDefault="00472FA9" w:rsidP="00472FA9">
      <w:pPr>
        <w:numPr>
          <w:ilvl w:val="0"/>
          <w:numId w:val="84"/>
        </w:numPr>
        <w:spacing w:after="200" w:line="276" w:lineRule="auto"/>
        <w:contextualSpacing/>
        <w:jc w:val="both"/>
        <w:rPr>
          <w:rFonts w:ascii="Arial" w:hAnsi="Arial" w:cs="Arial"/>
          <w:sz w:val="20"/>
          <w:szCs w:val="20"/>
        </w:rPr>
      </w:pPr>
      <w:r w:rsidRPr="00472FA9">
        <w:rPr>
          <w:rFonts w:ascii="Arial" w:hAnsi="Arial" w:cs="Arial"/>
          <w:sz w:val="20"/>
          <w:szCs w:val="20"/>
        </w:rPr>
        <w:t>ceasing new loan borrowings;</w:t>
      </w:r>
    </w:p>
    <w:p w14:paraId="4B68AC88" w14:textId="77777777" w:rsidR="00472FA9" w:rsidRPr="00472FA9" w:rsidRDefault="00472FA9" w:rsidP="00472FA9">
      <w:pPr>
        <w:numPr>
          <w:ilvl w:val="0"/>
          <w:numId w:val="84"/>
        </w:numPr>
        <w:spacing w:after="200" w:line="276" w:lineRule="auto"/>
        <w:contextualSpacing/>
        <w:jc w:val="both"/>
        <w:rPr>
          <w:rFonts w:ascii="Arial" w:hAnsi="Arial" w:cs="Arial"/>
          <w:sz w:val="20"/>
          <w:szCs w:val="20"/>
        </w:rPr>
      </w:pPr>
      <w:r w:rsidRPr="00472FA9">
        <w:rPr>
          <w:rFonts w:ascii="Arial" w:hAnsi="Arial" w:cs="Arial"/>
          <w:sz w:val="20"/>
          <w:szCs w:val="20"/>
        </w:rPr>
        <w:t>annual reviews of the Council’s borrowing capacity and consideration of loans only after a comprehensive business case;</w:t>
      </w:r>
    </w:p>
    <w:p w14:paraId="09AFAB56" w14:textId="77777777" w:rsidR="00472FA9" w:rsidRPr="00472FA9" w:rsidRDefault="00472FA9" w:rsidP="00472FA9">
      <w:pPr>
        <w:numPr>
          <w:ilvl w:val="0"/>
          <w:numId w:val="84"/>
        </w:numPr>
        <w:spacing w:after="200" w:line="276" w:lineRule="auto"/>
        <w:contextualSpacing/>
        <w:jc w:val="both"/>
        <w:rPr>
          <w:rFonts w:ascii="Arial" w:hAnsi="Arial" w:cs="Arial"/>
          <w:sz w:val="20"/>
          <w:szCs w:val="20"/>
        </w:rPr>
      </w:pPr>
      <w:r w:rsidRPr="00472FA9">
        <w:rPr>
          <w:rFonts w:ascii="Arial" w:hAnsi="Arial" w:cs="Arial"/>
          <w:sz w:val="20"/>
          <w:szCs w:val="20"/>
        </w:rPr>
        <w:t>reviewing and refinance existing loan interest rate terms and conditions;</w:t>
      </w:r>
    </w:p>
    <w:p w14:paraId="334CB21F" w14:textId="77777777" w:rsidR="00472FA9" w:rsidRPr="00472FA9" w:rsidRDefault="00472FA9" w:rsidP="00472FA9">
      <w:pPr>
        <w:numPr>
          <w:ilvl w:val="0"/>
          <w:numId w:val="84"/>
        </w:numPr>
        <w:spacing w:after="200" w:line="276" w:lineRule="auto"/>
        <w:contextualSpacing/>
        <w:jc w:val="both"/>
        <w:rPr>
          <w:rFonts w:ascii="Arial" w:hAnsi="Arial" w:cs="Arial"/>
          <w:sz w:val="20"/>
          <w:szCs w:val="20"/>
        </w:rPr>
      </w:pPr>
      <w:r w:rsidRPr="00472FA9">
        <w:rPr>
          <w:rFonts w:ascii="Arial" w:hAnsi="Arial" w:cs="Arial"/>
          <w:sz w:val="20"/>
          <w:szCs w:val="20"/>
        </w:rPr>
        <w:t>using subsidised loan funding from the NSW Government where effective;</w:t>
      </w:r>
    </w:p>
    <w:p w14:paraId="205A2BBA" w14:textId="77777777" w:rsidR="00472FA9" w:rsidRPr="00472FA9" w:rsidRDefault="00472FA9" w:rsidP="00472FA9">
      <w:pPr>
        <w:numPr>
          <w:ilvl w:val="0"/>
          <w:numId w:val="84"/>
        </w:numPr>
        <w:spacing w:after="200" w:line="276" w:lineRule="auto"/>
        <w:contextualSpacing/>
        <w:jc w:val="both"/>
        <w:rPr>
          <w:rFonts w:ascii="Arial" w:hAnsi="Arial" w:cs="Arial"/>
          <w:sz w:val="20"/>
          <w:szCs w:val="20"/>
        </w:rPr>
      </w:pPr>
      <w:r w:rsidRPr="00472FA9">
        <w:rPr>
          <w:rFonts w:ascii="Arial" w:hAnsi="Arial" w:cs="Arial"/>
          <w:sz w:val="20"/>
          <w:szCs w:val="20"/>
        </w:rPr>
        <w:t>retiring/reducing debt by managing cash and cash equivalent reserve funds; and</w:t>
      </w:r>
    </w:p>
    <w:p w14:paraId="3E4C3797" w14:textId="77777777" w:rsidR="00472FA9" w:rsidRPr="00472FA9" w:rsidRDefault="00472FA9" w:rsidP="00472FA9">
      <w:pPr>
        <w:numPr>
          <w:ilvl w:val="0"/>
          <w:numId w:val="84"/>
        </w:numPr>
        <w:spacing w:after="200" w:line="276" w:lineRule="auto"/>
        <w:contextualSpacing/>
        <w:jc w:val="both"/>
        <w:rPr>
          <w:rFonts w:ascii="Arial" w:hAnsi="Arial" w:cs="Arial"/>
          <w:sz w:val="20"/>
          <w:szCs w:val="20"/>
        </w:rPr>
      </w:pPr>
      <w:r w:rsidRPr="00472FA9">
        <w:rPr>
          <w:rFonts w:ascii="Arial" w:hAnsi="Arial" w:cs="Arial"/>
          <w:sz w:val="20"/>
          <w:szCs w:val="20"/>
        </w:rPr>
        <w:t>directing any surplus cash funds to reducing borrowings wherever it is effective to do so.</w:t>
      </w:r>
    </w:p>
    <w:p w14:paraId="0CFD7E77" w14:textId="77777777" w:rsidR="00472FA9" w:rsidRPr="00472FA9" w:rsidRDefault="00472FA9" w:rsidP="00472FA9">
      <w:pPr>
        <w:spacing w:line="276" w:lineRule="auto"/>
        <w:jc w:val="both"/>
        <w:rPr>
          <w:rFonts w:ascii="Arial" w:hAnsi="Arial" w:cs="Arial"/>
          <w:b/>
          <w:sz w:val="20"/>
          <w:szCs w:val="20"/>
        </w:rPr>
      </w:pPr>
    </w:p>
    <w:p w14:paraId="73E95034" w14:textId="77777777" w:rsidR="00472FA9" w:rsidRPr="00472FA9" w:rsidRDefault="00472FA9" w:rsidP="00472FA9">
      <w:pPr>
        <w:spacing w:line="276" w:lineRule="auto"/>
        <w:jc w:val="both"/>
        <w:rPr>
          <w:rFonts w:ascii="Arial" w:hAnsi="Arial" w:cs="Arial"/>
          <w:sz w:val="20"/>
          <w:szCs w:val="20"/>
        </w:rPr>
      </w:pPr>
      <w:r w:rsidRPr="00472FA9">
        <w:rPr>
          <w:rFonts w:ascii="Arial" w:hAnsi="Arial" w:cs="Arial"/>
          <w:b/>
          <w:sz w:val="20"/>
          <w:szCs w:val="20"/>
        </w:rPr>
        <w:t>Strategy 4: Increase Income:</w:t>
      </w:r>
      <w:r w:rsidRPr="00472FA9">
        <w:rPr>
          <w:rFonts w:ascii="Arial" w:hAnsi="Arial" w:cs="Arial"/>
          <w:sz w:val="20"/>
          <w:szCs w:val="20"/>
        </w:rPr>
        <w:t xml:space="preserve"> The Council is seeking to maximise income where appropriate. For every dollar residents pay in rates, the Council matches it with revenue from other sources. Over the past five years the Council obtained over $40 million in grant funding and $47 million in Financial Assistance Grant funding to support the community. This Strategy also includes implementing a two-stage planned approach to increasing revenue through phased special rate variations, implemented gradually taking into account community capacity to pay rate increases and the financial challenge facing the City: </w:t>
      </w:r>
    </w:p>
    <w:p w14:paraId="58B6C4D7" w14:textId="77777777" w:rsidR="00472FA9" w:rsidRPr="00472FA9" w:rsidRDefault="00472FA9" w:rsidP="00472FA9">
      <w:pPr>
        <w:spacing w:line="276" w:lineRule="auto"/>
        <w:ind w:left="284"/>
        <w:jc w:val="both"/>
        <w:rPr>
          <w:rFonts w:ascii="Arial" w:hAnsi="Arial" w:cs="Arial"/>
          <w:sz w:val="20"/>
          <w:szCs w:val="20"/>
        </w:rPr>
      </w:pPr>
    </w:p>
    <w:p w14:paraId="76AA3FCC" w14:textId="77777777" w:rsidR="00472FA9" w:rsidRPr="00472FA9" w:rsidRDefault="00472FA9" w:rsidP="00472FA9">
      <w:pPr>
        <w:numPr>
          <w:ilvl w:val="0"/>
          <w:numId w:val="32"/>
        </w:numPr>
        <w:spacing w:after="200" w:line="276" w:lineRule="auto"/>
        <w:ind w:hanging="283"/>
        <w:contextualSpacing/>
        <w:jc w:val="both"/>
        <w:rPr>
          <w:rFonts w:ascii="Arial" w:eastAsiaTheme="minorHAnsi" w:hAnsi="Arial" w:cs="Arial"/>
          <w:sz w:val="20"/>
          <w:szCs w:val="20"/>
          <w:lang w:eastAsia="en-US"/>
        </w:rPr>
      </w:pPr>
      <w:r w:rsidRPr="00472FA9">
        <w:rPr>
          <w:rFonts w:ascii="Arial" w:eastAsiaTheme="minorHAnsi" w:hAnsi="Arial" w:cs="Arial"/>
          <w:i/>
          <w:sz w:val="20"/>
          <w:szCs w:val="20"/>
          <w:lang w:eastAsia="en-US"/>
        </w:rPr>
        <w:t>Stage 1</w:t>
      </w:r>
      <w:r w:rsidRPr="00472FA9">
        <w:rPr>
          <w:rFonts w:ascii="Arial" w:eastAsiaTheme="minorHAnsi" w:hAnsi="Arial" w:cs="Arial"/>
          <w:sz w:val="20"/>
          <w:szCs w:val="20"/>
          <w:lang w:eastAsia="en-US"/>
        </w:rPr>
        <w:t xml:space="preserve">, which has been successfully implemented, included continuation of an existing special variation for infrastructure from July 2013. </w:t>
      </w:r>
    </w:p>
    <w:p w14:paraId="7C5E7130" w14:textId="77777777" w:rsidR="00472FA9" w:rsidRPr="00472FA9" w:rsidRDefault="00472FA9" w:rsidP="00472FA9">
      <w:pPr>
        <w:spacing w:line="276" w:lineRule="auto"/>
        <w:ind w:left="709"/>
        <w:contextualSpacing/>
        <w:jc w:val="both"/>
        <w:rPr>
          <w:rFonts w:ascii="Arial" w:eastAsiaTheme="minorHAnsi" w:hAnsi="Arial" w:cs="Arial"/>
          <w:sz w:val="20"/>
          <w:szCs w:val="20"/>
          <w:lang w:eastAsia="en-US"/>
        </w:rPr>
      </w:pPr>
    </w:p>
    <w:p w14:paraId="4E2936D9" w14:textId="77777777" w:rsidR="00472FA9" w:rsidRPr="00472FA9" w:rsidRDefault="00472FA9" w:rsidP="00472FA9">
      <w:pPr>
        <w:numPr>
          <w:ilvl w:val="0"/>
          <w:numId w:val="32"/>
        </w:numPr>
        <w:spacing w:after="200" w:line="276" w:lineRule="auto"/>
        <w:ind w:hanging="283"/>
        <w:contextualSpacing/>
        <w:jc w:val="both"/>
        <w:rPr>
          <w:rFonts w:ascii="Arial" w:eastAsiaTheme="minorHAnsi" w:hAnsi="Arial" w:cs="Arial"/>
          <w:sz w:val="20"/>
          <w:szCs w:val="20"/>
          <w:lang w:eastAsia="en-US"/>
        </w:rPr>
      </w:pPr>
      <w:r w:rsidRPr="00472FA9">
        <w:rPr>
          <w:rFonts w:ascii="Arial" w:eastAsiaTheme="minorHAnsi" w:hAnsi="Arial" w:cs="Arial"/>
          <w:i/>
          <w:sz w:val="20"/>
          <w:szCs w:val="20"/>
          <w:lang w:eastAsia="en-US"/>
        </w:rPr>
        <w:t>Stage 2,</w:t>
      </w:r>
      <w:r w:rsidRPr="00472FA9">
        <w:rPr>
          <w:rFonts w:ascii="Arial" w:eastAsiaTheme="minorHAnsi" w:hAnsi="Arial" w:cs="Arial"/>
          <w:sz w:val="20"/>
          <w:szCs w:val="20"/>
          <w:lang w:eastAsia="en-US"/>
        </w:rPr>
        <w:t xml:space="preserve"> the focus of this application, involved engaging community in 2014 on three options for </w:t>
      </w:r>
      <w:r w:rsidRPr="00472FA9">
        <w:rPr>
          <w:rFonts w:ascii="Arial" w:eastAsiaTheme="minorHAnsi" w:hAnsi="Arial" w:cs="Arial"/>
          <w:i/>
          <w:sz w:val="20"/>
          <w:szCs w:val="20"/>
          <w:lang w:eastAsia="en-US"/>
        </w:rPr>
        <w:t>Resourcing Our Future,</w:t>
      </w:r>
      <w:r w:rsidRPr="00472FA9">
        <w:rPr>
          <w:rFonts w:ascii="Arial" w:eastAsiaTheme="minorHAnsi" w:hAnsi="Arial" w:cs="Arial"/>
          <w:sz w:val="20"/>
          <w:szCs w:val="20"/>
          <w:lang w:eastAsia="en-US"/>
        </w:rPr>
        <w:t xml:space="preserve"> two of which include special rate variations. </w:t>
      </w:r>
    </w:p>
    <w:p w14:paraId="1E29F8C7" w14:textId="77777777" w:rsidR="00472FA9" w:rsidRPr="00472FA9" w:rsidRDefault="00472FA9" w:rsidP="00472FA9">
      <w:pPr>
        <w:autoSpaceDE w:val="0"/>
        <w:autoSpaceDN w:val="0"/>
        <w:adjustRightInd w:val="0"/>
        <w:spacing w:line="276" w:lineRule="auto"/>
        <w:jc w:val="both"/>
        <w:rPr>
          <w:rFonts w:ascii="Arial" w:eastAsiaTheme="minorHAnsi" w:hAnsi="Arial" w:cs="Arial"/>
          <w:sz w:val="20"/>
          <w:szCs w:val="20"/>
          <w:lang w:eastAsia="en-US"/>
        </w:rPr>
      </w:pPr>
    </w:p>
    <w:p w14:paraId="4B39AAE1" w14:textId="77777777" w:rsidR="00472FA9" w:rsidRPr="00472FA9" w:rsidRDefault="00472FA9" w:rsidP="00472FA9">
      <w:pPr>
        <w:autoSpaceDE w:val="0"/>
        <w:autoSpaceDN w:val="0"/>
        <w:adjustRightInd w:val="0"/>
        <w:spacing w:line="276" w:lineRule="auto"/>
        <w:jc w:val="both"/>
        <w:rPr>
          <w:rFonts w:ascii="Arial" w:eastAsiaTheme="minorHAnsi" w:hAnsi="Arial" w:cs="Arial"/>
          <w:sz w:val="20"/>
          <w:szCs w:val="20"/>
          <w:lang w:eastAsia="en-US"/>
        </w:rPr>
      </w:pPr>
      <w:r w:rsidRPr="00472FA9">
        <w:rPr>
          <w:rFonts w:ascii="Arial" w:eastAsiaTheme="minorHAnsi" w:hAnsi="Arial" w:cs="Arial"/>
          <w:sz w:val="20"/>
          <w:szCs w:val="20"/>
          <w:lang w:eastAsia="en-US"/>
        </w:rPr>
        <w:t xml:space="preserve">While it is prudent that the Council continues to maximise all current and future revenue streams to fulfil the community needs, this is balanced against socio-economic realities and principles of fairness and affordability. The Council’s </w:t>
      </w:r>
      <w:r w:rsidRPr="00472FA9">
        <w:rPr>
          <w:rFonts w:ascii="Arial" w:eastAsiaTheme="minorHAnsi" w:hAnsi="Arial" w:cs="Arial"/>
          <w:i/>
          <w:iCs/>
          <w:sz w:val="20"/>
          <w:szCs w:val="20"/>
          <w:lang w:eastAsia="en-US"/>
        </w:rPr>
        <w:t xml:space="preserve">LTFP </w:t>
      </w:r>
      <w:r w:rsidRPr="00472FA9">
        <w:rPr>
          <w:rFonts w:ascii="Arial" w:eastAsiaTheme="minorHAnsi" w:hAnsi="Arial" w:cs="Arial"/>
          <w:iCs/>
          <w:sz w:val="20"/>
          <w:szCs w:val="20"/>
          <w:lang w:eastAsia="en-US"/>
        </w:rPr>
        <w:t>includes</w:t>
      </w:r>
      <w:r w:rsidRPr="00472FA9">
        <w:rPr>
          <w:rFonts w:ascii="Arial" w:eastAsiaTheme="minorHAnsi" w:hAnsi="Arial" w:cs="Arial"/>
          <w:sz w:val="20"/>
          <w:szCs w:val="20"/>
          <w:lang w:eastAsia="en-US"/>
        </w:rPr>
        <w:t xml:space="preserve"> further reviews of the Council’s existing revenue strategies to develop financial strategies that articulate the goals and actions of each particular revenue stream to ensure that revenue is maximised in an equitable as well as a business-like manner. Such reviews will incorporate (but not be limited to) the current and future income streams of:</w:t>
      </w:r>
    </w:p>
    <w:p w14:paraId="7E5D699A" w14:textId="77777777" w:rsidR="00472FA9" w:rsidRPr="00472FA9" w:rsidRDefault="00472FA9" w:rsidP="00472FA9">
      <w:pPr>
        <w:autoSpaceDE w:val="0"/>
        <w:autoSpaceDN w:val="0"/>
        <w:adjustRightInd w:val="0"/>
        <w:spacing w:line="276" w:lineRule="auto"/>
        <w:jc w:val="both"/>
        <w:rPr>
          <w:rFonts w:ascii="Arial" w:eastAsiaTheme="minorHAnsi" w:hAnsi="Arial" w:cs="Arial"/>
          <w:sz w:val="20"/>
          <w:szCs w:val="20"/>
          <w:lang w:eastAsia="en-US"/>
        </w:rPr>
      </w:pPr>
    </w:p>
    <w:p w14:paraId="60A9406A" w14:textId="77777777" w:rsidR="00472FA9" w:rsidRPr="00472FA9" w:rsidRDefault="00472FA9" w:rsidP="00472FA9">
      <w:pPr>
        <w:autoSpaceDE w:val="0"/>
        <w:autoSpaceDN w:val="0"/>
        <w:adjustRightInd w:val="0"/>
        <w:spacing w:line="276" w:lineRule="auto"/>
        <w:ind w:left="720" w:hanging="436"/>
        <w:jc w:val="both"/>
        <w:rPr>
          <w:rFonts w:ascii="Arial" w:eastAsiaTheme="minorHAnsi" w:hAnsi="Arial" w:cs="Arial"/>
          <w:sz w:val="20"/>
          <w:szCs w:val="20"/>
          <w:lang w:eastAsia="en-US"/>
        </w:rPr>
      </w:pPr>
      <w:r w:rsidRPr="00472FA9">
        <w:rPr>
          <w:rFonts w:ascii="Arial" w:eastAsiaTheme="minorHAnsi" w:hAnsi="Arial" w:cs="Arial"/>
          <w:sz w:val="20"/>
          <w:szCs w:val="20"/>
          <w:lang w:eastAsia="en-US"/>
        </w:rPr>
        <w:t>• Annual charges such as domestic waste management charges</w:t>
      </w:r>
    </w:p>
    <w:p w14:paraId="58190BEE" w14:textId="77777777" w:rsidR="00472FA9" w:rsidRPr="00472FA9" w:rsidRDefault="00472FA9" w:rsidP="00472FA9">
      <w:pPr>
        <w:autoSpaceDE w:val="0"/>
        <w:autoSpaceDN w:val="0"/>
        <w:adjustRightInd w:val="0"/>
        <w:spacing w:line="276" w:lineRule="auto"/>
        <w:ind w:left="720" w:hanging="436"/>
        <w:jc w:val="both"/>
        <w:rPr>
          <w:rFonts w:ascii="Arial" w:eastAsiaTheme="minorHAnsi" w:hAnsi="Arial" w:cs="Arial"/>
          <w:sz w:val="20"/>
          <w:szCs w:val="20"/>
          <w:lang w:eastAsia="en-US"/>
        </w:rPr>
      </w:pPr>
      <w:r w:rsidRPr="00472FA9">
        <w:rPr>
          <w:rFonts w:ascii="Arial" w:eastAsiaTheme="minorHAnsi" w:hAnsi="Arial" w:cs="Arial"/>
          <w:sz w:val="20"/>
          <w:szCs w:val="20"/>
          <w:lang w:eastAsia="en-US"/>
        </w:rPr>
        <w:t>• Fees and charges</w:t>
      </w:r>
    </w:p>
    <w:p w14:paraId="53EB991A" w14:textId="77777777" w:rsidR="00472FA9" w:rsidRPr="00472FA9" w:rsidRDefault="00472FA9" w:rsidP="00472FA9">
      <w:pPr>
        <w:autoSpaceDE w:val="0"/>
        <w:autoSpaceDN w:val="0"/>
        <w:adjustRightInd w:val="0"/>
        <w:spacing w:line="276" w:lineRule="auto"/>
        <w:ind w:left="720" w:hanging="436"/>
        <w:jc w:val="both"/>
        <w:rPr>
          <w:rFonts w:ascii="Arial" w:eastAsiaTheme="minorHAnsi" w:hAnsi="Arial" w:cs="Arial"/>
          <w:sz w:val="20"/>
          <w:szCs w:val="20"/>
          <w:lang w:eastAsia="en-US"/>
        </w:rPr>
      </w:pPr>
      <w:r w:rsidRPr="00472FA9">
        <w:rPr>
          <w:rFonts w:ascii="Arial" w:eastAsiaTheme="minorHAnsi" w:hAnsi="Arial" w:cs="Arial"/>
          <w:sz w:val="20"/>
          <w:szCs w:val="20"/>
          <w:lang w:eastAsia="en-US"/>
        </w:rPr>
        <w:t>• Property Disposal and Investment Program</w:t>
      </w:r>
    </w:p>
    <w:p w14:paraId="105D6D04" w14:textId="77777777" w:rsidR="00472FA9" w:rsidRPr="00472FA9" w:rsidRDefault="00472FA9" w:rsidP="00472FA9">
      <w:pPr>
        <w:autoSpaceDE w:val="0"/>
        <w:autoSpaceDN w:val="0"/>
        <w:adjustRightInd w:val="0"/>
        <w:spacing w:line="276" w:lineRule="auto"/>
        <w:ind w:left="426" w:hanging="142"/>
        <w:jc w:val="both"/>
        <w:rPr>
          <w:rFonts w:ascii="Arial" w:eastAsiaTheme="minorHAnsi" w:hAnsi="Arial" w:cs="Arial"/>
          <w:sz w:val="20"/>
          <w:szCs w:val="20"/>
          <w:lang w:eastAsia="en-US"/>
        </w:rPr>
      </w:pPr>
      <w:r w:rsidRPr="00472FA9">
        <w:rPr>
          <w:rFonts w:ascii="Arial" w:eastAsiaTheme="minorHAnsi" w:hAnsi="Arial" w:cs="Arial"/>
          <w:sz w:val="20"/>
          <w:szCs w:val="20"/>
          <w:lang w:eastAsia="en-US"/>
        </w:rPr>
        <w:t>• Commercial activities income (including continued improvements to financial returns from Commercial properties and Tourist Parks)</w:t>
      </w:r>
    </w:p>
    <w:p w14:paraId="6B2BDB83" w14:textId="77777777" w:rsidR="00472FA9" w:rsidRPr="00472FA9" w:rsidRDefault="00472FA9" w:rsidP="00472FA9">
      <w:pPr>
        <w:autoSpaceDE w:val="0"/>
        <w:autoSpaceDN w:val="0"/>
        <w:adjustRightInd w:val="0"/>
        <w:spacing w:line="276" w:lineRule="auto"/>
        <w:ind w:left="720" w:hanging="436"/>
        <w:jc w:val="both"/>
        <w:rPr>
          <w:rFonts w:ascii="Arial" w:eastAsiaTheme="minorHAnsi" w:hAnsi="Arial" w:cs="Arial"/>
          <w:sz w:val="20"/>
          <w:szCs w:val="20"/>
          <w:lang w:eastAsia="en-US"/>
        </w:rPr>
      </w:pPr>
      <w:r w:rsidRPr="00472FA9">
        <w:rPr>
          <w:rFonts w:ascii="Arial" w:eastAsiaTheme="minorHAnsi" w:hAnsi="Arial" w:cs="Arial"/>
          <w:sz w:val="20"/>
          <w:szCs w:val="20"/>
          <w:lang w:eastAsia="en-US"/>
        </w:rPr>
        <w:t>• Operational and capital grant income</w:t>
      </w:r>
    </w:p>
    <w:p w14:paraId="0C911F1D" w14:textId="77777777" w:rsidR="00472FA9" w:rsidRPr="00472FA9" w:rsidRDefault="00472FA9" w:rsidP="00472FA9">
      <w:pPr>
        <w:autoSpaceDE w:val="0"/>
        <w:autoSpaceDN w:val="0"/>
        <w:adjustRightInd w:val="0"/>
        <w:spacing w:line="276" w:lineRule="auto"/>
        <w:ind w:left="720" w:hanging="436"/>
        <w:jc w:val="both"/>
        <w:rPr>
          <w:rFonts w:ascii="Arial" w:eastAsiaTheme="minorHAnsi" w:hAnsi="Arial" w:cs="Arial"/>
          <w:sz w:val="20"/>
          <w:szCs w:val="20"/>
          <w:lang w:eastAsia="en-US"/>
        </w:rPr>
      </w:pPr>
      <w:r w:rsidRPr="00472FA9">
        <w:rPr>
          <w:rFonts w:ascii="Arial" w:eastAsiaTheme="minorHAnsi" w:hAnsi="Arial" w:cs="Arial"/>
          <w:sz w:val="20"/>
          <w:szCs w:val="20"/>
          <w:lang w:eastAsia="en-US"/>
        </w:rPr>
        <w:t>• Interest income</w:t>
      </w:r>
    </w:p>
    <w:p w14:paraId="36634C04" w14:textId="77777777" w:rsidR="00472FA9" w:rsidRPr="00472FA9" w:rsidRDefault="00472FA9" w:rsidP="00472FA9">
      <w:pPr>
        <w:spacing w:line="276" w:lineRule="auto"/>
        <w:ind w:left="720" w:hanging="436"/>
        <w:contextualSpacing/>
        <w:jc w:val="both"/>
        <w:rPr>
          <w:rFonts w:ascii="Arial" w:eastAsiaTheme="minorHAnsi" w:hAnsi="Arial" w:cs="Arial"/>
          <w:sz w:val="20"/>
          <w:szCs w:val="20"/>
          <w:lang w:eastAsia="en-US"/>
        </w:rPr>
      </w:pPr>
      <w:r w:rsidRPr="00472FA9">
        <w:rPr>
          <w:rFonts w:ascii="Arial" w:eastAsiaTheme="minorHAnsi" w:hAnsi="Arial" w:cs="Arial"/>
          <w:sz w:val="20"/>
          <w:szCs w:val="20"/>
          <w:lang w:eastAsia="en-US"/>
        </w:rPr>
        <w:t>• Other revenue generating initiatives</w:t>
      </w:r>
    </w:p>
    <w:p w14:paraId="1A67FCF0" w14:textId="77777777" w:rsidR="00472FA9" w:rsidRPr="00472FA9" w:rsidRDefault="00472FA9" w:rsidP="00472FA9">
      <w:pPr>
        <w:spacing w:line="276" w:lineRule="auto"/>
        <w:contextualSpacing/>
        <w:jc w:val="both"/>
        <w:rPr>
          <w:rFonts w:ascii="Arial" w:eastAsiaTheme="minorHAnsi" w:hAnsi="Arial" w:cs="Arial"/>
          <w:sz w:val="20"/>
          <w:szCs w:val="20"/>
          <w:lang w:eastAsia="en-US"/>
        </w:rPr>
      </w:pPr>
    </w:p>
    <w:p w14:paraId="225F419B" w14:textId="73B11565" w:rsidR="00472FA9" w:rsidRPr="00472FA9" w:rsidRDefault="00472FA9" w:rsidP="00472FA9">
      <w:pPr>
        <w:spacing w:line="276" w:lineRule="auto"/>
        <w:contextualSpacing/>
        <w:jc w:val="both"/>
        <w:rPr>
          <w:rFonts w:ascii="Arial" w:eastAsiaTheme="minorHAnsi" w:hAnsi="Arial" w:cs="Arial"/>
          <w:sz w:val="20"/>
          <w:szCs w:val="20"/>
          <w:lang w:eastAsia="en-US"/>
        </w:rPr>
      </w:pPr>
      <w:r w:rsidRPr="00472FA9">
        <w:rPr>
          <w:rFonts w:ascii="Arial" w:eastAsiaTheme="minorHAnsi" w:hAnsi="Arial" w:cs="Arial"/>
          <w:sz w:val="20"/>
          <w:szCs w:val="20"/>
          <w:lang w:eastAsia="en-US"/>
        </w:rPr>
        <w:t xml:space="preserve">(See </w:t>
      </w:r>
      <w:r w:rsidRPr="00472FA9">
        <w:rPr>
          <w:rFonts w:ascii="Arial" w:eastAsiaTheme="minorHAnsi" w:hAnsi="Arial" w:cs="Arial"/>
          <w:b/>
          <w:sz w:val="20"/>
          <w:szCs w:val="20"/>
          <w:lang w:eastAsia="en-US"/>
        </w:rPr>
        <w:t>Section</w:t>
      </w:r>
      <w:r w:rsidRPr="008527C9">
        <w:rPr>
          <w:rFonts w:ascii="Arial" w:eastAsiaTheme="minorHAnsi" w:hAnsi="Arial" w:cs="Arial"/>
          <w:b/>
          <w:sz w:val="20"/>
          <w:szCs w:val="20"/>
          <w:lang w:eastAsia="en-US"/>
        </w:rPr>
        <w:t>s</w:t>
      </w:r>
      <w:r w:rsidRPr="00472FA9">
        <w:rPr>
          <w:rFonts w:ascii="Arial" w:eastAsiaTheme="minorHAnsi" w:hAnsi="Arial" w:cs="Arial"/>
          <w:b/>
          <w:sz w:val="20"/>
          <w:szCs w:val="20"/>
          <w:lang w:eastAsia="en-US"/>
        </w:rPr>
        <w:t xml:space="preserve"> 7.2.3</w:t>
      </w:r>
      <w:r w:rsidRPr="00472FA9">
        <w:rPr>
          <w:rFonts w:ascii="Arial" w:eastAsiaTheme="minorHAnsi" w:hAnsi="Arial" w:cs="Arial"/>
          <w:sz w:val="20"/>
          <w:szCs w:val="20"/>
          <w:lang w:eastAsia="en-US"/>
        </w:rPr>
        <w:t xml:space="preserve"> </w:t>
      </w:r>
      <w:r w:rsidRPr="00472FA9">
        <w:rPr>
          <w:rFonts w:ascii="Arial" w:eastAsiaTheme="minorHAnsi" w:hAnsi="Arial" w:cs="Arial"/>
          <w:b/>
          <w:sz w:val="20"/>
          <w:szCs w:val="20"/>
          <w:lang w:eastAsia="en-US"/>
        </w:rPr>
        <w:t>and 7.3.3</w:t>
      </w:r>
      <w:r w:rsidRPr="008527C9">
        <w:rPr>
          <w:rFonts w:ascii="Arial" w:eastAsiaTheme="minorHAnsi" w:hAnsi="Arial" w:cs="Arial"/>
          <w:b/>
          <w:sz w:val="20"/>
          <w:szCs w:val="20"/>
          <w:lang w:eastAsia="en-US"/>
        </w:rPr>
        <w:t xml:space="preserve"> below</w:t>
      </w:r>
      <w:r w:rsidRPr="00472FA9">
        <w:rPr>
          <w:rFonts w:ascii="Arial" w:eastAsiaTheme="minorHAnsi" w:hAnsi="Arial" w:cs="Arial"/>
          <w:sz w:val="20"/>
          <w:szCs w:val="20"/>
          <w:lang w:eastAsia="en-US"/>
        </w:rPr>
        <w:t>).</w:t>
      </w:r>
    </w:p>
    <w:p w14:paraId="31CDC2F8" w14:textId="77777777" w:rsidR="00472FA9" w:rsidRPr="00472FA9" w:rsidRDefault="00472FA9" w:rsidP="00401AA8">
      <w:pPr>
        <w:spacing w:line="276" w:lineRule="auto"/>
        <w:rPr>
          <w:rFonts w:ascii="Arial" w:hAnsi="Arial" w:cs="Arial"/>
          <w:b/>
          <w:bCs/>
          <w:sz w:val="20"/>
          <w:szCs w:val="20"/>
        </w:rPr>
      </w:pPr>
    </w:p>
    <w:p w14:paraId="3ADB4B4C" w14:textId="77777777" w:rsidR="004A2652" w:rsidRPr="00472FA9" w:rsidRDefault="004A2652" w:rsidP="00401AA8">
      <w:pPr>
        <w:spacing w:line="276" w:lineRule="auto"/>
        <w:ind w:left="284"/>
        <w:jc w:val="both"/>
        <w:rPr>
          <w:rFonts w:ascii="Arial" w:hAnsi="Arial" w:cs="Arial"/>
          <w:b/>
          <w:sz w:val="20"/>
          <w:szCs w:val="20"/>
        </w:rPr>
      </w:pPr>
    </w:p>
    <w:p w14:paraId="09E4763C" w14:textId="2AD8D81C" w:rsidR="004A2652" w:rsidRPr="00472FA9" w:rsidRDefault="004A2652" w:rsidP="00401AA8">
      <w:pPr>
        <w:autoSpaceDE w:val="0"/>
        <w:autoSpaceDN w:val="0"/>
        <w:adjustRightInd w:val="0"/>
        <w:spacing w:line="276" w:lineRule="auto"/>
        <w:jc w:val="both"/>
        <w:rPr>
          <w:rFonts w:ascii="Arial" w:eastAsiaTheme="minorHAnsi" w:hAnsi="Arial" w:cs="Arial"/>
          <w:color w:val="000000"/>
          <w:sz w:val="20"/>
          <w:szCs w:val="20"/>
          <w:lang w:eastAsia="en-US"/>
        </w:rPr>
      </w:pPr>
      <w:r w:rsidRPr="00472FA9">
        <w:rPr>
          <w:rFonts w:ascii="Arial" w:hAnsi="Arial" w:cs="Arial"/>
          <w:b/>
          <w:sz w:val="20"/>
          <w:szCs w:val="20"/>
        </w:rPr>
        <w:t>Strategy 5: Review and Adjust Services</w:t>
      </w:r>
      <w:r w:rsidRPr="00472FA9">
        <w:rPr>
          <w:rFonts w:ascii="Arial" w:hAnsi="Arial" w:cs="Arial"/>
          <w:sz w:val="20"/>
          <w:szCs w:val="20"/>
        </w:rPr>
        <w:t xml:space="preserve">: The Council has adopted a Best Value Service Framework including a commitment to ongoing continuous reviews of Council service delivery to ensure value for money service provision. Through consultation with the community on service level options, it is clear that the majority of Blue Mountains residents do </w:t>
      </w:r>
      <w:r w:rsidRPr="00472FA9">
        <w:rPr>
          <w:rFonts w:ascii="Arial" w:hAnsi="Arial" w:cs="Arial"/>
          <w:sz w:val="20"/>
          <w:szCs w:val="20"/>
          <w:u w:val="single"/>
        </w:rPr>
        <w:t>not</w:t>
      </w:r>
      <w:r w:rsidRPr="00472FA9">
        <w:rPr>
          <w:rFonts w:ascii="Arial" w:hAnsi="Arial" w:cs="Arial"/>
          <w:sz w:val="20"/>
          <w:szCs w:val="20"/>
        </w:rPr>
        <w:t xml:space="preserve"> support reduced service levels. Service reviews completed to date include: </w:t>
      </w:r>
      <w:r w:rsidRPr="00472FA9">
        <w:rPr>
          <w:rFonts w:ascii="Arial" w:eastAsiaTheme="minorHAnsi" w:hAnsi="Arial" w:cs="Arial"/>
          <w:color w:val="000000"/>
          <w:sz w:val="20"/>
          <w:szCs w:val="20"/>
          <w:lang w:eastAsia="en-US"/>
        </w:rPr>
        <w:t xml:space="preserve">Bulky Waste Collection, sealing of unsealed roads, tourist parks, heavy and light fleet and the Waste Management Strategy (Stage 1) – </w:t>
      </w:r>
      <w:r w:rsidR="00001E39" w:rsidRPr="00472FA9">
        <w:rPr>
          <w:rFonts w:ascii="Arial" w:eastAsiaTheme="minorHAnsi" w:hAnsi="Arial" w:cs="Arial"/>
          <w:color w:val="000000"/>
          <w:sz w:val="20"/>
          <w:szCs w:val="20"/>
          <w:lang w:eastAsia="en-US"/>
        </w:rPr>
        <w:t xml:space="preserve">which have resulted in </w:t>
      </w:r>
      <w:r w:rsidRPr="00472FA9">
        <w:rPr>
          <w:rFonts w:ascii="Arial" w:eastAsiaTheme="minorHAnsi" w:hAnsi="Arial" w:cs="Arial"/>
          <w:color w:val="000000"/>
          <w:sz w:val="20"/>
          <w:szCs w:val="20"/>
          <w:lang w:eastAsia="en-US"/>
        </w:rPr>
        <w:t>significant ongoing cost savings, efficiencies and additional revenue</w:t>
      </w:r>
      <w:r w:rsidR="00001E39" w:rsidRPr="00472FA9">
        <w:rPr>
          <w:rFonts w:ascii="Arial" w:eastAsiaTheme="minorHAnsi" w:hAnsi="Arial" w:cs="Arial"/>
          <w:color w:val="000000"/>
          <w:sz w:val="20"/>
          <w:szCs w:val="20"/>
          <w:lang w:eastAsia="en-US"/>
        </w:rPr>
        <w:t xml:space="preserve"> </w:t>
      </w:r>
      <w:r w:rsidRPr="00472FA9">
        <w:rPr>
          <w:rFonts w:ascii="Arial" w:eastAsiaTheme="minorHAnsi" w:hAnsi="Arial" w:cs="Arial"/>
          <w:color w:val="000000"/>
          <w:sz w:val="20"/>
          <w:szCs w:val="20"/>
          <w:lang w:eastAsia="en-US"/>
        </w:rPr>
        <w:t xml:space="preserve"> (see Section 7). </w:t>
      </w:r>
    </w:p>
    <w:p w14:paraId="1C988430" w14:textId="77777777" w:rsidR="004A2652" w:rsidRPr="00472FA9" w:rsidRDefault="004A2652" w:rsidP="00401AA8">
      <w:pPr>
        <w:spacing w:line="276" w:lineRule="auto"/>
        <w:jc w:val="both"/>
        <w:rPr>
          <w:rFonts w:ascii="Arial" w:hAnsi="Arial" w:cs="Arial"/>
          <w:sz w:val="20"/>
          <w:szCs w:val="20"/>
        </w:rPr>
      </w:pPr>
    </w:p>
    <w:p w14:paraId="6DE88104" w14:textId="77777777" w:rsidR="004A2652" w:rsidRPr="00472FA9" w:rsidRDefault="004A2652" w:rsidP="00401AA8">
      <w:pPr>
        <w:spacing w:line="276" w:lineRule="auto"/>
        <w:jc w:val="both"/>
        <w:rPr>
          <w:rFonts w:ascii="Arial" w:hAnsi="Arial" w:cs="Arial"/>
          <w:sz w:val="20"/>
          <w:szCs w:val="20"/>
        </w:rPr>
      </w:pPr>
      <w:r w:rsidRPr="00472FA9">
        <w:rPr>
          <w:rFonts w:ascii="Arial" w:hAnsi="Arial" w:cs="Arial"/>
          <w:b/>
          <w:sz w:val="20"/>
          <w:szCs w:val="20"/>
        </w:rPr>
        <w:t>Strategy 6: Increasing Advocacy and Partnerships:</w:t>
      </w:r>
      <w:r w:rsidRPr="00472FA9">
        <w:rPr>
          <w:rFonts w:ascii="Arial" w:hAnsi="Arial" w:cs="Arial"/>
          <w:sz w:val="20"/>
          <w:szCs w:val="20"/>
        </w:rPr>
        <w:t xml:space="preserve"> This strategy involves building partnerships and advocating to other levels of government to achieve positive outcomes for the Blue Mountains community. </w:t>
      </w:r>
    </w:p>
    <w:p w14:paraId="0BAA59F6" w14:textId="77777777" w:rsidR="004A2652" w:rsidRPr="00472FA9" w:rsidRDefault="004A2652" w:rsidP="00401AA8">
      <w:pPr>
        <w:spacing w:line="276" w:lineRule="auto"/>
        <w:jc w:val="both"/>
        <w:rPr>
          <w:rFonts w:ascii="Arial" w:hAnsi="Arial" w:cs="Arial"/>
          <w:sz w:val="20"/>
          <w:szCs w:val="20"/>
        </w:rPr>
      </w:pPr>
    </w:p>
    <w:p w14:paraId="2149EE3D" w14:textId="77777777" w:rsidR="004A2652" w:rsidRDefault="004A2652" w:rsidP="00401AA8">
      <w:pPr>
        <w:autoSpaceDE w:val="0"/>
        <w:autoSpaceDN w:val="0"/>
        <w:adjustRightInd w:val="0"/>
        <w:spacing w:line="276" w:lineRule="auto"/>
        <w:jc w:val="both"/>
        <w:rPr>
          <w:rFonts w:ascii="Arial" w:eastAsiaTheme="minorHAnsi" w:hAnsi="Arial" w:cs="Arial"/>
          <w:color w:val="000000"/>
          <w:sz w:val="20"/>
          <w:szCs w:val="20"/>
          <w:lang w:eastAsia="en-US"/>
        </w:rPr>
      </w:pPr>
      <w:r w:rsidRPr="00472FA9">
        <w:rPr>
          <w:rFonts w:ascii="Arial" w:eastAsiaTheme="minorHAnsi" w:hAnsi="Arial" w:cs="Arial"/>
          <w:color w:val="000000"/>
          <w:sz w:val="20"/>
          <w:szCs w:val="20"/>
          <w:lang w:eastAsia="en-US"/>
        </w:rPr>
        <w:t xml:space="preserve">To date, the Council has been very successful in actively pursuing alternative revenue sources to deliver key infrastructure through </w:t>
      </w:r>
      <w:r w:rsidRPr="00472FA9">
        <w:rPr>
          <w:rFonts w:ascii="Arial" w:hAnsi="Arial" w:cs="Arial"/>
          <w:sz w:val="20"/>
          <w:szCs w:val="20"/>
        </w:rPr>
        <w:t>private public partnerships or joint ventures, to</w:t>
      </w:r>
      <w:r w:rsidRPr="00472FA9">
        <w:rPr>
          <w:rFonts w:ascii="Arial" w:eastAsiaTheme="minorHAnsi" w:hAnsi="Arial" w:cs="Arial"/>
          <w:sz w:val="20"/>
          <w:szCs w:val="20"/>
          <w:lang w:eastAsia="en-US"/>
        </w:rPr>
        <w:t xml:space="preserve"> </w:t>
      </w:r>
      <w:r w:rsidRPr="00472FA9">
        <w:rPr>
          <w:rFonts w:ascii="Arial" w:eastAsiaTheme="minorHAnsi" w:hAnsi="Arial" w:cs="Arial"/>
          <w:color w:val="000000"/>
          <w:sz w:val="20"/>
          <w:szCs w:val="20"/>
          <w:lang w:eastAsia="en-US"/>
        </w:rPr>
        <w:t xml:space="preserve">support a sustainable City. Evidence of achievements in alternative grant revenue and partnerships, part of the $40M plus since 2009, include the following key examples: </w:t>
      </w:r>
    </w:p>
    <w:p w14:paraId="57657CED" w14:textId="77777777" w:rsidR="00831A11" w:rsidRPr="00472FA9" w:rsidRDefault="00831A11" w:rsidP="00401AA8">
      <w:pPr>
        <w:autoSpaceDE w:val="0"/>
        <w:autoSpaceDN w:val="0"/>
        <w:adjustRightInd w:val="0"/>
        <w:spacing w:line="276" w:lineRule="auto"/>
        <w:jc w:val="both"/>
        <w:rPr>
          <w:rFonts w:ascii="Arial" w:eastAsiaTheme="minorHAnsi" w:hAnsi="Arial" w:cs="Arial"/>
          <w:color w:val="000000"/>
          <w:sz w:val="20"/>
          <w:szCs w:val="20"/>
          <w:lang w:eastAsia="en-US"/>
        </w:rPr>
      </w:pPr>
    </w:p>
    <w:p w14:paraId="2C4552A8" w14:textId="77777777" w:rsidR="004A2652" w:rsidRPr="00831A11" w:rsidRDefault="004A2652" w:rsidP="00401AA8">
      <w:pPr>
        <w:pStyle w:val="ListParagraph"/>
        <w:numPr>
          <w:ilvl w:val="0"/>
          <w:numId w:val="52"/>
        </w:numPr>
        <w:spacing w:line="276" w:lineRule="auto"/>
        <w:contextualSpacing/>
        <w:rPr>
          <w:rFonts w:ascii="Arial" w:hAnsi="Arial" w:cs="Arial"/>
          <w:sz w:val="20"/>
          <w:szCs w:val="20"/>
        </w:rPr>
      </w:pPr>
      <w:r w:rsidRPr="00472FA9">
        <w:rPr>
          <w:rFonts w:ascii="Arial" w:eastAsiaTheme="minorEastAsia" w:hAnsi="Arial" w:cs="Arial"/>
          <w:bCs/>
          <w:kern w:val="24"/>
          <w:sz w:val="20"/>
          <w:szCs w:val="20"/>
        </w:rPr>
        <w:t xml:space="preserve">$9.5 million grant from the Federal Government for the upgrade of the </w:t>
      </w:r>
      <w:r w:rsidRPr="00472FA9">
        <w:rPr>
          <w:rFonts w:ascii="Arial" w:eastAsiaTheme="minorEastAsia" w:hAnsi="Arial" w:cs="Arial"/>
          <w:kern w:val="24"/>
          <w:sz w:val="20"/>
          <w:szCs w:val="20"/>
        </w:rPr>
        <w:t>Blue Mountains Theatre &amp; Community Hub (Springwood);</w:t>
      </w:r>
    </w:p>
    <w:p w14:paraId="6B767EB1" w14:textId="77777777" w:rsidR="00831A11" w:rsidRPr="00472FA9" w:rsidRDefault="00831A11" w:rsidP="00831A11">
      <w:pPr>
        <w:pStyle w:val="ListParagraph"/>
        <w:spacing w:line="276" w:lineRule="auto"/>
        <w:contextualSpacing/>
        <w:rPr>
          <w:rFonts w:ascii="Arial" w:hAnsi="Arial" w:cs="Arial"/>
          <w:sz w:val="20"/>
          <w:szCs w:val="20"/>
        </w:rPr>
      </w:pPr>
    </w:p>
    <w:p w14:paraId="7A80CF38" w14:textId="36F240BD" w:rsidR="004A2652" w:rsidRPr="00831A11" w:rsidRDefault="00F00075" w:rsidP="00401AA8">
      <w:pPr>
        <w:pStyle w:val="ListParagraph"/>
        <w:numPr>
          <w:ilvl w:val="0"/>
          <w:numId w:val="52"/>
        </w:numPr>
        <w:spacing w:line="276" w:lineRule="auto"/>
        <w:contextualSpacing/>
        <w:rPr>
          <w:rFonts w:ascii="Arial" w:hAnsi="Arial" w:cs="Arial"/>
          <w:sz w:val="20"/>
          <w:szCs w:val="20"/>
        </w:rPr>
      </w:pPr>
      <w:r w:rsidRPr="00472FA9">
        <w:rPr>
          <w:rFonts w:ascii="Arial" w:eastAsiaTheme="minorEastAsia" w:hAnsi="Arial" w:cs="Arial"/>
          <w:bCs/>
          <w:kern w:val="24"/>
          <w:sz w:val="20"/>
          <w:szCs w:val="20"/>
        </w:rPr>
        <w:t>$5.9 million</w:t>
      </w:r>
      <w:r w:rsidR="004A2652" w:rsidRPr="00472FA9">
        <w:rPr>
          <w:rFonts w:ascii="Arial" w:eastAsiaTheme="minorEastAsia" w:hAnsi="Arial" w:cs="Arial"/>
          <w:bCs/>
          <w:kern w:val="24"/>
          <w:sz w:val="20"/>
          <w:szCs w:val="20"/>
        </w:rPr>
        <w:t xml:space="preserve"> Grant from the Roads and Maritime Service joint venture to relocate and upgrade the </w:t>
      </w:r>
      <w:r w:rsidR="004A2652" w:rsidRPr="00472FA9">
        <w:rPr>
          <w:rFonts w:ascii="Arial" w:eastAsiaTheme="minorEastAsia" w:hAnsi="Arial" w:cs="Arial"/>
          <w:kern w:val="24"/>
          <w:sz w:val="20"/>
          <w:szCs w:val="20"/>
        </w:rPr>
        <w:t>Lawson Town Centre due to the widening of the Great Western Highway;</w:t>
      </w:r>
    </w:p>
    <w:p w14:paraId="2E447E1A" w14:textId="77777777" w:rsidR="00831A11" w:rsidRPr="00831A11" w:rsidRDefault="00831A11" w:rsidP="00831A11">
      <w:pPr>
        <w:pStyle w:val="ListParagraph"/>
        <w:rPr>
          <w:rFonts w:ascii="Arial" w:hAnsi="Arial" w:cs="Arial"/>
          <w:sz w:val="20"/>
          <w:szCs w:val="20"/>
        </w:rPr>
      </w:pPr>
    </w:p>
    <w:p w14:paraId="3A9A8F88" w14:textId="1019AABA" w:rsidR="004A2652" w:rsidRPr="00831A11" w:rsidRDefault="00F00075" w:rsidP="00401AA8">
      <w:pPr>
        <w:pStyle w:val="ListParagraph"/>
        <w:numPr>
          <w:ilvl w:val="0"/>
          <w:numId w:val="52"/>
        </w:numPr>
        <w:spacing w:line="276" w:lineRule="auto"/>
        <w:contextualSpacing/>
        <w:rPr>
          <w:rFonts w:ascii="Arial" w:hAnsi="Arial" w:cs="Arial"/>
          <w:sz w:val="20"/>
          <w:szCs w:val="20"/>
        </w:rPr>
      </w:pPr>
      <w:r w:rsidRPr="00472FA9">
        <w:rPr>
          <w:rFonts w:ascii="Arial" w:eastAsiaTheme="minorEastAsia" w:hAnsi="Arial" w:cs="Arial"/>
          <w:bCs/>
          <w:kern w:val="24"/>
          <w:sz w:val="20"/>
          <w:szCs w:val="20"/>
        </w:rPr>
        <w:t>$5.0 million</w:t>
      </w:r>
      <w:r w:rsidR="004A2652" w:rsidRPr="00472FA9">
        <w:rPr>
          <w:rFonts w:ascii="Arial" w:eastAsiaTheme="minorEastAsia" w:hAnsi="Arial" w:cs="Arial"/>
          <w:bCs/>
          <w:kern w:val="24"/>
          <w:sz w:val="20"/>
          <w:szCs w:val="20"/>
        </w:rPr>
        <w:t xml:space="preserve"> Grant plus other funding from the partnership agreement with the NSW State Government, Federal Government and the Coles Group to build the regional</w:t>
      </w:r>
      <w:r w:rsidR="004A2652" w:rsidRPr="00472FA9">
        <w:rPr>
          <w:rFonts w:ascii="Arial" w:eastAsiaTheme="minorEastAsia" w:hAnsi="Arial" w:cs="Arial"/>
          <w:kern w:val="24"/>
          <w:sz w:val="20"/>
          <w:szCs w:val="20"/>
        </w:rPr>
        <w:t xml:space="preserve"> Blue Mountains Cultural Centre, new Katoomba Library &amp; Civic Centre;</w:t>
      </w:r>
    </w:p>
    <w:p w14:paraId="7F0A7B79" w14:textId="77777777" w:rsidR="00831A11" w:rsidRPr="00831A11" w:rsidRDefault="00831A11" w:rsidP="00831A11">
      <w:pPr>
        <w:pStyle w:val="ListParagraph"/>
        <w:rPr>
          <w:rFonts w:ascii="Arial" w:hAnsi="Arial" w:cs="Arial"/>
          <w:sz w:val="20"/>
          <w:szCs w:val="20"/>
        </w:rPr>
      </w:pPr>
    </w:p>
    <w:p w14:paraId="5681155E" w14:textId="55576CF7" w:rsidR="004A2652" w:rsidRPr="00831A11" w:rsidRDefault="00F00075" w:rsidP="00401AA8">
      <w:pPr>
        <w:pStyle w:val="ListParagraph"/>
        <w:numPr>
          <w:ilvl w:val="0"/>
          <w:numId w:val="52"/>
        </w:numPr>
        <w:spacing w:line="276" w:lineRule="auto"/>
        <w:contextualSpacing/>
        <w:rPr>
          <w:rFonts w:ascii="Arial" w:hAnsi="Arial" w:cs="Arial"/>
          <w:sz w:val="20"/>
          <w:szCs w:val="20"/>
        </w:rPr>
      </w:pPr>
      <w:r w:rsidRPr="00472FA9">
        <w:rPr>
          <w:rFonts w:ascii="Arial" w:eastAsiaTheme="minorEastAsia" w:hAnsi="Arial" w:cs="Arial"/>
          <w:bCs/>
          <w:kern w:val="24"/>
          <w:sz w:val="20"/>
          <w:szCs w:val="20"/>
        </w:rPr>
        <w:t>$3.5 million</w:t>
      </w:r>
      <w:r w:rsidR="004A2652" w:rsidRPr="00472FA9">
        <w:rPr>
          <w:rFonts w:ascii="Arial" w:eastAsiaTheme="minorEastAsia" w:hAnsi="Arial" w:cs="Arial"/>
          <w:bCs/>
          <w:kern w:val="24"/>
          <w:sz w:val="20"/>
          <w:szCs w:val="20"/>
        </w:rPr>
        <w:t xml:space="preserve">  Infrastructure Grant from the Federal Government for the development of the </w:t>
      </w:r>
      <w:r w:rsidR="004A2652" w:rsidRPr="00472FA9">
        <w:rPr>
          <w:rFonts w:ascii="Arial" w:eastAsiaTheme="minorEastAsia" w:hAnsi="Arial" w:cs="Arial"/>
          <w:kern w:val="24"/>
          <w:sz w:val="20"/>
          <w:szCs w:val="20"/>
        </w:rPr>
        <w:t>Blue Mountains Business Park in Lawson;</w:t>
      </w:r>
    </w:p>
    <w:p w14:paraId="2992EA94" w14:textId="77777777" w:rsidR="00831A11" w:rsidRPr="00831A11" w:rsidRDefault="00831A11" w:rsidP="00831A11">
      <w:pPr>
        <w:pStyle w:val="ListParagraph"/>
        <w:rPr>
          <w:rFonts w:ascii="Arial" w:hAnsi="Arial" w:cs="Arial"/>
          <w:sz w:val="20"/>
          <w:szCs w:val="20"/>
        </w:rPr>
      </w:pPr>
    </w:p>
    <w:p w14:paraId="311DA37F" w14:textId="212F1599" w:rsidR="004A2652" w:rsidRPr="00472FA9" w:rsidRDefault="00A6559D" w:rsidP="00401AA8">
      <w:pPr>
        <w:pStyle w:val="ListParagraph"/>
        <w:numPr>
          <w:ilvl w:val="0"/>
          <w:numId w:val="52"/>
        </w:numPr>
        <w:spacing w:line="276" w:lineRule="auto"/>
        <w:contextualSpacing/>
        <w:rPr>
          <w:rFonts w:ascii="Arial" w:hAnsi="Arial" w:cs="Arial"/>
          <w:sz w:val="20"/>
          <w:szCs w:val="20"/>
        </w:rPr>
      </w:pPr>
      <w:r w:rsidRPr="00472FA9">
        <w:rPr>
          <w:rFonts w:ascii="Arial" w:eastAsiaTheme="minorEastAsia" w:hAnsi="Arial" w:cs="Arial"/>
          <w:bCs/>
          <w:kern w:val="24"/>
          <w:sz w:val="20"/>
          <w:szCs w:val="20"/>
        </w:rPr>
        <w:t>$2.5 million</w:t>
      </w:r>
      <w:r w:rsidR="004A2652" w:rsidRPr="00472FA9">
        <w:rPr>
          <w:rFonts w:ascii="Arial" w:eastAsiaTheme="minorEastAsia" w:hAnsi="Arial" w:cs="Arial"/>
          <w:bCs/>
          <w:kern w:val="24"/>
          <w:sz w:val="20"/>
          <w:szCs w:val="20"/>
        </w:rPr>
        <w:t xml:space="preserve"> Grant funding from the </w:t>
      </w:r>
      <w:r w:rsidR="004A2652" w:rsidRPr="00472FA9">
        <w:rPr>
          <w:rFonts w:ascii="Arial" w:eastAsiaTheme="minorEastAsia" w:hAnsi="Arial" w:cs="Arial"/>
          <w:kern w:val="24"/>
          <w:sz w:val="20"/>
          <w:szCs w:val="20"/>
        </w:rPr>
        <w:t>NSW Building Partnership Infrastructure Funding program</w:t>
      </w:r>
    </w:p>
    <w:p w14:paraId="59160BA3" w14:textId="77777777" w:rsidR="004A2652" w:rsidRPr="00472FA9" w:rsidRDefault="004A2652" w:rsidP="00401AA8">
      <w:pPr>
        <w:autoSpaceDE w:val="0"/>
        <w:autoSpaceDN w:val="0"/>
        <w:adjustRightInd w:val="0"/>
        <w:spacing w:after="153" w:line="276" w:lineRule="auto"/>
        <w:jc w:val="both"/>
        <w:rPr>
          <w:rFonts w:ascii="Arial" w:eastAsiaTheme="minorHAnsi" w:hAnsi="Arial" w:cs="Arial"/>
          <w:color w:val="000000"/>
          <w:sz w:val="20"/>
          <w:szCs w:val="20"/>
          <w:lang w:eastAsia="en-US"/>
        </w:rPr>
      </w:pPr>
    </w:p>
    <w:p w14:paraId="3DC95783" w14:textId="265C6041" w:rsidR="004A2652" w:rsidRPr="00472FA9" w:rsidRDefault="004A2652" w:rsidP="00401AA8">
      <w:pPr>
        <w:autoSpaceDE w:val="0"/>
        <w:autoSpaceDN w:val="0"/>
        <w:adjustRightInd w:val="0"/>
        <w:spacing w:line="276" w:lineRule="auto"/>
        <w:jc w:val="both"/>
        <w:rPr>
          <w:rFonts w:ascii="Arial" w:eastAsiaTheme="minorHAnsi" w:hAnsi="Arial" w:cs="Arial"/>
          <w:color w:val="000000"/>
          <w:sz w:val="20"/>
          <w:szCs w:val="20"/>
          <w:lang w:eastAsia="en-US"/>
        </w:rPr>
      </w:pPr>
      <w:r w:rsidRPr="00472FA9">
        <w:rPr>
          <w:rFonts w:ascii="Arial" w:eastAsiaTheme="minorHAnsi" w:hAnsi="Arial" w:cs="Arial"/>
          <w:color w:val="000000"/>
          <w:sz w:val="20"/>
          <w:szCs w:val="20"/>
          <w:lang w:eastAsia="en-US"/>
        </w:rPr>
        <w:t xml:space="preserve">It should be noted that the continuation of some of the Council’s grant funding, in particular the Roads to Recovery Program is contingent upon significant co-contributions from the Council in order to access these grants. Funds from the proposed special variation will be used by the Council to continue to access these grants. If the proposed special variation is not approved then the Council will not be able to access these grants and deliver the significant transport outcomes achieved from the RMS’ Roads to Recovery Program.  </w:t>
      </w:r>
    </w:p>
    <w:p w14:paraId="702F1A9F" w14:textId="77777777" w:rsidR="004A2652" w:rsidRPr="00472FA9" w:rsidRDefault="004A2652" w:rsidP="00401AA8">
      <w:pPr>
        <w:autoSpaceDE w:val="0"/>
        <w:autoSpaceDN w:val="0"/>
        <w:adjustRightInd w:val="0"/>
        <w:spacing w:line="276" w:lineRule="auto"/>
        <w:jc w:val="both"/>
        <w:rPr>
          <w:rFonts w:ascii="Arial" w:eastAsiaTheme="minorHAnsi" w:hAnsi="Arial" w:cs="Arial"/>
          <w:color w:val="000000"/>
          <w:sz w:val="20"/>
          <w:szCs w:val="20"/>
          <w:lang w:eastAsia="en-US"/>
        </w:rPr>
      </w:pPr>
    </w:p>
    <w:p w14:paraId="5A1D4464" w14:textId="4FFD0473" w:rsidR="004A2652" w:rsidRPr="00472FA9" w:rsidRDefault="004A2652" w:rsidP="00401AA8">
      <w:pPr>
        <w:autoSpaceDE w:val="0"/>
        <w:autoSpaceDN w:val="0"/>
        <w:adjustRightInd w:val="0"/>
        <w:spacing w:line="276" w:lineRule="auto"/>
        <w:jc w:val="both"/>
        <w:rPr>
          <w:rFonts w:ascii="Arial" w:eastAsiaTheme="minorHAnsi" w:hAnsi="Arial" w:cs="Arial"/>
          <w:color w:val="000000"/>
          <w:sz w:val="20"/>
          <w:szCs w:val="20"/>
          <w:lang w:eastAsia="en-US"/>
        </w:rPr>
      </w:pPr>
      <w:r w:rsidRPr="00472FA9">
        <w:rPr>
          <w:rFonts w:ascii="Arial" w:eastAsiaTheme="minorHAnsi" w:hAnsi="Arial" w:cs="Arial"/>
          <w:color w:val="000000"/>
          <w:sz w:val="20"/>
          <w:szCs w:val="20"/>
          <w:lang w:eastAsia="en-US"/>
        </w:rPr>
        <w:t xml:space="preserve">This risk is highlighted in the charts below which shows the condition of Roads (including Shoulders &amp; Gutters) in poor condition increasing from the current 18% to 39% if the proposed special variation is not approved </w:t>
      </w:r>
      <w:r w:rsidR="00A6559D" w:rsidRPr="00472FA9">
        <w:rPr>
          <w:rFonts w:ascii="Arial" w:eastAsiaTheme="minorHAnsi" w:hAnsi="Arial" w:cs="Arial"/>
          <w:color w:val="000000"/>
          <w:sz w:val="20"/>
          <w:szCs w:val="20"/>
          <w:lang w:eastAsia="en-US"/>
        </w:rPr>
        <w:t>(Option 3) and the condition i</w:t>
      </w:r>
      <w:r w:rsidRPr="00472FA9">
        <w:rPr>
          <w:rFonts w:ascii="Arial" w:eastAsiaTheme="minorHAnsi" w:hAnsi="Arial" w:cs="Arial"/>
          <w:color w:val="000000"/>
          <w:sz w:val="20"/>
          <w:szCs w:val="20"/>
          <w:lang w:eastAsia="en-US"/>
        </w:rPr>
        <w:t xml:space="preserve">mproves to 15% if the </w:t>
      </w:r>
      <w:r w:rsidR="00A6559D" w:rsidRPr="00472FA9">
        <w:rPr>
          <w:rFonts w:ascii="Arial" w:eastAsiaTheme="minorHAnsi" w:hAnsi="Arial" w:cs="Arial"/>
          <w:color w:val="000000"/>
          <w:sz w:val="20"/>
          <w:szCs w:val="20"/>
          <w:lang w:eastAsia="en-US"/>
        </w:rPr>
        <w:t>special variation</w:t>
      </w:r>
      <w:r w:rsidRPr="00472FA9">
        <w:rPr>
          <w:rFonts w:ascii="Arial" w:eastAsiaTheme="minorHAnsi" w:hAnsi="Arial" w:cs="Arial"/>
          <w:color w:val="000000"/>
          <w:sz w:val="20"/>
          <w:szCs w:val="20"/>
          <w:lang w:eastAsia="en-US"/>
        </w:rPr>
        <w:t xml:space="preserve"> is approved</w:t>
      </w:r>
      <w:r w:rsidR="00A6559D" w:rsidRPr="00472FA9">
        <w:rPr>
          <w:rFonts w:ascii="Arial" w:eastAsiaTheme="minorHAnsi" w:hAnsi="Arial" w:cs="Arial"/>
          <w:color w:val="000000"/>
          <w:sz w:val="20"/>
          <w:szCs w:val="20"/>
          <w:lang w:eastAsia="en-US"/>
        </w:rPr>
        <w:t xml:space="preserve"> (Option 1</w:t>
      </w:r>
      <w:r w:rsidRPr="00472FA9">
        <w:rPr>
          <w:rFonts w:ascii="Arial" w:eastAsiaTheme="minorHAnsi" w:hAnsi="Arial" w:cs="Arial"/>
          <w:color w:val="000000"/>
          <w:sz w:val="20"/>
          <w:szCs w:val="20"/>
          <w:lang w:eastAsia="en-US"/>
        </w:rPr>
        <w:t xml:space="preserve">).  </w:t>
      </w:r>
    </w:p>
    <w:p w14:paraId="2FD5891F" w14:textId="77777777" w:rsidR="004A2652" w:rsidRPr="00472FA9" w:rsidRDefault="004A2652" w:rsidP="004A2652">
      <w:pPr>
        <w:autoSpaceDE w:val="0"/>
        <w:autoSpaceDN w:val="0"/>
        <w:adjustRightInd w:val="0"/>
        <w:jc w:val="both"/>
        <w:rPr>
          <w:rFonts w:ascii="Arial" w:eastAsiaTheme="minorHAnsi" w:hAnsi="Arial" w:cs="Arial"/>
          <w:color w:val="000000"/>
          <w:sz w:val="20"/>
          <w:szCs w:val="20"/>
          <w:lang w:eastAsia="en-US"/>
        </w:rPr>
      </w:pPr>
    </w:p>
    <w:p w14:paraId="27BCAA0B" w14:textId="77777777" w:rsidR="003E5FBA" w:rsidRDefault="003E5FBA" w:rsidP="004A2652">
      <w:pPr>
        <w:autoSpaceDE w:val="0"/>
        <w:autoSpaceDN w:val="0"/>
        <w:adjustRightInd w:val="0"/>
        <w:jc w:val="both"/>
        <w:rPr>
          <w:rFonts w:ascii="Arial" w:eastAsiaTheme="minorHAnsi" w:hAnsi="Arial" w:cs="Arial"/>
          <w:b/>
          <w:color w:val="000000"/>
          <w:sz w:val="18"/>
          <w:szCs w:val="18"/>
          <w:lang w:eastAsia="en-US"/>
        </w:rPr>
      </w:pPr>
    </w:p>
    <w:p w14:paraId="2DFA271B" w14:textId="407A7DDD" w:rsidR="004A2652" w:rsidRPr="003B5CED" w:rsidRDefault="00FA0E8D" w:rsidP="004A2652">
      <w:pPr>
        <w:autoSpaceDE w:val="0"/>
        <w:autoSpaceDN w:val="0"/>
        <w:adjustRightInd w:val="0"/>
        <w:jc w:val="both"/>
        <w:rPr>
          <w:rFonts w:ascii="Arial" w:eastAsiaTheme="minorHAnsi" w:hAnsi="Arial" w:cs="Arial"/>
          <w:b/>
          <w:color w:val="000000"/>
          <w:sz w:val="18"/>
          <w:szCs w:val="18"/>
          <w:lang w:eastAsia="en-US"/>
        </w:rPr>
      </w:pPr>
      <w:r w:rsidRPr="003B5CED">
        <w:rPr>
          <w:rFonts w:ascii="Arial" w:eastAsiaTheme="minorHAnsi" w:hAnsi="Arial" w:cs="Arial"/>
          <w:b/>
          <w:color w:val="000000"/>
          <w:sz w:val="18"/>
          <w:szCs w:val="18"/>
          <w:lang w:eastAsia="en-US"/>
        </w:rPr>
        <w:t>Figure 3.3</w:t>
      </w:r>
      <w:r w:rsidR="003B5CED" w:rsidRPr="003B5CED">
        <w:rPr>
          <w:rFonts w:ascii="Arial" w:eastAsiaTheme="minorHAnsi" w:hAnsi="Arial" w:cs="Arial"/>
          <w:b/>
          <w:color w:val="000000"/>
          <w:sz w:val="18"/>
          <w:szCs w:val="18"/>
          <w:lang w:eastAsia="en-US"/>
        </w:rPr>
        <w:t>:</w:t>
      </w:r>
      <w:r w:rsidRPr="003B5CED">
        <w:rPr>
          <w:rFonts w:ascii="Arial" w:eastAsiaTheme="minorHAnsi" w:hAnsi="Arial" w:cs="Arial"/>
          <w:b/>
          <w:color w:val="000000"/>
          <w:sz w:val="18"/>
          <w:szCs w:val="18"/>
          <w:lang w:eastAsia="en-US"/>
        </w:rPr>
        <w:t xml:space="preserve"> </w:t>
      </w:r>
      <w:r w:rsidR="004A2652" w:rsidRPr="003B5CED">
        <w:rPr>
          <w:rFonts w:ascii="Arial" w:eastAsiaTheme="minorHAnsi" w:hAnsi="Arial" w:cs="Arial"/>
          <w:b/>
          <w:color w:val="000000"/>
          <w:sz w:val="18"/>
          <w:szCs w:val="18"/>
          <w:lang w:eastAsia="en-US"/>
        </w:rPr>
        <w:t>Condition of Roads (including Shoulders &amp; Gutters) – Current condition compared to Resourcing our Future Options</w:t>
      </w:r>
    </w:p>
    <w:p w14:paraId="70BAFD2A" w14:textId="77777777" w:rsidR="004A2652" w:rsidRPr="0008036F" w:rsidRDefault="004A2652" w:rsidP="004A2652">
      <w:pPr>
        <w:autoSpaceDE w:val="0"/>
        <w:autoSpaceDN w:val="0"/>
        <w:adjustRightInd w:val="0"/>
        <w:jc w:val="both"/>
        <w:rPr>
          <w:rFonts w:ascii="Arial" w:eastAsiaTheme="minorHAnsi" w:hAnsi="Arial" w:cs="Arial"/>
          <w:b/>
          <w:color w:val="000000"/>
          <w:sz w:val="20"/>
          <w:szCs w:val="20"/>
          <w:lang w:eastAsia="en-US"/>
        </w:rPr>
      </w:pPr>
    </w:p>
    <w:p w14:paraId="508F239A" w14:textId="77777777" w:rsidR="004A2652" w:rsidRDefault="004A2652" w:rsidP="004A2652">
      <w:pPr>
        <w:autoSpaceDE w:val="0"/>
        <w:autoSpaceDN w:val="0"/>
        <w:adjustRightInd w:val="0"/>
        <w:jc w:val="both"/>
        <w:rPr>
          <w:rFonts w:ascii="Arial" w:eastAsiaTheme="minorHAnsi" w:hAnsi="Arial" w:cs="Arial"/>
          <w:color w:val="000000"/>
          <w:sz w:val="20"/>
          <w:szCs w:val="20"/>
          <w:lang w:eastAsia="en-US"/>
        </w:rPr>
      </w:pPr>
      <w:r>
        <w:rPr>
          <w:rFonts w:ascii="Arial" w:eastAsiaTheme="minorHAnsi" w:hAnsi="Arial" w:cs="Arial"/>
          <w:noProof/>
          <w:color w:val="000000"/>
          <w:sz w:val="20"/>
          <w:szCs w:val="20"/>
        </w:rPr>
        <w:drawing>
          <wp:inline distT="0" distB="0" distL="0" distR="0" wp14:anchorId="0670C777" wp14:editId="2FA0DB33">
            <wp:extent cx="5760000" cy="1433613"/>
            <wp:effectExtent l="0" t="0" r="0" b="0"/>
            <wp:docPr id="316" name="Picture 316" descr="C:\Users\nfarquharson\AppData\Local\Microsoft\Windows\Temporary Internet Files\Content.Outlook\I4WB9P0C\Condition of Roa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farquharson\AppData\Local\Microsoft\Windows\Temporary Internet Files\Content.Outlook\I4WB9P0C\Condition of Roads.PN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760000" cy="1433613"/>
                    </a:xfrm>
                    <a:prstGeom prst="rect">
                      <a:avLst/>
                    </a:prstGeom>
                    <a:noFill/>
                    <a:ln>
                      <a:noFill/>
                    </a:ln>
                  </pic:spPr>
                </pic:pic>
              </a:graphicData>
            </a:graphic>
          </wp:inline>
        </w:drawing>
      </w:r>
    </w:p>
    <w:p w14:paraId="1E55A1A4" w14:textId="77777777" w:rsidR="004A2652" w:rsidRDefault="004A2652" w:rsidP="004A2652">
      <w:pPr>
        <w:autoSpaceDE w:val="0"/>
        <w:autoSpaceDN w:val="0"/>
        <w:adjustRightInd w:val="0"/>
        <w:jc w:val="both"/>
        <w:rPr>
          <w:rFonts w:ascii="Arial" w:eastAsiaTheme="minorHAnsi" w:hAnsi="Arial" w:cs="Arial"/>
          <w:color w:val="000000"/>
          <w:sz w:val="20"/>
          <w:szCs w:val="20"/>
          <w:lang w:eastAsia="en-US"/>
        </w:rPr>
      </w:pPr>
    </w:p>
    <w:p w14:paraId="43315A64" w14:textId="77777777" w:rsidR="00831A11" w:rsidRDefault="00831A11">
      <w:pPr>
        <w:rPr>
          <w:rFonts w:ascii="Arial" w:eastAsiaTheme="minorHAnsi" w:hAnsi="Arial" w:cs="Arial"/>
          <w:b/>
          <w:i/>
          <w:color w:val="000000"/>
          <w:sz w:val="20"/>
          <w:szCs w:val="20"/>
          <w:lang w:eastAsia="en-US"/>
        </w:rPr>
      </w:pPr>
      <w:r>
        <w:rPr>
          <w:rFonts w:ascii="Arial" w:eastAsiaTheme="minorHAnsi" w:hAnsi="Arial" w:cs="Arial"/>
          <w:b/>
          <w:i/>
          <w:color w:val="000000"/>
          <w:sz w:val="20"/>
          <w:szCs w:val="20"/>
          <w:lang w:eastAsia="en-US"/>
        </w:rPr>
        <w:br w:type="page"/>
      </w:r>
    </w:p>
    <w:p w14:paraId="09BC5303" w14:textId="7F1E29AA" w:rsidR="004A2652" w:rsidRPr="00DE1802" w:rsidRDefault="004A2652" w:rsidP="00881E2D">
      <w:pPr>
        <w:autoSpaceDE w:val="0"/>
        <w:autoSpaceDN w:val="0"/>
        <w:adjustRightInd w:val="0"/>
        <w:spacing w:line="276" w:lineRule="auto"/>
        <w:jc w:val="both"/>
        <w:rPr>
          <w:rFonts w:ascii="Arial" w:eastAsiaTheme="minorHAnsi" w:hAnsi="Arial" w:cs="Arial"/>
          <w:b/>
          <w:i/>
          <w:color w:val="000000"/>
          <w:sz w:val="20"/>
          <w:szCs w:val="20"/>
          <w:lang w:eastAsia="en-US"/>
        </w:rPr>
      </w:pPr>
      <w:r w:rsidRPr="00DE1802">
        <w:rPr>
          <w:rFonts w:ascii="Arial" w:eastAsiaTheme="minorHAnsi" w:hAnsi="Arial" w:cs="Arial"/>
          <w:b/>
          <w:i/>
          <w:color w:val="000000"/>
          <w:sz w:val="20"/>
          <w:szCs w:val="20"/>
          <w:lang w:eastAsia="en-US"/>
        </w:rPr>
        <w:t>Limited potential for increase in revenue through new rateable properties</w:t>
      </w:r>
      <w:bookmarkEnd w:id="25"/>
      <w:bookmarkEnd w:id="26"/>
      <w:bookmarkEnd w:id="27"/>
      <w:bookmarkEnd w:id="28"/>
      <w:bookmarkEnd w:id="29"/>
    </w:p>
    <w:p w14:paraId="18C9604D" w14:textId="77777777" w:rsidR="004A2652" w:rsidRPr="00C8670F" w:rsidRDefault="004A2652" w:rsidP="00881E2D">
      <w:pPr>
        <w:spacing w:before="240" w:afterLines="80" w:after="192" w:line="276" w:lineRule="auto"/>
        <w:jc w:val="both"/>
        <w:rPr>
          <w:rFonts w:ascii="Arial" w:eastAsiaTheme="minorEastAsia" w:hAnsi="Arial" w:cs="Arial"/>
          <w:sz w:val="20"/>
          <w:szCs w:val="20"/>
        </w:rPr>
      </w:pPr>
      <w:r>
        <w:rPr>
          <w:rFonts w:ascii="Arial" w:eastAsiaTheme="minorEastAsia" w:hAnsi="Arial" w:cs="Arial"/>
          <w:sz w:val="20"/>
          <w:szCs w:val="20"/>
        </w:rPr>
        <w:t>The City of the Blue Mountains</w:t>
      </w:r>
      <w:r w:rsidRPr="00C8670F">
        <w:rPr>
          <w:rFonts w:ascii="Arial" w:eastAsiaTheme="minorEastAsia" w:hAnsi="Arial" w:cs="Arial"/>
          <w:sz w:val="20"/>
          <w:szCs w:val="20"/>
        </w:rPr>
        <w:t xml:space="preserve"> ha</w:t>
      </w:r>
      <w:r>
        <w:rPr>
          <w:rFonts w:ascii="Arial" w:eastAsiaTheme="minorEastAsia" w:hAnsi="Arial" w:cs="Arial"/>
          <w:sz w:val="20"/>
          <w:szCs w:val="20"/>
        </w:rPr>
        <w:t>s</w:t>
      </w:r>
      <w:r w:rsidRPr="00C8670F">
        <w:rPr>
          <w:rFonts w:ascii="Arial" w:eastAsiaTheme="minorEastAsia" w:hAnsi="Arial" w:cs="Arial"/>
          <w:sz w:val="20"/>
          <w:szCs w:val="20"/>
        </w:rPr>
        <w:t xml:space="preserve"> limited opportunity for new revenues from additional rates as population growth and land use development is constrained by </w:t>
      </w:r>
      <w:r>
        <w:rPr>
          <w:rFonts w:ascii="Arial" w:eastAsiaTheme="minorEastAsia" w:hAnsi="Arial" w:cs="Arial"/>
          <w:sz w:val="20"/>
          <w:szCs w:val="20"/>
        </w:rPr>
        <w:t>our</w:t>
      </w:r>
      <w:r w:rsidRPr="00C8670F">
        <w:rPr>
          <w:rFonts w:ascii="Arial" w:eastAsiaTheme="minorEastAsia" w:hAnsi="Arial" w:cs="Arial"/>
          <w:sz w:val="20"/>
          <w:szCs w:val="20"/>
        </w:rPr>
        <w:t xml:space="preserve"> area’s challenging topography and </w:t>
      </w:r>
      <w:r>
        <w:rPr>
          <w:rFonts w:ascii="Arial" w:eastAsiaTheme="minorEastAsia" w:hAnsi="Arial" w:cs="Arial"/>
          <w:sz w:val="20"/>
          <w:szCs w:val="20"/>
        </w:rPr>
        <w:t>our</w:t>
      </w:r>
      <w:r w:rsidRPr="00C8670F">
        <w:rPr>
          <w:rFonts w:ascii="Arial" w:eastAsiaTheme="minorEastAsia" w:hAnsi="Arial" w:cs="Arial"/>
          <w:sz w:val="20"/>
          <w:szCs w:val="20"/>
        </w:rPr>
        <w:t xml:space="preserve"> City’s location within a World Heritage Listed National Park. </w:t>
      </w:r>
    </w:p>
    <w:p w14:paraId="00802505" w14:textId="45DF7332" w:rsidR="004A2652" w:rsidRDefault="00472FA9" w:rsidP="00881E2D">
      <w:pPr>
        <w:spacing w:afterLines="80" w:after="192" w:line="276" w:lineRule="auto"/>
        <w:jc w:val="both"/>
        <w:rPr>
          <w:rFonts w:ascii="Arial" w:eastAsiaTheme="minorEastAsia" w:hAnsi="Arial" w:cs="Arial"/>
          <w:sz w:val="20"/>
          <w:szCs w:val="20"/>
        </w:rPr>
      </w:pPr>
      <w:r>
        <w:rPr>
          <w:noProof/>
        </w:rPr>
        <w:drawing>
          <wp:anchor distT="0" distB="0" distL="114300" distR="114300" simplePos="0" relativeHeight="251867136" behindDoc="0" locked="0" layoutInCell="1" allowOverlap="1" wp14:anchorId="49060B7E" wp14:editId="17DCBFBB">
            <wp:simplePos x="0" y="0"/>
            <wp:positionH relativeFrom="column">
              <wp:posOffset>716468</wp:posOffset>
            </wp:positionH>
            <wp:positionV relativeFrom="paragraph">
              <wp:posOffset>451780</wp:posOffset>
            </wp:positionV>
            <wp:extent cx="3870101" cy="1545465"/>
            <wp:effectExtent l="0" t="0" r="16510" b="17145"/>
            <wp:wrapNone/>
            <wp:docPr id="315" name="Chart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r w:rsidR="004A2652">
        <w:rPr>
          <w:rFonts w:ascii="Arial" w:eastAsiaTheme="minorEastAsia" w:hAnsi="Arial" w:cs="Arial"/>
          <w:sz w:val="20"/>
          <w:szCs w:val="20"/>
        </w:rPr>
        <w:t>As evidenced in the figure below, t</w:t>
      </w:r>
      <w:r w:rsidR="004A2652" w:rsidRPr="00C8670F">
        <w:rPr>
          <w:rFonts w:ascii="Arial" w:eastAsiaTheme="minorEastAsia" w:hAnsi="Arial" w:cs="Arial"/>
          <w:sz w:val="20"/>
          <w:szCs w:val="20"/>
        </w:rPr>
        <w:t xml:space="preserve">he number of </w:t>
      </w:r>
      <w:r w:rsidR="004A2652" w:rsidRPr="00666016">
        <w:rPr>
          <w:rFonts w:ascii="Arial" w:eastAsiaTheme="minorEastAsia" w:hAnsi="Arial" w:cs="Arial"/>
          <w:sz w:val="20"/>
          <w:szCs w:val="20"/>
        </w:rPr>
        <w:t>new</w:t>
      </w:r>
      <w:r w:rsidR="004A2652" w:rsidRPr="00C8670F">
        <w:rPr>
          <w:rFonts w:ascii="Arial" w:eastAsiaTheme="minorEastAsia" w:hAnsi="Arial" w:cs="Arial"/>
          <w:sz w:val="20"/>
          <w:szCs w:val="20"/>
        </w:rPr>
        <w:t xml:space="preserve"> rateable properties has been declining over the past 10 years</w:t>
      </w:r>
      <w:r w:rsidR="00A6559D">
        <w:rPr>
          <w:rFonts w:ascii="Arial" w:eastAsiaTheme="minorEastAsia" w:hAnsi="Arial" w:cs="Arial"/>
          <w:sz w:val="20"/>
          <w:szCs w:val="20"/>
        </w:rPr>
        <w:t>, from 130 to 2004/05 to just 35 in 2013/14.</w:t>
      </w:r>
    </w:p>
    <w:p w14:paraId="09BE5A21" w14:textId="5FD9E97E" w:rsidR="004A2652" w:rsidRDefault="004A2652" w:rsidP="004A2652">
      <w:pPr>
        <w:spacing w:afterLines="80" w:after="192" w:line="360" w:lineRule="auto"/>
        <w:jc w:val="both"/>
        <w:rPr>
          <w:rFonts w:ascii="Arial" w:eastAsiaTheme="minorEastAsia" w:hAnsi="Arial" w:cs="Arial"/>
          <w:sz w:val="20"/>
          <w:szCs w:val="20"/>
        </w:rPr>
      </w:pPr>
    </w:p>
    <w:p w14:paraId="669456CA" w14:textId="77777777" w:rsidR="004A2652" w:rsidRDefault="004A2652" w:rsidP="004A2652">
      <w:pPr>
        <w:spacing w:afterLines="80" w:after="192" w:line="276" w:lineRule="auto"/>
        <w:jc w:val="both"/>
        <w:rPr>
          <w:rFonts w:ascii="Arial" w:eastAsiaTheme="minorEastAsia" w:hAnsi="Arial" w:cs="Arial"/>
          <w:sz w:val="20"/>
          <w:szCs w:val="20"/>
        </w:rPr>
      </w:pPr>
    </w:p>
    <w:p w14:paraId="63D26310" w14:textId="77777777" w:rsidR="004A2652" w:rsidRDefault="004A2652" w:rsidP="004A2652">
      <w:pPr>
        <w:spacing w:afterLines="80" w:after="192" w:line="276" w:lineRule="auto"/>
        <w:jc w:val="both"/>
        <w:rPr>
          <w:rFonts w:ascii="Arial" w:eastAsiaTheme="minorEastAsia" w:hAnsi="Arial" w:cs="Arial"/>
          <w:sz w:val="20"/>
          <w:szCs w:val="20"/>
        </w:rPr>
      </w:pPr>
    </w:p>
    <w:p w14:paraId="192F5B4B" w14:textId="77777777" w:rsidR="004A2652" w:rsidRDefault="004A2652" w:rsidP="004A2652">
      <w:pPr>
        <w:spacing w:afterLines="80" w:after="192" w:line="276" w:lineRule="auto"/>
        <w:jc w:val="both"/>
        <w:rPr>
          <w:rFonts w:ascii="Arial" w:eastAsiaTheme="minorEastAsia" w:hAnsi="Arial" w:cs="Arial"/>
          <w:sz w:val="20"/>
          <w:szCs w:val="20"/>
        </w:rPr>
      </w:pPr>
    </w:p>
    <w:p w14:paraId="48CE1719" w14:textId="77777777" w:rsidR="004A2652" w:rsidRDefault="004A2652" w:rsidP="004A2652">
      <w:pPr>
        <w:spacing w:afterLines="80" w:after="192" w:line="276" w:lineRule="auto"/>
        <w:jc w:val="both"/>
        <w:rPr>
          <w:rFonts w:ascii="Arial" w:eastAsiaTheme="minorEastAsia" w:hAnsi="Arial" w:cs="Arial"/>
          <w:sz w:val="20"/>
          <w:szCs w:val="20"/>
        </w:rPr>
      </w:pPr>
    </w:p>
    <w:p w14:paraId="25590588" w14:textId="77777777" w:rsidR="004A2652" w:rsidRDefault="004A2652" w:rsidP="004A2652">
      <w:pPr>
        <w:spacing w:afterLines="80" w:after="192" w:line="276" w:lineRule="auto"/>
        <w:jc w:val="both"/>
        <w:rPr>
          <w:rFonts w:ascii="Arial" w:eastAsiaTheme="minorEastAsia" w:hAnsi="Arial" w:cs="Arial"/>
          <w:sz w:val="20"/>
          <w:szCs w:val="20"/>
        </w:rPr>
      </w:pPr>
    </w:p>
    <w:p w14:paraId="320BFEDC" w14:textId="77777777" w:rsidR="004A2652" w:rsidRPr="00DE1802" w:rsidRDefault="004A2652" w:rsidP="00401AA8">
      <w:pPr>
        <w:spacing w:afterLines="80" w:after="192" w:line="276" w:lineRule="auto"/>
        <w:jc w:val="both"/>
        <w:rPr>
          <w:rFonts w:ascii="Arial" w:eastAsiaTheme="minorHAnsi" w:hAnsi="Arial" w:cs="Arial"/>
          <w:b/>
          <w:i/>
          <w:color w:val="000000"/>
          <w:sz w:val="20"/>
          <w:szCs w:val="20"/>
          <w:lang w:eastAsia="en-US"/>
        </w:rPr>
      </w:pPr>
      <w:r w:rsidRPr="00DE1802">
        <w:rPr>
          <w:rFonts w:ascii="Arial" w:eastAsiaTheme="minorHAnsi" w:hAnsi="Arial" w:cs="Arial"/>
          <w:b/>
          <w:i/>
          <w:color w:val="000000"/>
          <w:sz w:val="20"/>
          <w:szCs w:val="20"/>
          <w:lang w:eastAsia="en-US"/>
        </w:rPr>
        <w:t>New or higher user charges and alternative revenue/expenditure options</w:t>
      </w:r>
    </w:p>
    <w:p w14:paraId="113D1A16" w14:textId="77777777" w:rsidR="004A2652" w:rsidRDefault="004A2652" w:rsidP="00401AA8">
      <w:pPr>
        <w:autoSpaceDE w:val="0"/>
        <w:autoSpaceDN w:val="0"/>
        <w:adjustRightInd w:val="0"/>
        <w:spacing w:line="276" w:lineRule="auto"/>
        <w:jc w:val="both"/>
        <w:rPr>
          <w:rFonts w:ascii="Arial" w:hAnsi="Arial" w:cs="Arial"/>
          <w:spacing w:val="-2"/>
          <w:sz w:val="20"/>
          <w:szCs w:val="20"/>
        </w:rPr>
      </w:pPr>
      <w:r>
        <w:rPr>
          <w:rFonts w:ascii="Arial" w:hAnsi="Arial" w:cs="Arial"/>
          <w:sz w:val="20"/>
          <w:szCs w:val="20"/>
        </w:rPr>
        <w:t>As part of its annual business and budgeting process, the Council implements a comprehensive review of existing fees and charges to determine appropriate increases.</w:t>
      </w:r>
      <w:r w:rsidRPr="00231D20">
        <w:rPr>
          <w:rFonts w:ascii="Arial" w:hAnsi="Arial" w:cs="Arial"/>
          <w:spacing w:val="-2"/>
          <w:sz w:val="20"/>
          <w:szCs w:val="20"/>
        </w:rPr>
        <w:t xml:space="preserve"> </w:t>
      </w:r>
      <w:r>
        <w:rPr>
          <w:rFonts w:ascii="Arial" w:hAnsi="Arial" w:cs="Arial"/>
          <w:spacing w:val="-2"/>
          <w:sz w:val="20"/>
          <w:szCs w:val="20"/>
        </w:rPr>
        <w:t>A number of user fees and charges however, are restricted by legislation from being increased.</w:t>
      </w:r>
    </w:p>
    <w:p w14:paraId="701E8180" w14:textId="77777777" w:rsidR="004A2652" w:rsidRDefault="004A2652" w:rsidP="00401AA8">
      <w:pPr>
        <w:spacing w:line="276" w:lineRule="auto"/>
        <w:jc w:val="both"/>
        <w:rPr>
          <w:rFonts w:ascii="Arial" w:hAnsi="Arial" w:cs="Arial"/>
          <w:sz w:val="20"/>
          <w:szCs w:val="20"/>
        </w:rPr>
      </w:pPr>
    </w:p>
    <w:p w14:paraId="3E90644A" w14:textId="77777777" w:rsidR="00881E2D" w:rsidRDefault="004A2652" w:rsidP="00881E2D">
      <w:pPr>
        <w:spacing w:line="276" w:lineRule="auto"/>
        <w:jc w:val="both"/>
        <w:rPr>
          <w:rFonts w:ascii="Arial" w:hAnsi="Arial" w:cs="Arial"/>
          <w:sz w:val="20"/>
          <w:szCs w:val="20"/>
        </w:rPr>
      </w:pPr>
      <w:r>
        <w:rPr>
          <w:rFonts w:ascii="Arial" w:hAnsi="Arial" w:cs="Arial"/>
          <w:sz w:val="20"/>
          <w:szCs w:val="20"/>
        </w:rPr>
        <w:t xml:space="preserve">As part of </w:t>
      </w:r>
      <w:r w:rsidR="00881E2D">
        <w:rPr>
          <w:rFonts w:ascii="Arial" w:hAnsi="Arial" w:cs="Arial"/>
          <w:sz w:val="20"/>
          <w:szCs w:val="20"/>
        </w:rPr>
        <w:t xml:space="preserve">its </w:t>
      </w:r>
      <w:r>
        <w:rPr>
          <w:rFonts w:ascii="Arial" w:hAnsi="Arial" w:cs="Arial"/>
          <w:sz w:val="20"/>
          <w:szCs w:val="20"/>
        </w:rPr>
        <w:t>long term financial planning, the Council is c</w:t>
      </w:r>
      <w:r w:rsidR="00881E2D">
        <w:rPr>
          <w:rFonts w:ascii="Arial" w:hAnsi="Arial" w:cs="Arial"/>
          <w:sz w:val="20"/>
          <w:szCs w:val="20"/>
        </w:rPr>
        <w:t xml:space="preserve">ontinuing reviewing </w:t>
      </w:r>
      <w:r>
        <w:rPr>
          <w:rFonts w:ascii="Arial" w:hAnsi="Arial" w:cs="Arial"/>
          <w:sz w:val="20"/>
          <w:szCs w:val="20"/>
        </w:rPr>
        <w:t xml:space="preserve">all existing sources of </w:t>
      </w:r>
      <w:r w:rsidR="00881E2D">
        <w:rPr>
          <w:rFonts w:ascii="Arial" w:hAnsi="Arial" w:cs="Arial"/>
          <w:sz w:val="20"/>
          <w:szCs w:val="20"/>
        </w:rPr>
        <w:t xml:space="preserve">potential </w:t>
      </w:r>
      <w:r>
        <w:rPr>
          <w:rFonts w:ascii="Arial" w:hAnsi="Arial" w:cs="Arial"/>
          <w:sz w:val="20"/>
          <w:szCs w:val="20"/>
        </w:rPr>
        <w:t xml:space="preserve">revenue. This </w:t>
      </w:r>
      <w:r w:rsidR="00881E2D">
        <w:rPr>
          <w:rFonts w:ascii="Arial" w:hAnsi="Arial" w:cs="Arial"/>
          <w:sz w:val="20"/>
          <w:szCs w:val="20"/>
        </w:rPr>
        <w:t xml:space="preserve">includes reviewing: </w:t>
      </w:r>
    </w:p>
    <w:p w14:paraId="06E5C0B3" w14:textId="446435D0" w:rsidR="004A2652" w:rsidRPr="00881E2D" w:rsidRDefault="004A2652" w:rsidP="00881E2D">
      <w:pPr>
        <w:pStyle w:val="ListParagraph"/>
        <w:numPr>
          <w:ilvl w:val="0"/>
          <w:numId w:val="125"/>
        </w:numPr>
        <w:spacing w:line="276" w:lineRule="auto"/>
        <w:jc w:val="both"/>
        <w:rPr>
          <w:rFonts w:ascii="Arial" w:hAnsi="Arial" w:cs="Arial"/>
          <w:sz w:val="20"/>
          <w:szCs w:val="20"/>
        </w:rPr>
      </w:pPr>
      <w:r w:rsidRPr="00881E2D">
        <w:rPr>
          <w:rFonts w:ascii="Arial" w:hAnsi="Arial" w:cs="Arial"/>
          <w:sz w:val="20"/>
          <w:szCs w:val="20"/>
        </w:rPr>
        <w:t>Annual charges such as domestic waste management charges;</w:t>
      </w:r>
    </w:p>
    <w:p w14:paraId="371E3E56" w14:textId="77777777" w:rsidR="004A2652" w:rsidRPr="007B003A" w:rsidRDefault="004A2652" w:rsidP="00401AA8">
      <w:pPr>
        <w:pStyle w:val="ListParagraph"/>
        <w:numPr>
          <w:ilvl w:val="0"/>
          <w:numId w:val="33"/>
        </w:numPr>
        <w:spacing w:after="60" w:line="276" w:lineRule="auto"/>
        <w:jc w:val="both"/>
        <w:rPr>
          <w:rFonts w:ascii="Arial" w:hAnsi="Arial" w:cs="Arial"/>
          <w:sz w:val="20"/>
          <w:szCs w:val="20"/>
        </w:rPr>
      </w:pPr>
      <w:r w:rsidRPr="007B003A">
        <w:rPr>
          <w:rFonts w:ascii="Arial" w:hAnsi="Arial" w:cs="Arial"/>
          <w:sz w:val="20"/>
          <w:szCs w:val="20"/>
        </w:rPr>
        <w:t>Fees and charges;</w:t>
      </w:r>
    </w:p>
    <w:p w14:paraId="1E4A42A2" w14:textId="318DBCDD" w:rsidR="004A2652" w:rsidRPr="007B003A" w:rsidRDefault="004A2652" w:rsidP="00401AA8">
      <w:pPr>
        <w:pStyle w:val="ListParagraph"/>
        <w:numPr>
          <w:ilvl w:val="0"/>
          <w:numId w:val="33"/>
        </w:numPr>
        <w:spacing w:after="60" w:line="276" w:lineRule="auto"/>
        <w:jc w:val="both"/>
        <w:rPr>
          <w:rFonts w:ascii="Arial" w:hAnsi="Arial" w:cs="Arial"/>
          <w:sz w:val="20"/>
          <w:szCs w:val="20"/>
        </w:rPr>
      </w:pPr>
      <w:r w:rsidRPr="007B003A">
        <w:rPr>
          <w:rFonts w:ascii="Arial" w:hAnsi="Arial" w:cs="Arial"/>
          <w:sz w:val="20"/>
          <w:szCs w:val="20"/>
        </w:rPr>
        <w:t>Property Disposal and Investment Program</w:t>
      </w:r>
      <w:r w:rsidR="00881E2D">
        <w:rPr>
          <w:rFonts w:ascii="Arial" w:hAnsi="Arial" w:cs="Arial"/>
          <w:sz w:val="20"/>
          <w:szCs w:val="20"/>
        </w:rPr>
        <w:t xml:space="preserve"> revenue opportunities</w:t>
      </w:r>
      <w:r w:rsidRPr="007B003A">
        <w:rPr>
          <w:rFonts w:ascii="Arial" w:hAnsi="Arial" w:cs="Arial"/>
          <w:sz w:val="20"/>
          <w:szCs w:val="20"/>
        </w:rPr>
        <w:t>;</w:t>
      </w:r>
    </w:p>
    <w:p w14:paraId="21EB0F14" w14:textId="77777777" w:rsidR="004A2652" w:rsidRPr="007B003A" w:rsidRDefault="004A2652" w:rsidP="00401AA8">
      <w:pPr>
        <w:pStyle w:val="ListParagraph"/>
        <w:numPr>
          <w:ilvl w:val="0"/>
          <w:numId w:val="33"/>
        </w:numPr>
        <w:spacing w:after="60" w:line="276" w:lineRule="auto"/>
        <w:jc w:val="both"/>
        <w:rPr>
          <w:rFonts w:ascii="Arial" w:hAnsi="Arial" w:cs="Arial"/>
          <w:sz w:val="20"/>
          <w:szCs w:val="20"/>
        </w:rPr>
      </w:pPr>
      <w:r w:rsidRPr="007B003A">
        <w:rPr>
          <w:rFonts w:ascii="Arial" w:hAnsi="Arial" w:cs="Arial"/>
          <w:sz w:val="20"/>
          <w:szCs w:val="20"/>
        </w:rPr>
        <w:t>Commercial activities income;</w:t>
      </w:r>
    </w:p>
    <w:p w14:paraId="51AE3E04" w14:textId="77777777" w:rsidR="004A2652" w:rsidRPr="007B003A" w:rsidRDefault="004A2652" w:rsidP="00401AA8">
      <w:pPr>
        <w:pStyle w:val="ListParagraph"/>
        <w:numPr>
          <w:ilvl w:val="0"/>
          <w:numId w:val="33"/>
        </w:numPr>
        <w:spacing w:after="60" w:line="276" w:lineRule="auto"/>
        <w:jc w:val="both"/>
        <w:rPr>
          <w:rFonts w:ascii="Arial" w:hAnsi="Arial" w:cs="Arial"/>
          <w:sz w:val="20"/>
          <w:szCs w:val="20"/>
        </w:rPr>
      </w:pPr>
      <w:r w:rsidRPr="007B003A">
        <w:rPr>
          <w:rFonts w:ascii="Arial" w:hAnsi="Arial" w:cs="Arial"/>
          <w:sz w:val="20"/>
          <w:szCs w:val="20"/>
        </w:rPr>
        <w:t>Operational and capital grant income;</w:t>
      </w:r>
    </w:p>
    <w:p w14:paraId="248E11CC" w14:textId="77777777" w:rsidR="004A2652" w:rsidRPr="007B003A" w:rsidRDefault="004A2652" w:rsidP="00401AA8">
      <w:pPr>
        <w:pStyle w:val="ListParagraph"/>
        <w:numPr>
          <w:ilvl w:val="0"/>
          <w:numId w:val="33"/>
        </w:numPr>
        <w:spacing w:after="60" w:line="276" w:lineRule="auto"/>
        <w:jc w:val="both"/>
        <w:rPr>
          <w:rFonts w:ascii="Arial" w:hAnsi="Arial" w:cs="Arial"/>
          <w:sz w:val="20"/>
          <w:szCs w:val="20"/>
        </w:rPr>
      </w:pPr>
      <w:r w:rsidRPr="007B003A">
        <w:rPr>
          <w:rFonts w:ascii="Arial" w:hAnsi="Arial" w:cs="Arial"/>
          <w:sz w:val="20"/>
          <w:szCs w:val="20"/>
        </w:rPr>
        <w:t>Interest income; and</w:t>
      </w:r>
    </w:p>
    <w:p w14:paraId="794D79A0" w14:textId="77777777" w:rsidR="004A2652" w:rsidRPr="007B003A" w:rsidRDefault="004A2652" w:rsidP="00401AA8">
      <w:pPr>
        <w:pStyle w:val="ListParagraph"/>
        <w:numPr>
          <w:ilvl w:val="0"/>
          <w:numId w:val="33"/>
        </w:numPr>
        <w:spacing w:after="60" w:line="276" w:lineRule="auto"/>
        <w:jc w:val="both"/>
        <w:rPr>
          <w:rFonts w:ascii="Arial" w:hAnsi="Arial" w:cs="Arial"/>
          <w:sz w:val="20"/>
          <w:szCs w:val="20"/>
        </w:rPr>
      </w:pPr>
      <w:r w:rsidRPr="007B003A">
        <w:rPr>
          <w:rFonts w:ascii="Arial" w:hAnsi="Arial" w:cs="Arial"/>
          <w:sz w:val="20"/>
          <w:szCs w:val="20"/>
        </w:rPr>
        <w:t>Other revenue generating initiatives.</w:t>
      </w:r>
    </w:p>
    <w:p w14:paraId="2C3FEA02" w14:textId="77777777" w:rsidR="004A2652" w:rsidRDefault="004A2652" w:rsidP="00401AA8">
      <w:pPr>
        <w:autoSpaceDE w:val="0"/>
        <w:autoSpaceDN w:val="0"/>
        <w:adjustRightInd w:val="0"/>
        <w:spacing w:line="276" w:lineRule="auto"/>
        <w:jc w:val="both"/>
        <w:rPr>
          <w:rFonts w:ascii="Arial" w:hAnsi="Arial" w:cs="Arial"/>
          <w:sz w:val="20"/>
          <w:szCs w:val="20"/>
        </w:rPr>
      </w:pPr>
    </w:p>
    <w:p w14:paraId="2B01245F" w14:textId="77777777" w:rsidR="004A2652" w:rsidRDefault="004A2652" w:rsidP="000808ED">
      <w:pPr>
        <w:autoSpaceDE w:val="0"/>
        <w:autoSpaceDN w:val="0"/>
        <w:adjustRightInd w:val="0"/>
        <w:spacing w:line="276" w:lineRule="auto"/>
        <w:jc w:val="both"/>
        <w:rPr>
          <w:rFonts w:ascii="Arial" w:hAnsi="Arial" w:cs="Arial"/>
          <w:spacing w:val="-2"/>
          <w:sz w:val="20"/>
          <w:szCs w:val="20"/>
        </w:rPr>
      </w:pPr>
      <w:r w:rsidRPr="007B003A">
        <w:rPr>
          <w:rFonts w:ascii="Arial" w:hAnsi="Arial" w:cs="Arial"/>
          <w:sz w:val="20"/>
          <w:szCs w:val="20"/>
        </w:rPr>
        <w:t xml:space="preserve">While it is prudent that the Council </w:t>
      </w:r>
      <w:r>
        <w:rPr>
          <w:rFonts w:ascii="Arial" w:hAnsi="Arial" w:cs="Arial"/>
          <w:sz w:val="20"/>
          <w:szCs w:val="20"/>
        </w:rPr>
        <w:t xml:space="preserve">continues to </w:t>
      </w:r>
      <w:r w:rsidRPr="007B003A">
        <w:rPr>
          <w:rFonts w:ascii="Arial" w:hAnsi="Arial" w:cs="Arial"/>
          <w:sz w:val="20"/>
          <w:szCs w:val="20"/>
        </w:rPr>
        <w:t xml:space="preserve">maximise all </w:t>
      </w:r>
      <w:r w:rsidRPr="007B003A">
        <w:rPr>
          <w:rFonts w:ascii="Arial" w:hAnsi="Arial" w:cs="Arial"/>
          <w:spacing w:val="-1"/>
          <w:sz w:val="20"/>
          <w:szCs w:val="20"/>
        </w:rPr>
        <w:t>current</w:t>
      </w:r>
      <w:r w:rsidRPr="007B003A">
        <w:rPr>
          <w:rFonts w:ascii="Arial" w:hAnsi="Arial" w:cs="Arial"/>
          <w:sz w:val="20"/>
          <w:szCs w:val="20"/>
        </w:rPr>
        <w:t xml:space="preserve"> and </w:t>
      </w:r>
      <w:r w:rsidRPr="007B003A">
        <w:rPr>
          <w:rFonts w:ascii="Arial" w:hAnsi="Arial" w:cs="Arial"/>
          <w:spacing w:val="-1"/>
          <w:sz w:val="20"/>
          <w:szCs w:val="20"/>
        </w:rPr>
        <w:t>future</w:t>
      </w:r>
      <w:r w:rsidRPr="007B003A">
        <w:rPr>
          <w:rFonts w:ascii="Arial" w:hAnsi="Arial" w:cs="Arial"/>
          <w:sz w:val="20"/>
          <w:szCs w:val="20"/>
        </w:rPr>
        <w:t xml:space="preserve"> </w:t>
      </w:r>
      <w:r w:rsidRPr="007B003A">
        <w:rPr>
          <w:rFonts w:ascii="Arial" w:hAnsi="Arial" w:cs="Arial"/>
          <w:spacing w:val="-1"/>
          <w:sz w:val="20"/>
          <w:szCs w:val="20"/>
        </w:rPr>
        <w:t>revenue</w:t>
      </w:r>
      <w:r w:rsidRPr="007B003A">
        <w:rPr>
          <w:rFonts w:ascii="Arial" w:hAnsi="Arial" w:cs="Arial"/>
          <w:sz w:val="20"/>
          <w:szCs w:val="20"/>
        </w:rPr>
        <w:t xml:space="preserve"> </w:t>
      </w:r>
      <w:r w:rsidRPr="007B003A">
        <w:rPr>
          <w:rFonts w:ascii="Arial" w:hAnsi="Arial" w:cs="Arial"/>
          <w:spacing w:val="-1"/>
          <w:sz w:val="20"/>
          <w:szCs w:val="20"/>
        </w:rPr>
        <w:t>streams</w:t>
      </w:r>
      <w:r w:rsidRPr="007B003A">
        <w:rPr>
          <w:rFonts w:ascii="Arial" w:hAnsi="Arial" w:cs="Arial"/>
          <w:sz w:val="20"/>
          <w:szCs w:val="20"/>
        </w:rPr>
        <w:t xml:space="preserve"> to fulfil the</w:t>
      </w:r>
      <w:r w:rsidRPr="007B003A">
        <w:rPr>
          <w:rFonts w:ascii="Arial" w:hAnsi="Arial" w:cs="Arial"/>
          <w:spacing w:val="23"/>
          <w:sz w:val="20"/>
          <w:szCs w:val="20"/>
        </w:rPr>
        <w:t xml:space="preserve"> </w:t>
      </w:r>
      <w:r w:rsidRPr="007B003A">
        <w:rPr>
          <w:rFonts w:ascii="Arial" w:hAnsi="Arial" w:cs="Arial"/>
          <w:sz w:val="20"/>
          <w:szCs w:val="20"/>
        </w:rPr>
        <w:t xml:space="preserve">community needs, this </w:t>
      </w:r>
      <w:r>
        <w:rPr>
          <w:rFonts w:ascii="Arial" w:hAnsi="Arial" w:cs="Arial"/>
          <w:sz w:val="20"/>
          <w:szCs w:val="20"/>
        </w:rPr>
        <w:t>is</w:t>
      </w:r>
      <w:r w:rsidRPr="007B003A">
        <w:rPr>
          <w:rFonts w:ascii="Arial" w:hAnsi="Arial" w:cs="Arial"/>
          <w:sz w:val="20"/>
          <w:szCs w:val="20"/>
        </w:rPr>
        <w:t xml:space="preserve"> be</w:t>
      </w:r>
      <w:r>
        <w:rPr>
          <w:rFonts w:ascii="Arial" w:hAnsi="Arial" w:cs="Arial"/>
          <w:sz w:val="20"/>
          <w:szCs w:val="20"/>
        </w:rPr>
        <w:t>ing</w:t>
      </w:r>
      <w:r w:rsidRPr="007B003A">
        <w:rPr>
          <w:rFonts w:ascii="Arial" w:hAnsi="Arial" w:cs="Arial"/>
          <w:sz w:val="20"/>
          <w:szCs w:val="20"/>
        </w:rPr>
        <w:t xml:space="preserve"> balanced against socio-economic </w:t>
      </w:r>
      <w:r w:rsidRPr="007B003A">
        <w:rPr>
          <w:rFonts w:ascii="Arial" w:hAnsi="Arial" w:cs="Arial"/>
          <w:spacing w:val="-1"/>
          <w:sz w:val="20"/>
          <w:szCs w:val="20"/>
        </w:rPr>
        <w:t>realities</w:t>
      </w:r>
      <w:r w:rsidRPr="007B003A">
        <w:rPr>
          <w:rFonts w:ascii="Arial" w:hAnsi="Arial" w:cs="Arial"/>
          <w:sz w:val="20"/>
          <w:szCs w:val="20"/>
        </w:rPr>
        <w:t xml:space="preserve"> and principles of fairness</w:t>
      </w:r>
      <w:r w:rsidRPr="007B003A">
        <w:rPr>
          <w:rFonts w:ascii="Arial" w:hAnsi="Arial" w:cs="Arial"/>
          <w:spacing w:val="28"/>
          <w:sz w:val="20"/>
          <w:szCs w:val="20"/>
        </w:rPr>
        <w:t xml:space="preserve"> </w:t>
      </w:r>
      <w:r w:rsidRPr="007B003A">
        <w:rPr>
          <w:rFonts w:ascii="Arial" w:hAnsi="Arial" w:cs="Arial"/>
          <w:sz w:val="20"/>
          <w:szCs w:val="20"/>
        </w:rPr>
        <w:t xml:space="preserve">and </w:t>
      </w:r>
      <w:r w:rsidRPr="007B003A">
        <w:rPr>
          <w:rFonts w:ascii="Arial" w:hAnsi="Arial" w:cs="Arial"/>
          <w:spacing w:val="-2"/>
          <w:sz w:val="20"/>
          <w:szCs w:val="20"/>
        </w:rPr>
        <w:t>affordability.</w:t>
      </w:r>
      <w:r>
        <w:rPr>
          <w:rFonts w:ascii="Arial" w:hAnsi="Arial" w:cs="Arial"/>
          <w:spacing w:val="-2"/>
          <w:sz w:val="20"/>
          <w:szCs w:val="20"/>
        </w:rPr>
        <w:t xml:space="preserve"> </w:t>
      </w:r>
    </w:p>
    <w:p w14:paraId="6E7849D8" w14:textId="43460D24" w:rsidR="008527C9" w:rsidRDefault="004A2652" w:rsidP="000808ED">
      <w:pPr>
        <w:pStyle w:val="ListBullet"/>
        <w:numPr>
          <w:ilvl w:val="0"/>
          <w:numId w:val="0"/>
        </w:numPr>
        <w:spacing w:line="276" w:lineRule="auto"/>
        <w:rPr>
          <w:rFonts w:ascii="Arial" w:eastAsiaTheme="minorHAnsi" w:hAnsi="Arial" w:cs="Arial"/>
          <w:color w:val="000000"/>
          <w:sz w:val="20"/>
          <w:szCs w:val="20"/>
          <w:lang w:eastAsia="en-US"/>
        </w:rPr>
      </w:pPr>
      <w:r w:rsidRPr="00491BFA">
        <w:rPr>
          <w:rFonts w:ascii="Arial" w:eastAsiaTheme="minorHAnsi" w:hAnsi="Arial" w:cs="Arial"/>
          <w:color w:val="000000"/>
          <w:sz w:val="20"/>
          <w:szCs w:val="20"/>
          <w:lang w:eastAsia="en-US"/>
        </w:rPr>
        <w:t xml:space="preserve">While </w:t>
      </w:r>
      <w:r>
        <w:rPr>
          <w:rFonts w:ascii="Arial" w:eastAsiaTheme="minorHAnsi" w:hAnsi="Arial" w:cs="Arial"/>
          <w:color w:val="000000"/>
          <w:sz w:val="20"/>
          <w:szCs w:val="20"/>
          <w:lang w:eastAsia="en-US"/>
        </w:rPr>
        <w:t>the Council</w:t>
      </w:r>
      <w:r w:rsidRPr="00491BFA">
        <w:rPr>
          <w:rFonts w:ascii="Arial" w:eastAsiaTheme="minorHAnsi" w:hAnsi="Arial" w:cs="Arial"/>
          <w:color w:val="000000"/>
          <w:sz w:val="20"/>
          <w:szCs w:val="20"/>
          <w:lang w:eastAsia="en-US"/>
        </w:rPr>
        <w:t xml:space="preserve"> ha</w:t>
      </w:r>
      <w:r>
        <w:rPr>
          <w:rFonts w:ascii="Arial" w:eastAsiaTheme="minorHAnsi" w:hAnsi="Arial" w:cs="Arial"/>
          <w:color w:val="000000"/>
          <w:sz w:val="20"/>
          <w:szCs w:val="20"/>
          <w:lang w:eastAsia="en-US"/>
        </w:rPr>
        <w:t>s</w:t>
      </w:r>
      <w:r w:rsidRPr="00491BFA">
        <w:rPr>
          <w:rFonts w:ascii="Arial" w:eastAsiaTheme="minorHAnsi" w:hAnsi="Arial" w:cs="Arial"/>
          <w:color w:val="000000"/>
          <w:sz w:val="20"/>
          <w:szCs w:val="20"/>
          <w:lang w:eastAsia="en-US"/>
        </w:rPr>
        <w:t xml:space="preserve"> been very successful sourcing alternative revenue and </w:t>
      </w:r>
      <w:r>
        <w:rPr>
          <w:rFonts w:ascii="Arial" w:eastAsiaTheme="minorHAnsi" w:hAnsi="Arial" w:cs="Arial"/>
          <w:color w:val="000000"/>
          <w:sz w:val="20"/>
          <w:szCs w:val="20"/>
          <w:lang w:eastAsia="en-US"/>
        </w:rPr>
        <w:t xml:space="preserve">other </w:t>
      </w:r>
      <w:r w:rsidRPr="00491BFA">
        <w:rPr>
          <w:rFonts w:ascii="Arial" w:eastAsiaTheme="minorHAnsi" w:hAnsi="Arial" w:cs="Arial"/>
          <w:color w:val="000000"/>
          <w:sz w:val="20"/>
          <w:szCs w:val="20"/>
          <w:lang w:eastAsia="en-US"/>
        </w:rPr>
        <w:t>f</w:t>
      </w:r>
      <w:r>
        <w:rPr>
          <w:rFonts w:ascii="Arial" w:eastAsiaTheme="minorHAnsi" w:hAnsi="Arial" w:cs="Arial"/>
          <w:color w:val="000000"/>
          <w:sz w:val="20"/>
          <w:szCs w:val="20"/>
          <w:lang w:eastAsia="en-US"/>
        </w:rPr>
        <w:t>unding</w:t>
      </w:r>
      <w:r w:rsidRPr="00491BFA">
        <w:rPr>
          <w:rFonts w:ascii="Arial" w:eastAsiaTheme="minorHAnsi" w:hAnsi="Arial" w:cs="Arial"/>
          <w:color w:val="000000"/>
          <w:sz w:val="20"/>
          <w:szCs w:val="20"/>
          <w:lang w:eastAsia="en-US"/>
        </w:rPr>
        <w:t xml:space="preserve"> options in the past</w:t>
      </w:r>
      <w:r>
        <w:rPr>
          <w:rFonts w:ascii="Arial" w:eastAsiaTheme="minorHAnsi" w:hAnsi="Arial" w:cs="Arial"/>
          <w:color w:val="000000"/>
          <w:sz w:val="20"/>
          <w:szCs w:val="20"/>
          <w:lang w:eastAsia="en-US"/>
        </w:rPr>
        <w:t xml:space="preserve">, there is never any certainty about funding from other levels of government for </w:t>
      </w:r>
      <w:r w:rsidRPr="00491BFA">
        <w:rPr>
          <w:rFonts w:ascii="Arial" w:eastAsiaTheme="minorHAnsi" w:hAnsi="Arial" w:cs="Arial"/>
          <w:color w:val="000000"/>
          <w:sz w:val="20"/>
          <w:szCs w:val="20"/>
          <w:lang w:eastAsia="en-US"/>
        </w:rPr>
        <w:t>priority planned projects</w:t>
      </w:r>
      <w:r>
        <w:rPr>
          <w:rFonts w:ascii="Arial" w:eastAsiaTheme="minorHAnsi" w:hAnsi="Arial" w:cs="Arial"/>
          <w:color w:val="000000"/>
          <w:sz w:val="20"/>
          <w:szCs w:val="20"/>
          <w:lang w:eastAsia="en-US"/>
        </w:rPr>
        <w:t>. I</w:t>
      </w:r>
      <w:r w:rsidRPr="00491BFA">
        <w:rPr>
          <w:rFonts w:ascii="Arial" w:eastAsiaTheme="minorHAnsi" w:hAnsi="Arial" w:cs="Arial"/>
          <w:color w:val="000000"/>
          <w:sz w:val="20"/>
          <w:szCs w:val="20"/>
          <w:lang w:eastAsia="en-US"/>
        </w:rPr>
        <w:t>t is evident from the scale of the Council’s projected finan</w:t>
      </w:r>
      <w:r>
        <w:rPr>
          <w:rFonts w:ascii="Arial" w:eastAsiaTheme="minorHAnsi" w:hAnsi="Arial" w:cs="Arial"/>
          <w:color w:val="000000"/>
          <w:sz w:val="20"/>
          <w:szCs w:val="20"/>
          <w:lang w:eastAsia="en-US"/>
        </w:rPr>
        <w:t xml:space="preserve">cial position, that </w:t>
      </w:r>
      <w:r w:rsidRPr="00491BFA">
        <w:rPr>
          <w:rFonts w:ascii="Arial" w:eastAsiaTheme="minorHAnsi" w:hAnsi="Arial" w:cs="Arial"/>
          <w:color w:val="000000"/>
          <w:sz w:val="20"/>
          <w:szCs w:val="20"/>
          <w:lang w:eastAsia="en-US"/>
        </w:rPr>
        <w:t>such alternative</w:t>
      </w:r>
      <w:r>
        <w:rPr>
          <w:rFonts w:ascii="Arial" w:eastAsiaTheme="minorHAnsi" w:hAnsi="Arial" w:cs="Arial"/>
          <w:color w:val="000000"/>
          <w:sz w:val="20"/>
          <w:szCs w:val="20"/>
          <w:lang w:eastAsia="en-US"/>
        </w:rPr>
        <w:t xml:space="preserve"> funding sources, on their own, </w:t>
      </w:r>
      <w:r w:rsidRPr="00491BFA">
        <w:rPr>
          <w:rFonts w:ascii="Arial" w:eastAsiaTheme="minorHAnsi" w:hAnsi="Arial" w:cs="Arial"/>
          <w:color w:val="000000"/>
          <w:sz w:val="20"/>
          <w:szCs w:val="20"/>
          <w:lang w:eastAsia="en-US"/>
        </w:rPr>
        <w:t xml:space="preserve">will not adequately address the challenges. </w:t>
      </w:r>
      <w:r>
        <w:rPr>
          <w:rFonts w:ascii="Arial" w:eastAsiaTheme="minorHAnsi" w:hAnsi="Arial" w:cs="Arial"/>
          <w:color w:val="000000"/>
          <w:sz w:val="20"/>
          <w:szCs w:val="20"/>
          <w:lang w:eastAsia="en-US"/>
        </w:rPr>
        <w:t xml:space="preserve">The </w:t>
      </w:r>
      <w:r w:rsidRPr="00491BFA">
        <w:rPr>
          <w:rFonts w:ascii="Arial" w:eastAsiaTheme="minorHAnsi" w:hAnsi="Arial" w:cs="Arial"/>
          <w:color w:val="000000"/>
          <w:sz w:val="20"/>
          <w:szCs w:val="20"/>
          <w:lang w:eastAsia="en-US"/>
        </w:rPr>
        <w:t>Council’s ageing infrastructure</w:t>
      </w:r>
      <w:r>
        <w:rPr>
          <w:rFonts w:ascii="Arial" w:eastAsiaTheme="minorHAnsi" w:hAnsi="Arial" w:cs="Arial"/>
          <w:color w:val="000000"/>
          <w:sz w:val="20"/>
          <w:szCs w:val="20"/>
          <w:lang w:eastAsia="en-US"/>
        </w:rPr>
        <w:t xml:space="preserve"> </w:t>
      </w:r>
      <w:r w:rsidRPr="00491BFA">
        <w:rPr>
          <w:rFonts w:ascii="Arial" w:eastAsiaTheme="minorHAnsi" w:hAnsi="Arial" w:cs="Arial"/>
          <w:color w:val="000000"/>
          <w:sz w:val="20"/>
          <w:szCs w:val="20"/>
          <w:lang w:eastAsia="en-US"/>
        </w:rPr>
        <w:t>need</w:t>
      </w:r>
      <w:r>
        <w:rPr>
          <w:rFonts w:ascii="Arial" w:eastAsiaTheme="minorHAnsi" w:hAnsi="Arial" w:cs="Arial"/>
          <w:color w:val="000000"/>
          <w:sz w:val="20"/>
          <w:szCs w:val="20"/>
          <w:lang w:eastAsia="en-US"/>
        </w:rPr>
        <w:t>s</w:t>
      </w:r>
      <w:r w:rsidRPr="00491BFA">
        <w:rPr>
          <w:rFonts w:ascii="Arial" w:eastAsiaTheme="minorHAnsi" w:hAnsi="Arial" w:cs="Arial"/>
          <w:color w:val="000000"/>
          <w:sz w:val="20"/>
          <w:szCs w:val="20"/>
          <w:lang w:eastAsia="en-US"/>
        </w:rPr>
        <w:t xml:space="preserve"> sustained, reliable sources of income which </w:t>
      </w:r>
      <w:r>
        <w:rPr>
          <w:rFonts w:ascii="Arial" w:eastAsiaTheme="minorHAnsi" w:hAnsi="Arial" w:cs="Arial"/>
          <w:color w:val="000000"/>
          <w:sz w:val="20"/>
          <w:szCs w:val="20"/>
          <w:lang w:eastAsia="en-US"/>
        </w:rPr>
        <w:t>the proposed</w:t>
      </w:r>
      <w:r w:rsidRPr="00491BFA">
        <w:rPr>
          <w:rFonts w:ascii="Arial" w:eastAsiaTheme="minorHAnsi" w:hAnsi="Arial" w:cs="Arial"/>
          <w:color w:val="000000"/>
          <w:sz w:val="20"/>
          <w:szCs w:val="20"/>
          <w:lang w:eastAsia="en-US"/>
        </w:rPr>
        <w:t xml:space="preserve"> special variation </w:t>
      </w:r>
      <w:r>
        <w:rPr>
          <w:rFonts w:ascii="Arial" w:eastAsiaTheme="minorHAnsi" w:hAnsi="Arial" w:cs="Arial"/>
          <w:color w:val="000000"/>
          <w:sz w:val="20"/>
          <w:szCs w:val="20"/>
          <w:lang w:eastAsia="en-US"/>
        </w:rPr>
        <w:t>will provide, on an ongoing basis.</w:t>
      </w:r>
    </w:p>
    <w:p w14:paraId="7172F3DE" w14:textId="77777777" w:rsidR="008527C9" w:rsidRDefault="008527C9">
      <w:pPr>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br w:type="page"/>
      </w:r>
    </w:p>
    <w:p w14:paraId="3309A76A" w14:textId="77777777" w:rsidR="004A2652" w:rsidRPr="00083008" w:rsidRDefault="004A2652" w:rsidP="000808ED">
      <w:pPr>
        <w:pStyle w:val="Heading3"/>
        <w:tabs>
          <w:tab w:val="clear" w:pos="1844"/>
          <w:tab w:val="num" w:pos="709"/>
        </w:tabs>
        <w:spacing w:line="276" w:lineRule="auto"/>
        <w:ind w:left="709"/>
      </w:pPr>
      <w:r>
        <w:t>W</w:t>
      </w:r>
      <w:r w:rsidRPr="00083008">
        <w:t>hy the special variation is the most appropriate option</w:t>
      </w:r>
    </w:p>
    <w:p w14:paraId="14685C7C" w14:textId="649B1496" w:rsidR="004A2652" w:rsidRDefault="004A2652" w:rsidP="00401AA8">
      <w:pPr>
        <w:pStyle w:val="ListBullet"/>
        <w:numPr>
          <w:ilvl w:val="0"/>
          <w:numId w:val="0"/>
        </w:numPr>
        <w:spacing w:line="276" w:lineRule="auto"/>
        <w:rPr>
          <w:rFonts w:ascii="Arial" w:hAnsi="Arial" w:cs="Arial"/>
          <w:sz w:val="20"/>
          <w:szCs w:val="20"/>
        </w:rPr>
      </w:pPr>
      <w:r>
        <w:rPr>
          <w:rFonts w:ascii="Arial" w:hAnsi="Arial" w:cs="Arial"/>
          <w:sz w:val="20"/>
          <w:szCs w:val="20"/>
        </w:rPr>
        <w:t xml:space="preserve">This special variation is the most appropriate </w:t>
      </w:r>
      <w:r w:rsidR="006C3D51">
        <w:rPr>
          <w:rFonts w:ascii="Arial" w:hAnsi="Arial" w:cs="Arial"/>
          <w:sz w:val="20"/>
          <w:szCs w:val="20"/>
        </w:rPr>
        <w:t xml:space="preserve">option </w:t>
      </w:r>
      <w:r w:rsidR="00384683">
        <w:rPr>
          <w:rFonts w:ascii="Arial" w:hAnsi="Arial" w:cs="Arial"/>
          <w:sz w:val="20"/>
          <w:szCs w:val="20"/>
        </w:rPr>
        <w:t xml:space="preserve">(combined with other options detailed above) </w:t>
      </w:r>
      <w:r>
        <w:rPr>
          <w:rFonts w:ascii="Arial" w:hAnsi="Arial" w:cs="Arial"/>
          <w:sz w:val="20"/>
          <w:szCs w:val="20"/>
        </w:rPr>
        <w:t>because</w:t>
      </w:r>
      <w:r w:rsidR="000808ED">
        <w:rPr>
          <w:rFonts w:ascii="Arial" w:hAnsi="Arial" w:cs="Arial"/>
          <w:sz w:val="20"/>
          <w:szCs w:val="20"/>
        </w:rPr>
        <w:t xml:space="preserve"> the Council has determined that</w:t>
      </w:r>
      <w:r>
        <w:rPr>
          <w:rFonts w:ascii="Arial" w:hAnsi="Arial" w:cs="Arial"/>
          <w:sz w:val="20"/>
          <w:szCs w:val="20"/>
        </w:rPr>
        <w:t>:</w:t>
      </w:r>
    </w:p>
    <w:p w14:paraId="6095C88B" w14:textId="77777777" w:rsidR="000808ED" w:rsidRPr="000808ED" w:rsidRDefault="004A2652" w:rsidP="00CE50FB">
      <w:pPr>
        <w:pStyle w:val="ListBullet"/>
        <w:numPr>
          <w:ilvl w:val="0"/>
          <w:numId w:val="74"/>
        </w:numPr>
        <w:spacing w:line="276" w:lineRule="auto"/>
        <w:rPr>
          <w:rFonts w:ascii="Arial" w:hAnsi="Arial" w:cs="Arial"/>
          <w:sz w:val="20"/>
          <w:szCs w:val="20"/>
        </w:rPr>
      </w:pPr>
      <w:r>
        <w:rPr>
          <w:rFonts w:ascii="Arial" w:hAnsi="Arial" w:cs="Arial"/>
          <w:sz w:val="20"/>
          <w:szCs w:val="20"/>
        </w:rPr>
        <w:t>A majority of the community who participated in the community consultation and engagement process have supported</w:t>
      </w:r>
      <w:r w:rsidR="00E92457">
        <w:rPr>
          <w:rFonts w:ascii="Arial" w:hAnsi="Arial" w:cs="Arial"/>
          <w:sz w:val="20"/>
          <w:szCs w:val="20"/>
        </w:rPr>
        <w:t xml:space="preserve"> the Council proceeding with making an application for a variation based on </w:t>
      </w:r>
      <w:r w:rsidRPr="00E6268A">
        <w:rPr>
          <w:rFonts w:ascii="Arial" w:hAnsi="Arial" w:cs="Arial"/>
          <w:i/>
          <w:sz w:val="20"/>
          <w:szCs w:val="20"/>
        </w:rPr>
        <w:t>Option 1: Service Levels Improved</w:t>
      </w:r>
      <w:r w:rsidR="000808ED">
        <w:rPr>
          <w:rFonts w:ascii="Arial" w:hAnsi="Arial" w:cs="Arial"/>
          <w:i/>
          <w:sz w:val="20"/>
          <w:szCs w:val="20"/>
        </w:rPr>
        <w:t xml:space="preserve"> </w:t>
      </w:r>
    </w:p>
    <w:p w14:paraId="02B0C5C3" w14:textId="5EB2B963" w:rsidR="004A2652" w:rsidRPr="00CE50FB" w:rsidRDefault="000808ED" w:rsidP="00CE50FB">
      <w:pPr>
        <w:pStyle w:val="ListBullet"/>
        <w:numPr>
          <w:ilvl w:val="0"/>
          <w:numId w:val="74"/>
        </w:numPr>
        <w:spacing w:line="276" w:lineRule="auto"/>
        <w:rPr>
          <w:rFonts w:ascii="Arial" w:hAnsi="Arial" w:cs="Arial"/>
          <w:sz w:val="20"/>
          <w:szCs w:val="20"/>
        </w:rPr>
      </w:pPr>
      <w:r>
        <w:rPr>
          <w:rFonts w:ascii="Arial" w:hAnsi="Arial" w:cs="Arial"/>
          <w:sz w:val="20"/>
          <w:szCs w:val="20"/>
        </w:rPr>
        <w:t xml:space="preserve">The Council has assessed that there is capacity to pay additional rate increases and that the Council’s proactive hardship and other </w:t>
      </w:r>
      <w:r w:rsidR="006C3D51">
        <w:rPr>
          <w:rFonts w:ascii="Arial" w:hAnsi="Arial" w:cs="Arial"/>
          <w:sz w:val="20"/>
          <w:szCs w:val="20"/>
        </w:rPr>
        <w:t xml:space="preserve">relief </w:t>
      </w:r>
      <w:r>
        <w:rPr>
          <w:rFonts w:ascii="Arial" w:hAnsi="Arial" w:cs="Arial"/>
          <w:sz w:val="20"/>
          <w:szCs w:val="20"/>
        </w:rPr>
        <w:t>mechanism</w:t>
      </w:r>
      <w:r w:rsidR="006C3D51">
        <w:rPr>
          <w:rFonts w:ascii="Arial" w:hAnsi="Arial" w:cs="Arial"/>
          <w:sz w:val="20"/>
          <w:szCs w:val="20"/>
        </w:rPr>
        <w:t>s</w:t>
      </w:r>
      <w:r>
        <w:rPr>
          <w:rFonts w:ascii="Arial" w:hAnsi="Arial" w:cs="Arial"/>
          <w:sz w:val="20"/>
          <w:szCs w:val="20"/>
        </w:rPr>
        <w:t xml:space="preserve"> will </w:t>
      </w:r>
      <w:r w:rsidR="006C3D51">
        <w:rPr>
          <w:rFonts w:ascii="Arial" w:hAnsi="Arial" w:cs="Arial"/>
          <w:sz w:val="20"/>
          <w:szCs w:val="20"/>
        </w:rPr>
        <w:t>support those suffering financial difficulties from any potential rate increase. The Council has also resolved to further review these measures with a view to ensuring these relief mechanisms continue to provide adequate support</w:t>
      </w:r>
      <w:r w:rsidR="004A2652">
        <w:rPr>
          <w:rFonts w:ascii="Arial" w:hAnsi="Arial" w:cs="Arial"/>
          <w:i/>
          <w:sz w:val="20"/>
          <w:szCs w:val="20"/>
        </w:rPr>
        <w:t xml:space="preserve">; </w:t>
      </w:r>
    </w:p>
    <w:p w14:paraId="02A2A7A2" w14:textId="6A9698E7" w:rsidR="00CE50FB" w:rsidRPr="00CE50FB" w:rsidRDefault="006C3D51" w:rsidP="00CE50FB">
      <w:pPr>
        <w:pStyle w:val="ListParagraph"/>
        <w:numPr>
          <w:ilvl w:val="0"/>
          <w:numId w:val="74"/>
        </w:numPr>
        <w:spacing w:before="240" w:line="276" w:lineRule="auto"/>
        <w:rPr>
          <w:rFonts w:ascii="Arial" w:eastAsia="Times New Roman" w:hAnsi="Arial" w:cs="Arial"/>
          <w:sz w:val="20"/>
          <w:szCs w:val="20"/>
          <w:lang w:eastAsia="en-AU"/>
        </w:rPr>
      </w:pPr>
      <w:r>
        <w:rPr>
          <w:rFonts w:ascii="Arial" w:eastAsia="Times New Roman" w:hAnsi="Arial" w:cs="Arial"/>
          <w:sz w:val="20"/>
          <w:szCs w:val="20"/>
          <w:lang w:eastAsia="en-AU"/>
        </w:rPr>
        <w:t xml:space="preserve">The special variation being sought </w:t>
      </w:r>
      <w:r w:rsidR="00CE50FB" w:rsidRPr="00CE50FB">
        <w:rPr>
          <w:rFonts w:ascii="Arial" w:eastAsia="Times New Roman" w:hAnsi="Arial" w:cs="Arial"/>
          <w:sz w:val="20"/>
          <w:szCs w:val="20"/>
          <w:lang w:eastAsia="en-AU"/>
        </w:rPr>
        <w:t xml:space="preserve">is a key component of the Council’s Six Point Strategy for Financial Sustainability developed in consultation with the community through integrated planning processes; </w:t>
      </w:r>
    </w:p>
    <w:p w14:paraId="529F6C9B" w14:textId="0FC210B2" w:rsidR="004A2652" w:rsidRDefault="004A2652" w:rsidP="00CE50FB">
      <w:pPr>
        <w:pStyle w:val="ListParagraph"/>
        <w:numPr>
          <w:ilvl w:val="0"/>
          <w:numId w:val="74"/>
        </w:numPr>
        <w:spacing w:before="240" w:line="276" w:lineRule="auto"/>
        <w:jc w:val="both"/>
        <w:rPr>
          <w:rFonts w:ascii="Arial" w:eastAsia="Times New Roman" w:hAnsi="Arial" w:cs="Arial"/>
          <w:sz w:val="20"/>
          <w:szCs w:val="20"/>
          <w:lang w:eastAsia="en-AU"/>
        </w:rPr>
      </w:pPr>
      <w:r>
        <w:rPr>
          <w:rFonts w:ascii="Arial" w:eastAsia="Times New Roman" w:hAnsi="Arial" w:cs="Arial"/>
          <w:sz w:val="20"/>
          <w:szCs w:val="20"/>
          <w:lang w:eastAsia="en-AU"/>
        </w:rPr>
        <w:t>Th</w:t>
      </w:r>
      <w:r w:rsidR="00384683">
        <w:rPr>
          <w:rFonts w:ascii="Arial" w:eastAsia="Times New Roman" w:hAnsi="Arial" w:cs="Arial"/>
          <w:sz w:val="20"/>
          <w:szCs w:val="20"/>
          <w:lang w:eastAsia="en-AU"/>
        </w:rPr>
        <w:t>e</w:t>
      </w:r>
      <w:r>
        <w:rPr>
          <w:rFonts w:ascii="Arial" w:eastAsia="Times New Roman" w:hAnsi="Arial" w:cs="Arial"/>
          <w:sz w:val="20"/>
          <w:szCs w:val="20"/>
          <w:lang w:eastAsia="en-AU"/>
        </w:rPr>
        <w:t xml:space="preserve"> special variation is part of a two staged planned approach to increasing income through phased special variations developed in consultation with the community relative to engagement on the update of the Council’s Community Strategic Plan and Resourcing Strategy in 2012/2013. </w:t>
      </w:r>
    </w:p>
    <w:p w14:paraId="49165AF0" w14:textId="72394040" w:rsidR="004A2652" w:rsidRDefault="00CE50FB" w:rsidP="00CE50FB">
      <w:pPr>
        <w:pStyle w:val="ListParagraph"/>
        <w:numPr>
          <w:ilvl w:val="0"/>
          <w:numId w:val="74"/>
        </w:numPr>
        <w:spacing w:before="240" w:line="276" w:lineRule="auto"/>
        <w:jc w:val="both"/>
        <w:rPr>
          <w:rFonts w:ascii="Arial" w:eastAsia="Times New Roman" w:hAnsi="Arial" w:cs="Arial"/>
          <w:sz w:val="20"/>
          <w:szCs w:val="20"/>
          <w:lang w:eastAsia="en-AU"/>
        </w:rPr>
      </w:pPr>
      <w:r>
        <w:rPr>
          <w:rFonts w:ascii="Arial" w:hAnsi="Arial" w:cs="Arial"/>
          <w:color w:val="000000"/>
          <w:sz w:val="20"/>
          <w:szCs w:val="20"/>
        </w:rPr>
        <w:t>The s</w:t>
      </w:r>
      <w:r w:rsidRPr="00491BFA">
        <w:rPr>
          <w:rFonts w:ascii="Arial" w:hAnsi="Arial" w:cs="Arial"/>
          <w:color w:val="000000"/>
          <w:sz w:val="20"/>
          <w:szCs w:val="20"/>
        </w:rPr>
        <w:t>cale of the Council’s projected finan</w:t>
      </w:r>
      <w:r>
        <w:rPr>
          <w:rFonts w:ascii="Arial" w:hAnsi="Arial" w:cs="Arial"/>
          <w:color w:val="000000"/>
          <w:sz w:val="20"/>
          <w:szCs w:val="20"/>
        </w:rPr>
        <w:t xml:space="preserve">cial challenge indicates that only Option 1 provides the required </w:t>
      </w:r>
      <w:r w:rsidRPr="00491BFA">
        <w:rPr>
          <w:rFonts w:ascii="Arial" w:hAnsi="Arial" w:cs="Arial"/>
          <w:color w:val="000000"/>
          <w:sz w:val="20"/>
          <w:szCs w:val="20"/>
        </w:rPr>
        <w:t>sustained</w:t>
      </w:r>
      <w:r>
        <w:rPr>
          <w:rFonts w:ascii="Arial" w:hAnsi="Arial" w:cs="Arial"/>
          <w:color w:val="000000"/>
          <w:sz w:val="20"/>
          <w:szCs w:val="20"/>
        </w:rPr>
        <w:t xml:space="preserve">, </w:t>
      </w:r>
      <w:r w:rsidRPr="00491BFA">
        <w:rPr>
          <w:rFonts w:ascii="Arial" w:hAnsi="Arial" w:cs="Arial"/>
          <w:color w:val="000000"/>
          <w:sz w:val="20"/>
          <w:szCs w:val="20"/>
        </w:rPr>
        <w:t xml:space="preserve">reliable </w:t>
      </w:r>
      <w:r w:rsidRPr="00627856">
        <w:rPr>
          <w:rFonts w:ascii="Arial" w:hAnsi="Arial" w:cs="Arial"/>
          <w:color w:val="000000"/>
          <w:sz w:val="20"/>
          <w:szCs w:val="20"/>
          <w:u w:val="single"/>
        </w:rPr>
        <w:t>and</w:t>
      </w:r>
      <w:r>
        <w:rPr>
          <w:rFonts w:ascii="Arial" w:hAnsi="Arial" w:cs="Arial"/>
          <w:color w:val="000000"/>
          <w:sz w:val="20"/>
          <w:szCs w:val="20"/>
        </w:rPr>
        <w:t xml:space="preserve"> ongoing </w:t>
      </w:r>
      <w:r w:rsidRPr="00491BFA">
        <w:rPr>
          <w:rFonts w:ascii="Arial" w:hAnsi="Arial" w:cs="Arial"/>
          <w:color w:val="000000"/>
          <w:sz w:val="20"/>
          <w:szCs w:val="20"/>
        </w:rPr>
        <w:t>source of income</w:t>
      </w:r>
      <w:r>
        <w:rPr>
          <w:rFonts w:ascii="Arial" w:hAnsi="Arial" w:cs="Arial"/>
          <w:color w:val="000000"/>
          <w:sz w:val="20"/>
          <w:szCs w:val="20"/>
        </w:rPr>
        <w:t xml:space="preserve"> to address the infrastructure backlog</w:t>
      </w:r>
      <w:r w:rsidR="000808ED">
        <w:rPr>
          <w:rFonts w:ascii="Arial" w:hAnsi="Arial" w:cs="Arial"/>
          <w:color w:val="000000"/>
          <w:sz w:val="20"/>
          <w:szCs w:val="20"/>
        </w:rPr>
        <w:t>.</w:t>
      </w:r>
      <w:r>
        <w:rPr>
          <w:rFonts w:ascii="Arial" w:eastAsia="Times New Roman" w:hAnsi="Arial" w:cs="Arial"/>
          <w:sz w:val="20"/>
          <w:szCs w:val="20"/>
          <w:lang w:eastAsia="en-AU"/>
        </w:rPr>
        <w:t xml:space="preserve"> </w:t>
      </w:r>
      <w:r w:rsidR="004A2652">
        <w:rPr>
          <w:rFonts w:ascii="Arial" w:eastAsia="Times New Roman" w:hAnsi="Arial" w:cs="Arial"/>
          <w:sz w:val="20"/>
          <w:szCs w:val="20"/>
          <w:lang w:eastAsia="en-AU"/>
        </w:rPr>
        <w:t xml:space="preserve">It is the </w:t>
      </w:r>
      <w:r w:rsidR="004A2652" w:rsidRPr="00C24103">
        <w:rPr>
          <w:rFonts w:ascii="Arial" w:eastAsia="Times New Roman" w:hAnsi="Arial" w:cs="Arial"/>
          <w:sz w:val="20"/>
          <w:szCs w:val="20"/>
          <w:lang w:eastAsia="en-AU"/>
        </w:rPr>
        <w:t xml:space="preserve">only option </w:t>
      </w:r>
      <w:r w:rsidR="004A2652">
        <w:rPr>
          <w:rFonts w:ascii="Arial" w:eastAsia="Times New Roman" w:hAnsi="Arial" w:cs="Arial"/>
          <w:sz w:val="20"/>
          <w:szCs w:val="20"/>
          <w:lang w:eastAsia="en-AU"/>
        </w:rPr>
        <w:t xml:space="preserve">of the three presented to community, that </w:t>
      </w:r>
      <w:r w:rsidR="004A2652" w:rsidRPr="00C24103">
        <w:rPr>
          <w:rFonts w:ascii="Arial" w:eastAsia="Times New Roman" w:hAnsi="Arial" w:cs="Arial"/>
          <w:sz w:val="20"/>
          <w:szCs w:val="20"/>
          <w:lang w:eastAsia="en-AU"/>
        </w:rPr>
        <w:t>revers</w:t>
      </w:r>
      <w:r w:rsidR="004A2652">
        <w:rPr>
          <w:rFonts w:ascii="Arial" w:eastAsia="Times New Roman" w:hAnsi="Arial" w:cs="Arial"/>
          <w:sz w:val="20"/>
          <w:szCs w:val="20"/>
          <w:lang w:eastAsia="en-AU"/>
        </w:rPr>
        <w:t>es</w:t>
      </w:r>
      <w:r w:rsidR="004A2652" w:rsidRPr="00C24103">
        <w:rPr>
          <w:rFonts w:ascii="Arial" w:eastAsia="Times New Roman" w:hAnsi="Arial" w:cs="Arial"/>
          <w:sz w:val="20"/>
          <w:szCs w:val="20"/>
          <w:lang w:eastAsia="en-AU"/>
        </w:rPr>
        <w:t xml:space="preserve"> the decline in the City’s built infrastructure </w:t>
      </w:r>
      <w:r w:rsidR="004A2652">
        <w:rPr>
          <w:rFonts w:ascii="Arial" w:eastAsia="Times New Roman" w:hAnsi="Arial" w:cs="Arial"/>
          <w:sz w:val="20"/>
          <w:szCs w:val="20"/>
          <w:lang w:eastAsia="en-AU"/>
        </w:rPr>
        <w:t xml:space="preserve">over 10 years </w:t>
      </w:r>
      <w:r w:rsidR="004A2652" w:rsidRPr="00C24103">
        <w:rPr>
          <w:rFonts w:ascii="Arial" w:eastAsia="Times New Roman" w:hAnsi="Arial" w:cs="Arial"/>
          <w:sz w:val="20"/>
          <w:szCs w:val="20"/>
          <w:lang w:eastAsia="en-AU"/>
        </w:rPr>
        <w:t>and mov</w:t>
      </w:r>
      <w:r w:rsidR="004A2652">
        <w:rPr>
          <w:rFonts w:ascii="Arial" w:eastAsia="Times New Roman" w:hAnsi="Arial" w:cs="Arial"/>
          <w:sz w:val="20"/>
          <w:szCs w:val="20"/>
          <w:lang w:eastAsia="en-AU"/>
        </w:rPr>
        <w:t>es</w:t>
      </w:r>
      <w:r w:rsidR="000808ED">
        <w:rPr>
          <w:rFonts w:ascii="Arial" w:eastAsia="Times New Roman" w:hAnsi="Arial" w:cs="Arial"/>
          <w:sz w:val="20"/>
          <w:szCs w:val="20"/>
          <w:lang w:eastAsia="en-AU"/>
        </w:rPr>
        <w:t xml:space="preserve"> the City towards being Fit F</w:t>
      </w:r>
      <w:r w:rsidR="004A2652" w:rsidRPr="00C24103">
        <w:rPr>
          <w:rFonts w:ascii="Arial" w:eastAsia="Times New Roman" w:hAnsi="Arial" w:cs="Arial"/>
          <w:sz w:val="20"/>
          <w:szCs w:val="20"/>
          <w:lang w:eastAsia="en-AU"/>
        </w:rPr>
        <w:t>or the Future, including delivering a sustainable Operating Result</w:t>
      </w:r>
      <w:r w:rsidR="004A2652">
        <w:rPr>
          <w:rFonts w:ascii="Arial" w:eastAsia="Times New Roman" w:hAnsi="Arial" w:cs="Arial"/>
          <w:sz w:val="20"/>
          <w:szCs w:val="20"/>
          <w:lang w:eastAsia="en-AU"/>
        </w:rPr>
        <w:t xml:space="preserve"> (see </w:t>
      </w:r>
      <w:r w:rsidR="004A2652" w:rsidRPr="00E92457">
        <w:rPr>
          <w:rFonts w:ascii="Arial" w:eastAsia="Times New Roman" w:hAnsi="Arial" w:cs="Arial"/>
          <w:b/>
          <w:sz w:val="20"/>
          <w:szCs w:val="20"/>
          <w:lang w:eastAsia="en-AU"/>
        </w:rPr>
        <w:t>Section 3.3 Financial Indicators</w:t>
      </w:r>
      <w:r w:rsidR="004A2652">
        <w:rPr>
          <w:rFonts w:ascii="Arial" w:eastAsia="Times New Roman" w:hAnsi="Arial" w:cs="Arial"/>
          <w:sz w:val="20"/>
          <w:szCs w:val="20"/>
          <w:lang w:eastAsia="en-AU"/>
        </w:rPr>
        <w:t xml:space="preserve">) </w:t>
      </w:r>
    </w:p>
    <w:p w14:paraId="46ED9143" w14:textId="01225446" w:rsidR="004A2652" w:rsidRPr="00041201" w:rsidRDefault="004A2652" w:rsidP="00CE50FB">
      <w:pPr>
        <w:pStyle w:val="ListParagraph"/>
        <w:numPr>
          <w:ilvl w:val="0"/>
          <w:numId w:val="74"/>
        </w:numPr>
        <w:spacing w:before="240" w:line="276" w:lineRule="auto"/>
        <w:jc w:val="both"/>
        <w:rPr>
          <w:rFonts w:ascii="Arial" w:eastAsia="Times New Roman" w:hAnsi="Arial" w:cs="Arial"/>
          <w:sz w:val="20"/>
          <w:szCs w:val="20"/>
          <w:lang w:eastAsia="en-AU"/>
        </w:rPr>
      </w:pPr>
      <w:r>
        <w:rPr>
          <w:rFonts w:ascii="Arial" w:eastAsia="Times New Roman" w:hAnsi="Arial" w:cs="Arial"/>
          <w:sz w:val="20"/>
          <w:szCs w:val="20"/>
          <w:lang w:eastAsia="en-AU"/>
        </w:rPr>
        <w:t xml:space="preserve">Seeking additional funding from a special variation has </w:t>
      </w:r>
      <w:r w:rsidRPr="00041201">
        <w:rPr>
          <w:rFonts w:ascii="Arial" w:eastAsia="Times New Roman" w:hAnsi="Arial" w:cs="Arial"/>
          <w:sz w:val="20"/>
          <w:szCs w:val="20"/>
          <w:lang w:eastAsia="en-AU"/>
        </w:rPr>
        <w:t>been identified by TCorp as a</w:t>
      </w:r>
      <w:r w:rsidR="00E92457">
        <w:rPr>
          <w:rFonts w:ascii="Arial" w:eastAsia="Times New Roman" w:hAnsi="Arial" w:cs="Arial"/>
          <w:sz w:val="20"/>
          <w:szCs w:val="20"/>
          <w:lang w:eastAsia="en-AU"/>
        </w:rPr>
        <w:t>n appropriate strategy for the City of Blue Mountains</w:t>
      </w:r>
      <w:r>
        <w:rPr>
          <w:rFonts w:ascii="Arial" w:eastAsia="Times New Roman" w:hAnsi="Arial" w:cs="Arial"/>
          <w:sz w:val="20"/>
          <w:szCs w:val="20"/>
          <w:lang w:eastAsia="en-AU"/>
        </w:rPr>
        <w:t>;</w:t>
      </w:r>
    </w:p>
    <w:p w14:paraId="22EA95FA" w14:textId="04F5622C" w:rsidR="004A2652" w:rsidRPr="00585476" w:rsidRDefault="004A2652" w:rsidP="00CE50FB">
      <w:pPr>
        <w:pStyle w:val="ListBullet"/>
        <w:numPr>
          <w:ilvl w:val="0"/>
          <w:numId w:val="74"/>
        </w:numPr>
        <w:spacing w:line="276" w:lineRule="auto"/>
        <w:rPr>
          <w:rFonts w:ascii="Arial" w:hAnsi="Arial" w:cs="Arial"/>
          <w:sz w:val="20"/>
          <w:szCs w:val="20"/>
        </w:rPr>
      </w:pPr>
      <w:r>
        <w:rPr>
          <w:rFonts w:ascii="Arial" w:hAnsi="Arial" w:cs="Arial"/>
          <w:sz w:val="20"/>
          <w:szCs w:val="20"/>
        </w:rPr>
        <w:t>The Council has actively assessed all possible options to address the financial challenge and this resulted in a six pronged strategy</w:t>
      </w:r>
      <w:r w:rsidR="00441EBE">
        <w:rPr>
          <w:rFonts w:ascii="Arial" w:hAnsi="Arial" w:cs="Arial"/>
          <w:sz w:val="20"/>
          <w:szCs w:val="20"/>
        </w:rPr>
        <w:t xml:space="preserve"> which is being actively implemented</w:t>
      </w:r>
      <w:r>
        <w:rPr>
          <w:rFonts w:ascii="Arial" w:hAnsi="Arial" w:cs="Arial"/>
          <w:sz w:val="20"/>
          <w:szCs w:val="20"/>
        </w:rPr>
        <w:t>;</w:t>
      </w:r>
      <w:r w:rsidR="00CE50FB">
        <w:rPr>
          <w:rFonts w:ascii="Arial" w:hAnsi="Arial" w:cs="Arial"/>
          <w:sz w:val="20"/>
          <w:szCs w:val="20"/>
        </w:rPr>
        <w:t xml:space="preserve"> and</w:t>
      </w:r>
    </w:p>
    <w:p w14:paraId="1C885B1C" w14:textId="66FD6D1B" w:rsidR="004A2652" w:rsidRDefault="004A2652" w:rsidP="00CE50FB">
      <w:pPr>
        <w:pStyle w:val="ListBullet"/>
        <w:numPr>
          <w:ilvl w:val="0"/>
          <w:numId w:val="74"/>
        </w:numPr>
        <w:spacing w:line="276" w:lineRule="auto"/>
        <w:rPr>
          <w:rFonts w:ascii="Arial" w:hAnsi="Arial" w:cs="Arial"/>
          <w:sz w:val="20"/>
          <w:szCs w:val="20"/>
        </w:rPr>
      </w:pPr>
      <w:r w:rsidRPr="00585476">
        <w:rPr>
          <w:rFonts w:ascii="Arial" w:hAnsi="Arial" w:cs="Arial"/>
          <w:sz w:val="20"/>
          <w:szCs w:val="20"/>
        </w:rPr>
        <w:t xml:space="preserve">The Council has reached its </w:t>
      </w:r>
      <w:r>
        <w:rPr>
          <w:rFonts w:ascii="Arial" w:hAnsi="Arial" w:cs="Arial"/>
          <w:sz w:val="20"/>
          <w:szCs w:val="20"/>
        </w:rPr>
        <w:t xml:space="preserve">current </w:t>
      </w:r>
      <w:r w:rsidRPr="00585476">
        <w:rPr>
          <w:rFonts w:ascii="Arial" w:hAnsi="Arial" w:cs="Arial"/>
          <w:sz w:val="20"/>
          <w:szCs w:val="20"/>
        </w:rPr>
        <w:t>capacity to incur any further borrowings and has limited alternative funding options</w:t>
      </w:r>
      <w:r w:rsidR="00CE50FB">
        <w:rPr>
          <w:rFonts w:ascii="Arial" w:hAnsi="Arial" w:cs="Arial"/>
          <w:sz w:val="20"/>
          <w:szCs w:val="20"/>
        </w:rPr>
        <w:t>.</w:t>
      </w:r>
    </w:p>
    <w:p w14:paraId="6A2C0E79" w14:textId="77777777" w:rsidR="004A2652" w:rsidRPr="00B22CC7" w:rsidRDefault="004A2652" w:rsidP="004A2652">
      <w:pPr>
        <w:pStyle w:val="Heading3"/>
        <w:tabs>
          <w:tab w:val="num" w:pos="709"/>
        </w:tabs>
        <w:ind w:left="709"/>
        <w:jc w:val="both"/>
      </w:pPr>
      <w:r w:rsidRPr="00B22CC7">
        <w:t>How the proposed special variation impacts the LTFP forecasts and how this relates to t</w:t>
      </w:r>
      <w:r>
        <w:t>he need the council identified</w:t>
      </w:r>
    </w:p>
    <w:p w14:paraId="37342EDE" w14:textId="77777777" w:rsidR="004A2652" w:rsidRDefault="004A2652" w:rsidP="004A2652">
      <w:pPr>
        <w:pStyle w:val="Default"/>
        <w:jc w:val="both"/>
        <w:rPr>
          <w:b/>
          <w:sz w:val="20"/>
          <w:szCs w:val="20"/>
        </w:rPr>
      </w:pPr>
    </w:p>
    <w:p w14:paraId="04C69FA0" w14:textId="77777777" w:rsidR="004A2652" w:rsidRPr="00336A66" w:rsidRDefault="004A2652" w:rsidP="00401AA8">
      <w:pPr>
        <w:spacing w:line="276" w:lineRule="auto"/>
        <w:jc w:val="both"/>
        <w:rPr>
          <w:rFonts w:ascii="Arial" w:hAnsi="Arial" w:cs="Arial"/>
          <w:b/>
          <w:sz w:val="20"/>
          <w:szCs w:val="20"/>
        </w:rPr>
      </w:pPr>
      <w:r w:rsidRPr="00336A66">
        <w:rPr>
          <w:rFonts w:ascii="Arial" w:hAnsi="Arial" w:cs="Arial"/>
          <w:b/>
          <w:sz w:val="20"/>
          <w:szCs w:val="20"/>
        </w:rPr>
        <w:t>Background</w:t>
      </w:r>
    </w:p>
    <w:p w14:paraId="52E68342" w14:textId="77953F96" w:rsidR="004A2652" w:rsidRPr="00336A66" w:rsidRDefault="004A2652" w:rsidP="00401AA8">
      <w:pPr>
        <w:spacing w:line="276" w:lineRule="auto"/>
        <w:jc w:val="both"/>
        <w:rPr>
          <w:rFonts w:ascii="Arial" w:hAnsi="Arial" w:cs="Arial"/>
          <w:sz w:val="20"/>
          <w:szCs w:val="20"/>
        </w:rPr>
      </w:pPr>
      <w:r w:rsidRPr="00336A66">
        <w:rPr>
          <w:rFonts w:ascii="Arial" w:hAnsi="Arial" w:cs="Arial"/>
          <w:sz w:val="20"/>
          <w:szCs w:val="20"/>
        </w:rPr>
        <w:t>The Council realises that it is imperative to be financially sustainable into the future</w:t>
      </w:r>
      <w:r>
        <w:rPr>
          <w:rFonts w:ascii="Arial" w:hAnsi="Arial" w:cs="Arial"/>
          <w:sz w:val="20"/>
          <w:szCs w:val="20"/>
        </w:rPr>
        <w:t>. That is</w:t>
      </w:r>
      <w:r w:rsidR="006141DD">
        <w:rPr>
          <w:rFonts w:ascii="Arial" w:hAnsi="Arial" w:cs="Arial"/>
          <w:sz w:val="20"/>
          <w:szCs w:val="20"/>
        </w:rPr>
        <w:t>,</w:t>
      </w:r>
      <w:r>
        <w:rPr>
          <w:rFonts w:ascii="Arial" w:hAnsi="Arial" w:cs="Arial"/>
          <w:sz w:val="20"/>
          <w:szCs w:val="20"/>
        </w:rPr>
        <w:t xml:space="preserve"> it must ensure that </w:t>
      </w:r>
      <w:r w:rsidRPr="00336A66">
        <w:rPr>
          <w:rFonts w:ascii="Arial" w:hAnsi="Arial" w:cs="Arial"/>
          <w:sz w:val="20"/>
          <w:szCs w:val="20"/>
        </w:rPr>
        <w:t xml:space="preserve">operating revenues cover operating costs over the longer term </w:t>
      </w:r>
      <w:r>
        <w:rPr>
          <w:rFonts w:ascii="Arial" w:hAnsi="Arial" w:cs="Arial"/>
          <w:sz w:val="20"/>
          <w:szCs w:val="20"/>
        </w:rPr>
        <w:t xml:space="preserve">so that </w:t>
      </w:r>
      <w:r w:rsidRPr="00336A66">
        <w:rPr>
          <w:rFonts w:ascii="Arial" w:hAnsi="Arial" w:cs="Arial"/>
          <w:sz w:val="20"/>
          <w:szCs w:val="20"/>
        </w:rPr>
        <w:t>funding is available to:</w:t>
      </w:r>
    </w:p>
    <w:p w14:paraId="7046556A" w14:textId="77777777" w:rsidR="004A2652" w:rsidRPr="00336A66" w:rsidRDefault="004A2652" w:rsidP="00401AA8">
      <w:pPr>
        <w:numPr>
          <w:ilvl w:val="0"/>
          <w:numId w:val="62"/>
        </w:numPr>
        <w:spacing w:line="276" w:lineRule="auto"/>
        <w:contextualSpacing/>
        <w:jc w:val="both"/>
        <w:rPr>
          <w:rFonts w:ascii="Arial" w:hAnsi="Arial" w:cs="Arial"/>
          <w:sz w:val="20"/>
          <w:szCs w:val="20"/>
        </w:rPr>
      </w:pPr>
      <w:r>
        <w:rPr>
          <w:rFonts w:ascii="Arial" w:hAnsi="Arial" w:cs="Arial"/>
          <w:sz w:val="20"/>
          <w:szCs w:val="20"/>
        </w:rPr>
        <w:t>M</w:t>
      </w:r>
      <w:r w:rsidRPr="00336A66">
        <w:rPr>
          <w:rFonts w:ascii="Arial" w:hAnsi="Arial" w:cs="Arial"/>
          <w:sz w:val="20"/>
          <w:szCs w:val="20"/>
        </w:rPr>
        <w:t>aintain and renew our built infrastructure</w:t>
      </w:r>
      <w:r>
        <w:rPr>
          <w:rFonts w:ascii="Arial" w:hAnsi="Arial" w:cs="Arial"/>
          <w:sz w:val="20"/>
          <w:szCs w:val="20"/>
        </w:rPr>
        <w:t>;</w:t>
      </w:r>
    </w:p>
    <w:p w14:paraId="5547A690" w14:textId="77777777" w:rsidR="004A2652" w:rsidRPr="00336A66" w:rsidRDefault="004A2652" w:rsidP="00401AA8">
      <w:pPr>
        <w:numPr>
          <w:ilvl w:val="0"/>
          <w:numId w:val="62"/>
        </w:numPr>
        <w:spacing w:line="276" w:lineRule="auto"/>
        <w:contextualSpacing/>
        <w:jc w:val="both"/>
        <w:rPr>
          <w:rFonts w:ascii="Arial" w:hAnsi="Arial" w:cs="Arial"/>
          <w:sz w:val="20"/>
          <w:szCs w:val="20"/>
        </w:rPr>
      </w:pPr>
      <w:r>
        <w:rPr>
          <w:rFonts w:ascii="Arial" w:hAnsi="Arial" w:cs="Arial"/>
          <w:sz w:val="20"/>
          <w:szCs w:val="20"/>
        </w:rPr>
        <w:t>I</w:t>
      </w:r>
      <w:r w:rsidRPr="00336A66">
        <w:rPr>
          <w:rFonts w:ascii="Arial" w:hAnsi="Arial" w:cs="Arial"/>
          <w:sz w:val="20"/>
          <w:szCs w:val="20"/>
        </w:rPr>
        <w:t>mprove our emergency preparedness and response</w:t>
      </w:r>
      <w:r>
        <w:rPr>
          <w:rFonts w:ascii="Arial" w:hAnsi="Arial" w:cs="Arial"/>
          <w:sz w:val="20"/>
          <w:szCs w:val="20"/>
        </w:rPr>
        <w:t>;</w:t>
      </w:r>
    </w:p>
    <w:p w14:paraId="38CDC119" w14:textId="77777777" w:rsidR="004A2652" w:rsidRPr="00336A66" w:rsidRDefault="004A2652" w:rsidP="00401AA8">
      <w:pPr>
        <w:numPr>
          <w:ilvl w:val="0"/>
          <w:numId w:val="62"/>
        </w:numPr>
        <w:spacing w:line="276" w:lineRule="auto"/>
        <w:contextualSpacing/>
        <w:jc w:val="both"/>
        <w:rPr>
          <w:rFonts w:ascii="Arial" w:hAnsi="Arial" w:cs="Arial"/>
          <w:sz w:val="20"/>
          <w:szCs w:val="20"/>
        </w:rPr>
      </w:pPr>
      <w:r>
        <w:rPr>
          <w:rFonts w:ascii="Arial" w:hAnsi="Arial" w:cs="Arial"/>
          <w:sz w:val="20"/>
          <w:szCs w:val="20"/>
        </w:rPr>
        <w:t>C</w:t>
      </w:r>
      <w:r w:rsidRPr="00336A66">
        <w:rPr>
          <w:rFonts w:ascii="Arial" w:hAnsi="Arial" w:cs="Arial"/>
          <w:sz w:val="20"/>
          <w:szCs w:val="20"/>
        </w:rPr>
        <w:t>ontinue to protect our environment</w:t>
      </w:r>
      <w:r>
        <w:rPr>
          <w:rFonts w:ascii="Arial" w:hAnsi="Arial" w:cs="Arial"/>
          <w:sz w:val="20"/>
          <w:szCs w:val="20"/>
        </w:rPr>
        <w:t>; and</w:t>
      </w:r>
    </w:p>
    <w:p w14:paraId="4875AD4E" w14:textId="77777777" w:rsidR="004A2652" w:rsidRPr="00336A66" w:rsidRDefault="004A2652" w:rsidP="00401AA8">
      <w:pPr>
        <w:numPr>
          <w:ilvl w:val="0"/>
          <w:numId w:val="62"/>
        </w:numPr>
        <w:spacing w:line="276" w:lineRule="auto"/>
        <w:contextualSpacing/>
        <w:jc w:val="both"/>
        <w:rPr>
          <w:rFonts w:ascii="Arial" w:hAnsi="Arial" w:cs="Arial"/>
          <w:sz w:val="20"/>
          <w:szCs w:val="20"/>
        </w:rPr>
      </w:pPr>
      <w:r>
        <w:rPr>
          <w:rFonts w:ascii="Arial" w:hAnsi="Arial" w:cs="Arial"/>
          <w:sz w:val="20"/>
          <w:szCs w:val="20"/>
        </w:rPr>
        <w:t>I</w:t>
      </w:r>
      <w:r w:rsidRPr="00336A66">
        <w:rPr>
          <w:rFonts w:ascii="Arial" w:hAnsi="Arial" w:cs="Arial"/>
          <w:sz w:val="20"/>
          <w:szCs w:val="20"/>
        </w:rPr>
        <w:t>mprove services to the community</w:t>
      </w:r>
      <w:r>
        <w:rPr>
          <w:rFonts w:ascii="Arial" w:hAnsi="Arial" w:cs="Arial"/>
          <w:sz w:val="20"/>
          <w:szCs w:val="20"/>
        </w:rPr>
        <w:t>.</w:t>
      </w:r>
    </w:p>
    <w:p w14:paraId="65865F47" w14:textId="77777777" w:rsidR="004A2652" w:rsidRPr="00336A66" w:rsidRDefault="004A2652" w:rsidP="00401AA8">
      <w:pPr>
        <w:spacing w:line="276" w:lineRule="auto"/>
        <w:jc w:val="both"/>
        <w:rPr>
          <w:rFonts w:ascii="Arial" w:hAnsi="Arial" w:cs="Arial"/>
          <w:sz w:val="20"/>
          <w:szCs w:val="20"/>
        </w:rPr>
      </w:pPr>
    </w:p>
    <w:p w14:paraId="6F020DBE" w14:textId="77777777" w:rsidR="004A2652" w:rsidRPr="00790304" w:rsidRDefault="004A2652" w:rsidP="00401AA8">
      <w:pPr>
        <w:spacing w:line="276" w:lineRule="auto"/>
        <w:jc w:val="both"/>
        <w:rPr>
          <w:rFonts w:ascii="Arial" w:hAnsi="Arial" w:cs="Arial"/>
          <w:sz w:val="20"/>
          <w:szCs w:val="20"/>
        </w:rPr>
      </w:pPr>
      <w:r w:rsidRPr="00790304">
        <w:rPr>
          <w:rFonts w:ascii="Arial" w:hAnsi="Arial" w:cs="Arial"/>
          <w:sz w:val="20"/>
          <w:szCs w:val="20"/>
        </w:rPr>
        <w:t>As well the Council aims to achieve the following long-term financial goals:</w:t>
      </w:r>
    </w:p>
    <w:p w14:paraId="3CD621E4" w14:textId="77777777" w:rsidR="004A2652" w:rsidRPr="00790304" w:rsidRDefault="004A2652" w:rsidP="00401AA8">
      <w:pPr>
        <w:numPr>
          <w:ilvl w:val="0"/>
          <w:numId w:val="33"/>
        </w:numPr>
        <w:spacing w:after="60" w:line="276" w:lineRule="auto"/>
        <w:jc w:val="both"/>
        <w:rPr>
          <w:rFonts w:ascii="Arial" w:hAnsi="Arial" w:cs="Arial"/>
          <w:sz w:val="20"/>
          <w:szCs w:val="20"/>
        </w:rPr>
      </w:pPr>
      <w:r w:rsidRPr="00790304">
        <w:rPr>
          <w:rFonts w:ascii="Arial" w:hAnsi="Arial" w:cs="Arial"/>
          <w:sz w:val="20"/>
          <w:szCs w:val="20"/>
        </w:rPr>
        <w:t>Achieve and maint</w:t>
      </w:r>
      <w:r>
        <w:rPr>
          <w:rFonts w:ascii="Arial" w:hAnsi="Arial" w:cs="Arial"/>
          <w:sz w:val="20"/>
          <w:szCs w:val="20"/>
        </w:rPr>
        <w:t xml:space="preserve">ain </w:t>
      </w:r>
      <w:r w:rsidRPr="00790304">
        <w:rPr>
          <w:rFonts w:ascii="Arial" w:hAnsi="Arial" w:cs="Arial"/>
          <w:sz w:val="20"/>
          <w:szCs w:val="20"/>
        </w:rPr>
        <w:t>surplus Operating Results (including depreciation and excluding capital items)</w:t>
      </w:r>
      <w:r>
        <w:rPr>
          <w:rFonts w:ascii="Arial" w:hAnsi="Arial" w:cs="Arial"/>
          <w:sz w:val="20"/>
          <w:szCs w:val="20"/>
        </w:rPr>
        <w:t>;</w:t>
      </w:r>
    </w:p>
    <w:p w14:paraId="7DDF0902" w14:textId="77777777" w:rsidR="004A2652" w:rsidRPr="00790304" w:rsidRDefault="004A2652" w:rsidP="00401AA8">
      <w:pPr>
        <w:numPr>
          <w:ilvl w:val="0"/>
          <w:numId w:val="33"/>
        </w:numPr>
        <w:spacing w:after="60" w:line="276" w:lineRule="auto"/>
        <w:jc w:val="both"/>
        <w:rPr>
          <w:rFonts w:ascii="Arial" w:hAnsi="Arial" w:cs="Arial"/>
          <w:sz w:val="20"/>
          <w:szCs w:val="20"/>
        </w:rPr>
      </w:pPr>
      <w:r>
        <w:rPr>
          <w:rFonts w:ascii="Arial" w:hAnsi="Arial" w:cs="Arial"/>
          <w:sz w:val="20"/>
          <w:szCs w:val="20"/>
        </w:rPr>
        <w:t>I</w:t>
      </w:r>
      <w:r w:rsidRPr="00790304">
        <w:rPr>
          <w:rFonts w:ascii="Arial" w:hAnsi="Arial" w:cs="Arial"/>
          <w:sz w:val="20"/>
          <w:szCs w:val="20"/>
        </w:rPr>
        <w:t>mprove the Counci</w:t>
      </w:r>
      <w:r>
        <w:rPr>
          <w:rFonts w:ascii="Arial" w:hAnsi="Arial" w:cs="Arial"/>
          <w:sz w:val="20"/>
          <w:szCs w:val="20"/>
        </w:rPr>
        <w:t>l’s overall financial position;</w:t>
      </w:r>
    </w:p>
    <w:p w14:paraId="7069821E" w14:textId="77777777" w:rsidR="004A2652" w:rsidRPr="00790304" w:rsidRDefault="004A2652" w:rsidP="00401AA8">
      <w:pPr>
        <w:numPr>
          <w:ilvl w:val="0"/>
          <w:numId w:val="33"/>
        </w:numPr>
        <w:spacing w:after="60" w:line="276" w:lineRule="auto"/>
        <w:jc w:val="both"/>
        <w:rPr>
          <w:rFonts w:ascii="Arial" w:hAnsi="Arial" w:cs="Arial"/>
          <w:sz w:val="20"/>
          <w:szCs w:val="20"/>
        </w:rPr>
      </w:pPr>
      <w:r w:rsidRPr="00790304">
        <w:rPr>
          <w:rFonts w:ascii="Arial" w:hAnsi="Arial" w:cs="Arial"/>
          <w:sz w:val="20"/>
          <w:szCs w:val="20"/>
        </w:rPr>
        <w:t>Deliver value for money services at levels affordable by the Council and acceptable to the community;</w:t>
      </w:r>
    </w:p>
    <w:p w14:paraId="1AB1A46C" w14:textId="77777777" w:rsidR="004A2652" w:rsidRPr="00790304" w:rsidRDefault="004A2652" w:rsidP="00401AA8">
      <w:pPr>
        <w:numPr>
          <w:ilvl w:val="0"/>
          <w:numId w:val="33"/>
        </w:numPr>
        <w:spacing w:after="60" w:line="276" w:lineRule="auto"/>
        <w:jc w:val="both"/>
        <w:rPr>
          <w:rFonts w:ascii="Arial" w:hAnsi="Arial" w:cs="Arial"/>
          <w:sz w:val="20"/>
          <w:szCs w:val="20"/>
        </w:rPr>
      </w:pPr>
      <w:r w:rsidRPr="00790304">
        <w:rPr>
          <w:rFonts w:ascii="Arial" w:hAnsi="Arial" w:cs="Arial"/>
          <w:sz w:val="20"/>
          <w:szCs w:val="20"/>
        </w:rPr>
        <w:t xml:space="preserve">Build the capacity to progressively increase expenditure on required asset maintenance and renewal in accordance with the Council’s </w:t>
      </w:r>
      <w:r w:rsidRPr="00790304">
        <w:rPr>
          <w:rFonts w:ascii="Arial" w:hAnsi="Arial" w:cs="Arial"/>
          <w:i/>
          <w:sz w:val="20"/>
          <w:szCs w:val="20"/>
        </w:rPr>
        <w:t>Asset Management Strategy</w:t>
      </w:r>
      <w:r w:rsidRPr="00790304">
        <w:rPr>
          <w:rFonts w:ascii="Arial" w:hAnsi="Arial" w:cs="Arial"/>
          <w:sz w:val="20"/>
          <w:szCs w:val="20"/>
        </w:rPr>
        <w:t xml:space="preserve"> and </w:t>
      </w:r>
      <w:r w:rsidRPr="00790304">
        <w:rPr>
          <w:rFonts w:ascii="Arial" w:hAnsi="Arial" w:cs="Arial"/>
          <w:i/>
          <w:sz w:val="20"/>
          <w:szCs w:val="20"/>
        </w:rPr>
        <w:t>Plans</w:t>
      </w:r>
      <w:r w:rsidRPr="00790304">
        <w:rPr>
          <w:rFonts w:ascii="Arial" w:hAnsi="Arial" w:cs="Arial"/>
          <w:sz w:val="20"/>
          <w:szCs w:val="20"/>
        </w:rPr>
        <w:t>; and</w:t>
      </w:r>
    </w:p>
    <w:p w14:paraId="2BFD8FE3" w14:textId="77777777" w:rsidR="004A2652" w:rsidRPr="003A7BD5" w:rsidRDefault="004A2652" w:rsidP="00401AA8">
      <w:pPr>
        <w:numPr>
          <w:ilvl w:val="0"/>
          <w:numId w:val="33"/>
        </w:numPr>
        <w:spacing w:after="60" w:line="276" w:lineRule="auto"/>
        <w:jc w:val="both"/>
        <w:rPr>
          <w:rFonts w:ascii="Arial" w:hAnsi="Arial" w:cs="Arial"/>
          <w:color w:val="FF0000"/>
          <w:sz w:val="20"/>
          <w:szCs w:val="20"/>
        </w:rPr>
      </w:pPr>
      <w:r w:rsidRPr="00790304">
        <w:rPr>
          <w:rFonts w:ascii="Arial" w:hAnsi="Arial" w:cs="Arial"/>
          <w:sz w:val="20"/>
          <w:szCs w:val="20"/>
        </w:rPr>
        <w:t>Prudently manage loan borrowings.</w:t>
      </w:r>
    </w:p>
    <w:p w14:paraId="3985CA56" w14:textId="77777777" w:rsidR="004A2652" w:rsidRDefault="004A2652" w:rsidP="00401AA8">
      <w:pPr>
        <w:spacing w:after="60" w:line="276" w:lineRule="auto"/>
        <w:jc w:val="both"/>
        <w:rPr>
          <w:rFonts w:ascii="Arial" w:hAnsi="Arial" w:cs="Arial"/>
          <w:sz w:val="20"/>
          <w:szCs w:val="20"/>
        </w:rPr>
      </w:pPr>
    </w:p>
    <w:p w14:paraId="5CB01B09" w14:textId="0403128B" w:rsidR="004A2652" w:rsidRPr="00336A66" w:rsidRDefault="006141DD" w:rsidP="00401AA8">
      <w:pPr>
        <w:spacing w:line="276" w:lineRule="auto"/>
        <w:jc w:val="both"/>
        <w:rPr>
          <w:rFonts w:ascii="Arial" w:hAnsi="Arial" w:cs="Arial"/>
          <w:sz w:val="20"/>
          <w:szCs w:val="20"/>
        </w:rPr>
      </w:pPr>
      <w:r>
        <w:rPr>
          <w:rFonts w:ascii="Arial" w:hAnsi="Arial" w:cs="Arial"/>
          <w:sz w:val="20"/>
          <w:szCs w:val="20"/>
        </w:rPr>
        <w:t xml:space="preserve">The base case </w:t>
      </w:r>
      <w:r w:rsidR="004A2652">
        <w:rPr>
          <w:rFonts w:ascii="Arial" w:hAnsi="Arial" w:cs="Arial"/>
          <w:sz w:val="20"/>
          <w:szCs w:val="20"/>
        </w:rPr>
        <w:t>scenario without the special variation</w:t>
      </w:r>
      <w:r w:rsidR="00A6559D">
        <w:rPr>
          <w:rFonts w:ascii="Arial" w:hAnsi="Arial" w:cs="Arial"/>
          <w:sz w:val="20"/>
          <w:szCs w:val="20"/>
        </w:rPr>
        <w:t xml:space="preserve"> (Option 3)</w:t>
      </w:r>
      <w:r w:rsidR="004A2652">
        <w:rPr>
          <w:rFonts w:ascii="Arial" w:hAnsi="Arial" w:cs="Arial"/>
          <w:sz w:val="20"/>
          <w:szCs w:val="20"/>
        </w:rPr>
        <w:t xml:space="preserve"> was </w:t>
      </w:r>
      <w:r w:rsidR="004A2652" w:rsidRPr="00336A66">
        <w:rPr>
          <w:rFonts w:ascii="Arial" w:hAnsi="Arial" w:cs="Arial"/>
          <w:sz w:val="20"/>
          <w:szCs w:val="20"/>
        </w:rPr>
        <w:t xml:space="preserve">explored through the </w:t>
      </w:r>
      <w:r w:rsidR="004A2652" w:rsidRPr="00632223">
        <w:rPr>
          <w:rFonts w:ascii="Arial" w:hAnsi="Arial" w:cs="Arial"/>
          <w:i/>
          <w:sz w:val="20"/>
          <w:szCs w:val="20"/>
        </w:rPr>
        <w:t xml:space="preserve">Resourcing </w:t>
      </w:r>
      <w:r>
        <w:rPr>
          <w:rFonts w:ascii="Arial" w:hAnsi="Arial" w:cs="Arial"/>
          <w:i/>
          <w:sz w:val="20"/>
          <w:szCs w:val="20"/>
        </w:rPr>
        <w:t>O</w:t>
      </w:r>
      <w:r w:rsidR="004A2652" w:rsidRPr="00632223">
        <w:rPr>
          <w:rFonts w:ascii="Arial" w:hAnsi="Arial" w:cs="Arial"/>
          <w:i/>
          <w:sz w:val="20"/>
          <w:szCs w:val="20"/>
        </w:rPr>
        <w:t>ur Future</w:t>
      </w:r>
      <w:r w:rsidR="004A2652">
        <w:rPr>
          <w:rFonts w:ascii="Arial" w:hAnsi="Arial" w:cs="Arial"/>
          <w:sz w:val="20"/>
          <w:szCs w:val="20"/>
        </w:rPr>
        <w:t>. W</w:t>
      </w:r>
      <w:r w:rsidR="004A2652" w:rsidRPr="00336A66">
        <w:rPr>
          <w:rFonts w:ascii="Arial" w:hAnsi="Arial" w:cs="Arial"/>
          <w:sz w:val="20"/>
          <w:szCs w:val="20"/>
        </w:rPr>
        <w:t>ith no special variation, buil</w:t>
      </w:r>
      <w:r w:rsidR="00095246">
        <w:rPr>
          <w:rFonts w:ascii="Arial" w:hAnsi="Arial" w:cs="Arial"/>
          <w:sz w:val="20"/>
          <w:szCs w:val="20"/>
        </w:rPr>
        <w:t>t assets in poor condition will</w:t>
      </w:r>
      <w:r w:rsidR="004A2652" w:rsidRPr="00336A66">
        <w:rPr>
          <w:rFonts w:ascii="Arial" w:hAnsi="Arial" w:cs="Arial"/>
          <w:sz w:val="20"/>
          <w:szCs w:val="20"/>
        </w:rPr>
        <w:t xml:space="preserve"> in</w:t>
      </w:r>
      <w:r w:rsidR="00095246">
        <w:rPr>
          <w:rFonts w:ascii="Arial" w:hAnsi="Arial" w:cs="Arial"/>
          <w:sz w:val="20"/>
          <w:szCs w:val="20"/>
        </w:rPr>
        <w:t>crease from 21% to 37% by 2024 and the Council will</w:t>
      </w:r>
      <w:r w:rsidR="004A2652">
        <w:rPr>
          <w:rFonts w:ascii="Arial" w:hAnsi="Arial" w:cs="Arial"/>
          <w:sz w:val="20"/>
          <w:szCs w:val="20"/>
        </w:rPr>
        <w:t xml:space="preserve"> sustain significant operating deficits over the life of the LTFP, which is a financially unsustainable position for the City</w:t>
      </w:r>
      <w:r w:rsidR="004A2652" w:rsidRPr="00336A66">
        <w:rPr>
          <w:rFonts w:ascii="Arial" w:hAnsi="Arial" w:cs="Arial"/>
          <w:sz w:val="20"/>
          <w:szCs w:val="20"/>
        </w:rPr>
        <w:t xml:space="preserve">. </w:t>
      </w:r>
      <w:r w:rsidR="004A2652">
        <w:rPr>
          <w:rFonts w:ascii="Arial" w:hAnsi="Arial" w:cs="Arial"/>
          <w:sz w:val="20"/>
          <w:szCs w:val="20"/>
        </w:rPr>
        <w:t xml:space="preserve">The </w:t>
      </w:r>
      <w:r w:rsidR="004A2652" w:rsidRPr="00336A66">
        <w:rPr>
          <w:rFonts w:ascii="Arial" w:hAnsi="Arial" w:cs="Arial"/>
          <w:sz w:val="20"/>
          <w:szCs w:val="20"/>
        </w:rPr>
        <w:t>Council w</w:t>
      </w:r>
      <w:r w:rsidR="004A2652">
        <w:rPr>
          <w:rFonts w:ascii="Arial" w:hAnsi="Arial" w:cs="Arial"/>
          <w:sz w:val="20"/>
          <w:szCs w:val="20"/>
        </w:rPr>
        <w:t xml:space="preserve">ould </w:t>
      </w:r>
      <w:r w:rsidR="004A2652" w:rsidRPr="00336A66">
        <w:rPr>
          <w:rFonts w:ascii="Arial" w:hAnsi="Arial" w:cs="Arial"/>
          <w:sz w:val="20"/>
          <w:szCs w:val="20"/>
        </w:rPr>
        <w:t>have to give priority focus to managing risks, and this will involve closure or removal of unsafe infrastructure</w:t>
      </w:r>
      <w:r w:rsidR="004A2652">
        <w:rPr>
          <w:rFonts w:ascii="Arial" w:hAnsi="Arial" w:cs="Arial"/>
          <w:sz w:val="20"/>
          <w:szCs w:val="20"/>
        </w:rPr>
        <w:t xml:space="preserve"> and facilities. The capacity of the Council </w:t>
      </w:r>
      <w:r w:rsidR="004A2652" w:rsidRPr="00336A66">
        <w:rPr>
          <w:rFonts w:ascii="Arial" w:hAnsi="Arial" w:cs="Arial"/>
          <w:sz w:val="20"/>
          <w:szCs w:val="20"/>
        </w:rPr>
        <w:t>to respond to emergencies and to protect the en</w:t>
      </w:r>
      <w:r w:rsidR="004A2652">
        <w:rPr>
          <w:rFonts w:ascii="Arial" w:hAnsi="Arial" w:cs="Arial"/>
          <w:sz w:val="20"/>
          <w:szCs w:val="20"/>
        </w:rPr>
        <w:t xml:space="preserve">vironment would be significantly diminished under Option 3. </w:t>
      </w:r>
    </w:p>
    <w:p w14:paraId="6B0A0148" w14:textId="77777777" w:rsidR="004A2652" w:rsidRPr="00FA0E8D" w:rsidRDefault="004A2652" w:rsidP="004A2652">
      <w:pPr>
        <w:jc w:val="both"/>
        <w:rPr>
          <w:rFonts w:ascii="Arial" w:hAnsi="Arial" w:cs="Arial"/>
          <w:color w:val="000000" w:themeColor="text1"/>
          <w:sz w:val="20"/>
          <w:szCs w:val="20"/>
        </w:rPr>
      </w:pPr>
    </w:p>
    <w:p w14:paraId="79E01F43" w14:textId="0E82315E" w:rsidR="004A2652" w:rsidRPr="003B5CED" w:rsidRDefault="00B74436" w:rsidP="004A2652">
      <w:pPr>
        <w:jc w:val="both"/>
        <w:rPr>
          <w:rFonts w:ascii="Arial" w:hAnsi="Arial" w:cs="Arial"/>
          <w:b/>
          <w:sz w:val="18"/>
          <w:szCs w:val="18"/>
        </w:rPr>
      </w:pPr>
      <w:r w:rsidRPr="003B5CED">
        <w:rPr>
          <w:rFonts w:ascii="Arial" w:hAnsi="Arial" w:cs="Arial"/>
          <w:b/>
          <w:color w:val="000000" w:themeColor="text1"/>
          <w:sz w:val="18"/>
          <w:szCs w:val="18"/>
        </w:rPr>
        <w:t xml:space="preserve">Figure </w:t>
      </w:r>
      <w:r w:rsidR="00FA0E8D" w:rsidRPr="003B5CED">
        <w:rPr>
          <w:rFonts w:ascii="Arial" w:hAnsi="Arial" w:cs="Arial"/>
          <w:b/>
          <w:color w:val="000000" w:themeColor="text1"/>
          <w:sz w:val="18"/>
          <w:szCs w:val="18"/>
        </w:rPr>
        <w:t>3.4</w:t>
      </w:r>
      <w:r w:rsidR="004A2652" w:rsidRPr="003B5CED">
        <w:rPr>
          <w:rFonts w:ascii="Arial" w:hAnsi="Arial" w:cs="Arial"/>
          <w:b/>
          <w:color w:val="000000" w:themeColor="text1"/>
          <w:sz w:val="18"/>
          <w:szCs w:val="18"/>
        </w:rPr>
        <w:t xml:space="preserve">:  Condition of built </w:t>
      </w:r>
      <w:r w:rsidR="004A2652" w:rsidRPr="003B5CED">
        <w:rPr>
          <w:rFonts w:ascii="Arial" w:hAnsi="Arial" w:cs="Arial"/>
          <w:b/>
          <w:sz w:val="18"/>
          <w:szCs w:val="18"/>
        </w:rPr>
        <w:t>asset portfolio current (2014) and 10-year forecast (2024)</w:t>
      </w:r>
    </w:p>
    <w:tbl>
      <w:tblPr>
        <w:tblStyle w:val="TableGrid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3992"/>
      </w:tblGrid>
      <w:tr w:rsidR="004A2652" w:rsidRPr="00336A66" w14:paraId="21395443" w14:textId="77777777" w:rsidTr="004A2652">
        <w:trPr>
          <w:trHeight w:val="369"/>
        </w:trPr>
        <w:tc>
          <w:tcPr>
            <w:tcW w:w="4513" w:type="dxa"/>
            <w:tcBorders>
              <w:top w:val="single" w:sz="4" w:space="0" w:color="auto"/>
              <w:left w:val="single" w:sz="4" w:space="0" w:color="auto"/>
              <w:bottom w:val="single" w:sz="4" w:space="0" w:color="auto"/>
            </w:tcBorders>
            <w:vAlign w:val="center"/>
          </w:tcPr>
          <w:p w14:paraId="261C5423" w14:textId="77777777" w:rsidR="004A2652" w:rsidRPr="00336A66" w:rsidRDefault="004A2652" w:rsidP="004A2652">
            <w:pPr>
              <w:jc w:val="center"/>
              <w:rPr>
                <w:rFonts w:ascii="Arial" w:hAnsi="Arial" w:cs="Arial"/>
                <w:b/>
              </w:rPr>
            </w:pPr>
            <w:r w:rsidRPr="00336A66">
              <w:rPr>
                <w:rFonts w:ascii="Arial" w:hAnsi="Arial" w:cs="Arial"/>
                <w:b/>
              </w:rPr>
              <w:t>Current Condition</w:t>
            </w:r>
          </w:p>
        </w:tc>
        <w:tc>
          <w:tcPr>
            <w:tcW w:w="3992" w:type="dxa"/>
            <w:tcBorders>
              <w:top w:val="single" w:sz="4" w:space="0" w:color="auto"/>
              <w:bottom w:val="single" w:sz="4" w:space="0" w:color="auto"/>
              <w:right w:val="single" w:sz="4" w:space="0" w:color="auto"/>
            </w:tcBorders>
            <w:vAlign w:val="center"/>
          </w:tcPr>
          <w:p w14:paraId="27D493DD" w14:textId="77777777" w:rsidR="004A2652" w:rsidRPr="00336A66" w:rsidRDefault="004A2652" w:rsidP="004A2652">
            <w:pPr>
              <w:jc w:val="center"/>
              <w:rPr>
                <w:rFonts w:ascii="Arial" w:hAnsi="Arial" w:cs="Arial"/>
                <w:b/>
              </w:rPr>
            </w:pPr>
            <w:r w:rsidRPr="00336A66">
              <w:rPr>
                <w:rFonts w:ascii="Arial" w:hAnsi="Arial" w:cs="Arial"/>
                <w:b/>
              </w:rPr>
              <w:t>Condition in 10 years’ time</w:t>
            </w:r>
          </w:p>
        </w:tc>
      </w:tr>
      <w:tr w:rsidR="004A2652" w:rsidRPr="00336A66" w14:paraId="57C3A9D3" w14:textId="77777777" w:rsidTr="004A2652">
        <w:tc>
          <w:tcPr>
            <w:tcW w:w="4513" w:type="dxa"/>
            <w:tcBorders>
              <w:top w:val="single" w:sz="4" w:space="0" w:color="auto"/>
              <w:left w:val="single" w:sz="4" w:space="0" w:color="auto"/>
              <w:bottom w:val="single" w:sz="4" w:space="0" w:color="auto"/>
            </w:tcBorders>
          </w:tcPr>
          <w:p w14:paraId="2F62530D" w14:textId="77777777" w:rsidR="004A2652" w:rsidRPr="00336A66" w:rsidRDefault="004A2652" w:rsidP="004A2652">
            <w:pPr>
              <w:jc w:val="center"/>
            </w:pPr>
            <w:r w:rsidRPr="00336A66">
              <w:rPr>
                <w:rFonts w:ascii="Arial" w:eastAsia="Arial" w:hAnsi="Arial" w:cs="Arial"/>
                <w:noProof/>
              </w:rPr>
              <mc:AlternateContent>
                <mc:Choice Requires="wps">
                  <w:drawing>
                    <wp:anchor distT="0" distB="0" distL="114300" distR="114300" simplePos="0" relativeHeight="251866112" behindDoc="0" locked="0" layoutInCell="1" allowOverlap="1" wp14:anchorId="2DB51A6A" wp14:editId="17C3195F">
                      <wp:simplePos x="0" y="0"/>
                      <wp:positionH relativeFrom="column">
                        <wp:posOffset>2496185</wp:posOffset>
                      </wp:positionH>
                      <wp:positionV relativeFrom="paragraph">
                        <wp:posOffset>603250</wp:posOffset>
                      </wp:positionV>
                      <wp:extent cx="436880" cy="214630"/>
                      <wp:effectExtent l="0" t="19050" r="39370" b="33020"/>
                      <wp:wrapNone/>
                      <wp:docPr id="2070" name="Right Arrow 2070"/>
                      <wp:cNvGraphicFramePr/>
                      <a:graphic xmlns:a="http://schemas.openxmlformats.org/drawingml/2006/main">
                        <a:graphicData uri="http://schemas.microsoft.com/office/word/2010/wordprocessingShape">
                          <wps:wsp>
                            <wps:cNvSpPr/>
                            <wps:spPr>
                              <a:xfrm>
                                <a:off x="0" y="0"/>
                                <a:ext cx="436880" cy="214630"/>
                              </a:xfrm>
                              <a:prstGeom prst="rightArrow">
                                <a:avLst/>
                              </a:prstGeom>
                              <a:noFill/>
                              <a:ln w="25400" cap="flat" cmpd="sng" algn="ctr">
                                <a:solidFill>
                                  <a:srgbClr val="CC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70" o:spid="_x0000_s1026" type="#_x0000_t13" style="position:absolute;margin-left:196.55pt;margin-top:47.5pt;width:34.4pt;height:16.9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" adj="16294" filled="f" strokecolor="#c00" strokeweight="2pt"/>
                  </w:pict>
                </mc:Fallback>
              </mc:AlternateContent>
            </w:r>
            <w:r w:rsidRPr="00336A66">
              <w:rPr>
                <w:noProof/>
              </w:rPr>
              <w:drawing>
                <wp:inline distT="0" distB="0" distL="0" distR="0" wp14:anchorId="32B10237" wp14:editId="4BAED45E">
                  <wp:extent cx="1470924" cy="1447347"/>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472953" cy="1449344"/>
                          </a:xfrm>
                          <a:prstGeom prst="rect">
                            <a:avLst/>
                          </a:prstGeom>
                          <a:noFill/>
                        </pic:spPr>
                      </pic:pic>
                    </a:graphicData>
                  </a:graphic>
                </wp:inline>
              </w:drawing>
            </w:r>
          </w:p>
        </w:tc>
        <w:tc>
          <w:tcPr>
            <w:tcW w:w="3992" w:type="dxa"/>
            <w:tcBorders>
              <w:top w:val="single" w:sz="4" w:space="0" w:color="auto"/>
              <w:bottom w:val="single" w:sz="4" w:space="0" w:color="auto"/>
              <w:right w:val="single" w:sz="4" w:space="0" w:color="auto"/>
            </w:tcBorders>
          </w:tcPr>
          <w:p w14:paraId="6A18E2DA" w14:textId="77777777" w:rsidR="004A2652" w:rsidRPr="00336A66" w:rsidRDefault="004A2652" w:rsidP="004A2652">
            <w:pPr>
              <w:jc w:val="center"/>
            </w:pPr>
            <w:r w:rsidRPr="00336A66">
              <w:rPr>
                <w:noProof/>
              </w:rPr>
              <w:drawing>
                <wp:inline distT="0" distB="0" distL="0" distR="0" wp14:anchorId="0D15F291" wp14:editId="1E07650B">
                  <wp:extent cx="1594664" cy="140970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596785" cy="1411575"/>
                          </a:xfrm>
                          <a:prstGeom prst="rect">
                            <a:avLst/>
                          </a:prstGeom>
                          <a:noFill/>
                        </pic:spPr>
                      </pic:pic>
                    </a:graphicData>
                  </a:graphic>
                </wp:inline>
              </w:drawing>
            </w:r>
          </w:p>
        </w:tc>
      </w:tr>
    </w:tbl>
    <w:p w14:paraId="0856DB52" w14:textId="77777777" w:rsidR="004A2652" w:rsidRPr="00336A66" w:rsidRDefault="004A2652" w:rsidP="004A2652">
      <w:pPr>
        <w:jc w:val="both"/>
        <w:rPr>
          <w:rFonts w:ascii="Arial" w:hAnsi="Arial" w:cs="Arial"/>
          <w:sz w:val="20"/>
          <w:szCs w:val="20"/>
        </w:rPr>
      </w:pPr>
    </w:p>
    <w:p w14:paraId="0728A033" w14:textId="77777777" w:rsidR="004A2652" w:rsidRPr="00336A66" w:rsidRDefault="004A2652" w:rsidP="004A2652">
      <w:pPr>
        <w:spacing w:line="360" w:lineRule="auto"/>
        <w:jc w:val="both"/>
        <w:rPr>
          <w:rFonts w:ascii="Arial" w:hAnsi="Arial" w:cs="Arial"/>
          <w:sz w:val="20"/>
          <w:szCs w:val="20"/>
        </w:rPr>
      </w:pPr>
    </w:p>
    <w:p w14:paraId="3C967BFA" w14:textId="46295124" w:rsidR="004A2652" w:rsidRPr="00336A66" w:rsidRDefault="004A2652" w:rsidP="00401AA8">
      <w:pPr>
        <w:spacing w:line="276" w:lineRule="auto"/>
        <w:jc w:val="both"/>
        <w:rPr>
          <w:rFonts w:ascii="Arial" w:hAnsi="Arial" w:cs="Arial"/>
          <w:sz w:val="20"/>
          <w:szCs w:val="20"/>
        </w:rPr>
      </w:pPr>
      <w:r>
        <w:rPr>
          <w:rFonts w:ascii="Arial" w:hAnsi="Arial" w:cs="Arial"/>
          <w:sz w:val="20"/>
          <w:szCs w:val="20"/>
        </w:rPr>
        <w:t xml:space="preserve">Even with significant </w:t>
      </w:r>
      <w:r w:rsidRPr="00336A66">
        <w:rPr>
          <w:rFonts w:ascii="Arial" w:hAnsi="Arial" w:cs="Arial"/>
          <w:sz w:val="20"/>
          <w:szCs w:val="20"/>
        </w:rPr>
        <w:t>service adjustments that may not be acceptable to the community</w:t>
      </w:r>
      <w:r>
        <w:rPr>
          <w:rFonts w:ascii="Arial" w:hAnsi="Arial" w:cs="Arial"/>
          <w:sz w:val="20"/>
          <w:szCs w:val="20"/>
        </w:rPr>
        <w:t xml:space="preserve">, under this scenario, deficits will continue, assets will deteriorate, greater risks will need to be managed and the infrastructure backlog will increase. The Council does not believe that this is a responsible way to manage its finances </w:t>
      </w:r>
      <w:r w:rsidR="006141DD">
        <w:rPr>
          <w:rFonts w:ascii="Arial" w:hAnsi="Arial" w:cs="Arial"/>
          <w:sz w:val="20"/>
          <w:szCs w:val="20"/>
        </w:rPr>
        <w:t xml:space="preserve">and its assets </w:t>
      </w:r>
      <w:r>
        <w:rPr>
          <w:rFonts w:ascii="Arial" w:hAnsi="Arial" w:cs="Arial"/>
          <w:sz w:val="20"/>
          <w:szCs w:val="20"/>
        </w:rPr>
        <w:t xml:space="preserve">into the future.  </w:t>
      </w:r>
    </w:p>
    <w:p w14:paraId="741EE92E" w14:textId="77777777" w:rsidR="004A2652" w:rsidRPr="00336A66" w:rsidRDefault="004A2652" w:rsidP="00401AA8">
      <w:pPr>
        <w:spacing w:line="276" w:lineRule="auto"/>
        <w:jc w:val="both"/>
        <w:rPr>
          <w:rFonts w:ascii="Arial" w:hAnsi="Arial" w:cs="Arial"/>
          <w:sz w:val="20"/>
          <w:szCs w:val="20"/>
        </w:rPr>
      </w:pPr>
    </w:p>
    <w:p w14:paraId="60E46EDD" w14:textId="2DA55670" w:rsidR="004A2652" w:rsidRDefault="004A2652" w:rsidP="00401AA8">
      <w:pPr>
        <w:spacing w:after="60" w:line="276" w:lineRule="auto"/>
        <w:jc w:val="both"/>
        <w:rPr>
          <w:rFonts w:ascii="Arial" w:hAnsi="Arial" w:cs="Arial"/>
          <w:sz w:val="20"/>
          <w:szCs w:val="20"/>
        </w:rPr>
      </w:pPr>
      <w:r>
        <w:rPr>
          <w:rFonts w:ascii="Arial" w:hAnsi="Arial" w:cs="Arial"/>
          <w:sz w:val="20"/>
          <w:szCs w:val="20"/>
        </w:rPr>
        <w:t>The proposed special v</w:t>
      </w:r>
      <w:r w:rsidRPr="00336A66">
        <w:rPr>
          <w:rFonts w:ascii="Arial" w:hAnsi="Arial" w:cs="Arial"/>
          <w:sz w:val="20"/>
          <w:szCs w:val="20"/>
        </w:rPr>
        <w:t xml:space="preserve">ariation, as an adopted action within the </w:t>
      </w:r>
      <w:r w:rsidRPr="006141DD">
        <w:rPr>
          <w:rFonts w:ascii="Arial" w:hAnsi="Arial" w:cs="Arial"/>
          <w:i/>
          <w:sz w:val="20"/>
          <w:szCs w:val="20"/>
        </w:rPr>
        <w:t>Six Strategies</w:t>
      </w:r>
      <w:r w:rsidR="006141DD">
        <w:rPr>
          <w:rFonts w:ascii="Arial" w:hAnsi="Arial" w:cs="Arial"/>
          <w:i/>
          <w:sz w:val="20"/>
          <w:szCs w:val="20"/>
        </w:rPr>
        <w:t>,</w:t>
      </w:r>
      <w:r w:rsidRPr="006141DD">
        <w:rPr>
          <w:rFonts w:ascii="Arial" w:hAnsi="Arial" w:cs="Arial"/>
          <w:sz w:val="20"/>
          <w:szCs w:val="20"/>
        </w:rPr>
        <w:t xml:space="preserve"> </w:t>
      </w:r>
      <w:r w:rsidRPr="00336A66">
        <w:rPr>
          <w:rFonts w:ascii="Arial" w:hAnsi="Arial" w:cs="Arial"/>
          <w:sz w:val="20"/>
          <w:szCs w:val="20"/>
        </w:rPr>
        <w:t xml:space="preserve">is </w:t>
      </w:r>
      <w:r w:rsidR="006141DD">
        <w:rPr>
          <w:rFonts w:ascii="Arial" w:hAnsi="Arial" w:cs="Arial"/>
          <w:sz w:val="20"/>
          <w:szCs w:val="20"/>
        </w:rPr>
        <w:t xml:space="preserve">a critical </w:t>
      </w:r>
      <w:r w:rsidRPr="00336A66">
        <w:rPr>
          <w:rFonts w:ascii="Arial" w:hAnsi="Arial" w:cs="Arial"/>
          <w:sz w:val="20"/>
          <w:szCs w:val="20"/>
        </w:rPr>
        <w:t>element</w:t>
      </w:r>
      <w:r w:rsidR="006141DD">
        <w:rPr>
          <w:rFonts w:ascii="Arial" w:hAnsi="Arial" w:cs="Arial"/>
          <w:sz w:val="20"/>
          <w:szCs w:val="20"/>
        </w:rPr>
        <w:t xml:space="preserve"> for the future sustainability of the City</w:t>
      </w:r>
      <w:r w:rsidRPr="00336A66">
        <w:rPr>
          <w:rFonts w:ascii="Arial" w:hAnsi="Arial" w:cs="Arial"/>
          <w:sz w:val="20"/>
          <w:szCs w:val="20"/>
        </w:rPr>
        <w:t xml:space="preserve">.  </w:t>
      </w:r>
      <w:r>
        <w:rPr>
          <w:rFonts w:ascii="Arial" w:hAnsi="Arial" w:cs="Arial"/>
          <w:sz w:val="20"/>
          <w:szCs w:val="20"/>
        </w:rPr>
        <w:t xml:space="preserve">It would </w:t>
      </w:r>
      <w:r w:rsidRPr="00336A66">
        <w:rPr>
          <w:rFonts w:ascii="Arial" w:hAnsi="Arial" w:cs="Arial"/>
          <w:sz w:val="20"/>
          <w:szCs w:val="20"/>
        </w:rPr>
        <w:t xml:space="preserve">generate </w:t>
      </w:r>
      <w:r w:rsidR="006141DD">
        <w:rPr>
          <w:rFonts w:ascii="Arial" w:hAnsi="Arial" w:cs="Arial"/>
          <w:sz w:val="20"/>
          <w:szCs w:val="20"/>
        </w:rPr>
        <w:t xml:space="preserve">required funding to meet community expectations for improved service levels overall and set the City on a financially sustainable path. </w:t>
      </w:r>
    </w:p>
    <w:p w14:paraId="367DF65E" w14:textId="77777777" w:rsidR="004A2652" w:rsidRDefault="004A2652" w:rsidP="00401AA8">
      <w:pPr>
        <w:spacing w:after="60" w:line="276" w:lineRule="auto"/>
        <w:jc w:val="both"/>
        <w:rPr>
          <w:rFonts w:ascii="Arial" w:hAnsi="Arial" w:cs="Arial"/>
          <w:sz w:val="20"/>
          <w:szCs w:val="20"/>
        </w:rPr>
      </w:pPr>
    </w:p>
    <w:p w14:paraId="19614513" w14:textId="77777777" w:rsidR="004A2652" w:rsidRPr="00336A66" w:rsidRDefault="004A2652" w:rsidP="00401AA8">
      <w:pPr>
        <w:spacing w:line="276" w:lineRule="auto"/>
        <w:jc w:val="both"/>
        <w:rPr>
          <w:rFonts w:ascii="Arial" w:hAnsi="Arial" w:cs="Arial"/>
          <w:b/>
          <w:sz w:val="20"/>
          <w:szCs w:val="20"/>
        </w:rPr>
      </w:pPr>
      <w:r>
        <w:rPr>
          <w:rFonts w:ascii="Arial" w:hAnsi="Arial" w:cs="Arial"/>
          <w:b/>
          <w:sz w:val="20"/>
          <w:szCs w:val="20"/>
        </w:rPr>
        <w:t>Proposed Special Variation - I</w:t>
      </w:r>
      <w:r w:rsidRPr="00336A66">
        <w:rPr>
          <w:rFonts w:ascii="Arial" w:hAnsi="Arial" w:cs="Arial"/>
          <w:b/>
          <w:sz w:val="20"/>
          <w:szCs w:val="20"/>
        </w:rPr>
        <w:t>mpacts on LTFP Forecasts</w:t>
      </w:r>
    </w:p>
    <w:p w14:paraId="77D65887" w14:textId="77777777" w:rsidR="004A2652" w:rsidRDefault="004A2652" w:rsidP="00401AA8">
      <w:pPr>
        <w:spacing w:line="276" w:lineRule="auto"/>
        <w:jc w:val="both"/>
        <w:rPr>
          <w:rFonts w:ascii="Arial" w:hAnsi="Arial" w:cs="Arial"/>
          <w:sz w:val="20"/>
          <w:szCs w:val="20"/>
        </w:rPr>
      </w:pPr>
      <w:r>
        <w:rPr>
          <w:rFonts w:ascii="Arial" w:hAnsi="Arial" w:cs="Arial"/>
          <w:sz w:val="20"/>
          <w:szCs w:val="20"/>
        </w:rPr>
        <w:t>With the additional funding from the special variation, t</w:t>
      </w:r>
      <w:r w:rsidRPr="00336A66">
        <w:rPr>
          <w:rFonts w:ascii="Arial" w:hAnsi="Arial" w:cs="Arial"/>
          <w:sz w:val="20"/>
          <w:szCs w:val="20"/>
        </w:rPr>
        <w:t>he Council will be</w:t>
      </w:r>
      <w:r>
        <w:rPr>
          <w:rFonts w:ascii="Arial" w:hAnsi="Arial" w:cs="Arial"/>
          <w:sz w:val="20"/>
          <w:szCs w:val="20"/>
        </w:rPr>
        <w:t>tter</w:t>
      </w:r>
      <w:r w:rsidRPr="00336A66">
        <w:rPr>
          <w:rFonts w:ascii="Arial" w:hAnsi="Arial" w:cs="Arial"/>
          <w:sz w:val="20"/>
          <w:szCs w:val="20"/>
        </w:rPr>
        <w:t xml:space="preserve"> achieve its responsibilities under the City’s Community Strategic Plan – </w:t>
      </w:r>
      <w:r w:rsidRPr="00336A66">
        <w:rPr>
          <w:rFonts w:ascii="Arial" w:hAnsi="Arial" w:cs="Arial"/>
          <w:i/>
          <w:sz w:val="20"/>
          <w:szCs w:val="20"/>
        </w:rPr>
        <w:t xml:space="preserve">Sustainable Blue Mountains 2025 </w:t>
      </w:r>
      <w:r w:rsidRPr="00336A66">
        <w:rPr>
          <w:rFonts w:ascii="Arial" w:hAnsi="Arial" w:cs="Arial"/>
          <w:sz w:val="20"/>
          <w:szCs w:val="20"/>
        </w:rPr>
        <w:t xml:space="preserve">and deliver services at levels acceptable to the community. </w:t>
      </w:r>
    </w:p>
    <w:p w14:paraId="750F2169" w14:textId="77777777" w:rsidR="004A2652" w:rsidRDefault="004A2652" w:rsidP="00401AA8">
      <w:pPr>
        <w:spacing w:line="276" w:lineRule="auto"/>
        <w:jc w:val="both"/>
        <w:rPr>
          <w:rFonts w:ascii="Arial" w:hAnsi="Arial" w:cs="Arial"/>
          <w:sz w:val="20"/>
          <w:szCs w:val="20"/>
        </w:rPr>
      </w:pPr>
    </w:p>
    <w:p w14:paraId="6081A869" w14:textId="38BFF7E0" w:rsidR="004A2652" w:rsidRPr="00790304" w:rsidRDefault="004A2652" w:rsidP="00401AA8">
      <w:pPr>
        <w:spacing w:after="60" w:line="276" w:lineRule="auto"/>
        <w:jc w:val="both"/>
        <w:rPr>
          <w:rFonts w:ascii="Arial" w:hAnsi="Arial" w:cs="Arial"/>
          <w:sz w:val="20"/>
          <w:szCs w:val="20"/>
        </w:rPr>
      </w:pPr>
      <w:r w:rsidRPr="005032E0">
        <w:rPr>
          <w:rFonts w:ascii="Arial" w:hAnsi="Arial" w:cs="Arial"/>
          <w:sz w:val="20"/>
          <w:szCs w:val="20"/>
        </w:rPr>
        <w:t xml:space="preserve">As detailed further below in </w:t>
      </w:r>
      <w:r w:rsidRPr="00FB1B9F">
        <w:rPr>
          <w:rFonts w:ascii="Arial" w:hAnsi="Arial" w:cs="Arial"/>
          <w:b/>
          <w:sz w:val="20"/>
          <w:szCs w:val="20"/>
        </w:rPr>
        <w:t>Section 3.3</w:t>
      </w:r>
      <w:r w:rsidRPr="005032E0">
        <w:rPr>
          <w:rFonts w:ascii="Arial" w:hAnsi="Arial" w:cs="Arial"/>
          <w:sz w:val="20"/>
          <w:szCs w:val="20"/>
        </w:rPr>
        <w:t xml:space="preserve"> </w:t>
      </w:r>
      <w:r w:rsidRPr="00FB1B9F">
        <w:rPr>
          <w:rFonts w:ascii="Arial" w:hAnsi="Arial" w:cs="Arial"/>
          <w:b/>
          <w:sz w:val="20"/>
          <w:szCs w:val="20"/>
        </w:rPr>
        <w:t>– Financial Indicators</w:t>
      </w:r>
      <w:r w:rsidRPr="005032E0">
        <w:rPr>
          <w:rFonts w:ascii="Arial" w:hAnsi="Arial" w:cs="Arial"/>
          <w:sz w:val="20"/>
          <w:szCs w:val="20"/>
        </w:rPr>
        <w:t>, the additional funding from the special variation</w:t>
      </w:r>
      <w:r w:rsidR="00095246">
        <w:rPr>
          <w:rFonts w:ascii="Arial" w:hAnsi="Arial" w:cs="Arial"/>
          <w:sz w:val="20"/>
          <w:szCs w:val="20"/>
        </w:rPr>
        <w:t xml:space="preserve"> will enable the Council to</w:t>
      </w:r>
      <w:r w:rsidRPr="005032E0">
        <w:rPr>
          <w:rFonts w:ascii="Arial" w:hAnsi="Arial" w:cs="Arial"/>
          <w:sz w:val="20"/>
          <w:szCs w:val="20"/>
        </w:rPr>
        <w:t xml:space="preserve"> achieve an operating balance surplus in 2018/19 and makes significant progress to address its asset funding backlog.</w:t>
      </w:r>
      <w:r w:rsidRPr="00790304">
        <w:rPr>
          <w:rFonts w:ascii="Arial" w:hAnsi="Arial" w:cs="Arial"/>
          <w:color w:val="FF0000"/>
          <w:sz w:val="20"/>
          <w:szCs w:val="20"/>
        </w:rPr>
        <w:t xml:space="preserve"> </w:t>
      </w:r>
      <w:r w:rsidRPr="00790304">
        <w:rPr>
          <w:rFonts w:ascii="Arial" w:hAnsi="Arial" w:cs="Arial"/>
          <w:sz w:val="20"/>
          <w:szCs w:val="20"/>
        </w:rPr>
        <w:t xml:space="preserve">The additional revenue will be targeted in smart ways towards initiatives that will reduce long term operational costs and asset whole of lifecycle costs for major assets.  </w:t>
      </w:r>
    </w:p>
    <w:p w14:paraId="6926BA4E" w14:textId="77777777" w:rsidR="004A2652" w:rsidRDefault="004A2652" w:rsidP="00401AA8">
      <w:pPr>
        <w:spacing w:line="276" w:lineRule="auto"/>
        <w:jc w:val="both"/>
        <w:rPr>
          <w:rFonts w:ascii="Arial" w:hAnsi="Arial" w:cs="Arial"/>
          <w:sz w:val="20"/>
          <w:szCs w:val="20"/>
        </w:rPr>
      </w:pPr>
    </w:p>
    <w:p w14:paraId="0DC62D56" w14:textId="71D244E4" w:rsidR="004A2652" w:rsidRDefault="004A2652" w:rsidP="00401AA8">
      <w:pPr>
        <w:spacing w:after="60" w:line="276" w:lineRule="auto"/>
        <w:jc w:val="both"/>
        <w:rPr>
          <w:rFonts w:ascii="Arial" w:hAnsi="Arial" w:cs="Arial"/>
          <w:sz w:val="20"/>
          <w:szCs w:val="20"/>
        </w:rPr>
      </w:pPr>
      <w:r>
        <w:rPr>
          <w:rFonts w:ascii="Arial" w:hAnsi="Arial" w:cs="Arial"/>
          <w:sz w:val="20"/>
          <w:szCs w:val="20"/>
        </w:rPr>
        <w:t xml:space="preserve">As shown in </w:t>
      </w:r>
      <w:r w:rsidR="008527C9" w:rsidRPr="008527C9">
        <w:rPr>
          <w:rFonts w:ascii="Arial" w:hAnsi="Arial" w:cs="Arial"/>
          <w:b/>
          <w:sz w:val="20"/>
          <w:szCs w:val="20"/>
        </w:rPr>
        <w:t>Figure 3.5</w:t>
      </w:r>
      <w:r>
        <w:rPr>
          <w:rFonts w:ascii="Arial" w:hAnsi="Arial" w:cs="Arial"/>
          <w:sz w:val="20"/>
          <w:szCs w:val="20"/>
        </w:rPr>
        <w:t xml:space="preserve"> below, t</w:t>
      </w:r>
      <w:r w:rsidRPr="004F1AD9">
        <w:rPr>
          <w:rFonts w:ascii="Arial" w:hAnsi="Arial" w:cs="Arial"/>
          <w:sz w:val="20"/>
          <w:szCs w:val="20"/>
        </w:rPr>
        <w:t xml:space="preserve">he special variation </w:t>
      </w:r>
      <w:r>
        <w:rPr>
          <w:rFonts w:ascii="Arial" w:hAnsi="Arial" w:cs="Arial"/>
          <w:sz w:val="20"/>
          <w:szCs w:val="20"/>
        </w:rPr>
        <w:t xml:space="preserve">(noted as Scenario 1) </w:t>
      </w:r>
      <w:r w:rsidRPr="004F1AD9">
        <w:rPr>
          <w:rFonts w:ascii="Arial" w:hAnsi="Arial" w:cs="Arial"/>
          <w:sz w:val="20"/>
          <w:szCs w:val="20"/>
        </w:rPr>
        <w:t xml:space="preserve">is the only resourcing option that supports achievement of long-term financial sustainability for the Council.  However, sustainability will be a </w:t>
      </w:r>
      <w:r w:rsidR="00095246">
        <w:rPr>
          <w:rFonts w:ascii="Arial" w:hAnsi="Arial" w:cs="Arial"/>
          <w:sz w:val="20"/>
          <w:szCs w:val="20"/>
        </w:rPr>
        <w:t xml:space="preserve">long-term </w:t>
      </w:r>
      <w:r w:rsidRPr="004F1AD9">
        <w:rPr>
          <w:rFonts w:ascii="Arial" w:hAnsi="Arial" w:cs="Arial"/>
          <w:sz w:val="20"/>
          <w:szCs w:val="20"/>
        </w:rPr>
        <w:t>challenge since the proposed special variation is only for a four year period, after which rating revenue once again is only rate pegged.  It is therefore vital that the Council also continues to implement its Six Strategies for Financial Sustainability over the next 10 to 20 years.</w:t>
      </w:r>
    </w:p>
    <w:p w14:paraId="06C5FE68" w14:textId="51FB4E8B" w:rsidR="004A2652" w:rsidRPr="003B5CED" w:rsidRDefault="004A2652" w:rsidP="004A2652">
      <w:pPr>
        <w:spacing w:before="320"/>
        <w:ind w:left="1304" w:hanging="1304"/>
        <w:jc w:val="both"/>
        <w:rPr>
          <w:rFonts w:ascii="Arial" w:hAnsi="Arial" w:cs="Arial"/>
          <w:b/>
          <w:sz w:val="18"/>
          <w:szCs w:val="18"/>
        </w:rPr>
      </w:pPr>
      <w:r w:rsidRPr="003B5CED">
        <w:rPr>
          <w:rFonts w:ascii="Arial" w:hAnsi="Arial" w:cs="Arial"/>
          <w:b/>
          <w:noProof/>
          <w:sz w:val="18"/>
          <w:szCs w:val="18"/>
        </w:rPr>
        <w:drawing>
          <wp:anchor distT="0" distB="0" distL="114300" distR="114300" simplePos="0" relativeHeight="251865088" behindDoc="0" locked="0" layoutInCell="1" allowOverlap="1" wp14:anchorId="1CBC0B99" wp14:editId="7515B3B0">
            <wp:simplePos x="0" y="0"/>
            <wp:positionH relativeFrom="column">
              <wp:posOffset>-5022</wp:posOffset>
            </wp:positionH>
            <wp:positionV relativeFrom="paragraph">
              <wp:posOffset>389025</wp:posOffset>
            </wp:positionV>
            <wp:extent cx="5464232" cy="2876204"/>
            <wp:effectExtent l="0" t="0" r="22225" b="19685"/>
            <wp:wrapNone/>
            <wp:docPr id="2102" name="Chart 2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r w:rsidRPr="003B5CED">
        <w:rPr>
          <w:rFonts w:ascii="Arial" w:hAnsi="Arial" w:cs="Arial"/>
          <w:b/>
          <w:sz w:val="18"/>
          <w:szCs w:val="18"/>
        </w:rPr>
        <w:t>Fi</w:t>
      </w:r>
      <w:r w:rsidR="00FA0E8D" w:rsidRPr="003B5CED">
        <w:rPr>
          <w:rFonts w:ascii="Arial" w:hAnsi="Arial" w:cs="Arial"/>
          <w:b/>
          <w:sz w:val="18"/>
          <w:szCs w:val="18"/>
        </w:rPr>
        <w:t>gure 3.5</w:t>
      </w:r>
      <w:r w:rsidR="003B5CED" w:rsidRPr="003B5CED">
        <w:rPr>
          <w:rFonts w:ascii="Arial" w:hAnsi="Arial" w:cs="Arial"/>
          <w:b/>
          <w:sz w:val="18"/>
          <w:szCs w:val="18"/>
        </w:rPr>
        <w:t>:</w:t>
      </w:r>
      <w:r w:rsidRPr="003B5CED">
        <w:rPr>
          <w:rFonts w:ascii="Arial" w:hAnsi="Arial" w:cs="Arial"/>
          <w:b/>
          <w:sz w:val="18"/>
          <w:szCs w:val="18"/>
        </w:rPr>
        <w:t xml:space="preserve">  10-year projection – Operating Balance ($)</w:t>
      </w:r>
    </w:p>
    <w:p w14:paraId="74BD9E2A" w14:textId="77777777" w:rsidR="004A2652" w:rsidRPr="00006CCD" w:rsidRDefault="004A2652" w:rsidP="004A2652">
      <w:pPr>
        <w:keepLines/>
        <w:spacing w:before="120" w:line="360" w:lineRule="auto"/>
        <w:jc w:val="both"/>
        <w:rPr>
          <w:rFonts w:ascii="Arial" w:hAnsi="Arial" w:cs="Arial"/>
          <w:sz w:val="16"/>
          <w:szCs w:val="16"/>
        </w:rPr>
      </w:pPr>
    </w:p>
    <w:p w14:paraId="2969AEEA" w14:textId="77777777" w:rsidR="004A2652" w:rsidRPr="00E34476" w:rsidRDefault="004A2652" w:rsidP="004A2652">
      <w:pPr>
        <w:keepLines/>
        <w:spacing w:before="120" w:line="360" w:lineRule="auto"/>
        <w:jc w:val="both"/>
        <w:rPr>
          <w:rFonts w:ascii="Arial" w:hAnsi="Arial" w:cs="Arial"/>
          <w:sz w:val="20"/>
          <w:szCs w:val="20"/>
        </w:rPr>
      </w:pPr>
    </w:p>
    <w:p w14:paraId="56681203" w14:textId="77777777" w:rsidR="004A2652" w:rsidRPr="00E34476" w:rsidRDefault="004A2652" w:rsidP="004A2652">
      <w:pPr>
        <w:keepLines/>
        <w:spacing w:before="120" w:line="360" w:lineRule="auto"/>
        <w:jc w:val="both"/>
        <w:rPr>
          <w:rFonts w:ascii="Arial" w:hAnsi="Arial" w:cs="Arial"/>
          <w:sz w:val="20"/>
          <w:szCs w:val="20"/>
        </w:rPr>
      </w:pPr>
    </w:p>
    <w:p w14:paraId="7187D01C" w14:textId="77777777" w:rsidR="004A2652" w:rsidRPr="00E34476" w:rsidRDefault="004A2652" w:rsidP="004A2652">
      <w:pPr>
        <w:keepLines/>
        <w:spacing w:before="120" w:line="360" w:lineRule="auto"/>
        <w:jc w:val="both"/>
        <w:rPr>
          <w:rFonts w:ascii="Arial" w:hAnsi="Arial" w:cs="Arial"/>
          <w:sz w:val="20"/>
          <w:szCs w:val="20"/>
        </w:rPr>
      </w:pPr>
    </w:p>
    <w:p w14:paraId="0247A5E8" w14:textId="77777777" w:rsidR="004A2652" w:rsidRPr="00E34476" w:rsidRDefault="004A2652" w:rsidP="004A2652">
      <w:pPr>
        <w:keepLines/>
        <w:spacing w:before="120" w:line="360" w:lineRule="auto"/>
        <w:jc w:val="both"/>
        <w:rPr>
          <w:rFonts w:ascii="Arial" w:hAnsi="Arial" w:cs="Arial"/>
          <w:sz w:val="20"/>
          <w:szCs w:val="20"/>
        </w:rPr>
      </w:pPr>
    </w:p>
    <w:p w14:paraId="11B45FC5" w14:textId="77777777" w:rsidR="004A2652" w:rsidRDefault="004A2652" w:rsidP="004A2652">
      <w:pPr>
        <w:keepLines/>
        <w:spacing w:before="120" w:line="360" w:lineRule="auto"/>
        <w:jc w:val="both"/>
        <w:rPr>
          <w:rFonts w:ascii="Arial" w:hAnsi="Arial" w:cs="Arial"/>
          <w:sz w:val="20"/>
          <w:szCs w:val="20"/>
        </w:rPr>
      </w:pPr>
    </w:p>
    <w:p w14:paraId="4FCABBAB" w14:textId="77777777" w:rsidR="004A2652" w:rsidRDefault="004A2652" w:rsidP="004A2652">
      <w:pPr>
        <w:keepLines/>
        <w:spacing w:before="120" w:line="360" w:lineRule="auto"/>
        <w:jc w:val="both"/>
        <w:rPr>
          <w:rFonts w:ascii="Arial" w:hAnsi="Arial" w:cs="Arial"/>
          <w:sz w:val="20"/>
          <w:szCs w:val="20"/>
        </w:rPr>
      </w:pPr>
    </w:p>
    <w:p w14:paraId="2F8E7B52" w14:textId="77777777" w:rsidR="004A2652" w:rsidRDefault="004A2652" w:rsidP="004A2652">
      <w:pPr>
        <w:keepLines/>
        <w:spacing w:before="120" w:line="360" w:lineRule="auto"/>
        <w:jc w:val="both"/>
        <w:rPr>
          <w:rFonts w:ascii="Arial" w:hAnsi="Arial" w:cs="Arial"/>
          <w:sz w:val="20"/>
          <w:szCs w:val="20"/>
        </w:rPr>
      </w:pPr>
    </w:p>
    <w:p w14:paraId="081DB75C" w14:textId="77777777" w:rsidR="004A2652" w:rsidRDefault="004A2652" w:rsidP="004A2652">
      <w:pPr>
        <w:keepLines/>
        <w:spacing w:before="120" w:line="360" w:lineRule="auto"/>
        <w:jc w:val="both"/>
        <w:rPr>
          <w:rFonts w:ascii="Arial" w:hAnsi="Arial" w:cs="Arial"/>
          <w:sz w:val="20"/>
          <w:szCs w:val="20"/>
        </w:rPr>
      </w:pPr>
    </w:p>
    <w:p w14:paraId="770FEB3B" w14:textId="77777777" w:rsidR="004A2652" w:rsidRPr="00E34476" w:rsidRDefault="004A2652" w:rsidP="004A2652">
      <w:pPr>
        <w:keepLines/>
        <w:spacing w:before="120" w:line="360" w:lineRule="auto"/>
        <w:jc w:val="both"/>
        <w:rPr>
          <w:rFonts w:ascii="Arial" w:hAnsi="Arial" w:cs="Arial"/>
          <w:sz w:val="20"/>
          <w:szCs w:val="20"/>
        </w:rPr>
      </w:pPr>
    </w:p>
    <w:p w14:paraId="38C03A15" w14:textId="77777777" w:rsidR="004A2652" w:rsidRPr="00336A66" w:rsidRDefault="004A2652" w:rsidP="004A2652">
      <w:pPr>
        <w:jc w:val="both"/>
        <w:rPr>
          <w:rFonts w:ascii="Arial" w:hAnsi="Arial" w:cs="Arial"/>
          <w:sz w:val="20"/>
          <w:szCs w:val="20"/>
        </w:rPr>
      </w:pPr>
    </w:p>
    <w:p w14:paraId="41811703" w14:textId="77777777" w:rsidR="004A2652" w:rsidRDefault="004A2652" w:rsidP="004A2652">
      <w:pPr>
        <w:spacing w:line="360" w:lineRule="auto"/>
        <w:jc w:val="both"/>
        <w:rPr>
          <w:rFonts w:ascii="Arial" w:hAnsi="Arial" w:cs="Arial"/>
          <w:sz w:val="20"/>
          <w:szCs w:val="20"/>
        </w:rPr>
      </w:pPr>
    </w:p>
    <w:p w14:paraId="105CB0B3" w14:textId="3D313E90" w:rsidR="004A2652" w:rsidRPr="00FB1B9F" w:rsidRDefault="004A2652" w:rsidP="00401AA8">
      <w:pPr>
        <w:spacing w:line="276" w:lineRule="auto"/>
        <w:jc w:val="both"/>
        <w:rPr>
          <w:rFonts w:ascii="Arial" w:hAnsi="Arial" w:cs="Arial"/>
          <w:b/>
          <w:sz w:val="20"/>
          <w:szCs w:val="20"/>
        </w:rPr>
      </w:pPr>
      <w:r>
        <w:rPr>
          <w:rFonts w:ascii="Arial" w:hAnsi="Arial" w:cs="Arial"/>
          <w:sz w:val="20"/>
          <w:szCs w:val="20"/>
        </w:rPr>
        <w:t xml:space="preserve">Further detail on the impacts of the special variation </w:t>
      </w:r>
      <w:r w:rsidR="000463C2">
        <w:rPr>
          <w:rFonts w:ascii="Arial" w:hAnsi="Arial" w:cs="Arial"/>
          <w:sz w:val="20"/>
          <w:szCs w:val="20"/>
        </w:rPr>
        <w:t xml:space="preserve">on revenue and expenditure are </w:t>
      </w:r>
      <w:r>
        <w:rPr>
          <w:rFonts w:ascii="Arial" w:hAnsi="Arial" w:cs="Arial"/>
          <w:sz w:val="20"/>
          <w:szCs w:val="20"/>
        </w:rPr>
        <w:t xml:space="preserve">included in the LTFP </w:t>
      </w:r>
      <w:r w:rsidR="0088690B">
        <w:rPr>
          <w:rFonts w:ascii="Arial" w:hAnsi="Arial" w:cs="Arial"/>
          <w:sz w:val="20"/>
          <w:szCs w:val="20"/>
        </w:rPr>
        <w:t>(</w:t>
      </w:r>
      <w:r w:rsidR="0088690B" w:rsidRPr="0088690B">
        <w:rPr>
          <w:rFonts w:ascii="Arial" w:hAnsi="Arial" w:cs="Arial"/>
          <w:b/>
          <w:sz w:val="20"/>
          <w:szCs w:val="20"/>
        </w:rPr>
        <w:t>Attachment 3</w:t>
      </w:r>
      <w:r w:rsidR="0088690B">
        <w:rPr>
          <w:rFonts w:ascii="Arial" w:hAnsi="Arial" w:cs="Arial"/>
          <w:sz w:val="20"/>
          <w:szCs w:val="20"/>
        </w:rPr>
        <w:t xml:space="preserve">, </w:t>
      </w:r>
      <w:r w:rsidRPr="00FB1B9F">
        <w:rPr>
          <w:rFonts w:ascii="Arial" w:hAnsi="Arial" w:cs="Arial"/>
          <w:b/>
          <w:sz w:val="20"/>
          <w:szCs w:val="20"/>
        </w:rPr>
        <w:t>Section 3.6.2 – Overview of Financial Scenarios</w:t>
      </w:r>
      <w:r w:rsidR="0088690B">
        <w:rPr>
          <w:rFonts w:ascii="Arial" w:hAnsi="Arial" w:cs="Arial"/>
          <w:b/>
          <w:sz w:val="20"/>
          <w:szCs w:val="20"/>
        </w:rPr>
        <w:t>)</w:t>
      </w:r>
      <w:r w:rsidRPr="00FB1B9F">
        <w:rPr>
          <w:rFonts w:ascii="Arial" w:hAnsi="Arial" w:cs="Arial"/>
          <w:b/>
          <w:sz w:val="20"/>
          <w:szCs w:val="20"/>
        </w:rPr>
        <w:t>.</w:t>
      </w:r>
    </w:p>
    <w:p w14:paraId="06DD6684" w14:textId="7E379068" w:rsidR="00FA0E8D" w:rsidRDefault="00FA0E8D">
      <w:pPr>
        <w:rPr>
          <w:rFonts w:ascii="Arial" w:hAnsi="Arial" w:cs="Arial"/>
          <w:b/>
          <w:sz w:val="20"/>
          <w:szCs w:val="20"/>
        </w:rPr>
      </w:pPr>
    </w:p>
    <w:p w14:paraId="6D4F81F2" w14:textId="46B41D86" w:rsidR="004A2652" w:rsidRPr="00006CCD" w:rsidRDefault="004A2652" w:rsidP="00401AA8">
      <w:pPr>
        <w:spacing w:line="276" w:lineRule="auto"/>
        <w:jc w:val="both"/>
        <w:rPr>
          <w:rFonts w:ascii="Arial" w:hAnsi="Arial" w:cs="Arial"/>
          <w:b/>
          <w:sz w:val="20"/>
          <w:szCs w:val="20"/>
        </w:rPr>
      </w:pPr>
      <w:r w:rsidRPr="00006CCD">
        <w:rPr>
          <w:rFonts w:ascii="Arial" w:hAnsi="Arial" w:cs="Arial"/>
          <w:b/>
          <w:sz w:val="20"/>
          <w:szCs w:val="20"/>
        </w:rPr>
        <w:t>Proposed Special Variation – Revenue Assumptions</w:t>
      </w:r>
    </w:p>
    <w:p w14:paraId="1E391AFA" w14:textId="160BB3CB" w:rsidR="004A2652" w:rsidRDefault="000463C2" w:rsidP="00401AA8">
      <w:pPr>
        <w:spacing w:line="276" w:lineRule="auto"/>
        <w:jc w:val="both"/>
        <w:rPr>
          <w:rFonts w:ascii="Arial" w:hAnsi="Arial" w:cs="Arial"/>
          <w:sz w:val="20"/>
          <w:szCs w:val="20"/>
        </w:rPr>
      </w:pPr>
      <w:r>
        <w:rPr>
          <w:rFonts w:ascii="Arial" w:hAnsi="Arial" w:cs="Arial"/>
          <w:sz w:val="20"/>
          <w:szCs w:val="20"/>
        </w:rPr>
        <w:t xml:space="preserve">Relative to the proposed special variation financial </w:t>
      </w:r>
      <w:r w:rsidR="004A2652">
        <w:rPr>
          <w:rFonts w:ascii="Arial" w:hAnsi="Arial" w:cs="Arial"/>
          <w:sz w:val="20"/>
          <w:szCs w:val="20"/>
        </w:rPr>
        <w:t>scenario</w:t>
      </w:r>
      <w:r>
        <w:rPr>
          <w:rFonts w:ascii="Arial" w:hAnsi="Arial" w:cs="Arial"/>
          <w:sz w:val="20"/>
          <w:szCs w:val="20"/>
        </w:rPr>
        <w:t xml:space="preserve"> (Option 1)</w:t>
      </w:r>
      <w:r w:rsidR="004A2652">
        <w:rPr>
          <w:rFonts w:ascii="Arial" w:hAnsi="Arial" w:cs="Arial"/>
          <w:sz w:val="20"/>
          <w:szCs w:val="20"/>
        </w:rPr>
        <w:t xml:space="preserve">, the </w:t>
      </w:r>
      <w:r w:rsidR="004A2652" w:rsidRPr="00336A66">
        <w:rPr>
          <w:rFonts w:ascii="Arial" w:hAnsi="Arial" w:cs="Arial"/>
          <w:sz w:val="20"/>
          <w:szCs w:val="20"/>
        </w:rPr>
        <w:t xml:space="preserve">LTFP forecasts </w:t>
      </w:r>
      <w:r w:rsidR="004A2652">
        <w:rPr>
          <w:rFonts w:ascii="Arial" w:hAnsi="Arial" w:cs="Arial"/>
          <w:sz w:val="20"/>
          <w:szCs w:val="20"/>
        </w:rPr>
        <w:t xml:space="preserve">that </w:t>
      </w:r>
      <w:r w:rsidR="004A2652" w:rsidRPr="00336A66">
        <w:rPr>
          <w:rFonts w:ascii="Arial" w:hAnsi="Arial" w:cs="Arial"/>
          <w:sz w:val="20"/>
          <w:szCs w:val="20"/>
        </w:rPr>
        <w:t xml:space="preserve">total </w:t>
      </w:r>
      <w:r w:rsidR="004A2652">
        <w:rPr>
          <w:rFonts w:ascii="Arial" w:hAnsi="Arial" w:cs="Arial"/>
          <w:sz w:val="20"/>
          <w:szCs w:val="20"/>
        </w:rPr>
        <w:t xml:space="preserve">annual </w:t>
      </w:r>
      <w:r w:rsidR="004A2652" w:rsidRPr="00336A66">
        <w:rPr>
          <w:rFonts w:ascii="Arial" w:hAnsi="Arial" w:cs="Arial"/>
          <w:sz w:val="20"/>
          <w:szCs w:val="20"/>
        </w:rPr>
        <w:t xml:space="preserve">income </w:t>
      </w:r>
      <w:r w:rsidR="004A2652">
        <w:rPr>
          <w:rFonts w:ascii="Arial" w:hAnsi="Arial" w:cs="Arial"/>
          <w:sz w:val="20"/>
          <w:szCs w:val="20"/>
        </w:rPr>
        <w:t xml:space="preserve">will </w:t>
      </w:r>
      <w:r w:rsidR="004A2652" w:rsidRPr="00336A66">
        <w:rPr>
          <w:rFonts w:ascii="Arial" w:hAnsi="Arial" w:cs="Arial"/>
          <w:sz w:val="20"/>
          <w:szCs w:val="20"/>
        </w:rPr>
        <w:t>increas</w:t>
      </w:r>
      <w:r w:rsidR="004A2652">
        <w:rPr>
          <w:rFonts w:ascii="Arial" w:hAnsi="Arial" w:cs="Arial"/>
          <w:sz w:val="20"/>
          <w:szCs w:val="20"/>
        </w:rPr>
        <w:t>e</w:t>
      </w:r>
      <w:r w:rsidR="004A2652" w:rsidRPr="00336A66">
        <w:rPr>
          <w:rFonts w:ascii="Arial" w:hAnsi="Arial" w:cs="Arial"/>
          <w:sz w:val="20"/>
          <w:szCs w:val="20"/>
        </w:rPr>
        <w:t xml:space="preserve"> from $100</w:t>
      </w:r>
      <w:r w:rsidR="004A2652">
        <w:rPr>
          <w:rFonts w:ascii="Arial" w:hAnsi="Arial" w:cs="Arial"/>
          <w:sz w:val="20"/>
          <w:szCs w:val="20"/>
        </w:rPr>
        <w:t xml:space="preserve"> million </w:t>
      </w:r>
      <w:r w:rsidR="004A2652" w:rsidRPr="00336A66">
        <w:rPr>
          <w:rFonts w:ascii="Arial" w:hAnsi="Arial" w:cs="Arial"/>
          <w:sz w:val="20"/>
          <w:szCs w:val="20"/>
        </w:rPr>
        <w:t>in 2014/15 to $139</w:t>
      </w:r>
      <w:r w:rsidR="004A2652">
        <w:rPr>
          <w:rFonts w:ascii="Arial" w:hAnsi="Arial" w:cs="Arial"/>
          <w:sz w:val="20"/>
          <w:szCs w:val="20"/>
        </w:rPr>
        <w:t xml:space="preserve"> million in 2023/24. This income includes the additional income from </w:t>
      </w:r>
      <w:r w:rsidR="004A2652">
        <w:rPr>
          <w:rFonts w:ascii="Arial" w:hAnsi="Arial"/>
          <w:sz w:val="20"/>
          <w:szCs w:val="20"/>
        </w:rPr>
        <w:t xml:space="preserve">renewing </w:t>
      </w:r>
      <w:r w:rsidR="004A2652" w:rsidRPr="00006CCD">
        <w:rPr>
          <w:rFonts w:ascii="Arial" w:hAnsi="Arial"/>
          <w:sz w:val="20"/>
          <w:szCs w:val="20"/>
        </w:rPr>
        <w:t xml:space="preserve">the Environment Levy </w:t>
      </w:r>
      <w:r w:rsidR="004A2652">
        <w:rPr>
          <w:rFonts w:ascii="Arial" w:hAnsi="Arial"/>
          <w:sz w:val="20"/>
          <w:szCs w:val="20"/>
        </w:rPr>
        <w:t xml:space="preserve">following its expiry </w:t>
      </w:r>
      <w:r w:rsidR="004A2652" w:rsidRPr="00006CCD">
        <w:rPr>
          <w:rFonts w:ascii="Arial" w:hAnsi="Arial"/>
          <w:sz w:val="20"/>
          <w:szCs w:val="20"/>
        </w:rPr>
        <w:t>in June 2015 on a permanent basis</w:t>
      </w:r>
      <w:r w:rsidR="004A2652">
        <w:rPr>
          <w:rFonts w:ascii="Arial" w:hAnsi="Arial"/>
          <w:sz w:val="20"/>
          <w:szCs w:val="20"/>
        </w:rPr>
        <w:t xml:space="preserve"> (</w:t>
      </w:r>
      <w:r w:rsidR="004A2652" w:rsidRPr="00006CCD">
        <w:rPr>
          <w:rFonts w:ascii="Arial" w:hAnsi="Arial"/>
          <w:sz w:val="20"/>
          <w:szCs w:val="20"/>
        </w:rPr>
        <w:t xml:space="preserve">6.6% increase including rate peg) followed by three </w:t>
      </w:r>
      <w:r w:rsidR="004A2652">
        <w:rPr>
          <w:rFonts w:ascii="Arial" w:hAnsi="Arial"/>
          <w:sz w:val="20"/>
          <w:szCs w:val="20"/>
        </w:rPr>
        <w:t xml:space="preserve">permanent </w:t>
      </w:r>
      <w:r w:rsidR="004A2652" w:rsidRPr="00006CCD">
        <w:rPr>
          <w:rFonts w:ascii="Arial" w:hAnsi="Arial"/>
          <w:sz w:val="20"/>
          <w:szCs w:val="20"/>
        </w:rPr>
        <w:t xml:space="preserve">annual increases of 9.6% (including rate peg) from 2016/17 to 2018/19. </w:t>
      </w:r>
      <w:r w:rsidR="004A2652">
        <w:rPr>
          <w:rFonts w:ascii="Arial" w:hAnsi="Arial" w:cs="Arial"/>
          <w:sz w:val="20"/>
          <w:szCs w:val="20"/>
        </w:rPr>
        <w:t>The LTFP also forecasts that the p</w:t>
      </w:r>
      <w:r w:rsidR="004A2652" w:rsidRPr="00336A66">
        <w:rPr>
          <w:rFonts w:ascii="Arial" w:hAnsi="Arial" w:cs="Arial"/>
          <w:sz w:val="20"/>
          <w:szCs w:val="20"/>
        </w:rPr>
        <w:t xml:space="preserve">roposed </w:t>
      </w:r>
      <w:r w:rsidR="004A2652">
        <w:rPr>
          <w:rFonts w:ascii="Arial" w:hAnsi="Arial" w:cs="Arial"/>
          <w:sz w:val="20"/>
          <w:szCs w:val="20"/>
        </w:rPr>
        <w:t>s</w:t>
      </w:r>
      <w:r w:rsidR="004A2652" w:rsidRPr="00336A66">
        <w:rPr>
          <w:rFonts w:ascii="Arial" w:hAnsi="Arial" w:cs="Arial"/>
          <w:sz w:val="20"/>
          <w:szCs w:val="20"/>
        </w:rPr>
        <w:t xml:space="preserve">pecial </w:t>
      </w:r>
      <w:r w:rsidR="004A2652">
        <w:rPr>
          <w:rFonts w:ascii="Arial" w:hAnsi="Arial" w:cs="Arial"/>
          <w:sz w:val="20"/>
          <w:szCs w:val="20"/>
        </w:rPr>
        <w:t>v</w:t>
      </w:r>
      <w:r w:rsidR="004A2652" w:rsidRPr="00336A66">
        <w:rPr>
          <w:rFonts w:ascii="Arial" w:hAnsi="Arial" w:cs="Arial"/>
          <w:sz w:val="20"/>
          <w:szCs w:val="20"/>
        </w:rPr>
        <w:t>ariation results in a cumulative increase in</w:t>
      </w:r>
      <w:r w:rsidR="004A2652">
        <w:rPr>
          <w:rFonts w:ascii="Arial" w:hAnsi="Arial" w:cs="Arial"/>
          <w:sz w:val="20"/>
          <w:szCs w:val="20"/>
        </w:rPr>
        <w:t xml:space="preserve"> rates over four years of 40.4%</w:t>
      </w:r>
      <w:r w:rsidR="004A2652" w:rsidRPr="00336A66">
        <w:rPr>
          <w:rFonts w:ascii="Arial" w:hAnsi="Arial" w:cs="Arial"/>
          <w:sz w:val="20"/>
          <w:szCs w:val="20"/>
        </w:rPr>
        <w:t xml:space="preserve">. </w:t>
      </w:r>
    </w:p>
    <w:p w14:paraId="36F9A844" w14:textId="4FE1B786" w:rsidR="004A2652" w:rsidRDefault="004A2652" w:rsidP="00401AA8">
      <w:pPr>
        <w:spacing w:line="276" w:lineRule="auto"/>
        <w:jc w:val="both"/>
        <w:rPr>
          <w:rFonts w:ascii="Arial" w:hAnsi="Arial" w:cs="Arial"/>
          <w:sz w:val="20"/>
          <w:szCs w:val="20"/>
          <w:lang w:val="en-US"/>
        </w:rPr>
      </w:pPr>
      <w:r>
        <w:rPr>
          <w:rFonts w:ascii="Arial" w:hAnsi="Arial" w:cs="Arial"/>
          <w:sz w:val="20"/>
          <w:szCs w:val="20"/>
          <w:lang w:val="en-US"/>
        </w:rPr>
        <w:t>For the life of the LTFP, rate peg is assumed</w:t>
      </w:r>
      <w:r w:rsidR="00095246">
        <w:rPr>
          <w:rFonts w:ascii="Arial" w:hAnsi="Arial" w:cs="Arial"/>
          <w:sz w:val="20"/>
          <w:szCs w:val="20"/>
          <w:lang w:val="en-US"/>
        </w:rPr>
        <w:t xml:space="preserve"> at 3%</w:t>
      </w:r>
      <w:r>
        <w:rPr>
          <w:rFonts w:ascii="Arial" w:hAnsi="Arial" w:cs="Arial"/>
          <w:sz w:val="20"/>
          <w:szCs w:val="20"/>
          <w:lang w:val="en-US"/>
        </w:rPr>
        <w:t xml:space="preserve"> and other </w:t>
      </w:r>
      <w:r w:rsidRPr="00336A66">
        <w:rPr>
          <w:rFonts w:ascii="Arial" w:hAnsi="Arial" w:cs="Arial"/>
          <w:sz w:val="20"/>
          <w:szCs w:val="20"/>
          <w:lang w:val="en-US"/>
        </w:rPr>
        <w:t>assumptions include</w:t>
      </w:r>
      <w:r>
        <w:rPr>
          <w:rFonts w:ascii="Arial" w:hAnsi="Arial" w:cs="Arial"/>
          <w:sz w:val="20"/>
          <w:szCs w:val="20"/>
          <w:lang w:val="en-US"/>
        </w:rPr>
        <w:t>:</w:t>
      </w:r>
    </w:p>
    <w:p w14:paraId="22B90A74" w14:textId="77777777" w:rsidR="004A2652" w:rsidRPr="00400553" w:rsidRDefault="004A2652" w:rsidP="00695720">
      <w:pPr>
        <w:pStyle w:val="ListParagraph"/>
        <w:numPr>
          <w:ilvl w:val="0"/>
          <w:numId w:val="87"/>
        </w:numPr>
        <w:spacing w:line="276" w:lineRule="auto"/>
        <w:jc w:val="both"/>
        <w:rPr>
          <w:rFonts w:ascii="Arial" w:hAnsi="Arial" w:cs="Arial"/>
          <w:sz w:val="20"/>
          <w:szCs w:val="20"/>
        </w:rPr>
      </w:pPr>
      <w:r w:rsidRPr="00400553">
        <w:rPr>
          <w:rFonts w:ascii="Arial" w:hAnsi="Arial" w:cs="Arial"/>
          <w:sz w:val="20"/>
          <w:szCs w:val="20"/>
          <w:lang w:val="en-US"/>
        </w:rPr>
        <w:t xml:space="preserve">3% increase in Contributions, Discretionary Fees and Other Revenue </w:t>
      </w:r>
    </w:p>
    <w:p w14:paraId="2FD2BE23" w14:textId="73D49502" w:rsidR="004A2652" w:rsidRPr="00400553" w:rsidRDefault="004A2652" w:rsidP="00695720">
      <w:pPr>
        <w:pStyle w:val="ListParagraph"/>
        <w:numPr>
          <w:ilvl w:val="0"/>
          <w:numId w:val="87"/>
        </w:numPr>
        <w:spacing w:line="276" w:lineRule="auto"/>
        <w:jc w:val="both"/>
        <w:rPr>
          <w:rFonts w:ascii="Arial" w:hAnsi="Arial" w:cs="Arial"/>
          <w:sz w:val="20"/>
          <w:szCs w:val="20"/>
        </w:rPr>
      </w:pPr>
      <w:r>
        <w:rPr>
          <w:rFonts w:ascii="Arial" w:hAnsi="Arial" w:cs="Arial"/>
          <w:sz w:val="20"/>
          <w:szCs w:val="20"/>
          <w:lang w:val="en-US"/>
        </w:rPr>
        <w:t xml:space="preserve">5% increase in </w:t>
      </w:r>
      <w:r w:rsidR="00095246">
        <w:rPr>
          <w:rFonts w:ascii="Arial" w:hAnsi="Arial" w:cs="Arial"/>
          <w:sz w:val="20"/>
          <w:szCs w:val="20"/>
          <w:lang w:val="en-US"/>
        </w:rPr>
        <w:t>Annual Charges</w:t>
      </w:r>
    </w:p>
    <w:p w14:paraId="42D50ED2" w14:textId="77777777" w:rsidR="004A2652" w:rsidRPr="00400553" w:rsidRDefault="004A2652" w:rsidP="00695720">
      <w:pPr>
        <w:pStyle w:val="ListParagraph"/>
        <w:numPr>
          <w:ilvl w:val="0"/>
          <w:numId w:val="87"/>
        </w:numPr>
        <w:spacing w:line="276" w:lineRule="auto"/>
        <w:jc w:val="both"/>
        <w:rPr>
          <w:rFonts w:ascii="Arial" w:hAnsi="Arial" w:cs="Arial"/>
          <w:sz w:val="20"/>
          <w:szCs w:val="20"/>
        </w:rPr>
      </w:pPr>
      <w:r>
        <w:rPr>
          <w:rFonts w:ascii="Arial" w:hAnsi="Arial" w:cs="Arial"/>
          <w:sz w:val="20"/>
          <w:szCs w:val="20"/>
          <w:lang w:val="en-US"/>
        </w:rPr>
        <w:t>0% increase</w:t>
      </w:r>
      <w:r w:rsidRPr="00400553">
        <w:rPr>
          <w:rFonts w:ascii="Arial" w:hAnsi="Arial" w:cs="Arial"/>
          <w:sz w:val="20"/>
          <w:szCs w:val="20"/>
          <w:lang w:val="en-US"/>
        </w:rPr>
        <w:t xml:space="preserve"> Financial Assistance Grant for the first </w:t>
      </w:r>
      <w:r>
        <w:rPr>
          <w:rFonts w:ascii="Arial" w:hAnsi="Arial" w:cs="Arial"/>
          <w:sz w:val="20"/>
          <w:szCs w:val="20"/>
          <w:lang w:val="en-US"/>
        </w:rPr>
        <w:t>three</w:t>
      </w:r>
      <w:r w:rsidRPr="00400553">
        <w:rPr>
          <w:rFonts w:ascii="Arial" w:hAnsi="Arial" w:cs="Arial"/>
          <w:sz w:val="20"/>
          <w:szCs w:val="20"/>
          <w:lang w:val="en-US"/>
        </w:rPr>
        <w:t xml:space="preserve"> years and then by 4%</w:t>
      </w:r>
    </w:p>
    <w:p w14:paraId="02A65A6C" w14:textId="77777777" w:rsidR="004A2652" w:rsidRPr="00400553" w:rsidRDefault="004A2652" w:rsidP="00695720">
      <w:pPr>
        <w:pStyle w:val="ListParagraph"/>
        <w:numPr>
          <w:ilvl w:val="0"/>
          <w:numId w:val="87"/>
        </w:numPr>
        <w:spacing w:line="276" w:lineRule="auto"/>
        <w:jc w:val="both"/>
        <w:rPr>
          <w:rFonts w:ascii="Arial" w:hAnsi="Arial" w:cs="Arial"/>
          <w:sz w:val="20"/>
          <w:szCs w:val="20"/>
        </w:rPr>
      </w:pPr>
      <w:r>
        <w:rPr>
          <w:rFonts w:ascii="Arial" w:hAnsi="Arial" w:cs="Arial"/>
          <w:sz w:val="20"/>
          <w:szCs w:val="20"/>
          <w:lang w:val="en-US"/>
        </w:rPr>
        <w:t xml:space="preserve">1.5% increase in </w:t>
      </w:r>
      <w:r w:rsidRPr="00400553">
        <w:rPr>
          <w:rFonts w:ascii="Arial" w:hAnsi="Arial" w:cs="Arial"/>
          <w:sz w:val="20"/>
          <w:szCs w:val="20"/>
          <w:lang w:val="en-US"/>
        </w:rPr>
        <w:t>Special Purpose Grants</w:t>
      </w:r>
      <w:r>
        <w:rPr>
          <w:rFonts w:ascii="Arial" w:hAnsi="Arial" w:cs="Arial"/>
          <w:sz w:val="20"/>
          <w:szCs w:val="20"/>
          <w:lang w:val="en-US"/>
        </w:rPr>
        <w:t>, and</w:t>
      </w:r>
    </w:p>
    <w:p w14:paraId="42E78354" w14:textId="77777777" w:rsidR="004A2652" w:rsidRPr="00400553" w:rsidRDefault="004A2652" w:rsidP="00695720">
      <w:pPr>
        <w:pStyle w:val="ListParagraph"/>
        <w:numPr>
          <w:ilvl w:val="0"/>
          <w:numId w:val="87"/>
        </w:numPr>
        <w:spacing w:line="276" w:lineRule="auto"/>
        <w:jc w:val="both"/>
        <w:rPr>
          <w:rFonts w:ascii="Arial" w:hAnsi="Arial" w:cs="Arial"/>
          <w:sz w:val="20"/>
          <w:szCs w:val="20"/>
        </w:rPr>
      </w:pPr>
      <w:r>
        <w:rPr>
          <w:rFonts w:ascii="Arial" w:hAnsi="Arial" w:cs="Arial"/>
          <w:sz w:val="20"/>
          <w:szCs w:val="20"/>
          <w:lang w:val="en-US"/>
        </w:rPr>
        <w:t xml:space="preserve">1% increase in </w:t>
      </w:r>
      <w:r w:rsidRPr="00400553">
        <w:rPr>
          <w:rFonts w:ascii="Arial" w:hAnsi="Arial" w:cs="Arial"/>
          <w:sz w:val="20"/>
          <w:szCs w:val="20"/>
          <w:lang w:val="en-US"/>
        </w:rPr>
        <w:t>Regulatory Fees.</w:t>
      </w:r>
    </w:p>
    <w:p w14:paraId="46A5F9CB" w14:textId="77777777" w:rsidR="004A2652" w:rsidRDefault="004A2652" w:rsidP="00401AA8">
      <w:pPr>
        <w:spacing w:line="276" w:lineRule="auto"/>
        <w:jc w:val="both"/>
        <w:rPr>
          <w:rFonts w:ascii="Arial" w:hAnsi="Arial" w:cs="Arial"/>
          <w:sz w:val="20"/>
          <w:szCs w:val="20"/>
        </w:rPr>
      </w:pPr>
    </w:p>
    <w:p w14:paraId="686CCE24" w14:textId="023531E5" w:rsidR="004A2652" w:rsidRPr="00400553" w:rsidRDefault="004A2652" w:rsidP="00401AA8">
      <w:pPr>
        <w:spacing w:line="276" w:lineRule="auto"/>
        <w:jc w:val="both"/>
        <w:rPr>
          <w:rFonts w:ascii="Arial" w:hAnsi="Arial" w:cs="Arial"/>
          <w:sz w:val="20"/>
          <w:szCs w:val="20"/>
        </w:rPr>
      </w:pPr>
      <w:r>
        <w:rPr>
          <w:rFonts w:ascii="Arial" w:hAnsi="Arial" w:cs="Arial"/>
          <w:sz w:val="20"/>
          <w:szCs w:val="20"/>
        </w:rPr>
        <w:t xml:space="preserve">Refer to LTFP </w:t>
      </w:r>
      <w:r w:rsidR="008F57E5">
        <w:rPr>
          <w:rFonts w:ascii="Arial" w:hAnsi="Arial" w:cs="Arial"/>
          <w:sz w:val="20"/>
          <w:szCs w:val="20"/>
        </w:rPr>
        <w:t>(</w:t>
      </w:r>
      <w:r w:rsidR="008F57E5" w:rsidRPr="008F57E5">
        <w:rPr>
          <w:rFonts w:ascii="Arial" w:hAnsi="Arial" w:cs="Arial"/>
          <w:b/>
          <w:sz w:val="20"/>
          <w:szCs w:val="20"/>
        </w:rPr>
        <w:t>Attachment 3</w:t>
      </w:r>
      <w:r w:rsidR="008F57E5">
        <w:rPr>
          <w:rFonts w:ascii="Arial" w:hAnsi="Arial" w:cs="Arial"/>
          <w:sz w:val="20"/>
          <w:szCs w:val="20"/>
        </w:rPr>
        <w:t xml:space="preserve">, </w:t>
      </w:r>
      <w:r w:rsidRPr="008527C9">
        <w:rPr>
          <w:rFonts w:ascii="Arial" w:hAnsi="Arial" w:cs="Arial"/>
          <w:b/>
          <w:sz w:val="20"/>
          <w:szCs w:val="20"/>
        </w:rPr>
        <w:t>Section 3.</w:t>
      </w:r>
      <w:r w:rsidR="0088690B" w:rsidRPr="008527C9">
        <w:rPr>
          <w:rFonts w:ascii="Arial" w:hAnsi="Arial" w:cs="Arial"/>
          <w:b/>
          <w:sz w:val="20"/>
          <w:szCs w:val="20"/>
        </w:rPr>
        <w:t>7</w:t>
      </w:r>
      <w:r w:rsidRPr="008527C9">
        <w:rPr>
          <w:rFonts w:ascii="Arial" w:hAnsi="Arial" w:cs="Arial"/>
          <w:b/>
          <w:sz w:val="20"/>
          <w:szCs w:val="20"/>
        </w:rPr>
        <w:t>.4</w:t>
      </w:r>
      <w:r>
        <w:rPr>
          <w:rFonts w:ascii="Arial" w:hAnsi="Arial" w:cs="Arial"/>
          <w:sz w:val="20"/>
          <w:szCs w:val="20"/>
        </w:rPr>
        <w:t xml:space="preserve"> – Revenue Forecasts for further details</w:t>
      </w:r>
      <w:r w:rsidR="008F57E5">
        <w:rPr>
          <w:rFonts w:ascii="Arial" w:hAnsi="Arial" w:cs="Arial"/>
          <w:sz w:val="20"/>
          <w:szCs w:val="20"/>
        </w:rPr>
        <w:t>)</w:t>
      </w:r>
      <w:r>
        <w:rPr>
          <w:rFonts w:ascii="Arial" w:hAnsi="Arial" w:cs="Arial"/>
          <w:sz w:val="20"/>
          <w:szCs w:val="20"/>
        </w:rPr>
        <w:t>.</w:t>
      </w:r>
    </w:p>
    <w:p w14:paraId="312D1C69" w14:textId="77777777" w:rsidR="004A2652" w:rsidRPr="00336A66" w:rsidRDefault="004A2652" w:rsidP="00401AA8">
      <w:pPr>
        <w:spacing w:line="276" w:lineRule="auto"/>
        <w:jc w:val="both"/>
        <w:rPr>
          <w:rFonts w:ascii="Arial" w:hAnsi="Arial" w:cs="Arial"/>
          <w:sz w:val="20"/>
          <w:szCs w:val="20"/>
        </w:rPr>
      </w:pPr>
    </w:p>
    <w:p w14:paraId="2AA7C01D" w14:textId="77777777" w:rsidR="004A2652" w:rsidRPr="00006CCD" w:rsidRDefault="004A2652" w:rsidP="00401AA8">
      <w:pPr>
        <w:spacing w:line="276" w:lineRule="auto"/>
        <w:jc w:val="both"/>
        <w:rPr>
          <w:rFonts w:ascii="Arial" w:hAnsi="Arial" w:cs="Arial"/>
          <w:b/>
          <w:sz w:val="20"/>
          <w:szCs w:val="20"/>
        </w:rPr>
      </w:pPr>
      <w:r w:rsidRPr="00006CCD">
        <w:rPr>
          <w:rFonts w:ascii="Arial" w:hAnsi="Arial" w:cs="Arial"/>
          <w:b/>
          <w:sz w:val="20"/>
          <w:szCs w:val="20"/>
        </w:rPr>
        <w:t>Proposed Special Variation – Expenditure Assumptions</w:t>
      </w:r>
    </w:p>
    <w:p w14:paraId="0081D575" w14:textId="3D65725A" w:rsidR="004A2652" w:rsidRPr="00336A66" w:rsidRDefault="004A2652" w:rsidP="00401AA8">
      <w:pPr>
        <w:spacing w:line="276" w:lineRule="auto"/>
        <w:jc w:val="both"/>
        <w:rPr>
          <w:rFonts w:ascii="Arial" w:hAnsi="Arial" w:cs="Arial"/>
          <w:sz w:val="20"/>
          <w:szCs w:val="20"/>
          <w:lang w:val="en-US"/>
        </w:rPr>
      </w:pPr>
      <w:r>
        <w:rPr>
          <w:rFonts w:ascii="Arial" w:hAnsi="Arial" w:cs="Arial"/>
          <w:sz w:val="20"/>
          <w:szCs w:val="20"/>
          <w:lang w:val="en-US"/>
        </w:rPr>
        <w:t>S</w:t>
      </w:r>
      <w:r w:rsidRPr="00336A66">
        <w:rPr>
          <w:rFonts w:ascii="Arial" w:hAnsi="Arial" w:cs="Arial"/>
          <w:sz w:val="20"/>
          <w:szCs w:val="20"/>
          <w:lang w:val="en-US"/>
        </w:rPr>
        <w:t xml:space="preserve">ubject to an annual review of </w:t>
      </w:r>
      <w:r>
        <w:rPr>
          <w:rFonts w:ascii="Arial" w:hAnsi="Arial" w:cs="Arial"/>
          <w:sz w:val="20"/>
          <w:szCs w:val="20"/>
          <w:lang w:val="en-US"/>
        </w:rPr>
        <w:t>a</w:t>
      </w:r>
      <w:r w:rsidRPr="00336A66">
        <w:rPr>
          <w:rFonts w:ascii="Arial" w:hAnsi="Arial" w:cs="Arial"/>
          <w:sz w:val="20"/>
          <w:szCs w:val="20"/>
          <w:lang w:val="en-US"/>
        </w:rPr>
        <w:t>sset priority risk assessment and best value resource allocation</w:t>
      </w:r>
      <w:r>
        <w:rPr>
          <w:rFonts w:ascii="Arial" w:hAnsi="Arial" w:cs="Arial"/>
          <w:sz w:val="20"/>
          <w:szCs w:val="20"/>
          <w:lang w:val="en-US"/>
        </w:rPr>
        <w:t>, the additional revenue from the s</w:t>
      </w:r>
      <w:r w:rsidRPr="00336A66">
        <w:rPr>
          <w:rFonts w:ascii="Arial" w:hAnsi="Arial" w:cs="Arial"/>
          <w:sz w:val="20"/>
          <w:szCs w:val="20"/>
          <w:lang w:val="en-US"/>
        </w:rPr>
        <w:t xml:space="preserve">pecial </w:t>
      </w:r>
      <w:r>
        <w:rPr>
          <w:rFonts w:ascii="Arial" w:hAnsi="Arial" w:cs="Arial"/>
          <w:sz w:val="20"/>
          <w:szCs w:val="20"/>
          <w:lang w:val="en-US"/>
        </w:rPr>
        <w:t>v</w:t>
      </w:r>
      <w:r w:rsidRPr="00336A66">
        <w:rPr>
          <w:rFonts w:ascii="Arial" w:hAnsi="Arial" w:cs="Arial"/>
          <w:sz w:val="20"/>
          <w:szCs w:val="20"/>
          <w:lang w:val="en-US"/>
        </w:rPr>
        <w:t>ariation</w:t>
      </w:r>
      <w:r>
        <w:rPr>
          <w:rFonts w:ascii="Arial" w:hAnsi="Arial" w:cs="Arial"/>
          <w:sz w:val="20"/>
          <w:szCs w:val="20"/>
          <w:lang w:val="en-US"/>
        </w:rPr>
        <w:t xml:space="preserve"> will be allocated </w:t>
      </w:r>
      <w:r w:rsidR="00095246">
        <w:rPr>
          <w:rFonts w:ascii="Arial" w:hAnsi="Arial" w:cs="Arial"/>
          <w:sz w:val="20"/>
          <w:szCs w:val="20"/>
          <w:lang w:val="en-US"/>
        </w:rPr>
        <w:t xml:space="preserve">as </w:t>
      </w:r>
      <w:r w:rsidRPr="00336A66">
        <w:rPr>
          <w:rFonts w:ascii="Arial" w:hAnsi="Arial" w:cs="Arial"/>
          <w:sz w:val="20"/>
          <w:szCs w:val="20"/>
          <w:lang w:val="en-US"/>
        </w:rPr>
        <w:t>follows:</w:t>
      </w:r>
    </w:p>
    <w:p w14:paraId="0FE69078" w14:textId="77777777" w:rsidR="004A2652" w:rsidRDefault="004A2652" w:rsidP="00401AA8">
      <w:pPr>
        <w:numPr>
          <w:ilvl w:val="0"/>
          <w:numId w:val="63"/>
        </w:numPr>
        <w:spacing w:line="276" w:lineRule="auto"/>
        <w:contextualSpacing/>
        <w:jc w:val="both"/>
        <w:rPr>
          <w:rFonts w:ascii="Arial" w:hAnsi="Arial" w:cs="Arial"/>
          <w:sz w:val="20"/>
          <w:szCs w:val="20"/>
          <w:lang w:val="en-US"/>
        </w:rPr>
      </w:pPr>
      <w:r>
        <w:rPr>
          <w:rFonts w:ascii="Arial" w:hAnsi="Arial" w:cs="Arial"/>
          <w:sz w:val="20"/>
          <w:szCs w:val="20"/>
          <w:lang w:val="en-US"/>
        </w:rPr>
        <w:t>Operational expenditure (including maintenance) – total $64.7 million, made up of:</w:t>
      </w:r>
    </w:p>
    <w:p w14:paraId="1B411075" w14:textId="77777777" w:rsidR="004A2652" w:rsidRDefault="004A2652" w:rsidP="00401AA8">
      <w:pPr>
        <w:numPr>
          <w:ilvl w:val="1"/>
          <w:numId w:val="63"/>
        </w:numPr>
        <w:spacing w:line="276" w:lineRule="auto"/>
        <w:contextualSpacing/>
        <w:jc w:val="both"/>
        <w:rPr>
          <w:rFonts w:ascii="Arial" w:hAnsi="Arial" w:cs="Arial"/>
          <w:sz w:val="20"/>
          <w:szCs w:val="20"/>
          <w:lang w:val="en-US"/>
        </w:rPr>
      </w:pPr>
      <w:r w:rsidRPr="00336A66">
        <w:rPr>
          <w:rFonts w:ascii="Arial" w:hAnsi="Arial" w:cs="Arial"/>
          <w:sz w:val="20"/>
          <w:szCs w:val="20"/>
          <w:lang w:val="en-US"/>
        </w:rPr>
        <w:t>Built Infrastructure</w:t>
      </w:r>
      <w:r>
        <w:rPr>
          <w:rFonts w:ascii="Arial" w:hAnsi="Arial" w:cs="Arial"/>
          <w:sz w:val="20"/>
          <w:szCs w:val="20"/>
          <w:lang w:val="en-US"/>
        </w:rPr>
        <w:t xml:space="preserve"> - $31.9 million</w:t>
      </w:r>
      <w:r w:rsidRPr="00336A66">
        <w:rPr>
          <w:rFonts w:ascii="Arial" w:hAnsi="Arial" w:cs="Arial"/>
          <w:sz w:val="20"/>
          <w:szCs w:val="20"/>
          <w:lang w:val="en-US"/>
        </w:rPr>
        <w:t>;</w:t>
      </w:r>
    </w:p>
    <w:p w14:paraId="2A2114B6" w14:textId="77777777" w:rsidR="004A2652" w:rsidRPr="00587385" w:rsidRDefault="004A2652" w:rsidP="00401AA8">
      <w:pPr>
        <w:numPr>
          <w:ilvl w:val="1"/>
          <w:numId w:val="63"/>
        </w:numPr>
        <w:spacing w:line="276" w:lineRule="auto"/>
        <w:contextualSpacing/>
        <w:jc w:val="both"/>
        <w:rPr>
          <w:rFonts w:ascii="Arial" w:hAnsi="Arial" w:cs="Arial"/>
          <w:sz w:val="20"/>
          <w:szCs w:val="20"/>
          <w:lang w:val="en-US"/>
        </w:rPr>
      </w:pPr>
      <w:r>
        <w:rPr>
          <w:rFonts w:ascii="Arial" w:hAnsi="Arial" w:cs="Arial"/>
          <w:sz w:val="20"/>
          <w:szCs w:val="20"/>
          <w:lang w:val="en-US"/>
        </w:rPr>
        <w:t>E</w:t>
      </w:r>
      <w:r w:rsidRPr="00587385">
        <w:rPr>
          <w:rFonts w:ascii="Arial" w:hAnsi="Arial" w:cs="Arial"/>
          <w:sz w:val="20"/>
          <w:szCs w:val="20"/>
          <w:lang w:val="en-US"/>
        </w:rPr>
        <w:t xml:space="preserve">nvironment </w:t>
      </w:r>
      <w:r>
        <w:rPr>
          <w:rFonts w:ascii="Arial" w:hAnsi="Arial" w:cs="Arial"/>
          <w:sz w:val="20"/>
          <w:szCs w:val="20"/>
          <w:lang w:val="en-US"/>
        </w:rPr>
        <w:t xml:space="preserve">- </w:t>
      </w:r>
      <w:r w:rsidRPr="00587385">
        <w:rPr>
          <w:rFonts w:ascii="Arial" w:hAnsi="Arial" w:cs="Arial"/>
          <w:sz w:val="20"/>
          <w:szCs w:val="20"/>
          <w:lang w:val="en-US"/>
        </w:rPr>
        <w:t>$</w:t>
      </w:r>
      <w:r>
        <w:rPr>
          <w:rFonts w:ascii="Arial" w:hAnsi="Arial" w:cs="Arial"/>
          <w:sz w:val="20"/>
          <w:szCs w:val="20"/>
          <w:lang w:val="en-US"/>
        </w:rPr>
        <w:t>18</w:t>
      </w:r>
      <w:r w:rsidRPr="00587385">
        <w:rPr>
          <w:rFonts w:ascii="Arial" w:hAnsi="Arial" w:cs="Arial"/>
          <w:sz w:val="20"/>
          <w:szCs w:val="20"/>
          <w:lang w:val="en-US"/>
        </w:rPr>
        <w:t xml:space="preserve"> million;</w:t>
      </w:r>
    </w:p>
    <w:p w14:paraId="52244ECA" w14:textId="77777777" w:rsidR="004A2652" w:rsidRPr="00336A66" w:rsidRDefault="004A2652" w:rsidP="00401AA8">
      <w:pPr>
        <w:numPr>
          <w:ilvl w:val="1"/>
          <w:numId w:val="63"/>
        </w:numPr>
        <w:spacing w:line="276" w:lineRule="auto"/>
        <w:contextualSpacing/>
        <w:jc w:val="both"/>
        <w:rPr>
          <w:rFonts w:ascii="Arial" w:hAnsi="Arial" w:cs="Arial"/>
          <w:sz w:val="20"/>
          <w:szCs w:val="20"/>
          <w:lang w:val="en-US"/>
        </w:rPr>
      </w:pPr>
      <w:r w:rsidRPr="00336A66">
        <w:rPr>
          <w:rFonts w:ascii="Arial" w:hAnsi="Arial" w:cs="Arial"/>
          <w:sz w:val="20"/>
          <w:szCs w:val="20"/>
          <w:lang w:val="en-US"/>
        </w:rPr>
        <w:t xml:space="preserve">Emergency </w:t>
      </w:r>
      <w:r>
        <w:rPr>
          <w:rFonts w:ascii="Arial" w:hAnsi="Arial" w:cs="Arial"/>
          <w:sz w:val="20"/>
          <w:szCs w:val="20"/>
          <w:lang w:val="en-US"/>
        </w:rPr>
        <w:t>Preparedness and Response - $3.5 m</w:t>
      </w:r>
      <w:r w:rsidRPr="00336A66">
        <w:rPr>
          <w:rFonts w:ascii="Arial" w:hAnsi="Arial" w:cs="Arial"/>
          <w:sz w:val="20"/>
          <w:szCs w:val="20"/>
          <w:lang w:val="en-US"/>
        </w:rPr>
        <w:t xml:space="preserve">illion; and </w:t>
      </w:r>
    </w:p>
    <w:p w14:paraId="55EF7436" w14:textId="77777777" w:rsidR="004A2652" w:rsidRDefault="004A2652" w:rsidP="00401AA8">
      <w:pPr>
        <w:numPr>
          <w:ilvl w:val="1"/>
          <w:numId w:val="63"/>
        </w:numPr>
        <w:spacing w:line="276" w:lineRule="auto"/>
        <w:contextualSpacing/>
        <w:jc w:val="both"/>
        <w:rPr>
          <w:rFonts w:ascii="Arial" w:hAnsi="Arial" w:cs="Arial"/>
          <w:sz w:val="20"/>
          <w:szCs w:val="20"/>
          <w:lang w:val="en-US"/>
        </w:rPr>
      </w:pPr>
      <w:r w:rsidRPr="00336A66">
        <w:rPr>
          <w:rFonts w:ascii="Arial" w:hAnsi="Arial" w:cs="Arial"/>
          <w:sz w:val="20"/>
          <w:szCs w:val="20"/>
          <w:lang w:val="en-US"/>
        </w:rPr>
        <w:t>Community</w:t>
      </w:r>
      <w:r>
        <w:rPr>
          <w:rFonts w:ascii="Arial" w:hAnsi="Arial" w:cs="Arial"/>
          <w:sz w:val="20"/>
          <w:szCs w:val="20"/>
          <w:lang w:val="en-US"/>
        </w:rPr>
        <w:t xml:space="preserve"> &amp; Recreation Facilities - $11.3 m</w:t>
      </w:r>
      <w:r w:rsidRPr="00336A66">
        <w:rPr>
          <w:rFonts w:ascii="Arial" w:hAnsi="Arial" w:cs="Arial"/>
          <w:sz w:val="20"/>
          <w:szCs w:val="20"/>
          <w:lang w:val="en-US"/>
        </w:rPr>
        <w:t>illion</w:t>
      </w:r>
      <w:r>
        <w:rPr>
          <w:rFonts w:ascii="Arial" w:hAnsi="Arial" w:cs="Arial"/>
          <w:sz w:val="20"/>
          <w:szCs w:val="20"/>
          <w:lang w:val="en-US"/>
        </w:rPr>
        <w:t>.</w:t>
      </w:r>
    </w:p>
    <w:p w14:paraId="5E4A0F29" w14:textId="77777777" w:rsidR="004A2652" w:rsidRDefault="004A2652" w:rsidP="00401AA8">
      <w:pPr>
        <w:numPr>
          <w:ilvl w:val="0"/>
          <w:numId w:val="63"/>
        </w:numPr>
        <w:spacing w:line="276" w:lineRule="auto"/>
        <w:contextualSpacing/>
        <w:jc w:val="both"/>
        <w:rPr>
          <w:rFonts w:ascii="Arial" w:hAnsi="Arial" w:cs="Arial"/>
          <w:sz w:val="20"/>
          <w:szCs w:val="20"/>
          <w:lang w:val="en-US"/>
        </w:rPr>
      </w:pPr>
      <w:r>
        <w:rPr>
          <w:rFonts w:ascii="Arial" w:hAnsi="Arial" w:cs="Arial"/>
          <w:sz w:val="20"/>
          <w:szCs w:val="20"/>
          <w:lang w:val="en-US"/>
        </w:rPr>
        <w:t>Capital expenditure (renewal) – total $56.8 million, made up of:</w:t>
      </w:r>
    </w:p>
    <w:p w14:paraId="5A34860A" w14:textId="77777777" w:rsidR="004A2652" w:rsidRDefault="004A2652" w:rsidP="00401AA8">
      <w:pPr>
        <w:numPr>
          <w:ilvl w:val="1"/>
          <w:numId w:val="63"/>
        </w:numPr>
        <w:spacing w:line="276" w:lineRule="auto"/>
        <w:contextualSpacing/>
        <w:jc w:val="both"/>
        <w:rPr>
          <w:rFonts w:ascii="Arial" w:hAnsi="Arial" w:cs="Arial"/>
          <w:sz w:val="20"/>
          <w:szCs w:val="20"/>
          <w:lang w:val="en-US"/>
        </w:rPr>
      </w:pPr>
      <w:r w:rsidRPr="00336A66">
        <w:rPr>
          <w:rFonts w:ascii="Arial" w:hAnsi="Arial" w:cs="Arial"/>
          <w:sz w:val="20"/>
          <w:szCs w:val="20"/>
          <w:lang w:val="en-US"/>
        </w:rPr>
        <w:t>Built Infrastructure</w:t>
      </w:r>
      <w:r>
        <w:rPr>
          <w:rFonts w:ascii="Arial" w:hAnsi="Arial" w:cs="Arial"/>
          <w:sz w:val="20"/>
          <w:szCs w:val="20"/>
          <w:lang w:val="en-US"/>
        </w:rPr>
        <w:t xml:space="preserve"> - $31.3 million</w:t>
      </w:r>
      <w:r w:rsidRPr="00336A66">
        <w:rPr>
          <w:rFonts w:ascii="Arial" w:hAnsi="Arial" w:cs="Arial"/>
          <w:sz w:val="20"/>
          <w:szCs w:val="20"/>
          <w:lang w:val="en-US"/>
        </w:rPr>
        <w:t>;</w:t>
      </w:r>
    </w:p>
    <w:p w14:paraId="2C0707EC" w14:textId="77777777" w:rsidR="004A2652" w:rsidRDefault="004A2652" w:rsidP="00401AA8">
      <w:pPr>
        <w:numPr>
          <w:ilvl w:val="1"/>
          <w:numId w:val="63"/>
        </w:numPr>
        <w:spacing w:line="276" w:lineRule="auto"/>
        <w:contextualSpacing/>
        <w:jc w:val="both"/>
        <w:rPr>
          <w:rFonts w:ascii="Arial" w:hAnsi="Arial" w:cs="Arial"/>
          <w:sz w:val="20"/>
          <w:szCs w:val="20"/>
          <w:lang w:val="en-US"/>
        </w:rPr>
      </w:pPr>
      <w:r>
        <w:rPr>
          <w:rFonts w:ascii="Arial" w:hAnsi="Arial" w:cs="Arial"/>
          <w:sz w:val="20"/>
          <w:szCs w:val="20"/>
          <w:lang w:val="en-US"/>
        </w:rPr>
        <w:t>E</w:t>
      </w:r>
      <w:r w:rsidRPr="00587385">
        <w:rPr>
          <w:rFonts w:ascii="Arial" w:hAnsi="Arial" w:cs="Arial"/>
          <w:sz w:val="20"/>
          <w:szCs w:val="20"/>
          <w:lang w:val="en-US"/>
        </w:rPr>
        <w:t xml:space="preserve">nvironment </w:t>
      </w:r>
      <w:r>
        <w:rPr>
          <w:rFonts w:ascii="Arial" w:hAnsi="Arial" w:cs="Arial"/>
          <w:sz w:val="20"/>
          <w:szCs w:val="20"/>
          <w:lang w:val="en-US"/>
        </w:rPr>
        <w:t xml:space="preserve">- </w:t>
      </w:r>
      <w:r w:rsidRPr="00587385">
        <w:rPr>
          <w:rFonts w:ascii="Arial" w:hAnsi="Arial" w:cs="Arial"/>
          <w:sz w:val="20"/>
          <w:szCs w:val="20"/>
          <w:lang w:val="en-US"/>
        </w:rPr>
        <w:t>$</w:t>
      </w:r>
      <w:r>
        <w:rPr>
          <w:rFonts w:ascii="Arial" w:hAnsi="Arial" w:cs="Arial"/>
          <w:sz w:val="20"/>
          <w:szCs w:val="20"/>
          <w:lang w:val="en-US"/>
        </w:rPr>
        <w:t>7.7</w:t>
      </w:r>
      <w:r w:rsidRPr="00587385">
        <w:rPr>
          <w:rFonts w:ascii="Arial" w:hAnsi="Arial" w:cs="Arial"/>
          <w:sz w:val="20"/>
          <w:szCs w:val="20"/>
          <w:lang w:val="en-US"/>
        </w:rPr>
        <w:t xml:space="preserve"> million;</w:t>
      </w:r>
    </w:p>
    <w:p w14:paraId="24C7BDDB" w14:textId="77777777" w:rsidR="004A2652" w:rsidRDefault="004A2652" w:rsidP="00401AA8">
      <w:pPr>
        <w:numPr>
          <w:ilvl w:val="1"/>
          <w:numId w:val="63"/>
        </w:numPr>
        <w:spacing w:line="276" w:lineRule="auto"/>
        <w:contextualSpacing/>
        <w:jc w:val="both"/>
        <w:rPr>
          <w:rFonts w:ascii="Arial" w:hAnsi="Arial" w:cs="Arial"/>
          <w:sz w:val="20"/>
          <w:szCs w:val="20"/>
          <w:lang w:val="en-US"/>
        </w:rPr>
      </w:pPr>
      <w:r w:rsidRPr="00587385">
        <w:rPr>
          <w:rFonts w:ascii="Arial" w:hAnsi="Arial" w:cs="Arial"/>
          <w:sz w:val="20"/>
          <w:szCs w:val="20"/>
          <w:lang w:val="en-US"/>
        </w:rPr>
        <w:t>Emergency Preparedness and Response - $</w:t>
      </w:r>
      <w:r>
        <w:rPr>
          <w:rFonts w:ascii="Arial" w:hAnsi="Arial" w:cs="Arial"/>
          <w:sz w:val="20"/>
          <w:szCs w:val="20"/>
          <w:lang w:val="en-US"/>
        </w:rPr>
        <w:t>1.7</w:t>
      </w:r>
      <w:r w:rsidRPr="00587385">
        <w:rPr>
          <w:rFonts w:ascii="Arial" w:hAnsi="Arial" w:cs="Arial"/>
          <w:sz w:val="20"/>
          <w:szCs w:val="20"/>
          <w:lang w:val="en-US"/>
        </w:rPr>
        <w:t xml:space="preserve"> million; and </w:t>
      </w:r>
    </w:p>
    <w:p w14:paraId="1DCB3B39" w14:textId="77777777" w:rsidR="004A2652" w:rsidRPr="00587385" w:rsidRDefault="004A2652" w:rsidP="00401AA8">
      <w:pPr>
        <w:numPr>
          <w:ilvl w:val="1"/>
          <w:numId w:val="63"/>
        </w:numPr>
        <w:spacing w:line="276" w:lineRule="auto"/>
        <w:contextualSpacing/>
        <w:jc w:val="both"/>
        <w:rPr>
          <w:rFonts w:ascii="Arial" w:hAnsi="Arial" w:cs="Arial"/>
          <w:sz w:val="20"/>
          <w:szCs w:val="20"/>
          <w:lang w:val="en-US"/>
        </w:rPr>
      </w:pPr>
      <w:r w:rsidRPr="00587385">
        <w:rPr>
          <w:rFonts w:ascii="Arial" w:hAnsi="Arial" w:cs="Arial"/>
          <w:sz w:val="20"/>
          <w:szCs w:val="20"/>
          <w:lang w:val="en-US"/>
        </w:rPr>
        <w:t>Community &amp; Recreation Facilities - $1</w:t>
      </w:r>
      <w:r>
        <w:rPr>
          <w:rFonts w:ascii="Arial" w:hAnsi="Arial" w:cs="Arial"/>
          <w:sz w:val="20"/>
          <w:szCs w:val="20"/>
          <w:lang w:val="en-US"/>
        </w:rPr>
        <w:t>6</w:t>
      </w:r>
      <w:r w:rsidRPr="00587385">
        <w:rPr>
          <w:rFonts w:ascii="Arial" w:hAnsi="Arial" w:cs="Arial"/>
          <w:sz w:val="20"/>
          <w:szCs w:val="20"/>
          <w:lang w:val="en-US"/>
        </w:rPr>
        <w:t>.</w:t>
      </w:r>
      <w:r>
        <w:rPr>
          <w:rFonts w:ascii="Arial" w:hAnsi="Arial" w:cs="Arial"/>
          <w:sz w:val="20"/>
          <w:szCs w:val="20"/>
          <w:lang w:val="en-US"/>
        </w:rPr>
        <w:t>1</w:t>
      </w:r>
      <w:r w:rsidRPr="00587385">
        <w:rPr>
          <w:rFonts w:ascii="Arial" w:hAnsi="Arial" w:cs="Arial"/>
          <w:sz w:val="20"/>
          <w:szCs w:val="20"/>
          <w:lang w:val="en-US"/>
        </w:rPr>
        <w:t xml:space="preserve"> million.</w:t>
      </w:r>
    </w:p>
    <w:p w14:paraId="016CFA4B" w14:textId="77777777" w:rsidR="00095246" w:rsidRDefault="00095246" w:rsidP="00401AA8">
      <w:pPr>
        <w:spacing w:line="276" w:lineRule="auto"/>
        <w:jc w:val="both"/>
        <w:rPr>
          <w:rFonts w:ascii="Arial" w:hAnsi="Arial" w:cs="Arial"/>
          <w:sz w:val="20"/>
          <w:szCs w:val="20"/>
          <w:lang w:val="en-US"/>
        </w:rPr>
      </w:pPr>
    </w:p>
    <w:p w14:paraId="18ABCA2F" w14:textId="77E0AD80" w:rsidR="004A2652" w:rsidRPr="00336A66" w:rsidRDefault="00095246" w:rsidP="00401AA8">
      <w:pPr>
        <w:spacing w:line="276" w:lineRule="auto"/>
        <w:jc w:val="both"/>
        <w:rPr>
          <w:rFonts w:ascii="Arial" w:hAnsi="Arial" w:cs="Arial"/>
          <w:sz w:val="20"/>
          <w:szCs w:val="20"/>
          <w:lang w:val="en-US"/>
        </w:rPr>
      </w:pPr>
      <w:r>
        <w:rPr>
          <w:rFonts w:ascii="Arial" w:hAnsi="Arial" w:cs="Arial"/>
          <w:sz w:val="20"/>
          <w:szCs w:val="20"/>
          <w:lang w:val="en-US"/>
        </w:rPr>
        <w:t xml:space="preserve">Refer to </w:t>
      </w:r>
      <w:r w:rsidRPr="00A4170D">
        <w:rPr>
          <w:rFonts w:ascii="Arial" w:hAnsi="Arial" w:cs="Arial"/>
          <w:b/>
          <w:sz w:val="20"/>
          <w:szCs w:val="20"/>
          <w:lang w:val="en-US"/>
        </w:rPr>
        <w:t>Part A Worksheet 5</w:t>
      </w:r>
      <w:r>
        <w:rPr>
          <w:rFonts w:ascii="Arial" w:hAnsi="Arial" w:cs="Arial"/>
          <w:sz w:val="20"/>
          <w:szCs w:val="20"/>
          <w:lang w:val="en-US"/>
        </w:rPr>
        <w:t xml:space="preserve"> for details on proposed expenditure allocation. </w:t>
      </w:r>
    </w:p>
    <w:p w14:paraId="4CCACD36" w14:textId="77777777" w:rsidR="00095246" w:rsidRDefault="00095246" w:rsidP="00401AA8">
      <w:pPr>
        <w:spacing w:line="276" w:lineRule="auto"/>
        <w:jc w:val="both"/>
        <w:rPr>
          <w:rFonts w:ascii="Arial" w:hAnsi="Arial" w:cs="Arial"/>
          <w:sz w:val="20"/>
          <w:szCs w:val="20"/>
        </w:rPr>
      </w:pPr>
    </w:p>
    <w:p w14:paraId="117823B3" w14:textId="77777777" w:rsidR="004A2652" w:rsidRDefault="004A2652" w:rsidP="00401AA8">
      <w:pPr>
        <w:spacing w:line="276" w:lineRule="auto"/>
        <w:jc w:val="both"/>
        <w:rPr>
          <w:rFonts w:ascii="Arial" w:hAnsi="Arial" w:cs="Arial"/>
          <w:sz w:val="20"/>
          <w:szCs w:val="20"/>
        </w:rPr>
      </w:pPr>
      <w:r>
        <w:rPr>
          <w:rFonts w:ascii="Arial" w:hAnsi="Arial" w:cs="Arial"/>
          <w:sz w:val="20"/>
          <w:szCs w:val="20"/>
        </w:rPr>
        <w:t>This expenditure is in addition to other assumed expenditure for the period, including:</w:t>
      </w:r>
    </w:p>
    <w:p w14:paraId="48FE4D76" w14:textId="77777777" w:rsidR="004A2652" w:rsidRPr="000F733C" w:rsidRDefault="004A2652" w:rsidP="00695720">
      <w:pPr>
        <w:pStyle w:val="ListParagraph"/>
        <w:numPr>
          <w:ilvl w:val="0"/>
          <w:numId w:val="88"/>
        </w:numPr>
        <w:spacing w:line="276" w:lineRule="auto"/>
        <w:jc w:val="both"/>
        <w:rPr>
          <w:rFonts w:ascii="Arial" w:hAnsi="Arial" w:cs="Arial"/>
          <w:sz w:val="20"/>
          <w:szCs w:val="20"/>
          <w:lang w:val="en-US"/>
        </w:rPr>
      </w:pPr>
      <w:r>
        <w:rPr>
          <w:rFonts w:ascii="Arial" w:hAnsi="Arial" w:cs="Arial"/>
          <w:sz w:val="20"/>
          <w:szCs w:val="20"/>
        </w:rPr>
        <w:t xml:space="preserve">4.2% </w:t>
      </w:r>
      <w:r w:rsidRPr="000F733C">
        <w:rPr>
          <w:rFonts w:ascii="Arial" w:hAnsi="Arial" w:cs="Arial"/>
          <w:sz w:val="20"/>
          <w:szCs w:val="20"/>
        </w:rPr>
        <w:t>increase to employment expenditure</w:t>
      </w:r>
    </w:p>
    <w:p w14:paraId="5EEE93FD" w14:textId="77777777" w:rsidR="004A2652" w:rsidRPr="000F733C" w:rsidRDefault="004A2652" w:rsidP="00695720">
      <w:pPr>
        <w:pStyle w:val="ListParagraph"/>
        <w:numPr>
          <w:ilvl w:val="0"/>
          <w:numId w:val="88"/>
        </w:numPr>
        <w:spacing w:line="276" w:lineRule="auto"/>
        <w:jc w:val="both"/>
        <w:rPr>
          <w:rFonts w:ascii="Arial" w:hAnsi="Arial" w:cs="Arial"/>
          <w:sz w:val="20"/>
          <w:szCs w:val="20"/>
          <w:lang w:val="en-US"/>
        </w:rPr>
      </w:pPr>
      <w:r>
        <w:rPr>
          <w:rFonts w:ascii="Arial" w:hAnsi="Arial" w:cs="Arial"/>
          <w:sz w:val="20"/>
          <w:szCs w:val="20"/>
        </w:rPr>
        <w:t xml:space="preserve">3% increase to </w:t>
      </w:r>
      <w:r w:rsidRPr="000F733C">
        <w:rPr>
          <w:rFonts w:ascii="Arial" w:hAnsi="Arial" w:cs="Arial"/>
          <w:sz w:val="20"/>
          <w:szCs w:val="20"/>
        </w:rPr>
        <w:t>other expenditure</w:t>
      </w:r>
    </w:p>
    <w:p w14:paraId="01B02EE0" w14:textId="77777777" w:rsidR="004A2652" w:rsidRPr="000F733C" w:rsidRDefault="004A2652" w:rsidP="00695720">
      <w:pPr>
        <w:pStyle w:val="ListParagraph"/>
        <w:numPr>
          <w:ilvl w:val="0"/>
          <w:numId w:val="88"/>
        </w:numPr>
        <w:spacing w:line="276" w:lineRule="auto"/>
        <w:jc w:val="both"/>
        <w:rPr>
          <w:rFonts w:ascii="Arial" w:hAnsi="Arial" w:cs="Arial"/>
          <w:sz w:val="20"/>
          <w:szCs w:val="20"/>
          <w:lang w:val="en-US"/>
        </w:rPr>
      </w:pPr>
      <w:r>
        <w:rPr>
          <w:rFonts w:ascii="Arial" w:hAnsi="Arial" w:cs="Arial"/>
          <w:sz w:val="20"/>
          <w:szCs w:val="20"/>
        </w:rPr>
        <w:t>5% increase to the emergency services statutory contribution, and</w:t>
      </w:r>
    </w:p>
    <w:p w14:paraId="5F02F24F" w14:textId="79E0C7A9" w:rsidR="004A2652" w:rsidRPr="000F733C" w:rsidRDefault="00095246" w:rsidP="00695720">
      <w:pPr>
        <w:pStyle w:val="ListParagraph"/>
        <w:numPr>
          <w:ilvl w:val="0"/>
          <w:numId w:val="88"/>
        </w:numPr>
        <w:spacing w:line="276" w:lineRule="auto"/>
        <w:jc w:val="both"/>
        <w:rPr>
          <w:rFonts w:ascii="Arial" w:hAnsi="Arial" w:cs="Arial"/>
          <w:sz w:val="20"/>
          <w:szCs w:val="20"/>
          <w:lang w:val="en-US"/>
        </w:rPr>
      </w:pPr>
      <w:r>
        <w:rPr>
          <w:rFonts w:ascii="Arial" w:hAnsi="Arial" w:cs="Arial"/>
          <w:sz w:val="20"/>
          <w:szCs w:val="20"/>
        </w:rPr>
        <w:t>S</w:t>
      </w:r>
      <w:r w:rsidR="004A2652" w:rsidRPr="000F733C">
        <w:rPr>
          <w:rFonts w:ascii="Arial" w:hAnsi="Arial" w:cs="Arial"/>
          <w:sz w:val="20"/>
          <w:szCs w:val="20"/>
        </w:rPr>
        <w:t>uperannuation costs</w:t>
      </w:r>
      <w:r>
        <w:rPr>
          <w:rFonts w:ascii="Arial" w:hAnsi="Arial" w:cs="Arial"/>
          <w:sz w:val="20"/>
          <w:szCs w:val="20"/>
        </w:rPr>
        <w:t xml:space="preserve"> progressively increasing to 12% by 2022</w:t>
      </w:r>
      <w:r w:rsidR="004A2652">
        <w:rPr>
          <w:rFonts w:ascii="Arial" w:hAnsi="Arial" w:cs="Arial"/>
          <w:sz w:val="20"/>
          <w:szCs w:val="20"/>
        </w:rPr>
        <w:t>.</w:t>
      </w:r>
      <w:r w:rsidR="004A2652" w:rsidRPr="000F733C">
        <w:rPr>
          <w:rFonts w:ascii="Arial" w:hAnsi="Arial" w:cs="Arial"/>
          <w:sz w:val="20"/>
          <w:szCs w:val="20"/>
        </w:rPr>
        <w:t xml:space="preserve"> </w:t>
      </w:r>
    </w:p>
    <w:p w14:paraId="0F169D9E" w14:textId="77777777" w:rsidR="004A2652" w:rsidRDefault="004A2652" w:rsidP="00401AA8">
      <w:pPr>
        <w:spacing w:line="276" w:lineRule="auto"/>
        <w:jc w:val="both"/>
        <w:rPr>
          <w:rFonts w:ascii="Arial" w:hAnsi="Arial" w:cs="Arial"/>
          <w:sz w:val="20"/>
          <w:szCs w:val="20"/>
          <w:lang w:val="en-US"/>
        </w:rPr>
      </w:pPr>
    </w:p>
    <w:p w14:paraId="71A96381" w14:textId="3BDF67C3" w:rsidR="004A2652" w:rsidRPr="00400553" w:rsidRDefault="004A2652" w:rsidP="00401AA8">
      <w:pPr>
        <w:spacing w:line="276" w:lineRule="auto"/>
        <w:jc w:val="both"/>
        <w:rPr>
          <w:rFonts w:ascii="Arial" w:hAnsi="Arial" w:cs="Arial"/>
          <w:sz w:val="20"/>
          <w:szCs w:val="20"/>
        </w:rPr>
      </w:pPr>
      <w:r>
        <w:rPr>
          <w:rFonts w:ascii="Arial" w:hAnsi="Arial" w:cs="Arial"/>
          <w:sz w:val="20"/>
          <w:szCs w:val="20"/>
        </w:rPr>
        <w:t xml:space="preserve">Refer to LTFP </w:t>
      </w:r>
      <w:r w:rsidR="008F57E5">
        <w:rPr>
          <w:rFonts w:ascii="Arial" w:hAnsi="Arial" w:cs="Arial"/>
          <w:sz w:val="20"/>
          <w:szCs w:val="20"/>
        </w:rPr>
        <w:t>(</w:t>
      </w:r>
      <w:r w:rsidR="008F57E5" w:rsidRPr="008F57E5">
        <w:rPr>
          <w:rFonts w:ascii="Arial" w:hAnsi="Arial" w:cs="Arial"/>
          <w:b/>
          <w:sz w:val="20"/>
          <w:szCs w:val="20"/>
        </w:rPr>
        <w:t>Attachment 3</w:t>
      </w:r>
      <w:r w:rsidR="008F57E5">
        <w:rPr>
          <w:rFonts w:ascii="Arial" w:hAnsi="Arial" w:cs="Arial"/>
          <w:sz w:val="20"/>
          <w:szCs w:val="20"/>
        </w:rPr>
        <w:t xml:space="preserve">, </w:t>
      </w:r>
      <w:r w:rsidRPr="008527C9">
        <w:rPr>
          <w:rFonts w:ascii="Arial" w:hAnsi="Arial" w:cs="Arial"/>
          <w:b/>
          <w:sz w:val="20"/>
          <w:szCs w:val="20"/>
        </w:rPr>
        <w:t>Section 3.</w:t>
      </w:r>
      <w:r w:rsidR="0088690B" w:rsidRPr="008527C9">
        <w:rPr>
          <w:rFonts w:ascii="Arial" w:hAnsi="Arial" w:cs="Arial"/>
          <w:b/>
          <w:sz w:val="20"/>
          <w:szCs w:val="20"/>
        </w:rPr>
        <w:t>7</w:t>
      </w:r>
      <w:r w:rsidRPr="008527C9">
        <w:rPr>
          <w:rFonts w:ascii="Arial" w:hAnsi="Arial" w:cs="Arial"/>
          <w:b/>
          <w:sz w:val="20"/>
          <w:szCs w:val="20"/>
        </w:rPr>
        <w:t>.5</w:t>
      </w:r>
      <w:r>
        <w:rPr>
          <w:rFonts w:ascii="Arial" w:hAnsi="Arial" w:cs="Arial"/>
          <w:sz w:val="20"/>
          <w:szCs w:val="20"/>
        </w:rPr>
        <w:t xml:space="preserve"> – Expenditure Forecasts</w:t>
      </w:r>
      <w:r w:rsidR="008F57E5">
        <w:rPr>
          <w:rFonts w:ascii="Arial" w:hAnsi="Arial" w:cs="Arial"/>
          <w:sz w:val="20"/>
          <w:szCs w:val="20"/>
        </w:rPr>
        <w:t>)</w:t>
      </w:r>
      <w:r>
        <w:rPr>
          <w:rFonts w:ascii="Arial" w:hAnsi="Arial" w:cs="Arial"/>
          <w:sz w:val="20"/>
          <w:szCs w:val="20"/>
        </w:rPr>
        <w:t xml:space="preserve"> for further details.</w:t>
      </w:r>
    </w:p>
    <w:p w14:paraId="0A5B330B" w14:textId="77777777" w:rsidR="004A2652" w:rsidRDefault="004A2652" w:rsidP="00401AA8">
      <w:pPr>
        <w:spacing w:line="276" w:lineRule="auto"/>
        <w:jc w:val="both"/>
        <w:rPr>
          <w:rFonts w:ascii="Arial" w:hAnsi="Arial" w:cs="Arial"/>
          <w:sz w:val="20"/>
          <w:szCs w:val="20"/>
          <w:lang w:val="en-US"/>
        </w:rPr>
      </w:pPr>
    </w:p>
    <w:p w14:paraId="67C1E51E" w14:textId="1B345204" w:rsidR="004A2652" w:rsidRPr="00336A66" w:rsidRDefault="004A2652" w:rsidP="00401AA8">
      <w:pPr>
        <w:spacing w:line="276" w:lineRule="auto"/>
        <w:jc w:val="both"/>
        <w:rPr>
          <w:rFonts w:ascii="Arial" w:hAnsi="Arial" w:cs="Arial"/>
          <w:sz w:val="20"/>
          <w:szCs w:val="20"/>
          <w:lang w:val="en-US"/>
        </w:rPr>
      </w:pPr>
      <w:r w:rsidRPr="008662D3">
        <w:rPr>
          <w:rFonts w:ascii="Arial" w:hAnsi="Arial" w:cs="Arial"/>
          <w:color w:val="000000" w:themeColor="text1"/>
          <w:sz w:val="20"/>
          <w:szCs w:val="20"/>
          <w:lang w:val="en-US"/>
        </w:rPr>
        <w:t>The Workforce Management Strategy (</w:t>
      </w:r>
      <w:r w:rsidR="008662D3" w:rsidRPr="008662D3">
        <w:rPr>
          <w:rFonts w:ascii="Arial" w:hAnsi="Arial" w:cs="Arial"/>
          <w:color w:val="000000" w:themeColor="text1"/>
          <w:sz w:val="20"/>
          <w:szCs w:val="20"/>
          <w:lang w:val="en-US"/>
        </w:rPr>
        <w:t xml:space="preserve">See </w:t>
      </w:r>
      <w:r w:rsidR="008662D3" w:rsidRPr="00A4170D">
        <w:rPr>
          <w:rFonts w:ascii="Arial" w:hAnsi="Arial" w:cs="Arial"/>
          <w:b/>
          <w:color w:val="000000" w:themeColor="text1"/>
          <w:sz w:val="20"/>
          <w:szCs w:val="20"/>
          <w:lang w:val="en-US"/>
        </w:rPr>
        <w:t>Attachment 13</w:t>
      </w:r>
      <w:r w:rsidRPr="008662D3">
        <w:rPr>
          <w:rFonts w:ascii="Arial" w:hAnsi="Arial" w:cs="Arial"/>
          <w:color w:val="000000" w:themeColor="text1"/>
          <w:sz w:val="20"/>
          <w:szCs w:val="20"/>
          <w:lang w:val="en-US"/>
        </w:rPr>
        <w:t xml:space="preserve"> Resourcing Strategy – Workforce Management Strategy, Part 5 Section 5.5) </w:t>
      </w:r>
      <w:r>
        <w:rPr>
          <w:rFonts w:ascii="Arial" w:hAnsi="Arial" w:cs="Arial"/>
          <w:sz w:val="20"/>
          <w:szCs w:val="20"/>
          <w:lang w:val="en-US"/>
        </w:rPr>
        <w:t xml:space="preserve">assumes </w:t>
      </w:r>
      <w:r w:rsidRPr="00336A66">
        <w:rPr>
          <w:rFonts w:ascii="Arial" w:hAnsi="Arial" w:cs="Arial"/>
          <w:sz w:val="20"/>
          <w:szCs w:val="20"/>
          <w:lang w:val="en-US"/>
        </w:rPr>
        <w:t>the need for an additional 30 full time employees over the period. However, through natural attrition it is expected overall that there will be a neutral impact on the size of the workforce.</w:t>
      </w:r>
    </w:p>
    <w:p w14:paraId="147F8B9D" w14:textId="77777777" w:rsidR="004A2652" w:rsidRPr="00336A66" w:rsidRDefault="004A2652" w:rsidP="00401AA8">
      <w:pPr>
        <w:spacing w:line="276" w:lineRule="auto"/>
        <w:jc w:val="both"/>
        <w:rPr>
          <w:rFonts w:ascii="Arial" w:hAnsi="Arial" w:cs="Arial"/>
          <w:sz w:val="20"/>
          <w:szCs w:val="20"/>
          <w:lang w:val="en-US"/>
        </w:rPr>
      </w:pPr>
    </w:p>
    <w:p w14:paraId="7C1BC618" w14:textId="5DFF4E15" w:rsidR="004A2652" w:rsidRPr="00336A66" w:rsidRDefault="004A2652" w:rsidP="00401AA8">
      <w:pPr>
        <w:spacing w:line="276" w:lineRule="auto"/>
        <w:jc w:val="both"/>
        <w:rPr>
          <w:rFonts w:ascii="Arial" w:hAnsi="Arial" w:cs="Arial"/>
          <w:sz w:val="20"/>
          <w:szCs w:val="20"/>
          <w:lang w:val="en-US"/>
        </w:rPr>
      </w:pPr>
      <w:r>
        <w:rPr>
          <w:rFonts w:ascii="Arial" w:hAnsi="Arial" w:cs="Arial"/>
          <w:sz w:val="20"/>
          <w:szCs w:val="20"/>
          <w:lang w:val="en-US"/>
        </w:rPr>
        <w:t>It should b</w:t>
      </w:r>
      <w:r w:rsidR="008662D3">
        <w:rPr>
          <w:rFonts w:ascii="Arial" w:hAnsi="Arial" w:cs="Arial"/>
          <w:sz w:val="20"/>
          <w:szCs w:val="20"/>
          <w:lang w:val="en-US"/>
        </w:rPr>
        <w:t>e noted that the savings made</w:t>
      </w:r>
      <w:r>
        <w:rPr>
          <w:rFonts w:ascii="Arial" w:hAnsi="Arial" w:cs="Arial"/>
          <w:sz w:val="20"/>
          <w:szCs w:val="20"/>
          <w:lang w:val="en-US"/>
        </w:rPr>
        <w:t xml:space="preserve"> under the debt reduction strategy are a key element that enables the Council to fund the 3% in other expenditure, so that service levels are maintained at levels acceptable by the community. Without the special variation, other expenditure would be constrained to a 2% increase, which would result in a reduction in service levels, as the savings will instead be directed to managing asset and infrastructure risk.  </w:t>
      </w:r>
    </w:p>
    <w:p w14:paraId="18D704AE" w14:textId="77777777" w:rsidR="00D60EA5" w:rsidRDefault="003B7983" w:rsidP="00D60EA5">
      <w:pPr>
        <w:pStyle w:val="Heading2"/>
      </w:pPr>
      <w:bookmarkStart w:id="31" w:name="_Toc366160408"/>
      <w:bookmarkStart w:id="32" w:name="_Toc412798918"/>
      <w:r>
        <w:t>F</w:t>
      </w:r>
      <w:r w:rsidR="00D60EA5">
        <w:t>inancial sustainability</w:t>
      </w:r>
      <w:bookmarkEnd w:id="31"/>
      <w:bookmarkEnd w:id="32"/>
    </w:p>
    <w:p w14:paraId="18D704AF" w14:textId="77777777" w:rsidR="00D60EA5" w:rsidRPr="00B27C78" w:rsidRDefault="00D60EA5" w:rsidP="00D60EA5">
      <w:pPr>
        <w:pStyle w:val="BodyText"/>
        <w:rPr>
          <w:color w:val="548DD4" w:themeColor="text2" w:themeTint="99"/>
        </w:rPr>
      </w:pPr>
      <w:r w:rsidRPr="00B27C78">
        <w:rPr>
          <w:color w:val="548DD4" w:themeColor="text2" w:themeTint="99"/>
        </w:rPr>
        <w:t>The special variation may be intended to improve the council’s underlying financial position, or to fund specific projects or programs of expenditure, or a combination of the two.  We will consider evidence about the council’s current and fu</w:t>
      </w:r>
      <w:r w:rsidR="00B84AA8" w:rsidRPr="00B27C78">
        <w:rPr>
          <w:color w:val="548DD4" w:themeColor="text2" w:themeTint="99"/>
        </w:rPr>
        <w:t>ture financial sustainability</w:t>
      </w:r>
      <w:r w:rsidR="00DF7955" w:rsidRPr="00B27C78">
        <w:rPr>
          <w:color w:val="548DD4" w:themeColor="text2" w:themeTint="99"/>
        </w:rPr>
        <w:t xml:space="preserve"> and the assumptions it has made in coming to a view on its financial sustainability</w:t>
      </w:r>
      <w:r w:rsidR="00B84AA8" w:rsidRPr="00B27C78">
        <w:rPr>
          <w:color w:val="548DD4" w:themeColor="text2" w:themeTint="99"/>
        </w:rPr>
        <w:t>.</w:t>
      </w:r>
    </w:p>
    <w:p w14:paraId="5CF61B8E" w14:textId="77777777" w:rsidR="00EA494A" w:rsidRDefault="008B1F5A" w:rsidP="00EA494A">
      <w:pPr>
        <w:pStyle w:val="BodyText"/>
        <w:rPr>
          <w:color w:val="548DD4" w:themeColor="text2" w:themeTint="99"/>
        </w:rPr>
      </w:pPr>
      <w:r w:rsidRPr="00B27C78">
        <w:rPr>
          <w:color w:val="548DD4" w:themeColor="text2" w:themeTint="99"/>
        </w:rPr>
        <w:t>You should e</w:t>
      </w:r>
      <w:r w:rsidR="00576F7F" w:rsidRPr="00B27C78">
        <w:rPr>
          <w:color w:val="548DD4" w:themeColor="text2" w:themeTint="99"/>
        </w:rPr>
        <w:t>xplain below</w:t>
      </w:r>
      <w:r w:rsidR="00F93834" w:rsidRPr="00B27C78">
        <w:rPr>
          <w:color w:val="548DD4" w:themeColor="text2" w:themeTint="99"/>
        </w:rPr>
        <w:t>:</w:t>
      </w:r>
    </w:p>
    <w:p w14:paraId="43C00338" w14:textId="77777777" w:rsidR="00EA494A" w:rsidRDefault="00330E5C" w:rsidP="00A61A70">
      <w:pPr>
        <w:pStyle w:val="BodyText"/>
        <w:numPr>
          <w:ilvl w:val="0"/>
          <w:numId w:val="64"/>
        </w:numPr>
        <w:rPr>
          <w:color w:val="548DD4" w:themeColor="text2" w:themeTint="99"/>
        </w:rPr>
      </w:pPr>
      <w:r w:rsidRPr="00B27C78">
        <w:rPr>
          <w:color w:val="548DD4" w:themeColor="text2" w:themeTint="99"/>
        </w:rPr>
        <w:t>T</w:t>
      </w:r>
      <w:r w:rsidR="005F7648" w:rsidRPr="00B27C78">
        <w:rPr>
          <w:color w:val="548DD4" w:themeColor="text2" w:themeTint="99"/>
        </w:rPr>
        <w:t xml:space="preserve">he council’s </w:t>
      </w:r>
      <w:r w:rsidR="00D60EA5" w:rsidRPr="00B27C78">
        <w:rPr>
          <w:color w:val="548DD4" w:themeColor="text2" w:themeTint="99"/>
        </w:rPr>
        <w:t xml:space="preserve">understanding of its current state of financial sustainability, </w:t>
      </w:r>
      <w:r w:rsidRPr="00B27C78">
        <w:rPr>
          <w:color w:val="548DD4" w:themeColor="text2" w:themeTint="99"/>
        </w:rPr>
        <w:t>its</w:t>
      </w:r>
      <w:r w:rsidR="00D60EA5" w:rsidRPr="00B27C78">
        <w:rPr>
          <w:color w:val="548DD4" w:themeColor="text2" w:themeTint="99"/>
        </w:rPr>
        <w:t xml:space="preserve"> long-term projections based on alternative scenarios and assumptions about revenue and expenditure</w:t>
      </w:r>
      <w:r w:rsidRPr="00B27C78">
        <w:rPr>
          <w:color w:val="548DD4" w:themeColor="text2" w:themeTint="99"/>
        </w:rPr>
        <w:t>.</w:t>
      </w:r>
      <w:r w:rsidR="00D60EA5" w:rsidRPr="00B27C78">
        <w:rPr>
          <w:color w:val="548DD4" w:themeColor="text2" w:themeTint="99"/>
        </w:rPr>
        <w:t xml:space="preserve"> </w:t>
      </w:r>
    </w:p>
    <w:p w14:paraId="158FC37D" w14:textId="77777777" w:rsidR="00EA494A" w:rsidRDefault="00511A12" w:rsidP="00A61A70">
      <w:pPr>
        <w:pStyle w:val="BodyText"/>
        <w:numPr>
          <w:ilvl w:val="0"/>
          <w:numId w:val="64"/>
        </w:numPr>
        <w:rPr>
          <w:color w:val="548DD4" w:themeColor="text2" w:themeTint="99"/>
        </w:rPr>
      </w:pPr>
      <w:r w:rsidRPr="00B27C78">
        <w:rPr>
          <w:color w:val="548DD4" w:themeColor="text2" w:themeTint="99"/>
        </w:rPr>
        <w:t>A</w:t>
      </w:r>
      <w:r w:rsidR="00D60EA5" w:rsidRPr="00B27C78">
        <w:rPr>
          <w:color w:val="548DD4" w:themeColor="text2" w:themeTint="99"/>
        </w:rPr>
        <w:t>ny external assessment</w:t>
      </w:r>
      <w:r w:rsidR="00330E5C" w:rsidRPr="00B27C78">
        <w:rPr>
          <w:color w:val="548DD4" w:themeColor="text2" w:themeTint="99"/>
        </w:rPr>
        <w:t xml:space="preserve"> of the council’s financial sustainability</w:t>
      </w:r>
      <w:r w:rsidR="00D60EA5" w:rsidRPr="00B27C78">
        <w:rPr>
          <w:color w:val="548DD4" w:themeColor="text2" w:themeTint="99"/>
        </w:rPr>
        <w:t>, eg</w:t>
      </w:r>
      <w:r w:rsidR="00B84AA8" w:rsidRPr="00B27C78">
        <w:rPr>
          <w:color w:val="548DD4" w:themeColor="text2" w:themeTint="99"/>
        </w:rPr>
        <w:t>,</w:t>
      </w:r>
      <w:r w:rsidR="00A452DF" w:rsidRPr="00B27C78">
        <w:rPr>
          <w:color w:val="548DD4" w:themeColor="text2" w:themeTint="99"/>
        </w:rPr>
        <w:t xml:space="preserve"> by auditors or TCorp</w:t>
      </w:r>
      <w:r w:rsidRPr="00B27C78">
        <w:rPr>
          <w:color w:val="548DD4" w:themeColor="text2" w:themeTint="99"/>
        </w:rPr>
        <w:t xml:space="preserve">.  Indicate </w:t>
      </w:r>
      <w:r w:rsidR="005F7648" w:rsidRPr="00B27C78">
        <w:rPr>
          <w:color w:val="548DD4" w:themeColor="text2" w:themeTint="99"/>
        </w:rPr>
        <w:t xml:space="preserve">how </w:t>
      </w:r>
      <w:r w:rsidR="000E41D5" w:rsidRPr="00B27C78">
        <w:rPr>
          <w:color w:val="548DD4" w:themeColor="text2" w:themeTint="99"/>
        </w:rPr>
        <w:t xml:space="preserve">such </w:t>
      </w:r>
      <w:r w:rsidR="003B7983" w:rsidRPr="00B27C78">
        <w:rPr>
          <w:color w:val="548DD4" w:themeColor="text2" w:themeTint="99"/>
        </w:rPr>
        <w:t>assessment</w:t>
      </w:r>
      <w:r w:rsidR="000E41D5" w:rsidRPr="00B27C78">
        <w:rPr>
          <w:color w:val="548DD4" w:themeColor="text2" w:themeTint="99"/>
        </w:rPr>
        <w:t>s</w:t>
      </w:r>
      <w:r w:rsidR="005F7648" w:rsidRPr="00B27C78">
        <w:rPr>
          <w:color w:val="548DD4" w:themeColor="text2" w:themeTint="99"/>
        </w:rPr>
        <w:t xml:space="preserve"> o</w:t>
      </w:r>
      <w:r w:rsidR="003B7983" w:rsidRPr="00B27C78">
        <w:rPr>
          <w:color w:val="548DD4" w:themeColor="text2" w:themeTint="99"/>
        </w:rPr>
        <w:t>f</w:t>
      </w:r>
      <w:r w:rsidR="005F7648" w:rsidRPr="00B27C78">
        <w:rPr>
          <w:color w:val="548DD4" w:themeColor="text2" w:themeTint="99"/>
        </w:rPr>
        <w:t xml:space="preserve"> the council’s financial sustainability is relevant </w:t>
      </w:r>
      <w:r w:rsidR="003B7983" w:rsidRPr="00B27C78">
        <w:rPr>
          <w:color w:val="548DD4" w:themeColor="text2" w:themeTint="99"/>
        </w:rPr>
        <w:t>to</w:t>
      </w:r>
      <w:r w:rsidR="005F7648" w:rsidRPr="00B27C78">
        <w:rPr>
          <w:color w:val="548DD4" w:themeColor="text2" w:themeTint="99"/>
        </w:rPr>
        <w:t xml:space="preserve"> supporting the decision to apply for a special variation</w:t>
      </w:r>
      <w:r w:rsidRPr="00B27C78">
        <w:rPr>
          <w:color w:val="548DD4" w:themeColor="text2" w:themeTint="99"/>
        </w:rPr>
        <w:t>.</w:t>
      </w:r>
    </w:p>
    <w:p w14:paraId="18D704B3" w14:textId="474B4BBB" w:rsidR="00D60EA5" w:rsidRDefault="00511A12" w:rsidP="00A61A70">
      <w:pPr>
        <w:pStyle w:val="BodyText"/>
        <w:numPr>
          <w:ilvl w:val="0"/>
          <w:numId w:val="64"/>
        </w:numPr>
        <w:rPr>
          <w:color w:val="548DD4" w:themeColor="text2" w:themeTint="99"/>
        </w:rPr>
      </w:pPr>
      <w:r w:rsidRPr="00B27C78">
        <w:rPr>
          <w:color w:val="548DD4" w:themeColor="text2" w:themeTint="99"/>
        </w:rPr>
        <w:t>T</w:t>
      </w:r>
      <w:r w:rsidR="005F7648" w:rsidRPr="00B27C78">
        <w:rPr>
          <w:color w:val="548DD4" w:themeColor="text2" w:themeTint="99"/>
        </w:rPr>
        <w:t xml:space="preserve">he council’s </w:t>
      </w:r>
      <w:r w:rsidR="00D60EA5" w:rsidRPr="00B27C78">
        <w:rPr>
          <w:color w:val="548DD4" w:themeColor="text2" w:themeTint="99"/>
        </w:rPr>
        <w:t xml:space="preserve">view of </w:t>
      </w:r>
      <w:r w:rsidR="00F93834" w:rsidRPr="00B27C78">
        <w:rPr>
          <w:color w:val="548DD4" w:themeColor="text2" w:themeTint="99"/>
        </w:rPr>
        <w:t xml:space="preserve">the impact </w:t>
      </w:r>
      <w:r w:rsidRPr="00B27C78">
        <w:rPr>
          <w:color w:val="548DD4" w:themeColor="text2" w:themeTint="99"/>
        </w:rPr>
        <w:t xml:space="preserve">of the special variation </w:t>
      </w:r>
      <w:r w:rsidR="00F93834" w:rsidRPr="00B27C78">
        <w:rPr>
          <w:color w:val="548DD4" w:themeColor="text2" w:themeTint="99"/>
        </w:rPr>
        <w:t xml:space="preserve">on </w:t>
      </w:r>
      <w:r w:rsidR="00D60EA5" w:rsidRPr="00B27C78">
        <w:rPr>
          <w:color w:val="548DD4" w:themeColor="text2" w:themeTint="99"/>
        </w:rPr>
        <w:t>its financial sustainabili</w:t>
      </w:r>
      <w:r w:rsidR="006B30D8" w:rsidRPr="00B27C78">
        <w:rPr>
          <w:color w:val="548DD4" w:themeColor="text2" w:themeTint="99"/>
        </w:rPr>
        <w:t>ty</w:t>
      </w:r>
      <w:r w:rsidRPr="00B27C78">
        <w:rPr>
          <w:color w:val="548DD4" w:themeColor="text2" w:themeTint="99"/>
        </w:rPr>
        <w:t>.</w:t>
      </w:r>
    </w:p>
    <w:p w14:paraId="6CC998B9" w14:textId="77777777" w:rsidR="00465382" w:rsidRDefault="00465382" w:rsidP="00465382">
      <w:pPr>
        <w:pStyle w:val="BodyText"/>
        <w:ind w:left="720"/>
        <w:rPr>
          <w:color w:val="548DD4" w:themeColor="text2" w:themeTint="99"/>
        </w:rPr>
      </w:pPr>
    </w:p>
    <w:p w14:paraId="3DA5D460" w14:textId="47B0CDAB" w:rsidR="00EA494A" w:rsidRPr="00EA494A" w:rsidRDefault="00EA494A" w:rsidP="00C81F43">
      <w:pPr>
        <w:pStyle w:val="Heading3"/>
        <w:tabs>
          <w:tab w:val="num" w:pos="709"/>
        </w:tabs>
        <w:ind w:left="709"/>
      </w:pPr>
      <w:r w:rsidRPr="00EA494A">
        <w:t>The Council’s understanding of its current state of financial sustainability, its long-term projections based on alternative scenarios and assumptions</w:t>
      </w:r>
      <w:r w:rsidR="00C81F43">
        <w:t xml:space="preserve"> about revenue and expenditure</w:t>
      </w:r>
    </w:p>
    <w:p w14:paraId="0A5DF5D6" w14:textId="77777777" w:rsidR="00EA494A" w:rsidRDefault="00EA494A" w:rsidP="00EA494A">
      <w:pPr>
        <w:spacing w:line="360" w:lineRule="auto"/>
        <w:jc w:val="both"/>
        <w:rPr>
          <w:rFonts w:ascii="Arial" w:hAnsi="Arial" w:cs="Arial"/>
          <w:bCs/>
          <w:sz w:val="20"/>
          <w:szCs w:val="20"/>
        </w:rPr>
      </w:pPr>
    </w:p>
    <w:p w14:paraId="1B9C9FD8" w14:textId="15F413F1" w:rsidR="0076627D" w:rsidRPr="00EA494A" w:rsidRDefault="0076627D" w:rsidP="00B4373E">
      <w:pPr>
        <w:spacing w:line="276" w:lineRule="auto"/>
        <w:jc w:val="both"/>
        <w:rPr>
          <w:rFonts w:ascii="Arial" w:hAnsi="Arial" w:cs="Arial"/>
          <w:bCs/>
          <w:sz w:val="20"/>
          <w:szCs w:val="20"/>
        </w:rPr>
      </w:pPr>
      <w:r w:rsidRPr="00EA494A">
        <w:rPr>
          <w:rFonts w:ascii="Arial" w:hAnsi="Arial" w:cs="Arial"/>
          <w:bCs/>
          <w:sz w:val="20"/>
          <w:szCs w:val="20"/>
        </w:rPr>
        <w:t xml:space="preserve">This section outlines the current and projected financial position of </w:t>
      </w:r>
      <w:r w:rsidR="001A4786">
        <w:rPr>
          <w:rFonts w:ascii="Arial" w:hAnsi="Arial" w:cs="Arial"/>
          <w:bCs/>
          <w:sz w:val="20"/>
          <w:szCs w:val="20"/>
        </w:rPr>
        <w:t xml:space="preserve">the </w:t>
      </w:r>
      <w:r w:rsidRPr="00EA494A">
        <w:rPr>
          <w:rFonts w:ascii="Arial" w:hAnsi="Arial" w:cs="Arial"/>
          <w:bCs/>
          <w:sz w:val="20"/>
          <w:szCs w:val="20"/>
        </w:rPr>
        <w:t xml:space="preserve">Council. More detailed analysis can be found in </w:t>
      </w:r>
      <w:r w:rsidR="00A4170D" w:rsidRPr="00A4170D">
        <w:rPr>
          <w:rFonts w:ascii="Arial" w:hAnsi="Arial" w:cs="Arial"/>
          <w:b/>
          <w:bCs/>
          <w:sz w:val="20"/>
          <w:szCs w:val="20"/>
        </w:rPr>
        <w:t>Attachment 3</w:t>
      </w:r>
      <w:r w:rsidR="00A4170D">
        <w:rPr>
          <w:rFonts w:ascii="Arial" w:hAnsi="Arial" w:cs="Arial"/>
          <w:bCs/>
          <w:sz w:val="20"/>
          <w:szCs w:val="20"/>
        </w:rPr>
        <w:t xml:space="preserve">, </w:t>
      </w:r>
      <w:r w:rsidRPr="008527C9">
        <w:rPr>
          <w:rFonts w:ascii="Arial" w:hAnsi="Arial" w:cs="Arial"/>
          <w:b/>
          <w:bCs/>
          <w:sz w:val="20"/>
          <w:szCs w:val="20"/>
        </w:rPr>
        <w:t>Sections 3.3 to 3.6</w:t>
      </w:r>
      <w:r w:rsidRPr="00EA494A">
        <w:rPr>
          <w:rFonts w:ascii="Arial" w:hAnsi="Arial" w:cs="Arial"/>
          <w:bCs/>
          <w:sz w:val="20"/>
          <w:szCs w:val="20"/>
        </w:rPr>
        <w:t xml:space="preserve"> of the Long Term Fi</w:t>
      </w:r>
      <w:r w:rsidR="00C676DA" w:rsidRPr="00EA494A">
        <w:rPr>
          <w:rFonts w:ascii="Arial" w:hAnsi="Arial" w:cs="Arial"/>
          <w:bCs/>
          <w:sz w:val="20"/>
          <w:szCs w:val="20"/>
        </w:rPr>
        <w:t>nancial Plan</w:t>
      </w:r>
      <w:r w:rsidRPr="00EA494A">
        <w:rPr>
          <w:rFonts w:ascii="Arial" w:hAnsi="Arial" w:cs="Arial"/>
          <w:bCs/>
          <w:sz w:val="20"/>
          <w:szCs w:val="20"/>
        </w:rPr>
        <w:t xml:space="preserve">. </w:t>
      </w:r>
    </w:p>
    <w:p w14:paraId="1FA2495A" w14:textId="1B2F4859" w:rsidR="001E6852" w:rsidRDefault="001E6852" w:rsidP="00B4373E">
      <w:pPr>
        <w:spacing w:line="276" w:lineRule="auto"/>
        <w:rPr>
          <w:rFonts w:ascii="Arial" w:hAnsi="Arial" w:cs="Arial"/>
          <w:bCs/>
          <w:sz w:val="20"/>
          <w:szCs w:val="20"/>
        </w:rPr>
      </w:pPr>
    </w:p>
    <w:p w14:paraId="295AE9BE" w14:textId="3574E93E" w:rsidR="0076627D" w:rsidRDefault="0076627D" w:rsidP="00B4373E">
      <w:pPr>
        <w:keepNext/>
        <w:spacing w:line="276" w:lineRule="auto"/>
        <w:jc w:val="both"/>
        <w:rPr>
          <w:rFonts w:ascii="Arial" w:hAnsi="Arial" w:cs="Arial"/>
          <w:b/>
          <w:bCs/>
          <w:sz w:val="20"/>
          <w:szCs w:val="20"/>
        </w:rPr>
      </w:pPr>
      <w:r w:rsidRPr="00EA494A">
        <w:rPr>
          <w:rFonts w:ascii="Arial" w:hAnsi="Arial" w:cs="Arial"/>
          <w:b/>
          <w:bCs/>
          <w:sz w:val="20"/>
          <w:szCs w:val="20"/>
        </w:rPr>
        <w:t xml:space="preserve">Current </w:t>
      </w:r>
      <w:r w:rsidR="001C24F4">
        <w:rPr>
          <w:rFonts w:ascii="Arial" w:hAnsi="Arial" w:cs="Arial"/>
          <w:b/>
          <w:bCs/>
          <w:sz w:val="20"/>
          <w:szCs w:val="20"/>
        </w:rPr>
        <w:t>State of Financial Sustainability</w:t>
      </w:r>
    </w:p>
    <w:p w14:paraId="4DBE9F4E" w14:textId="58748D2A" w:rsidR="00D63D4F" w:rsidRDefault="00CA17E9" w:rsidP="00B4373E">
      <w:pPr>
        <w:spacing w:line="276" w:lineRule="auto"/>
        <w:jc w:val="both"/>
        <w:rPr>
          <w:rFonts w:ascii="Arial" w:hAnsi="Arial" w:cs="Arial"/>
          <w:bCs/>
          <w:sz w:val="20"/>
          <w:szCs w:val="20"/>
        </w:rPr>
      </w:pPr>
      <w:r w:rsidRPr="00CA17E9">
        <w:rPr>
          <w:rFonts w:ascii="Arial" w:hAnsi="Arial" w:cs="Arial"/>
          <w:bCs/>
          <w:sz w:val="20"/>
          <w:szCs w:val="20"/>
        </w:rPr>
        <w:t>Each year</w:t>
      </w:r>
      <w:r w:rsidR="00BF7FC9">
        <w:rPr>
          <w:rFonts w:ascii="Arial" w:hAnsi="Arial" w:cs="Arial"/>
          <w:bCs/>
          <w:sz w:val="20"/>
          <w:szCs w:val="20"/>
        </w:rPr>
        <w:t>,</w:t>
      </w:r>
      <w:r w:rsidRPr="00CA17E9">
        <w:rPr>
          <w:rFonts w:ascii="Arial" w:hAnsi="Arial" w:cs="Arial"/>
          <w:bCs/>
          <w:sz w:val="20"/>
          <w:szCs w:val="20"/>
        </w:rPr>
        <w:t xml:space="preserve"> the Council lives responsibly within its means and has consistently ensured that its annual cash budget is balanced against available revenue</w:t>
      </w:r>
      <w:r w:rsidR="004B72F4">
        <w:rPr>
          <w:rFonts w:ascii="Arial" w:hAnsi="Arial" w:cs="Arial"/>
          <w:bCs/>
          <w:sz w:val="20"/>
          <w:szCs w:val="20"/>
        </w:rPr>
        <w:t>, however this excludes adequate funding of depreciation. If depreciation was included, it would highlight that the Council is significantly underfunding asset renewal and maintenance with the result that it has built up a significant asset funding backlog.</w:t>
      </w:r>
      <w:r w:rsidRPr="00CA17E9">
        <w:rPr>
          <w:rFonts w:ascii="Arial" w:hAnsi="Arial" w:cs="Arial"/>
          <w:bCs/>
          <w:sz w:val="20"/>
          <w:szCs w:val="20"/>
        </w:rPr>
        <w:t xml:space="preserve">  </w:t>
      </w:r>
    </w:p>
    <w:p w14:paraId="003F553D" w14:textId="77777777" w:rsidR="00D63D4F" w:rsidRDefault="00D63D4F" w:rsidP="00B4373E">
      <w:pPr>
        <w:spacing w:line="276" w:lineRule="auto"/>
        <w:jc w:val="both"/>
        <w:rPr>
          <w:rFonts w:ascii="Arial" w:hAnsi="Arial" w:cs="Arial"/>
          <w:bCs/>
          <w:sz w:val="20"/>
          <w:szCs w:val="20"/>
        </w:rPr>
      </w:pPr>
    </w:p>
    <w:p w14:paraId="49B4E2AF" w14:textId="77777777" w:rsidR="00D63D4F" w:rsidRDefault="00D63D4F" w:rsidP="00B4373E">
      <w:pPr>
        <w:spacing w:line="276" w:lineRule="auto"/>
        <w:jc w:val="both"/>
        <w:rPr>
          <w:rFonts w:ascii="Arial" w:hAnsi="Arial" w:cs="Arial"/>
          <w:bCs/>
          <w:sz w:val="20"/>
          <w:szCs w:val="20"/>
        </w:rPr>
      </w:pPr>
      <w:r>
        <w:rPr>
          <w:rFonts w:ascii="Arial" w:hAnsi="Arial" w:cs="Arial"/>
          <w:bCs/>
          <w:sz w:val="20"/>
          <w:szCs w:val="20"/>
        </w:rPr>
        <w:t>At</w:t>
      </w:r>
      <w:r w:rsidR="00CA17E9" w:rsidRPr="00CA17E9">
        <w:rPr>
          <w:rFonts w:ascii="Arial" w:hAnsi="Arial" w:cs="Arial"/>
          <w:bCs/>
          <w:sz w:val="20"/>
          <w:szCs w:val="20"/>
        </w:rPr>
        <w:t xml:space="preserve"> year end 201</w:t>
      </w:r>
      <w:r w:rsidR="001A4786">
        <w:rPr>
          <w:rFonts w:ascii="Arial" w:hAnsi="Arial" w:cs="Arial"/>
          <w:bCs/>
          <w:sz w:val="20"/>
          <w:szCs w:val="20"/>
        </w:rPr>
        <w:t>3/14</w:t>
      </w:r>
      <w:r>
        <w:rPr>
          <w:rFonts w:ascii="Arial" w:hAnsi="Arial" w:cs="Arial"/>
          <w:bCs/>
          <w:sz w:val="20"/>
          <w:szCs w:val="20"/>
        </w:rPr>
        <w:t>, the Council’s Income Statement indicated a net operating deficit of $7 million (excluding capital revenue)</w:t>
      </w:r>
      <w:r w:rsidRPr="00CA17E9">
        <w:rPr>
          <w:rFonts w:ascii="Arial" w:hAnsi="Arial" w:cs="Arial"/>
          <w:bCs/>
          <w:sz w:val="20"/>
          <w:szCs w:val="20"/>
        </w:rPr>
        <w:t>.</w:t>
      </w:r>
      <w:r>
        <w:rPr>
          <w:rFonts w:ascii="Arial" w:hAnsi="Arial" w:cs="Arial"/>
          <w:bCs/>
          <w:sz w:val="20"/>
          <w:szCs w:val="20"/>
        </w:rPr>
        <w:t xml:space="preserve"> This is made up of </w:t>
      </w:r>
      <w:r w:rsidR="00CA17E9" w:rsidRPr="00CA17E9">
        <w:rPr>
          <w:rFonts w:ascii="Arial" w:hAnsi="Arial" w:cs="Arial"/>
          <w:bCs/>
          <w:sz w:val="20"/>
          <w:szCs w:val="20"/>
        </w:rPr>
        <w:t>$9</w:t>
      </w:r>
      <w:r w:rsidR="001A4786">
        <w:rPr>
          <w:rFonts w:ascii="Arial" w:hAnsi="Arial" w:cs="Arial"/>
          <w:bCs/>
          <w:sz w:val="20"/>
          <w:szCs w:val="20"/>
        </w:rPr>
        <w:t>5</w:t>
      </w:r>
      <w:r w:rsidR="00CA17E9" w:rsidRPr="00CA17E9">
        <w:rPr>
          <w:rFonts w:ascii="Arial" w:hAnsi="Arial" w:cs="Arial"/>
          <w:bCs/>
          <w:sz w:val="20"/>
          <w:szCs w:val="20"/>
        </w:rPr>
        <w:t>.7 million revenue (excluding capital</w:t>
      </w:r>
      <w:r w:rsidR="001A4786">
        <w:rPr>
          <w:rFonts w:ascii="Arial" w:hAnsi="Arial" w:cs="Arial"/>
          <w:bCs/>
          <w:sz w:val="20"/>
          <w:szCs w:val="20"/>
        </w:rPr>
        <w:t xml:space="preserve"> revenue</w:t>
      </w:r>
      <w:r w:rsidR="00CA17E9" w:rsidRPr="00CA17E9">
        <w:rPr>
          <w:rFonts w:ascii="Arial" w:hAnsi="Arial" w:cs="Arial"/>
          <w:bCs/>
          <w:sz w:val="20"/>
          <w:szCs w:val="20"/>
        </w:rPr>
        <w:t>)</w:t>
      </w:r>
      <w:r w:rsidR="001A4786">
        <w:rPr>
          <w:rFonts w:ascii="Arial" w:hAnsi="Arial" w:cs="Arial"/>
          <w:bCs/>
          <w:sz w:val="20"/>
          <w:szCs w:val="20"/>
        </w:rPr>
        <w:t xml:space="preserve"> and </w:t>
      </w:r>
      <w:r w:rsidR="00CA17E9" w:rsidRPr="00CA17E9">
        <w:rPr>
          <w:rFonts w:ascii="Arial" w:hAnsi="Arial" w:cs="Arial"/>
          <w:bCs/>
          <w:sz w:val="20"/>
          <w:szCs w:val="20"/>
        </w:rPr>
        <w:t>$</w:t>
      </w:r>
      <w:r w:rsidR="001A4786">
        <w:rPr>
          <w:rFonts w:ascii="Arial" w:hAnsi="Arial" w:cs="Arial"/>
          <w:bCs/>
          <w:sz w:val="20"/>
          <w:szCs w:val="20"/>
        </w:rPr>
        <w:t>102</w:t>
      </w:r>
      <w:r w:rsidR="00CA17E9" w:rsidRPr="00CA17E9">
        <w:rPr>
          <w:rFonts w:ascii="Arial" w:hAnsi="Arial" w:cs="Arial"/>
          <w:bCs/>
          <w:sz w:val="20"/>
          <w:szCs w:val="20"/>
        </w:rPr>
        <w:t>.7 million expenditure</w:t>
      </w:r>
      <w:r w:rsidR="001A4786">
        <w:rPr>
          <w:rFonts w:ascii="Arial" w:hAnsi="Arial" w:cs="Arial"/>
          <w:bCs/>
          <w:sz w:val="20"/>
          <w:szCs w:val="20"/>
        </w:rPr>
        <w:t xml:space="preserve"> (including $16.7 million depreciation)</w:t>
      </w:r>
      <w:r>
        <w:rPr>
          <w:rFonts w:ascii="Arial" w:hAnsi="Arial" w:cs="Arial"/>
          <w:bCs/>
          <w:sz w:val="20"/>
          <w:szCs w:val="20"/>
        </w:rPr>
        <w:t xml:space="preserve">. </w:t>
      </w:r>
    </w:p>
    <w:p w14:paraId="4E813BD9" w14:textId="77777777" w:rsidR="00D63D4F" w:rsidRDefault="00D63D4F" w:rsidP="00B4373E">
      <w:pPr>
        <w:spacing w:line="276" w:lineRule="auto"/>
        <w:jc w:val="both"/>
        <w:rPr>
          <w:rFonts w:ascii="Arial" w:hAnsi="Arial" w:cs="Arial"/>
          <w:bCs/>
          <w:sz w:val="20"/>
          <w:szCs w:val="20"/>
        </w:rPr>
      </w:pPr>
    </w:p>
    <w:p w14:paraId="40B6A868" w14:textId="77777777" w:rsidR="004B72F4" w:rsidRDefault="004B72F4" w:rsidP="00B4373E">
      <w:pPr>
        <w:spacing w:line="276" w:lineRule="auto"/>
        <w:jc w:val="both"/>
        <w:rPr>
          <w:rFonts w:ascii="Arial" w:hAnsi="Arial" w:cs="Arial"/>
          <w:bCs/>
          <w:sz w:val="20"/>
          <w:szCs w:val="20"/>
        </w:rPr>
      </w:pPr>
      <w:r>
        <w:rPr>
          <w:rFonts w:ascii="Arial" w:hAnsi="Arial" w:cs="Arial"/>
          <w:bCs/>
          <w:sz w:val="20"/>
          <w:szCs w:val="20"/>
        </w:rPr>
        <w:t>At 30 June 2014, t</w:t>
      </w:r>
      <w:r w:rsidR="00CA17E9" w:rsidRPr="00CA17E9">
        <w:rPr>
          <w:rFonts w:ascii="Arial" w:hAnsi="Arial" w:cs="Arial"/>
          <w:bCs/>
          <w:sz w:val="20"/>
          <w:szCs w:val="20"/>
        </w:rPr>
        <w:t>he balance sheet shows</w:t>
      </w:r>
      <w:r>
        <w:rPr>
          <w:rFonts w:ascii="Arial" w:hAnsi="Arial" w:cs="Arial"/>
          <w:bCs/>
          <w:sz w:val="20"/>
          <w:szCs w:val="20"/>
        </w:rPr>
        <w:t>:</w:t>
      </w:r>
    </w:p>
    <w:p w14:paraId="6EED7FB7" w14:textId="77777777" w:rsidR="004B72F4" w:rsidRDefault="004B72F4" w:rsidP="00695720">
      <w:pPr>
        <w:pStyle w:val="ListParagraph"/>
        <w:numPr>
          <w:ilvl w:val="0"/>
          <w:numId w:val="86"/>
        </w:numPr>
        <w:spacing w:line="276" w:lineRule="auto"/>
        <w:jc w:val="both"/>
        <w:rPr>
          <w:rFonts w:ascii="Arial" w:hAnsi="Arial" w:cs="Arial"/>
          <w:bCs/>
          <w:sz w:val="20"/>
          <w:szCs w:val="20"/>
        </w:rPr>
      </w:pPr>
      <w:r>
        <w:rPr>
          <w:rFonts w:ascii="Arial" w:hAnsi="Arial" w:cs="Arial"/>
          <w:bCs/>
          <w:sz w:val="20"/>
          <w:szCs w:val="20"/>
        </w:rPr>
        <w:t>T</w:t>
      </w:r>
      <w:r w:rsidR="00CA17E9" w:rsidRPr="004B72F4">
        <w:rPr>
          <w:rFonts w:ascii="Arial" w:hAnsi="Arial" w:cs="Arial"/>
          <w:bCs/>
          <w:sz w:val="20"/>
          <w:szCs w:val="20"/>
        </w:rPr>
        <w:t>otal equity of $80</w:t>
      </w:r>
      <w:r w:rsidR="001A4786" w:rsidRPr="004B72F4">
        <w:rPr>
          <w:rFonts w:ascii="Arial" w:hAnsi="Arial" w:cs="Arial"/>
          <w:bCs/>
          <w:sz w:val="20"/>
          <w:szCs w:val="20"/>
        </w:rPr>
        <w:t>1</w:t>
      </w:r>
      <w:r w:rsidR="00D63D4F" w:rsidRPr="004B72F4">
        <w:rPr>
          <w:rFonts w:ascii="Arial" w:hAnsi="Arial" w:cs="Arial"/>
          <w:bCs/>
          <w:sz w:val="20"/>
          <w:szCs w:val="20"/>
        </w:rPr>
        <w:t xml:space="preserve"> million</w:t>
      </w:r>
      <w:r>
        <w:rPr>
          <w:rFonts w:ascii="Arial" w:hAnsi="Arial" w:cs="Arial"/>
          <w:bCs/>
          <w:sz w:val="20"/>
          <w:szCs w:val="20"/>
        </w:rPr>
        <w:t>;</w:t>
      </w:r>
    </w:p>
    <w:p w14:paraId="675586CB" w14:textId="77777777" w:rsidR="004B72F4" w:rsidRDefault="004B72F4" w:rsidP="00695720">
      <w:pPr>
        <w:pStyle w:val="ListParagraph"/>
        <w:numPr>
          <w:ilvl w:val="0"/>
          <w:numId w:val="86"/>
        </w:numPr>
        <w:spacing w:line="276" w:lineRule="auto"/>
        <w:jc w:val="both"/>
        <w:rPr>
          <w:rFonts w:ascii="Arial" w:hAnsi="Arial" w:cs="Arial"/>
          <w:bCs/>
          <w:sz w:val="20"/>
          <w:szCs w:val="20"/>
        </w:rPr>
      </w:pPr>
      <w:r>
        <w:rPr>
          <w:rFonts w:ascii="Arial" w:hAnsi="Arial" w:cs="Arial"/>
          <w:bCs/>
          <w:sz w:val="20"/>
          <w:szCs w:val="20"/>
        </w:rPr>
        <w:t>A</w:t>
      </w:r>
      <w:r w:rsidR="001A4786" w:rsidRPr="004B72F4">
        <w:rPr>
          <w:rFonts w:ascii="Arial" w:hAnsi="Arial" w:cs="Arial"/>
          <w:bCs/>
          <w:sz w:val="20"/>
          <w:szCs w:val="20"/>
        </w:rPr>
        <w:t xml:space="preserve">vailable </w:t>
      </w:r>
      <w:r w:rsidR="00CA17E9" w:rsidRPr="004B72F4">
        <w:rPr>
          <w:rFonts w:ascii="Arial" w:hAnsi="Arial" w:cs="Arial"/>
          <w:bCs/>
          <w:sz w:val="20"/>
          <w:szCs w:val="20"/>
        </w:rPr>
        <w:t>working capita</w:t>
      </w:r>
      <w:r w:rsidRPr="004B72F4">
        <w:rPr>
          <w:rFonts w:ascii="Arial" w:hAnsi="Arial" w:cs="Arial"/>
          <w:bCs/>
          <w:sz w:val="20"/>
          <w:szCs w:val="20"/>
        </w:rPr>
        <w:t>l</w:t>
      </w:r>
      <w:r w:rsidR="00CA17E9" w:rsidRPr="004B72F4">
        <w:rPr>
          <w:rFonts w:ascii="Arial" w:hAnsi="Arial" w:cs="Arial"/>
          <w:bCs/>
          <w:sz w:val="20"/>
          <w:szCs w:val="20"/>
        </w:rPr>
        <w:t xml:space="preserve"> </w:t>
      </w:r>
      <w:r w:rsidR="00D63D4F" w:rsidRPr="004B72F4">
        <w:rPr>
          <w:rFonts w:ascii="Arial" w:hAnsi="Arial" w:cs="Arial"/>
          <w:bCs/>
          <w:sz w:val="20"/>
          <w:szCs w:val="20"/>
        </w:rPr>
        <w:t xml:space="preserve">of </w:t>
      </w:r>
      <w:r w:rsidR="001A4786" w:rsidRPr="004B72F4">
        <w:rPr>
          <w:rFonts w:ascii="Arial" w:hAnsi="Arial" w:cs="Arial"/>
          <w:bCs/>
          <w:sz w:val="20"/>
          <w:szCs w:val="20"/>
        </w:rPr>
        <w:t>$1.8 million</w:t>
      </w:r>
      <w:r>
        <w:rPr>
          <w:rFonts w:ascii="Arial" w:hAnsi="Arial" w:cs="Arial"/>
          <w:bCs/>
          <w:sz w:val="20"/>
          <w:szCs w:val="20"/>
        </w:rPr>
        <w:t>;</w:t>
      </w:r>
    </w:p>
    <w:p w14:paraId="562529D4" w14:textId="77777777" w:rsidR="004B72F4" w:rsidRDefault="004B72F4" w:rsidP="00695720">
      <w:pPr>
        <w:pStyle w:val="ListParagraph"/>
        <w:numPr>
          <w:ilvl w:val="0"/>
          <w:numId w:val="86"/>
        </w:numPr>
        <w:spacing w:line="276" w:lineRule="auto"/>
        <w:jc w:val="both"/>
        <w:rPr>
          <w:rFonts w:ascii="Arial" w:hAnsi="Arial" w:cs="Arial"/>
          <w:bCs/>
          <w:sz w:val="20"/>
          <w:szCs w:val="20"/>
        </w:rPr>
      </w:pPr>
      <w:r>
        <w:rPr>
          <w:rFonts w:ascii="Arial" w:hAnsi="Arial" w:cs="Arial"/>
          <w:bCs/>
          <w:sz w:val="20"/>
          <w:szCs w:val="20"/>
        </w:rPr>
        <w:t>A</w:t>
      </w:r>
      <w:r w:rsidR="00D63D4F" w:rsidRPr="004B72F4">
        <w:rPr>
          <w:rFonts w:ascii="Arial" w:hAnsi="Arial" w:cs="Arial"/>
          <w:bCs/>
          <w:sz w:val="20"/>
          <w:szCs w:val="20"/>
        </w:rPr>
        <w:t>ssets of $829 million (or $1.2 billion at Fair Value</w:t>
      </w:r>
      <w:r w:rsidRPr="004B72F4">
        <w:rPr>
          <w:rFonts w:ascii="Arial" w:hAnsi="Arial" w:cs="Arial"/>
          <w:bCs/>
          <w:sz w:val="20"/>
          <w:szCs w:val="20"/>
        </w:rPr>
        <w:t>)</w:t>
      </w:r>
      <w:r>
        <w:rPr>
          <w:rFonts w:ascii="Arial" w:hAnsi="Arial" w:cs="Arial"/>
          <w:bCs/>
          <w:sz w:val="20"/>
          <w:szCs w:val="20"/>
        </w:rPr>
        <w:t>; and</w:t>
      </w:r>
    </w:p>
    <w:p w14:paraId="49AEB9C9" w14:textId="1685C451" w:rsidR="00494E50" w:rsidRDefault="002F6DF5" w:rsidP="00695720">
      <w:pPr>
        <w:pStyle w:val="ListParagraph"/>
        <w:numPr>
          <w:ilvl w:val="0"/>
          <w:numId w:val="86"/>
        </w:numPr>
        <w:spacing w:after="60" w:line="276" w:lineRule="auto"/>
        <w:jc w:val="both"/>
        <w:rPr>
          <w:rFonts w:ascii="Arial" w:hAnsi="Arial" w:cs="Arial"/>
          <w:bCs/>
          <w:sz w:val="20"/>
          <w:szCs w:val="20"/>
        </w:rPr>
      </w:pPr>
      <w:r w:rsidRPr="005C35E5">
        <w:rPr>
          <w:rFonts w:ascii="Arial" w:hAnsi="Arial" w:cs="Arial"/>
          <w:bCs/>
          <w:sz w:val="20"/>
          <w:szCs w:val="20"/>
        </w:rPr>
        <w:t xml:space="preserve">Outstanding loans of </w:t>
      </w:r>
      <w:r w:rsidR="00494E50" w:rsidRPr="005C35E5">
        <w:rPr>
          <w:rFonts w:ascii="Arial" w:hAnsi="Arial" w:cs="Arial"/>
          <w:bCs/>
          <w:sz w:val="20"/>
          <w:szCs w:val="20"/>
        </w:rPr>
        <w:t xml:space="preserve">$58.7 million.  </w:t>
      </w:r>
    </w:p>
    <w:p w14:paraId="6BE7C7D8" w14:textId="23DDEF95" w:rsidR="00821BF4" w:rsidRPr="00821BF4" w:rsidRDefault="00821BF4" w:rsidP="00B4373E">
      <w:pPr>
        <w:spacing w:after="60" w:line="276" w:lineRule="auto"/>
        <w:jc w:val="both"/>
        <w:rPr>
          <w:rFonts w:ascii="Arial" w:hAnsi="Arial" w:cs="Arial"/>
          <w:bCs/>
          <w:sz w:val="20"/>
          <w:szCs w:val="20"/>
        </w:rPr>
      </w:pPr>
      <w:r>
        <w:rPr>
          <w:rFonts w:ascii="Arial" w:hAnsi="Arial" w:cs="Arial"/>
          <w:bCs/>
          <w:sz w:val="20"/>
          <w:szCs w:val="20"/>
        </w:rPr>
        <w:t>Further details of the</w:t>
      </w:r>
      <w:r w:rsidR="008662D3">
        <w:rPr>
          <w:rFonts w:ascii="Arial" w:hAnsi="Arial" w:cs="Arial"/>
          <w:bCs/>
          <w:sz w:val="20"/>
          <w:szCs w:val="20"/>
        </w:rPr>
        <w:t xml:space="preserve"> Council’s financial position are</w:t>
      </w:r>
      <w:r>
        <w:rPr>
          <w:rFonts w:ascii="Arial" w:hAnsi="Arial" w:cs="Arial"/>
          <w:bCs/>
          <w:sz w:val="20"/>
          <w:szCs w:val="20"/>
        </w:rPr>
        <w:t xml:space="preserve"> available in the </w:t>
      </w:r>
      <w:r w:rsidRPr="008662D3">
        <w:rPr>
          <w:rFonts w:ascii="Arial" w:hAnsi="Arial" w:cs="Arial"/>
          <w:bCs/>
          <w:color w:val="000000" w:themeColor="text1"/>
          <w:sz w:val="20"/>
          <w:szCs w:val="20"/>
        </w:rPr>
        <w:t>LTFP</w:t>
      </w:r>
      <w:r w:rsidR="00A4170D">
        <w:rPr>
          <w:rFonts w:ascii="Arial" w:hAnsi="Arial" w:cs="Arial"/>
          <w:bCs/>
          <w:color w:val="000000" w:themeColor="text1"/>
          <w:sz w:val="20"/>
          <w:szCs w:val="20"/>
        </w:rPr>
        <w:t xml:space="preserve"> (</w:t>
      </w:r>
      <w:r w:rsidR="00A4170D" w:rsidRPr="00A4170D">
        <w:rPr>
          <w:rFonts w:ascii="Arial" w:hAnsi="Arial" w:cs="Arial"/>
          <w:b/>
          <w:bCs/>
          <w:color w:val="000000" w:themeColor="text1"/>
          <w:sz w:val="20"/>
          <w:szCs w:val="20"/>
        </w:rPr>
        <w:t>Attachment 3</w:t>
      </w:r>
      <w:r w:rsidRPr="008662D3">
        <w:rPr>
          <w:rFonts w:ascii="Arial" w:hAnsi="Arial" w:cs="Arial"/>
          <w:bCs/>
          <w:color w:val="000000" w:themeColor="text1"/>
          <w:sz w:val="20"/>
          <w:szCs w:val="20"/>
        </w:rPr>
        <w:t xml:space="preserve">, </w:t>
      </w:r>
      <w:r w:rsidR="008662D3" w:rsidRPr="008527C9">
        <w:rPr>
          <w:rFonts w:ascii="Arial" w:hAnsi="Arial" w:cs="Arial"/>
          <w:b/>
          <w:bCs/>
          <w:color w:val="000000" w:themeColor="text1"/>
          <w:sz w:val="20"/>
          <w:szCs w:val="20"/>
        </w:rPr>
        <w:t>Section 3.3</w:t>
      </w:r>
      <w:r w:rsidR="00A4170D" w:rsidRPr="00A4170D">
        <w:rPr>
          <w:rFonts w:ascii="Arial" w:hAnsi="Arial" w:cs="Arial"/>
          <w:bCs/>
          <w:color w:val="000000" w:themeColor="text1"/>
          <w:sz w:val="20"/>
          <w:szCs w:val="20"/>
        </w:rPr>
        <w:t>)</w:t>
      </w:r>
      <w:r w:rsidR="008662D3" w:rsidRPr="008662D3">
        <w:rPr>
          <w:rFonts w:ascii="Arial" w:hAnsi="Arial" w:cs="Arial"/>
          <w:bCs/>
          <w:i/>
          <w:color w:val="000000" w:themeColor="text1"/>
          <w:sz w:val="20"/>
          <w:szCs w:val="20"/>
        </w:rPr>
        <w:t>.</w:t>
      </w:r>
    </w:p>
    <w:p w14:paraId="34817E09" w14:textId="77777777" w:rsidR="005C35E5" w:rsidRDefault="005C35E5" w:rsidP="00B4373E">
      <w:pPr>
        <w:spacing w:line="276" w:lineRule="auto"/>
        <w:ind w:left="420"/>
        <w:jc w:val="both"/>
        <w:rPr>
          <w:rFonts w:ascii="Arial" w:hAnsi="Arial" w:cs="Arial"/>
          <w:bCs/>
          <w:sz w:val="20"/>
          <w:szCs w:val="20"/>
        </w:rPr>
      </w:pPr>
    </w:p>
    <w:p w14:paraId="1DD939BE" w14:textId="6D9F8A06" w:rsidR="00821BF4" w:rsidRPr="00821BF4" w:rsidRDefault="00821BF4" w:rsidP="00B4373E">
      <w:pPr>
        <w:spacing w:after="60" w:line="276" w:lineRule="auto"/>
        <w:jc w:val="both"/>
        <w:rPr>
          <w:rFonts w:ascii="Arial" w:hAnsi="Arial" w:cs="Arial"/>
          <w:b/>
          <w:bCs/>
          <w:sz w:val="20"/>
          <w:szCs w:val="20"/>
        </w:rPr>
      </w:pPr>
      <w:r w:rsidRPr="00821BF4">
        <w:rPr>
          <w:rFonts w:ascii="Arial" w:hAnsi="Arial" w:cs="Arial"/>
          <w:b/>
          <w:bCs/>
          <w:sz w:val="20"/>
          <w:szCs w:val="20"/>
        </w:rPr>
        <w:t xml:space="preserve">Critical </w:t>
      </w:r>
      <w:r>
        <w:rPr>
          <w:rFonts w:ascii="Arial" w:hAnsi="Arial" w:cs="Arial"/>
          <w:b/>
          <w:bCs/>
          <w:sz w:val="20"/>
          <w:szCs w:val="20"/>
        </w:rPr>
        <w:t xml:space="preserve">Financial Sustainability </w:t>
      </w:r>
      <w:r w:rsidRPr="00821BF4">
        <w:rPr>
          <w:rFonts w:ascii="Arial" w:hAnsi="Arial" w:cs="Arial"/>
          <w:b/>
          <w:bCs/>
          <w:sz w:val="20"/>
          <w:szCs w:val="20"/>
        </w:rPr>
        <w:t>Issues</w:t>
      </w:r>
    </w:p>
    <w:p w14:paraId="062A5653" w14:textId="1BB9087A" w:rsidR="00E75AEA" w:rsidRDefault="00821BF4" w:rsidP="00B4373E">
      <w:pPr>
        <w:spacing w:after="60" w:line="276" w:lineRule="auto"/>
        <w:jc w:val="both"/>
        <w:rPr>
          <w:rFonts w:ascii="Arial" w:hAnsi="Arial" w:cs="Arial"/>
          <w:sz w:val="20"/>
          <w:szCs w:val="20"/>
        </w:rPr>
      </w:pPr>
      <w:r>
        <w:rPr>
          <w:rFonts w:ascii="Arial" w:hAnsi="Arial" w:cs="Arial"/>
          <w:bCs/>
          <w:sz w:val="20"/>
          <w:szCs w:val="20"/>
        </w:rPr>
        <w:t xml:space="preserve">While </w:t>
      </w:r>
      <w:r w:rsidR="008662D3">
        <w:rPr>
          <w:rFonts w:ascii="Arial" w:hAnsi="Arial" w:cs="Arial"/>
          <w:bCs/>
          <w:sz w:val="20"/>
          <w:szCs w:val="20"/>
        </w:rPr>
        <w:t>the Council maintains a b</w:t>
      </w:r>
      <w:r>
        <w:rPr>
          <w:rFonts w:ascii="Arial" w:hAnsi="Arial" w:cs="Arial"/>
          <w:bCs/>
          <w:sz w:val="20"/>
          <w:szCs w:val="20"/>
        </w:rPr>
        <w:t xml:space="preserve">alanced </w:t>
      </w:r>
      <w:r w:rsidR="008662D3">
        <w:rPr>
          <w:rFonts w:ascii="Arial" w:hAnsi="Arial" w:cs="Arial"/>
          <w:bCs/>
          <w:sz w:val="20"/>
          <w:szCs w:val="20"/>
        </w:rPr>
        <w:t xml:space="preserve">annual </w:t>
      </w:r>
      <w:r>
        <w:rPr>
          <w:rFonts w:ascii="Arial" w:hAnsi="Arial" w:cs="Arial"/>
          <w:bCs/>
          <w:sz w:val="20"/>
          <w:szCs w:val="20"/>
        </w:rPr>
        <w:t xml:space="preserve">cash budget, </w:t>
      </w:r>
      <w:r w:rsidR="008662D3">
        <w:rPr>
          <w:rFonts w:ascii="Arial" w:hAnsi="Arial" w:cs="Arial"/>
          <w:bCs/>
          <w:sz w:val="20"/>
          <w:szCs w:val="20"/>
        </w:rPr>
        <w:t xml:space="preserve">its </w:t>
      </w:r>
      <w:r>
        <w:rPr>
          <w:rFonts w:ascii="Arial" w:hAnsi="Arial" w:cs="Arial"/>
          <w:bCs/>
          <w:sz w:val="20"/>
          <w:szCs w:val="20"/>
        </w:rPr>
        <w:t xml:space="preserve">annual </w:t>
      </w:r>
      <w:r w:rsidR="008662D3">
        <w:rPr>
          <w:rFonts w:ascii="Arial" w:hAnsi="Arial" w:cs="Arial"/>
          <w:bCs/>
          <w:sz w:val="20"/>
          <w:szCs w:val="20"/>
        </w:rPr>
        <w:t xml:space="preserve">operating balance </w:t>
      </w:r>
      <w:r>
        <w:rPr>
          <w:rFonts w:ascii="Arial" w:hAnsi="Arial" w:cs="Arial"/>
          <w:bCs/>
          <w:sz w:val="20"/>
          <w:szCs w:val="20"/>
        </w:rPr>
        <w:t>d</w:t>
      </w:r>
      <w:r w:rsidR="00494E50" w:rsidRPr="006E377E">
        <w:rPr>
          <w:rFonts w:ascii="Arial" w:hAnsi="Arial" w:cs="Arial"/>
          <w:bCs/>
          <w:sz w:val="20"/>
          <w:szCs w:val="20"/>
        </w:rPr>
        <w:t>eficit result highlights that</w:t>
      </w:r>
      <w:r>
        <w:rPr>
          <w:rFonts w:ascii="Arial" w:hAnsi="Arial" w:cs="Arial"/>
          <w:bCs/>
          <w:sz w:val="20"/>
          <w:szCs w:val="20"/>
        </w:rPr>
        <w:t xml:space="preserve"> it </w:t>
      </w:r>
      <w:r w:rsidR="00494E50" w:rsidRPr="006E377E">
        <w:rPr>
          <w:rFonts w:ascii="Arial" w:hAnsi="Arial" w:cs="Arial"/>
          <w:bCs/>
          <w:sz w:val="20"/>
          <w:szCs w:val="20"/>
        </w:rPr>
        <w:t>does not have sufficient capacity to fund the required level of maintenance, renewal, upgrade and replacement of existing assets.</w:t>
      </w:r>
      <w:r w:rsidR="00E75AEA">
        <w:rPr>
          <w:rFonts w:ascii="Arial" w:hAnsi="Arial" w:cs="Arial"/>
          <w:bCs/>
          <w:sz w:val="20"/>
          <w:szCs w:val="20"/>
        </w:rPr>
        <w:t xml:space="preserve"> As shown in the table below, into the future (and without a special variation), </w:t>
      </w:r>
      <w:r w:rsidR="00E75AEA">
        <w:rPr>
          <w:rFonts w:ascii="Arial" w:hAnsi="Arial" w:cs="Arial"/>
          <w:sz w:val="20"/>
          <w:szCs w:val="20"/>
        </w:rPr>
        <w:t>t</w:t>
      </w:r>
      <w:r w:rsidR="00E75AEA" w:rsidRPr="00E34476">
        <w:rPr>
          <w:rFonts w:ascii="Arial" w:hAnsi="Arial" w:cs="Arial"/>
          <w:sz w:val="20"/>
          <w:szCs w:val="20"/>
        </w:rPr>
        <w:t xml:space="preserve">he Council is unable to meet the </w:t>
      </w:r>
      <w:r w:rsidR="00E75AEA">
        <w:rPr>
          <w:rFonts w:ascii="Arial" w:hAnsi="Arial" w:cs="Arial"/>
          <w:sz w:val="20"/>
          <w:szCs w:val="20"/>
        </w:rPr>
        <w:t>target range</w:t>
      </w:r>
      <w:r w:rsidR="00E75AEA" w:rsidRPr="00975B76">
        <w:rPr>
          <w:rFonts w:ascii="Arial" w:hAnsi="Arial" w:cs="Arial"/>
          <w:sz w:val="20"/>
          <w:szCs w:val="20"/>
        </w:rPr>
        <w:t>,</w:t>
      </w:r>
      <w:r w:rsidR="00E75AEA" w:rsidRPr="00E34476">
        <w:rPr>
          <w:rFonts w:ascii="Arial" w:hAnsi="Arial" w:cs="Arial"/>
          <w:sz w:val="20"/>
          <w:szCs w:val="20"/>
        </w:rPr>
        <w:t xml:space="preserve"> indicating a</w:t>
      </w:r>
      <w:r w:rsidR="00E75AEA">
        <w:rPr>
          <w:rFonts w:ascii="Arial" w:hAnsi="Arial" w:cs="Arial"/>
          <w:sz w:val="20"/>
          <w:szCs w:val="20"/>
        </w:rPr>
        <w:t xml:space="preserve"> continued </w:t>
      </w:r>
      <w:r w:rsidR="00E75AEA" w:rsidRPr="00E34476">
        <w:rPr>
          <w:rFonts w:ascii="Arial" w:hAnsi="Arial" w:cs="Arial"/>
          <w:sz w:val="20"/>
          <w:szCs w:val="20"/>
        </w:rPr>
        <w:t>unsustainable financial position.</w:t>
      </w:r>
      <w:r w:rsidR="00E75AEA">
        <w:rPr>
          <w:rFonts w:ascii="Arial" w:hAnsi="Arial" w:cs="Arial"/>
          <w:sz w:val="20"/>
          <w:szCs w:val="20"/>
        </w:rPr>
        <w:t xml:space="preserve">  This would require significant risk management by the Council – including closure and removal of unsafe facilities and infrastructure. </w:t>
      </w:r>
    </w:p>
    <w:p w14:paraId="7BC207A8" w14:textId="77777777" w:rsidR="008527C9" w:rsidRDefault="008527C9" w:rsidP="00B4373E">
      <w:pPr>
        <w:spacing w:after="60" w:line="276" w:lineRule="auto"/>
        <w:jc w:val="both"/>
        <w:rPr>
          <w:rFonts w:ascii="Arial" w:hAnsi="Arial" w:cs="Arial"/>
          <w:sz w:val="20"/>
          <w:szCs w:val="20"/>
        </w:rPr>
      </w:pPr>
    </w:p>
    <w:p w14:paraId="5A11904D" w14:textId="77777777" w:rsidR="008527C9" w:rsidRDefault="008527C9" w:rsidP="008527C9">
      <w:pPr>
        <w:spacing w:after="60" w:line="276" w:lineRule="auto"/>
        <w:rPr>
          <w:rFonts w:ascii="Arial" w:hAnsi="Arial" w:cs="Arial"/>
          <w:bCs/>
          <w:sz w:val="20"/>
          <w:szCs w:val="20"/>
        </w:rPr>
      </w:pPr>
      <w:r w:rsidRPr="006E377E">
        <w:rPr>
          <w:rFonts w:ascii="Arial" w:hAnsi="Arial" w:cs="Arial"/>
          <w:bCs/>
          <w:sz w:val="20"/>
          <w:szCs w:val="20"/>
        </w:rPr>
        <w:t xml:space="preserve">There is a significant infrastructure funding shortfall including an infrastructure funding backlog in the order of $183 million (see </w:t>
      </w:r>
      <w:r w:rsidRPr="00FF78B3">
        <w:rPr>
          <w:rFonts w:ascii="Arial" w:hAnsi="Arial" w:cs="Arial"/>
          <w:b/>
          <w:bCs/>
          <w:sz w:val="20"/>
          <w:szCs w:val="20"/>
        </w:rPr>
        <w:t>Section 3.</w:t>
      </w:r>
      <w:r>
        <w:rPr>
          <w:rFonts w:ascii="Arial" w:hAnsi="Arial" w:cs="Arial"/>
          <w:b/>
          <w:bCs/>
          <w:sz w:val="20"/>
          <w:szCs w:val="20"/>
        </w:rPr>
        <w:t>2 Building &amp; Infrastructure Renewal Ratio and Asset Renewal Ratio</w:t>
      </w:r>
      <w:r w:rsidRPr="00FF78B3">
        <w:rPr>
          <w:rFonts w:ascii="Arial" w:hAnsi="Arial" w:cs="Arial"/>
          <w:b/>
          <w:bCs/>
          <w:sz w:val="20"/>
          <w:szCs w:val="20"/>
        </w:rPr>
        <w:t xml:space="preserve"> comment on Special Schedule 7</w:t>
      </w:r>
      <w:r w:rsidRPr="006E377E">
        <w:rPr>
          <w:rFonts w:ascii="Arial" w:hAnsi="Arial" w:cs="Arial"/>
          <w:bCs/>
          <w:sz w:val="20"/>
          <w:szCs w:val="20"/>
        </w:rPr>
        <w:t xml:space="preserve">) if assets in condition 4 (poor) and 5 (very poor) are included. If this is extended to assets in condition 3 (average), then the projected infrastructure funding backlog would be in the order of over </w:t>
      </w:r>
      <w:r>
        <w:rPr>
          <w:rFonts w:ascii="Arial" w:hAnsi="Arial" w:cs="Arial"/>
          <w:bCs/>
          <w:sz w:val="20"/>
          <w:szCs w:val="20"/>
        </w:rPr>
        <w:t xml:space="preserve"> </w:t>
      </w:r>
      <w:r w:rsidRPr="006E377E">
        <w:rPr>
          <w:rFonts w:ascii="Arial" w:hAnsi="Arial" w:cs="Arial"/>
          <w:bCs/>
          <w:sz w:val="20"/>
          <w:szCs w:val="20"/>
        </w:rPr>
        <w:t xml:space="preserve">$671 million. </w:t>
      </w:r>
    </w:p>
    <w:p w14:paraId="6ED9BE73" w14:textId="77777777" w:rsidR="008527C9" w:rsidRDefault="008527C9" w:rsidP="008527C9">
      <w:pPr>
        <w:spacing w:after="60" w:line="276" w:lineRule="auto"/>
        <w:jc w:val="both"/>
        <w:rPr>
          <w:rFonts w:ascii="Arial" w:hAnsi="Arial" w:cs="Arial"/>
          <w:bCs/>
          <w:sz w:val="20"/>
          <w:szCs w:val="20"/>
        </w:rPr>
      </w:pPr>
    </w:p>
    <w:p w14:paraId="4D8B595E" w14:textId="75A3929D" w:rsidR="008527C9" w:rsidRDefault="008527C9">
      <w:pPr>
        <w:rPr>
          <w:rFonts w:ascii="Arial" w:hAnsi="Arial" w:cs="Arial"/>
          <w:b/>
          <w:bCs/>
          <w:color w:val="000000" w:themeColor="text1"/>
          <w:sz w:val="18"/>
          <w:szCs w:val="18"/>
        </w:rPr>
      </w:pPr>
      <w:r>
        <w:rPr>
          <w:rFonts w:ascii="Arial" w:hAnsi="Arial" w:cs="Arial"/>
          <w:b/>
          <w:bCs/>
          <w:color w:val="000000" w:themeColor="text1"/>
          <w:sz w:val="18"/>
          <w:szCs w:val="18"/>
        </w:rPr>
        <w:br w:type="page"/>
      </w:r>
    </w:p>
    <w:p w14:paraId="45257964" w14:textId="2AA9C22F" w:rsidR="00494E50" w:rsidRPr="003B5CED" w:rsidRDefault="00B77EEE" w:rsidP="000C0B13">
      <w:pPr>
        <w:jc w:val="both"/>
        <w:rPr>
          <w:rFonts w:ascii="Arial" w:hAnsi="Arial" w:cs="Arial"/>
          <w:b/>
          <w:bCs/>
          <w:sz w:val="18"/>
          <w:szCs w:val="18"/>
        </w:rPr>
      </w:pPr>
      <w:r w:rsidRPr="003B5CED">
        <w:rPr>
          <w:rFonts w:ascii="Arial" w:hAnsi="Arial" w:cs="Arial"/>
          <w:b/>
          <w:bCs/>
          <w:color w:val="000000" w:themeColor="text1"/>
          <w:sz w:val="18"/>
          <w:szCs w:val="18"/>
        </w:rPr>
        <w:t>Figure</w:t>
      </w:r>
      <w:r w:rsidR="00FA0E8D" w:rsidRPr="003B5CED">
        <w:rPr>
          <w:rFonts w:ascii="Arial" w:hAnsi="Arial" w:cs="Arial"/>
          <w:b/>
          <w:bCs/>
          <w:color w:val="000000" w:themeColor="text1"/>
          <w:sz w:val="18"/>
          <w:szCs w:val="18"/>
        </w:rPr>
        <w:t xml:space="preserve"> 3.6</w:t>
      </w:r>
      <w:r w:rsidR="000C0B13" w:rsidRPr="003B5CED">
        <w:rPr>
          <w:rFonts w:ascii="Arial" w:hAnsi="Arial" w:cs="Arial"/>
          <w:b/>
          <w:bCs/>
          <w:color w:val="000000" w:themeColor="text1"/>
          <w:sz w:val="18"/>
          <w:szCs w:val="18"/>
        </w:rPr>
        <w:t xml:space="preserve">: </w:t>
      </w:r>
      <w:r w:rsidR="000C0B13" w:rsidRPr="003B5CED">
        <w:rPr>
          <w:rFonts w:ascii="Arial" w:hAnsi="Arial" w:cs="Arial"/>
          <w:b/>
          <w:bCs/>
          <w:sz w:val="18"/>
          <w:szCs w:val="18"/>
        </w:rPr>
        <w:t>Operating Balance ($) – Ten Year Projection</w:t>
      </w:r>
      <w:r w:rsidR="00E75AEA" w:rsidRPr="003B5CED">
        <w:rPr>
          <w:rFonts w:ascii="Arial" w:hAnsi="Arial" w:cs="Arial"/>
          <w:b/>
          <w:bCs/>
          <w:sz w:val="18"/>
          <w:szCs w:val="18"/>
        </w:rPr>
        <w:t xml:space="preserve"> – No Special Variation</w:t>
      </w:r>
    </w:p>
    <w:p w14:paraId="28E060BF" w14:textId="2486ECB7" w:rsidR="000C0B13" w:rsidRDefault="00401AA8" w:rsidP="00494E50">
      <w:pPr>
        <w:spacing w:after="60" w:line="360" w:lineRule="auto"/>
        <w:jc w:val="both"/>
        <w:rPr>
          <w:rFonts w:ascii="Arial" w:hAnsi="Arial" w:cs="Arial"/>
          <w:bCs/>
          <w:sz w:val="20"/>
          <w:szCs w:val="20"/>
        </w:rPr>
      </w:pPr>
      <w:r w:rsidRPr="00E34476">
        <w:rPr>
          <w:rFonts w:ascii="Arial" w:hAnsi="Arial" w:cs="Arial"/>
          <w:b/>
          <w:noProof/>
          <w:sz w:val="20"/>
          <w:szCs w:val="20"/>
        </w:rPr>
        <w:drawing>
          <wp:anchor distT="0" distB="0" distL="114300" distR="114300" simplePos="0" relativeHeight="251840512" behindDoc="0" locked="0" layoutInCell="1" allowOverlap="1" wp14:anchorId="15926E96" wp14:editId="6733EB64">
            <wp:simplePos x="0" y="0"/>
            <wp:positionH relativeFrom="column">
              <wp:posOffset>5080</wp:posOffset>
            </wp:positionH>
            <wp:positionV relativeFrom="paragraph">
              <wp:posOffset>83185</wp:posOffset>
            </wp:positionV>
            <wp:extent cx="5534025" cy="2876550"/>
            <wp:effectExtent l="0" t="0" r="9525" b="19050"/>
            <wp:wrapNone/>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p>
    <w:p w14:paraId="42EC570E" w14:textId="4B982C35" w:rsidR="000C0B13" w:rsidRDefault="000C0B13" w:rsidP="00494E50">
      <w:pPr>
        <w:spacing w:after="60" w:line="360" w:lineRule="auto"/>
        <w:jc w:val="both"/>
        <w:rPr>
          <w:rFonts w:ascii="Arial" w:hAnsi="Arial" w:cs="Arial"/>
          <w:bCs/>
          <w:sz w:val="20"/>
          <w:szCs w:val="20"/>
        </w:rPr>
      </w:pPr>
    </w:p>
    <w:p w14:paraId="56BD798E" w14:textId="77777777" w:rsidR="000C0B13" w:rsidRDefault="000C0B13" w:rsidP="00494E50">
      <w:pPr>
        <w:spacing w:after="60" w:line="360" w:lineRule="auto"/>
        <w:jc w:val="both"/>
        <w:rPr>
          <w:rFonts w:ascii="Arial" w:hAnsi="Arial" w:cs="Arial"/>
          <w:bCs/>
          <w:sz w:val="20"/>
          <w:szCs w:val="20"/>
        </w:rPr>
      </w:pPr>
    </w:p>
    <w:p w14:paraId="3DED28DC" w14:textId="77777777" w:rsidR="000C0B13" w:rsidRDefault="000C0B13" w:rsidP="00494E50">
      <w:pPr>
        <w:spacing w:after="60" w:line="360" w:lineRule="auto"/>
        <w:jc w:val="both"/>
        <w:rPr>
          <w:rFonts w:ascii="Arial" w:hAnsi="Arial" w:cs="Arial"/>
          <w:bCs/>
          <w:sz w:val="20"/>
          <w:szCs w:val="20"/>
        </w:rPr>
      </w:pPr>
    </w:p>
    <w:p w14:paraId="4E454574" w14:textId="77777777" w:rsidR="000C0B13" w:rsidRDefault="000C0B13" w:rsidP="00494E50">
      <w:pPr>
        <w:spacing w:after="60" w:line="360" w:lineRule="auto"/>
        <w:jc w:val="both"/>
        <w:rPr>
          <w:rFonts w:ascii="Arial" w:hAnsi="Arial" w:cs="Arial"/>
          <w:bCs/>
          <w:sz w:val="20"/>
          <w:szCs w:val="20"/>
        </w:rPr>
      </w:pPr>
    </w:p>
    <w:p w14:paraId="5286628F" w14:textId="77777777" w:rsidR="000C0B13" w:rsidRDefault="000C0B13" w:rsidP="00494E50">
      <w:pPr>
        <w:spacing w:after="60" w:line="360" w:lineRule="auto"/>
        <w:jc w:val="both"/>
        <w:rPr>
          <w:rFonts w:ascii="Arial" w:hAnsi="Arial" w:cs="Arial"/>
          <w:bCs/>
          <w:sz w:val="20"/>
          <w:szCs w:val="20"/>
        </w:rPr>
      </w:pPr>
    </w:p>
    <w:p w14:paraId="087FE59D" w14:textId="77777777" w:rsidR="000C0B13" w:rsidRDefault="000C0B13" w:rsidP="00494E50">
      <w:pPr>
        <w:spacing w:after="60" w:line="360" w:lineRule="auto"/>
        <w:jc w:val="both"/>
        <w:rPr>
          <w:rFonts w:ascii="Arial" w:hAnsi="Arial" w:cs="Arial"/>
          <w:bCs/>
          <w:sz w:val="20"/>
          <w:szCs w:val="20"/>
        </w:rPr>
      </w:pPr>
    </w:p>
    <w:p w14:paraId="2D986D76" w14:textId="77777777" w:rsidR="000C0B13" w:rsidRDefault="000C0B13" w:rsidP="00494E50">
      <w:pPr>
        <w:spacing w:after="60" w:line="360" w:lineRule="auto"/>
        <w:jc w:val="both"/>
        <w:rPr>
          <w:rFonts w:ascii="Arial" w:hAnsi="Arial" w:cs="Arial"/>
          <w:bCs/>
          <w:sz w:val="20"/>
          <w:szCs w:val="20"/>
        </w:rPr>
      </w:pPr>
    </w:p>
    <w:p w14:paraId="4BAC0EE6" w14:textId="77777777" w:rsidR="000C0B13" w:rsidRDefault="000C0B13" w:rsidP="00494E50">
      <w:pPr>
        <w:spacing w:after="60" w:line="360" w:lineRule="auto"/>
        <w:jc w:val="both"/>
        <w:rPr>
          <w:rFonts w:ascii="Arial" w:hAnsi="Arial" w:cs="Arial"/>
          <w:bCs/>
          <w:sz w:val="20"/>
          <w:szCs w:val="20"/>
        </w:rPr>
      </w:pPr>
    </w:p>
    <w:p w14:paraId="0820AED3" w14:textId="77777777" w:rsidR="00B77EEE" w:rsidRDefault="00B77EEE" w:rsidP="006E377E">
      <w:pPr>
        <w:spacing w:after="60" w:line="360" w:lineRule="auto"/>
        <w:jc w:val="both"/>
        <w:rPr>
          <w:rFonts w:ascii="Arial" w:hAnsi="Arial" w:cs="Arial"/>
          <w:bCs/>
          <w:sz w:val="20"/>
          <w:szCs w:val="20"/>
        </w:rPr>
      </w:pPr>
    </w:p>
    <w:p w14:paraId="2A50EB28" w14:textId="77777777" w:rsidR="00401AA8" w:rsidRDefault="00401AA8" w:rsidP="006E377E">
      <w:pPr>
        <w:spacing w:after="60" w:line="360" w:lineRule="auto"/>
        <w:jc w:val="both"/>
        <w:rPr>
          <w:rFonts w:ascii="Arial" w:hAnsi="Arial" w:cs="Arial"/>
          <w:bCs/>
          <w:sz w:val="20"/>
          <w:szCs w:val="20"/>
        </w:rPr>
      </w:pPr>
    </w:p>
    <w:p w14:paraId="7D5A205D" w14:textId="77777777" w:rsidR="00401AA8" w:rsidRDefault="00401AA8" w:rsidP="006E377E">
      <w:pPr>
        <w:spacing w:after="60" w:line="360" w:lineRule="auto"/>
        <w:jc w:val="both"/>
        <w:rPr>
          <w:rFonts w:ascii="Arial" w:hAnsi="Arial" w:cs="Arial"/>
          <w:bCs/>
          <w:sz w:val="20"/>
          <w:szCs w:val="20"/>
        </w:rPr>
      </w:pPr>
    </w:p>
    <w:p w14:paraId="2E9219A7" w14:textId="77777777" w:rsidR="008527C9" w:rsidRDefault="008527C9" w:rsidP="008527C9">
      <w:pPr>
        <w:spacing w:after="60" w:line="276" w:lineRule="auto"/>
        <w:jc w:val="both"/>
        <w:rPr>
          <w:rFonts w:ascii="Arial" w:hAnsi="Arial" w:cs="Arial"/>
          <w:bCs/>
          <w:sz w:val="20"/>
          <w:szCs w:val="20"/>
        </w:rPr>
      </w:pPr>
    </w:p>
    <w:p w14:paraId="2B49D042" w14:textId="7F32F6BB" w:rsidR="009F4205" w:rsidRDefault="008527C9" w:rsidP="008527C9">
      <w:pPr>
        <w:spacing w:after="60" w:line="276" w:lineRule="auto"/>
        <w:jc w:val="both"/>
        <w:rPr>
          <w:rFonts w:ascii="Arial" w:hAnsi="Arial" w:cs="Arial"/>
          <w:bCs/>
          <w:color w:val="000000" w:themeColor="text1"/>
          <w:sz w:val="20"/>
          <w:szCs w:val="20"/>
        </w:rPr>
      </w:pPr>
      <w:r w:rsidRPr="006E377E">
        <w:rPr>
          <w:rFonts w:ascii="Arial" w:hAnsi="Arial" w:cs="Arial"/>
          <w:bCs/>
          <w:sz w:val="20"/>
          <w:szCs w:val="20"/>
        </w:rPr>
        <w:t xml:space="preserve">However engagement with </w:t>
      </w:r>
      <w:r>
        <w:rPr>
          <w:rFonts w:ascii="Arial" w:hAnsi="Arial" w:cs="Arial"/>
          <w:bCs/>
          <w:sz w:val="20"/>
          <w:szCs w:val="20"/>
        </w:rPr>
        <w:t xml:space="preserve">the </w:t>
      </w:r>
      <w:r w:rsidRPr="006E377E">
        <w:rPr>
          <w:rFonts w:ascii="Arial" w:hAnsi="Arial" w:cs="Arial"/>
          <w:bCs/>
          <w:sz w:val="20"/>
          <w:szCs w:val="20"/>
        </w:rPr>
        <w:t>community on level of service indicates the community is willing to accept, to a degree, assets in average condition. From asset management planning work, it is estimated that the Council will need approximately $238 million over the next 20 years to address funding requirements of assets in conditions 4 and 5</w:t>
      </w:r>
      <w:r>
        <w:rPr>
          <w:rFonts w:ascii="Arial" w:hAnsi="Arial" w:cs="Arial"/>
          <w:bCs/>
          <w:sz w:val="20"/>
          <w:szCs w:val="20"/>
        </w:rPr>
        <w:t xml:space="preserve">, as </w:t>
      </w:r>
      <w:r w:rsidRPr="00FA0E8D">
        <w:rPr>
          <w:rFonts w:ascii="Arial" w:hAnsi="Arial" w:cs="Arial"/>
          <w:bCs/>
          <w:color w:val="000000" w:themeColor="text1"/>
          <w:sz w:val="20"/>
          <w:szCs w:val="20"/>
        </w:rPr>
        <w:t xml:space="preserve">shown in </w:t>
      </w:r>
      <w:r w:rsidRPr="00FF78B3">
        <w:rPr>
          <w:rFonts w:ascii="Arial" w:hAnsi="Arial" w:cs="Arial"/>
          <w:b/>
          <w:bCs/>
          <w:color w:val="000000" w:themeColor="text1"/>
          <w:sz w:val="20"/>
          <w:szCs w:val="20"/>
        </w:rPr>
        <w:t>Figure 3.7</w:t>
      </w:r>
      <w:r w:rsidRPr="00FA0E8D">
        <w:rPr>
          <w:rFonts w:ascii="Arial" w:hAnsi="Arial" w:cs="Arial"/>
          <w:bCs/>
          <w:color w:val="000000" w:themeColor="text1"/>
          <w:sz w:val="20"/>
          <w:szCs w:val="20"/>
        </w:rPr>
        <w:t xml:space="preserve"> below. </w:t>
      </w:r>
    </w:p>
    <w:p w14:paraId="61305D17" w14:textId="48159270" w:rsidR="008527C9" w:rsidRDefault="008527C9" w:rsidP="008527C9">
      <w:pPr>
        <w:spacing w:after="60" w:line="276" w:lineRule="auto"/>
        <w:jc w:val="both"/>
        <w:rPr>
          <w:rFonts w:ascii="Arial" w:hAnsi="Arial" w:cs="Arial"/>
          <w:bCs/>
          <w:sz w:val="20"/>
          <w:szCs w:val="20"/>
        </w:rPr>
      </w:pPr>
      <w:r w:rsidRPr="00CA17E9">
        <w:rPr>
          <w:rFonts w:asciiTheme="minorHAnsi" w:eastAsiaTheme="minorEastAsia" w:hAnsiTheme="minorHAnsi" w:cstheme="minorBidi"/>
          <w:noProof/>
        </w:rPr>
        <mc:AlternateContent>
          <mc:Choice Requires="wps">
            <w:drawing>
              <wp:anchor distT="0" distB="0" distL="114300" distR="114300" simplePos="0" relativeHeight="251798528" behindDoc="0" locked="0" layoutInCell="1" allowOverlap="1" wp14:anchorId="61B70C92" wp14:editId="7E9FB2BE">
                <wp:simplePos x="0" y="0"/>
                <wp:positionH relativeFrom="column">
                  <wp:posOffset>5080</wp:posOffset>
                </wp:positionH>
                <wp:positionV relativeFrom="paragraph">
                  <wp:posOffset>167005</wp:posOffset>
                </wp:positionV>
                <wp:extent cx="5738495" cy="320040"/>
                <wp:effectExtent l="0" t="0" r="0" b="381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8495" cy="320040"/>
                        </a:xfrm>
                        <a:prstGeom prst="rect">
                          <a:avLst/>
                        </a:prstGeom>
                        <a:solidFill>
                          <a:srgbClr val="FFFFFF"/>
                        </a:solidFill>
                        <a:ln w="9525">
                          <a:noFill/>
                          <a:miter lim="800000"/>
                          <a:headEnd/>
                          <a:tailEnd/>
                        </a:ln>
                      </wps:spPr>
                      <wps:txbx>
                        <w:txbxContent>
                          <w:p w14:paraId="06F61F38" w14:textId="12500EDF" w:rsidR="005864FD" w:rsidRPr="003B5CED" w:rsidRDefault="005864FD" w:rsidP="00E75AEA">
                            <w:pPr>
                              <w:jc w:val="both"/>
                              <w:rPr>
                                <w:rFonts w:ascii="Arial" w:hAnsi="Arial" w:cs="Arial"/>
                                <w:b/>
                                <w:bCs/>
                                <w:color w:val="000000" w:themeColor="text1"/>
                                <w:sz w:val="18"/>
                                <w:szCs w:val="18"/>
                              </w:rPr>
                            </w:pPr>
                            <w:r w:rsidRPr="003B5CED">
                              <w:rPr>
                                <w:rFonts w:ascii="Arial" w:hAnsi="Arial" w:cs="Arial"/>
                                <w:b/>
                                <w:bCs/>
                                <w:color w:val="000000" w:themeColor="text1"/>
                                <w:sz w:val="18"/>
                                <w:szCs w:val="18"/>
                              </w:rPr>
                              <w:t>Figure 3.7: Projected Required Operating and Capital Expenditure 2015/16 – 2034/35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1" type="#_x0000_t202" style="position:absolute;left:0;text-align:left;margin-left:.4pt;margin-top:13.15pt;width:451.85pt;height:25.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" stroked="f">
                <v:textbox>
                  <w:txbxContent>
                    <w:p w14:paraId="06F61F38" w14:textId="12500EDF" w:rsidR="005864FD" w:rsidRPr="003B5CED" w:rsidRDefault="005864FD" w:rsidP="00E75AEA">
                      <w:pPr>
                        <w:jc w:val="both"/>
                        <w:rPr>
                          <w:rFonts w:ascii="Arial" w:hAnsi="Arial" w:cs="Arial"/>
                          <w:b/>
                          <w:bCs/>
                          <w:color w:val="000000" w:themeColor="text1"/>
                          <w:sz w:val="18"/>
                          <w:szCs w:val="18"/>
                        </w:rPr>
                      </w:pPr>
                      <w:r w:rsidRPr="003B5CED">
                        <w:rPr>
                          <w:rFonts w:ascii="Arial" w:hAnsi="Arial" w:cs="Arial"/>
                          <w:b/>
                          <w:bCs/>
                          <w:color w:val="000000" w:themeColor="text1"/>
                          <w:sz w:val="18"/>
                          <w:szCs w:val="18"/>
                        </w:rPr>
                        <w:t>Figure 3.7: Projected Required Operating and Capital Expenditure 2015/16 – 2034/35</w:t>
                      </w:r>
                    </w:p>
                  </w:txbxContent>
                </v:textbox>
              </v:shape>
            </w:pict>
          </mc:Fallback>
        </mc:AlternateContent>
      </w:r>
    </w:p>
    <w:p w14:paraId="3068C419" w14:textId="59A272A9" w:rsidR="004F3D4F" w:rsidRDefault="004F3D4F" w:rsidP="008527C9">
      <w:pPr>
        <w:rPr>
          <w:rFonts w:ascii="Arial" w:hAnsi="Arial" w:cs="Arial"/>
          <w:bCs/>
          <w:sz w:val="20"/>
          <w:szCs w:val="20"/>
        </w:rPr>
      </w:pPr>
    </w:p>
    <w:p w14:paraId="34DF647B" w14:textId="77777777" w:rsidR="00A4170D" w:rsidRDefault="00A4170D" w:rsidP="004F3D4F">
      <w:pPr>
        <w:tabs>
          <w:tab w:val="num" w:pos="360"/>
        </w:tabs>
        <w:spacing w:after="60" w:line="360" w:lineRule="auto"/>
        <w:jc w:val="both"/>
        <w:rPr>
          <w:rFonts w:ascii="Arial" w:hAnsi="Arial" w:cs="Arial"/>
          <w:bCs/>
          <w:sz w:val="20"/>
          <w:szCs w:val="20"/>
        </w:rPr>
      </w:pPr>
    </w:p>
    <w:p w14:paraId="1906FFA7" w14:textId="00411EFC" w:rsidR="001C24F4" w:rsidRDefault="00A4170D" w:rsidP="0077222E">
      <w:pPr>
        <w:spacing w:after="120" w:line="276" w:lineRule="auto"/>
        <w:jc w:val="both"/>
        <w:rPr>
          <w:rFonts w:ascii="Arial" w:hAnsi="Arial" w:cs="Arial"/>
          <w:bCs/>
          <w:sz w:val="20"/>
          <w:szCs w:val="20"/>
        </w:rPr>
      </w:pPr>
      <w:r w:rsidRPr="00CA17E9">
        <w:rPr>
          <w:rFonts w:asciiTheme="minorHAnsi" w:eastAsiaTheme="minorEastAsia" w:hAnsiTheme="minorHAnsi" w:cstheme="minorBidi"/>
          <w:b/>
          <w:bCs/>
          <w:noProof/>
          <w:color w:val="4F81BD" w:themeColor="accent1"/>
          <w:sz w:val="18"/>
          <w:szCs w:val="18"/>
        </w:rPr>
        <w:drawing>
          <wp:inline distT="0" distB="0" distL="0" distR="0" wp14:anchorId="5D4E6D0E" wp14:editId="0A049079">
            <wp:extent cx="5400675" cy="3134028"/>
            <wp:effectExtent l="19050" t="19050" r="9525" b="28575"/>
            <wp:docPr id="15" name="Picture 15" descr="C:\Users\sjohnson\AppData\Local\Microsoft\Windows\Temporary Internet Files\Content.Word\Summary Fig 7 Graph - Option 3 (Reduced) v2 140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johnson\AppData\Local\Microsoft\Windows\Temporary Internet Files\Content.Word\Summary Fig 7 Graph - Option 3 (Reduced) v2 140710.pn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400675" cy="3134028"/>
                    </a:xfrm>
                    <a:prstGeom prst="rect">
                      <a:avLst/>
                    </a:prstGeom>
                    <a:noFill/>
                    <a:ln w="3175">
                      <a:solidFill>
                        <a:sysClr val="windowText" lastClr="000000"/>
                      </a:solidFill>
                    </a:ln>
                  </pic:spPr>
                </pic:pic>
              </a:graphicData>
            </a:graphic>
          </wp:inline>
        </w:drawing>
      </w:r>
    </w:p>
    <w:p w14:paraId="4F991DFB" w14:textId="77777777" w:rsidR="008527C9" w:rsidRDefault="008527C9" w:rsidP="008527C9">
      <w:pPr>
        <w:spacing w:after="60" w:line="276" w:lineRule="auto"/>
        <w:jc w:val="both"/>
        <w:rPr>
          <w:rFonts w:ascii="Arial" w:hAnsi="Arial" w:cs="Arial"/>
          <w:bCs/>
          <w:sz w:val="20"/>
          <w:szCs w:val="20"/>
        </w:rPr>
      </w:pPr>
      <w:r w:rsidRPr="006E377E">
        <w:rPr>
          <w:rFonts w:ascii="Arial" w:hAnsi="Arial" w:cs="Arial"/>
          <w:bCs/>
          <w:sz w:val="20"/>
          <w:szCs w:val="20"/>
        </w:rPr>
        <w:t>The available revenue to fund budgeted expenditure is shown by the black line.  The bars show the projected expenditure requirements on maintenance (green), operations (red), upgrade  (orange) and renewal (blue). The chart reveals a funding shortfall between expenditure requirements and available revenue.</w:t>
      </w:r>
      <w:r w:rsidRPr="008527C9">
        <w:rPr>
          <w:rFonts w:ascii="Arial" w:hAnsi="Arial" w:cs="Arial"/>
          <w:bCs/>
          <w:sz w:val="20"/>
          <w:szCs w:val="20"/>
        </w:rPr>
        <w:t xml:space="preserve"> </w:t>
      </w:r>
      <w:r w:rsidRPr="006E377E">
        <w:rPr>
          <w:rFonts w:ascii="Arial" w:hAnsi="Arial" w:cs="Arial"/>
          <w:bCs/>
          <w:sz w:val="20"/>
          <w:szCs w:val="20"/>
        </w:rPr>
        <w:t>In other words, the Council does not have the ability to keep pace with the funding requirements of its $1 billion worth of built assets.</w:t>
      </w:r>
    </w:p>
    <w:p w14:paraId="271AF2F0" w14:textId="77777777" w:rsidR="008527C9" w:rsidRDefault="008527C9" w:rsidP="008527C9">
      <w:pPr>
        <w:spacing w:after="60" w:line="276" w:lineRule="auto"/>
        <w:jc w:val="both"/>
        <w:rPr>
          <w:rFonts w:ascii="Arial" w:hAnsi="Arial" w:cs="Arial"/>
          <w:bCs/>
          <w:sz w:val="20"/>
          <w:szCs w:val="20"/>
        </w:rPr>
      </w:pPr>
      <w:r w:rsidRPr="006E377E">
        <w:rPr>
          <w:rFonts w:ascii="Arial" w:hAnsi="Arial" w:cs="Arial"/>
          <w:bCs/>
          <w:sz w:val="20"/>
          <w:szCs w:val="20"/>
        </w:rPr>
        <w:t xml:space="preserve">The critical issue is that the Council’s asset renewal and maintenance requirements are significantly underfunded which impacts our operating result including depreciation. If not addressed, this underfunding will cause deterioration in our asset base in future years and may lead to unacceptable impacts on service levels. </w:t>
      </w:r>
    </w:p>
    <w:p w14:paraId="0CF4E739" w14:textId="77777777" w:rsidR="00465382" w:rsidRDefault="00465382" w:rsidP="008527C9">
      <w:pPr>
        <w:spacing w:after="60" w:line="276" w:lineRule="auto"/>
        <w:jc w:val="both"/>
        <w:rPr>
          <w:rFonts w:ascii="Arial" w:hAnsi="Arial" w:cs="Arial"/>
          <w:bCs/>
          <w:sz w:val="20"/>
          <w:szCs w:val="20"/>
        </w:rPr>
      </w:pPr>
    </w:p>
    <w:p w14:paraId="086EFA29" w14:textId="6668F956" w:rsidR="006E377E" w:rsidRDefault="004F3D4F" w:rsidP="00465382">
      <w:pPr>
        <w:spacing w:line="276" w:lineRule="auto"/>
        <w:jc w:val="both"/>
        <w:rPr>
          <w:rFonts w:ascii="Arial" w:hAnsi="Arial" w:cs="Arial"/>
          <w:bCs/>
          <w:sz w:val="20"/>
          <w:szCs w:val="20"/>
        </w:rPr>
      </w:pPr>
      <w:r w:rsidRPr="006E377E">
        <w:rPr>
          <w:rFonts w:ascii="Arial" w:hAnsi="Arial" w:cs="Arial"/>
          <w:bCs/>
          <w:sz w:val="20"/>
          <w:szCs w:val="20"/>
        </w:rPr>
        <w:t xml:space="preserve">When built assets are left to deteriorate, particularly in major asset classes such as roads, investment to restore those assets can often be far more costly than regular asset maintenance and renewal programs. This also applies to the natural environment which, if allowed to deteriorate, cannot easily be brought back to a healthy state without significant additional investment. </w:t>
      </w:r>
    </w:p>
    <w:p w14:paraId="1CFC3CA9" w14:textId="7DC11CD6" w:rsidR="00CA17E9" w:rsidRDefault="008662D3" w:rsidP="0077222E">
      <w:pPr>
        <w:spacing w:after="120" w:line="276" w:lineRule="auto"/>
        <w:jc w:val="both"/>
        <w:rPr>
          <w:rFonts w:ascii="Arial" w:hAnsi="Arial" w:cs="Arial"/>
          <w:bCs/>
          <w:sz w:val="20"/>
          <w:szCs w:val="20"/>
        </w:rPr>
      </w:pPr>
      <w:r>
        <w:rPr>
          <w:rFonts w:ascii="Arial" w:hAnsi="Arial" w:cs="Arial"/>
          <w:bCs/>
          <w:sz w:val="20"/>
          <w:szCs w:val="20"/>
        </w:rPr>
        <w:t>In summary, f</w:t>
      </w:r>
      <w:r w:rsidR="00494E50" w:rsidRPr="006E377E">
        <w:rPr>
          <w:rFonts w:ascii="Arial" w:hAnsi="Arial" w:cs="Arial"/>
          <w:bCs/>
          <w:sz w:val="20"/>
          <w:szCs w:val="20"/>
        </w:rPr>
        <w:t xml:space="preserve">or the Council to be sustainable into the future, its operating revenues must cover operating costs, including the funding required to maintain and renew built assets. </w:t>
      </w:r>
      <w:r>
        <w:rPr>
          <w:rFonts w:ascii="Arial" w:hAnsi="Arial" w:cs="Arial"/>
          <w:bCs/>
          <w:sz w:val="20"/>
          <w:szCs w:val="20"/>
        </w:rPr>
        <w:t>As well, the Council’s o</w:t>
      </w:r>
      <w:r w:rsidR="00494E50" w:rsidRPr="006E377E">
        <w:rPr>
          <w:rFonts w:ascii="Arial" w:hAnsi="Arial" w:cs="Arial"/>
          <w:bCs/>
          <w:sz w:val="20"/>
          <w:szCs w:val="20"/>
        </w:rPr>
        <w:t xml:space="preserve">perating </w:t>
      </w:r>
      <w:r>
        <w:rPr>
          <w:rFonts w:ascii="Arial" w:hAnsi="Arial" w:cs="Arial"/>
          <w:bCs/>
          <w:sz w:val="20"/>
          <w:szCs w:val="20"/>
        </w:rPr>
        <w:t xml:space="preserve">balance </w:t>
      </w:r>
      <w:r w:rsidR="00494E50" w:rsidRPr="006E377E">
        <w:rPr>
          <w:rFonts w:ascii="Arial" w:hAnsi="Arial" w:cs="Arial"/>
          <w:bCs/>
          <w:sz w:val="20"/>
          <w:szCs w:val="20"/>
        </w:rPr>
        <w:t xml:space="preserve">should be in </w:t>
      </w:r>
      <w:r>
        <w:rPr>
          <w:rFonts w:ascii="Arial" w:hAnsi="Arial" w:cs="Arial"/>
          <w:bCs/>
          <w:sz w:val="20"/>
          <w:szCs w:val="20"/>
        </w:rPr>
        <w:t>within a target range of +$1 million to -$1 million</w:t>
      </w:r>
      <w:r w:rsidR="00494E50" w:rsidRPr="006E377E">
        <w:rPr>
          <w:rFonts w:ascii="Arial" w:hAnsi="Arial" w:cs="Arial"/>
          <w:bCs/>
          <w:sz w:val="20"/>
          <w:szCs w:val="20"/>
        </w:rPr>
        <w:t xml:space="preserve">. </w:t>
      </w:r>
      <w:r>
        <w:rPr>
          <w:rFonts w:ascii="Arial" w:hAnsi="Arial" w:cs="Arial"/>
          <w:bCs/>
          <w:sz w:val="20"/>
          <w:szCs w:val="20"/>
        </w:rPr>
        <w:t xml:space="preserve">Without a special variation, </w:t>
      </w:r>
      <w:r w:rsidR="00494E50" w:rsidRPr="006E377E">
        <w:rPr>
          <w:rFonts w:ascii="Arial" w:hAnsi="Arial" w:cs="Arial"/>
          <w:bCs/>
          <w:sz w:val="20"/>
          <w:szCs w:val="20"/>
        </w:rPr>
        <w:t xml:space="preserve">the Council </w:t>
      </w:r>
      <w:r>
        <w:rPr>
          <w:rFonts w:ascii="Arial" w:hAnsi="Arial" w:cs="Arial"/>
          <w:bCs/>
          <w:sz w:val="20"/>
          <w:szCs w:val="20"/>
        </w:rPr>
        <w:t xml:space="preserve">projects it </w:t>
      </w:r>
      <w:r w:rsidR="00494E50" w:rsidRPr="006E377E">
        <w:rPr>
          <w:rFonts w:ascii="Arial" w:hAnsi="Arial" w:cs="Arial"/>
          <w:bCs/>
          <w:sz w:val="20"/>
          <w:szCs w:val="20"/>
        </w:rPr>
        <w:t xml:space="preserve">does not have the required level of revenue to meet expenditure requirements, and without strong corrective measures, </w:t>
      </w:r>
      <w:r>
        <w:rPr>
          <w:rFonts w:ascii="Arial" w:hAnsi="Arial" w:cs="Arial"/>
          <w:bCs/>
          <w:sz w:val="20"/>
          <w:szCs w:val="20"/>
        </w:rPr>
        <w:t>its</w:t>
      </w:r>
      <w:r w:rsidR="00494E50" w:rsidRPr="006E377E">
        <w:rPr>
          <w:rFonts w:ascii="Arial" w:hAnsi="Arial" w:cs="Arial"/>
          <w:bCs/>
          <w:sz w:val="20"/>
          <w:szCs w:val="20"/>
        </w:rPr>
        <w:t xml:space="preserve"> financial sustainability will deteriorate significantly.</w:t>
      </w:r>
    </w:p>
    <w:p w14:paraId="6C027255" w14:textId="0E7BEEBD" w:rsidR="00194C04" w:rsidRDefault="00B77EEE" w:rsidP="00C81F43">
      <w:pPr>
        <w:pStyle w:val="Heading3"/>
        <w:tabs>
          <w:tab w:val="num" w:pos="709"/>
        </w:tabs>
        <w:ind w:left="709"/>
      </w:pPr>
      <w:r>
        <w:t>E</w:t>
      </w:r>
      <w:r w:rsidR="00194C04" w:rsidRPr="00B27C78">
        <w:t>xternal assessment of the cou</w:t>
      </w:r>
      <w:r>
        <w:t>ncil’s financial sustainability</w:t>
      </w:r>
    </w:p>
    <w:p w14:paraId="1A5A0439" w14:textId="77777777" w:rsidR="00194C04" w:rsidRPr="00EA494A" w:rsidRDefault="00194C04" w:rsidP="00EA494A">
      <w:pPr>
        <w:spacing w:line="360" w:lineRule="auto"/>
        <w:jc w:val="both"/>
        <w:rPr>
          <w:rFonts w:ascii="Arial" w:hAnsi="Arial" w:cs="Arial"/>
          <w:bCs/>
          <w:sz w:val="20"/>
          <w:szCs w:val="20"/>
        </w:rPr>
      </w:pPr>
    </w:p>
    <w:p w14:paraId="0C2BA606" w14:textId="7A161F10" w:rsidR="00474D1E" w:rsidRDefault="00DA7FD5" w:rsidP="0077222E">
      <w:pPr>
        <w:spacing w:line="276" w:lineRule="auto"/>
        <w:jc w:val="both"/>
        <w:rPr>
          <w:rFonts w:ascii="Arial" w:hAnsi="Arial" w:cs="Arial"/>
          <w:bCs/>
          <w:sz w:val="20"/>
          <w:szCs w:val="20"/>
        </w:rPr>
      </w:pPr>
      <w:r w:rsidRPr="00EA494A">
        <w:rPr>
          <w:rFonts w:ascii="Arial" w:hAnsi="Arial" w:cs="Arial"/>
          <w:bCs/>
          <w:sz w:val="20"/>
          <w:szCs w:val="20"/>
        </w:rPr>
        <w:t xml:space="preserve">NSW Treasury Corporation (TCorp) assessed the financial position of the </w:t>
      </w:r>
      <w:r w:rsidR="00474D1E">
        <w:rPr>
          <w:rFonts w:ascii="Arial" w:hAnsi="Arial" w:cs="Arial"/>
          <w:bCs/>
          <w:sz w:val="20"/>
          <w:szCs w:val="20"/>
        </w:rPr>
        <w:t xml:space="preserve">Council </w:t>
      </w:r>
      <w:r w:rsidRPr="00EA494A">
        <w:rPr>
          <w:rFonts w:ascii="Arial" w:hAnsi="Arial" w:cs="Arial"/>
          <w:bCs/>
          <w:sz w:val="20"/>
          <w:szCs w:val="20"/>
        </w:rPr>
        <w:t>in March 2013</w:t>
      </w:r>
      <w:r w:rsidR="00474D1E">
        <w:rPr>
          <w:rFonts w:ascii="Arial" w:hAnsi="Arial" w:cs="Arial"/>
          <w:bCs/>
          <w:sz w:val="20"/>
          <w:szCs w:val="20"/>
        </w:rPr>
        <w:t xml:space="preserve">. In </w:t>
      </w:r>
      <w:r w:rsidRPr="00EA494A">
        <w:rPr>
          <w:rFonts w:ascii="Arial" w:hAnsi="Arial" w:cs="Arial"/>
          <w:bCs/>
          <w:sz w:val="20"/>
          <w:szCs w:val="20"/>
        </w:rPr>
        <w:t>their Executive Summary</w:t>
      </w:r>
      <w:r w:rsidR="00474D1E">
        <w:rPr>
          <w:rFonts w:ascii="Arial" w:hAnsi="Arial" w:cs="Arial"/>
          <w:bCs/>
          <w:sz w:val="20"/>
          <w:szCs w:val="20"/>
        </w:rPr>
        <w:t>, it concluded</w:t>
      </w:r>
      <w:r w:rsidRPr="00EA494A">
        <w:rPr>
          <w:rFonts w:ascii="Arial" w:hAnsi="Arial" w:cs="Arial"/>
          <w:bCs/>
          <w:sz w:val="20"/>
          <w:szCs w:val="20"/>
        </w:rPr>
        <w:t xml:space="preserve"> that the Council has been well managed in most areas with sound liquidity</w:t>
      </w:r>
      <w:r w:rsidR="00474D1E">
        <w:rPr>
          <w:rFonts w:ascii="Arial" w:hAnsi="Arial" w:cs="Arial"/>
          <w:bCs/>
          <w:sz w:val="20"/>
          <w:szCs w:val="20"/>
        </w:rPr>
        <w:t xml:space="preserve"> and financial flexibility. However, TCorp states:</w:t>
      </w:r>
    </w:p>
    <w:p w14:paraId="729AD0F6" w14:textId="77777777" w:rsidR="0077222E" w:rsidRDefault="0077222E" w:rsidP="0077222E">
      <w:pPr>
        <w:spacing w:line="276" w:lineRule="auto"/>
        <w:jc w:val="both"/>
        <w:rPr>
          <w:rFonts w:ascii="Arial" w:hAnsi="Arial" w:cs="Arial"/>
          <w:bCs/>
          <w:sz w:val="20"/>
          <w:szCs w:val="20"/>
        </w:rPr>
      </w:pPr>
    </w:p>
    <w:p w14:paraId="2B55F1C3" w14:textId="77777777" w:rsidR="00474D1E" w:rsidRDefault="00DA7FD5" w:rsidP="0077222E">
      <w:pPr>
        <w:spacing w:line="276" w:lineRule="auto"/>
        <w:ind w:left="709"/>
        <w:jc w:val="both"/>
        <w:rPr>
          <w:rFonts w:ascii="Arial" w:hAnsi="Arial" w:cs="Arial"/>
          <w:bCs/>
          <w:i/>
          <w:sz w:val="20"/>
          <w:szCs w:val="20"/>
        </w:rPr>
      </w:pPr>
      <w:r w:rsidRPr="00EA494A">
        <w:rPr>
          <w:rFonts w:ascii="Arial" w:hAnsi="Arial" w:cs="Arial"/>
          <w:bCs/>
          <w:sz w:val="20"/>
          <w:szCs w:val="20"/>
        </w:rPr>
        <w:t>“</w:t>
      </w:r>
      <w:r w:rsidR="00474D1E">
        <w:rPr>
          <w:rFonts w:ascii="Arial" w:hAnsi="Arial" w:cs="Arial"/>
          <w:bCs/>
          <w:i/>
          <w:sz w:val="20"/>
          <w:szCs w:val="20"/>
        </w:rPr>
        <w:t>T</w:t>
      </w:r>
      <w:r w:rsidRPr="00EA494A">
        <w:rPr>
          <w:rFonts w:ascii="Arial" w:hAnsi="Arial" w:cs="Arial"/>
          <w:bCs/>
          <w:i/>
          <w:sz w:val="20"/>
          <w:szCs w:val="20"/>
        </w:rPr>
        <w:t xml:space="preserve">he forecast capital expenditure is significantly below the levels required to maintain an acceptable asset base because of insufficient funds. Net assets are forecast to decline…indicating a deterioration in the Council’s asset base.” </w:t>
      </w:r>
    </w:p>
    <w:p w14:paraId="7FED2E9B" w14:textId="77777777" w:rsidR="00474D1E" w:rsidRDefault="00474D1E" w:rsidP="0077222E">
      <w:pPr>
        <w:spacing w:line="276" w:lineRule="auto"/>
        <w:ind w:left="709"/>
        <w:jc w:val="both"/>
        <w:rPr>
          <w:rFonts w:ascii="Arial" w:hAnsi="Arial" w:cs="Arial"/>
          <w:bCs/>
          <w:i/>
          <w:sz w:val="20"/>
          <w:szCs w:val="20"/>
        </w:rPr>
      </w:pPr>
    </w:p>
    <w:p w14:paraId="55384E9B" w14:textId="00E5086B" w:rsidR="00474D1E" w:rsidRDefault="00530749" w:rsidP="0077222E">
      <w:pPr>
        <w:spacing w:line="276" w:lineRule="auto"/>
        <w:jc w:val="both"/>
        <w:rPr>
          <w:rFonts w:ascii="Arial" w:hAnsi="Arial" w:cs="Arial"/>
          <w:bCs/>
          <w:sz w:val="20"/>
          <w:szCs w:val="20"/>
        </w:rPr>
      </w:pPr>
      <w:r w:rsidRPr="00637F36">
        <w:rPr>
          <w:rFonts w:ascii="Arial" w:hAnsi="Arial" w:cs="Arial"/>
          <w:bCs/>
          <w:sz w:val="20"/>
          <w:szCs w:val="20"/>
        </w:rPr>
        <w:t xml:space="preserve">While this report assessed the Council’s financial sustainability rating as ‘weak’ in the short term, and its three year outlook as ‘neutral’, the report also </w:t>
      </w:r>
      <w:r w:rsidR="00DA7FD5" w:rsidRPr="00EA494A">
        <w:rPr>
          <w:rFonts w:ascii="Arial" w:hAnsi="Arial" w:cs="Arial"/>
          <w:bCs/>
          <w:sz w:val="20"/>
          <w:szCs w:val="20"/>
        </w:rPr>
        <w:t xml:space="preserve">recommended that the Council engage with the community on affordable and acceptable service levels, identify opportunities for expense reduction and revenue raising and </w:t>
      </w:r>
      <w:r w:rsidR="00DA7FD5" w:rsidRPr="000D5456">
        <w:rPr>
          <w:rFonts w:ascii="Arial" w:hAnsi="Arial" w:cs="Arial"/>
          <w:b/>
          <w:bCs/>
          <w:sz w:val="20"/>
          <w:szCs w:val="20"/>
        </w:rPr>
        <w:t>seek a special rate variation and extension to the existing Environment Levy</w:t>
      </w:r>
      <w:r w:rsidR="00DA7FD5" w:rsidRPr="00EA494A">
        <w:rPr>
          <w:rFonts w:ascii="Arial" w:hAnsi="Arial" w:cs="Arial"/>
          <w:bCs/>
          <w:sz w:val="20"/>
          <w:szCs w:val="20"/>
        </w:rPr>
        <w:t xml:space="preserve">. Further, </w:t>
      </w:r>
      <w:r w:rsidR="00474D1E">
        <w:rPr>
          <w:rFonts w:ascii="Arial" w:hAnsi="Arial" w:cs="Arial"/>
          <w:bCs/>
          <w:sz w:val="20"/>
          <w:szCs w:val="20"/>
        </w:rPr>
        <w:t>TCorp n</w:t>
      </w:r>
      <w:r w:rsidR="00DA7FD5" w:rsidRPr="00EA494A">
        <w:rPr>
          <w:rFonts w:ascii="Arial" w:hAnsi="Arial" w:cs="Arial"/>
          <w:bCs/>
          <w:sz w:val="20"/>
          <w:szCs w:val="20"/>
        </w:rPr>
        <w:t>oted in a postscript</w:t>
      </w:r>
      <w:r w:rsidR="00474D1E">
        <w:rPr>
          <w:rFonts w:ascii="Arial" w:hAnsi="Arial" w:cs="Arial"/>
          <w:bCs/>
          <w:sz w:val="20"/>
          <w:szCs w:val="20"/>
        </w:rPr>
        <w:t>,</w:t>
      </w:r>
      <w:r w:rsidR="00DA7FD5" w:rsidRPr="00EA494A">
        <w:rPr>
          <w:rFonts w:ascii="Arial" w:hAnsi="Arial" w:cs="Arial"/>
          <w:bCs/>
          <w:sz w:val="20"/>
          <w:szCs w:val="20"/>
        </w:rPr>
        <w:t xml:space="preserve"> that the</w:t>
      </w:r>
      <w:r w:rsidR="00474D1E">
        <w:rPr>
          <w:rFonts w:ascii="Arial" w:hAnsi="Arial" w:cs="Arial"/>
          <w:bCs/>
          <w:sz w:val="20"/>
          <w:szCs w:val="20"/>
        </w:rPr>
        <w:t>ir a</w:t>
      </w:r>
      <w:r w:rsidR="00DA7FD5" w:rsidRPr="00EA494A">
        <w:rPr>
          <w:rFonts w:ascii="Arial" w:hAnsi="Arial" w:cs="Arial"/>
          <w:bCs/>
          <w:sz w:val="20"/>
          <w:szCs w:val="20"/>
        </w:rPr>
        <w:t xml:space="preserve">ssessment was prepared based on an earlier LTFP which </w:t>
      </w:r>
      <w:r w:rsidR="008662D3">
        <w:rPr>
          <w:rFonts w:ascii="Arial" w:hAnsi="Arial" w:cs="Arial"/>
          <w:bCs/>
          <w:sz w:val="20"/>
          <w:szCs w:val="20"/>
        </w:rPr>
        <w:t>is</w:t>
      </w:r>
      <w:r w:rsidR="00474D1E">
        <w:rPr>
          <w:rFonts w:ascii="Arial" w:hAnsi="Arial" w:cs="Arial"/>
          <w:bCs/>
          <w:sz w:val="20"/>
          <w:szCs w:val="20"/>
        </w:rPr>
        <w:t xml:space="preserve"> </w:t>
      </w:r>
      <w:r w:rsidR="008662D3">
        <w:rPr>
          <w:rFonts w:ascii="Arial" w:hAnsi="Arial" w:cs="Arial"/>
          <w:bCs/>
          <w:sz w:val="20"/>
          <w:szCs w:val="20"/>
        </w:rPr>
        <w:t>now</w:t>
      </w:r>
      <w:r w:rsidR="00DA7FD5" w:rsidRPr="00EA494A">
        <w:rPr>
          <w:rFonts w:ascii="Arial" w:hAnsi="Arial" w:cs="Arial"/>
          <w:bCs/>
          <w:sz w:val="20"/>
          <w:szCs w:val="20"/>
        </w:rPr>
        <w:t xml:space="preserve"> superseded</w:t>
      </w:r>
      <w:r w:rsidR="008662D3">
        <w:rPr>
          <w:rFonts w:ascii="Arial" w:hAnsi="Arial" w:cs="Arial"/>
          <w:bCs/>
          <w:sz w:val="20"/>
          <w:szCs w:val="20"/>
        </w:rPr>
        <w:t>,</w:t>
      </w:r>
      <w:r w:rsidR="00DA7FD5" w:rsidRPr="00EA494A">
        <w:rPr>
          <w:rFonts w:ascii="Arial" w:hAnsi="Arial" w:cs="Arial"/>
          <w:bCs/>
          <w:sz w:val="20"/>
          <w:szCs w:val="20"/>
        </w:rPr>
        <w:t xml:space="preserve"> and that the Council was actively committed and taking steps to improve its financial position through its </w:t>
      </w:r>
      <w:r w:rsidR="00DA7FD5" w:rsidRPr="00EA494A">
        <w:rPr>
          <w:rFonts w:ascii="Arial" w:hAnsi="Arial" w:cs="Arial"/>
          <w:bCs/>
          <w:i/>
          <w:sz w:val="20"/>
          <w:szCs w:val="20"/>
        </w:rPr>
        <w:t>Six Strategies for Financial Sustainability</w:t>
      </w:r>
      <w:r w:rsidR="00474D1E">
        <w:rPr>
          <w:rFonts w:ascii="Arial" w:hAnsi="Arial" w:cs="Arial"/>
          <w:bCs/>
          <w:sz w:val="20"/>
          <w:szCs w:val="20"/>
        </w:rPr>
        <w:t xml:space="preserve"> as follows:</w:t>
      </w:r>
    </w:p>
    <w:p w14:paraId="033FA3C8" w14:textId="77777777" w:rsidR="00FF78B3" w:rsidRDefault="00FF78B3" w:rsidP="0077222E">
      <w:pPr>
        <w:spacing w:line="276" w:lineRule="auto"/>
        <w:jc w:val="both"/>
        <w:rPr>
          <w:rFonts w:ascii="Arial" w:hAnsi="Arial" w:cs="Arial"/>
          <w:bCs/>
          <w:sz w:val="20"/>
          <w:szCs w:val="20"/>
        </w:rPr>
      </w:pPr>
    </w:p>
    <w:p w14:paraId="1F03D2B9" w14:textId="7DC89AC1" w:rsidR="00474D1E" w:rsidRPr="00EA494A" w:rsidRDefault="00474D1E" w:rsidP="0077222E">
      <w:pPr>
        <w:spacing w:line="276" w:lineRule="auto"/>
        <w:ind w:left="567"/>
        <w:jc w:val="both"/>
        <w:rPr>
          <w:rFonts w:ascii="Arial" w:hAnsi="Arial" w:cs="Arial"/>
          <w:i/>
          <w:sz w:val="20"/>
          <w:szCs w:val="20"/>
        </w:rPr>
      </w:pPr>
      <w:r>
        <w:rPr>
          <w:rFonts w:ascii="Arial" w:hAnsi="Arial" w:cs="Arial"/>
          <w:bCs/>
          <w:sz w:val="20"/>
          <w:szCs w:val="20"/>
        </w:rPr>
        <w:t>“</w:t>
      </w:r>
      <w:r w:rsidRPr="00EA494A">
        <w:rPr>
          <w:rFonts w:ascii="Arial" w:hAnsi="Arial" w:cs="Arial"/>
          <w:i/>
          <w:sz w:val="20"/>
          <w:szCs w:val="20"/>
        </w:rPr>
        <w:t>These strategies include renewing existing and seeking additional special variations for infrastructure and environment works, ceasing future loan borrowings subject to annual reviews of borrowing capacity, continuing to engage the community on achievement of affordable and acceptable levels of service, implementing service level reviews and adjustments to ensure value for money…” (T</w:t>
      </w:r>
      <w:r>
        <w:rPr>
          <w:rFonts w:ascii="Arial" w:hAnsi="Arial" w:cs="Arial"/>
          <w:i/>
          <w:sz w:val="20"/>
          <w:szCs w:val="20"/>
        </w:rPr>
        <w:t>C</w:t>
      </w:r>
      <w:r w:rsidRPr="00EA494A">
        <w:rPr>
          <w:rFonts w:ascii="Arial" w:hAnsi="Arial" w:cs="Arial"/>
          <w:i/>
          <w:sz w:val="20"/>
          <w:szCs w:val="20"/>
        </w:rPr>
        <w:t>orp, 2013:5)</w:t>
      </w:r>
    </w:p>
    <w:p w14:paraId="55A81E57" w14:textId="77777777" w:rsidR="00637F36" w:rsidRPr="00637F36" w:rsidRDefault="00637F36" w:rsidP="0077222E">
      <w:pPr>
        <w:spacing w:line="276" w:lineRule="auto"/>
        <w:rPr>
          <w:rFonts w:ascii="Arial" w:hAnsi="Arial" w:cs="Arial"/>
          <w:sz w:val="20"/>
          <w:szCs w:val="20"/>
        </w:rPr>
      </w:pPr>
    </w:p>
    <w:p w14:paraId="2DA0C7A6" w14:textId="7FFD6721" w:rsidR="00637F36" w:rsidRDefault="00637F36" w:rsidP="0077222E">
      <w:pPr>
        <w:spacing w:line="276" w:lineRule="auto"/>
        <w:jc w:val="both"/>
        <w:rPr>
          <w:rFonts w:ascii="Arial" w:hAnsi="Arial" w:cs="Arial"/>
          <w:bCs/>
          <w:sz w:val="20"/>
          <w:szCs w:val="20"/>
        </w:rPr>
      </w:pPr>
      <w:r w:rsidRPr="00637F36">
        <w:rPr>
          <w:rFonts w:ascii="Arial" w:hAnsi="Arial" w:cs="Arial"/>
          <w:bCs/>
          <w:sz w:val="20"/>
          <w:szCs w:val="20"/>
        </w:rPr>
        <w:t>T</w:t>
      </w:r>
      <w:r w:rsidR="00EA494A">
        <w:rPr>
          <w:rFonts w:ascii="Arial" w:hAnsi="Arial" w:cs="Arial"/>
          <w:bCs/>
          <w:sz w:val="20"/>
          <w:szCs w:val="20"/>
        </w:rPr>
        <w:t>C</w:t>
      </w:r>
      <w:r w:rsidRPr="00637F36">
        <w:rPr>
          <w:rFonts w:ascii="Arial" w:hAnsi="Arial" w:cs="Arial"/>
          <w:bCs/>
          <w:sz w:val="20"/>
          <w:szCs w:val="20"/>
        </w:rPr>
        <w:t>orp specifically highlighted the importance of the Council’s financial strategies for increasing revenue</w:t>
      </w:r>
      <w:r w:rsidR="005C3B80">
        <w:rPr>
          <w:rFonts w:ascii="Arial" w:hAnsi="Arial" w:cs="Arial"/>
          <w:bCs/>
          <w:sz w:val="20"/>
          <w:szCs w:val="20"/>
        </w:rPr>
        <w:t xml:space="preserve"> and restricting loan funding. </w:t>
      </w:r>
      <w:r w:rsidRPr="00637F36">
        <w:rPr>
          <w:rFonts w:ascii="Arial" w:hAnsi="Arial" w:cs="Arial"/>
          <w:bCs/>
          <w:sz w:val="20"/>
          <w:szCs w:val="20"/>
        </w:rPr>
        <w:t xml:space="preserve">They made the following comments in their report: </w:t>
      </w:r>
    </w:p>
    <w:p w14:paraId="64A6782E" w14:textId="041E24DA" w:rsidR="00530749" w:rsidRDefault="00530749" w:rsidP="0077222E">
      <w:pPr>
        <w:spacing w:line="276" w:lineRule="auto"/>
        <w:ind w:left="567"/>
        <w:jc w:val="both"/>
        <w:rPr>
          <w:rFonts w:ascii="Arial" w:hAnsi="Arial" w:cs="Arial"/>
          <w:i/>
          <w:sz w:val="20"/>
          <w:szCs w:val="20"/>
        </w:rPr>
      </w:pPr>
      <w:r>
        <w:rPr>
          <w:rFonts w:ascii="Arial" w:hAnsi="Arial" w:cs="Arial"/>
          <w:i/>
          <w:sz w:val="20"/>
          <w:szCs w:val="20"/>
        </w:rPr>
        <w:t>“</w:t>
      </w:r>
      <w:r w:rsidRPr="00637F36">
        <w:rPr>
          <w:rFonts w:ascii="Arial" w:hAnsi="Arial" w:cs="Arial"/>
          <w:i/>
          <w:sz w:val="20"/>
          <w:szCs w:val="20"/>
        </w:rPr>
        <w:t>When analysing the financial capacity of the Council we believe Council will not be able to incorporate any further loan funding in addition to the already forecast loans</w:t>
      </w:r>
      <w:r>
        <w:rPr>
          <w:rFonts w:ascii="Arial" w:hAnsi="Arial" w:cs="Arial"/>
          <w:i/>
          <w:sz w:val="20"/>
          <w:szCs w:val="20"/>
        </w:rPr>
        <w:t xml:space="preserve">….. </w:t>
      </w:r>
      <w:r w:rsidRPr="00637F36">
        <w:rPr>
          <w:rFonts w:ascii="Arial" w:hAnsi="Arial" w:cs="Arial"/>
          <w:i/>
          <w:sz w:val="20"/>
          <w:szCs w:val="20"/>
        </w:rPr>
        <w:t>Council to consider seeking extensions of the SRV and Environmental Levy, which are critical to the Cou</w:t>
      </w:r>
      <w:r>
        <w:rPr>
          <w:rFonts w:ascii="Arial" w:hAnsi="Arial" w:cs="Arial"/>
          <w:i/>
          <w:sz w:val="20"/>
          <w:szCs w:val="20"/>
        </w:rPr>
        <w:t>ncil’s debt repayment abilities.”</w:t>
      </w:r>
    </w:p>
    <w:p w14:paraId="7BC621CA" w14:textId="77777777" w:rsidR="0071022D" w:rsidRDefault="0071022D" w:rsidP="0077222E">
      <w:pPr>
        <w:spacing w:line="276" w:lineRule="auto"/>
        <w:ind w:left="567"/>
        <w:jc w:val="both"/>
        <w:rPr>
          <w:rFonts w:ascii="Arial" w:hAnsi="Arial" w:cs="Arial"/>
          <w:i/>
          <w:sz w:val="20"/>
          <w:szCs w:val="20"/>
        </w:rPr>
      </w:pPr>
    </w:p>
    <w:p w14:paraId="7B0B3A0A" w14:textId="0C1C22B2" w:rsidR="0071022D" w:rsidRPr="0071022D" w:rsidRDefault="0071022D" w:rsidP="0077222E">
      <w:pPr>
        <w:spacing w:line="276" w:lineRule="auto"/>
        <w:jc w:val="both"/>
        <w:rPr>
          <w:rFonts w:ascii="Arial" w:hAnsi="Arial" w:cs="Arial"/>
          <w:sz w:val="20"/>
          <w:szCs w:val="20"/>
        </w:rPr>
      </w:pPr>
      <w:r>
        <w:rPr>
          <w:rFonts w:ascii="Arial" w:hAnsi="Arial" w:cs="Arial"/>
          <w:sz w:val="20"/>
          <w:szCs w:val="20"/>
        </w:rPr>
        <w:t>T</w:t>
      </w:r>
      <w:r w:rsidRPr="0071022D">
        <w:rPr>
          <w:rFonts w:ascii="Arial" w:hAnsi="Arial" w:cs="Arial"/>
          <w:sz w:val="20"/>
          <w:szCs w:val="20"/>
        </w:rPr>
        <w:t xml:space="preserve">he Council’s external auditors, UHY Haines Norton, </w:t>
      </w:r>
      <w:r>
        <w:rPr>
          <w:rFonts w:ascii="Arial" w:hAnsi="Arial" w:cs="Arial"/>
          <w:sz w:val="20"/>
          <w:szCs w:val="20"/>
        </w:rPr>
        <w:t xml:space="preserve">equally support the Council’s LTFP, particularly in respect of proposed action to bring its operating balance into surplus and to </w:t>
      </w:r>
      <w:r w:rsidR="00EE46CD">
        <w:rPr>
          <w:rFonts w:ascii="Arial" w:hAnsi="Arial" w:cs="Arial"/>
          <w:sz w:val="20"/>
          <w:szCs w:val="20"/>
        </w:rPr>
        <w:t>direct more funding towards the renewal and maintenance of built assets. In addition, they support the Council’s implementing its Six Strategies for Financial Sustainability.</w:t>
      </w:r>
    </w:p>
    <w:p w14:paraId="301B130E" w14:textId="11FCFF9E" w:rsidR="00474D1E" w:rsidRPr="00530749" w:rsidRDefault="00474D1E" w:rsidP="00530749">
      <w:pPr>
        <w:pStyle w:val="Heading3"/>
        <w:tabs>
          <w:tab w:val="clear" w:pos="1844"/>
          <w:tab w:val="num" w:pos="1843"/>
        </w:tabs>
        <w:ind w:left="709"/>
      </w:pPr>
      <w:r w:rsidRPr="00530749">
        <w:t>Impact of the special variation on its financial sustainability</w:t>
      </w:r>
    </w:p>
    <w:p w14:paraId="1DF32114" w14:textId="77777777" w:rsidR="00874277" w:rsidRDefault="00874277" w:rsidP="00874277">
      <w:pPr>
        <w:keepLines/>
        <w:spacing w:line="360" w:lineRule="auto"/>
        <w:jc w:val="both"/>
        <w:rPr>
          <w:rFonts w:ascii="Arial" w:hAnsi="Arial" w:cs="Arial"/>
          <w:sz w:val="20"/>
          <w:szCs w:val="20"/>
        </w:rPr>
      </w:pPr>
    </w:p>
    <w:p w14:paraId="5EAC493F" w14:textId="77777777" w:rsidR="00874277" w:rsidRDefault="00874277" w:rsidP="0077222E">
      <w:pPr>
        <w:keepLines/>
        <w:spacing w:line="276" w:lineRule="auto"/>
        <w:jc w:val="both"/>
        <w:rPr>
          <w:rFonts w:ascii="Arial" w:hAnsi="Arial" w:cs="Arial"/>
          <w:sz w:val="20"/>
          <w:szCs w:val="20"/>
        </w:rPr>
      </w:pPr>
      <w:r>
        <w:rPr>
          <w:rFonts w:ascii="Arial" w:hAnsi="Arial" w:cs="Arial"/>
          <w:sz w:val="20"/>
          <w:szCs w:val="20"/>
        </w:rPr>
        <w:t xml:space="preserve">The Council understands that if it is to achieve implementation of its Community Strategic Plan – </w:t>
      </w:r>
      <w:r w:rsidRPr="0078218B">
        <w:rPr>
          <w:rFonts w:ascii="Arial" w:hAnsi="Arial" w:cs="Arial"/>
          <w:i/>
          <w:sz w:val="20"/>
          <w:szCs w:val="20"/>
        </w:rPr>
        <w:t>Sustainable Blue Mountains 2025</w:t>
      </w:r>
      <w:r>
        <w:rPr>
          <w:rFonts w:ascii="Arial" w:hAnsi="Arial" w:cs="Arial"/>
          <w:sz w:val="20"/>
          <w:szCs w:val="20"/>
        </w:rPr>
        <w:t xml:space="preserve"> it is imperative that it stops the decline in the City’s $1 billion worth of built assets and improve its financial capacity to fund infrastructure asset renewal and maintenance (including managing risks), continue to look after the natural environment and prepare and respond to emergencies.</w:t>
      </w:r>
    </w:p>
    <w:p w14:paraId="1282D280" w14:textId="77777777" w:rsidR="00874277" w:rsidRDefault="00874277" w:rsidP="0077222E">
      <w:pPr>
        <w:keepLines/>
        <w:spacing w:line="276" w:lineRule="auto"/>
        <w:jc w:val="both"/>
        <w:rPr>
          <w:rFonts w:ascii="Arial" w:hAnsi="Arial" w:cs="Arial"/>
          <w:sz w:val="20"/>
          <w:szCs w:val="20"/>
        </w:rPr>
      </w:pPr>
    </w:p>
    <w:p w14:paraId="3FD23F75" w14:textId="77777777" w:rsidR="00874277" w:rsidRDefault="00874277" w:rsidP="0077222E">
      <w:pPr>
        <w:keepLines/>
        <w:spacing w:line="276" w:lineRule="auto"/>
        <w:jc w:val="both"/>
        <w:rPr>
          <w:rFonts w:ascii="Arial" w:hAnsi="Arial" w:cs="Arial"/>
          <w:sz w:val="20"/>
          <w:szCs w:val="20"/>
        </w:rPr>
      </w:pPr>
      <w:r>
        <w:rPr>
          <w:rFonts w:ascii="Arial" w:hAnsi="Arial" w:cs="Arial"/>
          <w:sz w:val="20"/>
          <w:szCs w:val="20"/>
        </w:rPr>
        <w:t>Further to do so, the Council realises that at a fundamental level improving its financial sustainability into the future means ensuring its available operating revenues cover operating expenditure over the long term (including expenditure funding requirements of its assets).</w:t>
      </w:r>
    </w:p>
    <w:p w14:paraId="7FD945DD" w14:textId="77777777" w:rsidR="00874277" w:rsidRDefault="00874277" w:rsidP="0077222E">
      <w:pPr>
        <w:keepLines/>
        <w:spacing w:line="276" w:lineRule="auto"/>
        <w:jc w:val="both"/>
        <w:rPr>
          <w:rFonts w:ascii="Arial" w:hAnsi="Arial" w:cs="Arial"/>
          <w:sz w:val="20"/>
          <w:szCs w:val="20"/>
        </w:rPr>
      </w:pPr>
    </w:p>
    <w:p w14:paraId="4D5A31BC" w14:textId="77777777" w:rsidR="00874277" w:rsidRDefault="00874277" w:rsidP="0077222E">
      <w:pPr>
        <w:keepLines/>
        <w:spacing w:line="276" w:lineRule="auto"/>
        <w:jc w:val="both"/>
        <w:rPr>
          <w:rFonts w:ascii="Arial" w:hAnsi="Arial" w:cs="Arial"/>
          <w:sz w:val="20"/>
          <w:szCs w:val="20"/>
        </w:rPr>
      </w:pPr>
      <w:r w:rsidRPr="0078218B">
        <w:rPr>
          <w:rFonts w:ascii="Arial" w:hAnsi="Arial" w:cs="Arial"/>
          <w:sz w:val="20"/>
          <w:szCs w:val="20"/>
        </w:rPr>
        <w:t xml:space="preserve">As detailed further below in </w:t>
      </w:r>
      <w:r w:rsidRPr="00C37577">
        <w:rPr>
          <w:rFonts w:ascii="Arial" w:hAnsi="Arial" w:cs="Arial"/>
          <w:b/>
          <w:sz w:val="20"/>
          <w:szCs w:val="20"/>
        </w:rPr>
        <w:t>Section 3.3</w:t>
      </w:r>
      <w:r w:rsidRPr="0078218B">
        <w:rPr>
          <w:rFonts w:ascii="Arial" w:hAnsi="Arial" w:cs="Arial"/>
          <w:sz w:val="20"/>
          <w:szCs w:val="20"/>
        </w:rPr>
        <w:t xml:space="preserve"> – Financial Indicators</w:t>
      </w:r>
      <w:r>
        <w:rPr>
          <w:rFonts w:ascii="Arial" w:hAnsi="Arial" w:cs="Arial"/>
          <w:sz w:val="20"/>
          <w:szCs w:val="20"/>
        </w:rPr>
        <w:t>,</w:t>
      </w:r>
      <w:r w:rsidRPr="0078218B">
        <w:rPr>
          <w:rFonts w:ascii="Arial" w:hAnsi="Arial" w:cs="Arial"/>
          <w:sz w:val="20"/>
          <w:szCs w:val="20"/>
        </w:rPr>
        <w:t xml:space="preserve"> </w:t>
      </w:r>
      <w:r>
        <w:rPr>
          <w:rFonts w:ascii="Arial" w:hAnsi="Arial" w:cs="Arial"/>
          <w:sz w:val="20"/>
          <w:szCs w:val="20"/>
        </w:rPr>
        <w:t>t</w:t>
      </w:r>
      <w:r w:rsidRPr="0078218B">
        <w:rPr>
          <w:rFonts w:ascii="Arial" w:hAnsi="Arial" w:cs="Arial"/>
          <w:sz w:val="20"/>
          <w:szCs w:val="20"/>
        </w:rPr>
        <w:t>he Council achieves a financially responsible surplus Operating Balance by 2018/19, where operating revenues are now sufficient to cover operating expenditure</w:t>
      </w:r>
      <w:r>
        <w:rPr>
          <w:rFonts w:ascii="Arial" w:hAnsi="Arial" w:cs="Arial"/>
          <w:sz w:val="20"/>
          <w:szCs w:val="20"/>
        </w:rPr>
        <w:t xml:space="preserve"> and by 2023/24 t</w:t>
      </w:r>
      <w:r w:rsidRPr="0078218B">
        <w:rPr>
          <w:rFonts w:ascii="Arial" w:hAnsi="Arial" w:cs="Arial"/>
          <w:sz w:val="20"/>
          <w:szCs w:val="20"/>
        </w:rPr>
        <w:t>he Council is in a much stronger position to address the significant infrastructure renewal and maintenance backlog</w:t>
      </w:r>
      <w:r>
        <w:rPr>
          <w:rFonts w:ascii="Arial" w:hAnsi="Arial" w:cs="Arial"/>
          <w:sz w:val="20"/>
          <w:szCs w:val="20"/>
        </w:rPr>
        <w:t xml:space="preserve"> and manage risk</w:t>
      </w:r>
      <w:r w:rsidRPr="0078218B">
        <w:rPr>
          <w:rFonts w:ascii="Arial" w:hAnsi="Arial" w:cs="Arial"/>
          <w:sz w:val="20"/>
          <w:szCs w:val="20"/>
        </w:rPr>
        <w:t>.</w:t>
      </w:r>
    </w:p>
    <w:p w14:paraId="1832DC48" w14:textId="77777777" w:rsidR="00874277" w:rsidRDefault="00874277" w:rsidP="00874277">
      <w:pPr>
        <w:keepLines/>
        <w:spacing w:line="360" w:lineRule="auto"/>
        <w:jc w:val="both"/>
        <w:rPr>
          <w:rFonts w:ascii="Arial" w:hAnsi="Arial" w:cs="Arial"/>
          <w:sz w:val="20"/>
          <w:szCs w:val="20"/>
        </w:rPr>
      </w:pPr>
    </w:p>
    <w:p w14:paraId="7239679B" w14:textId="77777777" w:rsidR="00874277" w:rsidRPr="0078218B" w:rsidRDefault="00874277" w:rsidP="0077222E">
      <w:pPr>
        <w:keepLines/>
        <w:spacing w:line="276" w:lineRule="auto"/>
        <w:jc w:val="both"/>
        <w:rPr>
          <w:rFonts w:ascii="Arial" w:hAnsi="Arial" w:cs="Arial"/>
          <w:sz w:val="20"/>
          <w:szCs w:val="20"/>
        </w:rPr>
      </w:pPr>
      <w:r w:rsidRPr="0078218B">
        <w:rPr>
          <w:rFonts w:ascii="Arial" w:hAnsi="Arial" w:cs="Arial"/>
          <w:sz w:val="20"/>
          <w:szCs w:val="20"/>
        </w:rPr>
        <w:t>The proposed special variation sets the City on a financially sustainable trajectory and this is evidenced by each of the key financial indicators, particularly the Operating Balance Ratio (excluding capital items) and the Asset Renewal Ratio.</w:t>
      </w:r>
      <w:r>
        <w:rPr>
          <w:rFonts w:ascii="Arial" w:hAnsi="Arial" w:cs="Arial"/>
          <w:sz w:val="20"/>
          <w:szCs w:val="20"/>
        </w:rPr>
        <w:t xml:space="preserve"> </w:t>
      </w:r>
      <w:r w:rsidRPr="0078218B">
        <w:rPr>
          <w:rFonts w:ascii="Arial" w:hAnsi="Arial" w:cs="Arial"/>
          <w:sz w:val="20"/>
          <w:szCs w:val="20"/>
        </w:rPr>
        <w:t xml:space="preserve">  </w:t>
      </w:r>
      <w:r>
        <w:rPr>
          <w:rFonts w:ascii="Arial" w:hAnsi="Arial" w:cs="Arial"/>
          <w:sz w:val="20"/>
          <w:szCs w:val="20"/>
        </w:rPr>
        <w:t xml:space="preserve">Under the proposed </w:t>
      </w:r>
      <w:r w:rsidRPr="00336A66">
        <w:rPr>
          <w:rFonts w:ascii="Arial" w:hAnsi="Arial" w:cs="Arial"/>
          <w:sz w:val="20"/>
          <w:szCs w:val="20"/>
        </w:rPr>
        <w:t xml:space="preserve">special variation, built assets in poor condition would </w:t>
      </w:r>
      <w:r>
        <w:rPr>
          <w:rFonts w:ascii="Arial" w:hAnsi="Arial" w:cs="Arial"/>
          <w:sz w:val="20"/>
          <w:szCs w:val="20"/>
        </w:rPr>
        <w:t>de</w:t>
      </w:r>
      <w:r w:rsidRPr="00336A66">
        <w:rPr>
          <w:rFonts w:ascii="Arial" w:hAnsi="Arial" w:cs="Arial"/>
          <w:sz w:val="20"/>
          <w:szCs w:val="20"/>
        </w:rPr>
        <w:t xml:space="preserve">crease from 21% to </w:t>
      </w:r>
      <w:r>
        <w:rPr>
          <w:rFonts w:ascii="Arial" w:hAnsi="Arial" w:cs="Arial"/>
          <w:sz w:val="20"/>
          <w:szCs w:val="20"/>
        </w:rPr>
        <w:t>1</w:t>
      </w:r>
      <w:r w:rsidRPr="00336A66">
        <w:rPr>
          <w:rFonts w:ascii="Arial" w:hAnsi="Arial" w:cs="Arial"/>
          <w:sz w:val="20"/>
          <w:szCs w:val="20"/>
        </w:rPr>
        <w:t>7% by 2024</w:t>
      </w:r>
      <w:r>
        <w:rPr>
          <w:rFonts w:ascii="Arial" w:hAnsi="Arial" w:cs="Arial"/>
          <w:sz w:val="20"/>
          <w:szCs w:val="20"/>
        </w:rPr>
        <w:t>.</w:t>
      </w:r>
    </w:p>
    <w:p w14:paraId="1F48A104" w14:textId="77777777" w:rsidR="00874277" w:rsidRPr="0078218B" w:rsidRDefault="00874277" w:rsidP="00874277">
      <w:pPr>
        <w:keepLines/>
        <w:spacing w:line="360" w:lineRule="auto"/>
        <w:jc w:val="both"/>
        <w:rPr>
          <w:rFonts w:ascii="Arial" w:hAnsi="Arial" w:cs="Arial"/>
          <w:sz w:val="20"/>
          <w:szCs w:val="20"/>
        </w:rPr>
      </w:pPr>
    </w:p>
    <w:p w14:paraId="368F8DB7" w14:textId="77777777" w:rsidR="00E45C2D" w:rsidRPr="0078218B" w:rsidRDefault="00E45C2D" w:rsidP="00E45C2D">
      <w:pPr>
        <w:spacing w:line="276" w:lineRule="auto"/>
        <w:jc w:val="both"/>
        <w:rPr>
          <w:rFonts w:ascii="Arial" w:hAnsi="Arial" w:cs="Arial"/>
          <w:bCs/>
          <w:sz w:val="20"/>
          <w:szCs w:val="20"/>
          <w:lang w:val="en-US"/>
        </w:rPr>
      </w:pPr>
      <w:r w:rsidRPr="0078218B">
        <w:rPr>
          <w:rFonts w:ascii="Arial" w:hAnsi="Arial" w:cs="Arial"/>
          <w:bCs/>
          <w:sz w:val="20"/>
          <w:szCs w:val="20"/>
          <w:lang w:val="en-US"/>
        </w:rPr>
        <w:t xml:space="preserve">Importantly, an assessment against the State Government’s </w:t>
      </w:r>
      <w:r w:rsidRPr="0078218B">
        <w:rPr>
          <w:rFonts w:ascii="Arial" w:hAnsi="Arial" w:cs="Arial"/>
          <w:bCs/>
          <w:i/>
          <w:sz w:val="20"/>
          <w:szCs w:val="20"/>
          <w:lang w:val="en-US"/>
        </w:rPr>
        <w:t>Fit for the Future</w:t>
      </w:r>
      <w:r w:rsidRPr="0078218B">
        <w:rPr>
          <w:rFonts w:ascii="Arial" w:hAnsi="Arial" w:cs="Arial"/>
          <w:bCs/>
          <w:sz w:val="20"/>
          <w:szCs w:val="20"/>
          <w:lang w:val="en-US"/>
        </w:rPr>
        <w:t xml:space="preserve"> requirements, indicates that the proposed </w:t>
      </w:r>
      <w:r>
        <w:rPr>
          <w:rFonts w:ascii="Arial" w:hAnsi="Arial" w:cs="Arial"/>
          <w:bCs/>
          <w:sz w:val="20"/>
          <w:szCs w:val="20"/>
          <w:lang w:val="en-US"/>
        </w:rPr>
        <w:t>s</w:t>
      </w:r>
      <w:r w:rsidRPr="0078218B">
        <w:rPr>
          <w:rFonts w:ascii="Arial" w:hAnsi="Arial" w:cs="Arial"/>
          <w:bCs/>
          <w:sz w:val="20"/>
          <w:szCs w:val="20"/>
          <w:lang w:val="en-US"/>
        </w:rPr>
        <w:t xml:space="preserve">pecial </w:t>
      </w:r>
      <w:r>
        <w:rPr>
          <w:rFonts w:ascii="Arial" w:hAnsi="Arial" w:cs="Arial"/>
          <w:bCs/>
          <w:sz w:val="20"/>
          <w:szCs w:val="20"/>
          <w:lang w:val="en-US"/>
        </w:rPr>
        <w:t>v</w:t>
      </w:r>
      <w:r w:rsidRPr="0078218B">
        <w:rPr>
          <w:rFonts w:ascii="Arial" w:hAnsi="Arial" w:cs="Arial"/>
          <w:bCs/>
          <w:sz w:val="20"/>
          <w:szCs w:val="20"/>
          <w:lang w:val="en-US"/>
        </w:rPr>
        <w:t xml:space="preserve">ariation best enables and positions the City of Blue Mountains to meet required “Fit for the Future” criteria within the next four to 10 years. </w:t>
      </w:r>
    </w:p>
    <w:p w14:paraId="4055EC19" w14:textId="77777777" w:rsidR="00874277" w:rsidRDefault="00874277" w:rsidP="00874277">
      <w:pPr>
        <w:keepLines/>
        <w:spacing w:line="360" w:lineRule="auto"/>
        <w:jc w:val="both"/>
        <w:rPr>
          <w:rFonts w:ascii="Arial" w:hAnsi="Arial" w:cs="Arial"/>
          <w:sz w:val="20"/>
          <w:szCs w:val="20"/>
        </w:rPr>
      </w:pPr>
    </w:p>
    <w:p w14:paraId="3B4F4629" w14:textId="246BB31F" w:rsidR="00874277" w:rsidRPr="003B5CED" w:rsidRDefault="00FA0E8D" w:rsidP="00874277">
      <w:pPr>
        <w:keepNext/>
        <w:contextualSpacing/>
        <w:jc w:val="both"/>
        <w:rPr>
          <w:rFonts w:ascii="Arial" w:hAnsi="Arial" w:cs="Arial"/>
          <w:b/>
          <w:sz w:val="18"/>
          <w:szCs w:val="18"/>
        </w:rPr>
      </w:pPr>
      <w:r w:rsidRPr="003B5CED">
        <w:rPr>
          <w:rFonts w:ascii="Arial" w:hAnsi="Arial" w:cs="Arial"/>
          <w:b/>
          <w:sz w:val="18"/>
          <w:szCs w:val="18"/>
        </w:rPr>
        <w:t>Figure 3.8</w:t>
      </w:r>
      <w:r w:rsidR="00874277" w:rsidRPr="003B5CED">
        <w:rPr>
          <w:rFonts w:ascii="Arial" w:hAnsi="Arial" w:cs="Arial"/>
          <w:b/>
          <w:sz w:val="18"/>
          <w:szCs w:val="18"/>
        </w:rPr>
        <w:t>:  Overall Condition of Built Assets</w:t>
      </w:r>
    </w:p>
    <w:p w14:paraId="6B436CE2" w14:textId="77777777" w:rsidR="00874277" w:rsidRPr="0078218B" w:rsidRDefault="00874277" w:rsidP="00874277">
      <w:pPr>
        <w:keepLines/>
        <w:spacing w:line="360" w:lineRule="auto"/>
        <w:jc w:val="both"/>
        <w:rPr>
          <w:rFonts w:ascii="Arial" w:hAnsi="Arial" w:cs="Arial"/>
          <w:sz w:val="20"/>
          <w:szCs w:val="20"/>
        </w:rPr>
      </w:pPr>
      <w:r w:rsidRPr="0078218B">
        <w:rPr>
          <w:rFonts w:ascii="Arial" w:hAnsi="Arial" w:cs="Arial"/>
          <w:b/>
          <w:bCs/>
          <w:noProof/>
          <w:color w:val="FF0000"/>
          <w:sz w:val="20"/>
          <w:szCs w:val="20"/>
        </w:rPr>
        <w:drawing>
          <wp:inline distT="0" distB="0" distL="0" distR="0" wp14:anchorId="2871F28A" wp14:editId="3672677C">
            <wp:extent cx="5393150" cy="3019425"/>
            <wp:effectExtent l="19050" t="19050" r="1714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t="15467"/>
                    <a:stretch/>
                  </pic:blipFill>
                  <pic:spPr bwMode="auto">
                    <a:xfrm>
                      <a:off x="0" y="0"/>
                      <a:ext cx="5400675" cy="3023638"/>
                    </a:xfrm>
                    <a:prstGeom prst="rect">
                      <a:avLst/>
                    </a:prstGeom>
                    <a:noFill/>
                    <a:ln w="9525" cap="flat" cmpd="sng" algn="ctr">
                      <a:solidFill>
                        <a:sysClr val="windowText" lastClr="000000">
                          <a:alpha val="77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4B4F9B7" w14:textId="77777777" w:rsidR="00874277" w:rsidRPr="0078218B" w:rsidRDefault="00874277" w:rsidP="00874277">
      <w:pPr>
        <w:spacing w:line="360" w:lineRule="auto"/>
        <w:jc w:val="both"/>
        <w:rPr>
          <w:rFonts w:ascii="Arial" w:hAnsi="Arial" w:cs="Arial"/>
          <w:bCs/>
          <w:sz w:val="21"/>
          <w:szCs w:val="21"/>
          <w:lang w:val="en-US"/>
        </w:rPr>
      </w:pPr>
    </w:p>
    <w:p w14:paraId="10FDDBAE" w14:textId="77777777" w:rsidR="00874277" w:rsidRPr="0078218B" w:rsidRDefault="00874277" w:rsidP="0077222E">
      <w:pPr>
        <w:spacing w:line="276" w:lineRule="auto"/>
        <w:jc w:val="both"/>
        <w:rPr>
          <w:rFonts w:ascii="Arial" w:hAnsi="Arial" w:cs="Arial"/>
          <w:sz w:val="20"/>
          <w:szCs w:val="20"/>
        </w:rPr>
      </w:pPr>
    </w:p>
    <w:p w14:paraId="75E166EB" w14:textId="33EFD053" w:rsidR="00874277" w:rsidRPr="0078218B" w:rsidRDefault="00874277" w:rsidP="0077222E">
      <w:pPr>
        <w:spacing w:after="60" w:line="276" w:lineRule="auto"/>
        <w:jc w:val="both"/>
        <w:rPr>
          <w:rFonts w:ascii="Arial" w:hAnsi="Arial" w:cs="Arial"/>
          <w:sz w:val="20"/>
          <w:szCs w:val="20"/>
        </w:rPr>
      </w:pPr>
      <w:r w:rsidRPr="0078218B">
        <w:rPr>
          <w:rFonts w:ascii="Arial" w:hAnsi="Arial" w:cs="Arial"/>
          <w:sz w:val="20"/>
          <w:szCs w:val="20"/>
        </w:rPr>
        <w:t xml:space="preserve">As shown in </w:t>
      </w:r>
      <w:r w:rsidR="00C37577" w:rsidRPr="00C37577">
        <w:rPr>
          <w:rFonts w:ascii="Arial" w:hAnsi="Arial" w:cs="Arial"/>
          <w:b/>
          <w:sz w:val="20"/>
          <w:szCs w:val="20"/>
        </w:rPr>
        <w:t>Figure 3.9</w:t>
      </w:r>
      <w:r w:rsidRPr="0078218B">
        <w:rPr>
          <w:rFonts w:ascii="Arial" w:hAnsi="Arial" w:cs="Arial"/>
          <w:sz w:val="20"/>
          <w:szCs w:val="20"/>
        </w:rPr>
        <w:t xml:space="preserve"> below, the special variation (noted as Scenario 1) is the only resourcing option that supports achievement of long-term financial sustainability for the Council</w:t>
      </w:r>
      <w:r>
        <w:rPr>
          <w:rFonts w:ascii="Arial" w:hAnsi="Arial" w:cs="Arial"/>
          <w:sz w:val="20"/>
          <w:szCs w:val="20"/>
        </w:rPr>
        <w:t>.</w:t>
      </w:r>
    </w:p>
    <w:p w14:paraId="633634DD" w14:textId="5BC63D7B" w:rsidR="00874277" w:rsidRPr="003B5CED" w:rsidRDefault="00874277" w:rsidP="00874277">
      <w:pPr>
        <w:spacing w:before="320"/>
        <w:ind w:left="1304" w:hanging="1304"/>
        <w:jc w:val="both"/>
        <w:rPr>
          <w:rFonts w:ascii="Arial" w:hAnsi="Arial" w:cs="Arial"/>
          <w:b/>
          <w:sz w:val="18"/>
          <w:szCs w:val="18"/>
        </w:rPr>
      </w:pPr>
      <w:r w:rsidRPr="003B5CED">
        <w:rPr>
          <w:rFonts w:ascii="Arial" w:hAnsi="Arial" w:cs="Arial"/>
          <w:b/>
          <w:noProof/>
          <w:sz w:val="18"/>
          <w:szCs w:val="18"/>
        </w:rPr>
        <w:drawing>
          <wp:anchor distT="0" distB="0" distL="114300" distR="114300" simplePos="0" relativeHeight="251863040" behindDoc="0" locked="0" layoutInCell="1" allowOverlap="1" wp14:anchorId="5DF8C13C" wp14:editId="2B19F5B0">
            <wp:simplePos x="0" y="0"/>
            <wp:positionH relativeFrom="column">
              <wp:posOffset>-5022</wp:posOffset>
            </wp:positionH>
            <wp:positionV relativeFrom="paragraph">
              <wp:posOffset>389025</wp:posOffset>
            </wp:positionV>
            <wp:extent cx="5464232" cy="2876204"/>
            <wp:effectExtent l="0" t="0" r="22225" b="19685"/>
            <wp:wrapNone/>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r w:rsidR="00FA0E8D" w:rsidRPr="003B5CED">
        <w:rPr>
          <w:rFonts w:ascii="Arial" w:hAnsi="Arial" w:cs="Arial"/>
          <w:b/>
          <w:sz w:val="18"/>
          <w:szCs w:val="18"/>
        </w:rPr>
        <w:t>Figure 3.9</w:t>
      </w:r>
      <w:r w:rsidR="003B5CED">
        <w:rPr>
          <w:rFonts w:ascii="Arial" w:hAnsi="Arial" w:cs="Arial"/>
          <w:b/>
          <w:sz w:val="18"/>
          <w:szCs w:val="18"/>
        </w:rPr>
        <w:t>:</w:t>
      </w:r>
      <w:r w:rsidRPr="003B5CED">
        <w:rPr>
          <w:rFonts w:ascii="Arial" w:hAnsi="Arial" w:cs="Arial"/>
          <w:b/>
          <w:sz w:val="18"/>
          <w:szCs w:val="18"/>
        </w:rPr>
        <w:t xml:space="preserve">  10-year projection – Operating Balance ($)</w:t>
      </w:r>
    </w:p>
    <w:p w14:paraId="3196E6EA" w14:textId="77777777" w:rsidR="00874277" w:rsidRPr="0078218B" w:rsidRDefault="00874277" w:rsidP="00874277">
      <w:pPr>
        <w:keepLines/>
        <w:spacing w:before="120" w:line="360" w:lineRule="auto"/>
        <w:jc w:val="both"/>
        <w:rPr>
          <w:rFonts w:ascii="Arial" w:hAnsi="Arial" w:cs="Arial"/>
          <w:sz w:val="16"/>
          <w:szCs w:val="16"/>
        </w:rPr>
      </w:pPr>
    </w:p>
    <w:p w14:paraId="052576AE" w14:textId="77777777" w:rsidR="00874277" w:rsidRPr="0078218B" w:rsidRDefault="00874277" w:rsidP="00874277">
      <w:pPr>
        <w:keepLines/>
        <w:spacing w:before="120" w:line="360" w:lineRule="auto"/>
        <w:jc w:val="both"/>
        <w:rPr>
          <w:rFonts w:ascii="Arial" w:hAnsi="Arial" w:cs="Arial"/>
          <w:sz w:val="20"/>
          <w:szCs w:val="20"/>
        </w:rPr>
      </w:pPr>
    </w:p>
    <w:p w14:paraId="09469242" w14:textId="77777777" w:rsidR="00874277" w:rsidRPr="0078218B" w:rsidRDefault="00874277" w:rsidP="00874277">
      <w:pPr>
        <w:keepLines/>
        <w:spacing w:before="120" w:line="360" w:lineRule="auto"/>
        <w:jc w:val="both"/>
        <w:rPr>
          <w:rFonts w:ascii="Arial" w:hAnsi="Arial" w:cs="Arial"/>
          <w:sz w:val="20"/>
          <w:szCs w:val="20"/>
        </w:rPr>
      </w:pPr>
    </w:p>
    <w:p w14:paraId="7365A56C" w14:textId="77777777" w:rsidR="00874277" w:rsidRPr="0078218B" w:rsidRDefault="00874277" w:rsidP="00874277">
      <w:pPr>
        <w:keepLines/>
        <w:spacing w:before="120" w:line="360" w:lineRule="auto"/>
        <w:jc w:val="both"/>
        <w:rPr>
          <w:rFonts w:ascii="Arial" w:hAnsi="Arial" w:cs="Arial"/>
          <w:sz w:val="20"/>
          <w:szCs w:val="20"/>
        </w:rPr>
      </w:pPr>
    </w:p>
    <w:p w14:paraId="1D8809F6" w14:textId="77777777" w:rsidR="00874277" w:rsidRPr="0078218B" w:rsidRDefault="00874277" w:rsidP="00874277">
      <w:pPr>
        <w:keepLines/>
        <w:spacing w:before="120" w:line="360" w:lineRule="auto"/>
        <w:jc w:val="both"/>
        <w:rPr>
          <w:rFonts w:ascii="Arial" w:hAnsi="Arial" w:cs="Arial"/>
          <w:sz w:val="20"/>
          <w:szCs w:val="20"/>
        </w:rPr>
      </w:pPr>
    </w:p>
    <w:p w14:paraId="06F2E13C" w14:textId="77777777" w:rsidR="00874277" w:rsidRPr="0078218B" w:rsidRDefault="00874277" w:rsidP="00874277">
      <w:pPr>
        <w:keepLines/>
        <w:spacing w:before="120" w:line="360" w:lineRule="auto"/>
        <w:jc w:val="both"/>
        <w:rPr>
          <w:rFonts w:ascii="Arial" w:hAnsi="Arial" w:cs="Arial"/>
          <w:sz w:val="20"/>
          <w:szCs w:val="20"/>
        </w:rPr>
      </w:pPr>
    </w:p>
    <w:p w14:paraId="2EB77D7C" w14:textId="77777777" w:rsidR="00874277" w:rsidRPr="0078218B" w:rsidRDefault="00874277" w:rsidP="00874277">
      <w:pPr>
        <w:keepLines/>
        <w:spacing w:before="120" w:line="360" w:lineRule="auto"/>
        <w:jc w:val="both"/>
        <w:rPr>
          <w:rFonts w:ascii="Arial" w:hAnsi="Arial" w:cs="Arial"/>
          <w:sz w:val="20"/>
          <w:szCs w:val="20"/>
        </w:rPr>
      </w:pPr>
    </w:p>
    <w:p w14:paraId="5055CAD9" w14:textId="77777777" w:rsidR="00874277" w:rsidRPr="0078218B" w:rsidRDefault="00874277" w:rsidP="00874277">
      <w:pPr>
        <w:keepLines/>
        <w:spacing w:before="120" w:line="360" w:lineRule="auto"/>
        <w:jc w:val="both"/>
        <w:rPr>
          <w:rFonts w:ascii="Arial" w:hAnsi="Arial" w:cs="Arial"/>
          <w:sz w:val="20"/>
          <w:szCs w:val="20"/>
        </w:rPr>
      </w:pPr>
    </w:p>
    <w:p w14:paraId="0653C7A5" w14:textId="77777777" w:rsidR="00874277" w:rsidRPr="0078218B" w:rsidRDefault="00874277" w:rsidP="00874277">
      <w:pPr>
        <w:keepLines/>
        <w:spacing w:before="120" w:line="360" w:lineRule="auto"/>
        <w:jc w:val="both"/>
        <w:rPr>
          <w:rFonts w:ascii="Arial" w:hAnsi="Arial" w:cs="Arial"/>
          <w:sz w:val="20"/>
          <w:szCs w:val="20"/>
        </w:rPr>
      </w:pPr>
    </w:p>
    <w:p w14:paraId="571EAC21" w14:textId="77777777" w:rsidR="00874277" w:rsidRPr="0078218B" w:rsidRDefault="00874277" w:rsidP="00874277">
      <w:pPr>
        <w:keepLines/>
        <w:spacing w:before="120" w:line="360" w:lineRule="auto"/>
        <w:jc w:val="both"/>
        <w:rPr>
          <w:rFonts w:ascii="Arial" w:hAnsi="Arial" w:cs="Arial"/>
          <w:sz w:val="20"/>
          <w:szCs w:val="20"/>
        </w:rPr>
      </w:pPr>
    </w:p>
    <w:p w14:paraId="4EBE47C0" w14:textId="77777777" w:rsidR="00874277" w:rsidRPr="0078218B" w:rsidRDefault="00874277" w:rsidP="00874277">
      <w:pPr>
        <w:jc w:val="both"/>
        <w:rPr>
          <w:rFonts w:ascii="Arial" w:hAnsi="Arial" w:cs="Arial"/>
          <w:sz w:val="20"/>
          <w:szCs w:val="20"/>
        </w:rPr>
      </w:pPr>
    </w:p>
    <w:p w14:paraId="74D381D0" w14:textId="77777777" w:rsidR="00874277" w:rsidRPr="0078218B" w:rsidRDefault="00874277" w:rsidP="00874277">
      <w:pPr>
        <w:spacing w:line="360" w:lineRule="auto"/>
        <w:jc w:val="both"/>
        <w:rPr>
          <w:rFonts w:ascii="Arial" w:hAnsi="Arial" w:cs="Arial"/>
          <w:sz w:val="20"/>
          <w:szCs w:val="20"/>
        </w:rPr>
      </w:pPr>
    </w:p>
    <w:p w14:paraId="60176A8E" w14:textId="47737BB9" w:rsidR="00FE21B7" w:rsidRDefault="00874277" w:rsidP="0077222E">
      <w:pPr>
        <w:pStyle w:val="ListBullet"/>
        <w:numPr>
          <w:ilvl w:val="0"/>
          <w:numId w:val="0"/>
        </w:numPr>
        <w:spacing w:line="276" w:lineRule="auto"/>
        <w:rPr>
          <w:rFonts w:ascii="Arial" w:eastAsiaTheme="minorHAnsi" w:hAnsi="Arial" w:cs="Arial"/>
          <w:b/>
          <w:sz w:val="20"/>
          <w:szCs w:val="20"/>
          <w:lang w:eastAsia="en-US"/>
        </w:rPr>
      </w:pPr>
      <w:r w:rsidRPr="0078218B">
        <w:rPr>
          <w:rFonts w:ascii="Arial" w:hAnsi="Arial" w:cs="Arial"/>
          <w:sz w:val="20"/>
          <w:szCs w:val="20"/>
        </w:rPr>
        <w:t xml:space="preserve">Further detail on the impacts of the special variation on </w:t>
      </w:r>
      <w:r>
        <w:rPr>
          <w:rFonts w:ascii="Arial" w:hAnsi="Arial" w:cs="Arial"/>
          <w:sz w:val="20"/>
          <w:szCs w:val="20"/>
        </w:rPr>
        <w:t>Council’s financial sustainability,</w:t>
      </w:r>
      <w:r w:rsidRPr="0078218B">
        <w:rPr>
          <w:rFonts w:ascii="Arial" w:hAnsi="Arial" w:cs="Arial"/>
          <w:sz w:val="20"/>
          <w:szCs w:val="20"/>
        </w:rPr>
        <w:t xml:space="preserve"> </w:t>
      </w:r>
      <w:r>
        <w:rPr>
          <w:rFonts w:ascii="Arial" w:hAnsi="Arial" w:cs="Arial"/>
          <w:sz w:val="20"/>
          <w:szCs w:val="20"/>
        </w:rPr>
        <w:t>are</w:t>
      </w:r>
      <w:r w:rsidRPr="0078218B">
        <w:rPr>
          <w:rFonts w:ascii="Arial" w:hAnsi="Arial" w:cs="Arial"/>
          <w:sz w:val="20"/>
          <w:szCs w:val="20"/>
        </w:rPr>
        <w:t xml:space="preserve"> included in the LTFP </w:t>
      </w:r>
      <w:r w:rsidR="00C37577">
        <w:rPr>
          <w:rFonts w:ascii="Arial" w:hAnsi="Arial" w:cs="Arial"/>
          <w:sz w:val="20"/>
          <w:szCs w:val="20"/>
        </w:rPr>
        <w:t xml:space="preserve">(see </w:t>
      </w:r>
      <w:r w:rsidR="00C37577" w:rsidRPr="00C37577">
        <w:rPr>
          <w:rFonts w:ascii="Arial" w:hAnsi="Arial" w:cs="Arial"/>
          <w:b/>
          <w:sz w:val="20"/>
          <w:szCs w:val="20"/>
        </w:rPr>
        <w:t>Attachment 3</w:t>
      </w:r>
      <w:r w:rsidR="00C37577">
        <w:rPr>
          <w:rFonts w:ascii="Arial" w:hAnsi="Arial" w:cs="Arial"/>
          <w:sz w:val="20"/>
          <w:szCs w:val="20"/>
        </w:rPr>
        <w:t xml:space="preserve">, </w:t>
      </w:r>
      <w:r w:rsidRPr="00C37577">
        <w:rPr>
          <w:rFonts w:ascii="Arial" w:hAnsi="Arial" w:cs="Arial"/>
          <w:b/>
          <w:sz w:val="20"/>
          <w:szCs w:val="20"/>
        </w:rPr>
        <w:t>Section 3.</w:t>
      </w:r>
      <w:r w:rsidR="00C37577">
        <w:rPr>
          <w:rFonts w:ascii="Arial" w:hAnsi="Arial" w:cs="Arial"/>
          <w:b/>
          <w:sz w:val="20"/>
          <w:szCs w:val="20"/>
        </w:rPr>
        <w:t>5.2</w:t>
      </w:r>
      <w:r w:rsidRPr="0078218B">
        <w:rPr>
          <w:rFonts w:ascii="Arial" w:hAnsi="Arial" w:cs="Arial"/>
          <w:sz w:val="20"/>
          <w:szCs w:val="20"/>
        </w:rPr>
        <w:t xml:space="preserve"> – Overview of Financial Scenarios</w:t>
      </w:r>
      <w:r w:rsidR="00C37577">
        <w:rPr>
          <w:rFonts w:ascii="Arial" w:hAnsi="Arial" w:cs="Arial"/>
          <w:sz w:val="20"/>
          <w:szCs w:val="20"/>
        </w:rPr>
        <w:t>)</w:t>
      </w:r>
      <w:r w:rsidRPr="0078218B">
        <w:rPr>
          <w:rFonts w:ascii="Arial" w:hAnsi="Arial" w:cs="Arial"/>
          <w:sz w:val="20"/>
          <w:szCs w:val="20"/>
        </w:rPr>
        <w:t>.</w:t>
      </w:r>
    </w:p>
    <w:p w14:paraId="18D704B5" w14:textId="77777777" w:rsidR="00576F7F" w:rsidRDefault="00576F7F" w:rsidP="00576F7F">
      <w:pPr>
        <w:pStyle w:val="Heading2"/>
      </w:pPr>
      <w:bookmarkStart w:id="33" w:name="_Toc412798919"/>
      <w:r>
        <w:t>Financial indicators</w:t>
      </w:r>
      <w:bookmarkEnd w:id="33"/>
    </w:p>
    <w:p w14:paraId="79940B58" w14:textId="77777777" w:rsidR="00E743BC" w:rsidRDefault="00D60EA5" w:rsidP="00E743BC">
      <w:pPr>
        <w:pStyle w:val="BodyText"/>
        <w:rPr>
          <w:color w:val="548DD4" w:themeColor="text2" w:themeTint="99"/>
        </w:rPr>
      </w:pPr>
      <w:r w:rsidRPr="00B27C78">
        <w:rPr>
          <w:color w:val="548DD4" w:themeColor="text2" w:themeTint="99"/>
        </w:rPr>
        <w:t xml:space="preserve">How will the special variation affect the council’s key financial indicators </w:t>
      </w:r>
      <w:r w:rsidR="00270840" w:rsidRPr="00B27C78">
        <w:rPr>
          <w:color w:val="548DD4" w:themeColor="text2" w:themeTint="99"/>
        </w:rPr>
        <w:t xml:space="preserve">(General Fund) </w:t>
      </w:r>
      <w:r w:rsidRPr="00B27C78">
        <w:rPr>
          <w:color w:val="548DD4" w:themeColor="text2" w:themeTint="99"/>
        </w:rPr>
        <w:t xml:space="preserve">over the 10-year planning period?  </w:t>
      </w:r>
      <w:r w:rsidR="008B1F5A" w:rsidRPr="00B27C78">
        <w:rPr>
          <w:color w:val="548DD4" w:themeColor="text2" w:themeTint="99"/>
        </w:rPr>
        <w:t>Please p</w:t>
      </w:r>
      <w:r w:rsidR="00576F7F" w:rsidRPr="00B27C78">
        <w:rPr>
          <w:color w:val="548DD4" w:themeColor="text2" w:themeTint="99"/>
        </w:rPr>
        <w:t xml:space="preserve">rovide </w:t>
      </w:r>
      <w:r w:rsidR="003B7983" w:rsidRPr="00B27C78">
        <w:rPr>
          <w:color w:val="548DD4" w:themeColor="text2" w:themeTint="99"/>
        </w:rPr>
        <w:t>an a</w:t>
      </w:r>
      <w:r w:rsidR="00264B88" w:rsidRPr="00B27C78">
        <w:rPr>
          <w:color w:val="548DD4" w:themeColor="text2" w:themeTint="99"/>
        </w:rPr>
        <w:t>nalysis</w:t>
      </w:r>
      <w:r w:rsidR="003B7983" w:rsidRPr="00B27C78">
        <w:rPr>
          <w:color w:val="548DD4" w:themeColor="text2" w:themeTint="99"/>
        </w:rPr>
        <w:t xml:space="preserve"> of council’s performance based</w:t>
      </w:r>
      <w:r w:rsidR="00CD3F10" w:rsidRPr="00B27C78">
        <w:rPr>
          <w:color w:val="548DD4" w:themeColor="text2" w:themeTint="99"/>
        </w:rPr>
        <w:t xml:space="preserve"> </w:t>
      </w:r>
      <w:r w:rsidR="00576F7F" w:rsidRPr="00B27C78">
        <w:rPr>
          <w:color w:val="548DD4" w:themeColor="text2" w:themeTint="99"/>
        </w:rPr>
        <w:t xml:space="preserve">on </w:t>
      </w:r>
      <w:r w:rsidR="00D63152" w:rsidRPr="00B27C78">
        <w:rPr>
          <w:color w:val="548DD4" w:themeColor="text2" w:themeTint="99"/>
        </w:rPr>
        <w:t xml:space="preserve">key indicators (current and forecast) </w:t>
      </w:r>
      <w:r w:rsidR="00576F7F" w:rsidRPr="00B27C78">
        <w:rPr>
          <w:color w:val="548DD4" w:themeColor="text2" w:themeTint="99"/>
        </w:rPr>
        <w:t xml:space="preserve">which </w:t>
      </w:r>
      <w:r w:rsidRPr="00B27C78">
        <w:rPr>
          <w:color w:val="548DD4" w:themeColor="text2" w:themeTint="99"/>
        </w:rPr>
        <w:t>may include:</w:t>
      </w:r>
    </w:p>
    <w:p w14:paraId="7B2EB1E5" w14:textId="2678F6E7" w:rsidR="00E743BC" w:rsidRDefault="00D60EA5" w:rsidP="00E743BC">
      <w:pPr>
        <w:pStyle w:val="BodyText"/>
        <w:rPr>
          <w:color w:val="548DD4" w:themeColor="text2" w:themeTint="99"/>
        </w:rPr>
      </w:pPr>
      <w:r w:rsidRPr="00B27C78">
        <w:rPr>
          <w:color w:val="548DD4" w:themeColor="text2" w:themeTint="99"/>
        </w:rPr>
        <w:t>Operating balance ratio excluding capital items (</w:t>
      </w:r>
      <w:r w:rsidR="00165AB2" w:rsidRPr="00B27C78">
        <w:rPr>
          <w:color w:val="548DD4" w:themeColor="text2" w:themeTint="99"/>
        </w:rPr>
        <w:t>i.e.</w:t>
      </w:r>
      <w:r w:rsidRPr="00B27C78">
        <w:rPr>
          <w:color w:val="548DD4" w:themeColor="text2" w:themeTint="99"/>
        </w:rPr>
        <w:t xml:space="preserve">, net operating result before </w:t>
      </w:r>
      <w:r w:rsidR="00303306" w:rsidRPr="00B27C78">
        <w:rPr>
          <w:color w:val="548DD4" w:themeColor="text2" w:themeTint="99"/>
        </w:rPr>
        <w:t>capital grants and contributions</w:t>
      </w:r>
      <w:r w:rsidRPr="00B27C78">
        <w:rPr>
          <w:color w:val="548DD4" w:themeColor="text2" w:themeTint="99"/>
        </w:rPr>
        <w:t xml:space="preserve"> as percentage of operating revenue before capital grants and contributions)</w:t>
      </w:r>
      <w:r w:rsidR="00B84AA8" w:rsidRPr="00B27C78">
        <w:rPr>
          <w:color w:val="548DD4" w:themeColor="text2" w:themeTint="99"/>
        </w:rPr>
        <w:t>.</w:t>
      </w:r>
    </w:p>
    <w:p w14:paraId="1437EB69" w14:textId="77777777" w:rsidR="00E743BC" w:rsidRDefault="00D60EA5" w:rsidP="00E743BC">
      <w:pPr>
        <w:pStyle w:val="BodyText"/>
        <w:rPr>
          <w:color w:val="548DD4" w:themeColor="text2" w:themeTint="99"/>
        </w:rPr>
      </w:pPr>
      <w:r w:rsidRPr="00B27C78">
        <w:rPr>
          <w:color w:val="548DD4" w:themeColor="text2" w:themeTint="99"/>
        </w:rPr>
        <w:t>Unrestricted current ratio (the unrestricted current assets divided by unrestricted current liabilities)</w:t>
      </w:r>
      <w:r w:rsidR="00B84AA8" w:rsidRPr="00B27C78">
        <w:rPr>
          <w:color w:val="548DD4" w:themeColor="text2" w:themeTint="99"/>
        </w:rPr>
        <w:t>.</w:t>
      </w:r>
    </w:p>
    <w:p w14:paraId="7C593F91" w14:textId="77777777" w:rsidR="00E743BC" w:rsidRDefault="00D60EA5" w:rsidP="00E743BC">
      <w:pPr>
        <w:pStyle w:val="BodyText"/>
        <w:rPr>
          <w:color w:val="548DD4" w:themeColor="text2" w:themeTint="99"/>
        </w:rPr>
      </w:pPr>
      <w:r w:rsidRPr="00B27C78">
        <w:rPr>
          <w:color w:val="548DD4" w:themeColor="text2" w:themeTint="99"/>
        </w:rPr>
        <w:t>Rates and annual charges ratio (rates and annual charges divided by operating revenue)</w:t>
      </w:r>
      <w:r w:rsidR="00B84AA8" w:rsidRPr="00B27C78">
        <w:rPr>
          <w:color w:val="548DD4" w:themeColor="text2" w:themeTint="99"/>
        </w:rPr>
        <w:t>.</w:t>
      </w:r>
    </w:p>
    <w:p w14:paraId="542192B5" w14:textId="77777777" w:rsidR="00E743BC" w:rsidRDefault="00D60EA5" w:rsidP="00E743BC">
      <w:pPr>
        <w:pStyle w:val="BodyText"/>
        <w:rPr>
          <w:color w:val="548DD4" w:themeColor="text2" w:themeTint="99"/>
        </w:rPr>
      </w:pPr>
      <w:r w:rsidRPr="00B27C78">
        <w:rPr>
          <w:color w:val="548DD4" w:themeColor="text2" w:themeTint="99"/>
        </w:rPr>
        <w:t>Debt service ratio (</w:t>
      </w:r>
      <w:r w:rsidR="00A53DDC" w:rsidRPr="00B27C78">
        <w:rPr>
          <w:color w:val="548DD4" w:themeColor="text2" w:themeTint="99"/>
        </w:rPr>
        <w:t>principal and interest</w:t>
      </w:r>
      <w:r w:rsidRPr="00B27C78">
        <w:rPr>
          <w:color w:val="548DD4" w:themeColor="text2" w:themeTint="99"/>
        </w:rPr>
        <w:t xml:space="preserve"> debt service cost</w:t>
      </w:r>
      <w:r w:rsidR="00A53DDC" w:rsidRPr="00B27C78">
        <w:rPr>
          <w:color w:val="548DD4" w:themeColor="text2" w:themeTint="99"/>
        </w:rPr>
        <w:t>s</w:t>
      </w:r>
      <w:r w:rsidRPr="00B27C78">
        <w:rPr>
          <w:color w:val="548DD4" w:themeColor="text2" w:themeTint="99"/>
        </w:rPr>
        <w:t xml:space="preserve"> divided by </w:t>
      </w:r>
      <w:r w:rsidR="00764D89" w:rsidRPr="00B27C78">
        <w:rPr>
          <w:color w:val="548DD4" w:themeColor="text2" w:themeTint="99"/>
        </w:rPr>
        <w:t>operating revenue excluding capital grants and contributions</w:t>
      </w:r>
      <w:r w:rsidRPr="00B27C78">
        <w:rPr>
          <w:color w:val="548DD4" w:themeColor="text2" w:themeTint="99"/>
        </w:rPr>
        <w:t>)</w:t>
      </w:r>
      <w:r w:rsidR="00B84AA8" w:rsidRPr="00B27C78">
        <w:rPr>
          <w:color w:val="548DD4" w:themeColor="text2" w:themeTint="99"/>
        </w:rPr>
        <w:t>.</w:t>
      </w:r>
    </w:p>
    <w:p w14:paraId="06213A0C" w14:textId="77777777" w:rsidR="00E743BC" w:rsidRDefault="00D60EA5" w:rsidP="00E743BC">
      <w:pPr>
        <w:pStyle w:val="BodyText"/>
        <w:rPr>
          <w:color w:val="548DD4" w:themeColor="text2" w:themeTint="99"/>
        </w:rPr>
      </w:pPr>
      <w:r w:rsidRPr="00B27C78">
        <w:rPr>
          <w:color w:val="548DD4" w:themeColor="text2" w:themeTint="99"/>
        </w:rPr>
        <w:t xml:space="preserve">Broad liabilities ratio (total debt plus cost to clear infrastructure backlogs </w:t>
      </w:r>
      <w:r w:rsidR="00A53DDC" w:rsidRPr="00B27C78">
        <w:rPr>
          <w:color w:val="548DD4" w:themeColor="text2" w:themeTint="99"/>
        </w:rPr>
        <w:t xml:space="preserve">as per </w:t>
      </w:r>
      <w:r w:rsidRPr="00B27C78">
        <w:rPr>
          <w:color w:val="548DD4" w:themeColor="text2" w:themeTint="99"/>
        </w:rPr>
        <w:t>Special Schedule 7 divided by operating revenue)</w:t>
      </w:r>
      <w:r w:rsidR="00B84AA8" w:rsidRPr="00B27C78">
        <w:rPr>
          <w:color w:val="548DD4" w:themeColor="text2" w:themeTint="99"/>
        </w:rPr>
        <w:t>.</w:t>
      </w:r>
    </w:p>
    <w:p w14:paraId="18D704BC" w14:textId="43BC9282" w:rsidR="00576F7F" w:rsidRDefault="00D60EA5" w:rsidP="00E743BC">
      <w:pPr>
        <w:pStyle w:val="BodyText"/>
        <w:rPr>
          <w:color w:val="548DD4" w:themeColor="text2" w:themeTint="99"/>
        </w:rPr>
      </w:pPr>
      <w:r w:rsidRPr="00B27C78">
        <w:rPr>
          <w:color w:val="548DD4" w:themeColor="text2" w:themeTint="99"/>
        </w:rPr>
        <w:t>Asset renewal ratio (asset renewals expenditure divided by depreciation, amortisation and impairment expenses).</w:t>
      </w:r>
    </w:p>
    <w:p w14:paraId="7808B8BD" w14:textId="0AEC3FFA" w:rsidR="008A6D6D" w:rsidRPr="00F37330" w:rsidRDefault="008A6D6D" w:rsidP="00E45C2D">
      <w:pPr>
        <w:keepLines/>
        <w:spacing w:line="276" w:lineRule="auto"/>
        <w:jc w:val="both"/>
        <w:rPr>
          <w:rFonts w:ascii="Arial" w:hAnsi="Arial" w:cs="Arial"/>
          <w:sz w:val="20"/>
          <w:szCs w:val="20"/>
        </w:rPr>
      </w:pPr>
      <w:r w:rsidRPr="00F37330">
        <w:rPr>
          <w:rFonts w:ascii="Arial" w:hAnsi="Arial" w:cs="Arial"/>
          <w:sz w:val="20"/>
          <w:szCs w:val="20"/>
        </w:rPr>
        <w:t xml:space="preserve">This section discusses the impact of the proposed special variation and the no special variation scenario on the Council’s key financial performance measures over the 10 year planning period (2014-2024) and reflects the analysis in </w:t>
      </w:r>
      <w:r w:rsidRPr="00DD7471">
        <w:rPr>
          <w:rFonts w:ascii="Arial" w:hAnsi="Arial" w:cs="Arial"/>
          <w:b/>
          <w:sz w:val="20"/>
          <w:szCs w:val="20"/>
        </w:rPr>
        <w:t>Section 3.7</w:t>
      </w:r>
      <w:r w:rsidRPr="00F37330">
        <w:rPr>
          <w:rFonts w:ascii="Arial" w:hAnsi="Arial" w:cs="Arial"/>
          <w:sz w:val="20"/>
          <w:szCs w:val="20"/>
        </w:rPr>
        <w:t xml:space="preserve"> of the Long Term Financial Plan (see </w:t>
      </w:r>
      <w:r w:rsidRPr="00DD7471">
        <w:rPr>
          <w:rFonts w:ascii="Arial" w:hAnsi="Arial" w:cs="Arial"/>
          <w:b/>
          <w:sz w:val="20"/>
          <w:szCs w:val="20"/>
        </w:rPr>
        <w:t>Attachment 3</w:t>
      </w:r>
      <w:r w:rsidRPr="00F37330">
        <w:rPr>
          <w:rFonts w:ascii="Arial" w:hAnsi="Arial" w:cs="Arial"/>
          <w:sz w:val="20"/>
          <w:szCs w:val="20"/>
        </w:rPr>
        <w:t>).</w:t>
      </w:r>
    </w:p>
    <w:p w14:paraId="01A42D6A" w14:textId="77777777" w:rsidR="008A6D6D" w:rsidRPr="00F37330" w:rsidRDefault="008A6D6D" w:rsidP="00E45C2D">
      <w:pPr>
        <w:keepLines/>
        <w:spacing w:line="276" w:lineRule="auto"/>
        <w:jc w:val="both"/>
        <w:rPr>
          <w:rFonts w:ascii="Arial" w:hAnsi="Arial" w:cs="Arial"/>
          <w:sz w:val="20"/>
          <w:szCs w:val="20"/>
        </w:rPr>
      </w:pPr>
    </w:p>
    <w:p w14:paraId="126EEDA3" w14:textId="245F07D4" w:rsidR="008A6D6D" w:rsidRPr="00DE1802" w:rsidRDefault="008A6D6D" w:rsidP="00E45C2D">
      <w:pPr>
        <w:keepLines/>
        <w:spacing w:line="276" w:lineRule="auto"/>
        <w:jc w:val="both"/>
        <w:rPr>
          <w:rFonts w:ascii="Arial" w:hAnsi="Arial" w:cs="Arial"/>
          <w:sz w:val="20"/>
          <w:szCs w:val="20"/>
        </w:rPr>
      </w:pPr>
      <w:r w:rsidRPr="00DE1802">
        <w:rPr>
          <w:rFonts w:ascii="Arial" w:hAnsi="Arial" w:cs="Arial"/>
          <w:sz w:val="20"/>
          <w:szCs w:val="20"/>
        </w:rPr>
        <w:t xml:space="preserve">The proposed special variation sets the City on a financially sustainable trajectory and this is evidenced by each of the key financial indicators, particularly the Operating Balance Ratio (excluding capital items) and the Asset Renewal Ratio.  </w:t>
      </w:r>
    </w:p>
    <w:p w14:paraId="449F4D8C" w14:textId="77777777" w:rsidR="008A6D6D" w:rsidRPr="00F37330" w:rsidRDefault="008A6D6D" w:rsidP="00E45C2D">
      <w:pPr>
        <w:keepLines/>
        <w:spacing w:line="276" w:lineRule="auto"/>
        <w:jc w:val="both"/>
        <w:rPr>
          <w:rFonts w:ascii="Arial" w:hAnsi="Arial" w:cs="Arial"/>
          <w:sz w:val="20"/>
          <w:szCs w:val="20"/>
        </w:rPr>
      </w:pPr>
    </w:p>
    <w:p w14:paraId="2E6ED634" w14:textId="77777777" w:rsidR="008A6D6D" w:rsidRPr="00F37330" w:rsidRDefault="008A6D6D" w:rsidP="00E45C2D">
      <w:pPr>
        <w:keepLines/>
        <w:spacing w:line="276" w:lineRule="auto"/>
        <w:jc w:val="both"/>
        <w:rPr>
          <w:rFonts w:ascii="Arial" w:hAnsi="Arial" w:cs="Arial"/>
          <w:sz w:val="20"/>
          <w:szCs w:val="20"/>
        </w:rPr>
      </w:pPr>
      <w:r w:rsidRPr="00F37330">
        <w:rPr>
          <w:rFonts w:ascii="Arial" w:hAnsi="Arial" w:cs="Arial"/>
          <w:sz w:val="20"/>
          <w:szCs w:val="20"/>
        </w:rPr>
        <w:t>The Council achieves a financially responsible surplus Operating Balance by 2018/19, where operating revenues are now sufficient to cover operating expenditure. The Council is in a much stronger position to address the significant infrastructure renewal and maintenance backlog, reverse the decline in the City’s built assets, improve capacity to prepare and respond to bushfire and other emergencies and continue protecting the environment.</w:t>
      </w:r>
    </w:p>
    <w:p w14:paraId="6D1C5F0E" w14:textId="77777777" w:rsidR="008A6D6D" w:rsidRPr="00F37330" w:rsidRDefault="008A6D6D" w:rsidP="00E45C2D">
      <w:pPr>
        <w:spacing w:line="276" w:lineRule="auto"/>
        <w:jc w:val="both"/>
        <w:rPr>
          <w:rFonts w:ascii="Arial" w:hAnsi="Arial" w:cs="Arial"/>
          <w:bCs/>
          <w:sz w:val="21"/>
          <w:szCs w:val="21"/>
          <w:lang w:val="en-US"/>
        </w:rPr>
      </w:pPr>
    </w:p>
    <w:p w14:paraId="747797F1" w14:textId="6462B2E0" w:rsidR="008A6D6D" w:rsidRPr="00DE1802" w:rsidRDefault="008A6D6D" w:rsidP="00E45C2D">
      <w:pPr>
        <w:spacing w:line="276" w:lineRule="auto"/>
        <w:jc w:val="both"/>
        <w:rPr>
          <w:rFonts w:ascii="Arial" w:hAnsi="Arial" w:cs="Arial"/>
          <w:bCs/>
          <w:sz w:val="20"/>
          <w:szCs w:val="20"/>
          <w:lang w:val="en-US"/>
        </w:rPr>
      </w:pPr>
      <w:r w:rsidRPr="00DE1802">
        <w:rPr>
          <w:rFonts w:ascii="Arial" w:hAnsi="Arial" w:cs="Arial"/>
          <w:bCs/>
          <w:sz w:val="20"/>
          <w:szCs w:val="20"/>
          <w:lang w:val="en-US"/>
        </w:rPr>
        <w:t xml:space="preserve">Importantly, an assessment against the State Government’s </w:t>
      </w:r>
      <w:r w:rsidRPr="00DD7471">
        <w:rPr>
          <w:rFonts w:ascii="Arial" w:hAnsi="Arial" w:cs="Arial"/>
          <w:bCs/>
          <w:sz w:val="20"/>
          <w:szCs w:val="20"/>
          <w:lang w:val="en-US"/>
        </w:rPr>
        <w:t>Fit for the Future</w:t>
      </w:r>
      <w:r w:rsidRPr="00DE1802">
        <w:rPr>
          <w:rFonts w:ascii="Arial" w:hAnsi="Arial" w:cs="Arial"/>
          <w:bCs/>
          <w:sz w:val="20"/>
          <w:szCs w:val="20"/>
          <w:lang w:val="en-US"/>
        </w:rPr>
        <w:t xml:space="preserve"> requirements, indicates that the proposed Special Variation best enables and positions the City of Blue Mountains to meet required</w:t>
      </w:r>
      <w:r w:rsidR="00DD7471">
        <w:rPr>
          <w:rFonts w:ascii="Arial" w:hAnsi="Arial" w:cs="Arial"/>
          <w:bCs/>
          <w:sz w:val="20"/>
          <w:szCs w:val="20"/>
          <w:lang w:val="en-US"/>
        </w:rPr>
        <w:t xml:space="preserve"> </w:t>
      </w:r>
      <w:r w:rsidRPr="00DE1802">
        <w:rPr>
          <w:rFonts w:ascii="Arial" w:hAnsi="Arial" w:cs="Arial"/>
          <w:bCs/>
          <w:sz w:val="20"/>
          <w:szCs w:val="20"/>
          <w:lang w:val="en-US"/>
        </w:rPr>
        <w:t xml:space="preserve">Fit for the Future criteria within the next four to 10 years. </w:t>
      </w:r>
    </w:p>
    <w:p w14:paraId="2B0CDC22" w14:textId="77777777" w:rsidR="008A6D6D" w:rsidRPr="00DE1802" w:rsidRDefault="008A6D6D" w:rsidP="00E45C2D">
      <w:pPr>
        <w:spacing w:line="276" w:lineRule="auto"/>
        <w:jc w:val="both"/>
        <w:rPr>
          <w:rFonts w:ascii="Arial" w:hAnsi="Arial" w:cs="Arial"/>
          <w:sz w:val="20"/>
          <w:szCs w:val="20"/>
        </w:rPr>
      </w:pPr>
    </w:p>
    <w:p w14:paraId="0EDE3D94" w14:textId="7EED090A" w:rsidR="00A61A70" w:rsidRPr="00E34476" w:rsidRDefault="008A6D6D" w:rsidP="00E45C2D">
      <w:pPr>
        <w:spacing w:after="60" w:line="276" w:lineRule="auto"/>
        <w:jc w:val="both"/>
        <w:rPr>
          <w:rFonts w:ascii="Arial" w:hAnsi="Arial" w:cs="Arial"/>
          <w:sz w:val="20"/>
          <w:szCs w:val="20"/>
        </w:rPr>
      </w:pPr>
      <w:r w:rsidRPr="00DE1802">
        <w:rPr>
          <w:rFonts w:ascii="Arial" w:hAnsi="Arial" w:cs="Arial"/>
          <w:sz w:val="20"/>
          <w:szCs w:val="20"/>
        </w:rPr>
        <w:t>However, the Council’s financial indicators also highlight that even with the special variation, the Council will over a 10 to 20 year period, still need to continue to invest in smart initiatives that reduce long term operational costs and asset whole of lifecycle costs (given costs are projected to continue rising faster than rate peg over the longer term).</w:t>
      </w:r>
      <w:r w:rsidR="00A61A70" w:rsidRPr="00A61A70">
        <w:rPr>
          <w:rFonts w:ascii="Arial" w:hAnsi="Arial" w:cs="Arial"/>
          <w:sz w:val="20"/>
          <w:szCs w:val="20"/>
        </w:rPr>
        <w:t xml:space="preserve"> </w:t>
      </w:r>
      <w:r w:rsidR="00A61A70" w:rsidRPr="00E34476">
        <w:rPr>
          <w:rFonts w:ascii="Arial" w:hAnsi="Arial" w:cs="Arial"/>
          <w:sz w:val="20"/>
          <w:szCs w:val="20"/>
        </w:rPr>
        <w:t xml:space="preserve">It signals the need for the Council to continue its focus on implementing all </w:t>
      </w:r>
      <w:r w:rsidR="00A61A70">
        <w:rPr>
          <w:rFonts w:ascii="Arial" w:hAnsi="Arial" w:cs="Arial"/>
          <w:sz w:val="20"/>
          <w:szCs w:val="20"/>
        </w:rPr>
        <w:t>of the S</w:t>
      </w:r>
      <w:r w:rsidR="00A61A70" w:rsidRPr="00E34476">
        <w:rPr>
          <w:rFonts w:ascii="Arial" w:hAnsi="Arial" w:cs="Arial"/>
          <w:sz w:val="20"/>
          <w:szCs w:val="20"/>
        </w:rPr>
        <w:t xml:space="preserve">ix </w:t>
      </w:r>
      <w:r w:rsidR="00A61A70">
        <w:rPr>
          <w:rFonts w:ascii="Arial" w:hAnsi="Arial" w:cs="Arial"/>
          <w:sz w:val="20"/>
          <w:szCs w:val="20"/>
        </w:rPr>
        <w:t>Point Financial S</w:t>
      </w:r>
      <w:r w:rsidR="00A61A70" w:rsidRPr="00E34476">
        <w:rPr>
          <w:rFonts w:ascii="Arial" w:hAnsi="Arial" w:cs="Arial"/>
          <w:sz w:val="20"/>
          <w:szCs w:val="20"/>
        </w:rPr>
        <w:t xml:space="preserve">trategies </w:t>
      </w:r>
      <w:r w:rsidR="00A61A70">
        <w:rPr>
          <w:rFonts w:ascii="Arial" w:hAnsi="Arial" w:cs="Arial"/>
          <w:sz w:val="20"/>
          <w:szCs w:val="20"/>
        </w:rPr>
        <w:t>for Financial Sustainability over the longer term</w:t>
      </w:r>
      <w:r w:rsidR="00A61A70" w:rsidRPr="00E34476">
        <w:rPr>
          <w:rFonts w:ascii="Arial" w:hAnsi="Arial" w:cs="Arial"/>
          <w:sz w:val="20"/>
          <w:szCs w:val="20"/>
        </w:rPr>
        <w:t>.</w:t>
      </w:r>
    </w:p>
    <w:p w14:paraId="069A370D" w14:textId="77777777" w:rsidR="008A6D6D" w:rsidRPr="00DE1802" w:rsidRDefault="008A6D6D" w:rsidP="00E45C2D">
      <w:pPr>
        <w:keepLines/>
        <w:spacing w:line="276" w:lineRule="auto"/>
        <w:jc w:val="both"/>
        <w:rPr>
          <w:rFonts w:ascii="Arial" w:hAnsi="Arial" w:cs="Arial"/>
          <w:sz w:val="20"/>
          <w:szCs w:val="20"/>
        </w:rPr>
      </w:pPr>
    </w:p>
    <w:p w14:paraId="653E9BCD" w14:textId="7EADC2C2" w:rsidR="008A6D6D" w:rsidRPr="00DE1802" w:rsidRDefault="008A6D6D" w:rsidP="00E45C2D">
      <w:pPr>
        <w:keepLines/>
        <w:spacing w:line="276" w:lineRule="auto"/>
        <w:jc w:val="both"/>
        <w:rPr>
          <w:rFonts w:ascii="Arial" w:hAnsi="Arial" w:cs="Arial"/>
          <w:sz w:val="20"/>
          <w:szCs w:val="20"/>
        </w:rPr>
      </w:pPr>
      <w:r w:rsidRPr="00DE1802">
        <w:rPr>
          <w:rFonts w:ascii="Arial" w:hAnsi="Arial" w:cs="Arial"/>
          <w:sz w:val="20"/>
          <w:szCs w:val="20"/>
        </w:rPr>
        <w:t>Under</w:t>
      </w:r>
      <w:r w:rsidR="00162D6E" w:rsidRPr="00DE1802">
        <w:rPr>
          <w:rFonts w:ascii="Arial" w:hAnsi="Arial" w:cs="Arial"/>
          <w:sz w:val="20"/>
          <w:szCs w:val="20"/>
        </w:rPr>
        <w:t xml:space="preserve"> n</w:t>
      </w:r>
      <w:r w:rsidRPr="00DE1802">
        <w:rPr>
          <w:rFonts w:ascii="Arial" w:hAnsi="Arial" w:cs="Arial"/>
          <w:sz w:val="20"/>
          <w:szCs w:val="20"/>
        </w:rPr>
        <w:t>o special variation, the financial measures indicate an unsustainable financial position for the Council over the 10 years of the LTFP.  The Operating Balance remains in deficit resulting in the Council being unable to satisfactorily fund infrastructure renewal and maintenance risks, nor improve capacity to prepare and respond to bushfire and other emergencies or continue to protect the environment. The underfunding in th</w:t>
      </w:r>
      <w:r w:rsidR="00162D6E" w:rsidRPr="00DE1802">
        <w:rPr>
          <w:rFonts w:ascii="Arial" w:hAnsi="Arial" w:cs="Arial"/>
          <w:sz w:val="20"/>
          <w:szCs w:val="20"/>
        </w:rPr>
        <w:t>is scenario</w:t>
      </w:r>
      <w:r w:rsidRPr="00DE1802">
        <w:rPr>
          <w:rFonts w:ascii="Arial" w:hAnsi="Arial" w:cs="Arial"/>
          <w:sz w:val="20"/>
          <w:szCs w:val="20"/>
        </w:rPr>
        <w:t xml:space="preserve">, is reflected in the Council’s Asset Renewal Ratio at 33% by 2024 which would mean significant risk management by the Council – including closure and removal of unsafe facilities and infrastructure. </w:t>
      </w:r>
    </w:p>
    <w:p w14:paraId="2DEBFC83" w14:textId="287C05CE" w:rsidR="008A6D6D" w:rsidRDefault="00F37330" w:rsidP="00E45C2D">
      <w:pPr>
        <w:keepLines/>
        <w:spacing w:line="276" w:lineRule="auto"/>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29248" behindDoc="0" locked="0" layoutInCell="1" allowOverlap="1" wp14:anchorId="38F7863B" wp14:editId="16238CC1">
                <wp:simplePos x="0" y="0"/>
                <wp:positionH relativeFrom="column">
                  <wp:posOffset>90297</wp:posOffset>
                </wp:positionH>
                <wp:positionV relativeFrom="paragraph">
                  <wp:posOffset>159259</wp:posOffset>
                </wp:positionV>
                <wp:extent cx="5337545" cy="2566416"/>
                <wp:effectExtent l="0" t="0" r="15875" b="24765"/>
                <wp:wrapNone/>
                <wp:docPr id="24" name="Text Box 24"/>
                <wp:cNvGraphicFramePr/>
                <a:graphic xmlns:a="http://schemas.openxmlformats.org/drawingml/2006/main">
                  <a:graphicData uri="http://schemas.microsoft.com/office/word/2010/wordprocessingShape">
                    <wps:wsp>
                      <wps:cNvSpPr txBox="1"/>
                      <wps:spPr>
                        <a:xfrm>
                          <a:off x="0" y="0"/>
                          <a:ext cx="5337545" cy="25664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5ADB63" w14:textId="6C024601" w:rsidR="005864FD" w:rsidRPr="00F37330" w:rsidRDefault="005864FD" w:rsidP="00E45C2D">
                            <w:pPr>
                              <w:spacing w:after="60" w:line="276" w:lineRule="auto"/>
                              <w:jc w:val="both"/>
                              <w:rPr>
                                <w:rFonts w:ascii="Arial" w:hAnsi="Arial" w:cs="Arial"/>
                                <w:i/>
                                <w:sz w:val="19"/>
                                <w:szCs w:val="19"/>
                              </w:rPr>
                            </w:pPr>
                            <w:r>
                              <w:rPr>
                                <w:rFonts w:ascii="Arial" w:hAnsi="Arial" w:cs="Arial"/>
                                <w:i/>
                                <w:sz w:val="20"/>
                                <w:szCs w:val="20"/>
                              </w:rPr>
                              <w:t>‘</w:t>
                            </w:r>
                            <w:r w:rsidRPr="00F37330">
                              <w:rPr>
                                <w:rFonts w:ascii="Arial" w:hAnsi="Arial" w:cs="Arial"/>
                                <w:b/>
                                <w:i/>
                                <w:sz w:val="19"/>
                                <w:szCs w:val="19"/>
                              </w:rPr>
                              <w:t>Option 2’</w:t>
                            </w:r>
                          </w:p>
                          <w:p w14:paraId="089F0DA8" w14:textId="0DED2FB8" w:rsidR="005864FD" w:rsidRPr="00F37330" w:rsidRDefault="005864FD" w:rsidP="00E45C2D">
                            <w:pPr>
                              <w:spacing w:line="276" w:lineRule="auto"/>
                              <w:jc w:val="both"/>
                              <w:rPr>
                                <w:rFonts w:ascii="Arial" w:hAnsi="Arial" w:cs="Arial"/>
                                <w:bCs/>
                                <w:sz w:val="19"/>
                                <w:szCs w:val="19"/>
                              </w:rPr>
                            </w:pPr>
                            <w:r w:rsidRPr="00F37330">
                              <w:rPr>
                                <w:rFonts w:ascii="Arial" w:hAnsi="Arial" w:cs="Arial"/>
                                <w:bCs/>
                                <w:sz w:val="19"/>
                                <w:szCs w:val="19"/>
                              </w:rPr>
                              <w:t xml:space="preserve">The Council engaged the community on three possible options for </w:t>
                            </w:r>
                            <w:r w:rsidRPr="00F37330">
                              <w:rPr>
                                <w:rFonts w:ascii="Arial" w:hAnsi="Arial" w:cs="Arial"/>
                                <w:bCs/>
                                <w:i/>
                                <w:sz w:val="19"/>
                                <w:szCs w:val="19"/>
                              </w:rPr>
                              <w:t>Resourcing Our Future</w:t>
                            </w:r>
                            <w:r>
                              <w:rPr>
                                <w:rFonts w:ascii="Arial" w:hAnsi="Arial" w:cs="Arial"/>
                                <w:bCs/>
                                <w:i/>
                                <w:sz w:val="19"/>
                                <w:szCs w:val="19"/>
                              </w:rPr>
                              <w:t xml:space="preserve"> of </w:t>
                            </w:r>
                            <w:r w:rsidRPr="00F37330">
                              <w:rPr>
                                <w:rFonts w:ascii="Arial" w:hAnsi="Arial" w:cs="Arial"/>
                                <w:bCs/>
                                <w:sz w:val="19"/>
                                <w:szCs w:val="19"/>
                              </w:rPr>
                              <w:t>which</w:t>
                            </w:r>
                            <w:r>
                              <w:rPr>
                                <w:rFonts w:ascii="Arial" w:hAnsi="Arial" w:cs="Arial"/>
                                <w:bCs/>
                                <w:i/>
                                <w:sz w:val="19"/>
                                <w:szCs w:val="19"/>
                              </w:rPr>
                              <w:t xml:space="preserve"> </w:t>
                            </w:r>
                            <w:r w:rsidRPr="00F37330">
                              <w:rPr>
                                <w:rFonts w:ascii="Arial" w:hAnsi="Arial" w:cs="Arial"/>
                                <w:bCs/>
                                <w:sz w:val="19"/>
                                <w:szCs w:val="19"/>
                              </w:rPr>
                              <w:t xml:space="preserve">Options 1 and 2 included a special rate variation. Each option balanced service levels to available projected funding over the next 10 years.  Option 2 is reflected in the Council’s publicly exhibited LTFP, however is not shown in this application as the Council resolved to submit an IPART application </w:t>
                            </w:r>
                            <w:r>
                              <w:rPr>
                                <w:rFonts w:ascii="Arial" w:hAnsi="Arial" w:cs="Arial"/>
                                <w:bCs/>
                                <w:sz w:val="19"/>
                                <w:szCs w:val="19"/>
                              </w:rPr>
                              <w:t xml:space="preserve">based on </w:t>
                            </w:r>
                            <w:r w:rsidRPr="00F37330">
                              <w:rPr>
                                <w:rFonts w:ascii="Arial" w:hAnsi="Arial" w:cs="Arial"/>
                                <w:bCs/>
                                <w:sz w:val="19"/>
                                <w:szCs w:val="19"/>
                              </w:rPr>
                              <w:t>Option 1.</w:t>
                            </w:r>
                          </w:p>
                          <w:p w14:paraId="58DB8B58" w14:textId="77777777" w:rsidR="005864FD" w:rsidRPr="00F37330" w:rsidRDefault="005864FD" w:rsidP="00E45C2D">
                            <w:pPr>
                              <w:spacing w:after="60" w:line="276" w:lineRule="auto"/>
                              <w:jc w:val="both"/>
                              <w:rPr>
                                <w:rFonts w:ascii="Arial" w:hAnsi="Arial" w:cs="Arial"/>
                                <w:bCs/>
                                <w:sz w:val="19"/>
                                <w:szCs w:val="19"/>
                              </w:rPr>
                            </w:pPr>
                          </w:p>
                          <w:p w14:paraId="797D9A56" w14:textId="7B873B0E" w:rsidR="005864FD" w:rsidRPr="00F37330" w:rsidRDefault="005864FD" w:rsidP="00E45C2D">
                            <w:pPr>
                              <w:spacing w:after="60" w:line="276" w:lineRule="auto"/>
                              <w:jc w:val="both"/>
                              <w:rPr>
                                <w:rFonts w:ascii="Arial" w:hAnsi="Arial" w:cs="Arial"/>
                                <w:sz w:val="19"/>
                                <w:szCs w:val="19"/>
                              </w:rPr>
                            </w:pPr>
                            <w:r w:rsidRPr="00F37330">
                              <w:rPr>
                                <w:rFonts w:ascii="Arial" w:hAnsi="Arial" w:cs="Arial"/>
                                <w:bCs/>
                                <w:sz w:val="19"/>
                                <w:szCs w:val="19"/>
                              </w:rPr>
                              <w:t>Importantly, Option 2 is not financially sustainable as a deficit Operating Balance measure</w:t>
                            </w:r>
                            <w:r>
                              <w:rPr>
                                <w:rFonts w:ascii="Arial" w:hAnsi="Arial" w:cs="Arial"/>
                                <w:bCs/>
                                <w:sz w:val="19"/>
                                <w:szCs w:val="19"/>
                              </w:rPr>
                              <w:t>,</w:t>
                            </w:r>
                            <w:r w:rsidRPr="00F37330">
                              <w:rPr>
                                <w:rFonts w:ascii="Arial" w:hAnsi="Arial" w:cs="Arial"/>
                                <w:bCs/>
                                <w:sz w:val="19"/>
                                <w:szCs w:val="19"/>
                              </w:rPr>
                              <w:t xml:space="preserve"> projected at over $3 million by 2023/24 (see LTFP Section 3.6 Measuring financial sustainability)</w:t>
                            </w:r>
                            <w:r>
                              <w:rPr>
                                <w:rFonts w:ascii="Arial" w:hAnsi="Arial" w:cs="Arial"/>
                                <w:bCs/>
                                <w:sz w:val="19"/>
                                <w:szCs w:val="19"/>
                              </w:rPr>
                              <w:t>, will still occur</w:t>
                            </w:r>
                            <w:r w:rsidRPr="00F37330">
                              <w:rPr>
                                <w:rFonts w:ascii="Arial" w:hAnsi="Arial" w:cs="Arial"/>
                                <w:bCs/>
                                <w:sz w:val="19"/>
                                <w:szCs w:val="19"/>
                              </w:rPr>
                              <w:t xml:space="preserve">. </w:t>
                            </w:r>
                            <w:r>
                              <w:rPr>
                                <w:rFonts w:ascii="Arial" w:hAnsi="Arial" w:cs="Arial"/>
                                <w:bCs/>
                                <w:sz w:val="19"/>
                                <w:szCs w:val="19"/>
                              </w:rPr>
                              <w:t>As well, i</w:t>
                            </w:r>
                            <w:r w:rsidRPr="00F37330">
                              <w:rPr>
                                <w:rFonts w:ascii="Arial" w:hAnsi="Arial" w:cs="Arial"/>
                                <w:bCs/>
                                <w:sz w:val="19"/>
                                <w:szCs w:val="19"/>
                              </w:rPr>
                              <w:t xml:space="preserve">t does not reverse the decline in the built infrastructure, </w:t>
                            </w:r>
                            <w:r>
                              <w:rPr>
                                <w:rFonts w:ascii="Arial" w:hAnsi="Arial" w:cs="Arial"/>
                                <w:bCs/>
                                <w:sz w:val="19"/>
                                <w:szCs w:val="19"/>
                              </w:rPr>
                              <w:t>nor allow  the C</w:t>
                            </w:r>
                            <w:r w:rsidRPr="00F37330">
                              <w:rPr>
                                <w:rFonts w:ascii="Arial" w:hAnsi="Arial" w:cs="Arial"/>
                                <w:bCs/>
                                <w:sz w:val="19"/>
                                <w:szCs w:val="19"/>
                              </w:rPr>
                              <w:t xml:space="preserve">ouncil to build capacity to improve planning and response to bushfires and other natural disasters. </w:t>
                            </w:r>
                            <w:r>
                              <w:rPr>
                                <w:rFonts w:ascii="Arial" w:hAnsi="Arial" w:cs="Arial"/>
                                <w:bCs/>
                                <w:sz w:val="19"/>
                                <w:szCs w:val="19"/>
                              </w:rPr>
                              <w:t>J</w:t>
                            </w:r>
                            <w:r w:rsidRPr="00F37330">
                              <w:rPr>
                                <w:rFonts w:ascii="Arial" w:hAnsi="Arial" w:cs="Arial"/>
                                <w:bCs/>
                                <w:sz w:val="19"/>
                                <w:szCs w:val="19"/>
                              </w:rPr>
                              <w:t xml:space="preserve">ust under one-quarter (21%) of all the City’s </w:t>
                            </w:r>
                            <w:r>
                              <w:rPr>
                                <w:rFonts w:ascii="Arial" w:hAnsi="Arial" w:cs="Arial"/>
                                <w:bCs/>
                                <w:sz w:val="19"/>
                                <w:szCs w:val="19"/>
                              </w:rPr>
                              <w:t>C</w:t>
                            </w:r>
                            <w:r w:rsidRPr="00F37330">
                              <w:rPr>
                                <w:rFonts w:ascii="Arial" w:hAnsi="Arial" w:cs="Arial"/>
                                <w:bCs/>
                                <w:sz w:val="19"/>
                                <w:szCs w:val="19"/>
                              </w:rPr>
                              <w:t xml:space="preserve">ouncil owned built infrastructure and assets </w:t>
                            </w:r>
                            <w:r>
                              <w:rPr>
                                <w:rFonts w:ascii="Arial" w:hAnsi="Arial" w:cs="Arial"/>
                                <w:bCs/>
                                <w:sz w:val="19"/>
                                <w:szCs w:val="19"/>
                              </w:rPr>
                              <w:t xml:space="preserve">would </w:t>
                            </w:r>
                            <w:r w:rsidRPr="00F37330">
                              <w:rPr>
                                <w:rFonts w:ascii="Arial" w:hAnsi="Arial" w:cs="Arial"/>
                                <w:bCs/>
                                <w:sz w:val="19"/>
                                <w:szCs w:val="19"/>
                              </w:rPr>
                              <w:t xml:space="preserve">remain in poor condition </w:t>
                            </w:r>
                            <w:r>
                              <w:rPr>
                                <w:rFonts w:ascii="Arial" w:hAnsi="Arial" w:cs="Arial"/>
                                <w:bCs/>
                                <w:sz w:val="19"/>
                                <w:szCs w:val="19"/>
                              </w:rPr>
                              <w:t>by 2023/24</w:t>
                            </w:r>
                            <w:r w:rsidRPr="00F37330">
                              <w:rPr>
                                <w:rFonts w:ascii="Arial" w:hAnsi="Arial" w:cs="Arial"/>
                                <w:bCs/>
                                <w:sz w:val="19"/>
                                <w:szCs w:val="19"/>
                              </w:rPr>
                              <w:t xml:space="preserve">. As conveyed to the community, </w:t>
                            </w:r>
                            <w:r>
                              <w:rPr>
                                <w:rFonts w:ascii="Arial" w:hAnsi="Arial" w:cs="Arial"/>
                                <w:bCs/>
                                <w:sz w:val="19"/>
                                <w:szCs w:val="19"/>
                              </w:rPr>
                              <w:t xml:space="preserve">this option </w:t>
                            </w:r>
                            <w:r w:rsidRPr="00F37330">
                              <w:rPr>
                                <w:rFonts w:ascii="Arial" w:hAnsi="Arial" w:cs="Arial"/>
                                <w:bCs/>
                                <w:sz w:val="19"/>
                                <w:szCs w:val="19"/>
                              </w:rPr>
                              <w:t>w</w:t>
                            </w:r>
                            <w:r>
                              <w:rPr>
                                <w:rFonts w:ascii="Arial" w:hAnsi="Arial" w:cs="Arial"/>
                                <w:bCs/>
                                <w:sz w:val="19"/>
                                <w:szCs w:val="19"/>
                              </w:rPr>
                              <w:t xml:space="preserve">ould </w:t>
                            </w:r>
                            <w:r w:rsidRPr="00F37330">
                              <w:rPr>
                                <w:rFonts w:ascii="Arial" w:hAnsi="Arial" w:cs="Arial"/>
                                <w:bCs/>
                                <w:sz w:val="19"/>
                                <w:szCs w:val="19"/>
                              </w:rPr>
                              <w:t>require significant risk management - including closure and removal of unsafe facilities and infrastructure.</w:t>
                            </w:r>
                          </w:p>
                          <w:p w14:paraId="5472AAA7" w14:textId="77777777" w:rsidR="005864FD" w:rsidRDefault="005864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2" type="#_x0000_t202" style="position:absolute;left:0;text-align:left;margin-left:7.1pt;margin-top:12.55pt;width:420.3pt;height:202.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" fillcolor="white [3201]" strokeweight=".5pt">
                <v:textbox>
                  <w:txbxContent>
                    <w:p w14:paraId="105ADB63" w14:textId="6C024601" w:rsidR="005864FD" w:rsidRPr="00F37330" w:rsidRDefault="005864FD" w:rsidP="00E45C2D">
                      <w:pPr>
                        <w:spacing w:after="60" w:line="276" w:lineRule="auto"/>
                        <w:jc w:val="both"/>
                        <w:rPr>
                          <w:rFonts w:ascii="Arial" w:hAnsi="Arial" w:cs="Arial"/>
                          <w:i/>
                          <w:sz w:val="19"/>
                          <w:szCs w:val="19"/>
                        </w:rPr>
                      </w:pPr>
                      <w:r>
                        <w:rPr>
                          <w:rFonts w:ascii="Arial" w:hAnsi="Arial" w:cs="Arial"/>
                          <w:i/>
                          <w:sz w:val="20"/>
                          <w:szCs w:val="20"/>
                        </w:rPr>
                        <w:t>‘</w:t>
                      </w:r>
                      <w:r w:rsidRPr="00F37330">
                        <w:rPr>
                          <w:rFonts w:ascii="Arial" w:hAnsi="Arial" w:cs="Arial"/>
                          <w:b/>
                          <w:i/>
                          <w:sz w:val="19"/>
                          <w:szCs w:val="19"/>
                        </w:rPr>
                        <w:t>Option 2’</w:t>
                      </w:r>
                    </w:p>
                    <w:p w14:paraId="089F0DA8" w14:textId="0DED2FB8" w:rsidR="005864FD" w:rsidRPr="00F37330" w:rsidRDefault="005864FD" w:rsidP="00E45C2D">
                      <w:pPr>
                        <w:spacing w:line="276" w:lineRule="auto"/>
                        <w:jc w:val="both"/>
                        <w:rPr>
                          <w:rFonts w:ascii="Arial" w:hAnsi="Arial" w:cs="Arial"/>
                          <w:bCs/>
                          <w:sz w:val="19"/>
                          <w:szCs w:val="19"/>
                        </w:rPr>
                      </w:pPr>
                      <w:r w:rsidRPr="00F37330">
                        <w:rPr>
                          <w:rFonts w:ascii="Arial" w:hAnsi="Arial" w:cs="Arial"/>
                          <w:bCs/>
                          <w:sz w:val="19"/>
                          <w:szCs w:val="19"/>
                        </w:rPr>
                        <w:t xml:space="preserve">The Council engaged the community on three possible options for </w:t>
                      </w:r>
                      <w:r w:rsidRPr="00F37330">
                        <w:rPr>
                          <w:rFonts w:ascii="Arial" w:hAnsi="Arial" w:cs="Arial"/>
                          <w:bCs/>
                          <w:i/>
                          <w:sz w:val="19"/>
                          <w:szCs w:val="19"/>
                        </w:rPr>
                        <w:t>Resourcing Our Future</w:t>
                      </w:r>
                      <w:r>
                        <w:rPr>
                          <w:rFonts w:ascii="Arial" w:hAnsi="Arial" w:cs="Arial"/>
                          <w:bCs/>
                          <w:i/>
                          <w:sz w:val="19"/>
                          <w:szCs w:val="19"/>
                        </w:rPr>
                        <w:t xml:space="preserve"> of </w:t>
                      </w:r>
                      <w:r w:rsidRPr="00F37330">
                        <w:rPr>
                          <w:rFonts w:ascii="Arial" w:hAnsi="Arial" w:cs="Arial"/>
                          <w:bCs/>
                          <w:sz w:val="19"/>
                          <w:szCs w:val="19"/>
                        </w:rPr>
                        <w:t>which</w:t>
                      </w:r>
                      <w:r>
                        <w:rPr>
                          <w:rFonts w:ascii="Arial" w:hAnsi="Arial" w:cs="Arial"/>
                          <w:bCs/>
                          <w:i/>
                          <w:sz w:val="19"/>
                          <w:szCs w:val="19"/>
                        </w:rPr>
                        <w:t xml:space="preserve"> </w:t>
                      </w:r>
                      <w:r w:rsidRPr="00F37330">
                        <w:rPr>
                          <w:rFonts w:ascii="Arial" w:hAnsi="Arial" w:cs="Arial"/>
                          <w:bCs/>
                          <w:sz w:val="19"/>
                          <w:szCs w:val="19"/>
                        </w:rPr>
                        <w:t xml:space="preserve">Options 1 and 2 included a special rate variation. Each option balanced service levels to available projected funding over the next 10 years.  Option 2 is reflected in the Council’s publicly exhibited LTFP, however is not shown in this application as the Council resolved to submit an IPART application </w:t>
                      </w:r>
                      <w:r>
                        <w:rPr>
                          <w:rFonts w:ascii="Arial" w:hAnsi="Arial" w:cs="Arial"/>
                          <w:bCs/>
                          <w:sz w:val="19"/>
                          <w:szCs w:val="19"/>
                        </w:rPr>
                        <w:t xml:space="preserve">based on </w:t>
                      </w:r>
                      <w:r w:rsidRPr="00F37330">
                        <w:rPr>
                          <w:rFonts w:ascii="Arial" w:hAnsi="Arial" w:cs="Arial"/>
                          <w:bCs/>
                          <w:sz w:val="19"/>
                          <w:szCs w:val="19"/>
                        </w:rPr>
                        <w:t>Option 1.</w:t>
                      </w:r>
                    </w:p>
                    <w:p w14:paraId="58DB8B58" w14:textId="77777777" w:rsidR="005864FD" w:rsidRPr="00F37330" w:rsidRDefault="005864FD" w:rsidP="00E45C2D">
                      <w:pPr>
                        <w:spacing w:after="60" w:line="276" w:lineRule="auto"/>
                        <w:jc w:val="both"/>
                        <w:rPr>
                          <w:rFonts w:ascii="Arial" w:hAnsi="Arial" w:cs="Arial"/>
                          <w:bCs/>
                          <w:sz w:val="19"/>
                          <w:szCs w:val="19"/>
                        </w:rPr>
                      </w:pPr>
                    </w:p>
                    <w:p w14:paraId="797D9A56" w14:textId="7B873B0E" w:rsidR="005864FD" w:rsidRPr="00F37330" w:rsidRDefault="005864FD" w:rsidP="00E45C2D">
                      <w:pPr>
                        <w:spacing w:after="60" w:line="276" w:lineRule="auto"/>
                        <w:jc w:val="both"/>
                        <w:rPr>
                          <w:rFonts w:ascii="Arial" w:hAnsi="Arial" w:cs="Arial"/>
                          <w:sz w:val="19"/>
                          <w:szCs w:val="19"/>
                        </w:rPr>
                      </w:pPr>
                      <w:r w:rsidRPr="00F37330">
                        <w:rPr>
                          <w:rFonts w:ascii="Arial" w:hAnsi="Arial" w:cs="Arial"/>
                          <w:bCs/>
                          <w:sz w:val="19"/>
                          <w:szCs w:val="19"/>
                        </w:rPr>
                        <w:t>Importantly, Option 2 is not financially sustainable as a deficit Operating Balance measure</w:t>
                      </w:r>
                      <w:r>
                        <w:rPr>
                          <w:rFonts w:ascii="Arial" w:hAnsi="Arial" w:cs="Arial"/>
                          <w:bCs/>
                          <w:sz w:val="19"/>
                          <w:szCs w:val="19"/>
                        </w:rPr>
                        <w:t>,</w:t>
                      </w:r>
                      <w:r w:rsidRPr="00F37330">
                        <w:rPr>
                          <w:rFonts w:ascii="Arial" w:hAnsi="Arial" w:cs="Arial"/>
                          <w:bCs/>
                          <w:sz w:val="19"/>
                          <w:szCs w:val="19"/>
                        </w:rPr>
                        <w:t xml:space="preserve"> projected at over $3 million by 2023/24 (see LTFP Section 3.6 Measuring financial sustainability)</w:t>
                      </w:r>
                      <w:r>
                        <w:rPr>
                          <w:rFonts w:ascii="Arial" w:hAnsi="Arial" w:cs="Arial"/>
                          <w:bCs/>
                          <w:sz w:val="19"/>
                          <w:szCs w:val="19"/>
                        </w:rPr>
                        <w:t>, will still occur</w:t>
                      </w:r>
                      <w:r w:rsidRPr="00F37330">
                        <w:rPr>
                          <w:rFonts w:ascii="Arial" w:hAnsi="Arial" w:cs="Arial"/>
                          <w:bCs/>
                          <w:sz w:val="19"/>
                          <w:szCs w:val="19"/>
                        </w:rPr>
                        <w:t xml:space="preserve">. </w:t>
                      </w:r>
                      <w:r>
                        <w:rPr>
                          <w:rFonts w:ascii="Arial" w:hAnsi="Arial" w:cs="Arial"/>
                          <w:bCs/>
                          <w:sz w:val="19"/>
                          <w:szCs w:val="19"/>
                        </w:rPr>
                        <w:t>As well, i</w:t>
                      </w:r>
                      <w:r w:rsidRPr="00F37330">
                        <w:rPr>
                          <w:rFonts w:ascii="Arial" w:hAnsi="Arial" w:cs="Arial"/>
                          <w:bCs/>
                          <w:sz w:val="19"/>
                          <w:szCs w:val="19"/>
                        </w:rPr>
                        <w:t xml:space="preserve">t does not reverse the decline in the built infrastructure, </w:t>
                      </w:r>
                      <w:r>
                        <w:rPr>
                          <w:rFonts w:ascii="Arial" w:hAnsi="Arial" w:cs="Arial"/>
                          <w:bCs/>
                          <w:sz w:val="19"/>
                          <w:szCs w:val="19"/>
                        </w:rPr>
                        <w:t>nor allow  the C</w:t>
                      </w:r>
                      <w:r w:rsidRPr="00F37330">
                        <w:rPr>
                          <w:rFonts w:ascii="Arial" w:hAnsi="Arial" w:cs="Arial"/>
                          <w:bCs/>
                          <w:sz w:val="19"/>
                          <w:szCs w:val="19"/>
                        </w:rPr>
                        <w:t xml:space="preserve">ouncil to build capacity to improve planning and response to bushfires and other natural disasters. </w:t>
                      </w:r>
                      <w:r>
                        <w:rPr>
                          <w:rFonts w:ascii="Arial" w:hAnsi="Arial" w:cs="Arial"/>
                          <w:bCs/>
                          <w:sz w:val="19"/>
                          <w:szCs w:val="19"/>
                        </w:rPr>
                        <w:t>J</w:t>
                      </w:r>
                      <w:r w:rsidRPr="00F37330">
                        <w:rPr>
                          <w:rFonts w:ascii="Arial" w:hAnsi="Arial" w:cs="Arial"/>
                          <w:bCs/>
                          <w:sz w:val="19"/>
                          <w:szCs w:val="19"/>
                        </w:rPr>
                        <w:t xml:space="preserve">ust under one-quarter (21%) of all the City’s </w:t>
                      </w:r>
                      <w:r>
                        <w:rPr>
                          <w:rFonts w:ascii="Arial" w:hAnsi="Arial" w:cs="Arial"/>
                          <w:bCs/>
                          <w:sz w:val="19"/>
                          <w:szCs w:val="19"/>
                        </w:rPr>
                        <w:t>C</w:t>
                      </w:r>
                      <w:r w:rsidRPr="00F37330">
                        <w:rPr>
                          <w:rFonts w:ascii="Arial" w:hAnsi="Arial" w:cs="Arial"/>
                          <w:bCs/>
                          <w:sz w:val="19"/>
                          <w:szCs w:val="19"/>
                        </w:rPr>
                        <w:t xml:space="preserve">ouncil owned built infrastructure and assets </w:t>
                      </w:r>
                      <w:r>
                        <w:rPr>
                          <w:rFonts w:ascii="Arial" w:hAnsi="Arial" w:cs="Arial"/>
                          <w:bCs/>
                          <w:sz w:val="19"/>
                          <w:szCs w:val="19"/>
                        </w:rPr>
                        <w:t xml:space="preserve">would </w:t>
                      </w:r>
                      <w:r w:rsidRPr="00F37330">
                        <w:rPr>
                          <w:rFonts w:ascii="Arial" w:hAnsi="Arial" w:cs="Arial"/>
                          <w:bCs/>
                          <w:sz w:val="19"/>
                          <w:szCs w:val="19"/>
                        </w:rPr>
                        <w:t xml:space="preserve">remain in poor condition </w:t>
                      </w:r>
                      <w:r>
                        <w:rPr>
                          <w:rFonts w:ascii="Arial" w:hAnsi="Arial" w:cs="Arial"/>
                          <w:bCs/>
                          <w:sz w:val="19"/>
                          <w:szCs w:val="19"/>
                        </w:rPr>
                        <w:t>by 2023/24</w:t>
                      </w:r>
                      <w:r w:rsidRPr="00F37330">
                        <w:rPr>
                          <w:rFonts w:ascii="Arial" w:hAnsi="Arial" w:cs="Arial"/>
                          <w:bCs/>
                          <w:sz w:val="19"/>
                          <w:szCs w:val="19"/>
                        </w:rPr>
                        <w:t xml:space="preserve">. As conveyed to the community, </w:t>
                      </w:r>
                      <w:r>
                        <w:rPr>
                          <w:rFonts w:ascii="Arial" w:hAnsi="Arial" w:cs="Arial"/>
                          <w:bCs/>
                          <w:sz w:val="19"/>
                          <w:szCs w:val="19"/>
                        </w:rPr>
                        <w:t xml:space="preserve">this option </w:t>
                      </w:r>
                      <w:r w:rsidRPr="00F37330">
                        <w:rPr>
                          <w:rFonts w:ascii="Arial" w:hAnsi="Arial" w:cs="Arial"/>
                          <w:bCs/>
                          <w:sz w:val="19"/>
                          <w:szCs w:val="19"/>
                        </w:rPr>
                        <w:t>w</w:t>
                      </w:r>
                      <w:r>
                        <w:rPr>
                          <w:rFonts w:ascii="Arial" w:hAnsi="Arial" w:cs="Arial"/>
                          <w:bCs/>
                          <w:sz w:val="19"/>
                          <w:szCs w:val="19"/>
                        </w:rPr>
                        <w:t xml:space="preserve">ould </w:t>
                      </w:r>
                      <w:r w:rsidRPr="00F37330">
                        <w:rPr>
                          <w:rFonts w:ascii="Arial" w:hAnsi="Arial" w:cs="Arial"/>
                          <w:bCs/>
                          <w:sz w:val="19"/>
                          <w:szCs w:val="19"/>
                        </w:rPr>
                        <w:t>require significant risk management - including closure and removal of unsafe facilities and infrastructure.</w:t>
                      </w:r>
                    </w:p>
                    <w:p w14:paraId="5472AAA7" w14:textId="77777777" w:rsidR="005864FD" w:rsidRDefault="005864FD"/>
                  </w:txbxContent>
                </v:textbox>
              </v:shape>
            </w:pict>
          </mc:Fallback>
        </mc:AlternateContent>
      </w:r>
    </w:p>
    <w:p w14:paraId="522EA7BF" w14:textId="77777777" w:rsidR="00F37330" w:rsidRDefault="00F37330" w:rsidP="00E45C2D">
      <w:pPr>
        <w:spacing w:after="60" w:line="276" w:lineRule="auto"/>
        <w:jc w:val="both"/>
        <w:rPr>
          <w:rFonts w:ascii="Arial" w:hAnsi="Arial" w:cs="Arial"/>
          <w:i/>
          <w:sz w:val="20"/>
          <w:szCs w:val="20"/>
        </w:rPr>
      </w:pPr>
    </w:p>
    <w:p w14:paraId="62E61BAF" w14:textId="77777777" w:rsidR="00F37330" w:rsidRDefault="00F37330" w:rsidP="00E45C2D">
      <w:pPr>
        <w:spacing w:after="60" w:line="276" w:lineRule="auto"/>
        <w:jc w:val="both"/>
        <w:rPr>
          <w:rFonts w:ascii="Arial" w:hAnsi="Arial" w:cs="Arial"/>
          <w:i/>
          <w:sz w:val="20"/>
          <w:szCs w:val="20"/>
        </w:rPr>
      </w:pPr>
    </w:p>
    <w:p w14:paraId="6296E09B" w14:textId="77777777" w:rsidR="00F37330" w:rsidRDefault="00F37330" w:rsidP="00E45C2D">
      <w:pPr>
        <w:spacing w:after="60" w:line="276" w:lineRule="auto"/>
        <w:jc w:val="both"/>
        <w:rPr>
          <w:rFonts w:ascii="Arial" w:hAnsi="Arial" w:cs="Arial"/>
          <w:bCs/>
          <w:sz w:val="20"/>
          <w:szCs w:val="20"/>
        </w:rPr>
      </w:pPr>
    </w:p>
    <w:p w14:paraId="513394D1" w14:textId="77777777" w:rsidR="00F37330" w:rsidRDefault="00F37330" w:rsidP="00E45C2D">
      <w:pPr>
        <w:spacing w:after="60" w:line="276" w:lineRule="auto"/>
        <w:jc w:val="both"/>
        <w:rPr>
          <w:rFonts w:ascii="Arial" w:hAnsi="Arial" w:cs="Arial"/>
          <w:bCs/>
          <w:sz w:val="20"/>
          <w:szCs w:val="20"/>
        </w:rPr>
      </w:pPr>
    </w:p>
    <w:p w14:paraId="42E0EF17" w14:textId="77777777" w:rsidR="00F37330" w:rsidRDefault="00F37330" w:rsidP="00E45C2D">
      <w:pPr>
        <w:spacing w:after="60" w:line="276" w:lineRule="auto"/>
        <w:jc w:val="both"/>
        <w:rPr>
          <w:rFonts w:ascii="Arial" w:hAnsi="Arial" w:cs="Arial"/>
          <w:bCs/>
          <w:sz w:val="20"/>
          <w:szCs w:val="20"/>
        </w:rPr>
      </w:pPr>
    </w:p>
    <w:p w14:paraId="4A41250A" w14:textId="77777777" w:rsidR="00F37330" w:rsidRDefault="00F37330" w:rsidP="00E45C2D">
      <w:pPr>
        <w:spacing w:after="60" w:line="276" w:lineRule="auto"/>
        <w:jc w:val="both"/>
        <w:rPr>
          <w:rFonts w:ascii="Arial" w:hAnsi="Arial" w:cs="Arial"/>
          <w:bCs/>
          <w:sz w:val="20"/>
          <w:szCs w:val="20"/>
        </w:rPr>
      </w:pPr>
    </w:p>
    <w:p w14:paraId="66883252" w14:textId="77777777" w:rsidR="00F37330" w:rsidRDefault="00F37330" w:rsidP="00E45C2D">
      <w:pPr>
        <w:spacing w:after="60" w:line="276" w:lineRule="auto"/>
        <w:jc w:val="both"/>
        <w:rPr>
          <w:rFonts w:ascii="Arial" w:hAnsi="Arial" w:cs="Arial"/>
          <w:bCs/>
          <w:sz w:val="20"/>
          <w:szCs w:val="20"/>
        </w:rPr>
      </w:pPr>
    </w:p>
    <w:p w14:paraId="11FF738C" w14:textId="77777777" w:rsidR="00F37330" w:rsidRDefault="00F37330" w:rsidP="00E45C2D">
      <w:pPr>
        <w:spacing w:after="60" w:line="276" w:lineRule="auto"/>
        <w:jc w:val="both"/>
        <w:rPr>
          <w:rFonts w:ascii="Arial" w:hAnsi="Arial" w:cs="Arial"/>
          <w:bCs/>
          <w:sz w:val="20"/>
          <w:szCs w:val="20"/>
        </w:rPr>
      </w:pPr>
    </w:p>
    <w:p w14:paraId="447D3B20" w14:textId="77777777" w:rsidR="00F37330" w:rsidRDefault="00F37330" w:rsidP="00E45C2D">
      <w:pPr>
        <w:spacing w:after="60" w:line="276" w:lineRule="auto"/>
        <w:jc w:val="both"/>
        <w:rPr>
          <w:rFonts w:ascii="Arial" w:hAnsi="Arial" w:cs="Arial"/>
          <w:bCs/>
          <w:sz w:val="20"/>
          <w:szCs w:val="20"/>
        </w:rPr>
      </w:pPr>
    </w:p>
    <w:p w14:paraId="135205B5" w14:textId="77777777" w:rsidR="00F37330" w:rsidRDefault="00F37330" w:rsidP="00E45C2D">
      <w:pPr>
        <w:spacing w:after="60" w:line="276" w:lineRule="auto"/>
        <w:jc w:val="both"/>
        <w:rPr>
          <w:rFonts w:ascii="Arial" w:hAnsi="Arial" w:cs="Arial"/>
          <w:bCs/>
          <w:sz w:val="20"/>
          <w:szCs w:val="20"/>
        </w:rPr>
      </w:pPr>
    </w:p>
    <w:p w14:paraId="4CB1A461" w14:textId="77777777" w:rsidR="00F37330" w:rsidRDefault="00F37330" w:rsidP="00E45C2D">
      <w:pPr>
        <w:spacing w:after="60" w:line="276" w:lineRule="auto"/>
        <w:jc w:val="both"/>
        <w:rPr>
          <w:rFonts w:ascii="Arial" w:hAnsi="Arial" w:cs="Arial"/>
          <w:bCs/>
          <w:sz w:val="20"/>
          <w:szCs w:val="20"/>
        </w:rPr>
      </w:pPr>
    </w:p>
    <w:p w14:paraId="55FBFCD9" w14:textId="77777777" w:rsidR="00F37330" w:rsidRDefault="00F37330" w:rsidP="00E45C2D">
      <w:pPr>
        <w:spacing w:after="60" w:line="276" w:lineRule="auto"/>
        <w:jc w:val="both"/>
        <w:rPr>
          <w:rFonts w:ascii="Arial" w:hAnsi="Arial" w:cs="Arial"/>
          <w:bCs/>
          <w:sz w:val="20"/>
          <w:szCs w:val="20"/>
        </w:rPr>
      </w:pPr>
    </w:p>
    <w:p w14:paraId="4A042778" w14:textId="77777777" w:rsidR="00F37330" w:rsidRDefault="00F37330" w:rsidP="00E45C2D">
      <w:pPr>
        <w:spacing w:after="60" w:line="276" w:lineRule="auto"/>
        <w:jc w:val="both"/>
        <w:rPr>
          <w:rFonts w:ascii="Arial" w:hAnsi="Arial" w:cs="Arial"/>
          <w:bCs/>
          <w:sz w:val="20"/>
          <w:szCs w:val="20"/>
        </w:rPr>
      </w:pPr>
    </w:p>
    <w:p w14:paraId="39882B14" w14:textId="24A3EEDA" w:rsidR="00631EA1" w:rsidRDefault="00162D6E" w:rsidP="00E45C2D">
      <w:pPr>
        <w:spacing w:after="60" w:line="276" w:lineRule="auto"/>
        <w:jc w:val="both"/>
        <w:rPr>
          <w:rFonts w:ascii="Arial" w:hAnsi="Arial" w:cs="Arial"/>
          <w:bCs/>
          <w:sz w:val="20"/>
          <w:szCs w:val="20"/>
        </w:rPr>
      </w:pPr>
      <w:r w:rsidRPr="00162D6E">
        <w:rPr>
          <w:rFonts w:ascii="Arial" w:hAnsi="Arial" w:cs="Arial"/>
          <w:bCs/>
          <w:sz w:val="20"/>
          <w:szCs w:val="20"/>
        </w:rPr>
        <w:t xml:space="preserve">In summary, the table below shows the effect of the various financial scenarios on the Council’s overall long-term financial position. Financial Scenario 1 will allow Council to achieve an operating result within benchmark by 2023/24. The other two scenarios do not achieve this. </w:t>
      </w:r>
    </w:p>
    <w:p w14:paraId="37E978A1" w14:textId="7556A66B" w:rsidR="00162D6E" w:rsidRPr="003B5CED" w:rsidRDefault="00FA0E8D" w:rsidP="00162D6E">
      <w:pPr>
        <w:pStyle w:val="BodyText"/>
        <w:rPr>
          <w:rFonts w:ascii="Arial" w:hAnsi="Arial" w:cs="Arial"/>
          <w:b/>
          <w:color w:val="000000" w:themeColor="text1"/>
          <w:sz w:val="18"/>
          <w:szCs w:val="18"/>
        </w:rPr>
      </w:pPr>
      <w:r w:rsidRPr="003B5CED">
        <w:rPr>
          <w:rFonts w:ascii="Arial" w:hAnsi="Arial" w:cs="Arial"/>
          <w:b/>
          <w:color w:val="000000" w:themeColor="text1"/>
          <w:sz w:val="18"/>
          <w:szCs w:val="18"/>
        </w:rPr>
        <w:t>Table 3.3</w:t>
      </w:r>
      <w:r w:rsidR="002E7AFE" w:rsidRPr="003B5CED">
        <w:rPr>
          <w:rFonts w:ascii="Arial" w:hAnsi="Arial" w:cs="Arial"/>
          <w:b/>
          <w:color w:val="000000" w:themeColor="text1"/>
          <w:sz w:val="18"/>
          <w:szCs w:val="18"/>
        </w:rPr>
        <w:t>:</w:t>
      </w:r>
      <w:r w:rsidR="00162D6E" w:rsidRPr="003B5CED">
        <w:rPr>
          <w:rFonts w:ascii="Arial" w:hAnsi="Arial" w:cs="Arial"/>
          <w:b/>
          <w:color w:val="000000" w:themeColor="text1"/>
          <w:sz w:val="18"/>
          <w:szCs w:val="18"/>
        </w:rPr>
        <w:t xml:space="preserve"> Impact of options on key financial performance measures</w:t>
      </w:r>
    </w:p>
    <w:tbl>
      <w:tblPr>
        <w:tblStyle w:val="TableGrid1"/>
        <w:tblW w:w="8505" w:type="dxa"/>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835"/>
        <w:gridCol w:w="2977"/>
        <w:gridCol w:w="2693"/>
      </w:tblGrid>
      <w:tr w:rsidR="00F37330" w:rsidRPr="002E7AFE" w14:paraId="1ACDF40A" w14:textId="77777777" w:rsidTr="002E7AFE">
        <w:trPr>
          <w:cantSplit/>
          <w:trHeight w:val="326"/>
          <w:tblHeader/>
        </w:trPr>
        <w:tc>
          <w:tcPr>
            <w:tcW w:w="2835" w:type="dxa"/>
            <w:shd w:val="clear" w:color="auto" w:fill="365F91" w:themeFill="accent1" w:themeFillShade="BF"/>
          </w:tcPr>
          <w:p w14:paraId="12C59494" w14:textId="77777777" w:rsidR="00F37330" w:rsidRPr="00DD7471" w:rsidRDefault="00F37330" w:rsidP="00162D6E">
            <w:pPr>
              <w:spacing w:before="60" w:after="60"/>
              <w:ind w:right="164"/>
              <w:rPr>
                <w:rFonts w:ascii="Arial" w:eastAsia="Frutiger LT Std 45 Light" w:hAnsi="Arial" w:cs="Arial"/>
                <w:b/>
                <w:color w:val="FFFFFF" w:themeColor="background1"/>
                <w:sz w:val="18"/>
                <w:szCs w:val="18"/>
              </w:rPr>
            </w:pPr>
            <w:r w:rsidRPr="00DD7471">
              <w:rPr>
                <w:rFonts w:ascii="Arial" w:eastAsia="Frutiger LT Std 45 Light" w:hAnsi="Arial" w:cs="Arial"/>
                <w:b/>
                <w:color w:val="FFFFFF" w:themeColor="background1"/>
                <w:sz w:val="18"/>
                <w:szCs w:val="18"/>
              </w:rPr>
              <w:t>Measure</w:t>
            </w:r>
          </w:p>
        </w:tc>
        <w:tc>
          <w:tcPr>
            <w:tcW w:w="2977" w:type="dxa"/>
            <w:shd w:val="clear" w:color="auto" w:fill="365F91" w:themeFill="accent1" w:themeFillShade="BF"/>
          </w:tcPr>
          <w:p w14:paraId="359345FF" w14:textId="77777777" w:rsidR="002E7AFE" w:rsidRPr="00DD7471" w:rsidRDefault="00F37330" w:rsidP="00F37330">
            <w:pPr>
              <w:spacing w:before="60" w:after="60"/>
              <w:ind w:right="164"/>
              <w:rPr>
                <w:rFonts w:ascii="Arial" w:eastAsia="Frutiger LT Std 45 Light" w:hAnsi="Arial" w:cs="Arial"/>
                <w:b/>
                <w:color w:val="FFFFFF" w:themeColor="background1"/>
                <w:sz w:val="18"/>
                <w:szCs w:val="18"/>
              </w:rPr>
            </w:pPr>
            <w:r w:rsidRPr="00DD7471">
              <w:rPr>
                <w:rFonts w:ascii="Arial" w:eastAsia="Frutiger LT Std 45 Light" w:hAnsi="Arial" w:cs="Arial"/>
                <w:b/>
                <w:color w:val="FFFFFF" w:themeColor="background1"/>
                <w:sz w:val="18"/>
                <w:szCs w:val="18"/>
              </w:rPr>
              <w:t xml:space="preserve">Special variation  </w:t>
            </w:r>
          </w:p>
          <w:p w14:paraId="40E1AE4F" w14:textId="5BEFCE7C" w:rsidR="00F37330" w:rsidRPr="00DD7471" w:rsidRDefault="00F37330" w:rsidP="002E7AFE">
            <w:pPr>
              <w:spacing w:before="60" w:after="60"/>
              <w:ind w:right="164"/>
              <w:rPr>
                <w:rFonts w:ascii="Arial" w:eastAsia="Frutiger LT Std 45 Light" w:hAnsi="Arial" w:cs="Arial"/>
                <w:b/>
                <w:color w:val="FFFFFF" w:themeColor="background1"/>
                <w:sz w:val="18"/>
                <w:szCs w:val="18"/>
              </w:rPr>
            </w:pPr>
            <w:r w:rsidRPr="00DD7471">
              <w:rPr>
                <w:rFonts w:ascii="Arial" w:eastAsia="Frutiger LT Std 45 Light" w:hAnsi="Arial" w:cs="Arial"/>
                <w:b/>
                <w:color w:val="FFFFFF" w:themeColor="background1"/>
                <w:sz w:val="18"/>
                <w:szCs w:val="18"/>
              </w:rPr>
              <w:t>(Scenario</w:t>
            </w:r>
            <w:r w:rsidR="002E7AFE" w:rsidRPr="00DD7471">
              <w:rPr>
                <w:rFonts w:ascii="Arial" w:eastAsia="Frutiger LT Std 45 Light" w:hAnsi="Arial" w:cs="Arial"/>
                <w:b/>
                <w:color w:val="FFFFFF" w:themeColor="background1"/>
                <w:sz w:val="18"/>
                <w:szCs w:val="18"/>
              </w:rPr>
              <w:t xml:space="preserve">/ Option </w:t>
            </w:r>
            <w:r w:rsidRPr="00DD7471">
              <w:rPr>
                <w:rFonts w:ascii="Arial" w:eastAsia="Frutiger LT Std 45 Light" w:hAnsi="Arial" w:cs="Arial"/>
                <w:b/>
                <w:color w:val="FFFFFF" w:themeColor="background1"/>
                <w:sz w:val="18"/>
                <w:szCs w:val="18"/>
              </w:rPr>
              <w:t xml:space="preserve"> 1)</w:t>
            </w:r>
          </w:p>
        </w:tc>
        <w:tc>
          <w:tcPr>
            <w:tcW w:w="2693" w:type="dxa"/>
            <w:shd w:val="clear" w:color="auto" w:fill="365F91" w:themeFill="accent1" w:themeFillShade="BF"/>
          </w:tcPr>
          <w:p w14:paraId="183B431C" w14:textId="77777777" w:rsidR="002E7AFE" w:rsidRPr="00DD7471" w:rsidRDefault="00F37330" w:rsidP="00F37330">
            <w:pPr>
              <w:spacing w:before="60" w:after="60"/>
              <w:ind w:right="164"/>
              <w:rPr>
                <w:rFonts w:ascii="Arial" w:eastAsia="Frutiger LT Std 45 Light" w:hAnsi="Arial" w:cs="Arial"/>
                <w:b/>
                <w:color w:val="FFFFFF" w:themeColor="background1"/>
                <w:sz w:val="18"/>
                <w:szCs w:val="18"/>
              </w:rPr>
            </w:pPr>
            <w:r w:rsidRPr="00DD7471">
              <w:rPr>
                <w:rFonts w:ascii="Arial" w:eastAsia="Frutiger LT Std 45 Light" w:hAnsi="Arial" w:cs="Arial"/>
                <w:b/>
                <w:color w:val="FFFFFF" w:themeColor="background1"/>
                <w:sz w:val="18"/>
                <w:szCs w:val="18"/>
              </w:rPr>
              <w:t xml:space="preserve">No special variation </w:t>
            </w:r>
          </w:p>
          <w:p w14:paraId="0CD9CE59" w14:textId="67853886" w:rsidR="00F37330" w:rsidRPr="00DD7471" w:rsidRDefault="00F37330" w:rsidP="002E7AFE">
            <w:pPr>
              <w:spacing w:before="60" w:after="60"/>
              <w:ind w:right="164"/>
              <w:rPr>
                <w:rFonts w:ascii="Arial" w:eastAsia="Frutiger LT Std 45 Light" w:hAnsi="Arial" w:cs="Arial"/>
                <w:b/>
                <w:color w:val="FFFFFF" w:themeColor="background1"/>
                <w:sz w:val="18"/>
                <w:szCs w:val="18"/>
              </w:rPr>
            </w:pPr>
            <w:r w:rsidRPr="00DD7471">
              <w:rPr>
                <w:rFonts w:ascii="Arial" w:eastAsia="Frutiger LT Std 45 Light" w:hAnsi="Arial" w:cs="Arial"/>
                <w:b/>
                <w:color w:val="FFFFFF" w:themeColor="background1"/>
                <w:sz w:val="18"/>
                <w:szCs w:val="18"/>
              </w:rPr>
              <w:t>(Scenario</w:t>
            </w:r>
            <w:r w:rsidR="002E7AFE" w:rsidRPr="00DD7471">
              <w:rPr>
                <w:rFonts w:ascii="Arial" w:eastAsia="Frutiger LT Std 45 Light" w:hAnsi="Arial" w:cs="Arial"/>
                <w:b/>
                <w:color w:val="FFFFFF" w:themeColor="background1"/>
                <w:sz w:val="18"/>
                <w:szCs w:val="18"/>
              </w:rPr>
              <w:t xml:space="preserve">/ Option </w:t>
            </w:r>
            <w:r w:rsidRPr="00DD7471">
              <w:rPr>
                <w:rFonts w:ascii="Arial" w:eastAsia="Frutiger LT Std 45 Light" w:hAnsi="Arial" w:cs="Arial"/>
                <w:b/>
                <w:color w:val="FFFFFF" w:themeColor="background1"/>
                <w:sz w:val="18"/>
                <w:szCs w:val="18"/>
              </w:rPr>
              <w:t xml:space="preserve"> 3)</w:t>
            </w:r>
          </w:p>
        </w:tc>
      </w:tr>
      <w:tr w:rsidR="00F37330" w:rsidRPr="002E7AFE" w14:paraId="7A957365" w14:textId="77777777" w:rsidTr="002E7AFE">
        <w:trPr>
          <w:trHeight w:val="1513"/>
        </w:trPr>
        <w:tc>
          <w:tcPr>
            <w:tcW w:w="2835" w:type="dxa"/>
            <w:shd w:val="clear" w:color="auto" w:fill="DBE5F1" w:themeFill="accent1" w:themeFillTint="33"/>
          </w:tcPr>
          <w:p w14:paraId="6A17F6F3" w14:textId="7F27FE85" w:rsidR="00F37330" w:rsidRPr="002E7AFE" w:rsidRDefault="00F37330" w:rsidP="00162D6E">
            <w:pPr>
              <w:spacing w:beforeLines="60" w:before="144" w:after="60"/>
              <w:rPr>
                <w:rFonts w:ascii="Calibri" w:hAnsi="Calibri" w:cs="Arial"/>
                <w:b/>
                <w:i/>
                <w:sz w:val="18"/>
                <w:szCs w:val="18"/>
              </w:rPr>
            </w:pPr>
            <w:r w:rsidRPr="002E7AFE">
              <w:rPr>
                <w:rFonts w:ascii="Calibri" w:hAnsi="Calibri" w:cs="Arial"/>
                <w:b/>
                <w:sz w:val="18"/>
                <w:szCs w:val="18"/>
              </w:rPr>
              <w:t>Operat</w:t>
            </w:r>
            <w:r w:rsidR="003168C9" w:rsidRPr="002E7AFE">
              <w:rPr>
                <w:rFonts w:ascii="Calibri" w:hAnsi="Calibri" w:cs="Arial"/>
                <w:b/>
                <w:sz w:val="18"/>
                <w:szCs w:val="18"/>
              </w:rPr>
              <w:t>ing Balance</w:t>
            </w:r>
            <w:r w:rsidRPr="002E7AFE">
              <w:rPr>
                <w:rFonts w:ascii="Calibri" w:hAnsi="Calibri" w:cs="Arial"/>
                <w:b/>
                <w:sz w:val="18"/>
                <w:szCs w:val="18"/>
              </w:rPr>
              <w:t xml:space="preserve">: </w:t>
            </w:r>
            <w:r w:rsidRPr="002E7AFE">
              <w:rPr>
                <w:rFonts w:ascii="Calibri" w:hAnsi="Calibri" w:cs="Arial"/>
                <w:sz w:val="18"/>
                <w:szCs w:val="18"/>
              </w:rPr>
              <w:t>Whether Council has sufficient revenue to cover expenditure requirements (including depreciation)</w:t>
            </w:r>
            <w:r w:rsidRPr="002E7AFE">
              <w:rPr>
                <w:rFonts w:ascii="Calibri" w:hAnsi="Calibri" w:cs="Arial"/>
                <w:b/>
                <w:sz w:val="18"/>
                <w:szCs w:val="18"/>
              </w:rPr>
              <w:t xml:space="preserve"> </w:t>
            </w:r>
          </w:p>
          <w:p w14:paraId="3469C7E2" w14:textId="77777777" w:rsidR="00F37330" w:rsidRPr="002E7AFE" w:rsidRDefault="00F37330" w:rsidP="00162D6E">
            <w:pPr>
              <w:rPr>
                <w:rFonts w:ascii="Calibri" w:hAnsi="Calibri" w:cs="Arial"/>
                <w:i/>
                <w:sz w:val="18"/>
                <w:szCs w:val="18"/>
              </w:rPr>
            </w:pPr>
            <w:r w:rsidRPr="002E7AFE">
              <w:rPr>
                <w:rFonts w:ascii="Calibri" w:hAnsi="Calibri" w:cs="Arial"/>
                <w:i/>
                <w:sz w:val="18"/>
                <w:szCs w:val="18"/>
              </w:rPr>
              <w:t xml:space="preserve">Benchmark: </w:t>
            </w:r>
          </w:p>
          <w:p w14:paraId="5925E964" w14:textId="77777777" w:rsidR="00F37330" w:rsidRPr="002E7AFE" w:rsidRDefault="00F37330" w:rsidP="00162D6E">
            <w:pPr>
              <w:rPr>
                <w:rFonts w:ascii="Calibri" w:hAnsi="Calibri" w:cs="Arial"/>
                <w:b/>
                <w:sz w:val="18"/>
                <w:szCs w:val="18"/>
              </w:rPr>
            </w:pPr>
            <w:r w:rsidRPr="002E7AFE">
              <w:rPr>
                <w:rFonts w:ascii="Calibri" w:hAnsi="Calibri" w:cs="Arial"/>
                <w:i/>
                <w:sz w:val="18"/>
                <w:szCs w:val="18"/>
              </w:rPr>
              <w:t>should be +/ - $1M</w:t>
            </w:r>
          </w:p>
        </w:tc>
        <w:tc>
          <w:tcPr>
            <w:tcW w:w="2977" w:type="dxa"/>
            <w:shd w:val="clear" w:color="auto" w:fill="DBE5F1" w:themeFill="accent1" w:themeFillTint="33"/>
          </w:tcPr>
          <w:p w14:paraId="1E777553" w14:textId="77777777" w:rsidR="00F37330" w:rsidRPr="002E7AFE" w:rsidRDefault="00F37330" w:rsidP="00162D6E">
            <w:pPr>
              <w:rPr>
                <w:rFonts w:ascii="Calibri" w:hAnsi="Calibri" w:cs="Arial"/>
                <w:sz w:val="18"/>
                <w:szCs w:val="18"/>
              </w:rPr>
            </w:pPr>
          </w:p>
          <w:p w14:paraId="67DCBC61" w14:textId="77777777" w:rsidR="00F37330" w:rsidRPr="002E7AFE" w:rsidRDefault="00F37330" w:rsidP="00162D6E">
            <w:pPr>
              <w:rPr>
                <w:rFonts w:ascii="Calibri" w:hAnsi="Calibri" w:cs="Arial"/>
                <w:sz w:val="18"/>
                <w:szCs w:val="18"/>
              </w:rPr>
            </w:pPr>
            <w:r w:rsidRPr="002E7AFE">
              <w:rPr>
                <w:rFonts w:ascii="Calibri" w:hAnsi="Calibri" w:cs="Arial"/>
                <w:sz w:val="18"/>
                <w:szCs w:val="18"/>
              </w:rPr>
              <w:t xml:space="preserve">By 2023/24 Operating Result is within acceptable benchmark at deficit of -$672K </w:t>
            </w:r>
          </w:p>
        </w:tc>
        <w:tc>
          <w:tcPr>
            <w:tcW w:w="2693" w:type="dxa"/>
            <w:shd w:val="clear" w:color="auto" w:fill="DBE5F1" w:themeFill="accent1" w:themeFillTint="33"/>
          </w:tcPr>
          <w:p w14:paraId="104C8B06" w14:textId="77777777" w:rsidR="00F37330" w:rsidRPr="002E7AFE" w:rsidRDefault="00F37330" w:rsidP="00162D6E">
            <w:pPr>
              <w:rPr>
                <w:rFonts w:ascii="Calibri" w:hAnsi="Calibri" w:cs="Arial"/>
                <w:sz w:val="18"/>
                <w:szCs w:val="18"/>
              </w:rPr>
            </w:pPr>
          </w:p>
          <w:p w14:paraId="637E2D1C" w14:textId="77777777" w:rsidR="00F37330" w:rsidRPr="002E7AFE" w:rsidRDefault="00F37330" w:rsidP="00162D6E">
            <w:pPr>
              <w:rPr>
                <w:rFonts w:ascii="Calibri" w:hAnsi="Calibri" w:cs="Arial"/>
                <w:sz w:val="18"/>
                <w:szCs w:val="18"/>
              </w:rPr>
            </w:pPr>
            <w:r w:rsidRPr="002E7AFE">
              <w:rPr>
                <w:rFonts w:ascii="Calibri" w:hAnsi="Calibri" w:cs="Arial"/>
                <w:sz w:val="18"/>
                <w:szCs w:val="18"/>
              </w:rPr>
              <w:t>By 2023/24 Operating Result is NOT within acceptable benchmark being a deficit of - $5M</w:t>
            </w:r>
          </w:p>
        </w:tc>
      </w:tr>
      <w:tr w:rsidR="00F37330" w:rsidRPr="002E7AFE" w14:paraId="592710B3" w14:textId="77777777" w:rsidTr="002E7AFE">
        <w:trPr>
          <w:trHeight w:val="1393"/>
        </w:trPr>
        <w:tc>
          <w:tcPr>
            <w:tcW w:w="2835" w:type="dxa"/>
            <w:shd w:val="clear" w:color="auto" w:fill="DBE5F1" w:themeFill="accent1" w:themeFillTint="33"/>
          </w:tcPr>
          <w:p w14:paraId="5278DCEE" w14:textId="77777777" w:rsidR="00F37330" w:rsidRPr="002E7AFE" w:rsidRDefault="00F37330" w:rsidP="00162D6E">
            <w:pPr>
              <w:spacing w:beforeLines="60" w:before="144" w:after="60"/>
              <w:rPr>
                <w:rFonts w:ascii="Calibri" w:hAnsi="Calibri" w:cs="Arial"/>
                <w:sz w:val="18"/>
                <w:szCs w:val="18"/>
              </w:rPr>
            </w:pPr>
            <w:r w:rsidRPr="002E7AFE">
              <w:rPr>
                <w:rFonts w:ascii="Calibri" w:hAnsi="Calibri" w:cs="Arial"/>
                <w:b/>
                <w:sz w:val="18"/>
                <w:szCs w:val="18"/>
              </w:rPr>
              <w:t xml:space="preserve">Assets Renewal Ratio: </w:t>
            </w:r>
            <w:r w:rsidRPr="002E7AFE">
              <w:rPr>
                <w:rFonts w:ascii="Calibri" w:hAnsi="Calibri" w:cs="Arial"/>
                <w:sz w:val="18"/>
                <w:szCs w:val="18"/>
              </w:rPr>
              <w:t>The Council’s ability to renew ALL built assets relative to rate at which they are depreciating.</w:t>
            </w:r>
          </w:p>
          <w:p w14:paraId="01C07E3E" w14:textId="77777777" w:rsidR="00F37330" w:rsidRPr="002E7AFE" w:rsidRDefault="00F37330" w:rsidP="00162D6E">
            <w:pPr>
              <w:spacing w:beforeLines="60" w:before="144" w:after="60"/>
              <w:rPr>
                <w:rFonts w:ascii="Calibri" w:hAnsi="Calibri" w:cs="Arial"/>
                <w:b/>
                <w:i/>
                <w:sz w:val="18"/>
                <w:szCs w:val="18"/>
              </w:rPr>
            </w:pPr>
            <w:r w:rsidRPr="002E7AFE">
              <w:rPr>
                <w:rFonts w:ascii="Calibri" w:hAnsi="Calibri" w:cs="Arial"/>
                <w:i/>
                <w:sz w:val="18"/>
                <w:szCs w:val="18"/>
              </w:rPr>
              <w:t>Benchmark: should be 100%</w:t>
            </w:r>
          </w:p>
        </w:tc>
        <w:tc>
          <w:tcPr>
            <w:tcW w:w="2977" w:type="dxa"/>
            <w:shd w:val="clear" w:color="auto" w:fill="DBE5F1" w:themeFill="accent1" w:themeFillTint="33"/>
          </w:tcPr>
          <w:p w14:paraId="50B7B397" w14:textId="77777777" w:rsidR="00F37330" w:rsidRPr="002E7AFE" w:rsidRDefault="00F37330" w:rsidP="00162D6E">
            <w:pPr>
              <w:spacing w:beforeLines="60" w:before="144"/>
              <w:rPr>
                <w:rFonts w:ascii="Calibri" w:hAnsi="Calibri" w:cs="Arial"/>
                <w:b/>
                <w:sz w:val="18"/>
                <w:szCs w:val="18"/>
              </w:rPr>
            </w:pPr>
            <w:r w:rsidRPr="002E7AFE">
              <w:rPr>
                <w:rFonts w:ascii="Calibri" w:hAnsi="Calibri" w:cs="Arial"/>
                <w:sz w:val="18"/>
                <w:szCs w:val="18"/>
              </w:rPr>
              <w:t xml:space="preserve">Under this measure by 2023/24 the Council is </w:t>
            </w:r>
            <w:r w:rsidRPr="002E7AFE">
              <w:rPr>
                <w:rFonts w:ascii="Calibri" w:hAnsi="Calibri" w:cs="Arial"/>
                <w:b/>
                <w:sz w:val="18"/>
                <w:szCs w:val="18"/>
              </w:rPr>
              <w:t>only meeting 50%</w:t>
            </w:r>
            <w:r w:rsidRPr="002E7AFE">
              <w:rPr>
                <w:rFonts w:ascii="Calibri" w:hAnsi="Calibri" w:cs="Arial"/>
                <w:sz w:val="18"/>
                <w:szCs w:val="18"/>
              </w:rPr>
              <w:t xml:space="preserve"> of its built asset funding requirement</w:t>
            </w:r>
          </w:p>
          <w:p w14:paraId="327181FF" w14:textId="77777777" w:rsidR="00F37330" w:rsidRPr="002E7AFE" w:rsidRDefault="00F37330" w:rsidP="00162D6E">
            <w:pPr>
              <w:spacing w:beforeLines="60" w:before="144" w:after="60"/>
              <w:rPr>
                <w:rFonts w:ascii="Calibri" w:hAnsi="Calibri" w:cs="Arial"/>
                <w:b/>
                <w:sz w:val="18"/>
                <w:szCs w:val="18"/>
              </w:rPr>
            </w:pPr>
          </w:p>
        </w:tc>
        <w:tc>
          <w:tcPr>
            <w:tcW w:w="2693" w:type="dxa"/>
            <w:shd w:val="clear" w:color="auto" w:fill="DBE5F1" w:themeFill="accent1" w:themeFillTint="33"/>
          </w:tcPr>
          <w:p w14:paraId="09101153" w14:textId="77777777" w:rsidR="00F37330" w:rsidRPr="002E7AFE" w:rsidRDefault="00F37330" w:rsidP="00162D6E">
            <w:pPr>
              <w:spacing w:beforeLines="60" w:before="144"/>
              <w:rPr>
                <w:rFonts w:ascii="Calibri" w:hAnsi="Calibri" w:cs="Arial"/>
                <w:sz w:val="18"/>
                <w:szCs w:val="18"/>
              </w:rPr>
            </w:pPr>
            <w:r w:rsidRPr="002E7AFE">
              <w:rPr>
                <w:rFonts w:ascii="Calibri" w:hAnsi="Calibri" w:cs="Arial"/>
                <w:sz w:val="18"/>
                <w:szCs w:val="18"/>
              </w:rPr>
              <w:t xml:space="preserve">Under this measure by 2023/24 the Council is </w:t>
            </w:r>
            <w:r w:rsidRPr="002E7AFE">
              <w:rPr>
                <w:rFonts w:ascii="Calibri" w:hAnsi="Calibri" w:cs="Arial"/>
                <w:b/>
                <w:sz w:val="18"/>
                <w:szCs w:val="18"/>
              </w:rPr>
              <w:t>only meeting 33%</w:t>
            </w:r>
            <w:r w:rsidRPr="002E7AFE">
              <w:rPr>
                <w:rFonts w:ascii="Calibri" w:hAnsi="Calibri" w:cs="Arial"/>
                <w:sz w:val="18"/>
                <w:szCs w:val="18"/>
              </w:rPr>
              <w:t xml:space="preserve"> of its built asset funding requirement</w:t>
            </w:r>
          </w:p>
          <w:p w14:paraId="48755ABE" w14:textId="77777777" w:rsidR="00F37330" w:rsidRPr="002E7AFE" w:rsidRDefault="00F37330" w:rsidP="00162D6E">
            <w:pPr>
              <w:spacing w:beforeLines="60" w:before="144" w:after="60"/>
              <w:rPr>
                <w:rFonts w:ascii="Calibri" w:hAnsi="Calibri" w:cs="Arial"/>
                <w:b/>
                <w:sz w:val="18"/>
                <w:szCs w:val="18"/>
              </w:rPr>
            </w:pPr>
          </w:p>
        </w:tc>
      </w:tr>
      <w:tr w:rsidR="00F37330" w:rsidRPr="002E7AFE" w14:paraId="563219BA" w14:textId="77777777" w:rsidTr="002E7AFE">
        <w:trPr>
          <w:trHeight w:val="2052"/>
        </w:trPr>
        <w:tc>
          <w:tcPr>
            <w:tcW w:w="2835" w:type="dxa"/>
            <w:shd w:val="clear" w:color="auto" w:fill="DBE5F1" w:themeFill="accent1" w:themeFillTint="33"/>
          </w:tcPr>
          <w:p w14:paraId="4AB88F86" w14:textId="77777777" w:rsidR="00F37330" w:rsidRPr="002E7AFE" w:rsidRDefault="00F37330" w:rsidP="00162D6E">
            <w:pPr>
              <w:spacing w:beforeLines="60" w:before="144"/>
              <w:rPr>
                <w:rFonts w:ascii="Calibri" w:hAnsi="Calibri" w:cs="Arial"/>
                <w:b/>
                <w:sz w:val="18"/>
                <w:szCs w:val="18"/>
              </w:rPr>
            </w:pPr>
            <w:r w:rsidRPr="002E7AFE">
              <w:rPr>
                <w:rFonts w:ascii="Calibri" w:hAnsi="Calibri" w:cs="Arial"/>
                <w:b/>
                <w:sz w:val="18"/>
                <w:szCs w:val="18"/>
              </w:rPr>
              <w:t>Building &amp; infrastructure Renewal Ratio:</w:t>
            </w:r>
          </w:p>
          <w:p w14:paraId="2566E21F" w14:textId="77777777" w:rsidR="00F37330" w:rsidRPr="002E7AFE" w:rsidRDefault="00F37330" w:rsidP="00162D6E">
            <w:pPr>
              <w:spacing w:beforeLines="60" w:before="144"/>
              <w:rPr>
                <w:rFonts w:ascii="Calibri" w:hAnsi="Calibri" w:cs="Arial"/>
                <w:sz w:val="18"/>
                <w:szCs w:val="18"/>
              </w:rPr>
            </w:pPr>
            <w:r w:rsidRPr="002E7AFE">
              <w:rPr>
                <w:rFonts w:ascii="Calibri" w:hAnsi="Calibri" w:cs="Arial"/>
                <w:sz w:val="18"/>
                <w:szCs w:val="18"/>
              </w:rPr>
              <w:t>The Council’s ability to fund renewal of roads, drainage and building assets to rate at which they are depreciating.</w:t>
            </w:r>
          </w:p>
          <w:p w14:paraId="76FD7BF3" w14:textId="77777777" w:rsidR="00F37330" w:rsidRPr="002E7AFE" w:rsidRDefault="00F37330" w:rsidP="00162D6E">
            <w:pPr>
              <w:spacing w:beforeLines="60" w:before="144"/>
              <w:rPr>
                <w:rFonts w:ascii="Calibri" w:hAnsi="Calibri" w:cs="Arial"/>
                <w:i/>
                <w:sz w:val="18"/>
                <w:szCs w:val="18"/>
              </w:rPr>
            </w:pPr>
            <w:r w:rsidRPr="002E7AFE">
              <w:rPr>
                <w:rFonts w:ascii="Calibri" w:hAnsi="Calibri" w:cs="Arial"/>
                <w:i/>
                <w:sz w:val="18"/>
                <w:szCs w:val="18"/>
              </w:rPr>
              <w:t>Benchmark: should be 100%</w:t>
            </w:r>
          </w:p>
        </w:tc>
        <w:tc>
          <w:tcPr>
            <w:tcW w:w="2977" w:type="dxa"/>
            <w:shd w:val="clear" w:color="auto" w:fill="DBE5F1" w:themeFill="accent1" w:themeFillTint="33"/>
          </w:tcPr>
          <w:p w14:paraId="75891E6C" w14:textId="77777777" w:rsidR="00F37330" w:rsidRPr="002E7AFE" w:rsidRDefault="00F37330" w:rsidP="00162D6E">
            <w:pPr>
              <w:spacing w:beforeLines="60" w:before="144"/>
              <w:rPr>
                <w:rFonts w:ascii="Calibri" w:hAnsi="Calibri" w:cs="Arial"/>
                <w:b/>
                <w:sz w:val="18"/>
                <w:szCs w:val="18"/>
              </w:rPr>
            </w:pPr>
            <w:r w:rsidRPr="002E7AFE">
              <w:rPr>
                <w:rFonts w:ascii="Calibri" w:hAnsi="Calibri" w:cs="Arial"/>
                <w:sz w:val="18"/>
                <w:szCs w:val="18"/>
              </w:rPr>
              <w:t xml:space="preserve">Under this measure by 2023/24 the Council is </w:t>
            </w:r>
            <w:r w:rsidRPr="002E7AFE">
              <w:rPr>
                <w:rFonts w:ascii="Calibri" w:hAnsi="Calibri" w:cs="Arial"/>
                <w:b/>
                <w:sz w:val="18"/>
                <w:szCs w:val="18"/>
              </w:rPr>
              <w:t>only meeting 54%</w:t>
            </w:r>
            <w:r w:rsidRPr="002E7AFE">
              <w:rPr>
                <w:rFonts w:ascii="Calibri" w:hAnsi="Calibri" w:cs="Arial"/>
                <w:sz w:val="18"/>
                <w:szCs w:val="18"/>
              </w:rPr>
              <w:t xml:space="preserve"> of its funding requirement</w:t>
            </w:r>
          </w:p>
          <w:p w14:paraId="28610CE6" w14:textId="77777777" w:rsidR="00F37330" w:rsidRPr="002E7AFE" w:rsidRDefault="00F37330" w:rsidP="00162D6E">
            <w:pPr>
              <w:spacing w:beforeLines="60" w:before="144" w:after="60"/>
              <w:rPr>
                <w:rFonts w:ascii="Calibri" w:hAnsi="Calibri" w:cs="Arial"/>
                <w:sz w:val="18"/>
                <w:szCs w:val="18"/>
              </w:rPr>
            </w:pPr>
          </w:p>
        </w:tc>
        <w:tc>
          <w:tcPr>
            <w:tcW w:w="2693" w:type="dxa"/>
            <w:shd w:val="clear" w:color="auto" w:fill="DBE5F1" w:themeFill="accent1" w:themeFillTint="33"/>
          </w:tcPr>
          <w:p w14:paraId="5A6CD990" w14:textId="77777777" w:rsidR="00F37330" w:rsidRPr="002E7AFE" w:rsidRDefault="00F37330" w:rsidP="00162D6E">
            <w:pPr>
              <w:spacing w:beforeLines="60" w:before="144"/>
              <w:rPr>
                <w:rFonts w:ascii="Calibri" w:hAnsi="Calibri" w:cs="Arial"/>
                <w:b/>
                <w:sz w:val="18"/>
                <w:szCs w:val="18"/>
              </w:rPr>
            </w:pPr>
            <w:r w:rsidRPr="002E7AFE">
              <w:rPr>
                <w:rFonts w:ascii="Calibri" w:hAnsi="Calibri" w:cs="Arial"/>
                <w:sz w:val="18"/>
                <w:szCs w:val="18"/>
              </w:rPr>
              <w:t xml:space="preserve">Under this measure by 2023/24 the Council is </w:t>
            </w:r>
            <w:r w:rsidRPr="002E7AFE">
              <w:rPr>
                <w:rFonts w:ascii="Calibri" w:hAnsi="Calibri" w:cs="Arial"/>
                <w:b/>
                <w:sz w:val="18"/>
                <w:szCs w:val="18"/>
              </w:rPr>
              <w:t>only meeting 33%</w:t>
            </w:r>
            <w:r w:rsidRPr="002E7AFE">
              <w:rPr>
                <w:rFonts w:ascii="Calibri" w:hAnsi="Calibri" w:cs="Arial"/>
                <w:sz w:val="18"/>
                <w:szCs w:val="18"/>
              </w:rPr>
              <w:t xml:space="preserve"> of its funding requirement</w:t>
            </w:r>
          </w:p>
          <w:p w14:paraId="1CE34746" w14:textId="77777777" w:rsidR="00F37330" w:rsidRPr="002E7AFE" w:rsidRDefault="00F37330" w:rsidP="00162D6E">
            <w:pPr>
              <w:spacing w:beforeLines="60" w:before="144" w:after="60"/>
              <w:rPr>
                <w:rFonts w:ascii="Calibri" w:hAnsi="Calibri" w:cs="Arial"/>
                <w:sz w:val="18"/>
                <w:szCs w:val="18"/>
              </w:rPr>
            </w:pPr>
          </w:p>
        </w:tc>
      </w:tr>
      <w:tr w:rsidR="00F37330" w:rsidRPr="002E7AFE" w14:paraId="272546D6" w14:textId="77777777" w:rsidTr="002E7AFE">
        <w:trPr>
          <w:trHeight w:val="1713"/>
        </w:trPr>
        <w:tc>
          <w:tcPr>
            <w:tcW w:w="2835" w:type="dxa"/>
            <w:shd w:val="clear" w:color="auto" w:fill="DBE5F1" w:themeFill="accent1" w:themeFillTint="33"/>
          </w:tcPr>
          <w:p w14:paraId="5B11D17B" w14:textId="77777777" w:rsidR="00F37330" w:rsidRPr="002E7AFE" w:rsidRDefault="00F37330" w:rsidP="00162D6E">
            <w:pPr>
              <w:spacing w:beforeLines="60" w:before="144"/>
              <w:rPr>
                <w:rFonts w:ascii="Calibri" w:hAnsi="Calibri" w:cs="Arial"/>
                <w:sz w:val="18"/>
                <w:szCs w:val="18"/>
              </w:rPr>
            </w:pPr>
            <w:r w:rsidRPr="002E7AFE">
              <w:rPr>
                <w:rFonts w:ascii="Calibri" w:hAnsi="Calibri" w:cs="Arial"/>
                <w:b/>
                <w:sz w:val="18"/>
                <w:szCs w:val="18"/>
              </w:rPr>
              <w:t>Debt Service Ratio:</w:t>
            </w:r>
            <w:r w:rsidRPr="002E7AFE">
              <w:rPr>
                <w:rFonts w:ascii="Calibri" w:hAnsi="Calibri" w:cs="Arial"/>
                <w:sz w:val="18"/>
                <w:szCs w:val="18"/>
              </w:rPr>
              <w:t xml:space="preserve"> </w:t>
            </w:r>
          </w:p>
          <w:p w14:paraId="559E3E83" w14:textId="77777777" w:rsidR="00F37330" w:rsidRPr="002E7AFE" w:rsidRDefault="00F37330" w:rsidP="00162D6E">
            <w:pPr>
              <w:spacing w:beforeLines="60" w:before="144"/>
              <w:rPr>
                <w:rFonts w:ascii="Calibri" w:hAnsi="Calibri" w:cs="Arial"/>
                <w:sz w:val="18"/>
                <w:szCs w:val="18"/>
              </w:rPr>
            </w:pPr>
            <w:r w:rsidRPr="002E7AFE">
              <w:rPr>
                <w:rFonts w:ascii="Calibri" w:hAnsi="Calibri" w:cs="Arial"/>
                <w:sz w:val="18"/>
                <w:szCs w:val="18"/>
              </w:rPr>
              <w:t>The percentage of Council revenue used to service debt</w:t>
            </w:r>
          </w:p>
          <w:p w14:paraId="32D117D5" w14:textId="77777777" w:rsidR="00F37330" w:rsidRPr="002E7AFE" w:rsidRDefault="00F37330" w:rsidP="00162D6E">
            <w:pPr>
              <w:spacing w:beforeLines="60" w:before="144"/>
              <w:rPr>
                <w:rFonts w:ascii="Calibri" w:hAnsi="Calibri" w:cs="Arial"/>
                <w:i/>
                <w:sz w:val="18"/>
                <w:szCs w:val="18"/>
              </w:rPr>
            </w:pPr>
            <w:r w:rsidRPr="002E7AFE">
              <w:rPr>
                <w:rFonts w:ascii="Calibri" w:hAnsi="Calibri" w:cs="Arial"/>
                <w:i/>
                <w:sz w:val="18"/>
                <w:szCs w:val="18"/>
              </w:rPr>
              <w:t xml:space="preserve">Benchmark: </w:t>
            </w:r>
            <w:r w:rsidRPr="002E7AFE">
              <w:rPr>
                <w:rFonts w:ascii="Calibri" w:hAnsi="Calibri" w:cs="Arial"/>
                <w:i/>
                <w:sz w:val="18"/>
                <w:szCs w:val="18"/>
              </w:rPr>
              <w:br/>
              <w:t>should be below 10%</w:t>
            </w:r>
          </w:p>
        </w:tc>
        <w:tc>
          <w:tcPr>
            <w:tcW w:w="2977" w:type="dxa"/>
            <w:shd w:val="clear" w:color="auto" w:fill="DBE5F1" w:themeFill="accent1" w:themeFillTint="33"/>
          </w:tcPr>
          <w:p w14:paraId="1A8C23F8" w14:textId="77777777" w:rsidR="00F37330" w:rsidRPr="002E7AFE" w:rsidRDefault="00F37330" w:rsidP="00162D6E">
            <w:pPr>
              <w:spacing w:beforeLines="60" w:before="144" w:after="60"/>
              <w:rPr>
                <w:rFonts w:ascii="Calibri" w:hAnsi="Calibri" w:cs="Arial"/>
                <w:sz w:val="18"/>
                <w:szCs w:val="18"/>
              </w:rPr>
            </w:pPr>
            <w:r w:rsidRPr="002E7AFE">
              <w:rPr>
                <w:rFonts w:ascii="Calibri" w:hAnsi="Calibri" w:cs="Arial"/>
                <w:sz w:val="18"/>
                <w:szCs w:val="18"/>
              </w:rPr>
              <w:t xml:space="preserve">By 2023/24 debt ratio is </w:t>
            </w:r>
            <w:r w:rsidRPr="002E7AFE">
              <w:rPr>
                <w:rFonts w:ascii="Calibri" w:hAnsi="Calibri" w:cs="Arial"/>
                <w:b/>
                <w:sz w:val="18"/>
                <w:szCs w:val="18"/>
              </w:rPr>
              <w:t>4.2%</w:t>
            </w:r>
            <w:r w:rsidRPr="002E7AFE">
              <w:rPr>
                <w:rFonts w:ascii="Calibri" w:hAnsi="Calibri" w:cs="Arial"/>
                <w:sz w:val="18"/>
                <w:szCs w:val="18"/>
              </w:rPr>
              <w:t xml:space="preserve"> </w:t>
            </w:r>
          </w:p>
        </w:tc>
        <w:tc>
          <w:tcPr>
            <w:tcW w:w="2693" w:type="dxa"/>
            <w:shd w:val="clear" w:color="auto" w:fill="DBE5F1" w:themeFill="accent1" w:themeFillTint="33"/>
          </w:tcPr>
          <w:p w14:paraId="4D2BDF60" w14:textId="77777777" w:rsidR="00F37330" w:rsidRPr="002E7AFE" w:rsidRDefault="00F37330" w:rsidP="00162D6E">
            <w:pPr>
              <w:spacing w:beforeLines="60" w:before="144" w:after="60"/>
              <w:rPr>
                <w:rFonts w:ascii="Calibri" w:hAnsi="Calibri" w:cs="Arial"/>
                <w:sz w:val="18"/>
                <w:szCs w:val="18"/>
                <w:shd w:val="clear" w:color="auto" w:fill="FFFFFF" w:themeFill="background1"/>
              </w:rPr>
            </w:pPr>
            <w:r w:rsidRPr="002E7AFE">
              <w:rPr>
                <w:rFonts w:ascii="Calibri" w:hAnsi="Calibri" w:cs="Arial"/>
                <w:sz w:val="18"/>
                <w:szCs w:val="18"/>
              </w:rPr>
              <w:t xml:space="preserve">By 2023/24 debt ratio is </w:t>
            </w:r>
            <w:r w:rsidRPr="002E7AFE">
              <w:rPr>
                <w:rFonts w:ascii="Calibri" w:hAnsi="Calibri" w:cs="Arial"/>
                <w:b/>
                <w:sz w:val="18"/>
                <w:szCs w:val="18"/>
              </w:rPr>
              <w:t>4.8%</w:t>
            </w:r>
          </w:p>
        </w:tc>
      </w:tr>
      <w:tr w:rsidR="00F37330" w:rsidRPr="002E7AFE" w14:paraId="6C9F57BA" w14:textId="77777777" w:rsidTr="002E7AFE">
        <w:trPr>
          <w:trHeight w:val="1988"/>
        </w:trPr>
        <w:tc>
          <w:tcPr>
            <w:tcW w:w="2835" w:type="dxa"/>
            <w:shd w:val="clear" w:color="auto" w:fill="DBE5F1" w:themeFill="accent1" w:themeFillTint="33"/>
          </w:tcPr>
          <w:p w14:paraId="5C1B34DD" w14:textId="77777777" w:rsidR="00F37330" w:rsidRPr="002E7AFE" w:rsidRDefault="00F37330" w:rsidP="00162D6E">
            <w:pPr>
              <w:spacing w:before="120"/>
              <w:rPr>
                <w:rFonts w:ascii="Calibri" w:hAnsi="Calibri" w:cs="Arial"/>
                <w:b/>
                <w:sz w:val="18"/>
                <w:szCs w:val="18"/>
              </w:rPr>
            </w:pPr>
            <w:r w:rsidRPr="002E7AFE">
              <w:rPr>
                <w:rFonts w:ascii="Calibri" w:hAnsi="Calibri" w:cs="Arial"/>
                <w:b/>
                <w:sz w:val="18"/>
                <w:szCs w:val="18"/>
              </w:rPr>
              <w:t>Summary</w:t>
            </w:r>
          </w:p>
        </w:tc>
        <w:tc>
          <w:tcPr>
            <w:tcW w:w="2977" w:type="dxa"/>
            <w:shd w:val="clear" w:color="auto" w:fill="DBE5F1" w:themeFill="accent1" w:themeFillTint="33"/>
          </w:tcPr>
          <w:p w14:paraId="1AC7FA2C" w14:textId="77777777" w:rsidR="00F37330" w:rsidRPr="002E7AFE" w:rsidRDefault="00F37330" w:rsidP="00162D6E">
            <w:pPr>
              <w:spacing w:before="120"/>
              <w:rPr>
                <w:rFonts w:ascii="Calibri" w:hAnsi="Calibri" w:cs="Arial"/>
                <w:b/>
                <w:sz w:val="18"/>
                <w:szCs w:val="18"/>
              </w:rPr>
            </w:pPr>
            <w:r w:rsidRPr="002E7AFE">
              <w:rPr>
                <w:rFonts w:ascii="Calibri" w:hAnsi="Calibri" w:cs="Arial"/>
                <w:b/>
                <w:sz w:val="18"/>
                <w:szCs w:val="18"/>
              </w:rPr>
              <w:t xml:space="preserve">Significant improvement </w:t>
            </w:r>
          </w:p>
          <w:p w14:paraId="04D53571" w14:textId="77777777" w:rsidR="00F37330" w:rsidRPr="002E7AFE" w:rsidRDefault="00F37330" w:rsidP="00162D6E">
            <w:pPr>
              <w:rPr>
                <w:rFonts w:ascii="Calibri" w:hAnsi="Calibri" w:cs="Arial"/>
                <w:sz w:val="18"/>
                <w:szCs w:val="18"/>
              </w:rPr>
            </w:pPr>
            <w:r w:rsidRPr="002E7AFE">
              <w:rPr>
                <w:rFonts w:ascii="Calibri" w:hAnsi="Calibri" w:cs="Arial"/>
                <w:sz w:val="18"/>
                <w:szCs w:val="18"/>
              </w:rPr>
              <w:t xml:space="preserve">in most key financial performance measures (particularly the Operating Result) </w:t>
            </w:r>
            <w:r w:rsidRPr="002E7AFE">
              <w:rPr>
                <w:rFonts w:ascii="Calibri" w:hAnsi="Calibri" w:cs="Arial"/>
                <w:sz w:val="18"/>
                <w:szCs w:val="18"/>
              </w:rPr>
              <w:br/>
              <w:t>with a need to continue addressing built asset funding shortfall</w:t>
            </w:r>
          </w:p>
        </w:tc>
        <w:tc>
          <w:tcPr>
            <w:tcW w:w="2693" w:type="dxa"/>
            <w:shd w:val="clear" w:color="auto" w:fill="DBE5F1" w:themeFill="accent1" w:themeFillTint="33"/>
          </w:tcPr>
          <w:p w14:paraId="13F9231E" w14:textId="77777777" w:rsidR="00F37330" w:rsidRPr="002E7AFE" w:rsidRDefault="00F37330" w:rsidP="00162D6E">
            <w:pPr>
              <w:spacing w:before="120" w:after="60"/>
              <w:rPr>
                <w:rFonts w:ascii="Calibri" w:hAnsi="Calibri" w:cs="Arial"/>
                <w:b/>
                <w:sz w:val="18"/>
                <w:szCs w:val="18"/>
              </w:rPr>
            </w:pPr>
            <w:r w:rsidRPr="002E7AFE">
              <w:rPr>
                <w:rFonts w:ascii="Calibri" w:hAnsi="Calibri" w:cs="Arial"/>
                <w:b/>
                <w:sz w:val="18"/>
                <w:szCs w:val="18"/>
              </w:rPr>
              <w:t xml:space="preserve">Unsustainable financial position      </w:t>
            </w:r>
            <w:r w:rsidRPr="002E7AFE">
              <w:rPr>
                <w:rFonts w:ascii="Calibri" w:hAnsi="Calibri" w:cs="Arial"/>
                <w:b/>
                <w:sz w:val="18"/>
                <w:szCs w:val="18"/>
              </w:rPr>
              <w:br/>
            </w:r>
            <w:r w:rsidRPr="002E7AFE">
              <w:rPr>
                <w:rFonts w:ascii="Calibri" w:hAnsi="Calibri" w:cs="Arial"/>
                <w:sz w:val="18"/>
                <w:szCs w:val="18"/>
              </w:rPr>
              <w:t>with significant deterioration in built infrastructure</w:t>
            </w:r>
          </w:p>
          <w:p w14:paraId="57C4FD9B" w14:textId="77777777" w:rsidR="00F37330" w:rsidRPr="002E7AFE" w:rsidRDefault="00F37330" w:rsidP="00162D6E">
            <w:pPr>
              <w:spacing w:before="60" w:after="60"/>
              <w:rPr>
                <w:rFonts w:ascii="Calibri" w:hAnsi="Calibri" w:cs="Arial"/>
                <w:sz w:val="18"/>
                <w:szCs w:val="18"/>
              </w:rPr>
            </w:pPr>
          </w:p>
          <w:p w14:paraId="3B41F6A1" w14:textId="77777777" w:rsidR="00F37330" w:rsidRPr="002E7AFE" w:rsidRDefault="00F37330" w:rsidP="00162D6E">
            <w:pPr>
              <w:pStyle w:val="ListParagraph"/>
              <w:rPr>
                <w:sz w:val="18"/>
                <w:szCs w:val="18"/>
              </w:rPr>
            </w:pPr>
          </w:p>
        </w:tc>
      </w:tr>
    </w:tbl>
    <w:p w14:paraId="6608D059" w14:textId="3ACA06C2" w:rsidR="008A6D6D" w:rsidRPr="00E34476" w:rsidRDefault="008A6D6D" w:rsidP="000D5456">
      <w:pPr>
        <w:pStyle w:val="Heading3"/>
        <w:tabs>
          <w:tab w:val="clear" w:pos="1844"/>
          <w:tab w:val="num" w:pos="709"/>
        </w:tabs>
        <w:ind w:left="709"/>
      </w:pPr>
      <w:r w:rsidRPr="00E34476">
        <w:t xml:space="preserve">Operating </w:t>
      </w:r>
      <w:r>
        <w:t xml:space="preserve">Balance </w:t>
      </w:r>
      <w:r w:rsidRPr="00E34476">
        <w:t>(incl. depreciation, excluding capital revenue)</w:t>
      </w:r>
      <w:r>
        <w:t xml:space="preserve"> - $ </w:t>
      </w:r>
      <w:r w:rsidR="007F2AF4">
        <w:t>/</w:t>
      </w:r>
      <w:r>
        <w:t xml:space="preserve"> %</w:t>
      </w:r>
    </w:p>
    <w:p w14:paraId="7B2DC94F" w14:textId="77777777" w:rsidR="008A6D6D" w:rsidRPr="008022C5" w:rsidRDefault="008A6D6D" w:rsidP="00E45C2D">
      <w:pPr>
        <w:spacing w:before="120" w:after="60" w:line="276" w:lineRule="auto"/>
        <w:jc w:val="both"/>
        <w:rPr>
          <w:rFonts w:ascii="Arial" w:hAnsi="Arial" w:cs="Arial"/>
          <w:i/>
          <w:sz w:val="20"/>
          <w:szCs w:val="20"/>
        </w:rPr>
      </w:pPr>
      <w:bookmarkStart w:id="34" w:name="_Ref394050024"/>
      <w:bookmarkStart w:id="35" w:name="_Toc394487385"/>
      <w:bookmarkStart w:id="36" w:name="_Toc394487457"/>
      <w:r w:rsidRPr="008022C5">
        <w:rPr>
          <w:rFonts w:ascii="Arial" w:hAnsi="Arial" w:cs="Arial"/>
          <w:i/>
          <w:sz w:val="20"/>
          <w:szCs w:val="20"/>
        </w:rPr>
        <w:t xml:space="preserve">Proposed special </w:t>
      </w:r>
      <w:r>
        <w:rPr>
          <w:rFonts w:ascii="Arial" w:hAnsi="Arial" w:cs="Arial"/>
          <w:i/>
          <w:sz w:val="20"/>
          <w:szCs w:val="20"/>
        </w:rPr>
        <w:t>v</w:t>
      </w:r>
      <w:r w:rsidRPr="008022C5">
        <w:rPr>
          <w:rFonts w:ascii="Arial" w:hAnsi="Arial" w:cs="Arial"/>
          <w:i/>
          <w:sz w:val="20"/>
          <w:szCs w:val="20"/>
        </w:rPr>
        <w:t>ariation</w:t>
      </w:r>
      <w:r>
        <w:rPr>
          <w:rFonts w:ascii="Arial" w:hAnsi="Arial" w:cs="Arial"/>
          <w:i/>
          <w:sz w:val="20"/>
          <w:szCs w:val="20"/>
        </w:rPr>
        <w:t xml:space="preserve"> (Scenario 1)</w:t>
      </w:r>
    </w:p>
    <w:p w14:paraId="2690D9E1" w14:textId="77777777" w:rsidR="008A6D6D" w:rsidRDefault="008A6D6D" w:rsidP="00E45C2D">
      <w:pPr>
        <w:spacing w:line="276" w:lineRule="auto"/>
        <w:jc w:val="both"/>
        <w:rPr>
          <w:rFonts w:ascii="Arial" w:hAnsi="Arial" w:cs="Arial"/>
          <w:sz w:val="20"/>
          <w:szCs w:val="20"/>
        </w:rPr>
      </w:pPr>
      <w:r w:rsidRPr="00BF6931">
        <w:rPr>
          <w:rFonts w:ascii="Arial" w:hAnsi="Arial" w:cs="Arial"/>
          <w:sz w:val="20"/>
          <w:szCs w:val="20"/>
        </w:rPr>
        <w:t>Under the proposed special variation</w:t>
      </w:r>
      <w:r>
        <w:rPr>
          <w:rFonts w:ascii="Arial" w:hAnsi="Arial" w:cs="Arial"/>
          <w:sz w:val="20"/>
          <w:szCs w:val="20"/>
        </w:rPr>
        <w:t>,</w:t>
      </w:r>
      <w:r w:rsidRPr="00E34476">
        <w:rPr>
          <w:rFonts w:ascii="Arial" w:hAnsi="Arial" w:cs="Arial"/>
          <w:sz w:val="20"/>
          <w:szCs w:val="20"/>
        </w:rPr>
        <w:t xml:space="preserve"> the Council has sufficient revenue (excluding capital items) to cover expenditure requirements (including depreciation)</w:t>
      </w:r>
      <w:r>
        <w:rPr>
          <w:rFonts w:ascii="Arial" w:hAnsi="Arial" w:cs="Arial"/>
          <w:sz w:val="20"/>
          <w:szCs w:val="20"/>
        </w:rPr>
        <w:t xml:space="preserve">. A surplus operating balance is achieved by 2018/19 and it remains within the target range of +1% to -1%. </w:t>
      </w:r>
    </w:p>
    <w:p w14:paraId="1E036216" w14:textId="77777777" w:rsidR="008A6D6D" w:rsidRDefault="008A6D6D" w:rsidP="00E45C2D">
      <w:pPr>
        <w:spacing w:line="276" w:lineRule="auto"/>
        <w:jc w:val="both"/>
        <w:rPr>
          <w:rFonts w:ascii="Arial" w:hAnsi="Arial" w:cs="Arial"/>
          <w:sz w:val="20"/>
          <w:szCs w:val="20"/>
        </w:rPr>
      </w:pPr>
    </w:p>
    <w:p w14:paraId="02D69533" w14:textId="77777777" w:rsidR="008A6D6D" w:rsidRDefault="008A6D6D" w:rsidP="00E45C2D">
      <w:pPr>
        <w:spacing w:line="276" w:lineRule="auto"/>
        <w:jc w:val="both"/>
        <w:rPr>
          <w:rFonts w:ascii="Arial" w:hAnsi="Arial" w:cs="Arial"/>
          <w:sz w:val="20"/>
          <w:szCs w:val="20"/>
        </w:rPr>
      </w:pPr>
      <w:r>
        <w:rPr>
          <w:rFonts w:ascii="Arial" w:hAnsi="Arial" w:cs="Arial"/>
          <w:sz w:val="20"/>
          <w:szCs w:val="20"/>
        </w:rPr>
        <w:t>The ratio indicates the Council is financially sustainable and is in a much stronger position to address the significant infrastructure renewal and maintenance backlog, reverse the decline in the City’s built assets, improve capacity to prepare and respond to bushfire and other emergencies and continue protecting the environment.</w:t>
      </w:r>
    </w:p>
    <w:p w14:paraId="7D2689A2" w14:textId="77777777" w:rsidR="008A6D6D" w:rsidRDefault="008A6D6D" w:rsidP="00E45C2D">
      <w:pPr>
        <w:spacing w:line="276" w:lineRule="auto"/>
        <w:jc w:val="both"/>
        <w:rPr>
          <w:rFonts w:ascii="Arial" w:hAnsi="Arial" w:cs="Arial"/>
          <w:sz w:val="20"/>
          <w:szCs w:val="20"/>
        </w:rPr>
      </w:pPr>
    </w:p>
    <w:p w14:paraId="7DE6860F" w14:textId="77777777" w:rsidR="008A6D6D" w:rsidRPr="00975B76" w:rsidRDefault="008A6D6D" w:rsidP="00E45C2D">
      <w:pPr>
        <w:spacing w:after="60" w:line="276" w:lineRule="auto"/>
        <w:jc w:val="both"/>
        <w:rPr>
          <w:rFonts w:ascii="Arial" w:hAnsi="Arial" w:cs="Arial"/>
          <w:i/>
          <w:sz w:val="20"/>
          <w:szCs w:val="20"/>
        </w:rPr>
      </w:pPr>
      <w:r w:rsidRPr="00975B76">
        <w:rPr>
          <w:rFonts w:ascii="Arial" w:hAnsi="Arial" w:cs="Arial"/>
          <w:i/>
          <w:sz w:val="20"/>
          <w:szCs w:val="20"/>
        </w:rPr>
        <w:t>No special variation</w:t>
      </w:r>
      <w:r>
        <w:rPr>
          <w:rFonts w:ascii="Arial" w:hAnsi="Arial" w:cs="Arial"/>
          <w:i/>
          <w:sz w:val="20"/>
          <w:szCs w:val="20"/>
        </w:rPr>
        <w:t xml:space="preserve"> (Scenario 3)</w:t>
      </w:r>
    </w:p>
    <w:p w14:paraId="0FB1D5FA" w14:textId="17E23382" w:rsidR="008A6D6D" w:rsidRDefault="008A6D6D" w:rsidP="00E45C2D">
      <w:pPr>
        <w:spacing w:after="60" w:line="276" w:lineRule="auto"/>
        <w:jc w:val="both"/>
        <w:rPr>
          <w:rFonts w:ascii="Arial" w:hAnsi="Arial" w:cs="Arial"/>
          <w:sz w:val="20"/>
          <w:szCs w:val="20"/>
        </w:rPr>
      </w:pPr>
      <w:r>
        <w:rPr>
          <w:rFonts w:ascii="Arial" w:hAnsi="Arial" w:cs="Arial"/>
          <w:sz w:val="20"/>
          <w:szCs w:val="20"/>
        </w:rPr>
        <w:t>Under No special variation, t</w:t>
      </w:r>
      <w:r w:rsidRPr="00E34476">
        <w:rPr>
          <w:rFonts w:ascii="Arial" w:hAnsi="Arial" w:cs="Arial"/>
          <w:sz w:val="20"/>
          <w:szCs w:val="20"/>
        </w:rPr>
        <w:t xml:space="preserve">he Council is unable to meet the </w:t>
      </w:r>
      <w:r>
        <w:rPr>
          <w:rFonts w:ascii="Arial" w:hAnsi="Arial" w:cs="Arial"/>
          <w:sz w:val="20"/>
          <w:szCs w:val="20"/>
        </w:rPr>
        <w:t>target range</w:t>
      </w:r>
      <w:r w:rsidRPr="00E34476">
        <w:rPr>
          <w:rFonts w:ascii="Arial" w:hAnsi="Arial" w:cs="Arial"/>
          <w:sz w:val="20"/>
          <w:szCs w:val="20"/>
        </w:rPr>
        <w:t xml:space="preserve"> over the life of the </w:t>
      </w:r>
      <w:r w:rsidRPr="00975B76">
        <w:rPr>
          <w:rFonts w:ascii="Arial" w:hAnsi="Arial" w:cs="Arial"/>
          <w:sz w:val="20"/>
          <w:szCs w:val="20"/>
        </w:rPr>
        <w:t>LTFP,</w:t>
      </w:r>
      <w:r w:rsidRPr="00E34476">
        <w:rPr>
          <w:rFonts w:ascii="Arial" w:hAnsi="Arial" w:cs="Arial"/>
          <w:sz w:val="20"/>
          <w:szCs w:val="20"/>
        </w:rPr>
        <w:t xml:space="preserve"> indicating an unsustainable financial position.</w:t>
      </w:r>
      <w:r>
        <w:rPr>
          <w:rFonts w:ascii="Arial" w:hAnsi="Arial" w:cs="Arial"/>
          <w:sz w:val="20"/>
          <w:szCs w:val="20"/>
        </w:rPr>
        <w:t xml:space="preserve">  The Council’s Operating Balance remains in deficit with operating revenue (with rate revenue Rate Pegged) unable to cover operating costs</w:t>
      </w:r>
      <w:r w:rsidR="00DD7471">
        <w:rPr>
          <w:rFonts w:ascii="Arial" w:hAnsi="Arial" w:cs="Arial"/>
          <w:sz w:val="20"/>
          <w:szCs w:val="20"/>
        </w:rPr>
        <w:t xml:space="preserve"> (see </w:t>
      </w:r>
      <w:r w:rsidR="00DD7471" w:rsidRPr="00803D3E">
        <w:rPr>
          <w:rFonts w:ascii="Arial" w:hAnsi="Arial" w:cs="Arial"/>
          <w:b/>
          <w:sz w:val="20"/>
          <w:szCs w:val="20"/>
        </w:rPr>
        <w:t>Figure</w:t>
      </w:r>
      <w:r w:rsidR="00803D3E">
        <w:rPr>
          <w:rFonts w:ascii="Arial" w:hAnsi="Arial" w:cs="Arial"/>
          <w:b/>
          <w:sz w:val="20"/>
          <w:szCs w:val="20"/>
        </w:rPr>
        <w:t>s</w:t>
      </w:r>
      <w:r w:rsidR="00DD7471" w:rsidRPr="00803D3E">
        <w:rPr>
          <w:rFonts w:ascii="Arial" w:hAnsi="Arial" w:cs="Arial"/>
          <w:b/>
          <w:sz w:val="20"/>
          <w:szCs w:val="20"/>
        </w:rPr>
        <w:t xml:space="preserve"> 3.10</w:t>
      </w:r>
      <w:r w:rsidR="00DD7471">
        <w:rPr>
          <w:rFonts w:ascii="Arial" w:hAnsi="Arial" w:cs="Arial"/>
          <w:sz w:val="20"/>
          <w:szCs w:val="20"/>
        </w:rPr>
        <w:t xml:space="preserve"> </w:t>
      </w:r>
      <w:r w:rsidR="00803D3E">
        <w:rPr>
          <w:rFonts w:ascii="Arial" w:hAnsi="Arial" w:cs="Arial"/>
          <w:sz w:val="20"/>
          <w:szCs w:val="20"/>
        </w:rPr>
        <w:t xml:space="preserve">and </w:t>
      </w:r>
      <w:r w:rsidR="00803D3E" w:rsidRPr="00803D3E">
        <w:rPr>
          <w:rFonts w:ascii="Arial" w:hAnsi="Arial" w:cs="Arial"/>
          <w:b/>
          <w:sz w:val="20"/>
          <w:szCs w:val="20"/>
        </w:rPr>
        <w:t>3.11</w:t>
      </w:r>
      <w:r w:rsidR="00803D3E">
        <w:rPr>
          <w:rFonts w:ascii="Arial" w:hAnsi="Arial" w:cs="Arial"/>
          <w:sz w:val="20"/>
          <w:szCs w:val="20"/>
        </w:rPr>
        <w:t xml:space="preserve"> </w:t>
      </w:r>
      <w:r w:rsidR="00DD7471">
        <w:rPr>
          <w:rFonts w:ascii="Arial" w:hAnsi="Arial" w:cs="Arial"/>
          <w:sz w:val="20"/>
          <w:szCs w:val="20"/>
        </w:rPr>
        <w:t>below)</w:t>
      </w:r>
      <w:r>
        <w:rPr>
          <w:rFonts w:ascii="Arial" w:hAnsi="Arial" w:cs="Arial"/>
          <w:sz w:val="20"/>
          <w:szCs w:val="20"/>
        </w:rPr>
        <w:t>. The deficit Operating Balance results in the Council being unable to satisfactorily fund infrastructure renewal and maintenance, nor improve capacity to prepare and respond to bushfire and other emergencies or continue to protect the environment.  This would require significant risk management by the Council – including closure and removal of unsafe facilities and infrastructure. The underfunding in the Base Case (no SV), is reflected in the Council’s Asset Renewal Ratio at 33% by 2024 and in the Council’s Service Dashboards – Summary Service and Asset Plans that reflect an estimated 37% of built assets in poor condition by 2024 (compared to 21% currently in 2014/15).</w:t>
      </w:r>
    </w:p>
    <w:p w14:paraId="346A9A48" w14:textId="77777777" w:rsidR="008A6D6D" w:rsidRDefault="008A6D6D" w:rsidP="00E45C2D">
      <w:pPr>
        <w:spacing w:after="60" w:line="276" w:lineRule="auto"/>
        <w:jc w:val="both"/>
        <w:rPr>
          <w:rFonts w:ascii="Arial" w:hAnsi="Arial" w:cs="Arial"/>
          <w:sz w:val="20"/>
          <w:szCs w:val="20"/>
        </w:rPr>
      </w:pPr>
    </w:p>
    <w:p w14:paraId="78AD9A6A" w14:textId="77777777" w:rsidR="008A6D6D" w:rsidRDefault="008A6D6D" w:rsidP="00E45C2D">
      <w:pPr>
        <w:spacing w:after="60" w:line="276" w:lineRule="auto"/>
        <w:jc w:val="both"/>
        <w:rPr>
          <w:rFonts w:ascii="Arial" w:hAnsi="Arial" w:cs="Arial"/>
          <w:sz w:val="20"/>
          <w:szCs w:val="20"/>
        </w:rPr>
      </w:pPr>
      <w:r w:rsidRPr="00E34476">
        <w:rPr>
          <w:rFonts w:ascii="Arial" w:hAnsi="Arial" w:cs="Arial"/>
          <w:sz w:val="20"/>
          <w:szCs w:val="20"/>
        </w:rPr>
        <w:t xml:space="preserve">Operating expenditure and resulting service levels are being constrained and reduced to provide additional funding towards the Asset Works Program and this allows the operating result to improve somewhat however the operating result is still well short of the </w:t>
      </w:r>
      <w:r>
        <w:rPr>
          <w:rFonts w:ascii="Arial" w:hAnsi="Arial" w:cs="Arial"/>
          <w:sz w:val="20"/>
          <w:szCs w:val="20"/>
        </w:rPr>
        <w:t>target range</w:t>
      </w:r>
      <w:r w:rsidRPr="00E34476">
        <w:rPr>
          <w:rFonts w:ascii="Arial" w:hAnsi="Arial" w:cs="Arial"/>
          <w:sz w:val="20"/>
          <w:szCs w:val="20"/>
        </w:rPr>
        <w:t xml:space="preserve">. </w:t>
      </w:r>
    </w:p>
    <w:p w14:paraId="3CFA49C5" w14:textId="2D7D0BDA" w:rsidR="008A6D6D" w:rsidRPr="003B5CED" w:rsidRDefault="00FA0E8D" w:rsidP="00E45C2D">
      <w:pPr>
        <w:spacing w:before="240" w:line="276" w:lineRule="auto"/>
        <w:rPr>
          <w:rFonts w:ascii="Arial" w:hAnsi="Arial" w:cs="Arial"/>
          <w:b/>
          <w:sz w:val="18"/>
          <w:szCs w:val="18"/>
        </w:rPr>
      </w:pPr>
      <w:r w:rsidRPr="003B5CED">
        <w:rPr>
          <w:rFonts w:ascii="Arial" w:hAnsi="Arial" w:cs="Arial"/>
          <w:b/>
          <w:sz w:val="18"/>
          <w:szCs w:val="18"/>
        </w:rPr>
        <w:t>Figure 3.10</w:t>
      </w:r>
      <w:r w:rsidR="003B5CED" w:rsidRPr="003B5CED">
        <w:rPr>
          <w:rFonts w:ascii="Arial" w:hAnsi="Arial" w:cs="Arial"/>
          <w:b/>
          <w:sz w:val="18"/>
          <w:szCs w:val="18"/>
        </w:rPr>
        <w:t>:</w:t>
      </w:r>
      <w:r w:rsidR="008A6D6D" w:rsidRPr="003B5CED">
        <w:rPr>
          <w:rFonts w:ascii="Arial" w:hAnsi="Arial" w:cs="Arial"/>
          <w:b/>
          <w:sz w:val="18"/>
          <w:szCs w:val="18"/>
        </w:rPr>
        <w:t xml:space="preserve">  </w:t>
      </w:r>
      <w:r w:rsidR="00A92BE4">
        <w:rPr>
          <w:rFonts w:ascii="Arial" w:hAnsi="Arial" w:cs="Arial"/>
          <w:b/>
          <w:sz w:val="18"/>
          <w:szCs w:val="18"/>
        </w:rPr>
        <w:t xml:space="preserve">Financial scenarios 1 and 3 - </w:t>
      </w:r>
      <w:r w:rsidR="008A6D6D" w:rsidRPr="003B5CED">
        <w:rPr>
          <w:rFonts w:ascii="Arial" w:hAnsi="Arial" w:cs="Arial"/>
          <w:b/>
          <w:sz w:val="18"/>
          <w:szCs w:val="18"/>
        </w:rPr>
        <w:t xml:space="preserve">10-year projection </w:t>
      </w:r>
      <w:r w:rsidR="00A92BE4">
        <w:rPr>
          <w:rFonts w:ascii="Arial" w:hAnsi="Arial" w:cs="Arial"/>
          <w:b/>
          <w:sz w:val="18"/>
          <w:szCs w:val="18"/>
        </w:rPr>
        <w:t>of</w:t>
      </w:r>
      <w:r w:rsidR="008A6D6D" w:rsidRPr="003B5CED">
        <w:rPr>
          <w:rFonts w:ascii="Arial" w:hAnsi="Arial" w:cs="Arial"/>
          <w:b/>
          <w:sz w:val="18"/>
          <w:szCs w:val="18"/>
        </w:rPr>
        <w:t xml:space="preserve"> Operating Balance (%)</w:t>
      </w:r>
      <w:bookmarkEnd w:id="34"/>
      <w:bookmarkEnd w:id="35"/>
      <w:bookmarkEnd w:id="36"/>
      <w:r w:rsidR="008A6D6D" w:rsidRPr="003B5CED">
        <w:rPr>
          <w:rFonts w:ascii="Arial" w:hAnsi="Arial" w:cs="Arial"/>
          <w:b/>
          <w:sz w:val="18"/>
          <w:szCs w:val="18"/>
        </w:rPr>
        <w:t xml:space="preserve"> </w:t>
      </w:r>
    </w:p>
    <w:p w14:paraId="68ECD7E4" w14:textId="77777777" w:rsidR="008A6D6D" w:rsidRPr="00E34476" w:rsidRDefault="008A6D6D" w:rsidP="008A6D6D">
      <w:pPr>
        <w:spacing w:before="240" w:line="360" w:lineRule="auto"/>
        <w:rPr>
          <w:rFonts w:ascii="Arial" w:hAnsi="Arial" w:cs="Arial"/>
          <w:color w:val="231F20"/>
          <w:sz w:val="20"/>
          <w:szCs w:val="20"/>
        </w:rPr>
      </w:pPr>
      <w:r w:rsidRPr="00E34476">
        <w:rPr>
          <w:rFonts w:ascii="Arial" w:hAnsi="Arial" w:cs="Arial"/>
          <w:noProof/>
          <w:sz w:val="20"/>
          <w:szCs w:val="20"/>
        </w:rPr>
        <w:drawing>
          <wp:inline distT="0" distB="0" distL="0" distR="0" wp14:anchorId="606107A8" wp14:editId="5FD0602B">
            <wp:extent cx="5419898" cy="2809702"/>
            <wp:effectExtent l="0" t="0" r="9525" b="10160"/>
            <wp:docPr id="2092" name="Chart 209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bl>
      <w:tblPr>
        <w:tblW w:w="8655" w:type="dxa"/>
        <w:tblInd w:w="108" w:type="dxa"/>
        <w:tblLook w:val="04A0" w:firstRow="1" w:lastRow="0" w:firstColumn="1" w:lastColumn="0" w:noHBand="0" w:noVBand="1"/>
      </w:tblPr>
      <w:tblGrid>
        <w:gridCol w:w="1985"/>
        <w:gridCol w:w="667"/>
        <w:gridCol w:w="667"/>
        <w:gridCol w:w="667"/>
        <w:gridCol w:w="667"/>
        <w:gridCol w:w="667"/>
        <w:gridCol w:w="667"/>
        <w:gridCol w:w="667"/>
        <w:gridCol w:w="667"/>
        <w:gridCol w:w="667"/>
        <w:gridCol w:w="667"/>
      </w:tblGrid>
      <w:tr w:rsidR="008A6D6D" w:rsidRPr="00E34476" w14:paraId="429F19AC" w14:textId="77777777" w:rsidTr="00C625DC">
        <w:trPr>
          <w:trHeight w:val="316"/>
        </w:trPr>
        <w:tc>
          <w:tcPr>
            <w:tcW w:w="1985"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14:paraId="6123310C" w14:textId="77777777" w:rsidR="008A6D6D" w:rsidRPr="00C625DC" w:rsidRDefault="008A6D6D" w:rsidP="00162D6E">
            <w:pPr>
              <w:spacing w:line="360" w:lineRule="auto"/>
              <w:jc w:val="both"/>
              <w:rPr>
                <w:rFonts w:ascii="Arial" w:hAnsi="Arial" w:cs="Arial"/>
                <w:b/>
                <w:bCs/>
                <w:color w:val="000000"/>
                <w:sz w:val="18"/>
                <w:szCs w:val="18"/>
              </w:rPr>
            </w:pPr>
            <w:r w:rsidRPr="00C625DC">
              <w:rPr>
                <w:rFonts w:ascii="Arial" w:hAnsi="Arial" w:cs="Arial"/>
                <w:b/>
                <w:bCs/>
                <w:color w:val="000000"/>
                <w:sz w:val="18"/>
                <w:szCs w:val="18"/>
              </w:rPr>
              <w:t> </w:t>
            </w:r>
          </w:p>
        </w:tc>
        <w:tc>
          <w:tcPr>
            <w:tcW w:w="667" w:type="dxa"/>
            <w:tcBorders>
              <w:top w:val="single" w:sz="4" w:space="0" w:color="auto"/>
              <w:left w:val="nil"/>
              <w:bottom w:val="single" w:sz="4" w:space="0" w:color="auto"/>
              <w:right w:val="nil"/>
            </w:tcBorders>
            <w:shd w:val="clear" w:color="auto" w:fill="95B3D7" w:themeFill="accent1" w:themeFillTint="99"/>
            <w:noWrap/>
            <w:vAlign w:val="bottom"/>
            <w:hideMark/>
          </w:tcPr>
          <w:p w14:paraId="1E1D96CB" w14:textId="77777777" w:rsidR="008A6D6D" w:rsidRPr="00C625DC" w:rsidRDefault="008A6D6D" w:rsidP="00162D6E">
            <w:pPr>
              <w:spacing w:line="360" w:lineRule="auto"/>
              <w:jc w:val="both"/>
              <w:rPr>
                <w:rFonts w:ascii="Arial" w:hAnsi="Arial" w:cs="Arial"/>
                <w:b/>
                <w:bCs/>
                <w:color w:val="000000"/>
                <w:sz w:val="18"/>
                <w:szCs w:val="18"/>
              </w:rPr>
            </w:pPr>
            <w:r w:rsidRPr="00C625DC">
              <w:rPr>
                <w:rFonts w:ascii="Arial" w:hAnsi="Arial" w:cs="Arial"/>
                <w:b/>
                <w:bCs/>
                <w:color w:val="000000"/>
                <w:sz w:val="18"/>
                <w:szCs w:val="18"/>
              </w:rPr>
              <w:t>14/15</w:t>
            </w:r>
          </w:p>
        </w:tc>
        <w:tc>
          <w:tcPr>
            <w:tcW w:w="667" w:type="dxa"/>
            <w:tcBorders>
              <w:top w:val="single" w:sz="4" w:space="0" w:color="auto"/>
              <w:left w:val="nil"/>
              <w:bottom w:val="single" w:sz="4" w:space="0" w:color="auto"/>
              <w:right w:val="nil"/>
            </w:tcBorders>
            <w:shd w:val="clear" w:color="auto" w:fill="95B3D7" w:themeFill="accent1" w:themeFillTint="99"/>
            <w:noWrap/>
            <w:vAlign w:val="bottom"/>
            <w:hideMark/>
          </w:tcPr>
          <w:p w14:paraId="702E9FC4" w14:textId="77777777" w:rsidR="008A6D6D" w:rsidRPr="00C625DC" w:rsidRDefault="008A6D6D" w:rsidP="00162D6E">
            <w:pPr>
              <w:spacing w:line="360" w:lineRule="auto"/>
              <w:jc w:val="both"/>
              <w:rPr>
                <w:rFonts w:ascii="Arial" w:hAnsi="Arial" w:cs="Arial"/>
                <w:b/>
                <w:bCs/>
                <w:color w:val="000000"/>
                <w:sz w:val="18"/>
                <w:szCs w:val="18"/>
              </w:rPr>
            </w:pPr>
            <w:r w:rsidRPr="00C625DC">
              <w:rPr>
                <w:rFonts w:ascii="Arial" w:hAnsi="Arial" w:cs="Arial"/>
                <w:b/>
                <w:bCs/>
                <w:color w:val="000000"/>
                <w:sz w:val="18"/>
                <w:szCs w:val="18"/>
              </w:rPr>
              <w:t>15/16</w:t>
            </w:r>
          </w:p>
        </w:tc>
        <w:tc>
          <w:tcPr>
            <w:tcW w:w="667" w:type="dxa"/>
            <w:tcBorders>
              <w:top w:val="single" w:sz="4" w:space="0" w:color="auto"/>
              <w:left w:val="nil"/>
              <w:bottom w:val="single" w:sz="4" w:space="0" w:color="auto"/>
              <w:right w:val="nil"/>
            </w:tcBorders>
            <w:shd w:val="clear" w:color="auto" w:fill="95B3D7" w:themeFill="accent1" w:themeFillTint="99"/>
            <w:noWrap/>
            <w:vAlign w:val="bottom"/>
            <w:hideMark/>
          </w:tcPr>
          <w:p w14:paraId="47B420FB" w14:textId="77777777" w:rsidR="008A6D6D" w:rsidRPr="00C625DC" w:rsidRDefault="008A6D6D" w:rsidP="00162D6E">
            <w:pPr>
              <w:spacing w:line="360" w:lineRule="auto"/>
              <w:jc w:val="both"/>
              <w:rPr>
                <w:rFonts w:ascii="Arial" w:hAnsi="Arial" w:cs="Arial"/>
                <w:b/>
                <w:bCs/>
                <w:color w:val="000000"/>
                <w:sz w:val="18"/>
                <w:szCs w:val="18"/>
              </w:rPr>
            </w:pPr>
            <w:r w:rsidRPr="00C625DC">
              <w:rPr>
                <w:rFonts w:ascii="Arial" w:hAnsi="Arial" w:cs="Arial"/>
                <w:b/>
                <w:bCs/>
                <w:color w:val="000000"/>
                <w:sz w:val="18"/>
                <w:szCs w:val="18"/>
              </w:rPr>
              <w:t>16/17</w:t>
            </w:r>
          </w:p>
        </w:tc>
        <w:tc>
          <w:tcPr>
            <w:tcW w:w="667" w:type="dxa"/>
            <w:tcBorders>
              <w:top w:val="single" w:sz="4" w:space="0" w:color="auto"/>
              <w:left w:val="nil"/>
              <w:bottom w:val="single" w:sz="4" w:space="0" w:color="auto"/>
              <w:right w:val="nil"/>
            </w:tcBorders>
            <w:shd w:val="clear" w:color="auto" w:fill="95B3D7" w:themeFill="accent1" w:themeFillTint="99"/>
            <w:noWrap/>
            <w:vAlign w:val="bottom"/>
            <w:hideMark/>
          </w:tcPr>
          <w:p w14:paraId="646223E9" w14:textId="77777777" w:rsidR="008A6D6D" w:rsidRPr="00C625DC" w:rsidRDefault="008A6D6D" w:rsidP="00162D6E">
            <w:pPr>
              <w:spacing w:line="360" w:lineRule="auto"/>
              <w:jc w:val="both"/>
              <w:rPr>
                <w:rFonts w:ascii="Arial" w:hAnsi="Arial" w:cs="Arial"/>
                <w:b/>
                <w:bCs/>
                <w:color w:val="000000"/>
                <w:sz w:val="18"/>
                <w:szCs w:val="18"/>
              </w:rPr>
            </w:pPr>
            <w:r w:rsidRPr="00C625DC">
              <w:rPr>
                <w:rFonts w:ascii="Arial" w:hAnsi="Arial" w:cs="Arial"/>
                <w:b/>
                <w:bCs/>
                <w:color w:val="000000"/>
                <w:sz w:val="18"/>
                <w:szCs w:val="18"/>
              </w:rPr>
              <w:t>17/18</w:t>
            </w:r>
          </w:p>
        </w:tc>
        <w:tc>
          <w:tcPr>
            <w:tcW w:w="667" w:type="dxa"/>
            <w:tcBorders>
              <w:top w:val="single" w:sz="4" w:space="0" w:color="auto"/>
              <w:left w:val="nil"/>
              <w:bottom w:val="single" w:sz="4" w:space="0" w:color="auto"/>
              <w:right w:val="nil"/>
            </w:tcBorders>
            <w:shd w:val="clear" w:color="auto" w:fill="95B3D7" w:themeFill="accent1" w:themeFillTint="99"/>
            <w:noWrap/>
            <w:vAlign w:val="bottom"/>
            <w:hideMark/>
          </w:tcPr>
          <w:p w14:paraId="24087C9C" w14:textId="77777777" w:rsidR="008A6D6D" w:rsidRPr="00C625DC" w:rsidRDefault="008A6D6D" w:rsidP="00162D6E">
            <w:pPr>
              <w:spacing w:line="360" w:lineRule="auto"/>
              <w:jc w:val="both"/>
              <w:rPr>
                <w:rFonts w:ascii="Arial" w:hAnsi="Arial" w:cs="Arial"/>
                <w:b/>
                <w:bCs/>
                <w:color w:val="000000"/>
                <w:sz w:val="18"/>
                <w:szCs w:val="18"/>
              </w:rPr>
            </w:pPr>
            <w:r w:rsidRPr="00C625DC">
              <w:rPr>
                <w:rFonts w:ascii="Arial" w:hAnsi="Arial" w:cs="Arial"/>
                <w:b/>
                <w:bCs/>
                <w:color w:val="000000"/>
                <w:sz w:val="18"/>
                <w:szCs w:val="18"/>
              </w:rPr>
              <w:t>18/19</w:t>
            </w:r>
          </w:p>
        </w:tc>
        <w:tc>
          <w:tcPr>
            <w:tcW w:w="667" w:type="dxa"/>
            <w:tcBorders>
              <w:top w:val="single" w:sz="4" w:space="0" w:color="auto"/>
              <w:left w:val="nil"/>
              <w:bottom w:val="single" w:sz="4" w:space="0" w:color="auto"/>
              <w:right w:val="nil"/>
            </w:tcBorders>
            <w:shd w:val="clear" w:color="auto" w:fill="95B3D7" w:themeFill="accent1" w:themeFillTint="99"/>
            <w:noWrap/>
            <w:vAlign w:val="bottom"/>
            <w:hideMark/>
          </w:tcPr>
          <w:p w14:paraId="74A133C7" w14:textId="77777777" w:rsidR="008A6D6D" w:rsidRPr="00C625DC" w:rsidRDefault="008A6D6D" w:rsidP="00162D6E">
            <w:pPr>
              <w:spacing w:line="360" w:lineRule="auto"/>
              <w:jc w:val="both"/>
              <w:rPr>
                <w:rFonts w:ascii="Arial" w:hAnsi="Arial" w:cs="Arial"/>
                <w:b/>
                <w:bCs/>
                <w:color w:val="000000"/>
                <w:sz w:val="18"/>
                <w:szCs w:val="18"/>
              </w:rPr>
            </w:pPr>
            <w:r w:rsidRPr="00C625DC">
              <w:rPr>
                <w:rFonts w:ascii="Arial" w:hAnsi="Arial" w:cs="Arial"/>
                <w:b/>
                <w:bCs/>
                <w:color w:val="000000"/>
                <w:sz w:val="18"/>
                <w:szCs w:val="18"/>
              </w:rPr>
              <w:t>19/20</w:t>
            </w:r>
          </w:p>
        </w:tc>
        <w:tc>
          <w:tcPr>
            <w:tcW w:w="667" w:type="dxa"/>
            <w:tcBorders>
              <w:top w:val="single" w:sz="4" w:space="0" w:color="auto"/>
              <w:left w:val="nil"/>
              <w:bottom w:val="single" w:sz="4" w:space="0" w:color="auto"/>
              <w:right w:val="nil"/>
            </w:tcBorders>
            <w:shd w:val="clear" w:color="auto" w:fill="95B3D7" w:themeFill="accent1" w:themeFillTint="99"/>
            <w:noWrap/>
            <w:vAlign w:val="bottom"/>
            <w:hideMark/>
          </w:tcPr>
          <w:p w14:paraId="674C4197" w14:textId="77777777" w:rsidR="008A6D6D" w:rsidRPr="00C625DC" w:rsidRDefault="008A6D6D" w:rsidP="00162D6E">
            <w:pPr>
              <w:spacing w:line="360" w:lineRule="auto"/>
              <w:jc w:val="both"/>
              <w:rPr>
                <w:rFonts w:ascii="Arial" w:hAnsi="Arial" w:cs="Arial"/>
                <w:b/>
                <w:bCs/>
                <w:color w:val="000000"/>
                <w:sz w:val="18"/>
                <w:szCs w:val="18"/>
              </w:rPr>
            </w:pPr>
            <w:r w:rsidRPr="00C625DC">
              <w:rPr>
                <w:rFonts w:ascii="Arial" w:hAnsi="Arial" w:cs="Arial"/>
                <w:b/>
                <w:bCs/>
                <w:color w:val="000000"/>
                <w:sz w:val="18"/>
                <w:szCs w:val="18"/>
              </w:rPr>
              <w:t>20/21</w:t>
            </w:r>
          </w:p>
        </w:tc>
        <w:tc>
          <w:tcPr>
            <w:tcW w:w="667" w:type="dxa"/>
            <w:tcBorders>
              <w:top w:val="single" w:sz="4" w:space="0" w:color="auto"/>
              <w:left w:val="nil"/>
              <w:bottom w:val="single" w:sz="4" w:space="0" w:color="auto"/>
              <w:right w:val="nil"/>
            </w:tcBorders>
            <w:shd w:val="clear" w:color="auto" w:fill="95B3D7" w:themeFill="accent1" w:themeFillTint="99"/>
            <w:noWrap/>
            <w:vAlign w:val="bottom"/>
            <w:hideMark/>
          </w:tcPr>
          <w:p w14:paraId="737D3810" w14:textId="77777777" w:rsidR="008A6D6D" w:rsidRPr="00C625DC" w:rsidRDefault="008A6D6D" w:rsidP="00162D6E">
            <w:pPr>
              <w:spacing w:line="360" w:lineRule="auto"/>
              <w:jc w:val="both"/>
              <w:rPr>
                <w:rFonts w:ascii="Arial" w:hAnsi="Arial" w:cs="Arial"/>
                <w:b/>
                <w:bCs/>
                <w:color w:val="000000"/>
                <w:sz w:val="18"/>
                <w:szCs w:val="18"/>
              </w:rPr>
            </w:pPr>
            <w:r w:rsidRPr="00C625DC">
              <w:rPr>
                <w:rFonts w:ascii="Arial" w:hAnsi="Arial" w:cs="Arial"/>
                <w:b/>
                <w:bCs/>
                <w:color w:val="000000"/>
                <w:sz w:val="18"/>
                <w:szCs w:val="18"/>
              </w:rPr>
              <w:t>21/22</w:t>
            </w:r>
          </w:p>
        </w:tc>
        <w:tc>
          <w:tcPr>
            <w:tcW w:w="667" w:type="dxa"/>
            <w:tcBorders>
              <w:top w:val="single" w:sz="4" w:space="0" w:color="auto"/>
              <w:left w:val="nil"/>
              <w:bottom w:val="single" w:sz="4" w:space="0" w:color="auto"/>
              <w:right w:val="nil"/>
            </w:tcBorders>
            <w:shd w:val="clear" w:color="auto" w:fill="95B3D7" w:themeFill="accent1" w:themeFillTint="99"/>
            <w:noWrap/>
            <w:vAlign w:val="bottom"/>
            <w:hideMark/>
          </w:tcPr>
          <w:p w14:paraId="25DCA178" w14:textId="77777777" w:rsidR="008A6D6D" w:rsidRPr="00C625DC" w:rsidRDefault="008A6D6D" w:rsidP="00162D6E">
            <w:pPr>
              <w:spacing w:line="360" w:lineRule="auto"/>
              <w:jc w:val="both"/>
              <w:rPr>
                <w:rFonts w:ascii="Arial" w:hAnsi="Arial" w:cs="Arial"/>
                <w:b/>
                <w:bCs/>
                <w:color w:val="000000"/>
                <w:sz w:val="18"/>
                <w:szCs w:val="18"/>
              </w:rPr>
            </w:pPr>
            <w:r w:rsidRPr="00C625DC">
              <w:rPr>
                <w:rFonts w:ascii="Arial" w:hAnsi="Arial" w:cs="Arial"/>
                <w:b/>
                <w:bCs/>
                <w:color w:val="000000"/>
                <w:sz w:val="18"/>
                <w:szCs w:val="18"/>
              </w:rPr>
              <w:t>22/23</w:t>
            </w:r>
          </w:p>
        </w:tc>
        <w:tc>
          <w:tcPr>
            <w:tcW w:w="667"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1C2B4267" w14:textId="77777777" w:rsidR="008A6D6D" w:rsidRPr="00C625DC" w:rsidRDefault="008A6D6D" w:rsidP="00162D6E">
            <w:pPr>
              <w:spacing w:line="360" w:lineRule="auto"/>
              <w:jc w:val="both"/>
              <w:rPr>
                <w:rFonts w:ascii="Arial" w:hAnsi="Arial" w:cs="Arial"/>
                <w:b/>
                <w:bCs/>
                <w:color w:val="000000"/>
                <w:sz w:val="18"/>
                <w:szCs w:val="18"/>
              </w:rPr>
            </w:pPr>
            <w:r w:rsidRPr="00C625DC">
              <w:rPr>
                <w:rFonts w:ascii="Arial" w:hAnsi="Arial" w:cs="Arial"/>
                <w:b/>
                <w:bCs/>
                <w:color w:val="000000"/>
                <w:sz w:val="18"/>
                <w:szCs w:val="18"/>
              </w:rPr>
              <w:t>23/24</w:t>
            </w:r>
          </w:p>
        </w:tc>
      </w:tr>
      <w:tr w:rsidR="008A6D6D" w:rsidRPr="00E34476" w14:paraId="77B141E5" w14:textId="77777777" w:rsidTr="00C625DC">
        <w:trPr>
          <w:trHeight w:val="316"/>
        </w:trPr>
        <w:tc>
          <w:tcPr>
            <w:tcW w:w="1985" w:type="dxa"/>
            <w:tcBorders>
              <w:top w:val="nil"/>
              <w:left w:val="single" w:sz="4" w:space="0" w:color="auto"/>
              <w:bottom w:val="nil"/>
              <w:right w:val="single" w:sz="4" w:space="0" w:color="auto"/>
            </w:tcBorders>
            <w:shd w:val="clear" w:color="auto" w:fill="auto"/>
            <w:noWrap/>
            <w:vAlign w:val="bottom"/>
            <w:hideMark/>
          </w:tcPr>
          <w:p w14:paraId="6CA8B46C" w14:textId="77777777" w:rsidR="008A6D6D" w:rsidRPr="00C625DC" w:rsidRDefault="008A6D6D" w:rsidP="00162D6E">
            <w:pPr>
              <w:spacing w:line="360" w:lineRule="auto"/>
              <w:jc w:val="both"/>
              <w:rPr>
                <w:rFonts w:ascii="Arial" w:hAnsi="Arial" w:cs="Arial"/>
                <w:b/>
                <w:bCs/>
                <w:color w:val="000000"/>
                <w:sz w:val="16"/>
                <w:szCs w:val="16"/>
              </w:rPr>
            </w:pPr>
            <w:r w:rsidRPr="00C625DC">
              <w:rPr>
                <w:rFonts w:ascii="Arial" w:hAnsi="Arial" w:cs="Arial"/>
                <w:b/>
                <w:bCs/>
                <w:color w:val="000000"/>
                <w:sz w:val="16"/>
                <w:szCs w:val="16"/>
              </w:rPr>
              <w:t>SV (Scenario 1)</w:t>
            </w:r>
          </w:p>
        </w:tc>
        <w:tc>
          <w:tcPr>
            <w:tcW w:w="667" w:type="dxa"/>
            <w:tcBorders>
              <w:top w:val="nil"/>
              <w:left w:val="nil"/>
              <w:bottom w:val="nil"/>
              <w:right w:val="nil"/>
            </w:tcBorders>
            <w:shd w:val="clear" w:color="auto" w:fill="auto"/>
            <w:noWrap/>
            <w:vAlign w:val="bottom"/>
            <w:hideMark/>
          </w:tcPr>
          <w:p w14:paraId="1F1E8461" w14:textId="77777777" w:rsidR="008A6D6D" w:rsidRPr="00C625DC" w:rsidRDefault="008A6D6D" w:rsidP="00162D6E">
            <w:pPr>
              <w:spacing w:line="360" w:lineRule="auto"/>
              <w:jc w:val="both"/>
              <w:rPr>
                <w:rFonts w:ascii="Arial" w:hAnsi="Arial" w:cs="Arial"/>
                <w:sz w:val="16"/>
                <w:szCs w:val="16"/>
              </w:rPr>
            </w:pPr>
            <w:r w:rsidRPr="00C625DC">
              <w:rPr>
                <w:rFonts w:ascii="Arial" w:hAnsi="Arial" w:cs="Arial"/>
                <w:sz w:val="16"/>
                <w:szCs w:val="16"/>
              </w:rPr>
              <w:t>(6%)</w:t>
            </w:r>
          </w:p>
        </w:tc>
        <w:tc>
          <w:tcPr>
            <w:tcW w:w="667" w:type="dxa"/>
            <w:tcBorders>
              <w:top w:val="nil"/>
              <w:left w:val="nil"/>
              <w:bottom w:val="nil"/>
              <w:right w:val="nil"/>
            </w:tcBorders>
            <w:shd w:val="clear" w:color="auto" w:fill="auto"/>
            <w:noWrap/>
            <w:vAlign w:val="bottom"/>
            <w:hideMark/>
          </w:tcPr>
          <w:p w14:paraId="70C93B5A" w14:textId="77777777" w:rsidR="008A6D6D" w:rsidRPr="00C625DC" w:rsidRDefault="008A6D6D" w:rsidP="00162D6E">
            <w:pPr>
              <w:spacing w:line="360" w:lineRule="auto"/>
              <w:jc w:val="both"/>
              <w:rPr>
                <w:rFonts w:ascii="Arial" w:hAnsi="Arial" w:cs="Arial"/>
                <w:sz w:val="16"/>
                <w:szCs w:val="16"/>
              </w:rPr>
            </w:pPr>
            <w:r w:rsidRPr="00C625DC">
              <w:rPr>
                <w:rFonts w:ascii="Arial" w:hAnsi="Arial" w:cs="Arial"/>
                <w:sz w:val="16"/>
                <w:szCs w:val="16"/>
              </w:rPr>
              <w:t>(6%)</w:t>
            </w:r>
          </w:p>
        </w:tc>
        <w:tc>
          <w:tcPr>
            <w:tcW w:w="667" w:type="dxa"/>
            <w:tcBorders>
              <w:top w:val="nil"/>
              <w:left w:val="nil"/>
              <w:bottom w:val="nil"/>
              <w:right w:val="nil"/>
            </w:tcBorders>
            <w:shd w:val="clear" w:color="auto" w:fill="auto"/>
            <w:noWrap/>
            <w:vAlign w:val="bottom"/>
            <w:hideMark/>
          </w:tcPr>
          <w:p w14:paraId="72F6DBC9" w14:textId="77777777" w:rsidR="008A6D6D" w:rsidRPr="00C625DC" w:rsidRDefault="008A6D6D" w:rsidP="00162D6E">
            <w:pPr>
              <w:spacing w:line="360" w:lineRule="auto"/>
              <w:jc w:val="both"/>
              <w:rPr>
                <w:rFonts w:ascii="Arial" w:hAnsi="Arial" w:cs="Arial"/>
                <w:sz w:val="16"/>
                <w:szCs w:val="16"/>
              </w:rPr>
            </w:pPr>
            <w:r w:rsidRPr="00C625DC">
              <w:rPr>
                <w:rFonts w:ascii="Arial" w:hAnsi="Arial" w:cs="Arial"/>
                <w:sz w:val="16"/>
                <w:szCs w:val="16"/>
              </w:rPr>
              <w:t>(4%)</w:t>
            </w:r>
          </w:p>
        </w:tc>
        <w:tc>
          <w:tcPr>
            <w:tcW w:w="667" w:type="dxa"/>
            <w:tcBorders>
              <w:top w:val="nil"/>
              <w:left w:val="nil"/>
              <w:bottom w:val="nil"/>
              <w:right w:val="nil"/>
            </w:tcBorders>
            <w:shd w:val="clear" w:color="auto" w:fill="auto"/>
            <w:noWrap/>
            <w:vAlign w:val="bottom"/>
            <w:hideMark/>
          </w:tcPr>
          <w:p w14:paraId="035AA409" w14:textId="77777777" w:rsidR="008A6D6D" w:rsidRPr="00C625DC" w:rsidRDefault="008A6D6D" w:rsidP="00162D6E">
            <w:pPr>
              <w:spacing w:line="360" w:lineRule="auto"/>
              <w:jc w:val="both"/>
              <w:rPr>
                <w:rFonts w:ascii="Arial" w:hAnsi="Arial" w:cs="Arial"/>
                <w:sz w:val="16"/>
                <w:szCs w:val="16"/>
              </w:rPr>
            </w:pPr>
            <w:r w:rsidRPr="00C625DC">
              <w:rPr>
                <w:rFonts w:ascii="Arial" w:hAnsi="Arial" w:cs="Arial"/>
                <w:sz w:val="16"/>
                <w:szCs w:val="16"/>
              </w:rPr>
              <w:t>(1%)</w:t>
            </w:r>
          </w:p>
        </w:tc>
        <w:tc>
          <w:tcPr>
            <w:tcW w:w="667" w:type="dxa"/>
            <w:tcBorders>
              <w:top w:val="nil"/>
              <w:left w:val="nil"/>
              <w:bottom w:val="nil"/>
              <w:right w:val="nil"/>
            </w:tcBorders>
            <w:shd w:val="clear" w:color="auto" w:fill="auto"/>
            <w:noWrap/>
            <w:vAlign w:val="bottom"/>
            <w:hideMark/>
          </w:tcPr>
          <w:p w14:paraId="4753A40B" w14:textId="77777777" w:rsidR="008A6D6D" w:rsidRPr="00C625DC" w:rsidRDefault="008A6D6D" w:rsidP="00162D6E">
            <w:pPr>
              <w:spacing w:line="360" w:lineRule="auto"/>
              <w:jc w:val="both"/>
              <w:rPr>
                <w:rFonts w:ascii="Arial" w:hAnsi="Arial" w:cs="Arial"/>
                <w:sz w:val="16"/>
                <w:szCs w:val="16"/>
              </w:rPr>
            </w:pPr>
            <w:r w:rsidRPr="00C625DC">
              <w:rPr>
                <w:rFonts w:ascii="Arial" w:hAnsi="Arial" w:cs="Arial"/>
                <w:sz w:val="16"/>
                <w:szCs w:val="16"/>
              </w:rPr>
              <w:t>2%</w:t>
            </w:r>
          </w:p>
        </w:tc>
        <w:tc>
          <w:tcPr>
            <w:tcW w:w="667" w:type="dxa"/>
            <w:tcBorders>
              <w:top w:val="nil"/>
              <w:left w:val="nil"/>
              <w:bottom w:val="nil"/>
              <w:right w:val="nil"/>
            </w:tcBorders>
            <w:shd w:val="clear" w:color="auto" w:fill="auto"/>
            <w:noWrap/>
            <w:vAlign w:val="bottom"/>
            <w:hideMark/>
          </w:tcPr>
          <w:p w14:paraId="6EC90B5E" w14:textId="77777777" w:rsidR="008A6D6D" w:rsidRPr="00C625DC" w:rsidRDefault="008A6D6D" w:rsidP="00162D6E">
            <w:pPr>
              <w:spacing w:line="360" w:lineRule="auto"/>
              <w:jc w:val="both"/>
              <w:rPr>
                <w:rFonts w:ascii="Arial" w:hAnsi="Arial" w:cs="Arial"/>
                <w:sz w:val="16"/>
                <w:szCs w:val="16"/>
              </w:rPr>
            </w:pPr>
            <w:r w:rsidRPr="00C625DC">
              <w:rPr>
                <w:rFonts w:ascii="Arial" w:hAnsi="Arial" w:cs="Arial"/>
                <w:sz w:val="16"/>
                <w:szCs w:val="16"/>
              </w:rPr>
              <w:t>1%</w:t>
            </w:r>
          </w:p>
        </w:tc>
        <w:tc>
          <w:tcPr>
            <w:tcW w:w="667" w:type="dxa"/>
            <w:tcBorders>
              <w:top w:val="nil"/>
              <w:left w:val="nil"/>
              <w:bottom w:val="nil"/>
              <w:right w:val="nil"/>
            </w:tcBorders>
            <w:shd w:val="clear" w:color="auto" w:fill="auto"/>
            <w:noWrap/>
            <w:vAlign w:val="bottom"/>
            <w:hideMark/>
          </w:tcPr>
          <w:p w14:paraId="31C5F907" w14:textId="77777777" w:rsidR="008A6D6D" w:rsidRPr="00C625DC" w:rsidRDefault="008A6D6D" w:rsidP="00162D6E">
            <w:pPr>
              <w:spacing w:line="360" w:lineRule="auto"/>
              <w:jc w:val="both"/>
              <w:rPr>
                <w:rFonts w:ascii="Arial" w:hAnsi="Arial" w:cs="Arial"/>
                <w:sz w:val="16"/>
                <w:szCs w:val="16"/>
              </w:rPr>
            </w:pPr>
            <w:r w:rsidRPr="00C625DC">
              <w:rPr>
                <w:rFonts w:ascii="Arial" w:hAnsi="Arial" w:cs="Arial"/>
                <w:sz w:val="16"/>
                <w:szCs w:val="16"/>
              </w:rPr>
              <w:t>1%</w:t>
            </w:r>
          </w:p>
        </w:tc>
        <w:tc>
          <w:tcPr>
            <w:tcW w:w="667" w:type="dxa"/>
            <w:tcBorders>
              <w:top w:val="nil"/>
              <w:left w:val="nil"/>
              <w:bottom w:val="nil"/>
              <w:right w:val="nil"/>
            </w:tcBorders>
            <w:shd w:val="clear" w:color="auto" w:fill="auto"/>
            <w:noWrap/>
            <w:vAlign w:val="bottom"/>
            <w:hideMark/>
          </w:tcPr>
          <w:p w14:paraId="12EF6055" w14:textId="77777777" w:rsidR="008A6D6D" w:rsidRPr="00C625DC" w:rsidRDefault="008A6D6D" w:rsidP="00162D6E">
            <w:pPr>
              <w:spacing w:line="360" w:lineRule="auto"/>
              <w:jc w:val="both"/>
              <w:rPr>
                <w:rFonts w:ascii="Arial" w:hAnsi="Arial" w:cs="Arial"/>
                <w:sz w:val="16"/>
                <w:szCs w:val="16"/>
              </w:rPr>
            </w:pPr>
            <w:r w:rsidRPr="00C625DC">
              <w:rPr>
                <w:rFonts w:ascii="Arial" w:hAnsi="Arial" w:cs="Arial"/>
                <w:sz w:val="16"/>
                <w:szCs w:val="16"/>
              </w:rPr>
              <w:t>1%</w:t>
            </w:r>
          </w:p>
        </w:tc>
        <w:tc>
          <w:tcPr>
            <w:tcW w:w="667" w:type="dxa"/>
            <w:tcBorders>
              <w:top w:val="nil"/>
              <w:left w:val="nil"/>
              <w:bottom w:val="nil"/>
              <w:right w:val="nil"/>
            </w:tcBorders>
            <w:shd w:val="clear" w:color="auto" w:fill="auto"/>
            <w:noWrap/>
            <w:vAlign w:val="bottom"/>
            <w:hideMark/>
          </w:tcPr>
          <w:p w14:paraId="044F47BE" w14:textId="77777777" w:rsidR="008A6D6D" w:rsidRPr="00C625DC" w:rsidRDefault="008A6D6D" w:rsidP="00162D6E">
            <w:pPr>
              <w:spacing w:line="360" w:lineRule="auto"/>
              <w:jc w:val="both"/>
              <w:rPr>
                <w:rFonts w:ascii="Arial" w:hAnsi="Arial" w:cs="Arial"/>
                <w:sz w:val="16"/>
                <w:szCs w:val="16"/>
              </w:rPr>
            </w:pPr>
            <w:r w:rsidRPr="00C625DC">
              <w:rPr>
                <w:rFonts w:ascii="Arial" w:hAnsi="Arial" w:cs="Arial"/>
                <w:sz w:val="16"/>
                <w:szCs w:val="16"/>
              </w:rPr>
              <w:t>0%</w:t>
            </w:r>
          </w:p>
        </w:tc>
        <w:tc>
          <w:tcPr>
            <w:tcW w:w="667" w:type="dxa"/>
            <w:tcBorders>
              <w:top w:val="nil"/>
              <w:left w:val="nil"/>
              <w:bottom w:val="nil"/>
              <w:right w:val="single" w:sz="4" w:space="0" w:color="auto"/>
            </w:tcBorders>
            <w:shd w:val="clear" w:color="auto" w:fill="auto"/>
            <w:noWrap/>
            <w:vAlign w:val="bottom"/>
            <w:hideMark/>
          </w:tcPr>
          <w:p w14:paraId="707FF39A" w14:textId="77777777" w:rsidR="008A6D6D" w:rsidRPr="00C625DC" w:rsidRDefault="008A6D6D" w:rsidP="00162D6E">
            <w:pPr>
              <w:spacing w:line="360" w:lineRule="auto"/>
              <w:jc w:val="both"/>
              <w:rPr>
                <w:rFonts w:ascii="Arial" w:hAnsi="Arial" w:cs="Arial"/>
                <w:sz w:val="16"/>
                <w:szCs w:val="16"/>
              </w:rPr>
            </w:pPr>
            <w:r w:rsidRPr="00C625DC">
              <w:rPr>
                <w:rFonts w:ascii="Arial" w:hAnsi="Arial" w:cs="Arial"/>
                <w:sz w:val="16"/>
                <w:szCs w:val="16"/>
              </w:rPr>
              <w:t>(1%)</w:t>
            </w:r>
          </w:p>
        </w:tc>
      </w:tr>
      <w:tr w:rsidR="008A6D6D" w:rsidRPr="00E34476" w14:paraId="066510CB" w14:textId="77777777" w:rsidTr="00C625DC">
        <w:trPr>
          <w:trHeight w:val="316"/>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14:paraId="6639DE0F" w14:textId="77777777" w:rsidR="008A6D6D" w:rsidRPr="00C625DC" w:rsidRDefault="008A6D6D" w:rsidP="00162D6E">
            <w:pPr>
              <w:spacing w:line="360" w:lineRule="auto"/>
              <w:rPr>
                <w:rFonts w:ascii="Arial" w:hAnsi="Arial" w:cs="Arial"/>
                <w:b/>
                <w:bCs/>
                <w:color w:val="000000"/>
                <w:sz w:val="16"/>
                <w:szCs w:val="16"/>
              </w:rPr>
            </w:pPr>
            <w:r w:rsidRPr="00C625DC">
              <w:rPr>
                <w:rFonts w:ascii="Arial" w:hAnsi="Arial" w:cs="Arial"/>
                <w:b/>
                <w:bCs/>
                <w:color w:val="000000"/>
                <w:sz w:val="16"/>
                <w:szCs w:val="16"/>
              </w:rPr>
              <w:t>No SV (Scenario 3)</w:t>
            </w:r>
          </w:p>
        </w:tc>
        <w:tc>
          <w:tcPr>
            <w:tcW w:w="667" w:type="dxa"/>
            <w:tcBorders>
              <w:top w:val="nil"/>
              <w:left w:val="nil"/>
              <w:bottom w:val="single" w:sz="4" w:space="0" w:color="auto"/>
              <w:right w:val="nil"/>
            </w:tcBorders>
            <w:shd w:val="clear" w:color="auto" w:fill="auto"/>
            <w:noWrap/>
            <w:vAlign w:val="bottom"/>
            <w:hideMark/>
          </w:tcPr>
          <w:p w14:paraId="5508C6A1" w14:textId="77777777" w:rsidR="008A6D6D" w:rsidRPr="00C625DC" w:rsidRDefault="008A6D6D" w:rsidP="00162D6E">
            <w:pPr>
              <w:spacing w:line="360" w:lineRule="auto"/>
              <w:jc w:val="both"/>
              <w:rPr>
                <w:rFonts w:ascii="Arial" w:hAnsi="Arial" w:cs="Arial"/>
                <w:sz w:val="16"/>
                <w:szCs w:val="16"/>
              </w:rPr>
            </w:pPr>
            <w:r w:rsidRPr="00C625DC">
              <w:rPr>
                <w:rFonts w:ascii="Arial" w:hAnsi="Arial" w:cs="Arial"/>
                <w:sz w:val="16"/>
                <w:szCs w:val="16"/>
              </w:rPr>
              <w:t>(6%)</w:t>
            </w:r>
          </w:p>
        </w:tc>
        <w:tc>
          <w:tcPr>
            <w:tcW w:w="667" w:type="dxa"/>
            <w:tcBorders>
              <w:top w:val="nil"/>
              <w:left w:val="nil"/>
              <w:bottom w:val="single" w:sz="4" w:space="0" w:color="auto"/>
              <w:right w:val="nil"/>
            </w:tcBorders>
            <w:shd w:val="clear" w:color="auto" w:fill="auto"/>
            <w:noWrap/>
            <w:vAlign w:val="bottom"/>
            <w:hideMark/>
          </w:tcPr>
          <w:p w14:paraId="4CB8FEE1" w14:textId="77777777" w:rsidR="008A6D6D" w:rsidRPr="00C625DC" w:rsidRDefault="008A6D6D" w:rsidP="00162D6E">
            <w:pPr>
              <w:spacing w:line="360" w:lineRule="auto"/>
              <w:jc w:val="both"/>
              <w:rPr>
                <w:rFonts w:ascii="Arial" w:hAnsi="Arial" w:cs="Arial"/>
                <w:sz w:val="16"/>
                <w:szCs w:val="16"/>
              </w:rPr>
            </w:pPr>
            <w:r w:rsidRPr="00C625DC">
              <w:rPr>
                <w:rFonts w:ascii="Arial" w:hAnsi="Arial" w:cs="Arial"/>
                <w:sz w:val="16"/>
                <w:szCs w:val="16"/>
              </w:rPr>
              <w:t>(7%)</w:t>
            </w:r>
          </w:p>
        </w:tc>
        <w:tc>
          <w:tcPr>
            <w:tcW w:w="667" w:type="dxa"/>
            <w:tcBorders>
              <w:top w:val="nil"/>
              <w:left w:val="nil"/>
              <w:bottom w:val="single" w:sz="4" w:space="0" w:color="auto"/>
              <w:right w:val="nil"/>
            </w:tcBorders>
            <w:shd w:val="clear" w:color="auto" w:fill="auto"/>
            <w:noWrap/>
            <w:vAlign w:val="bottom"/>
            <w:hideMark/>
          </w:tcPr>
          <w:p w14:paraId="7016E942" w14:textId="77777777" w:rsidR="008A6D6D" w:rsidRPr="00C625DC" w:rsidRDefault="008A6D6D" w:rsidP="00162D6E">
            <w:pPr>
              <w:spacing w:line="360" w:lineRule="auto"/>
              <w:jc w:val="both"/>
              <w:rPr>
                <w:rFonts w:ascii="Arial" w:hAnsi="Arial" w:cs="Arial"/>
                <w:sz w:val="16"/>
                <w:szCs w:val="16"/>
              </w:rPr>
            </w:pPr>
            <w:r w:rsidRPr="00C625DC">
              <w:rPr>
                <w:rFonts w:ascii="Arial" w:hAnsi="Arial" w:cs="Arial"/>
                <w:sz w:val="16"/>
                <w:szCs w:val="16"/>
              </w:rPr>
              <w:t>(6%)</w:t>
            </w:r>
          </w:p>
        </w:tc>
        <w:tc>
          <w:tcPr>
            <w:tcW w:w="667" w:type="dxa"/>
            <w:tcBorders>
              <w:top w:val="nil"/>
              <w:left w:val="nil"/>
              <w:bottom w:val="single" w:sz="4" w:space="0" w:color="auto"/>
              <w:right w:val="nil"/>
            </w:tcBorders>
            <w:shd w:val="clear" w:color="auto" w:fill="auto"/>
            <w:noWrap/>
            <w:vAlign w:val="bottom"/>
            <w:hideMark/>
          </w:tcPr>
          <w:p w14:paraId="39FF7BEB" w14:textId="77777777" w:rsidR="008A6D6D" w:rsidRPr="00C625DC" w:rsidRDefault="008A6D6D" w:rsidP="00162D6E">
            <w:pPr>
              <w:spacing w:line="360" w:lineRule="auto"/>
              <w:jc w:val="both"/>
              <w:rPr>
                <w:rFonts w:ascii="Arial" w:hAnsi="Arial" w:cs="Arial"/>
                <w:sz w:val="16"/>
                <w:szCs w:val="16"/>
              </w:rPr>
            </w:pPr>
            <w:r w:rsidRPr="00C625DC">
              <w:rPr>
                <w:rFonts w:ascii="Arial" w:hAnsi="Arial" w:cs="Arial"/>
                <w:sz w:val="16"/>
                <w:szCs w:val="16"/>
              </w:rPr>
              <w:t>(6%)</w:t>
            </w:r>
          </w:p>
        </w:tc>
        <w:tc>
          <w:tcPr>
            <w:tcW w:w="667" w:type="dxa"/>
            <w:tcBorders>
              <w:top w:val="nil"/>
              <w:left w:val="nil"/>
              <w:bottom w:val="single" w:sz="4" w:space="0" w:color="auto"/>
              <w:right w:val="nil"/>
            </w:tcBorders>
            <w:shd w:val="clear" w:color="auto" w:fill="auto"/>
            <w:noWrap/>
            <w:vAlign w:val="bottom"/>
            <w:hideMark/>
          </w:tcPr>
          <w:p w14:paraId="1941B247" w14:textId="77777777" w:rsidR="008A6D6D" w:rsidRPr="00C625DC" w:rsidRDefault="008A6D6D" w:rsidP="00162D6E">
            <w:pPr>
              <w:spacing w:line="360" w:lineRule="auto"/>
              <w:jc w:val="both"/>
              <w:rPr>
                <w:rFonts w:ascii="Arial" w:hAnsi="Arial" w:cs="Arial"/>
                <w:sz w:val="16"/>
                <w:szCs w:val="16"/>
              </w:rPr>
            </w:pPr>
            <w:r w:rsidRPr="00C625DC">
              <w:rPr>
                <w:rFonts w:ascii="Arial" w:hAnsi="Arial" w:cs="Arial"/>
                <w:sz w:val="16"/>
                <w:szCs w:val="16"/>
              </w:rPr>
              <w:t>(5%)</w:t>
            </w:r>
          </w:p>
        </w:tc>
        <w:tc>
          <w:tcPr>
            <w:tcW w:w="667" w:type="dxa"/>
            <w:tcBorders>
              <w:top w:val="nil"/>
              <w:left w:val="nil"/>
              <w:bottom w:val="single" w:sz="4" w:space="0" w:color="auto"/>
              <w:right w:val="nil"/>
            </w:tcBorders>
            <w:shd w:val="clear" w:color="auto" w:fill="auto"/>
            <w:noWrap/>
            <w:vAlign w:val="bottom"/>
            <w:hideMark/>
          </w:tcPr>
          <w:p w14:paraId="08610159" w14:textId="77777777" w:rsidR="008A6D6D" w:rsidRPr="00C625DC" w:rsidRDefault="008A6D6D" w:rsidP="00162D6E">
            <w:pPr>
              <w:spacing w:line="360" w:lineRule="auto"/>
              <w:jc w:val="both"/>
              <w:rPr>
                <w:rFonts w:ascii="Arial" w:hAnsi="Arial" w:cs="Arial"/>
                <w:sz w:val="16"/>
                <w:szCs w:val="16"/>
              </w:rPr>
            </w:pPr>
            <w:r w:rsidRPr="00C625DC">
              <w:rPr>
                <w:rFonts w:ascii="Arial" w:hAnsi="Arial" w:cs="Arial"/>
                <w:sz w:val="16"/>
                <w:szCs w:val="16"/>
              </w:rPr>
              <w:t>(5%)</w:t>
            </w:r>
          </w:p>
        </w:tc>
        <w:tc>
          <w:tcPr>
            <w:tcW w:w="667" w:type="dxa"/>
            <w:tcBorders>
              <w:top w:val="nil"/>
              <w:left w:val="nil"/>
              <w:bottom w:val="single" w:sz="4" w:space="0" w:color="auto"/>
              <w:right w:val="nil"/>
            </w:tcBorders>
            <w:shd w:val="clear" w:color="auto" w:fill="auto"/>
            <w:noWrap/>
            <w:vAlign w:val="bottom"/>
            <w:hideMark/>
          </w:tcPr>
          <w:p w14:paraId="0C7D659D" w14:textId="77777777" w:rsidR="008A6D6D" w:rsidRPr="00C625DC" w:rsidRDefault="008A6D6D" w:rsidP="00162D6E">
            <w:pPr>
              <w:spacing w:line="360" w:lineRule="auto"/>
              <w:jc w:val="both"/>
              <w:rPr>
                <w:rFonts w:ascii="Arial" w:hAnsi="Arial" w:cs="Arial"/>
                <w:sz w:val="16"/>
                <w:szCs w:val="16"/>
              </w:rPr>
            </w:pPr>
            <w:r w:rsidRPr="00C625DC">
              <w:rPr>
                <w:rFonts w:ascii="Arial" w:hAnsi="Arial" w:cs="Arial"/>
                <w:sz w:val="16"/>
                <w:szCs w:val="16"/>
              </w:rPr>
              <w:t>(4%)</w:t>
            </w:r>
          </w:p>
        </w:tc>
        <w:tc>
          <w:tcPr>
            <w:tcW w:w="667" w:type="dxa"/>
            <w:tcBorders>
              <w:top w:val="nil"/>
              <w:left w:val="nil"/>
              <w:bottom w:val="single" w:sz="4" w:space="0" w:color="auto"/>
              <w:right w:val="nil"/>
            </w:tcBorders>
            <w:shd w:val="clear" w:color="auto" w:fill="auto"/>
            <w:noWrap/>
            <w:vAlign w:val="bottom"/>
            <w:hideMark/>
          </w:tcPr>
          <w:p w14:paraId="41AFE6F1" w14:textId="77777777" w:rsidR="008A6D6D" w:rsidRPr="00C625DC" w:rsidRDefault="008A6D6D" w:rsidP="00162D6E">
            <w:pPr>
              <w:spacing w:line="360" w:lineRule="auto"/>
              <w:jc w:val="both"/>
              <w:rPr>
                <w:rFonts w:ascii="Arial" w:hAnsi="Arial" w:cs="Arial"/>
                <w:sz w:val="16"/>
                <w:szCs w:val="16"/>
              </w:rPr>
            </w:pPr>
            <w:r w:rsidRPr="00C625DC">
              <w:rPr>
                <w:rFonts w:ascii="Arial" w:hAnsi="Arial" w:cs="Arial"/>
                <w:sz w:val="16"/>
                <w:szCs w:val="16"/>
              </w:rPr>
              <w:t>(4%)</w:t>
            </w:r>
          </w:p>
        </w:tc>
        <w:tc>
          <w:tcPr>
            <w:tcW w:w="667" w:type="dxa"/>
            <w:tcBorders>
              <w:top w:val="nil"/>
              <w:left w:val="nil"/>
              <w:bottom w:val="single" w:sz="4" w:space="0" w:color="auto"/>
              <w:right w:val="nil"/>
            </w:tcBorders>
            <w:shd w:val="clear" w:color="auto" w:fill="auto"/>
            <w:noWrap/>
            <w:vAlign w:val="bottom"/>
            <w:hideMark/>
          </w:tcPr>
          <w:p w14:paraId="143B7A27" w14:textId="77777777" w:rsidR="008A6D6D" w:rsidRPr="00C625DC" w:rsidRDefault="008A6D6D" w:rsidP="00162D6E">
            <w:pPr>
              <w:spacing w:line="360" w:lineRule="auto"/>
              <w:jc w:val="both"/>
              <w:rPr>
                <w:rFonts w:ascii="Arial" w:hAnsi="Arial" w:cs="Arial"/>
                <w:sz w:val="16"/>
                <w:szCs w:val="16"/>
              </w:rPr>
            </w:pPr>
            <w:r w:rsidRPr="00C625DC">
              <w:rPr>
                <w:rFonts w:ascii="Arial" w:hAnsi="Arial" w:cs="Arial"/>
                <w:sz w:val="16"/>
                <w:szCs w:val="16"/>
              </w:rPr>
              <w:t>(4%)</w:t>
            </w:r>
          </w:p>
        </w:tc>
        <w:tc>
          <w:tcPr>
            <w:tcW w:w="667" w:type="dxa"/>
            <w:tcBorders>
              <w:top w:val="nil"/>
              <w:left w:val="nil"/>
              <w:bottom w:val="single" w:sz="4" w:space="0" w:color="auto"/>
              <w:right w:val="single" w:sz="4" w:space="0" w:color="auto"/>
            </w:tcBorders>
            <w:shd w:val="clear" w:color="auto" w:fill="auto"/>
            <w:noWrap/>
            <w:vAlign w:val="bottom"/>
            <w:hideMark/>
          </w:tcPr>
          <w:p w14:paraId="48C9F266" w14:textId="77777777" w:rsidR="008A6D6D" w:rsidRPr="00C625DC" w:rsidRDefault="008A6D6D" w:rsidP="00162D6E">
            <w:pPr>
              <w:spacing w:line="360" w:lineRule="auto"/>
              <w:jc w:val="both"/>
              <w:rPr>
                <w:rFonts w:ascii="Arial" w:hAnsi="Arial" w:cs="Arial"/>
                <w:sz w:val="16"/>
                <w:szCs w:val="16"/>
              </w:rPr>
            </w:pPr>
            <w:r w:rsidRPr="00C625DC">
              <w:rPr>
                <w:rFonts w:ascii="Arial" w:hAnsi="Arial" w:cs="Arial"/>
                <w:sz w:val="16"/>
                <w:szCs w:val="16"/>
              </w:rPr>
              <w:t>(4%)</w:t>
            </w:r>
          </w:p>
        </w:tc>
      </w:tr>
    </w:tbl>
    <w:p w14:paraId="60D297C9" w14:textId="77777777" w:rsidR="008A6D6D" w:rsidRDefault="008A6D6D" w:rsidP="008A6D6D">
      <w:pPr>
        <w:spacing w:line="360" w:lineRule="auto"/>
        <w:jc w:val="both"/>
        <w:rPr>
          <w:rFonts w:ascii="Arial" w:hAnsi="Arial" w:cs="Arial"/>
          <w:b/>
          <w:color w:val="1F497D" w:themeColor="text2"/>
          <w:sz w:val="20"/>
          <w:szCs w:val="20"/>
        </w:rPr>
      </w:pPr>
      <w:bookmarkStart w:id="37" w:name="_Toc392865742"/>
      <w:bookmarkStart w:id="38" w:name="_Toc392874313"/>
      <w:bookmarkStart w:id="39" w:name="_Toc392874427"/>
      <w:bookmarkStart w:id="40" w:name="_Toc394079424"/>
      <w:bookmarkStart w:id="41" w:name="_Toc394079802"/>
      <w:bookmarkStart w:id="42" w:name="_Toc394080294"/>
      <w:bookmarkStart w:id="43" w:name="_Toc394580128"/>
    </w:p>
    <w:p w14:paraId="3E6BC900" w14:textId="77777777" w:rsidR="00B556E8" w:rsidRDefault="00B556E8">
      <w:pPr>
        <w:rPr>
          <w:rFonts w:ascii="Arial" w:hAnsi="Arial" w:cs="Arial"/>
          <w:b/>
          <w:sz w:val="18"/>
          <w:szCs w:val="18"/>
        </w:rPr>
      </w:pPr>
      <w:bookmarkStart w:id="44" w:name="_Ref394050308"/>
      <w:bookmarkStart w:id="45" w:name="_Toc394487386"/>
      <w:bookmarkStart w:id="46" w:name="_Toc394487458"/>
      <w:bookmarkEnd w:id="37"/>
      <w:bookmarkEnd w:id="38"/>
      <w:bookmarkEnd w:id="39"/>
      <w:bookmarkEnd w:id="40"/>
      <w:bookmarkEnd w:id="41"/>
      <w:bookmarkEnd w:id="42"/>
      <w:bookmarkEnd w:id="43"/>
      <w:r>
        <w:rPr>
          <w:rFonts w:ascii="Arial" w:hAnsi="Arial" w:cs="Arial"/>
          <w:b/>
          <w:sz w:val="18"/>
          <w:szCs w:val="18"/>
        </w:rPr>
        <w:br w:type="page"/>
      </w:r>
    </w:p>
    <w:p w14:paraId="0A15F1FC" w14:textId="5223B1E0" w:rsidR="008A6D6D" w:rsidRDefault="008A6D6D" w:rsidP="008A6D6D">
      <w:pPr>
        <w:spacing w:before="320" w:after="80" w:line="360" w:lineRule="auto"/>
        <w:ind w:left="1304" w:hanging="1304"/>
        <w:jc w:val="both"/>
        <w:rPr>
          <w:rFonts w:ascii="Arial" w:hAnsi="Arial" w:cs="Arial"/>
          <w:b/>
          <w:sz w:val="18"/>
          <w:szCs w:val="18"/>
        </w:rPr>
      </w:pPr>
      <w:r w:rsidRPr="003B5CED">
        <w:rPr>
          <w:rFonts w:ascii="Arial" w:hAnsi="Arial" w:cs="Arial"/>
          <w:b/>
          <w:noProof/>
          <w:sz w:val="18"/>
          <w:szCs w:val="18"/>
        </w:rPr>
        <w:drawing>
          <wp:anchor distT="0" distB="0" distL="114300" distR="114300" simplePos="0" relativeHeight="251825152" behindDoc="0" locked="0" layoutInCell="1" allowOverlap="1" wp14:anchorId="265E111D" wp14:editId="01C34F32">
            <wp:simplePos x="0" y="0"/>
            <wp:positionH relativeFrom="column">
              <wp:posOffset>-5022</wp:posOffset>
            </wp:positionH>
            <wp:positionV relativeFrom="paragraph">
              <wp:posOffset>389025</wp:posOffset>
            </wp:positionV>
            <wp:extent cx="5464232" cy="2876204"/>
            <wp:effectExtent l="0" t="0" r="22225" b="19685"/>
            <wp:wrapNone/>
            <wp:docPr id="2093" name="Chart 209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r w:rsidR="00FA0E8D" w:rsidRPr="003B5CED">
        <w:rPr>
          <w:rFonts w:ascii="Arial" w:hAnsi="Arial" w:cs="Arial"/>
          <w:b/>
          <w:sz w:val="18"/>
          <w:szCs w:val="18"/>
        </w:rPr>
        <w:t>Figure 3.11</w:t>
      </w:r>
      <w:r w:rsidR="003B5CED">
        <w:rPr>
          <w:rFonts w:ascii="Arial" w:hAnsi="Arial" w:cs="Arial"/>
          <w:b/>
          <w:sz w:val="18"/>
          <w:szCs w:val="18"/>
        </w:rPr>
        <w:t>:</w:t>
      </w:r>
      <w:r w:rsidRPr="003B5CED">
        <w:rPr>
          <w:rFonts w:ascii="Arial" w:hAnsi="Arial" w:cs="Arial"/>
          <w:b/>
          <w:sz w:val="18"/>
          <w:szCs w:val="18"/>
        </w:rPr>
        <w:t xml:space="preserve">  </w:t>
      </w:r>
      <w:r w:rsidR="00B556E8">
        <w:rPr>
          <w:rFonts w:ascii="Arial" w:hAnsi="Arial" w:cs="Arial"/>
          <w:b/>
          <w:sz w:val="18"/>
          <w:szCs w:val="18"/>
        </w:rPr>
        <w:t xml:space="preserve">Financial scenarios 1 and 3 - </w:t>
      </w:r>
      <w:r w:rsidRPr="003B5CED">
        <w:rPr>
          <w:rFonts w:ascii="Arial" w:hAnsi="Arial" w:cs="Arial"/>
          <w:b/>
          <w:sz w:val="18"/>
          <w:szCs w:val="18"/>
        </w:rPr>
        <w:t xml:space="preserve">10-year projection </w:t>
      </w:r>
      <w:r w:rsidR="00B556E8">
        <w:rPr>
          <w:rFonts w:ascii="Arial" w:hAnsi="Arial" w:cs="Arial"/>
          <w:b/>
          <w:sz w:val="18"/>
          <w:szCs w:val="18"/>
        </w:rPr>
        <w:t>of</w:t>
      </w:r>
      <w:r w:rsidRPr="003B5CED">
        <w:rPr>
          <w:rFonts w:ascii="Arial" w:hAnsi="Arial" w:cs="Arial"/>
          <w:b/>
          <w:sz w:val="18"/>
          <w:szCs w:val="18"/>
        </w:rPr>
        <w:t xml:space="preserve"> operating </w:t>
      </w:r>
      <w:r w:rsidR="00C625DC" w:rsidRPr="003B5CED">
        <w:rPr>
          <w:rFonts w:ascii="Arial" w:hAnsi="Arial" w:cs="Arial"/>
          <w:b/>
          <w:sz w:val="18"/>
          <w:szCs w:val="18"/>
        </w:rPr>
        <w:t>balance</w:t>
      </w:r>
      <w:r w:rsidRPr="003B5CED">
        <w:rPr>
          <w:rFonts w:ascii="Arial" w:hAnsi="Arial" w:cs="Arial"/>
          <w:b/>
          <w:sz w:val="18"/>
          <w:szCs w:val="18"/>
        </w:rPr>
        <w:t xml:space="preserve"> ($)</w:t>
      </w:r>
      <w:bookmarkEnd w:id="44"/>
      <w:bookmarkEnd w:id="45"/>
      <w:bookmarkEnd w:id="46"/>
    </w:p>
    <w:p w14:paraId="483A6EF8" w14:textId="77777777" w:rsidR="00B556E8" w:rsidRPr="003B5CED" w:rsidRDefault="00B556E8" w:rsidP="008A6D6D">
      <w:pPr>
        <w:spacing w:before="320" w:after="80" w:line="360" w:lineRule="auto"/>
        <w:ind w:left="1304" w:hanging="1304"/>
        <w:jc w:val="both"/>
        <w:rPr>
          <w:rFonts w:ascii="Arial" w:hAnsi="Arial" w:cs="Arial"/>
          <w:b/>
          <w:sz w:val="18"/>
          <w:szCs w:val="18"/>
        </w:rPr>
      </w:pPr>
    </w:p>
    <w:p w14:paraId="06F0FC9C" w14:textId="13122EDC" w:rsidR="008A6D6D" w:rsidRPr="00E34476" w:rsidRDefault="008A6D6D" w:rsidP="008A6D6D">
      <w:pPr>
        <w:spacing w:before="320" w:after="80" w:line="360" w:lineRule="auto"/>
        <w:ind w:left="1304" w:hanging="1304"/>
        <w:jc w:val="both"/>
        <w:rPr>
          <w:rFonts w:ascii="Arial" w:hAnsi="Arial" w:cs="Arial"/>
          <w:b/>
          <w:sz w:val="20"/>
          <w:szCs w:val="20"/>
        </w:rPr>
      </w:pPr>
    </w:p>
    <w:p w14:paraId="661798A7" w14:textId="77777777" w:rsidR="008A6D6D" w:rsidRPr="00E34476" w:rsidRDefault="008A6D6D" w:rsidP="008A6D6D">
      <w:pPr>
        <w:keepLines/>
        <w:spacing w:before="120" w:line="360" w:lineRule="auto"/>
        <w:jc w:val="both"/>
        <w:rPr>
          <w:rFonts w:ascii="Arial" w:hAnsi="Arial" w:cs="Arial"/>
          <w:sz w:val="20"/>
          <w:szCs w:val="20"/>
        </w:rPr>
      </w:pPr>
    </w:p>
    <w:p w14:paraId="32483069" w14:textId="77777777" w:rsidR="008A6D6D" w:rsidRPr="00E34476" w:rsidRDefault="008A6D6D" w:rsidP="008A6D6D">
      <w:pPr>
        <w:keepLines/>
        <w:spacing w:before="120" w:line="360" w:lineRule="auto"/>
        <w:jc w:val="both"/>
        <w:rPr>
          <w:rFonts w:ascii="Arial" w:hAnsi="Arial" w:cs="Arial"/>
          <w:sz w:val="20"/>
          <w:szCs w:val="20"/>
        </w:rPr>
      </w:pPr>
    </w:p>
    <w:p w14:paraId="1675FBA5" w14:textId="77777777" w:rsidR="008A6D6D" w:rsidRPr="00E34476" w:rsidRDefault="008A6D6D" w:rsidP="008A6D6D">
      <w:pPr>
        <w:keepLines/>
        <w:spacing w:before="120" w:line="360" w:lineRule="auto"/>
        <w:jc w:val="both"/>
        <w:rPr>
          <w:rFonts w:ascii="Arial" w:hAnsi="Arial" w:cs="Arial"/>
          <w:sz w:val="20"/>
          <w:szCs w:val="20"/>
        </w:rPr>
      </w:pPr>
    </w:p>
    <w:p w14:paraId="4743B811" w14:textId="77777777" w:rsidR="008A6D6D" w:rsidRPr="00E34476" w:rsidRDefault="008A6D6D" w:rsidP="008A6D6D">
      <w:pPr>
        <w:keepLines/>
        <w:spacing w:before="120" w:line="360" w:lineRule="auto"/>
        <w:jc w:val="both"/>
        <w:rPr>
          <w:rFonts w:ascii="Arial" w:hAnsi="Arial" w:cs="Arial"/>
          <w:sz w:val="20"/>
          <w:szCs w:val="20"/>
        </w:rPr>
      </w:pPr>
    </w:p>
    <w:p w14:paraId="0BF936D3" w14:textId="77777777" w:rsidR="008A6D6D" w:rsidRPr="00E34476" w:rsidRDefault="008A6D6D" w:rsidP="008A6D6D">
      <w:pPr>
        <w:keepLines/>
        <w:spacing w:before="120" w:line="360" w:lineRule="auto"/>
        <w:jc w:val="both"/>
        <w:rPr>
          <w:rFonts w:ascii="Arial" w:hAnsi="Arial" w:cs="Arial"/>
          <w:sz w:val="20"/>
          <w:szCs w:val="20"/>
        </w:rPr>
      </w:pPr>
    </w:p>
    <w:p w14:paraId="72B8FD8A" w14:textId="77777777" w:rsidR="008A6D6D" w:rsidRPr="00E34476" w:rsidRDefault="008A6D6D" w:rsidP="008A6D6D">
      <w:pPr>
        <w:keepLines/>
        <w:spacing w:before="120" w:line="360" w:lineRule="auto"/>
        <w:jc w:val="both"/>
        <w:rPr>
          <w:rFonts w:ascii="Arial" w:hAnsi="Arial" w:cs="Arial"/>
          <w:sz w:val="20"/>
          <w:szCs w:val="20"/>
        </w:rPr>
      </w:pPr>
    </w:p>
    <w:p w14:paraId="3DE37C83" w14:textId="77777777" w:rsidR="008A6D6D" w:rsidRPr="00E34476" w:rsidRDefault="008A6D6D" w:rsidP="008A6D6D">
      <w:pPr>
        <w:spacing w:line="360" w:lineRule="auto"/>
        <w:ind w:left="360"/>
        <w:jc w:val="both"/>
        <w:rPr>
          <w:rFonts w:ascii="Arial" w:hAnsi="Arial" w:cs="Arial"/>
          <w:sz w:val="20"/>
          <w:szCs w:val="20"/>
        </w:rPr>
      </w:pPr>
    </w:p>
    <w:p w14:paraId="5B2C7E49" w14:textId="77777777" w:rsidR="008A6D6D" w:rsidRPr="00E34476" w:rsidRDefault="008A6D6D" w:rsidP="008A6D6D">
      <w:pPr>
        <w:spacing w:line="360" w:lineRule="auto"/>
        <w:ind w:left="360"/>
        <w:jc w:val="both"/>
        <w:rPr>
          <w:rFonts w:ascii="Arial" w:hAnsi="Arial" w:cs="Arial"/>
          <w:sz w:val="20"/>
          <w:szCs w:val="20"/>
        </w:rPr>
      </w:pPr>
    </w:p>
    <w:p w14:paraId="54F5A869" w14:textId="77777777" w:rsidR="008A6D6D" w:rsidRPr="00E34476" w:rsidRDefault="008A6D6D" w:rsidP="008A6D6D">
      <w:pPr>
        <w:spacing w:line="360" w:lineRule="auto"/>
        <w:ind w:left="360"/>
        <w:jc w:val="both"/>
        <w:rPr>
          <w:rFonts w:ascii="Arial" w:hAnsi="Arial" w:cs="Arial"/>
          <w:sz w:val="20"/>
          <w:szCs w:val="20"/>
        </w:rPr>
      </w:pPr>
    </w:p>
    <w:tbl>
      <w:tblPr>
        <w:tblW w:w="9276" w:type="dxa"/>
        <w:tblInd w:w="-34" w:type="dxa"/>
        <w:tblLook w:val="04A0" w:firstRow="1" w:lastRow="0" w:firstColumn="1" w:lastColumn="0" w:noHBand="0" w:noVBand="1"/>
      </w:tblPr>
      <w:tblGrid>
        <w:gridCol w:w="1658"/>
        <w:gridCol w:w="752"/>
        <w:gridCol w:w="840"/>
        <w:gridCol w:w="755"/>
        <w:gridCol w:w="753"/>
        <w:gridCol w:w="753"/>
        <w:gridCol w:w="753"/>
        <w:gridCol w:w="753"/>
        <w:gridCol w:w="753"/>
        <w:gridCol w:w="753"/>
        <w:gridCol w:w="753"/>
      </w:tblGrid>
      <w:tr w:rsidR="008A6D6D" w:rsidRPr="00267A6D" w14:paraId="08FE2D9B" w14:textId="77777777" w:rsidTr="00162D6E">
        <w:trPr>
          <w:trHeight w:val="298"/>
        </w:trPr>
        <w:tc>
          <w:tcPr>
            <w:tcW w:w="1658"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14:paraId="73123B41" w14:textId="77777777" w:rsidR="008A6D6D" w:rsidRPr="00344A09" w:rsidRDefault="008A6D6D" w:rsidP="00162D6E">
            <w:pPr>
              <w:spacing w:line="360" w:lineRule="auto"/>
              <w:jc w:val="both"/>
              <w:rPr>
                <w:rFonts w:ascii="Arial" w:hAnsi="Arial" w:cs="Arial"/>
                <w:b/>
                <w:bCs/>
                <w:color w:val="000000"/>
                <w:sz w:val="16"/>
                <w:szCs w:val="16"/>
              </w:rPr>
            </w:pPr>
            <w:r w:rsidRPr="00344A09">
              <w:rPr>
                <w:rFonts w:ascii="Arial" w:hAnsi="Arial" w:cs="Arial"/>
                <w:b/>
                <w:bCs/>
                <w:color w:val="000000"/>
                <w:sz w:val="16"/>
                <w:szCs w:val="16"/>
              </w:rPr>
              <w:t>($’000)</w:t>
            </w:r>
          </w:p>
        </w:tc>
        <w:tc>
          <w:tcPr>
            <w:tcW w:w="752" w:type="dxa"/>
            <w:tcBorders>
              <w:top w:val="single" w:sz="4" w:space="0" w:color="auto"/>
              <w:left w:val="nil"/>
              <w:bottom w:val="single" w:sz="4" w:space="0" w:color="auto"/>
              <w:right w:val="nil"/>
            </w:tcBorders>
            <w:shd w:val="clear" w:color="auto" w:fill="95B3D7" w:themeFill="accent1" w:themeFillTint="99"/>
            <w:noWrap/>
            <w:vAlign w:val="bottom"/>
            <w:hideMark/>
          </w:tcPr>
          <w:p w14:paraId="1D780F25" w14:textId="77777777" w:rsidR="008A6D6D" w:rsidRPr="00344A09" w:rsidRDefault="008A6D6D" w:rsidP="00162D6E">
            <w:pPr>
              <w:spacing w:line="360" w:lineRule="auto"/>
              <w:jc w:val="both"/>
              <w:rPr>
                <w:rFonts w:ascii="Arial" w:hAnsi="Arial" w:cs="Arial"/>
                <w:b/>
                <w:bCs/>
                <w:color w:val="000000"/>
                <w:sz w:val="16"/>
                <w:szCs w:val="16"/>
              </w:rPr>
            </w:pPr>
            <w:r w:rsidRPr="00344A09">
              <w:rPr>
                <w:rFonts w:ascii="Arial" w:hAnsi="Arial" w:cs="Arial"/>
                <w:b/>
                <w:bCs/>
                <w:color w:val="000000"/>
                <w:sz w:val="16"/>
                <w:szCs w:val="16"/>
              </w:rPr>
              <w:t>14/15</w:t>
            </w:r>
          </w:p>
        </w:tc>
        <w:tc>
          <w:tcPr>
            <w:tcW w:w="840" w:type="dxa"/>
            <w:tcBorders>
              <w:top w:val="single" w:sz="4" w:space="0" w:color="auto"/>
              <w:left w:val="nil"/>
              <w:bottom w:val="single" w:sz="4" w:space="0" w:color="auto"/>
              <w:right w:val="nil"/>
            </w:tcBorders>
            <w:shd w:val="clear" w:color="auto" w:fill="95B3D7" w:themeFill="accent1" w:themeFillTint="99"/>
            <w:noWrap/>
            <w:vAlign w:val="bottom"/>
            <w:hideMark/>
          </w:tcPr>
          <w:p w14:paraId="21E9D2E3" w14:textId="77777777" w:rsidR="008A6D6D" w:rsidRPr="00344A09" w:rsidRDefault="008A6D6D" w:rsidP="00162D6E">
            <w:pPr>
              <w:spacing w:line="360" w:lineRule="auto"/>
              <w:jc w:val="both"/>
              <w:rPr>
                <w:rFonts w:ascii="Arial" w:hAnsi="Arial" w:cs="Arial"/>
                <w:b/>
                <w:bCs/>
                <w:color w:val="000000"/>
                <w:sz w:val="16"/>
                <w:szCs w:val="16"/>
              </w:rPr>
            </w:pPr>
            <w:r w:rsidRPr="00344A09">
              <w:rPr>
                <w:rFonts w:ascii="Arial" w:hAnsi="Arial" w:cs="Arial"/>
                <w:b/>
                <w:bCs/>
                <w:color w:val="000000"/>
                <w:sz w:val="16"/>
                <w:szCs w:val="16"/>
              </w:rPr>
              <w:t>15/16</w:t>
            </w:r>
          </w:p>
        </w:tc>
        <w:tc>
          <w:tcPr>
            <w:tcW w:w="755" w:type="dxa"/>
            <w:tcBorders>
              <w:top w:val="single" w:sz="4" w:space="0" w:color="auto"/>
              <w:left w:val="nil"/>
              <w:bottom w:val="single" w:sz="4" w:space="0" w:color="auto"/>
              <w:right w:val="nil"/>
            </w:tcBorders>
            <w:shd w:val="clear" w:color="auto" w:fill="95B3D7" w:themeFill="accent1" w:themeFillTint="99"/>
            <w:noWrap/>
            <w:vAlign w:val="bottom"/>
            <w:hideMark/>
          </w:tcPr>
          <w:p w14:paraId="224C1D24" w14:textId="77777777" w:rsidR="008A6D6D" w:rsidRPr="00344A09" w:rsidRDefault="008A6D6D" w:rsidP="00162D6E">
            <w:pPr>
              <w:spacing w:line="360" w:lineRule="auto"/>
              <w:jc w:val="both"/>
              <w:rPr>
                <w:rFonts w:ascii="Arial" w:hAnsi="Arial" w:cs="Arial"/>
                <w:b/>
                <w:bCs/>
                <w:color w:val="000000"/>
                <w:sz w:val="16"/>
                <w:szCs w:val="16"/>
              </w:rPr>
            </w:pPr>
            <w:r w:rsidRPr="00344A09">
              <w:rPr>
                <w:rFonts w:ascii="Arial" w:hAnsi="Arial" w:cs="Arial"/>
                <w:b/>
                <w:bCs/>
                <w:color w:val="000000"/>
                <w:sz w:val="16"/>
                <w:szCs w:val="16"/>
              </w:rPr>
              <w:t>16/17</w:t>
            </w:r>
          </w:p>
        </w:tc>
        <w:tc>
          <w:tcPr>
            <w:tcW w:w="753" w:type="dxa"/>
            <w:tcBorders>
              <w:top w:val="single" w:sz="4" w:space="0" w:color="auto"/>
              <w:left w:val="nil"/>
              <w:bottom w:val="single" w:sz="4" w:space="0" w:color="auto"/>
              <w:right w:val="nil"/>
            </w:tcBorders>
            <w:shd w:val="clear" w:color="auto" w:fill="95B3D7" w:themeFill="accent1" w:themeFillTint="99"/>
            <w:noWrap/>
            <w:vAlign w:val="bottom"/>
            <w:hideMark/>
          </w:tcPr>
          <w:p w14:paraId="5D06BD47" w14:textId="77777777" w:rsidR="008A6D6D" w:rsidRPr="00344A09" w:rsidRDefault="008A6D6D" w:rsidP="00162D6E">
            <w:pPr>
              <w:spacing w:line="360" w:lineRule="auto"/>
              <w:jc w:val="both"/>
              <w:rPr>
                <w:rFonts w:ascii="Arial" w:hAnsi="Arial" w:cs="Arial"/>
                <w:b/>
                <w:bCs/>
                <w:color w:val="000000"/>
                <w:sz w:val="16"/>
                <w:szCs w:val="16"/>
              </w:rPr>
            </w:pPr>
            <w:r w:rsidRPr="00344A09">
              <w:rPr>
                <w:rFonts w:ascii="Arial" w:hAnsi="Arial" w:cs="Arial"/>
                <w:b/>
                <w:bCs/>
                <w:color w:val="000000"/>
                <w:sz w:val="16"/>
                <w:szCs w:val="16"/>
              </w:rPr>
              <w:t>17/18</w:t>
            </w:r>
          </w:p>
        </w:tc>
        <w:tc>
          <w:tcPr>
            <w:tcW w:w="753" w:type="dxa"/>
            <w:tcBorders>
              <w:top w:val="single" w:sz="4" w:space="0" w:color="auto"/>
              <w:left w:val="nil"/>
              <w:bottom w:val="single" w:sz="4" w:space="0" w:color="auto"/>
              <w:right w:val="nil"/>
            </w:tcBorders>
            <w:shd w:val="clear" w:color="auto" w:fill="95B3D7" w:themeFill="accent1" w:themeFillTint="99"/>
            <w:noWrap/>
            <w:vAlign w:val="bottom"/>
            <w:hideMark/>
          </w:tcPr>
          <w:p w14:paraId="66982668" w14:textId="77777777" w:rsidR="008A6D6D" w:rsidRPr="00344A09" w:rsidRDefault="008A6D6D" w:rsidP="00162D6E">
            <w:pPr>
              <w:spacing w:line="360" w:lineRule="auto"/>
              <w:jc w:val="both"/>
              <w:rPr>
                <w:rFonts w:ascii="Arial" w:hAnsi="Arial" w:cs="Arial"/>
                <w:b/>
                <w:bCs/>
                <w:color w:val="000000"/>
                <w:sz w:val="16"/>
                <w:szCs w:val="16"/>
              </w:rPr>
            </w:pPr>
            <w:r w:rsidRPr="00344A09">
              <w:rPr>
                <w:rFonts w:ascii="Arial" w:hAnsi="Arial" w:cs="Arial"/>
                <w:b/>
                <w:bCs/>
                <w:color w:val="000000"/>
                <w:sz w:val="16"/>
                <w:szCs w:val="16"/>
              </w:rPr>
              <w:t>18/19</w:t>
            </w:r>
          </w:p>
        </w:tc>
        <w:tc>
          <w:tcPr>
            <w:tcW w:w="753" w:type="dxa"/>
            <w:tcBorders>
              <w:top w:val="single" w:sz="4" w:space="0" w:color="auto"/>
              <w:left w:val="nil"/>
              <w:bottom w:val="single" w:sz="4" w:space="0" w:color="auto"/>
              <w:right w:val="nil"/>
            </w:tcBorders>
            <w:shd w:val="clear" w:color="auto" w:fill="95B3D7" w:themeFill="accent1" w:themeFillTint="99"/>
            <w:noWrap/>
            <w:vAlign w:val="bottom"/>
            <w:hideMark/>
          </w:tcPr>
          <w:p w14:paraId="760646E9" w14:textId="77777777" w:rsidR="008A6D6D" w:rsidRPr="00344A09" w:rsidRDefault="008A6D6D" w:rsidP="00162D6E">
            <w:pPr>
              <w:spacing w:line="360" w:lineRule="auto"/>
              <w:jc w:val="both"/>
              <w:rPr>
                <w:rFonts w:ascii="Arial" w:hAnsi="Arial" w:cs="Arial"/>
                <w:b/>
                <w:bCs/>
                <w:color w:val="000000"/>
                <w:sz w:val="16"/>
                <w:szCs w:val="16"/>
              </w:rPr>
            </w:pPr>
            <w:r w:rsidRPr="00344A09">
              <w:rPr>
                <w:rFonts w:ascii="Arial" w:hAnsi="Arial" w:cs="Arial"/>
                <w:b/>
                <w:bCs/>
                <w:color w:val="000000"/>
                <w:sz w:val="16"/>
                <w:szCs w:val="16"/>
              </w:rPr>
              <w:t>19/20</w:t>
            </w:r>
          </w:p>
        </w:tc>
        <w:tc>
          <w:tcPr>
            <w:tcW w:w="753" w:type="dxa"/>
            <w:tcBorders>
              <w:top w:val="single" w:sz="4" w:space="0" w:color="auto"/>
              <w:left w:val="nil"/>
              <w:bottom w:val="single" w:sz="4" w:space="0" w:color="auto"/>
              <w:right w:val="nil"/>
            </w:tcBorders>
            <w:shd w:val="clear" w:color="auto" w:fill="95B3D7" w:themeFill="accent1" w:themeFillTint="99"/>
            <w:noWrap/>
            <w:vAlign w:val="bottom"/>
            <w:hideMark/>
          </w:tcPr>
          <w:p w14:paraId="69DB3E65" w14:textId="77777777" w:rsidR="008A6D6D" w:rsidRPr="00344A09" w:rsidRDefault="008A6D6D" w:rsidP="00162D6E">
            <w:pPr>
              <w:spacing w:line="360" w:lineRule="auto"/>
              <w:jc w:val="both"/>
              <w:rPr>
                <w:rFonts w:ascii="Arial" w:hAnsi="Arial" w:cs="Arial"/>
                <w:b/>
                <w:bCs/>
                <w:color w:val="000000"/>
                <w:sz w:val="16"/>
                <w:szCs w:val="16"/>
              </w:rPr>
            </w:pPr>
            <w:r w:rsidRPr="00344A09">
              <w:rPr>
                <w:rFonts w:ascii="Arial" w:hAnsi="Arial" w:cs="Arial"/>
                <w:b/>
                <w:bCs/>
                <w:color w:val="000000"/>
                <w:sz w:val="16"/>
                <w:szCs w:val="16"/>
              </w:rPr>
              <w:t>20/21</w:t>
            </w:r>
          </w:p>
        </w:tc>
        <w:tc>
          <w:tcPr>
            <w:tcW w:w="753" w:type="dxa"/>
            <w:tcBorders>
              <w:top w:val="single" w:sz="4" w:space="0" w:color="auto"/>
              <w:left w:val="nil"/>
              <w:bottom w:val="single" w:sz="4" w:space="0" w:color="auto"/>
              <w:right w:val="nil"/>
            </w:tcBorders>
            <w:shd w:val="clear" w:color="auto" w:fill="95B3D7" w:themeFill="accent1" w:themeFillTint="99"/>
            <w:noWrap/>
            <w:vAlign w:val="bottom"/>
            <w:hideMark/>
          </w:tcPr>
          <w:p w14:paraId="1AF59C29" w14:textId="77777777" w:rsidR="008A6D6D" w:rsidRPr="00344A09" w:rsidRDefault="008A6D6D" w:rsidP="00162D6E">
            <w:pPr>
              <w:spacing w:line="360" w:lineRule="auto"/>
              <w:jc w:val="both"/>
              <w:rPr>
                <w:rFonts w:ascii="Arial" w:hAnsi="Arial" w:cs="Arial"/>
                <w:b/>
                <w:bCs/>
                <w:color w:val="000000"/>
                <w:sz w:val="16"/>
                <w:szCs w:val="16"/>
              </w:rPr>
            </w:pPr>
            <w:r w:rsidRPr="00344A09">
              <w:rPr>
                <w:rFonts w:ascii="Arial" w:hAnsi="Arial" w:cs="Arial"/>
                <w:b/>
                <w:bCs/>
                <w:color w:val="000000"/>
                <w:sz w:val="16"/>
                <w:szCs w:val="16"/>
              </w:rPr>
              <w:t>21/22</w:t>
            </w:r>
          </w:p>
        </w:tc>
        <w:tc>
          <w:tcPr>
            <w:tcW w:w="753" w:type="dxa"/>
            <w:tcBorders>
              <w:top w:val="single" w:sz="4" w:space="0" w:color="auto"/>
              <w:left w:val="nil"/>
              <w:bottom w:val="single" w:sz="4" w:space="0" w:color="auto"/>
              <w:right w:val="nil"/>
            </w:tcBorders>
            <w:shd w:val="clear" w:color="auto" w:fill="95B3D7" w:themeFill="accent1" w:themeFillTint="99"/>
            <w:noWrap/>
            <w:vAlign w:val="bottom"/>
            <w:hideMark/>
          </w:tcPr>
          <w:p w14:paraId="5B7480D9" w14:textId="77777777" w:rsidR="008A6D6D" w:rsidRPr="00344A09" w:rsidRDefault="008A6D6D" w:rsidP="00162D6E">
            <w:pPr>
              <w:spacing w:line="360" w:lineRule="auto"/>
              <w:jc w:val="both"/>
              <w:rPr>
                <w:rFonts w:ascii="Arial" w:hAnsi="Arial" w:cs="Arial"/>
                <w:b/>
                <w:bCs/>
                <w:color w:val="000000"/>
                <w:sz w:val="16"/>
                <w:szCs w:val="16"/>
              </w:rPr>
            </w:pPr>
            <w:r w:rsidRPr="00344A09">
              <w:rPr>
                <w:rFonts w:ascii="Arial" w:hAnsi="Arial" w:cs="Arial"/>
                <w:b/>
                <w:bCs/>
                <w:color w:val="000000"/>
                <w:sz w:val="16"/>
                <w:szCs w:val="16"/>
              </w:rPr>
              <w:t>22/23</w:t>
            </w:r>
          </w:p>
        </w:tc>
        <w:tc>
          <w:tcPr>
            <w:tcW w:w="753"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1F7FE844" w14:textId="77777777" w:rsidR="008A6D6D" w:rsidRPr="00344A09" w:rsidRDefault="008A6D6D" w:rsidP="00162D6E">
            <w:pPr>
              <w:spacing w:line="360" w:lineRule="auto"/>
              <w:jc w:val="both"/>
              <w:rPr>
                <w:rFonts w:ascii="Arial" w:hAnsi="Arial" w:cs="Arial"/>
                <w:b/>
                <w:bCs/>
                <w:color w:val="000000"/>
                <w:sz w:val="16"/>
                <w:szCs w:val="16"/>
              </w:rPr>
            </w:pPr>
            <w:r w:rsidRPr="00344A09">
              <w:rPr>
                <w:rFonts w:ascii="Arial" w:hAnsi="Arial" w:cs="Arial"/>
                <w:b/>
                <w:bCs/>
                <w:color w:val="000000"/>
                <w:sz w:val="16"/>
                <w:szCs w:val="16"/>
              </w:rPr>
              <w:t>23/24</w:t>
            </w:r>
          </w:p>
        </w:tc>
      </w:tr>
      <w:tr w:rsidR="008A6D6D" w:rsidRPr="00267A6D" w14:paraId="4F7AAA1C" w14:textId="77777777" w:rsidTr="00162D6E">
        <w:trPr>
          <w:trHeight w:val="298"/>
        </w:trPr>
        <w:tc>
          <w:tcPr>
            <w:tcW w:w="1658" w:type="dxa"/>
            <w:tcBorders>
              <w:top w:val="nil"/>
              <w:left w:val="single" w:sz="4" w:space="0" w:color="auto"/>
              <w:bottom w:val="nil"/>
              <w:right w:val="single" w:sz="4" w:space="0" w:color="auto"/>
            </w:tcBorders>
            <w:shd w:val="clear" w:color="auto" w:fill="auto"/>
            <w:noWrap/>
            <w:vAlign w:val="bottom"/>
            <w:hideMark/>
          </w:tcPr>
          <w:p w14:paraId="1A284FEE" w14:textId="77777777" w:rsidR="008A6D6D" w:rsidRPr="00344A09" w:rsidRDefault="008A6D6D" w:rsidP="00162D6E">
            <w:pPr>
              <w:spacing w:line="360" w:lineRule="auto"/>
              <w:jc w:val="both"/>
              <w:rPr>
                <w:rFonts w:ascii="Arial" w:hAnsi="Arial" w:cs="Arial"/>
                <w:b/>
                <w:bCs/>
                <w:color w:val="000000"/>
                <w:sz w:val="16"/>
                <w:szCs w:val="16"/>
              </w:rPr>
            </w:pPr>
            <w:r w:rsidRPr="00344A09">
              <w:rPr>
                <w:rFonts w:ascii="Arial" w:hAnsi="Arial" w:cs="Arial"/>
                <w:b/>
                <w:bCs/>
                <w:color w:val="000000"/>
                <w:sz w:val="16"/>
                <w:szCs w:val="16"/>
              </w:rPr>
              <w:t>SV (Scenario 1)</w:t>
            </w:r>
          </w:p>
        </w:tc>
        <w:tc>
          <w:tcPr>
            <w:tcW w:w="752" w:type="dxa"/>
            <w:tcBorders>
              <w:top w:val="nil"/>
              <w:left w:val="nil"/>
              <w:bottom w:val="nil"/>
              <w:right w:val="nil"/>
            </w:tcBorders>
            <w:shd w:val="clear" w:color="auto" w:fill="auto"/>
            <w:noWrap/>
            <w:vAlign w:val="bottom"/>
            <w:hideMark/>
          </w:tcPr>
          <w:p w14:paraId="178F0EEB" w14:textId="77777777" w:rsidR="008A6D6D" w:rsidRPr="00344A09" w:rsidRDefault="008A6D6D" w:rsidP="00162D6E">
            <w:pPr>
              <w:spacing w:line="360" w:lineRule="auto"/>
              <w:jc w:val="both"/>
              <w:rPr>
                <w:rFonts w:ascii="Arial" w:hAnsi="Arial" w:cs="Arial"/>
                <w:color w:val="000000"/>
                <w:sz w:val="16"/>
                <w:szCs w:val="16"/>
              </w:rPr>
            </w:pPr>
            <w:r w:rsidRPr="00344A09">
              <w:rPr>
                <w:rFonts w:ascii="Arial" w:hAnsi="Arial" w:cs="Arial"/>
                <w:color w:val="000000"/>
                <w:sz w:val="16"/>
                <w:szCs w:val="16"/>
              </w:rPr>
              <w:t>(5,713)</w:t>
            </w:r>
          </w:p>
        </w:tc>
        <w:tc>
          <w:tcPr>
            <w:tcW w:w="840" w:type="dxa"/>
            <w:tcBorders>
              <w:top w:val="nil"/>
              <w:left w:val="nil"/>
              <w:bottom w:val="nil"/>
              <w:right w:val="nil"/>
            </w:tcBorders>
            <w:shd w:val="clear" w:color="auto" w:fill="auto"/>
            <w:noWrap/>
            <w:vAlign w:val="bottom"/>
            <w:hideMark/>
          </w:tcPr>
          <w:p w14:paraId="663BFC59" w14:textId="77777777" w:rsidR="008A6D6D" w:rsidRPr="00344A09" w:rsidRDefault="008A6D6D" w:rsidP="00162D6E">
            <w:pPr>
              <w:spacing w:line="360" w:lineRule="auto"/>
              <w:jc w:val="both"/>
              <w:rPr>
                <w:rFonts w:ascii="Arial" w:hAnsi="Arial" w:cs="Arial"/>
                <w:color w:val="000000"/>
                <w:sz w:val="16"/>
                <w:szCs w:val="16"/>
              </w:rPr>
            </w:pPr>
            <w:r w:rsidRPr="00344A09">
              <w:rPr>
                <w:rFonts w:ascii="Arial" w:hAnsi="Arial" w:cs="Arial"/>
                <w:color w:val="000000"/>
                <w:sz w:val="16"/>
                <w:szCs w:val="16"/>
              </w:rPr>
              <w:t>(6,012)</w:t>
            </w:r>
          </w:p>
        </w:tc>
        <w:tc>
          <w:tcPr>
            <w:tcW w:w="755" w:type="dxa"/>
            <w:tcBorders>
              <w:top w:val="nil"/>
              <w:left w:val="nil"/>
              <w:bottom w:val="nil"/>
              <w:right w:val="nil"/>
            </w:tcBorders>
            <w:shd w:val="clear" w:color="auto" w:fill="auto"/>
            <w:noWrap/>
            <w:vAlign w:val="bottom"/>
            <w:hideMark/>
          </w:tcPr>
          <w:p w14:paraId="264CDE44" w14:textId="77777777" w:rsidR="008A6D6D" w:rsidRPr="00344A09" w:rsidRDefault="008A6D6D" w:rsidP="00162D6E">
            <w:pPr>
              <w:spacing w:line="360" w:lineRule="auto"/>
              <w:jc w:val="both"/>
              <w:rPr>
                <w:rFonts w:ascii="Arial" w:hAnsi="Arial" w:cs="Arial"/>
                <w:color w:val="000000"/>
                <w:sz w:val="16"/>
                <w:szCs w:val="16"/>
              </w:rPr>
            </w:pPr>
            <w:r w:rsidRPr="00344A09">
              <w:rPr>
                <w:rFonts w:ascii="Arial" w:hAnsi="Arial" w:cs="Arial"/>
                <w:color w:val="000000"/>
                <w:sz w:val="16"/>
                <w:szCs w:val="16"/>
              </w:rPr>
              <w:t>(3,937)</w:t>
            </w:r>
          </w:p>
        </w:tc>
        <w:tc>
          <w:tcPr>
            <w:tcW w:w="753" w:type="dxa"/>
            <w:tcBorders>
              <w:top w:val="nil"/>
              <w:left w:val="nil"/>
              <w:bottom w:val="nil"/>
              <w:right w:val="nil"/>
            </w:tcBorders>
            <w:shd w:val="clear" w:color="auto" w:fill="auto"/>
            <w:noWrap/>
            <w:vAlign w:val="bottom"/>
            <w:hideMark/>
          </w:tcPr>
          <w:p w14:paraId="6DF79ACF" w14:textId="77777777" w:rsidR="008A6D6D" w:rsidRPr="00344A09" w:rsidRDefault="008A6D6D" w:rsidP="00162D6E">
            <w:pPr>
              <w:spacing w:line="360" w:lineRule="auto"/>
              <w:jc w:val="both"/>
              <w:rPr>
                <w:rFonts w:ascii="Arial" w:hAnsi="Arial" w:cs="Arial"/>
                <w:color w:val="000000"/>
                <w:sz w:val="16"/>
                <w:szCs w:val="16"/>
              </w:rPr>
            </w:pPr>
            <w:r w:rsidRPr="00344A09">
              <w:rPr>
                <w:rFonts w:ascii="Arial" w:hAnsi="Arial" w:cs="Arial"/>
                <w:color w:val="000000"/>
                <w:sz w:val="16"/>
                <w:szCs w:val="16"/>
              </w:rPr>
              <w:t>(1,256)</w:t>
            </w:r>
          </w:p>
        </w:tc>
        <w:tc>
          <w:tcPr>
            <w:tcW w:w="753" w:type="dxa"/>
            <w:tcBorders>
              <w:top w:val="nil"/>
              <w:left w:val="nil"/>
              <w:bottom w:val="nil"/>
              <w:right w:val="nil"/>
            </w:tcBorders>
            <w:shd w:val="clear" w:color="auto" w:fill="auto"/>
            <w:noWrap/>
            <w:vAlign w:val="bottom"/>
            <w:hideMark/>
          </w:tcPr>
          <w:p w14:paraId="4EFAFBAC" w14:textId="77777777" w:rsidR="008A6D6D" w:rsidRPr="00344A09" w:rsidRDefault="008A6D6D" w:rsidP="00162D6E">
            <w:pPr>
              <w:spacing w:line="360" w:lineRule="auto"/>
              <w:jc w:val="both"/>
              <w:rPr>
                <w:rFonts w:ascii="Arial" w:hAnsi="Arial" w:cs="Arial"/>
                <w:color w:val="000000"/>
                <w:sz w:val="16"/>
                <w:szCs w:val="16"/>
              </w:rPr>
            </w:pPr>
            <w:r w:rsidRPr="00344A09">
              <w:rPr>
                <w:rFonts w:ascii="Arial" w:hAnsi="Arial" w:cs="Arial"/>
                <w:color w:val="000000"/>
                <w:sz w:val="16"/>
                <w:szCs w:val="16"/>
              </w:rPr>
              <w:t>1,927</w:t>
            </w:r>
          </w:p>
        </w:tc>
        <w:tc>
          <w:tcPr>
            <w:tcW w:w="753" w:type="dxa"/>
            <w:tcBorders>
              <w:top w:val="nil"/>
              <w:left w:val="nil"/>
              <w:bottom w:val="nil"/>
              <w:right w:val="nil"/>
            </w:tcBorders>
            <w:shd w:val="clear" w:color="auto" w:fill="auto"/>
            <w:noWrap/>
            <w:vAlign w:val="bottom"/>
            <w:hideMark/>
          </w:tcPr>
          <w:p w14:paraId="0D95D4B9" w14:textId="77777777" w:rsidR="008A6D6D" w:rsidRPr="00344A09" w:rsidRDefault="008A6D6D" w:rsidP="00162D6E">
            <w:pPr>
              <w:spacing w:line="360" w:lineRule="auto"/>
              <w:jc w:val="both"/>
              <w:rPr>
                <w:rFonts w:ascii="Arial" w:hAnsi="Arial" w:cs="Arial"/>
                <w:color w:val="000000"/>
                <w:sz w:val="16"/>
                <w:szCs w:val="16"/>
              </w:rPr>
            </w:pPr>
            <w:r w:rsidRPr="00344A09">
              <w:rPr>
                <w:rFonts w:ascii="Arial" w:hAnsi="Arial" w:cs="Arial"/>
                <w:color w:val="000000"/>
                <w:sz w:val="16"/>
                <w:szCs w:val="16"/>
              </w:rPr>
              <w:t>1,728</w:t>
            </w:r>
          </w:p>
        </w:tc>
        <w:tc>
          <w:tcPr>
            <w:tcW w:w="753" w:type="dxa"/>
            <w:tcBorders>
              <w:top w:val="nil"/>
              <w:left w:val="nil"/>
              <w:bottom w:val="nil"/>
              <w:right w:val="nil"/>
            </w:tcBorders>
            <w:shd w:val="clear" w:color="auto" w:fill="auto"/>
            <w:noWrap/>
            <w:vAlign w:val="bottom"/>
            <w:hideMark/>
          </w:tcPr>
          <w:p w14:paraId="480E6B83" w14:textId="77777777" w:rsidR="008A6D6D" w:rsidRPr="00344A09" w:rsidRDefault="008A6D6D" w:rsidP="00162D6E">
            <w:pPr>
              <w:spacing w:line="360" w:lineRule="auto"/>
              <w:jc w:val="both"/>
              <w:rPr>
                <w:rFonts w:ascii="Arial" w:hAnsi="Arial" w:cs="Arial"/>
                <w:color w:val="000000"/>
                <w:sz w:val="16"/>
                <w:szCs w:val="16"/>
              </w:rPr>
            </w:pPr>
            <w:r w:rsidRPr="00344A09">
              <w:rPr>
                <w:rFonts w:ascii="Arial" w:hAnsi="Arial" w:cs="Arial"/>
                <w:color w:val="000000"/>
                <w:sz w:val="16"/>
                <w:szCs w:val="16"/>
              </w:rPr>
              <w:t>1,331</w:t>
            </w:r>
          </w:p>
        </w:tc>
        <w:tc>
          <w:tcPr>
            <w:tcW w:w="753" w:type="dxa"/>
            <w:tcBorders>
              <w:top w:val="nil"/>
              <w:left w:val="nil"/>
              <w:bottom w:val="nil"/>
              <w:right w:val="nil"/>
            </w:tcBorders>
            <w:shd w:val="clear" w:color="auto" w:fill="auto"/>
            <w:noWrap/>
            <w:vAlign w:val="bottom"/>
            <w:hideMark/>
          </w:tcPr>
          <w:p w14:paraId="6C3F642B" w14:textId="77777777" w:rsidR="008A6D6D" w:rsidRPr="00344A09" w:rsidRDefault="008A6D6D" w:rsidP="00162D6E">
            <w:pPr>
              <w:spacing w:line="360" w:lineRule="auto"/>
              <w:jc w:val="both"/>
              <w:rPr>
                <w:rFonts w:ascii="Arial" w:hAnsi="Arial" w:cs="Arial"/>
                <w:color w:val="000000"/>
                <w:sz w:val="16"/>
                <w:szCs w:val="16"/>
              </w:rPr>
            </w:pPr>
            <w:r w:rsidRPr="00344A09">
              <w:rPr>
                <w:rFonts w:ascii="Arial" w:hAnsi="Arial" w:cs="Arial"/>
                <w:color w:val="000000"/>
                <w:sz w:val="16"/>
                <w:szCs w:val="16"/>
              </w:rPr>
              <w:t>966</w:t>
            </w:r>
          </w:p>
        </w:tc>
        <w:tc>
          <w:tcPr>
            <w:tcW w:w="753" w:type="dxa"/>
            <w:tcBorders>
              <w:top w:val="nil"/>
              <w:left w:val="nil"/>
              <w:bottom w:val="nil"/>
              <w:right w:val="nil"/>
            </w:tcBorders>
            <w:shd w:val="clear" w:color="auto" w:fill="auto"/>
            <w:noWrap/>
            <w:vAlign w:val="bottom"/>
            <w:hideMark/>
          </w:tcPr>
          <w:p w14:paraId="56F2AED2" w14:textId="77777777" w:rsidR="008A6D6D" w:rsidRPr="00344A09" w:rsidRDefault="008A6D6D" w:rsidP="00162D6E">
            <w:pPr>
              <w:spacing w:line="360" w:lineRule="auto"/>
              <w:jc w:val="both"/>
              <w:rPr>
                <w:rFonts w:ascii="Arial" w:hAnsi="Arial" w:cs="Arial"/>
                <w:color w:val="000000"/>
                <w:sz w:val="16"/>
                <w:szCs w:val="16"/>
              </w:rPr>
            </w:pPr>
            <w:r w:rsidRPr="00344A09">
              <w:rPr>
                <w:rFonts w:ascii="Arial" w:hAnsi="Arial" w:cs="Arial"/>
                <w:color w:val="000000"/>
                <w:sz w:val="16"/>
                <w:szCs w:val="16"/>
              </w:rPr>
              <w:t>508</w:t>
            </w:r>
          </w:p>
        </w:tc>
        <w:tc>
          <w:tcPr>
            <w:tcW w:w="753" w:type="dxa"/>
            <w:tcBorders>
              <w:top w:val="nil"/>
              <w:left w:val="nil"/>
              <w:bottom w:val="nil"/>
              <w:right w:val="single" w:sz="4" w:space="0" w:color="auto"/>
            </w:tcBorders>
            <w:shd w:val="clear" w:color="auto" w:fill="auto"/>
            <w:noWrap/>
            <w:vAlign w:val="bottom"/>
            <w:hideMark/>
          </w:tcPr>
          <w:p w14:paraId="37298907" w14:textId="77777777" w:rsidR="008A6D6D" w:rsidRPr="00344A09" w:rsidRDefault="008A6D6D" w:rsidP="00162D6E">
            <w:pPr>
              <w:spacing w:line="360" w:lineRule="auto"/>
              <w:jc w:val="both"/>
              <w:rPr>
                <w:rFonts w:ascii="Arial" w:hAnsi="Arial" w:cs="Arial"/>
                <w:color w:val="000000"/>
                <w:sz w:val="16"/>
                <w:szCs w:val="16"/>
              </w:rPr>
            </w:pPr>
            <w:r w:rsidRPr="00344A09">
              <w:rPr>
                <w:rFonts w:ascii="Arial" w:hAnsi="Arial" w:cs="Arial"/>
                <w:color w:val="000000"/>
                <w:sz w:val="16"/>
                <w:szCs w:val="16"/>
              </w:rPr>
              <w:t>(672)</w:t>
            </w:r>
          </w:p>
        </w:tc>
      </w:tr>
      <w:tr w:rsidR="008A6D6D" w:rsidRPr="00267A6D" w14:paraId="139B37EE" w14:textId="77777777" w:rsidTr="00162D6E">
        <w:trPr>
          <w:trHeight w:val="298"/>
        </w:trPr>
        <w:tc>
          <w:tcPr>
            <w:tcW w:w="1658" w:type="dxa"/>
            <w:tcBorders>
              <w:top w:val="nil"/>
              <w:left w:val="single" w:sz="4" w:space="0" w:color="auto"/>
              <w:bottom w:val="single" w:sz="4" w:space="0" w:color="auto"/>
              <w:right w:val="single" w:sz="4" w:space="0" w:color="auto"/>
            </w:tcBorders>
            <w:shd w:val="clear" w:color="auto" w:fill="auto"/>
            <w:noWrap/>
            <w:vAlign w:val="bottom"/>
            <w:hideMark/>
          </w:tcPr>
          <w:p w14:paraId="2FDCC279" w14:textId="77777777" w:rsidR="008A6D6D" w:rsidRPr="00344A09" w:rsidRDefault="008A6D6D" w:rsidP="00162D6E">
            <w:pPr>
              <w:spacing w:line="360" w:lineRule="auto"/>
              <w:rPr>
                <w:rFonts w:ascii="Arial" w:hAnsi="Arial" w:cs="Arial"/>
                <w:b/>
                <w:bCs/>
                <w:color w:val="000000"/>
                <w:sz w:val="16"/>
                <w:szCs w:val="16"/>
              </w:rPr>
            </w:pPr>
            <w:r w:rsidRPr="00344A09">
              <w:rPr>
                <w:rFonts w:ascii="Arial" w:hAnsi="Arial" w:cs="Arial"/>
                <w:b/>
                <w:bCs/>
                <w:color w:val="000000"/>
                <w:sz w:val="16"/>
                <w:szCs w:val="16"/>
              </w:rPr>
              <w:t>No SV (Scenario 3)</w:t>
            </w:r>
          </w:p>
        </w:tc>
        <w:tc>
          <w:tcPr>
            <w:tcW w:w="752" w:type="dxa"/>
            <w:tcBorders>
              <w:top w:val="nil"/>
              <w:left w:val="nil"/>
              <w:bottom w:val="single" w:sz="4" w:space="0" w:color="auto"/>
              <w:right w:val="nil"/>
            </w:tcBorders>
            <w:shd w:val="clear" w:color="auto" w:fill="auto"/>
            <w:noWrap/>
            <w:vAlign w:val="bottom"/>
            <w:hideMark/>
          </w:tcPr>
          <w:p w14:paraId="431D6EAE" w14:textId="77777777" w:rsidR="008A6D6D" w:rsidRPr="00344A09" w:rsidRDefault="008A6D6D" w:rsidP="00162D6E">
            <w:pPr>
              <w:spacing w:line="360" w:lineRule="auto"/>
              <w:jc w:val="both"/>
              <w:rPr>
                <w:rFonts w:ascii="Arial" w:hAnsi="Arial" w:cs="Arial"/>
                <w:color w:val="000000"/>
                <w:sz w:val="16"/>
                <w:szCs w:val="16"/>
              </w:rPr>
            </w:pPr>
            <w:r w:rsidRPr="00344A09">
              <w:rPr>
                <w:rFonts w:ascii="Arial" w:hAnsi="Arial" w:cs="Arial"/>
                <w:color w:val="000000"/>
                <w:sz w:val="16"/>
                <w:szCs w:val="16"/>
              </w:rPr>
              <w:t>(5,713)</w:t>
            </w:r>
          </w:p>
        </w:tc>
        <w:tc>
          <w:tcPr>
            <w:tcW w:w="840" w:type="dxa"/>
            <w:tcBorders>
              <w:top w:val="nil"/>
              <w:left w:val="nil"/>
              <w:bottom w:val="single" w:sz="4" w:space="0" w:color="auto"/>
              <w:right w:val="nil"/>
            </w:tcBorders>
            <w:shd w:val="clear" w:color="auto" w:fill="auto"/>
            <w:noWrap/>
            <w:vAlign w:val="bottom"/>
            <w:hideMark/>
          </w:tcPr>
          <w:p w14:paraId="5B2BD111" w14:textId="77777777" w:rsidR="008A6D6D" w:rsidRPr="00344A09" w:rsidRDefault="008A6D6D" w:rsidP="00162D6E">
            <w:pPr>
              <w:spacing w:line="360" w:lineRule="auto"/>
              <w:jc w:val="both"/>
              <w:rPr>
                <w:rFonts w:ascii="Arial" w:hAnsi="Arial" w:cs="Arial"/>
                <w:color w:val="000000"/>
                <w:sz w:val="16"/>
                <w:szCs w:val="16"/>
              </w:rPr>
            </w:pPr>
            <w:r w:rsidRPr="00344A09">
              <w:rPr>
                <w:rFonts w:ascii="Arial" w:hAnsi="Arial" w:cs="Arial"/>
                <w:color w:val="000000"/>
                <w:sz w:val="16"/>
                <w:szCs w:val="16"/>
              </w:rPr>
              <w:t>(6,340)</w:t>
            </w:r>
          </w:p>
        </w:tc>
        <w:tc>
          <w:tcPr>
            <w:tcW w:w="755" w:type="dxa"/>
            <w:tcBorders>
              <w:top w:val="nil"/>
              <w:left w:val="nil"/>
              <w:bottom w:val="single" w:sz="4" w:space="0" w:color="auto"/>
              <w:right w:val="nil"/>
            </w:tcBorders>
            <w:shd w:val="clear" w:color="auto" w:fill="auto"/>
            <w:noWrap/>
            <w:vAlign w:val="bottom"/>
            <w:hideMark/>
          </w:tcPr>
          <w:p w14:paraId="3B005A6F" w14:textId="77777777" w:rsidR="008A6D6D" w:rsidRPr="00344A09" w:rsidRDefault="008A6D6D" w:rsidP="00162D6E">
            <w:pPr>
              <w:spacing w:line="360" w:lineRule="auto"/>
              <w:jc w:val="both"/>
              <w:rPr>
                <w:rFonts w:ascii="Arial" w:hAnsi="Arial" w:cs="Arial"/>
                <w:color w:val="000000"/>
                <w:sz w:val="16"/>
                <w:szCs w:val="16"/>
              </w:rPr>
            </w:pPr>
            <w:r w:rsidRPr="00344A09">
              <w:rPr>
                <w:rFonts w:ascii="Arial" w:hAnsi="Arial" w:cs="Arial"/>
                <w:color w:val="000000"/>
                <w:sz w:val="16"/>
                <w:szCs w:val="16"/>
              </w:rPr>
              <w:t>(6,243)</w:t>
            </w:r>
          </w:p>
        </w:tc>
        <w:tc>
          <w:tcPr>
            <w:tcW w:w="753" w:type="dxa"/>
            <w:tcBorders>
              <w:top w:val="nil"/>
              <w:left w:val="nil"/>
              <w:bottom w:val="single" w:sz="4" w:space="0" w:color="auto"/>
              <w:right w:val="nil"/>
            </w:tcBorders>
            <w:shd w:val="clear" w:color="auto" w:fill="auto"/>
            <w:noWrap/>
            <w:vAlign w:val="bottom"/>
            <w:hideMark/>
          </w:tcPr>
          <w:p w14:paraId="179A2553" w14:textId="77777777" w:rsidR="008A6D6D" w:rsidRPr="00344A09" w:rsidRDefault="008A6D6D" w:rsidP="00162D6E">
            <w:pPr>
              <w:spacing w:line="360" w:lineRule="auto"/>
              <w:jc w:val="both"/>
              <w:rPr>
                <w:rFonts w:ascii="Arial" w:hAnsi="Arial" w:cs="Arial"/>
                <w:color w:val="000000"/>
                <w:sz w:val="16"/>
                <w:szCs w:val="16"/>
              </w:rPr>
            </w:pPr>
            <w:r w:rsidRPr="00344A09">
              <w:rPr>
                <w:rFonts w:ascii="Arial" w:hAnsi="Arial" w:cs="Arial"/>
                <w:color w:val="000000"/>
                <w:sz w:val="16"/>
                <w:szCs w:val="16"/>
              </w:rPr>
              <w:t>(6,049)</w:t>
            </w:r>
          </w:p>
        </w:tc>
        <w:tc>
          <w:tcPr>
            <w:tcW w:w="753" w:type="dxa"/>
            <w:tcBorders>
              <w:top w:val="nil"/>
              <w:left w:val="nil"/>
              <w:bottom w:val="single" w:sz="4" w:space="0" w:color="auto"/>
              <w:right w:val="nil"/>
            </w:tcBorders>
            <w:shd w:val="clear" w:color="auto" w:fill="auto"/>
            <w:noWrap/>
            <w:vAlign w:val="bottom"/>
            <w:hideMark/>
          </w:tcPr>
          <w:p w14:paraId="0F96A232" w14:textId="77777777" w:rsidR="008A6D6D" w:rsidRPr="00344A09" w:rsidRDefault="008A6D6D" w:rsidP="00162D6E">
            <w:pPr>
              <w:spacing w:line="360" w:lineRule="auto"/>
              <w:jc w:val="both"/>
              <w:rPr>
                <w:rFonts w:ascii="Arial" w:hAnsi="Arial" w:cs="Arial"/>
                <w:color w:val="000000"/>
                <w:sz w:val="16"/>
                <w:szCs w:val="16"/>
              </w:rPr>
            </w:pPr>
            <w:r w:rsidRPr="00344A09">
              <w:rPr>
                <w:rFonts w:ascii="Arial" w:hAnsi="Arial" w:cs="Arial"/>
                <w:color w:val="000000"/>
                <w:sz w:val="16"/>
                <w:szCs w:val="16"/>
              </w:rPr>
              <w:t>(5,581)</w:t>
            </w:r>
          </w:p>
        </w:tc>
        <w:tc>
          <w:tcPr>
            <w:tcW w:w="753" w:type="dxa"/>
            <w:tcBorders>
              <w:top w:val="nil"/>
              <w:left w:val="nil"/>
              <w:bottom w:val="single" w:sz="4" w:space="0" w:color="auto"/>
              <w:right w:val="nil"/>
            </w:tcBorders>
            <w:shd w:val="clear" w:color="auto" w:fill="auto"/>
            <w:noWrap/>
            <w:vAlign w:val="bottom"/>
            <w:hideMark/>
          </w:tcPr>
          <w:p w14:paraId="20D8FEC1" w14:textId="77777777" w:rsidR="008A6D6D" w:rsidRPr="00344A09" w:rsidRDefault="008A6D6D" w:rsidP="00162D6E">
            <w:pPr>
              <w:spacing w:line="360" w:lineRule="auto"/>
              <w:jc w:val="both"/>
              <w:rPr>
                <w:rFonts w:ascii="Arial" w:hAnsi="Arial" w:cs="Arial"/>
                <w:color w:val="000000"/>
                <w:sz w:val="16"/>
                <w:szCs w:val="16"/>
              </w:rPr>
            </w:pPr>
            <w:r w:rsidRPr="00344A09">
              <w:rPr>
                <w:rFonts w:ascii="Arial" w:hAnsi="Arial" w:cs="Arial"/>
                <w:color w:val="000000"/>
                <w:sz w:val="16"/>
                <w:szCs w:val="16"/>
              </w:rPr>
              <w:t>(5,161)</w:t>
            </w:r>
          </w:p>
        </w:tc>
        <w:tc>
          <w:tcPr>
            <w:tcW w:w="753" w:type="dxa"/>
            <w:tcBorders>
              <w:top w:val="nil"/>
              <w:left w:val="nil"/>
              <w:bottom w:val="single" w:sz="4" w:space="0" w:color="auto"/>
              <w:right w:val="nil"/>
            </w:tcBorders>
            <w:shd w:val="clear" w:color="auto" w:fill="auto"/>
            <w:noWrap/>
            <w:vAlign w:val="bottom"/>
            <w:hideMark/>
          </w:tcPr>
          <w:p w14:paraId="3FB1FA7F" w14:textId="77777777" w:rsidR="008A6D6D" w:rsidRPr="00344A09" w:rsidRDefault="008A6D6D" w:rsidP="00162D6E">
            <w:pPr>
              <w:spacing w:line="360" w:lineRule="auto"/>
              <w:jc w:val="both"/>
              <w:rPr>
                <w:rFonts w:ascii="Arial" w:hAnsi="Arial" w:cs="Arial"/>
                <w:color w:val="000000"/>
                <w:sz w:val="16"/>
                <w:szCs w:val="16"/>
              </w:rPr>
            </w:pPr>
            <w:r w:rsidRPr="00344A09">
              <w:rPr>
                <w:rFonts w:ascii="Arial" w:hAnsi="Arial" w:cs="Arial"/>
                <w:color w:val="000000"/>
                <w:sz w:val="16"/>
                <w:szCs w:val="16"/>
              </w:rPr>
              <w:t>(4,899)</w:t>
            </w:r>
          </w:p>
        </w:tc>
        <w:tc>
          <w:tcPr>
            <w:tcW w:w="753" w:type="dxa"/>
            <w:tcBorders>
              <w:top w:val="nil"/>
              <w:left w:val="nil"/>
              <w:bottom w:val="single" w:sz="4" w:space="0" w:color="auto"/>
              <w:right w:val="nil"/>
            </w:tcBorders>
            <w:shd w:val="clear" w:color="auto" w:fill="auto"/>
            <w:noWrap/>
            <w:vAlign w:val="bottom"/>
            <w:hideMark/>
          </w:tcPr>
          <w:p w14:paraId="29E39F72" w14:textId="77777777" w:rsidR="008A6D6D" w:rsidRPr="00344A09" w:rsidRDefault="008A6D6D" w:rsidP="00162D6E">
            <w:pPr>
              <w:spacing w:line="360" w:lineRule="auto"/>
              <w:jc w:val="both"/>
              <w:rPr>
                <w:rFonts w:ascii="Arial" w:hAnsi="Arial" w:cs="Arial"/>
                <w:color w:val="000000"/>
                <w:sz w:val="16"/>
                <w:szCs w:val="16"/>
              </w:rPr>
            </w:pPr>
            <w:r w:rsidRPr="00344A09">
              <w:rPr>
                <w:rFonts w:ascii="Arial" w:hAnsi="Arial" w:cs="Arial"/>
                <w:color w:val="000000"/>
                <w:sz w:val="16"/>
                <w:szCs w:val="16"/>
              </w:rPr>
              <w:t>(4,559)</w:t>
            </w:r>
          </w:p>
        </w:tc>
        <w:tc>
          <w:tcPr>
            <w:tcW w:w="753" w:type="dxa"/>
            <w:tcBorders>
              <w:top w:val="nil"/>
              <w:left w:val="nil"/>
              <w:bottom w:val="single" w:sz="4" w:space="0" w:color="auto"/>
              <w:right w:val="nil"/>
            </w:tcBorders>
            <w:shd w:val="clear" w:color="auto" w:fill="auto"/>
            <w:noWrap/>
            <w:vAlign w:val="bottom"/>
            <w:hideMark/>
          </w:tcPr>
          <w:p w14:paraId="1C68B2EE" w14:textId="77777777" w:rsidR="008A6D6D" w:rsidRPr="00344A09" w:rsidRDefault="008A6D6D" w:rsidP="00162D6E">
            <w:pPr>
              <w:spacing w:line="360" w:lineRule="auto"/>
              <w:jc w:val="both"/>
              <w:rPr>
                <w:rFonts w:ascii="Arial" w:hAnsi="Arial" w:cs="Arial"/>
                <w:color w:val="000000"/>
                <w:sz w:val="16"/>
                <w:szCs w:val="16"/>
              </w:rPr>
            </w:pPr>
            <w:r w:rsidRPr="00344A09">
              <w:rPr>
                <w:rFonts w:ascii="Arial" w:hAnsi="Arial" w:cs="Arial"/>
                <w:color w:val="000000"/>
                <w:sz w:val="16"/>
                <w:szCs w:val="16"/>
              </w:rPr>
              <w:t>(4,358)</w:t>
            </w:r>
          </w:p>
        </w:tc>
        <w:tc>
          <w:tcPr>
            <w:tcW w:w="753" w:type="dxa"/>
            <w:tcBorders>
              <w:top w:val="nil"/>
              <w:left w:val="nil"/>
              <w:bottom w:val="single" w:sz="4" w:space="0" w:color="auto"/>
              <w:right w:val="single" w:sz="4" w:space="0" w:color="auto"/>
            </w:tcBorders>
            <w:shd w:val="clear" w:color="auto" w:fill="auto"/>
            <w:noWrap/>
            <w:vAlign w:val="bottom"/>
            <w:hideMark/>
          </w:tcPr>
          <w:p w14:paraId="77A5181E" w14:textId="77777777" w:rsidR="008A6D6D" w:rsidRPr="00344A09" w:rsidRDefault="008A6D6D" w:rsidP="00162D6E">
            <w:pPr>
              <w:spacing w:line="360" w:lineRule="auto"/>
              <w:jc w:val="both"/>
              <w:rPr>
                <w:rFonts w:ascii="Arial" w:hAnsi="Arial" w:cs="Arial"/>
                <w:color w:val="000000"/>
                <w:sz w:val="16"/>
                <w:szCs w:val="16"/>
              </w:rPr>
            </w:pPr>
            <w:r w:rsidRPr="00344A09">
              <w:rPr>
                <w:rFonts w:ascii="Arial" w:hAnsi="Arial" w:cs="Arial"/>
                <w:color w:val="000000"/>
                <w:sz w:val="16"/>
                <w:szCs w:val="16"/>
              </w:rPr>
              <w:t>(4,739)</w:t>
            </w:r>
          </w:p>
        </w:tc>
      </w:tr>
    </w:tbl>
    <w:p w14:paraId="44BD50B2" w14:textId="77777777" w:rsidR="008A6D6D" w:rsidRPr="00E34476" w:rsidRDefault="008A6D6D" w:rsidP="008A6D6D">
      <w:pPr>
        <w:keepLines/>
        <w:spacing w:before="120" w:line="360" w:lineRule="auto"/>
        <w:jc w:val="both"/>
        <w:rPr>
          <w:rFonts w:ascii="Arial" w:hAnsi="Arial" w:cs="Arial"/>
          <w:sz w:val="20"/>
          <w:szCs w:val="20"/>
        </w:rPr>
      </w:pPr>
    </w:p>
    <w:p w14:paraId="2A95F00C" w14:textId="48AA0F68" w:rsidR="008A6D6D" w:rsidRPr="00B556E8" w:rsidRDefault="00162D6E" w:rsidP="00B556E8">
      <w:pPr>
        <w:rPr>
          <w:rFonts w:ascii="Arial" w:hAnsi="Arial" w:cs="Arial"/>
          <w:sz w:val="20"/>
          <w:szCs w:val="20"/>
        </w:rPr>
      </w:pPr>
      <w:bookmarkStart w:id="47" w:name="_Toc392865743"/>
      <w:bookmarkStart w:id="48" w:name="_Toc392874314"/>
      <w:bookmarkStart w:id="49" w:name="_Toc392874428"/>
      <w:bookmarkStart w:id="50" w:name="_Toc394079425"/>
      <w:bookmarkStart w:id="51" w:name="_Toc394079803"/>
      <w:bookmarkStart w:id="52" w:name="_Toc394080295"/>
      <w:bookmarkStart w:id="53" w:name="_Toc394580129"/>
      <w:r w:rsidRPr="00B556E8">
        <w:rPr>
          <w:rFonts w:ascii="Arial" w:hAnsi="Arial" w:cs="Arial"/>
          <w:sz w:val="20"/>
          <w:szCs w:val="20"/>
        </w:rPr>
        <w:t>U</w:t>
      </w:r>
      <w:r w:rsidR="008A6D6D" w:rsidRPr="00B556E8">
        <w:rPr>
          <w:rFonts w:ascii="Arial" w:hAnsi="Arial" w:cs="Arial"/>
          <w:sz w:val="20"/>
          <w:szCs w:val="20"/>
        </w:rPr>
        <w:t>nrestricted Current Ratio</w:t>
      </w:r>
      <w:bookmarkEnd w:id="47"/>
      <w:bookmarkEnd w:id="48"/>
      <w:bookmarkEnd w:id="49"/>
      <w:bookmarkEnd w:id="50"/>
      <w:bookmarkEnd w:id="51"/>
      <w:bookmarkEnd w:id="52"/>
      <w:bookmarkEnd w:id="53"/>
    </w:p>
    <w:p w14:paraId="5526CB7C" w14:textId="77777777" w:rsidR="008A6D6D" w:rsidRPr="008022C5" w:rsidRDefault="008A6D6D" w:rsidP="0089580D">
      <w:pPr>
        <w:spacing w:before="120" w:after="60" w:line="276" w:lineRule="auto"/>
        <w:jc w:val="both"/>
        <w:rPr>
          <w:rFonts w:ascii="Arial" w:hAnsi="Arial" w:cs="Arial"/>
          <w:i/>
          <w:sz w:val="20"/>
          <w:szCs w:val="20"/>
        </w:rPr>
      </w:pPr>
      <w:r w:rsidRPr="008022C5">
        <w:rPr>
          <w:rFonts w:ascii="Arial" w:hAnsi="Arial" w:cs="Arial"/>
          <w:i/>
          <w:sz w:val="20"/>
          <w:szCs w:val="20"/>
        </w:rPr>
        <w:t xml:space="preserve">Proposed special </w:t>
      </w:r>
      <w:r>
        <w:rPr>
          <w:rFonts w:ascii="Arial" w:hAnsi="Arial" w:cs="Arial"/>
          <w:i/>
          <w:sz w:val="20"/>
          <w:szCs w:val="20"/>
        </w:rPr>
        <w:t>v</w:t>
      </w:r>
      <w:r w:rsidRPr="008022C5">
        <w:rPr>
          <w:rFonts w:ascii="Arial" w:hAnsi="Arial" w:cs="Arial"/>
          <w:i/>
          <w:sz w:val="20"/>
          <w:szCs w:val="20"/>
        </w:rPr>
        <w:t>ariation</w:t>
      </w:r>
      <w:r>
        <w:rPr>
          <w:rFonts w:ascii="Arial" w:hAnsi="Arial" w:cs="Arial"/>
          <w:i/>
          <w:sz w:val="20"/>
          <w:szCs w:val="20"/>
        </w:rPr>
        <w:t xml:space="preserve"> (Scenario 1)</w:t>
      </w:r>
    </w:p>
    <w:p w14:paraId="6FAF7599" w14:textId="5BDEADE9" w:rsidR="008A6D6D" w:rsidRDefault="008A6D6D" w:rsidP="0089580D">
      <w:pPr>
        <w:spacing w:line="276" w:lineRule="auto"/>
        <w:jc w:val="both"/>
        <w:rPr>
          <w:rFonts w:ascii="Arial" w:hAnsi="Arial" w:cs="Arial"/>
          <w:sz w:val="20"/>
          <w:szCs w:val="20"/>
        </w:rPr>
      </w:pPr>
      <w:r w:rsidRPr="00BF6931">
        <w:rPr>
          <w:rFonts w:ascii="Arial" w:hAnsi="Arial" w:cs="Arial"/>
          <w:sz w:val="20"/>
          <w:szCs w:val="20"/>
        </w:rPr>
        <w:t>Under the proposed special variation</w:t>
      </w:r>
      <w:r>
        <w:rPr>
          <w:rFonts w:ascii="Arial" w:hAnsi="Arial" w:cs="Arial"/>
          <w:sz w:val="20"/>
          <w:szCs w:val="20"/>
        </w:rPr>
        <w:t>,</w:t>
      </w:r>
      <w:r w:rsidRPr="00E34476">
        <w:rPr>
          <w:rFonts w:ascii="Arial" w:hAnsi="Arial" w:cs="Arial"/>
          <w:sz w:val="20"/>
          <w:szCs w:val="20"/>
        </w:rPr>
        <w:t xml:space="preserve"> </w:t>
      </w:r>
      <w:r>
        <w:rPr>
          <w:rFonts w:ascii="Arial" w:hAnsi="Arial" w:cs="Arial"/>
          <w:sz w:val="20"/>
          <w:szCs w:val="20"/>
        </w:rPr>
        <w:t xml:space="preserve">the </w:t>
      </w:r>
      <w:r w:rsidRPr="00E34476">
        <w:rPr>
          <w:rFonts w:ascii="Arial" w:hAnsi="Arial" w:cs="Arial"/>
          <w:sz w:val="20"/>
          <w:szCs w:val="20"/>
        </w:rPr>
        <w:t xml:space="preserve">Council’s </w:t>
      </w:r>
      <w:r>
        <w:rPr>
          <w:rFonts w:ascii="Arial" w:hAnsi="Arial" w:cs="Arial"/>
          <w:sz w:val="20"/>
          <w:szCs w:val="20"/>
        </w:rPr>
        <w:t>adequacy of available current assets and its ability to satisfy financial obligations in the short term (such as</w:t>
      </w:r>
      <w:r w:rsidRPr="00E34476">
        <w:rPr>
          <w:rFonts w:ascii="Arial" w:hAnsi="Arial" w:cs="Arial"/>
          <w:sz w:val="20"/>
          <w:szCs w:val="20"/>
        </w:rPr>
        <w:t xml:space="preserve"> loans, payroll and leave entitlements and fund expenditure requirements</w:t>
      </w:r>
      <w:r>
        <w:rPr>
          <w:rFonts w:ascii="Arial" w:hAnsi="Arial" w:cs="Arial"/>
          <w:sz w:val="20"/>
          <w:szCs w:val="20"/>
        </w:rPr>
        <w:t>) meets the target of 1.5 : 1.0, f</w:t>
      </w:r>
      <w:r w:rsidRPr="00E34476">
        <w:rPr>
          <w:rFonts w:ascii="Arial" w:hAnsi="Arial" w:cs="Arial"/>
          <w:sz w:val="20"/>
          <w:szCs w:val="20"/>
        </w:rPr>
        <w:t>rom 2016</w:t>
      </w:r>
      <w:r>
        <w:rPr>
          <w:rFonts w:ascii="Arial" w:hAnsi="Arial" w:cs="Arial"/>
          <w:sz w:val="20"/>
          <w:szCs w:val="20"/>
        </w:rPr>
        <w:t>/</w:t>
      </w:r>
      <w:r w:rsidRPr="00E34476">
        <w:rPr>
          <w:rFonts w:ascii="Arial" w:hAnsi="Arial" w:cs="Arial"/>
          <w:sz w:val="20"/>
          <w:szCs w:val="20"/>
        </w:rPr>
        <w:t>17</w:t>
      </w:r>
      <w:r w:rsidR="00803D3E">
        <w:rPr>
          <w:rFonts w:ascii="Arial" w:hAnsi="Arial" w:cs="Arial"/>
          <w:sz w:val="20"/>
          <w:szCs w:val="20"/>
        </w:rPr>
        <w:t xml:space="preserve"> (see </w:t>
      </w:r>
      <w:r w:rsidR="00803D3E" w:rsidRPr="00803D3E">
        <w:rPr>
          <w:rFonts w:ascii="Arial" w:hAnsi="Arial" w:cs="Arial"/>
          <w:b/>
          <w:sz w:val="20"/>
          <w:szCs w:val="20"/>
        </w:rPr>
        <w:t>Figure 3.12</w:t>
      </w:r>
      <w:r w:rsidR="00803D3E">
        <w:rPr>
          <w:rFonts w:ascii="Arial" w:hAnsi="Arial" w:cs="Arial"/>
          <w:sz w:val="20"/>
          <w:szCs w:val="20"/>
        </w:rPr>
        <w:t xml:space="preserve"> below)</w:t>
      </w:r>
      <w:r>
        <w:rPr>
          <w:rFonts w:ascii="Arial" w:hAnsi="Arial" w:cs="Arial"/>
          <w:sz w:val="20"/>
          <w:szCs w:val="20"/>
        </w:rPr>
        <w:t>.</w:t>
      </w:r>
      <w:r w:rsidRPr="00E34476">
        <w:rPr>
          <w:rFonts w:ascii="Arial" w:hAnsi="Arial" w:cs="Arial"/>
          <w:sz w:val="20"/>
          <w:szCs w:val="20"/>
        </w:rPr>
        <w:t xml:space="preserve"> </w:t>
      </w:r>
      <w:r>
        <w:rPr>
          <w:rFonts w:ascii="Arial" w:hAnsi="Arial" w:cs="Arial"/>
          <w:sz w:val="20"/>
          <w:szCs w:val="20"/>
        </w:rPr>
        <w:t xml:space="preserve">The Council </w:t>
      </w:r>
      <w:r w:rsidRPr="00E34476">
        <w:rPr>
          <w:rFonts w:ascii="Arial" w:hAnsi="Arial" w:cs="Arial"/>
          <w:sz w:val="20"/>
          <w:szCs w:val="20"/>
        </w:rPr>
        <w:t>maintains a ratio greater than the benchmark</w:t>
      </w:r>
      <w:r>
        <w:rPr>
          <w:rFonts w:ascii="Arial" w:hAnsi="Arial" w:cs="Arial"/>
          <w:sz w:val="20"/>
          <w:szCs w:val="20"/>
        </w:rPr>
        <w:t>,</w:t>
      </w:r>
      <w:r w:rsidRPr="00E34476">
        <w:rPr>
          <w:rFonts w:ascii="Arial" w:hAnsi="Arial" w:cs="Arial"/>
          <w:sz w:val="20"/>
          <w:szCs w:val="20"/>
        </w:rPr>
        <w:t xml:space="preserve"> with a higher level of liquidity throughout the balance of the life of the LTFP</w:t>
      </w:r>
      <w:r w:rsidR="00631EA1">
        <w:rPr>
          <w:rFonts w:ascii="Arial" w:hAnsi="Arial" w:cs="Arial"/>
          <w:sz w:val="20"/>
          <w:szCs w:val="20"/>
        </w:rPr>
        <w:t xml:space="preserve">. </w:t>
      </w:r>
      <w:r>
        <w:rPr>
          <w:rFonts w:ascii="Arial" w:hAnsi="Arial" w:cs="Arial"/>
          <w:sz w:val="20"/>
          <w:szCs w:val="20"/>
        </w:rPr>
        <w:t>The Council’s Unrestricted Working Capital Balance is also able to be retained at industry standard levels to be able to fund day to day activities and payments.</w:t>
      </w:r>
    </w:p>
    <w:p w14:paraId="393F6592" w14:textId="77777777" w:rsidR="008A6D6D" w:rsidRDefault="008A6D6D" w:rsidP="0089580D">
      <w:pPr>
        <w:spacing w:line="276" w:lineRule="auto"/>
        <w:jc w:val="both"/>
        <w:rPr>
          <w:rFonts w:ascii="Arial" w:hAnsi="Arial" w:cs="Arial"/>
          <w:sz w:val="20"/>
          <w:szCs w:val="20"/>
        </w:rPr>
      </w:pPr>
    </w:p>
    <w:p w14:paraId="50285699" w14:textId="77777777" w:rsidR="008A6D6D" w:rsidRDefault="008A6D6D" w:rsidP="0089580D">
      <w:pPr>
        <w:spacing w:line="276" w:lineRule="auto"/>
        <w:jc w:val="both"/>
        <w:rPr>
          <w:rFonts w:ascii="Arial" w:hAnsi="Arial" w:cs="Arial"/>
          <w:sz w:val="20"/>
          <w:szCs w:val="20"/>
        </w:rPr>
      </w:pPr>
      <w:r>
        <w:rPr>
          <w:rFonts w:ascii="Arial" w:hAnsi="Arial" w:cs="Arial"/>
          <w:sz w:val="20"/>
          <w:szCs w:val="20"/>
        </w:rPr>
        <w:t xml:space="preserve">The ratio being below the target in </w:t>
      </w:r>
      <w:r w:rsidRPr="00E34476">
        <w:rPr>
          <w:rFonts w:ascii="Arial" w:hAnsi="Arial" w:cs="Arial"/>
          <w:sz w:val="20"/>
          <w:szCs w:val="20"/>
        </w:rPr>
        <w:t>the first half of the LTFP</w:t>
      </w:r>
      <w:r>
        <w:rPr>
          <w:rFonts w:ascii="Arial" w:hAnsi="Arial" w:cs="Arial"/>
          <w:sz w:val="20"/>
          <w:szCs w:val="20"/>
        </w:rPr>
        <w:t>,</w:t>
      </w:r>
      <w:r w:rsidRPr="00E34476">
        <w:rPr>
          <w:rFonts w:ascii="Arial" w:hAnsi="Arial" w:cs="Arial"/>
          <w:sz w:val="20"/>
          <w:szCs w:val="20"/>
        </w:rPr>
        <w:t xml:space="preserve"> reflect</w:t>
      </w:r>
      <w:r>
        <w:rPr>
          <w:rFonts w:ascii="Arial" w:hAnsi="Arial" w:cs="Arial"/>
          <w:sz w:val="20"/>
          <w:szCs w:val="20"/>
        </w:rPr>
        <w:t>s</w:t>
      </w:r>
      <w:r w:rsidRPr="00E34476">
        <w:rPr>
          <w:rFonts w:ascii="Arial" w:hAnsi="Arial" w:cs="Arial"/>
          <w:sz w:val="20"/>
          <w:szCs w:val="20"/>
        </w:rPr>
        <w:t xml:space="preserve"> the impact of increased Property Investment Fund sales and reduced current outstanding borrowing costs as debt is retired, which both have a favourable impact on the ratio. The ratio reduces over the second half of the LTFP due to the retirement of debt being relatively smaller over this period. </w:t>
      </w:r>
      <w:r>
        <w:rPr>
          <w:rFonts w:ascii="Arial" w:hAnsi="Arial" w:cs="Arial"/>
          <w:sz w:val="20"/>
          <w:szCs w:val="20"/>
        </w:rPr>
        <w:t>The Council is able to prudently manage its cash and investments to</w:t>
      </w:r>
      <w:r w:rsidRPr="00E34476">
        <w:rPr>
          <w:rFonts w:ascii="Arial" w:hAnsi="Arial" w:cs="Arial"/>
          <w:sz w:val="20"/>
          <w:szCs w:val="20"/>
        </w:rPr>
        <w:t xml:space="preserve"> ensure</w:t>
      </w:r>
      <w:r>
        <w:rPr>
          <w:rFonts w:ascii="Arial" w:hAnsi="Arial" w:cs="Arial"/>
          <w:sz w:val="20"/>
          <w:szCs w:val="20"/>
        </w:rPr>
        <w:t xml:space="preserve"> it</w:t>
      </w:r>
      <w:r w:rsidRPr="00E34476">
        <w:rPr>
          <w:rFonts w:ascii="Arial" w:hAnsi="Arial" w:cs="Arial"/>
          <w:sz w:val="20"/>
          <w:szCs w:val="20"/>
        </w:rPr>
        <w:t xml:space="preserve"> has sufficient </w:t>
      </w:r>
      <w:r>
        <w:rPr>
          <w:rFonts w:ascii="Arial" w:hAnsi="Arial" w:cs="Arial"/>
          <w:sz w:val="20"/>
          <w:szCs w:val="20"/>
        </w:rPr>
        <w:t xml:space="preserve">unrestricted </w:t>
      </w:r>
      <w:r w:rsidRPr="00E34476">
        <w:rPr>
          <w:rFonts w:ascii="Arial" w:hAnsi="Arial" w:cs="Arial"/>
          <w:sz w:val="20"/>
          <w:szCs w:val="20"/>
        </w:rPr>
        <w:t>cash or cash equivalent funds to meet its short-term commitments.</w:t>
      </w:r>
    </w:p>
    <w:p w14:paraId="368F0D24" w14:textId="77777777" w:rsidR="008A6D6D" w:rsidRPr="00E34476" w:rsidRDefault="008A6D6D" w:rsidP="0089580D">
      <w:pPr>
        <w:spacing w:line="276" w:lineRule="auto"/>
        <w:jc w:val="both"/>
        <w:rPr>
          <w:rFonts w:ascii="Arial" w:hAnsi="Arial" w:cs="Arial"/>
          <w:sz w:val="20"/>
          <w:szCs w:val="20"/>
        </w:rPr>
      </w:pPr>
      <w:r w:rsidRPr="00E34476">
        <w:rPr>
          <w:rFonts w:ascii="Arial" w:hAnsi="Arial" w:cs="Arial"/>
          <w:sz w:val="20"/>
          <w:szCs w:val="20"/>
        </w:rPr>
        <w:t xml:space="preserve"> </w:t>
      </w:r>
    </w:p>
    <w:p w14:paraId="28F7E496" w14:textId="77777777" w:rsidR="008A6D6D" w:rsidRPr="00975B76" w:rsidRDefault="008A6D6D" w:rsidP="0089580D">
      <w:pPr>
        <w:spacing w:after="60" w:line="276" w:lineRule="auto"/>
        <w:jc w:val="both"/>
        <w:rPr>
          <w:rFonts w:ascii="Arial" w:hAnsi="Arial" w:cs="Arial"/>
          <w:i/>
          <w:sz w:val="20"/>
          <w:szCs w:val="20"/>
        </w:rPr>
      </w:pPr>
      <w:r w:rsidRPr="00975B76">
        <w:rPr>
          <w:rFonts w:ascii="Arial" w:hAnsi="Arial" w:cs="Arial"/>
          <w:i/>
          <w:sz w:val="20"/>
          <w:szCs w:val="20"/>
        </w:rPr>
        <w:t>No special variation</w:t>
      </w:r>
      <w:r>
        <w:rPr>
          <w:rFonts w:ascii="Arial" w:hAnsi="Arial" w:cs="Arial"/>
          <w:i/>
          <w:sz w:val="20"/>
          <w:szCs w:val="20"/>
        </w:rPr>
        <w:t xml:space="preserve"> (Scenario 3)</w:t>
      </w:r>
    </w:p>
    <w:p w14:paraId="49092569" w14:textId="77777777" w:rsidR="008A6D6D" w:rsidRDefault="008A6D6D" w:rsidP="0089580D">
      <w:pPr>
        <w:spacing w:after="60" w:line="276" w:lineRule="auto"/>
        <w:jc w:val="both"/>
        <w:rPr>
          <w:rFonts w:ascii="Arial" w:hAnsi="Arial" w:cs="Arial"/>
          <w:sz w:val="20"/>
          <w:szCs w:val="20"/>
        </w:rPr>
      </w:pPr>
      <w:r>
        <w:rPr>
          <w:rFonts w:ascii="Arial" w:hAnsi="Arial" w:cs="Arial"/>
          <w:sz w:val="20"/>
          <w:szCs w:val="20"/>
        </w:rPr>
        <w:t>Under No special variation, t</w:t>
      </w:r>
      <w:r w:rsidRPr="00E34476">
        <w:rPr>
          <w:rFonts w:ascii="Arial" w:hAnsi="Arial" w:cs="Arial"/>
          <w:sz w:val="20"/>
          <w:szCs w:val="20"/>
        </w:rPr>
        <w:t>he Council</w:t>
      </w:r>
      <w:r w:rsidRPr="006F762E">
        <w:rPr>
          <w:rFonts w:ascii="Arial" w:hAnsi="Arial" w:cs="Arial"/>
          <w:sz w:val="20"/>
          <w:szCs w:val="20"/>
        </w:rPr>
        <w:t xml:space="preserve"> is still able to meet</w:t>
      </w:r>
      <w:r>
        <w:rPr>
          <w:rFonts w:ascii="Arial" w:hAnsi="Arial" w:cs="Arial"/>
          <w:sz w:val="20"/>
          <w:szCs w:val="20"/>
        </w:rPr>
        <w:t xml:space="preserve"> the target of 1.5 : 1.0 f</w:t>
      </w:r>
      <w:r w:rsidRPr="00E34476">
        <w:rPr>
          <w:rFonts w:ascii="Arial" w:hAnsi="Arial" w:cs="Arial"/>
          <w:sz w:val="20"/>
          <w:szCs w:val="20"/>
        </w:rPr>
        <w:t>rom 2016</w:t>
      </w:r>
      <w:r>
        <w:rPr>
          <w:rFonts w:ascii="Arial" w:hAnsi="Arial" w:cs="Arial"/>
          <w:sz w:val="20"/>
          <w:szCs w:val="20"/>
        </w:rPr>
        <w:t>/</w:t>
      </w:r>
      <w:r w:rsidRPr="00E34476">
        <w:rPr>
          <w:rFonts w:ascii="Arial" w:hAnsi="Arial" w:cs="Arial"/>
          <w:sz w:val="20"/>
          <w:szCs w:val="20"/>
        </w:rPr>
        <w:t xml:space="preserve">17 </w:t>
      </w:r>
      <w:r>
        <w:rPr>
          <w:rFonts w:ascii="Arial" w:hAnsi="Arial" w:cs="Arial"/>
          <w:sz w:val="20"/>
          <w:szCs w:val="20"/>
        </w:rPr>
        <w:t>and</w:t>
      </w:r>
      <w:r w:rsidRPr="00E34476">
        <w:rPr>
          <w:rFonts w:ascii="Arial" w:hAnsi="Arial" w:cs="Arial"/>
          <w:sz w:val="20"/>
          <w:szCs w:val="20"/>
        </w:rPr>
        <w:t xml:space="preserve"> maintains a ratio greater than the benchmark with a higher level of liquidity throughout the balance of the life of the LTFP</w:t>
      </w:r>
      <w:r>
        <w:rPr>
          <w:rFonts w:ascii="Arial" w:hAnsi="Arial" w:cs="Arial"/>
          <w:sz w:val="20"/>
          <w:szCs w:val="20"/>
        </w:rPr>
        <w:t>, however to a reduced level than under the proposed special variation.</w:t>
      </w:r>
    </w:p>
    <w:p w14:paraId="1D78C8EE" w14:textId="77777777" w:rsidR="00385677" w:rsidRDefault="00385677">
      <w:pPr>
        <w:rPr>
          <w:rFonts w:ascii="Arial" w:hAnsi="Arial" w:cs="Arial"/>
          <w:b/>
          <w:sz w:val="18"/>
          <w:szCs w:val="18"/>
        </w:rPr>
      </w:pPr>
      <w:r>
        <w:rPr>
          <w:rFonts w:ascii="Arial" w:hAnsi="Arial" w:cs="Arial"/>
          <w:b/>
          <w:sz w:val="18"/>
          <w:szCs w:val="18"/>
        </w:rPr>
        <w:br w:type="page"/>
      </w:r>
    </w:p>
    <w:p w14:paraId="7EECFB97" w14:textId="332FC14A" w:rsidR="008A6D6D" w:rsidRPr="00F55699" w:rsidRDefault="00631EA1" w:rsidP="008A6D6D">
      <w:pPr>
        <w:spacing w:before="320" w:line="360" w:lineRule="auto"/>
        <w:jc w:val="both"/>
        <w:rPr>
          <w:rFonts w:ascii="Arial" w:hAnsi="Arial" w:cs="Arial"/>
          <w:b/>
          <w:sz w:val="18"/>
          <w:szCs w:val="18"/>
        </w:rPr>
      </w:pPr>
      <w:r w:rsidRPr="00F55699">
        <w:rPr>
          <w:rFonts w:ascii="Arial" w:hAnsi="Arial" w:cs="Arial"/>
          <w:noProof/>
          <w:sz w:val="18"/>
          <w:szCs w:val="18"/>
        </w:rPr>
        <w:drawing>
          <wp:anchor distT="0" distB="0" distL="114300" distR="114300" simplePos="0" relativeHeight="251827200" behindDoc="0" locked="0" layoutInCell="1" allowOverlap="1" wp14:anchorId="553D83AE" wp14:editId="521EF33D">
            <wp:simplePos x="0" y="0"/>
            <wp:positionH relativeFrom="column">
              <wp:posOffset>-60960</wp:posOffset>
            </wp:positionH>
            <wp:positionV relativeFrom="paragraph">
              <wp:posOffset>353695</wp:posOffset>
            </wp:positionV>
            <wp:extent cx="5514975" cy="2724150"/>
            <wp:effectExtent l="0" t="0" r="9525" b="19050"/>
            <wp:wrapNone/>
            <wp:docPr id="2094" name="Chart 209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r w:rsidR="00FA0E8D" w:rsidRPr="00F55699">
        <w:rPr>
          <w:rFonts w:ascii="Arial" w:hAnsi="Arial" w:cs="Arial"/>
          <w:b/>
          <w:sz w:val="18"/>
          <w:szCs w:val="18"/>
        </w:rPr>
        <w:t>Figure 3.12</w:t>
      </w:r>
      <w:r w:rsidR="00F55699">
        <w:rPr>
          <w:rFonts w:ascii="Arial" w:hAnsi="Arial" w:cs="Arial"/>
          <w:b/>
          <w:sz w:val="18"/>
          <w:szCs w:val="18"/>
        </w:rPr>
        <w:t>:</w:t>
      </w:r>
      <w:r w:rsidR="008A6D6D" w:rsidRPr="00F55699">
        <w:rPr>
          <w:rFonts w:ascii="Arial" w:hAnsi="Arial" w:cs="Arial"/>
          <w:b/>
          <w:sz w:val="18"/>
          <w:szCs w:val="18"/>
        </w:rPr>
        <w:t xml:space="preserve"> </w:t>
      </w:r>
      <w:r w:rsidR="00385677">
        <w:rPr>
          <w:rFonts w:ascii="Arial" w:hAnsi="Arial" w:cs="Arial"/>
          <w:b/>
          <w:sz w:val="18"/>
          <w:szCs w:val="18"/>
        </w:rPr>
        <w:t xml:space="preserve">Financial scenarios 1 and 3 - </w:t>
      </w:r>
      <w:r w:rsidR="008A6D6D" w:rsidRPr="00F55699">
        <w:rPr>
          <w:rFonts w:ascii="Arial" w:hAnsi="Arial" w:cs="Arial"/>
          <w:b/>
          <w:sz w:val="18"/>
          <w:szCs w:val="18"/>
        </w:rPr>
        <w:t>10-year annual projection of the unrestricted current ratio</w:t>
      </w:r>
    </w:p>
    <w:p w14:paraId="647CD6E0" w14:textId="33843170" w:rsidR="008A6D6D" w:rsidRPr="00E34476" w:rsidRDefault="008A6D6D" w:rsidP="008A6D6D">
      <w:pPr>
        <w:spacing w:line="360" w:lineRule="auto"/>
        <w:jc w:val="both"/>
        <w:rPr>
          <w:rFonts w:ascii="Arial" w:hAnsi="Arial" w:cs="Arial"/>
          <w:sz w:val="20"/>
          <w:szCs w:val="20"/>
        </w:rPr>
      </w:pPr>
    </w:p>
    <w:p w14:paraId="244C355B" w14:textId="77777777" w:rsidR="008A6D6D" w:rsidRPr="00E34476" w:rsidRDefault="008A6D6D" w:rsidP="008A6D6D">
      <w:pPr>
        <w:spacing w:line="360" w:lineRule="auto"/>
        <w:jc w:val="both"/>
        <w:rPr>
          <w:rFonts w:ascii="Arial" w:hAnsi="Arial" w:cs="Arial"/>
          <w:sz w:val="20"/>
          <w:szCs w:val="20"/>
        </w:rPr>
      </w:pPr>
    </w:p>
    <w:p w14:paraId="1AA79FB4" w14:textId="77777777" w:rsidR="008A6D6D" w:rsidRPr="00E34476" w:rsidRDefault="008A6D6D" w:rsidP="008A6D6D">
      <w:pPr>
        <w:spacing w:line="360" w:lineRule="auto"/>
        <w:jc w:val="both"/>
        <w:rPr>
          <w:rFonts w:ascii="Arial" w:hAnsi="Arial" w:cs="Arial"/>
          <w:sz w:val="20"/>
          <w:szCs w:val="20"/>
        </w:rPr>
      </w:pPr>
    </w:p>
    <w:p w14:paraId="2BA68659" w14:textId="77777777" w:rsidR="008A6D6D" w:rsidRPr="00E34476" w:rsidRDefault="008A6D6D" w:rsidP="008A6D6D">
      <w:pPr>
        <w:spacing w:line="360" w:lineRule="auto"/>
        <w:jc w:val="both"/>
        <w:rPr>
          <w:rFonts w:ascii="Arial" w:hAnsi="Arial" w:cs="Arial"/>
          <w:sz w:val="20"/>
          <w:szCs w:val="20"/>
        </w:rPr>
      </w:pPr>
    </w:p>
    <w:p w14:paraId="2E7CC286" w14:textId="77777777" w:rsidR="008A6D6D" w:rsidRPr="00E34476" w:rsidRDefault="008A6D6D" w:rsidP="008A6D6D">
      <w:pPr>
        <w:spacing w:line="360" w:lineRule="auto"/>
        <w:jc w:val="both"/>
        <w:rPr>
          <w:rFonts w:ascii="Arial" w:hAnsi="Arial" w:cs="Arial"/>
          <w:sz w:val="20"/>
          <w:szCs w:val="20"/>
        </w:rPr>
      </w:pPr>
    </w:p>
    <w:p w14:paraId="033F5F62" w14:textId="77777777" w:rsidR="008A6D6D" w:rsidRPr="00631EA1" w:rsidRDefault="008A6D6D" w:rsidP="008A6D6D">
      <w:pPr>
        <w:spacing w:line="360" w:lineRule="auto"/>
        <w:jc w:val="both"/>
        <w:rPr>
          <w:rFonts w:ascii="Arial" w:hAnsi="Arial" w:cs="Arial"/>
          <w:sz w:val="16"/>
          <w:szCs w:val="16"/>
        </w:rPr>
      </w:pPr>
    </w:p>
    <w:p w14:paraId="313AD7C4" w14:textId="77777777" w:rsidR="008A6D6D" w:rsidRPr="00E34476" w:rsidRDefault="008A6D6D" w:rsidP="008A6D6D">
      <w:pPr>
        <w:spacing w:line="360" w:lineRule="auto"/>
        <w:jc w:val="both"/>
        <w:rPr>
          <w:rFonts w:ascii="Arial" w:hAnsi="Arial" w:cs="Arial"/>
          <w:sz w:val="20"/>
          <w:szCs w:val="20"/>
        </w:rPr>
      </w:pPr>
    </w:p>
    <w:p w14:paraId="397457A4" w14:textId="77777777" w:rsidR="008A6D6D" w:rsidRPr="00E34476" w:rsidRDefault="008A6D6D" w:rsidP="008A6D6D">
      <w:pPr>
        <w:spacing w:line="360" w:lineRule="auto"/>
        <w:jc w:val="both"/>
        <w:rPr>
          <w:rFonts w:ascii="Arial" w:hAnsi="Arial" w:cs="Arial"/>
          <w:sz w:val="20"/>
          <w:szCs w:val="20"/>
        </w:rPr>
      </w:pPr>
    </w:p>
    <w:p w14:paraId="3F530C77" w14:textId="77777777" w:rsidR="008A6D6D" w:rsidRPr="00631EA1" w:rsidRDefault="008A6D6D" w:rsidP="008A6D6D">
      <w:pPr>
        <w:spacing w:line="360" w:lineRule="auto"/>
        <w:jc w:val="both"/>
        <w:rPr>
          <w:rFonts w:ascii="Arial" w:hAnsi="Arial" w:cs="Arial"/>
          <w:sz w:val="16"/>
          <w:szCs w:val="16"/>
        </w:rPr>
      </w:pPr>
    </w:p>
    <w:p w14:paraId="7011FB8F" w14:textId="77777777" w:rsidR="008A6D6D" w:rsidRPr="00E34476" w:rsidRDefault="008A6D6D" w:rsidP="008A6D6D">
      <w:pPr>
        <w:spacing w:line="360" w:lineRule="auto"/>
        <w:jc w:val="both"/>
        <w:rPr>
          <w:rFonts w:ascii="Arial" w:hAnsi="Arial" w:cs="Arial"/>
          <w:sz w:val="20"/>
          <w:szCs w:val="20"/>
        </w:rPr>
      </w:pPr>
    </w:p>
    <w:p w14:paraId="7CEC7DFA" w14:textId="77777777" w:rsidR="008A6D6D" w:rsidRDefault="008A6D6D" w:rsidP="008A6D6D">
      <w:pPr>
        <w:spacing w:line="360" w:lineRule="auto"/>
        <w:jc w:val="both"/>
        <w:rPr>
          <w:rFonts w:ascii="Arial" w:hAnsi="Arial" w:cs="Arial"/>
          <w:sz w:val="20"/>
          <w:szCs w:val="20"/>
        </w:rPr>
      </w:pPr>
    </w:p>
    <w:p w14:paraId="2B7B0387" w14:textId="77777777" w:rsidR="00631EA1" w:rsidRPr="00631EA1" w:rsidRDefault="00631EA1" w:rsidP="008A6D6D">
      <w:pPr>
        <w:spacing w:line="360" w:lineRule="auto"/>
        <w:jc w:val="both"/>
        <w:rPr>
          <w:rFonts w:ascii="Arial" w:hAnsi="Arial" w:cs="Arial"/>
          <w:sz w:val="16"/>
          <w:szCs w:val="16"/>
        </w:rPr>
      </w:pPr>
    </w:p>
    <w:p w14:paraId="17A9E8B8" w14:textId="77777777" w:rsidR="008A6D6D" w:rsidRPr="00E34476" w:rsidRDefault="008A6D6D" w:rsidP="008A6D6D">
      <w:pPr>
        <w:spacing w:line="360" w:lineRule="auto"/>
        <w:jc w:val="both"/>
        <w:rPr>
          <w:rFonts w:ascii="Arial" w:hAnsi="Arial" w:cs="Arial"/>
          <w:sz w:val="20"/>
          <w:szCs w:val="20"/>
        </w:rPr>
      </w:pPr>
    </w:p>
    <w:tbl>
      <w:tblPr>
        <w:tblW w:w="8730" w:type="dxa"/>
        <w:tblInd w:w="-34" w:type="dxa"/>
        <w:tblLook w:val="04A0" w:firstRow="1" w:lastRow="0" w:firstColumn="1" w:lastColumn="0" w:noHBand="0" w:noVBand="1"/>
      </w:tblPr>
      <w:tblGrid>
        <w:gridCol w:w="1560"/>
        <w:gridCol w:w="717"/>
        <w:gridCol w:w="717"/>
        <w:gridCol w:w="717"/>
        <w:gridCol w:w="717"/>
        <w:gridCol w:w="717"/>
        <w:gridCol w:w="717"/>
        <w:gridCol w:w="717"/>
        <w:gridCol w:w="717"/>
        <w:gridCol w:w="717"/>
        <w:gridCol w:w="717"/>
      </w:tblGrid>
      <w:tr w:rsidR="008A6D6D" w:rsidRPr="00E34476" w14:paraId="6E68F6C5" w14:textId="77777777" w:rsidTr="00F55699">
        <w:trPr>
          <w:trHeight w:val="236"/>
        </w:trPr>
        <w:tc>
          <w:tcPr>
            <w:tcW w:w="1560"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14:paraId="5D500D21" w14:textId="77777777" w:rsidR="008A6D6D" w:rsidRPr="00C625DC" w:rsidRDefault="008A6D6D" w:rsidP="00162D6E">
            <w:pPr>
              <w:spacing w:line="360" w:lineRule="auto"/>
              <w:jc w:val="both"/>
              <w:rPr>
                <w:rFonts w:ascii="Arial" w:hAnsi="Arial" w:cs="Arial"/>
                <w:b/>
                <w:bCs/>
                <w:color w:val="000000"/>
                <w:sz w:val="16"/>
                <w:szCs w:val="16"/>
              </w:rPr>
            </w:pPr>
            <w:r w:rsidRPr="00C625DC">
              <w:rPr>
                <w:rFonts w:ascii="Arial" w:hAnsi="Arial" w:cs="Arial"/>
                <w:b/>
                <w:bCs/>
                <w:color w:val="000000"/>
                <w:sz w:val="16"/>
                <w:szCs w:val="16"/>
              </w:rPr>
              <w:t> </w:t>
            </w:r>
          </w:p>
        </w:tc>
        <w:tc>
          <w:tcPr>
            <w:tcW w:w="717" w:type="dxa"/>
            <w:tcBorders>
              <w:top w:val="single" w:sz="4" w:space="0" w:color="auto"/>
              <w:left w:val="nil"/>
              <w:bottom w:val="single" w:sz="4" w:space="0" w:color="auto"/>
              <w:right w:val="nil"/>
            </w:tcBorders>
            <w:shd w:val="clear" w:color="auto" w:fill="95B3D7" w:themeFill="accent1" w:themeFillTint="99"/>
            <w:noWrap/>
            <w:vAlign w:val="bottom"/>
            <w:hideMark/>
          </w:tcPr>
          <w:p w14:paraId="6314849A" w14:textId="77777777" w:rsidR="008A6D6D" w:rsidRPr="00C625DC" w:rsidRDefault="008A6D6D" w:rsidP="00631EA1">
            <w:pPr>
              <w:spacing w:line="360" w:lineRule="auto"/>
              <w:rPr>
                <w:rFonts w:ascii="Arial" w:hAnsi="Arial" w:cs="Arial"/>
                <w:b/>
                <w:bCs/>
                <w:color w:val="000000"/>
                <w:sz w:val="16"/>
                <w:szCs w:val="16"/>
              </w:rPr>
            </w:pPr>
            <w:r w:rsidRPr="00C625DC">
              <w:rPr>
                <w:rFonts w:ascii="Arial" w:hAnsi="Arial" w:cs="Arial"/>
                <w:b/>
                <w:bCs/>
                <w:color w:val="000000"/>
                <w:sz w:val="16"/>
                <w:szCs w:val="16"/>
              </w:rPr>
              <w:t>14/15</w:t>
            </w:r>
          </w:p>
        </w:tc>
        <w:tc>
          <w:tcPr>
            <w:tcW w:w="717" w:type="dxa"/>
            <w:tcBorders>
              <w:top w:val="single" w:sz="4" w:space="0" w:color="auto"/>
              <w:left w:val="nil"/>
              <w:bottom w:val="single" w:sz="4" w:space="0" w:color="auto"/>
              <w:right w:val="nil"/>
            </w:tcBorders>
            <w:shd w:val="clear" w:color="auto" w:fill="95B3D7" w:themeFill="accent1" w:themeFillTint="99"/>
            <w:noWrap/>
            <w:vAlign w:val="bottom"/>
            <w:hideMark/>
          </w:tcPr>
          <w:p w14:paraId="252FEB14" w14:textId="77777777" w:rsidR="008A6D6D" w:rsidRPr="00C625DC" w:rsidRDefault="008A6D6D" w:rsidP="00631EA1">
            <w:pPr>
              <w:spacing w:line="360" w:lineRule="auto"/>
              <w:rPr>
                <w:rFonts w:ascii="Arial" w:hAnsi="Arial" w:cs="Arial"/>
                <w:b/>
                <w:bCs/>
                <w:color w:val="000000"/>
                <w:sz w:val="16"/>
                <w:szCs w:val="16"/>
              </w:rPr>
            </w:pPr>
            <w:r w:rsidRPr="00C625DC">
              <w:rPr>
                <w:rFonts w:ascii="Arial" w:hAnsi="Arial" w:cs="Arial"/>
                <w:b/>
                <w:bCs/>
                <w:color w:val="000000"/>
                <w:sz w:val="16"/>
                <w:szCs w:val="16"/>
              </w:rPr>
              <w:t>15/16</w:t>
            </w:r>
          </w:p>
        </w:tc>
        <w:tc>
          <w:tcPr>
            <w:tcW w:w="717" w:type="dxa"/>
            <w:tcBorders>
              <w:top w:val="single" w:sz="4" w:space="0" w:color="auto"/>
              <w:left w:val="nil"/>
              <w:bottom w:val="single" w:sz="4" w:space="0" w:color="auto"/>
              <w:right w:val="nil"/>
            </w:tcBorders>
            <w:shd w:val="clear" w:color="auto" w:fill="95B3D7" w:themeFill="accent1" w:themeFillTint="99"/>
            <w:noWrap/>
            <w:vAlign w:val="bottom"/>
            <w:hideMark/>
          </w:tcPr>
          <w:p w14:paraId="3A5A1DA8" w14:textId="77777777" w:rsidR="008A6D6D" w:rsidRPr="00C625DC" w:rsidRDefault="008A6D6D" w:rsidP="00631EA1">
            <w:pPr>
              <w:spacing w:line="360" w:lineRule="auto"/>
              <w:rPr>
                <w:rFonts w:ascii="Arial" w:hAnsi="Arial" w:cs="Arial"/>
                <w:b/>
                <w:bCs/>
                <w:color w:val="000000"/>
                <w:sz w:val="16"/>
                <w:szCs w:val="16"/>
              </w:rPr>
            </w:pPr>
            <w:r w:rsidRPr="00C625DC">
              <w:rPr>
                <w:rFonts w:ascii="Arial" w:hAnsi="Arial" w:cs="Arial"/>
                <w:b/>
                <w:bCs/>
                <w:color w:val="000000"/>
                <w:sz w:val="16"/>
                <w:szCs w:val="16"/>
              </w:rPr>
              <w:t>16/17</w:t>
            </w:r>
          </w:p>
        </w:tc>
        <w:tc>
          <w:tcPr>
            <w:tcW w:w="717" w:type="dxa"/>
            <w:tcBorders>
              <w:top w:val="single" w:sz="4" w:space="0" w:color="auto"/>
              <w:left w:val="nil"/>
              <w:bottom w:val="single" w:sz="4" w:space="0" w:color="auto"/>
              <w:right w:val="nil"/>
            </w:tcBorders>
            <w:shd w:val="clear" w:color="auto" w:fill="95B3D7" w:themeFill="accent1" w:themeFillTint="99"/>
            <w:noWrap/>
            <w:vAlign w:val="bottom"/>
            <w:hideMark/>
          </w:tcPr>
          <w:p w14:paraId="2E308322" w14:textId="77777777" w:rsidR="008A6D6D" w:rsidRPr="00C625DC" w:rsidRDefault="008A6D6D" w:rsidP="00631EA1">
            <w:pPr>
              <w:spacing w:line="360" w:lineRule="auto"/>
              <w:rPr>
                <w:rFonts w:ascii="Arial" w:hAnsi="Arial" w:cs="Arial"/>
                <w:b/>
                <w:bCs/>
                <w:color w:val="000000"/>
                <w:sz w:val="16"/>
                <w:szCs w:val="16"/>
              </w:rPr>
            </w:pPr>
            <w:r w:rsidRPr="00C625DC">
              <w:rPr>
                <w:rFonts w:ascii="Arial" w:hAnsi="Arial" w:cs="Arial"/>
                <w:b/>
                <w:bCs/>
                <w:color w:val="000000"/>
                <w:sz w:val="16"/>
                <w:szCs w:val="16"/>
              </w:rPr>
              <w:t>17/18</w:t>
            </w:r>
          </w:p>
        </w:tc>
        <w:tc>
          <w:tcPr>
            <w:tcW w:w="717" w:type="dxa"/>
            <w:tcBorders>
              <w:top w:val="single" w:sz="4" w:space="0" w:color="auto"/>
              <w:left w:val="nil"/>
              <w:bottom w:val="single" w:sz="4" w:space="0" w:color="auto"/>
              <w:right w:val="nil"/>
            </w:tcBorders>
            <w:shd w:val="clear" w:color="auto" w:fill="95B3D7" w:themeFill="accent1" w:themeFillTint="99"/>
            <w:noWrap/>
            <w:vAlign w:val="bottom"/>
            <w:hideMark/>
          </w:tcPr>
          <w:p w14:paraId="162385AC" w14:textId="77777777" w:rsidR="008A6D6D" w:rsidRPr="00C625DC" w:rsidRDefault="008A6D6D" w:rsidP="00631EA1">
            <w:pPr>
              <w:spacing w:line="360" w:lineRule="auto"/>
              <w:rPr>
                <w:rFonts w:ascii="Arial" w:hAnsi="Arial" w:cs="Arial"/>
                <w:b/>
                <w:bCs/>
                <w:color w:val="000000"/>
                <w:sz w:val="16"/>
                <w:szCs w:val="16"/>
              </w:rPr>
            </w:pPr>
            <w:r w:rsidRPr="00C625DC">
              <w:rPr>
                <w:rFonts w:ascii="Arial" w:hAnsi="Arial" w:cs="Arial"/>
                <w:b/>
                <w:bCs/>
                <w:color w:val="000000"/>
                <w:sz w:val="16"/>
                <w:szCs w:val="16"/>
              </w:rPr>
              <w:t>18/19</w:t>
            </w:r>
          </w:p>
        </w:tc>
        <w:tc>
          <w:tcPr>
            <w:tcW w:w="717" w:type="dxa"/>
            <w:tcBorders>
              <w:top w:val="single" w:sz="4" w:space="0" w:color="auto"/>
              <w:left w:val="nil"/>
              <w:bottom w:val="single" w:sz="4" w:space="0" w:color="auto"/>
              <w:right w:val="nil"/>
            </w:tcBorders>
            <w:shd w:val="clear" w:color="auto" w:fill="95B3D7" w:themeFill="accent1" w:themeFillTint="99"/>
            <w:noWrap/>
            <w:vAlign w:val="bottom"/>
            <w:hideMark/>
          </w:tcPr>
          <w:p w14:paraId="6BCBD48C" w14:textId="77777777" w:rsidR="008A6D6D" w:rsidRPr="00C625DC" w:rsidRDefault="008A6D6D" w:rsidP="00631EA1">
            <w:pPr>
              <w:spacing w:line="360" w:lineRule="auto"/>
              <w:rPr>
                <w:rFonts w:ascii="Arial" w:hAnsi="Arial" w:cs="Arial"/>
                <w:b/>
                <w:bCs/>
                <w:color w:val="000000"/>
                <w:sz w:val="16"/>
                <w:szCs w:val="16"/>
              </w:rPr>
            </w:pPr>
            <w:r w:rsidRPr="00C625DC">
              <w:rPr>
                <w:rFonts w:ascii="Arial" w:hAnsi="Arial" w:cs="Arial"/>
                <w:b/>
                <w:bCs/>
                <w:color w:val="000000"/>
                <w:sz w:val="16"/>
                <w:szCs w:val="16"/>
              </w:rPr>
              <w:t>19/20</w:t>
            </w:r>
          </w:p>
        </w:tc>
        <w:tc>
          <w:tcPr>
            <w:tcW w:w="717" w:type="dxa"/>
            <w:tcBorders>
              <w:top w:val="single" w:sz="4" w:space="0" w:color="auto"/>
              <w:left w:val="nil"/>
              <w:bottom w:val="single" w:sz="4" w:space="0" w:color="auto"/>
              <w:right w:val="nil"/>
            </w:tcBorders>
            <w:shd w:val="clear" w:color="auto" w:fill="95B3D7" w:themeFill="accent1" w:themeFillTint="99"/>
            <w:noWrap/>
            <w:vAlign w:val="bottom"/>
            <w:hideMark/>
          </w:tcPr>
          <w:p w14:paraId="05A6007D" w14:textId="77777777" w:rsidR="008A6D6D" w:rsidRPr="00C625DC" w:rsidRDefault="008A6D6D" w:rsidP="00631EA1">
            <w:pPr>
              <w:spacing w:line="360" w:lineRule="auto"/>
              <w:rPr>
                <w:rFonts w:ascii="Arial" w:hAnsi="Arial" w:cs="Arial"/>
                <w:b/>
                <w:bCs/>
                <w:color w:val="000000"/>
                <w:sz w:val="16"/>
                <w:szCs w:val="16"/>
              </w:rPr>
            </w:pPr>
            <w:r w:rsidRPr="00C625DC">
              <w:rPr>
                <w:rFonts w:ascii="Arial" w:hAnsi="Arial" w:cs="Arial"/>
                <w:b/>
                <w:bCs/>
                <w:color w:val="000000"/>
                <w:sz w:val="16"/>
                <w:szCs w:val="16"/>
              </w:rPr>
              <w:t>20/21</w:t>
            </w:r>
          </w:p>
        </w:tc>
        <w:tc>
          <w:tcPr>
            <w:tcW w:w="717" w:type="dxa"/>
            <w:tcBorders>
              <w:top w:val="single" w:sz="4" w:space="0" w:color="auto"/>
              <w:left w:val="nil"/>
              <w:bottom w:val="single" w:sz="4" w:space="0" w:color="auto"/>
              <w:right w:val="nil"/>
            </w:tcBorders>
            <w:shd w:val="clear" w:color="auto" w:fill="95B3D7" w:themeFill="accent1" w:themeFillTint="99"/>
            <w:noWrap/>
            <w:vAlign w:val="bottom"/>
            <w:hideMark/>
          </w:tcPr>
          <w:p w14:paraId="4C6D7807" w14:textId="77777777" w:rsidR="008A6D6D" w:rsidRPr="00C625DC" w:rsidRDefault="008A6D6D" w:rsidP="00631EA1">
            <w:pPr>
              <w:spacing w:line="360" w:lineRule="auto"/>
              <w:rPr>
                <w:rFonts w:ascii="Arial" w:hAnsi="Arial" w:cs="Arial"/>
                <w:b/>
                <w:bCs/>
                <w:color w:val="000000"/>
                <w:sz w:val="16"/>
                <w:szCs w:val="16"/>
              </w:rPr>
            </w:pPr>
            <w:r w:rsidRPr="00C625DC">
              <w:rPr>
                <w:rFonts w:ascii="Arial" w:hAnsi="Arial" w:cs="Arial"/>
                <w:b/>
                <w:bCs/>
                <w:color w:val="000000"/>
                <w:sz w:val="16"/>
                <w:szCs w:val="16"/>
              </w:rPr>
              <w:t>21/22</w:t>
            </w:r>
          </w:p>
        </w:tc>
        <w:tc>
          <w:tcPr>
            <w:tcW w:w="717" w:type="dxa"/>
            <w:tcBorders>
              <w:top w:val="single" w:sz="4" w:space="0" w:color="auto"/>
              <w:left w:val="nil"/>
              <w:bottom w:val="single" w:sz="4" w:space="0" w:color="auto"/>
              <w:right w:val="nil"/>
            </w:tcBorders>
            <w:shd w:val="clear" w:color="auto" w:fill="95B3D7" w:themeFill="accent1" w:themeFillTint="99"/>
            <w:noWrap/>
            <w:vAlign w:val="bottom"/>
            <w:hideMark/>
          </w:tcPr>
          <w:p w14:paraId="1EA27C5C" w14:textId="77777777" w:rsidR="008A6D6D" w:rsidRPr="00C625DC" w:rsidRDefault="008A6D6D" w:rsidP="00631EA1">
            <w:pPr>
              <w:spacing w:line="360" w:lineRule="auto"/>
              <w:rPr>
                <w:rFonts w:ascii="Arial" w:hAnsi="Arial" w:cs="Arial"/>
                <w:b/>
                <w:bCs/>
                <w:color w:val="000000"/>
                <w:sz w:val="16"/>
                <w:szCs w:val="16"/>
              </w:rPr>
            </w:pPr>
            <w:r w:rsidRPr="00C625DC">
              <w:rPr>
                <w:rFonts w:ascii="Arial" w:hAnsi="Arial" w:cs="Arial"/>
                <w:b/>
                <w:bCs/>
                <w:color w:val="000000"/>
                <w:sz w:val="16"/>
                <w:szCs w:val="16"/>
              </w:rPr>
              <w:t>22/23</w:t>
            </w:r>
          </w:p>
        </w:tc>
        <w:tc>
          <w:tcPr>
            <w:tcW w:w="717"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5A89AAC4" w14:textId="77777777" w:rsidR="008A6D6D" w:rsidRPr="00C625DC" w:rsidRDefault="008A6D6D" w:rsidP="00631EA1">
            <w:pPr>
              <w:spacing w:line="360" w:lineRule="auto"/>
              <w:rPr>
                <w:rFonts w:ascii="Arial" w:hAnsi="Arial" w:cs="Arial"/>
                <w:b/>
                <w:bCs/>
                <w:color w:val="000000"/>
                <w:sz w:val="16"/>
                <w:szCs w:val="16"/>
              </w:rPr>
            </w:pPr>
            <w:r w:rsidRPr="00C625DC">
              <w:rPr>
                <w:rFonts w:ascii="Arial" w:hAnsi="Arial" w:cs="Arial"/>
                <w:b/>
                <w:bCs/>
                <w:color w:val="000000"/>
                <w:sz w:val="16"/>
                <w:szCs w:val="16"/>
              </w:rPr>
              <w:t>23/24</w:t>
            </w:r>
          </w:p>
        </w:tc>
      </w:tr>
      <w:tr w:rsidR="008A6D6D" w:rsidRPr="00E34476" w14:paraId="7DC70BBA" w14:textId="77777777" w:rsidTr="00F55699">
        <w:trPr>
          <w:trHeight w:val="339"/>
        </w:trPr>
        <w:tc>
          <w:tcPr>
            <w:tcW w:w="1560" w:type="dxa"/>
            <w:tcBorders>
              <w:top w:val="nil"/>
              <w:left w:val="single" w:sz="4" w:space="0" w:color="auto"/>
              <w:bottom w:val="nil"/>
              <w:right w:val="single" w:sz="4" w:space="0" w:color="auto"/>
            </w:tcBorders>
            <w:shd w:val="clear" w:color="auto" w:fill="auto"/>
            <w:noWrap/>
            <w:vAlign w:val="bottom"/>
            <w:hideMark/>
          </w:tcPr>
          <w:p w14:paraId="4BCFCE0A" w14:textId="77777777" w:rsidR="008A6D6D" w:rsidRPr="00C625DC" w:rsidRDefault="008A6D6D" w:rsidP="00162D6E">
            <w:pPr>
              <w:spacing w:line="360" w:lineRule="auto"/>
              <w:jc w:val="both"/>
              <w:rPr>
                <w:rFonts w:ascii="Arial" w:hAnsi="Arial" w:cs="Arial"/>
                <w:b/>
                <w:bCs/>
                <w:color w:val="000000"/>
                <w:sz w:val="16"/>
                <w:szCs w:val="16"/>
              </w:rPr>
            </w:pPr>
            <w:r w:rsidRPr="00C625DC">
              <w:rPr>
                <w:rFonts w:ascii="Arial" w:hAnsi="Arial" w:cs="Arial"/>
                <w:b/>
                <w:bCs/>
                <w:color w:val="000000"/>
                <w:sz w:val="16"/>
                <w:szCs w:val="16"/>
              </w:rPr>
              <w:t>SV (Scenario 1)</w:t>
            </w:r>
          </w:p>
        </w:tc>
        <w:tc>
          <w:tcPr>
            <w:tcW w:w="717" w:type="dxa"/>
            <w:tcBorders>
              <w:top w:val="nil"/>
              <w:left w:val="nil"/>
              <w:bottom w:val="nil"/>
              <w:right w:val="nil"/>
            </w:tcBorders>
            <w:shd w:val="clear" w:color="auto" w:fill="auto"/>
            <w:noWrap/>
            <w:vAlign w:val="bottom"/>
            <w:hideMark/>
          </w:tcPr>
          <w:p w14:paraId="7E2033D0" w14:textId="77777777" w:rsidR="008A6D6D" w:rsidRPr="00C625DC" w:rsidRDefault="008A6D6D" w:rsidP="00162D6E">
            <w:pPr>
              <w:spacing w:line="360" w:lineRule="auto"/>
              <w:jc w:val="both"/>
              <w:rPr>
                <w:rFonts w:ascii="Arial" w:hAnsi="Arial" w:cs="Arial"/>
                <w:color w:val="000000"/>
                <w:sz w:val="16"/>
                <w:szCs w:val="16"/>
              </w:rPr>
            </w:pPr>
            <w:r w:rsidRPr="00C625DC">
              <w:rPr>
                <w:rFonts w:ascii="Arial" w:hAnsi="Arial" w:cs="Arial"/>
                <w:color w:val="000000"/>
                <w:sz w:val="16"/>
                <w:szCs w:val="16"/>
              </w:rPr>
              <w:t xml:space="preserve">     1.35 </w:t>
            </w:r>
          </w:p>
        </w:tc>
        <w:tc>
          <w:tcPr>
            <w:tcW w:w="717" w:type="dxa"/>
            <w:tcBorders>
              <w:top w:val="nil"/>
              <w:left w:val="nil"/>
              <w:bottom w:val="nil"/>
              <w:right w:val="nil"/>
            </w:tcBorders>
            <w:shd w:val="clear" w:color="auto" w:fill="auto"/>
            <w:noWrap/>
            <w:vAlign w:val="bottom"/>
            <w:hideMark/>
          </w:tcPr>
          <w:p w14:paraId="3470BF21" w14:textId="77777777" w:rsidR="008A6D6D" w:rsidRPr="00C625DC" w:rsidRDefault="008A6D6D" w:rsidP="00162D6E">
            <w:pPr>
              <w:spacing w:line="360" w:lineRule="auto"/>
              <w:jc w:val="both"/>
              <w:rPr>
                <w:rFonts w:ascii="Arial" w:hAnsi="Arial" w:cs="Arial"/>
                <w:color w:val="000000"/>
                <w:sz w:val="16"/>
                <w:szCs w:val="16"/>
              </w:rPr>
            </w:pPr>
            <w:r w:rsidRPr="00C625DC">
              <w:rPr>
                <w:rFonts w:ascii="Arial" w:hAnsi="Arial" w:cs="Arial"/>
                <w:color w:val="000000"/>
                <w:sz w:val="16"/>
                <w:szCs w:val="16"/>
              </w:rPr>
              <w:t xml:space="preserve">     1.43 </w:t>
            </w:r>
          </w:p>
        </w:tc>
        <w:tc>
          <w:tcPr>
            <w:tcW w:w="717" w:type="dxa"/>
            <w:tcBorders>
              <w:top w:val="nil"/>
              <w:left w:val="nil"/>
              <w:bottom w:val="nil"/>
              <w:right w:val="nil"/>
            </w:tcBorders>
            <w:shd w:val="clear" w:color="auto" w:fill="auto"/>
            <w:noWrap/>
            <w:vAlign w:val="bottom"/>
            <w:hideMark/>
          </w:tcPr>
          <w:p w14:paraId="64612589" w14:textId="77777777" w:rsidR="008A6D6D" w:rsidRPr="00C625DC" w:rsidRDefault="008A6D6D" w:rsidP="00162D6E">
            <w:pPr>
              <w:spacing w:line="360" w:lineRule="auto"/>
              <w:jc w:val="both"/>
              <w:rPr>
                <w:rFonts w:ascii="Arial" w:hAnsi="Arial" w:cs="Arial"/>
                <w:color w:val="000000"/>
                <w:sz w:val="16"/>
                <w:szCs w:val="16"/>
              </w:rPr>
            </w:pPr>
            <w:r w:rsidRPr="00C625DC">
              <w:rPr>
                <w:rFonts w:ascii="Arial" w:hAnsi="Arial" w:cs="Arial"/>
                <w:color w:val="000000"/>
                <w:sz w:val="16"/>
                <w:szCs w:val="16"/>
              </w:rPr>
              <w:t xml:space="preserve">     1.54 </w:t>
            </w:r>
          </w:p>
        </w:tc>
        <w:tc>
          <w:tcPr>
            <w:tcW w:w="717" w:type="dxa"/>
            <w:tcBorders>
              <w:top w:val="nil"/>
              <w:left w:val="nil"/>
              <w:bottom w:val="nil"/>
              <w:right w:val="nil"/>
            </w:tcBorders>
            <w:shd w:val="clear" w:color="auto" w:fill="auto"/>
            <w:noWrap/>
            <w:vAlign w:val="bottom"/>
            <w:hideMark/>
          </w:tcPr>
          <w:p w14:paraId="7DE9DCB8" w14:textId="77777777" w:rsidR="008A6D6D" w:rsidRPr="00C625DC" w:rsidRDefault="008A6D6D" w:rsidP="00162D6E">
            <w:pPr>
              <w:spacing w:line="360" w:lineRule="auto"/>
              <w:jc w:val="both"/>
              <w:rPr>
                <w:rFonts w:ascii="Arial" w:hAnsi="Arial" w:cs="Arial"/>
                <w:color w:val="000000"/>
                <w:sz w:val="16"/>
                <w:szCs w:val="16"/>
              </w:rPr>
            </w:pPr>
            <w:r w:rsidRPr="00C625DC">
              <w:rPr>
                <w:rFonts w:ascii="Arial" w:hAnsi="Arial" w:cs="Arial"/>
                <w:color w:val="000000"/>
                <w:sz w:val="16"/>
                <w:szCs w:val="16"/>
              </w:rPr>
              <w:t xml:space="preserve">     1.68 </w:t>
            </w:r>
          </w:p>
        </w:tc>
        <w:tc>
          <w:tcPr>
            <w:tcW w:w="717" w:type="dxa"/>
            <w:tcBorders>
              <w:top w:val="nil"/>
              <w:left w:val="nil"/>
              <w:bottom w:val="nil"/>
              <w:right w:val="nil"/>
            </w:tcBorders>
            <w:shd w:val="clear" w:color="auto" w:fill="auto"/>
            <w:noWrap/>
            <w:vAlign w:val="bottom"/>
            <w:hideMark/>
          </w:tcPr>
          <w:p w14:paraId="0FC58AE3" w14:textId="77777777" w:rsidR="008A6D6D" w:rsidRPr="00C625DC" w:rsidRDefault="008A6D6D" w:rsidP="00162D6E">
            <w:pPr>
              <w:spacing w:line="360" w:lineRule="auto"/>
              <w:jc w:val="both"/>
              <w:rPr>
                <w:rFonts w:ascii="Arial" w:hAnsi="Arial" w:cs="Arial"/>
                <w:color w:val="000000"/>
                <w:sz w:val="16"/>
                <w:szCs w:val="16"/>
              </w:rPr>
            </w:pPr>
            <w:r w:rsidRPr="00C625DC">
              <w:rPr>
                <w:rFonts w:ascii="Arial" w:hAnsi="Arial" w:cs="Arial"/>
                <w:color w:val="000000"/>
                <w:sz w:val="16"/>
                <w:szCs w:val="16"/>
              </w:rPr>
              <w:t xml:space="preserve">     1.76 </w:t>
            </w:r>
          </w:p>
        </w:tc>
        <w:tc>
          <w:tcPr>
            <w:tcW w:w="717" w:type="dxa"/>
            <w:tcBorders>
              <w:top w:val="nil"/>
              <w:left w:val="nil"/>
              <w:bottom w:val="nil"/>
              <w:right w:val="nil"/>
            </w:tcBorders>
            <w:shd w:val="clear" w:color="auto" w:fill="auto"/>
            <w:noWrap/>
            <w:vAlign w:val="bottom"/>
            <w:hideMark/>
          </w:tcPr>
          <w:p w14:paraId="286DECAD" w14:textId="77777777" w:rsidR="008A6D6D" w:rsidRPr="00C625DC" w:rsidRDefault="008A6D6D" w:rsidP="00162D6E">
            <w:pPr>
              <w:spacing w:line="360" w:lineRule="auto"/>
              <w:jc w:val="both"/>
              <w:rPr>
                <w:rFonts w:ascii="Arial" w:hAnsi="Arial" w:cs="Arial"/>
                <w:color w:val="000000"/>
                <w:sz w:val="16"/>
                <w:szCs w:val="16"/>
              </w:rPr>
            </w:pPr>
            <w:r w:rsidRPr="00C625DC">
              <w:rPr>
                <w:rFonts w:ascii="Arial" w:hAnsi="Arial" w:cs="Arial"/>
                <w:color w:val="000000"/>
                <w:sz w:val="16"/>
                <w:szCs w:val="16"/>
              </w:rPr>
              <w:t xml:space="preserve">     1.77 </w:t>
            </w:r>
          </w:p>
        </w:tc>
        <w:tc>
          <w:tcPr>
            <w:tcW w:w="717" w:type="dxa"/>
            <w:tcBorders>
              <w:top w:val="nil"/>
              <w:left w:val="nil"/>
              <w:bottom w:val="nil"/>
              <w:right w:val="nil"/>
            </w:tcBorders>
            <w:shd w:val="clear" w:color="auto" w:fill="auto"/>
            <w:noWrap/>
            <w:vAlign w:val="bottom"/>
            <w:hideMark/>
          </w:tcPr>
          <w:p w14:paraId="1C1D63E5" w14:textId="77777777" w:rsidR="008A6D6D" w:rsidRPr="00C625DC" w:rsidRDefault="008A6D6D" w:rsidP="00162D6E">
            <w:pPr>
              <w:spacing w:line="360" w:lineRule="auto"/>
              <w:jc w:val="both"/>
              <w:rPr>
                <w:rFonts w:ascii="Arial" w:hAnsi="Arial" w:cs="Arial"/>
                <w:color w:val="000000"/>
                <w:sz w:val="16"/>
                <w:szCs w:val="16"/>
              </w:rPr>
            </w:pPr>
            <w:r w:rsidRPr="00C625DC">
              <w:rPr>
                <w:rFonts w:ascii="Arial" w:hAnsi="Arial" w:cs="Arial"/>
                <w:color w:val="000000"/>
                <w:sz w:val="16"/>
                <w:szCs w:val="16"/>
              </w:rPr>
              <w:t xml:space="preserve">     1.72 </w:t>
            </w:r>
          </w:p>
        </w:tc>
        <w:tc>
          <w:tcPr>
            <w:tcW w:w="717" w:type="dxa"/>
            <w:tcBorders>
              <w:top w:val="nil"/>
              <w:left w:val="nil"/>
              <w:bottom w:val="nil"/>
              <w:right w:val="nil"/>
            </w:tcBorders>
            <w:shd w:val="clear" w:color="auto" w:fill="auto"/>
            <w:noWrap/>
            <w:vAlign w:val="bottom"/>
            <w:hideMark/>
          </w:tcPr>
          <w:p w14:paraId="2E8E00C3" w14:textId="77777777" w:rsidR="008A6D6D" w:rsidRPr="00C625DC" w:rsidRDefault="008A6D6D" w:rsidP="00162D6E">
            <w:pPr>
              <w:spacing w:line="360" w:lineRule="auto"/>
              <w:jc w:val="both"/>
              <w:rPr>
                <w:rFonts w:ascii="Arial" w:hAnsi="Arial" w:cs="Arial"/>
                <w:color w:val="000000"/>
                <w:sz w:val="16"/>
                <w:szCs w:val="16"/>
              </w:rPr>
            </w:pPr>
            <w:r w:rsidRPr="00C625DC">
              <w:rPr>
                <w:rFonts w:ascii="Arial" w:hAnsi="Arial" w:cs="Arial"/>
                <w:color w:val="000000"/>
                <w:sz w:val="16"/>
                <w:szCs w:val="16"/>
              </w:rPr>
              <w:t xml:space="preserve">     1.64 </w:t>
            </w:r>
          </w:p>
        </w:tc>
        <w:tc>
          <w:tcPr>
            <w:tcW w:w="717" w:type="dxa"/>
            <w:tcBorders>
              <w:top w:val="nil"/>
              <w:left w:val="nil"/>
              <w:bottom w:val="nil"/>
              <w:right w:val="nil"/>
            </w:tcBorders>
            <w:shd w:val="clear" w:color="auto" w:fill="auto"/>
            <w:noWrap/>
            <w:vAlign w:val="bottom"/>
            <w:hideMark/>
          </w:tcPr>
          <w:p w14:paraId="18C01800" w14:textId="77777777" w:rsidR="008A6D6D" w:rsidRPr="00C625DC" w:rsidRDefault="008A6D6D" w:rsidP="00162D6E">
            <w:pPr>
              <w:spacing w:line="360" w:lineRule="auto"/>
              <w:jc w:val="both"/>
              <w:rPr>
                <w:rFonts w:ascii="Arial" w:hAnsi="Arial" w:cs="Arial"/>
                <w:color w:val="000000"/>
                <w:sz w:val="16"/>
                <w:szCs w:val="16"/>
              </w:rPr>
            </w:pPr>
            <w:r w:rsidRPr="00C625DC">
              <w:rPr>
                <w:rFonts w:ascii="Arial" w:hAnsi="Arial" w:cs="Arial"/>
                <w:color w:val="000000"/>
                <w:sz w:val="16"/>
                <w:szCs w:val="16"/>
              </w:rPr>
              <w:t xml:space="preserve">     1.58 </w:t>
            </w:r>
          </w:p>
        </w:tc>
        <w:tc>
          <w:tcPr>
            <w:tcW w:w="717" w:type="dxa"/>
            <w:tcBorders>
              <w:top w:val="nil"/>
              <w:left w:val="nil"/>
              <w:bottom w:val="nil"/>
              <w:right w:val="single" w:sz="4" w:space="0" w:color="auto"/>
            </w:tcBorders>
            <w:shd w:val="clear" w:color="auto" w:fill="auto"/>
            <w:noWrap/>
            <w:vAlign w:val="bottom"/>
            <w:hideMark/>
          </w:tcPr>
          <w:p w14:paraId="1C6585B4" w14:textId="77777777" w:rsidR="008A6D6D" w:rsidRPr="00C625DC" w:rsidRDefault="008A6D6D" w:rsidP="00162D6E">
            <w:pPr>
              <w:spacing w:line="360" w:lineRule="auto"/>
              <w:jc w:val="both"/>
              <w:rPr>
                <w:rFonts w:ascii="Arial" w:hAnsi="Arial" w:cs="Arial"/>
                <w:color w:val="000000"/>
                <w:sz w:val="16"/>
                <w:szCs w:val="16"/>
              </w:rPr>
            </w:pPr>
            <w:r w:rsidRPr="00C625DC">
              <w:rPr>
                <w:rFonts w:ascii="Arial" w:hAnsi="Arial" w:cs="Arial"/>
                <w:color w:val="000000"/>
                <w:sz w:val="16"/>
                <w:szCs w:val="16"/>
              </w:rPr>
              <w:t xml:space="preserve">     1.50 </w:t>
            </w:r>
          </w:p>
        </w:tc>
      </w:tr>
      <w:tr w:rsidR="008A6D6D" w:rsidRPr="00E34476" w14:paraId="4BAA95FC" w14:textId="77777777" w:rsidTr="00F55699">
        <w:trPr>
          <w:trHeight w:val="8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819C765" w14:textId="77777777" w:rsidR="008A6D6D" w:rsidRPr="00C625DC" w:rsidRDefault="008A6D6D" w:rsidP="00162D6E">
            <w:pPr>
              <w:spacing w:line="360" w:lineRule="auto"/>
              <w:rPr>
                <w:rFonts w:ascii="Arial" w:hAnsi="Arial" w:cs="Arial"/>
                <w:b/>
                <w:bCs/>
                <w:color w:val="000000"/>
                <w:sz w:val="16"/>
                <w:szCs w:val="16"/>
              </w:rPr>
            </w:pPr>
            <w:r w:rsidRPr="00C625DC">
              <w:rPr>
                <w:rFonts w:ascii="Arial" w:hAnsi="Arial" w:cs="Arial"/>
                <w:b/>
                <w:bCs/>
                <w:color w:val="000000"/>
                <w:sz w:val="16"/>
                <w:szCs w:val="16"/>
              </w:rPr>
              <w:t>No SV (Scenario 3)</w:t>
            </w:r>
          </w:p>
        </w:tc>
        <w:tc>
          <w:tcPr>
            <w:tcW w:w="717" w:type="dxa"/>
            <w:tcBorders>
              <w:top w:val="nil"/>
              <w:left w:val="nil"/>
              <w:bottom w:val="single" w:sz="4" w:space="0" w:color="auto"/>
              <w:right w:val="nil"/>
            </w:tcBorders>
            <w:shd w:val="clear" w:color="auto" w:fill="auto"/>
            <w:noWrap/>
            <w:vAlign w:val="bottom"/>
            <w:hideMark/>
          </w:tcPr>
          <w:p w14:paraId="70034C06" w14:textId="77777777" w:rsidR="008A6D6D" w:rsidRPr="00C625DC" w:rsidRDefault="008A6D6D" w:rsidP="00162D6E">
            <w:pPr>
              <w:spacing w:line="360" w:lineRule="auto"/>
              <w:jc w:val="both"/>
              <w:rPr>
                <w:rFonts w:ascii="Arial" w:hAnsi="Arial" w:cs="Arial"/>
                <w:color w:val="000000"/>
                <w:sz w:val="16"/>
                <w:szCs w:val="16"/>
              </w:rPr>
            </w:pPr>
            <w:r w:rsidRPr="00C625DC">
              <w:rPr>
                <w:rFonts w:ascii="Arial" w:hAnsi="Arial" w:cs="Arial"/>
                <w:color w:val="000000"/>
                <w:sz w:val="16"/>
                <w:szCs w:val="16"/>
              </w:rPr>
              <w:t xml:space="preserve">     1.35 </w:t>
            </w:r>
          </w:p>
        </w:tc>
        <w:tc>
          <w:tcPr>
            <w:tcW w:w="717" w:type="dxa"/>
            <w:tcBorders>
              <w:top w:val="nil"/>
              <w:left w:val="nil"/>
              <w:bottom w:val="single" w:sz="4" w:space="0" w:color="auto"/>
              <w:right w:val="nil"/>
            </w:tcBorders>
            <w:shd w:val="clear" w:color="auto" w:fill="auto"/>
            <w:noWrap/>
            <w:vAlign w:val="bottom"/>
            <w:hideMark/>
          </w:tcPr>
          <w:p w14:paraId="49887651" w14:textId="77777777" w:rsidR="008A6D6D" w:rsidRPr="00C625DC" w:rsidRDefault="008A6D6D" w:rsidP="00162D6E">
            <w:pPr>
              <w:spacing w:line="360" w:lineRule="auto"/>
              <w:jc w:val="both"/>
              <w:rPr>
                <w:rFonts w:ascii="Arial" w:hAnsi="Arial" w:cs="Arial"/>
                <w:color w:val="000000"/>
                <w:sz w:val="16"/>
                <w:szCs w:val="16"/>
              </w:rPr>
            </w:pPr>
            <w:r w:rsidRPr="00C625DC">
              <w:rPr>
                <w:rFonts w:ascii="Arial" w:hAnsi="Arial" w:cs="Arial"/>
                <w:color w:val="000000"/>
                <w:sz w:val="16"/>
                <w:szCs w:val="16"/>
              </w:rPr>
              <w:t xml:space="preserve">     1.42 </w:t>
            </w:r>
          </w:p>
        </w:tc>
        <w:tc>
          <w:tcPr>
            <w:tcW w:w="717" w:type="dxa"/>
            <w:tcBorders>
              <w:top w:val="nil"/>
              <w:left w:val="nil"/>
              <w:bottom w:val="single" w:sz="4" w:space="0" w:color="auto"/>
              <w:right w:val="nil"/>
            </w:tcBorders>
            <w:shd w:val="clear" w:color="auto" w:fill="auto"/>
            <w:noWrap/>
            <w:vAlign w:val="bottom"/>
            <w:hideMark/>
          </w:tcPr>
          <w:p w14:paraId="132FF019" w14:textId="77777777" w:rsidR="008A6D6D" w:rsidRPr="00C625DC" w:rsidRDefault="008A6D6D" w:rsidP="00162D6E">
            <w:pPr>
              <w:spacing w:line="360" w:lineRule="auto"/>
              <w:jc w:val="both"/>
              <w:rPr>
                <w:rFonts w:ascii="Arial" w:hAnsi="Arial" w:cs="Arial"/>
                <w:color w:val="000000"/>
                <w:sz w:val="16"/>
                <w:szCs w:val="16"/>
              </w:rPr>
            </w:pPr>
            <w:r w:rsidRPr="00C625DC">
              <w:rPr>
                <w:rFonts w:ascii="Arial" w:hAnsi="Arial" w:cs="Arial"/>
                <w:color w:val="000000"/>
                <w:sz w:val="16"/>
                <w:szCs w:val="16"/>
              </w:rPr>
              <w:t xml:space="preserve">     1.52 </w:t>
            </w:r>
          </w:p>
        </w:tc>
        <w:tc>
          <w:tcPr>
            <w:tcW w:w="717" w:type="dxa"/>
            <w:tcBorders>
              <w:top w:val="nil"/>
              <w:left w:val="nil"/>
              <w:bottom w:val="single" w:sz="4" w:space="0" w:color="auto"/>
              <w:right w:val="nil"/>
            </w:tcBorders>
            <w:shd w:val="clear" w:color="auto" w:fill="auto"/>
            <w:noWrap/>
            <w:vAlign w:val="bottom"/>
            <w:hideMark/>
          </w:tcPr>
          <w:p w14:paraId="311AAD6C" w14:textId="77777777" w:rsidR="008A6D6D" w:rsidRPr="00C625DC" w:rsidRDefault="008A6D6D" w:rsidP="00162D6E">
            <w:pPr>
              <w:spacing w:line="360" w:lineRule="auto"/>
              <w:jc w:val="both"/>
              <w:rPr>
                <w:rFonts w:ascii="Arial" w:hAnsi="Arial" w:cs="Arial"/>
                <w:color w:val="000000"/>
                <w:sz w:val="16"/>
                <w:szCs w:val="16"/>
              </w:rPr>
            </w:pPr>
            <w:r w:rsidRPr="00C625DC">
              <w:rPr>
                <w:rFonts w:ascii="Arial" w:hAnsi="Arial" w:cs="Arial"/>
                <w:color w:val="000000"/>
                <w:sz w:val="16"/>
                <w:szCs w:val="16"/>
              </w:rPr>
              <w:t xml:space="preserve">     1.63 </w:t>
            </w:r>
          </w:p>
        </w:tc>
        <w:tc>
          <w:tcPr>
            <w:tcW w:w="717" w:type="dxa"/>
            <w:tcBorders>
              <w:top w:val="nil"/>
              <w:left w:val="nil"/>
              <w:bottom w:val="single" w:sz="4" w:space="0" w:color="auto"/>
              <w:right w:val="nil"/>
            </w:tcBorders>
            <w:shd w:val="clear" w:color="auto" w:fill="auto"/>
            <w:noWrap/>
            <w:vAlign w:val="bottom"/>
            <w:hideMark/>
          </w:tcPr>
          <w:p w14:paraId="677BE6DE" w14:textId="77777777" w:rsidR="008A6D6D" w:rsidRPr="00C625DC" w:rsidRDefault="008A6D6D" w:rsidP="00162D6E">
            <w:pPr>
              <w:spacing w:line="360" w:lineRule="auto"/>
              <w:jc w:val="both"/>
              <w:rPr>
                <w:rFonts w:ascii="Arial" w:hAnsi="Arial" w:cs="Arial"/>
                <w:color w:val="000000"/>
                <w:sz w:val="16"/>
                <w:szCs w:val="16"/>
              </w:rPr>
            </w:pPr>
            <w:r w:rsidRPr="00C625DC">
              <w:rPr>
                <w:rFonts w:ascii="Arial" w:hAnsi="Arial" w:cs="Arial"/>
                <w:color w:val="000000"/>
                <w:sz w:val="16"/>
                <w:szCs w:val="16"/>
              </w:rPr>
              <w:t xml:space="preserve">     1.70 </w:t>
            </w:r>
          </w:p>
        </w:tc>
        <w:tc>
          <w:tcPr>
            <w:tcW w:w="717" w:type="dxa"/>
            <w:tcBorders>
              <w:top w:val="nil"/>
              <w:left w:val="nil"/>
              <w:bottom w:val="single" w:sz="4" w:space="0" w:color="auto"/>
              <w:right w:val="nil"/>
            </w:tcBorders>
            <w:shd w:val="clear" w:color="auto" w:fill="auto"/>
            <w:noWrap/>
            <w:vAlign w:val="bottom"/>
            <w:hideMark/>
          </w:tcPr>
          <w:p w14:paraId="1754BC4D" w14:textId="77777777" w:rsidR="008A6D6D" w:rsidRPr="00C625DC" w:rsidRDefault="008A6D6D" w:rsidP="00162D6E">
            <w:pPr>
              <w:spacing w:line="360" w:lineRule="auto"/>
              <w:jc w:val="both"/>
              <w:rPr>
                <w:rFonts w:ascii="Arial" w:hAnsi="Arial" w:cs="Arial"/>
                <w:color w:val="000000"/>
                <w:sz w:val="16"/>
                <w:szCs w:val="16"/>
              </w:rPr>
            </w:pPr>
            <w:r w:rsidRPr="00C625DC">
              <w:rPr>
                <w:rFonts w:ascii="Arial" w:hAnsi="Arial" w:cs="Arial"/>
                <w:color w:val="000000"/>
                <w:sz w:val="16"/>
                <w:szCs w:val="16"/>
              </w:rPr>
              <w:t xml:space="preserve">     1.70 </w:t>
            </w:r>
          </w:p>
        </w:tc>
        <w:tc>
          <w:tcPr>
            <w:tcW w:w="717" w:type="dxa"/>
            <w:tcBorders>
              <w:top w:val="nil"/>
              <w:left w:val="nil"/>
              <w:bottom w:val="single" w:sz="4" w:space="0" w:color="auto"/>
              <w:right w:val="nil"/>
            </w:tcBorders>
            <w:shd w:val="clear" w:color="auto" w:fill="auto"/>
            <w:noWrap/>
            <w:vAlign w:val="bottom"/>
            <w:hideMark/>
          </w:tcPr>
          <w:p w14:paraId="28C88DCC" w14:textId="77777777" w:rsidR="008A6D6D" w:rsidRPr="00C625DC" w:rsidRDefault="008A6D6D" w:rsidP="00162D6E">
            <w:pPr>
              <w:spacing w:line="360" w:lineRule="auto"/>
              <w:jc w:val="both"/>
              <w:rPr>
                <w:rFonts w:ascii="Arial" w:hAnsi="Arial" w:cs="Arial"/>
                <w:color w:val="000000"/>
                <w:sz w:val="16"/>
                <w:szCs w:val="16"/>
              </w:rPr>
            </w:pPr>
            <w:r w:rsidRPr="00C625DC">
              <w:rPr>
                <w:rFonts w:ascii="Arial" w:hAnsi="Arial" w:cs="Arial"/>
                <w:color w:val="000000"/>
                <w:sz w:val="16"/>
                <w:szCs w:val="16"/>
              </w:rPr>
              <w:t xml:space="preserve">     1.66 </w:t>
            </w:r>
          </w:p>
        </w:tc>
        <w:tc>
          <w:tcPr>
            <w:tcW w:w="717" w:type="dxa"/>
            <w:tcBorders>
              <w:top w:val="nil"/>
              <w:left w:val="nil"/>
              <w:bottom w:val="single" w:sz="4" w:space="0" w:color="auto"/>
              <w:right w:val="nil"/>
            </w:tcBorders>
            <w:shd w:val="clear" w:color="auto" w:fill="auto"/>
            <w:noWrap/>
            <w:vAlign w:val="bottom"/>
            <w:hideMark/>
          </w:tcPr>
          <w:p w14:paraId="30F48AF3" w14:textId="77777777" w:rsidR="008A6D6D" w:rsidRPr="00C625DC" w:rsidRDefault="008A6D6D" w:rsidP="00162D6E">
            <w:pPr>
              <w:spacing w:line="360" w:lineRule="auto"/>
              <w:jc w:val="both"/>
              <w:rPr>
                <w:rFonts w:ascii="Arial" w:hAnsi="Arial" w:cs="Arial"/>
                <w:color w:val="000000"/>
                <w:sz w:val="16"/>
                <w:szCs w:val="16"/>
              </w:rPr>
            </w:pPr>
            <w:r w:rsidRPr="00C625DC">
              <w:rPr>
                <w:rFonts w:ascii="Arial" w:hAnsi="Arial" w:cs="Arial"/>
                <w:color w:val="000000"/>
                <w:sz w:val="16"/>
                <w:szCs w:val="16"/>
              </w:rPr>
              <w:t xml:space="preserve">     1.60 </w:t>
            </w:r>
          </w:p>
        </w:tc>
        <w:tc>
          <w:tcPr>
            <w:tcW w:w="717" w:type="dxa"/>
            <w:tcBorders>
              <w:top w:val="nil"/>
              <w:left w:val="nil"/>
              <w:bottom w:val="single" w:sz="4" w:space="0" w:color="auto"/>
              <w:right w:val="nil"/>
            </w:tcBorders>
            <w:shd w:val="clear" w:color="auto" w:fill="auto"/>
            <w:noWrap/>
            <w:vAlign w:val="bottom"/>
            <w:hideMark/>
          </w:tcPr>
          <w:p w14:paraId="30835CD4" w14:textId="77777777" w:rsidR="008A6D6D" w:rsidRPr="00C625DC" w:rsidRDefault="008A6D6D" w:rsidP="00162D6E">
            <w:pPr>
              <w:spacing w:line="360" w:lineRule="auto"/>
              <w:jc w:val="both"/>
              <w:rPr>
                <w:rFonts w:ascii="Arial" w:hAnsi="Arial" w:cs="Arial"/>
                <w:color w:val="000000"/>
                <w:sz w:val="16"/>
                <w:szCs w:val="16"/>
              </w:rPr>
            </w:pPr>
            <w:r w:rsidRPr="00C625DC">
              <w:rPr>
                <w:rFonts w:ascii="Arial" w:hAnsi="Arial" w:cs="Arial"/>
                <w:color w:val="000000"/>
                <w:sz w:val="16"/>
                <w:szCs w:val="16"/>
              </w:rPr>
              <w:t xml:space="preserve">     1.56 </w:t>
            </w:r>
          </w:p>
        </w:tc>
        <w:tc>
          <w:tcPr>
            <w:tcW w:w="717" w:type="dxa"/>
            <w:tcBorders>
              <w:top w:val="nil"/>
              <w:left w:val="nil"/>
              <w:bottom w:val="single" w:sz="4" w:space="0" w:color="auto"/>
              <w:right w:val="single" w:sz="4" w:space="0" w:color="auto"/>
            </w:tcBorders>
            <w:shd w:val="clear" w:color="auto" w:fill="auto"/>
            <w:noWrap/>
            <w:vAlign w:val="bottom"/>
            <w:hideMark/>
          </w:tcPr>
          <w:p w14:paraId="3A8CEE9B" w14:textId="77777777" w:rsidR="008A6D6D" w:rsidRPr="00C625DC" w:rsidRDefault="008A6D6D" w:rsidP="00162D6E">
            <w:pPr>
              <w:spacing w:line="360" w:lineRule="auto"/>
              <w:jc w:val="both"/>
              <w:rPr>
                <w:rFonts w:ascii="Arial" w:hAnsi="Arial" w:cs="Arial"/>
                <w:color w:val="000000"/>
                <w:sz w:val="16"/>
                <w:szCs w:val="16"/>
              </w:rPr>
            </w:pPr>
            <w:r w:rsidRPr="00C625DC">
              <w:rPr>
                <w:rFonts w:ascii="Arial" w:hAnsi="Arial" w:cs="Arial"/>
                <w:color w:val="000000"/>
                <w:sz w:val="16"/>
                <w:szCs w:val="16"/>
              </w:rPr>
              <w:t xml:space="preserve">     1.50 </w:t>
            </w:r>
          </w:p>
        </w:tc>
      </w:tr>
    </w:tbl>
    <w:p w14:paraId="2445FE5D" w14:textId="4DEE8481" w:rsidR="008A6D6D" w:rsidRPr="00E34476" w:rsidRDefault="00162D6E" w:rsidP="000D5456">
      <w:pPr>
        <w:pStyle w:val="Heading3"/>
        <w:tabs>
          <w:tab w:val="clear" w:pos="1844"/>
          <w:tab w:val="num" w:pos="709"/>
        </w:tabs>
        <w:ind w:left="709"/>
      </w:pPr>
      <w:bookmarkStart w:id="54" w:name="_Toc392865744"/>
      <w:bookmarkStart w:id="55" w:name="_Toc392874315"/>
      <w:bookmarkStart w:id="56" w:name="_Toc392874429"/>
      <w:bookmarkStart w:id="57" w:name="_Toc394079426"/>
      <w:bookmarkStart w:id="58" w:name="_Toc394079804"/>
      <w:bookmarkStart w:id="59" w:name="_Toc394080296"/>
      <w:bookmarkStart w:id="60" w:name="_Toc394580130"/>
      <w:r>
        <w:t>D</w:t>
      </w:r>
      <w:r w:rsidR="008A6D6D" w:rsidRPr="00E34476">
        <w:t xml:space="preserve">ebt </w:t>
      </w:r>
      <w:r w:rsidR="008A6D6D">
        <w:t>S</w:t>
      </w:r>
      <w:r w:rsidR="008A6D6D" w:rsidRPr="00E34476">
        <w:t xml:space="preserve">ervice </w:t>
      </w:r>
      <w:r w:rsidR="008A6D6D">
        <w:t>R</w:t>
      </w:r>
      <w:r w:rsidR="008A6D6D" w:rsidRPr="00E34476">
        <w:t>atio</w:t>
      </w:r>
      <w:bookmarkEnd w:id="54"/>
      <w:bookmarkEnd w:id="55"/>
      <w:bookmarkEnd w:id="56"/>
      <w:bookmarkEnd w:id="57"/>
      <w:bookmarkEnd w:id="58"/>
      <w:bookmarkEnd w:id="59"/>
      <w:bookmarkEnd w:id="60"/>
    </w:p>
    <w:p w14:paraId="2C3C0D61" w14:textId="77777777" w:rsidR="008A6D6D" w:rsidRPr="008022C5" w:rsidRDefault="008A6D6D" w:rsidP="0089580D">
      <w:pPr>
        <w:spacing w:before="120" w:after="60" w:line="276" w:lineRule="auto"/>
        <w:jc w:val="both"/>
        <w:rPr>
          <w:rFonts w:ascii="Arial" w:hAnsi="Arial" w:cs="Arial"/>
          <w:i/>
          <w:sz w:val="20"/>
          <w:szCs w:val="20"/>
        </w:rPr>
      </w:pPr>
      <w:r w:rsidRPr="008022C5">
        <w:rPr>
          <w:rFonts w:ascii="Arial" w:hAnsi="Arial" w:cs="Arial"/>
          <w:i/>
          <w:sz w:val="20"/>
          <w:szCs w:val="20"/>
        </w:rPr>
        <w:t xml:space="preserve">Proposed special </w:t>
      </w:r>
      <w:r>
        <w:rPr>
          <w:rFonts w:ascii="Arial" w:hAnsi="Arial" w:cs="Arial"/>
          <w:i/>
          <w:sz w:val="20"/>
          <w:szCs w:val="20"/>
        </w:rPr>
        <w:t>v</w:t>
      </w:r>
      <w:r w:rsidRPr="008022C5">
        <w:rPr>
          <w:rFonts w:ascii="Arial" w:hAnsi="Arial" w:cs="Arial"/>
          <w:i/>
          <w:sz w:val="20"/>
          <w:szCs w:val="20"/>
        </w:rPr>
        <w:t>ariation</w:t>
      </w:r>
      <w:r>
        <w:rPr>
          <w:rFonts w:ascii="Arial" w:hAnsi="Arial" w:cs="Arial"/>
          <w:i/>
          <w:sz w:val="20"/>
          <w:szCs w:val="20"/>
        </w:rPr>
        <w:t xml:space="preserve"> (Scenario 1)</w:t>
      </w:r>
    </w:p>
    <w:p w14:paraId="16DA02AE" w14:textId="77777777" w:rsidR="008A6D6D" w:rsidRDefault="008A6D6D" w:rsidP="0089580D">
      <w:pPr>
        <w:spacing w:line="276" w:lineRule="auto"/>
        <w:jc w:val="both"/>
        <w:rPr>
          <w:rFonts w:ascii="Arial" w:hAnsi="Arial" w:cs="Arial"/>
          <w:sz w:val="20"/>
          <w:szCs w:val="20"/>
        </w:rPr>
      </w:pPr>
      <w:r w:rsidRPr="00BF6931">
        <w:rPr>
          <w:rFonts w:ascii="Arial" w:hAnsi="Arial" w:cs="Arial"/>
          <w:sz w:val="20"/>
          <w:szCs w:val="20"/>
        </w:rPr>
        <w:t>Under the proposed special variation</w:t>
      </w:r>
      <w:r>
        <w:rPr>
          <w:rFonts w:ascii="Arial" w:hAnsi="Arial" w:cs="Arial"/>
          <w:sz w:val="20"/>
          <w:szCs w:val="20"/>
        </w:rPr>
        <w:t>,</w:t>
      </w:r>
      <w:r w:rsidRPr="00E34476">
        <w:rPr>
          <w:rFonts w:ascii="Arial" w:hAnsi="Arial" w:cs="Arial"/>
          <w:sz w:val="20"/>
          <w:szCs w:val="20"/>
        </w:rPr>
        <w:t xml:space="preserve"> </w:t>
      </w:r>
      <w:r>
        <w:rPr>
          <w:rFonts w:ascii="Arial" w:hAnsi="Arial" w:cs="Arial"/>
          <w:sz w:val="20"/>
          <w:szCs w:val="20"/>
        </w:rPr>
        <w:t xml:space="preserve">the </w:t>
      </w:r>
      <w:r w:rsidRPr="00E34476">
        <w:rPr>
          <w:rFonts w:ascii="Arial" w:hAnsi="Arial" w:cs="Arial"/>
          <w:sz w:val="20"/>
          <w:szCs w:val="20"/>
        </w:rPr>
        <w:t xml:space="preserve">Council’s projected debt service ratio </w:t>
      </w:r>
      <w:r>
        <w:rPr>
          <w:rFonts w:ascii="Arial" w:hAnsi="Arial" w:cs="Arial"/>
          <w:sz w:val="20"/>
          <w:szCs w:val="20"/>
        </w:rPr>
        <w:t>improves from 9.7% to</w:t>
      </w:r>
      <w:r w:rsidRPr="00E34476">
        <w:rPr>
          <w:rFonts w:ascii="Arial" w:hAnsi="Arial" w:cs="Arial"/>
          <w:sz w:val="20"/>
          <w:szCs w:val="20"/>
        </w:rPr>
        <w:t xml:space="preserve"> 4.2%</w:t>
      </w:r>
      <w:r>
        <w:rPr>
          <w:rFonts w:ascii="Arial" w:hAnsi="Arial" w:cs="Arial"/>
          <w:sz w:val="20"/>
          <w:szCs w:val="20"/>
        </w:rPr>
        <w:t xml:space="preserve"> by 2023/24, and </w:t>
      </w:r>
      <w:r w:rsidRPr="00E34476">
        <w:rPr>
          <w:rFonts w:ascii="Arial" w:hAnsi="Arial" w:cs="Arial"/>
          <w:sz w:val="20"/>
          <w:szCs w:val="20"/>
        </w:rPr>
        <w:t>is more sustainable and significantly below the benchmark</w:t>
      </w:r>
      <w:r>
        <w:rPr>
          <w:rFonts w:ascii="Arial" w:hAnsi="Arial" w:cs="Arial"/>
          <w:sz w:val="20"/>
          <w:szCs w:val="20"/>
        </w:rPr>
        <w:t xml:space="preserve"> of 10%</w:t>
      </w:r>
      <w:r w:rsidRPr="00E34476">
        <w:rPr>
          <w:rFonts w:ascii="Arial" w:hAnsi="Arial" w:cs="Arial"/>
          <w:sz w:val="20"/>
          <w:szCs w:val="20"/>
        </w:rPr>
        <w:t xml:space="preserve">. </w:t>
      </w:r>
    </w:p>
    <w:p w14:paraId="44A588C7" w14:textId="77777777" w:rsidR="008A6D6D" w:rsidRDefault="008A6D6D" w:rsidP="0089580D">
      <w:pPr>
        <w:spacing w:line="276" w:lineRule="auto"/>
        <w:jc w:val="both"/>
        <w:rPr>
          <w:rFonts w:ascii="Arial" w:hAnsi="Arial" w:cs="Arial"/>
          <w:sz w:val="20"/>
          <w:szCs w:val="20"/>
        </w:rPr>
      </w:pPr>
    </w:p>
    <w:p w14:paraId="1D7D23A5" w14:textId="77777777" w:rsidR="008A6D6D" w:rsidRDefault="008A6D6D" w:rsidP="0089580D">
      <w:pPr>
        <w:spacing w:line="276" w:lineRule="auto"/>
        <w:jc w:val="both"/>
        <w:rPr>
          <w:rFonts w:ascii="Arial" w:hAnsi="Arial" w:cs="Arial"/>
          <w:sz w:val="20"/>
          <w:szCs w:val="20"/>
        </w:rPr>
      </w:pPr>
      <w:r>
        <w:rPr>
          <w:rFonts w:ascii="Arial" w:hAnsi="Arial" w:cs="Arial"/>
          <w:sz w:val="20"/>
          <w:szCs w:val="20"/>
        </w:rPr>
        <w:t>Although t</w:t>
      </w:r>
      <w:r w:rsidRPr="009F031C">
        <w:rPr>
          <w:rFonts w:ascii="Arial" w:hAnsi="Arial" w:cs="Arial"/>
          <w:sz w:val="20"/>
          <w:szCs w:val="20"/>
        </w:rPr>
        <w:t>he Council’s Debt Service Ratio</w:t>
      </w:r>
      <w:r>
        <w:rPr>
          <w:rFonts w:ascii="Arial" w:hAnsi="Arial" w:cs="Arial"/>
          <w:sz w:val="20"/>
          <w:szCs w:val="20"/>
        </w:rPr>
        <w:t xml:space="preserve"> </w:t>
      </w:r>
      <w:r w:rsidRPr="009F031C">
        <w:rPr>
          <w:rFonts w:ascii="Arial" w:hAnsi="Arial" w:cs="Arial"/>
          <w:sz w:val="20"/>
          <w:szCs w:val="20"/>
        </w:rPr>
        <w:t xml:space="preserve">is within the Office of Local Government’s acceptable benchmark level </w:t>
      </w:r>
      <w:r>
        <w:rPr>
          <w:rFonts w:ascii="Arial" w:hAnsi="Arial" w:cs="Arial"/>
          <w:sz w:val="20"/>
          <w:szCs w:val="20"/>
        </w:rPr>
        <w:t xml:space="preserve">and reduces from 9.8% in 2015/16 to 4.2% by 2023/24, the Council has committed to </w:t>
      </w:r>
      <w:r w:rsidRPr="009F031C">
        <w:rPr>
          <w:rFonts w:ascii="Arial" w:hAnsi="Arial" w:cs="Arial"/>
          <w:sz w:val="20"/>
          <w:szCs w:val="20"/>
        </w:rPr>
        <w:t>a strategy (</w:t>
      </w:r>
      <w:r w:rsidRPr="009F031C">
        <w:rPr>
          <w:rFonts w:ascii="Arial" w:hAnsi="Arial" w:cs="Arial"/>
          <w:i/>
          <w:iCs/>
          <w:sz w:val="20"/>
          <w:szCs w:val="20"/>
        </w:rPr>
        <w:t>Strategy 3 – Manage Borrowings Responsibly</w:t>
      </w:r>
      <w:r w:rsidRPr="009F031C">
        <w:rPr>
          <w:rFonts w:ascii="Arial" w:hAnsi="Arial" w:cs="Arial"/>
          <w:sz w:val="20"/>
          <w:szCs w:val="20"/>
        </w:rPr>
        <w:t>)</w:t>
      </w:r>
      <w:r>
        <w:rPr>
          <w:rFonts w:ascii="Arial" w:hAnsi="Arial" w:cs="Arial"/>
          <w:sz w:val="20"/>
          <w:szCs w:val="20"/>
        </w:rPr>
        <w:t xml:space="preserve"> to reduce its debt position by:</w:t>
      </w:r>
    </w:p>
    <w:p w14:paraId="64CD3340" w14:textId="77777777" w:rsidR="008A6D6D" w:rsidRDefault="008A6D6D" w:rsidP="0089580D">
      <w:pPr>
        <w:pStyle w:val="ListParagraph"/>
        <w:numPr>
          <w:ilvl w:val="0"/>
          <w:numId w:val="84"/>
        </w:numPr>
        <w:spacing w:line="276" w:lineRule="auto"/>
        <w:contextualSpacing/>
        <w:jc w:val="both"/>
        <w:rPr>
          <w:rFonts w:ascii="Arial" w:eastAsia="Times New Roman" w:hAnsi="Arial" w:cs="Arial"/>
          <w:sz w:val="20"/>
          <w:szCs w:val="20"/>
          <w:lang w:eastAsia="en-AU"/>
        </w:rPr>
      </w:pPr>
      <w:r w:rsidRPr="00777638">
        <w:rPr>
          <w:rFonts w:ascii="Arial" w:eastAsia="Times New Roman" w:hAnsi="Arial" w:cs="Arial"/>
          <w:sz w:val="20"/>
          <w:szCs w:val="20"/>
          <w:lang w:eastAsia="en-AU"/>
        </w:rPr>
        <w:t xml:space="preserve">ceasing the practice of borrowing $2.3 million per annum to fund </w:t>
      </w:r>
      <w:r>
        <w:rPr>
          <w:rFonts w:ascii="Arial" w:eastAsia="Times New Roman" w:hAnsi="Arial" w:cs="Arial"/>
          <w:sz w:val="20"/>
          <w:szCs w:val="20"/>
          <w:lang w:eastAsia="en-AU"/>
        </w:rPr>
        <w:t>non-major asset renewal works;</w:t>
      </w:r>
    </w:p>
    <w:p w14:paraId="2F3414F0" w14:textId="77777777" w:rsidR="008A6D6D" w:rsidRDefault="008A6D6D" w:rsidP="0089580D">
      <w:pPr>
        <w:pStyle w:val="ListParagraph"/>
        <w:numPr>
          <w:ilvl w:val="0"/>
          <w:numId w:val="84"/>
        </w:numPr>
        <w:spacing w:line="276" w:lineRule="auto"/>
        <w:contextualSpacing/>
        <w:jc w:val="both"/>
        <w:rPr>
          <w:rFonts w:ascii="Arial" w:eastAsia="Times New Roman" w:hAnsi="Arial" w:cs="Arial"/>
          <w:sz w:val="20"/>
          <w:szCs w:val="20"/>
          <w:lang w:eastAsia="en-AU"/>
        </w:rPr>
      </w:pPr>
      <w:r w:rsidRPr="00777638">
        <w:rPr>
          <w:rFonts w:ascii="Arial" w:eastAsia="Times New Roman" w:hAnsi="Arial" w:cs="Arial"/>
          <w:sz w:val="20"/>
          <w:szCs w:val="20"/>
          <w:lang w:eastAsia="en-AU"/>
        </w:rPr>
        <w:t>ceasing new loan borrowings</w:t>
      </w:r>
      <w:r>
        <w:rPr>
          <w:rFonts w:ascii="Arial" w:eastAsia="Times New Roman" w:hAnsi="Arial" w:cs="Arial"/>
          <w:sz w:val="20"/>
          <w:szCs w:val="20"/>
          <w:lang w:eastAsia="en-AU"/>
        </w:rPr>
        <w:t>;</w:t>
      </w:r>
    </w:p>
    <w:p w14:paraId="7C140A3C" w14:textId="77777777" w:rsidR="008A6D6D" w:rsidRDefault="008A6D6D" w:rsidP="0089580D">
      <w:pPr>
        <w:pStyle w:val="ListParagraph"/>
        <w:numPr>
          <w:ilvl w:val="0"/>
          <w:numId w:val="84"/>
        </w:numPr>
        <w:spacing w:line="276" w:lineRule="auto"/>
        <w:contextualSpacing/>
        <w:jc w:val="both"/>
        <w:rPr>
          <w:rFonts w:ascii="Arial" w:eastAsia="Times New Roman" w:hAnsi="Arial" w:cs="Arial"/>
          <w:sz w:val="20"/>
          <w:szCs w:val="20"/>
          <w:lang w:eastAsia="en-AU"/>
        </w:rPr>
      </w:pPr>
      <w:r>
        <w:rPr>
          <w:rFonts w:ascii="Arial" w:eastAsia="Times New Roman" w:hAnsi="Arial" w:cs="Arial"/>
          <w:sz w:val="20"/>
          <w:szCs w:val="20"/>
          <w:lang w:eastAsia="en-AU"/>
        </w:rPr>
        <w:t>ann</w:t>
      </w:r>
      <w:r w:rsidRPr="00777638">
        <w:rPr>
          <w:rFonts w:ascii="Arial" w:eastAsia="Times New Roman" w:hAnsi="Arial" w:cs="Arial"/>
          <w:sz w:val="20"/>
          <w:szCs w:val="20"/>
          <w:lang w:eastAsia="en-AU"/>
        </w:rPr>
        <w:t>ual reviews of the Council</w:t>
      </w:r>
      <w:r>
        <w:rPr>
          <w:rFonts w:ascii="Arial" w:eastAsia="Times New Roman" w:hAnsi="Arial" w:cs="Arial"/>
          <w:sz w:val="20"/>
          <w:szCs w:val="20"/>
          <w:lang w:eastAsia="en-AU"/>
        </w:rPr>
        <w:t>’s borrowing</w:t>
      </w:r>
      <w:r w:rsidRPr="00777638">
        <w:rPr>
          <w:rFonts w:ascii="Arial" w:eastAsia="Times New Roman" w:hAnsi="Arial" w:cs="Arial"/>
          <w:sz w:val="20"/>
          <w:szCs w:val="20"/>
          <w:lang w:eastAsia="en-AU"/>
        </w:rPr>
        <w:t xml:space="preserve"> capacity</w:t>
      </w:r>
      <w:r>
        <w:rPr>
          <w:rFonts w:ascii="Arial" w:eastAsia="Times New Roman" w:hAnsi="Arial" w:cs="Arial"/>
          <w:sz w:val="20"/>
          <w:szCs w:val="20"/>
          <w:lang w:eastAsia="en-AU"/>
        </w:rPr>
        <w:t xml:space="preserve"> and consideration of loans only after a comprehensive business case;</w:t>
      </w:r>
    </w:p>
    <w:p w14:paraId="27D991D7" w14:textId="77777777" w:rsidR="008A6D6D" w:rsidRDefault="008A6D6D" w:rsidP="0089580D">
      <w:pPr>
        <w:pStyle w:val="ListParagraph"/>
        <w:numPr>
          <w:ilvl w:val="0"/>
          <w:numId w:val="84"/>
        </w:numPr>
        <w:spacing w:line="276" w:lineRule="auto"/>
        <w:contextualSpacing/>
        <w:jc w:val="both"/>
        <w:rPr>
          <w:rFonts w:ascii="Arial" w:eastAsia="Times New Roman" w:hAnsi="Arial" w:cs="Arial"/>
          <w:sz w:val="20"/>
          <w:szCs w:val="20"/>
          <w:lang w:eastAsia="en-AU"/>
        </w:rPr>
      </w:pPr>
      <w:r>
        <w:rPr>
          <w:rFonts w:ascii="Arial" w:eastAsia="Times New Roman" w:hAnsi="Arial" w:cs="Arial"/>
          <w:sz w:val="20"/>
          <w:szCs w:val="20"/>
          <w:lang w:eastAsia="en-AU"/>
        </w:rPr>
        <w:t>reviewing and refinance existing loan interest rate terms and conditions;</w:t>
      </w:r>
    </w:p>
    <w:p w14:paraId="60BCAA1D" w14:textId="323565D5" w:rsidR="008A6D6D" w:rsidRDefault="00A61A70" w:rsidP="0089580D">
      <w:pPr>
        <w:pStyle w:val="ListParagraph"/>
        <w:numPr>
          <w:ilvl w:val="0"/>
          <w:numId w:val="84"/>
        </w:numPr>
        <w:spacing w:line="276" w:lineRule="auto"/>
        <w:contextualSpacing/>
        <w:jc w:val="both"/>
        <w:rPr>
          <w:rFonts w:ascii="Arial" w:eastAsia="Times New Roman" w:hAnsi="Arial" w:cs="Arial"/>
          <w:sz w:val="20"/>
          <w:szCs w:val="20"/>
          <w:lang w:eastAsia="en-AU"/>
        </w:rPr>
      </w:pPr>
      <w:r>
        <w:rPr>
          <w:rFonts w:ascii="Arial" w:eastAsia="Times New Roman" w:hAnsi="Arial" w:cs="Arial"/>
          <w:sz w:val="20"/>
          <w:szCs w:val="20"/>
          <w:lang w:eastAsia="en-AU"/>
        </w:rPr>
        <w:t>u</w:t>
      </w:r>
      <w:r w:rsidR="008A6D6D">
        <w:rPr>
          <w:rFonts w:ascii="Arial" w:eastAsia="Times New Roman" w:hAnsi="Arial" w:cs="Arial"/>
          <w:sz w:val="20"/>
          <w:szCs w:val="20"/>
          <w:lang w:eastAsia="en-AU"/>
        </w:rPr>
        <w:t>sing subsidised loan funding from the NSW Government where effective;</w:t>
      </w:r>
    </w:p>
    <w:p w14:paraId="40D6FF8A" w14:textId="77777777" w:rsidR="008A6D6D" w:rsidRPr="00777638" w:rsidRDefault="008A6D6D" w:rsidP="0089580D">
      <w:pPr>
        <w:pStyle w:val="ListParagraph"/>
        <w:numPr>
          <w:ilvl w:val="0"/>
          <w:numId w:val="84"/>
        </w:numPr>
        <w:spacing w:line="276" w:lineRule="auto"/>
        <w:contextualSpacing/>
        <w:jc w:val="both"/>
        <w:rPr>
          <w:rFonts w:ascii="Arial" w:eastAsia="Times New Roman" w:hAnsi="Arial" w:cs="Arial"/>
          <w:sz w:val="20"/>
          <w:szCs w:val="20"/>
          <w:lang w:eastAsia="en-AU"/>
        </w:rPr>
      </w:pPr>
      <w:r>
        <w:rPr>
          <w:rFonts w:ascii="Arial" w:eastAsia="Times New Roman" w:hAnsi="Arial" w:cs="Arial"/>
          <w:sz w:val="20"/>
          <w:szCs w:val="20"/>
          <w:lang w:eastAsia="en-AU"/>
        </w:rPr>
        <w:t>retiring/reducing debt by managing cash and cash equivalent reserve funds; and</w:t>
      </w:r>
    </w:p>
    <w:p w14:paraId="13162548" w14:textId="77777777" w:rsidR="008A6D6D" w:rsidRDefault="008A6D6D" w:rsidP="0089580D">
      <w:pPr>
        <w:pStyle w:val="ListParagraph"/>
        <w:numPr>
          <w:ilvl w:val="0"/>
          <w:numId w:val="84"/>
        </w:numPr>
        <w:spacing w:line="276" w:lineRule="auto"/>
        <w:contextualSpacing/>
        <w:jc w:val="both"/>
        <w:rPr>
          <w:rFonts w:ascii="Arial" w:eastAsia="Times New Roman" w:hAnsi="Arial" w:cs="Arial"/>
          <w:sz w:val="20"/>
          <w:szCs w:val="20"/>
          <w:lang w:eastAsia="en-AU"/>
        </w:rPr>
      </w:pPr>
      <w:r w:rsidRPr="00777638">
        <w:rPr>
          <w:rFonts w:ascii="Arial" w:eastAsia="Times New Roman" w:hAnsi="Arial" w:cs="Arial"/>
          <w:sz w:val="20"/>
          <w:szCs w:val="20"/>
          <w:lang w:eastAsia="en-AU"/>
        </w:rPr>
        <w:t>directing any surplus cash funds to reducing borrowings wherever it is effective to do so.</w:t>
      </w:r>
    </w:p>
    <w:p w14:paraId="53A0EDF5" w14:textId="77777777" w:rsidR="008A6D6D" w:rsidRDefault="008A6D6D" w:rsidP="0089580D">
      <w:pPr>
        <w:spacing w:line="276" w:lineRule="auto"/>
        <w:jc w:val="both"/>
        <w:rPr>
          <w:rFonts w:ascii="Arial" w:hAnsi="Arial" w:cs="Arial"/>
          <w:sz w:val="20"/>
          <w:szCs w:val="20"/>
        </w:rPr>
      </w:pPr>
    </w:p>
    <w:p w14:paraId="5FD5AFB0" w14:textId="77777777" w:rsidR="008A6D6D" w:rsidRDefault="008A6D6D" w:rsidP="0089580D">
      <w:pPr>
        <w:spacing w:line="276" w:lineRule="auto"/>
        <w:jc w:val="both"/>
        <w:rPr>
          <w:rFonts w:ascii="Arial" w:hAnsi="Arial" w:cs="Arial"/>
          <w:sz w:val="20"/>
          <w:szCs w:val="20"/>
        </w:rPr>
      </w:pPr>
      <w:r>
        <w:rPr>
          <w:rFonts w:ascii="Arial" w:hAnsi="Arial" w:cs="Arial"/>
          <w:sz w:val="20"/>
          <w:szCs w:val="20"/>
        </w:rPr>
        <w:t>The Council implemented Strategy 3 since the LTFP identified that:</w:t>
      </w:r>
    </w:p>
    <w:p w14:paraId="23C1CB0E" w14:textId="3F4E54CE" w:rsidR="008A6D6D" w:rsidRDefault="008A6D6D" w:rsidP="0089580D">
      <w:pPr>
        <w:pStyle w:val="ListParagraph"/>
        <w:numPr>
          <w:ilvl w:val="0"/>
          <w:numId w:val="85"/>
        </w:numPr>
        <w:spacing w:line="276" w:lineRule="auto"/>
        <w:contextualSpacing/>
        <w:jc w:val="both"/>
        <w:rPr>
          <w:rFonts w:ascii="Arial" w:eastAsia="Times New Roman" w:hAnsi="Arial" w:cs="Arial"/>
          <w:sz w:val="20"/>
          <w:szCs w:val="20"/>
          <w:lang w:eastAsia="en-AU"/>
        </w:rPr>
      </w:pPr>
      <w:r>
        <w:rPr>
          <w:rFonts w:ascii="Arial" w:eastAsia="Times New Roman" w:hAnsi="Arial" w:cs="Arial"/>
          <w:sz w:val="20"/>
          <w:szCs w:val="20"/>
          <w:lang w:eastAsia="en-AU"/>
        </w:rPr>
        <w:t>the Council had reached its capacity to incur and importantly repay debt, that is</w:t>
      </w:r>
      <w:r w:rsidR="00A61A70">
        <w:rPr>
          <w:rFonts w:ascii="Arial" w:eastAsia="Times New Roman" w:hAnsi="Arial" w:cs="Arial"/>
          <w:sz w:val="20"/>
          <w:szCs w:val="20"/>
          <w:lang w:eastAsia="en-AU"/>
        </w:rPr>
        <w:t>,</w:t>
      </w:r>
      <w:r>
        <w:rPr>
          <w:rFonts w:ascii="Arial" w:eastAsia="Times New Roman" w:hAnsi="Arial" w:cs="Arial"/>
          <w:sz w:val="20"/>
          <w:szCs w:val="20"/>
          <w:lang w:eastAsia="en-AU"/>
        </w:rPr>
        <w:t xml:space="preserve"> our operating revenue is insufficient to support any further loan interest and principal repayments (</w:t>
      </w:r>
      <w:r w:rsidRPr="006B6E56">
        <w:rPr>
          <w:rFonts w:ascii="Arial" w:hAnsi="Arial" w:cs="Arial"/>
          <w:sz w:val="20"/>
          <w:szCs w:val="20"/>
        </w:rPr>
        <w:t>Debt Service Ratio at 9.8% in 2015/16 against the 10% ceiling</w:t>
      </w:r>
      <w:r>
        <w:rPr>
          <w:rFonts w:ascii="Arial" w:eastAsia="Times New Roman" w:hAnsi="Arial" w:cs="Arial"/>
          <w:sz w:val="20"/>
          <w:szCs w:val="20"/>
          <w:lang w:eastAsia="en-AU"/>
        </w:rPr>
        <w:t>);</w:t>
      </w:r>
    </w:p>
    <w:p w14:paraId="5C97A2F0" w14:textId="77777777" w:rsidR="008A6D6D" w:rsidRDefault="008A6D6D" w:rsidP="0089580D">
      <w:pPr>
        <w:pStyle w:val="ListParagraph"/>
        <w:numPr>
          <w:ilvl w:val="0"/>
          <w:numId w:val="85"/>
        </w:numPr>
        <w:spacing w:line="276" w:lineRule="auto"/>
        <w:contextualSpacing/>
        <w:jc w:val="both"/>
        <w:rPr>
          <w:rFonts w:ascii="Arial" w:eastAsia="Times New Roman" w:hAnsi="Arial" w:cs="Arial"/>
          <w:sz w:val="20"/>
          <w:szCs w:val="20"/>
          <w:lang w:eastAsia="en-AU"/>
        </w:rPr>
      </w:pPr>
      <w:r>
        <w:rPr>
          <w:rFonts w:ascii="Arial" w:eastAsia="Times New Roman" w:hAnsi="Arial" w:cs="Arial"/>
          <w:sz w:val="20"/>
          <w:szCs w:val="20"/>
          <w:lang w:eastAsia="en-AU"/>
        </w:rPr>
        <w:t>the special variation for renewal of infrastructure in June 2013 replaced the previous program of annually borrowing $2.3 million to fund asset maintenance and renewal works; and</w:t>
      </w:r>
    </w:p>
    <w:p w14:paraId="4052BCA3" w14:textId="77777777" w:rsidR="008A6D6D" w:rsidRPr="006B6E56" w:rsidRDefault="008A6D6D" w:rsidP="0089580D">
      <w:pPr>
        <w:pStyle w:val="ListParagraph"/>
        <w:numPr>
          <w:ilvl w:val="0"/>
          <w:numId w:val="85"/>
        </w:numPr>
        <w:spacing w:line="276" w:lineRule="auto"/>
        <w:contextualSpacing/>
        <w:jc w:val="both"/>
        <w:rPr>
          <w:rFonts w:ascii="Arial" w:eastAsia="Times New Roman" w:hAnsi="Arial" w:cs="Arial"/>
          <w:sz w:val="20"/>
          <w:szCs w:val="20"/>
          <w:lang w:eastAsia="en-AU"/>
        </w:rPr>
      </w:pPr>
      <w:r w:rsidRPr="006B6E56">
        <w:rPr>
          <w:rFonts w:ascii="Arial" w:hAnsi="Arial" w:cs="Arial"/>
          <w:sz w:val="20"/>
          <w:szCs w:val="20"/>
        </w:rPr>
        <w:t>the reduction of debt will provide more capital funding in the long run, than would be available if we continued to borrow for renewals and then have to fund the significantly more costly debt service cost;</w:t>
      </w:r>
    </w:p>
    <w:p w14:paraId="411B7ED3" w14:textId="77777777" w:rsidR="008A6D6D" w:rsidRPr="006B6E56" w:rsidRDefault="008A6D6D" w:rsidP="0089580D">
      <w:pPr>
        <w:autoSpaceDE w:val="0"/>
        <w:autoSpaceDN w:val="0"/>
        <w:adjustRightInd w:val="0"/>
        <w:spacing w:line="276" w:lineRule="auto"/>
        <w:jc w:val="both"/>
        <w:rPr>
          <w:rFonts w:ascii="Arial" w:eastAsiaTheme="minorHAnsi" w:hAnsi="Arial" w:cs="Arial"/>
          <w:color w:val="000000"/>
          <w:sz w:val="20"/>
          <w:szCs w:val="20"/>
        </w:rPr>
      </w:pPr>
    </w:p>
    <w:p w14:paraId="56DD34AD" w14:textId="77777777" w:rsidR="008A6D6D" w:rsidRPr="006B6E56" w:rsidRDefault="008A6D6D" w:rsidP="0089580D">
      <w:pPr>
        <w:spacing w:line="276" w:lineRule="auto"/>
        <w:jc w:val="both"/>
        <w:rPr>
          <w:rFonts w:ascii="Arial" w:hAnsi="Arial" w:cs="Arial"/>
          <w:bCs/>
          <w:sz w:val="20"/>
          <w:szCs w:val="20"/>
        </w:rPr>
      </w:pPr>
      <w:r w:rsidRPr="006B6E56">
        <w:rPr>
          <w:rFonts w:ascii="Arial" w:eastAsiaTheme="minorHAnsi" w:hAnsi="Arial" w:cs="Arial"/>
          <w:color w:val="000000"/>
          <w:sz w:val="20"/>
          <w:szCs w:val="20"/>
        </w:rPr>
        <w:t>NSW Treasury Corporation</w:t>
      </w:r>
      <w:r w:rsidRPr="006B6E56">
        <w:rPr>
          <w:rFonts w:ascii="Arial" w:hAnsi="Arial" w:cs="Arial"/>
          <w:bCs/>
          <w:sz w:val="20"/>
          <w:szCs w:val="20"/>
        </w:rPr>
        <w:t xml:space="preserve"> specifically highlighted the importance of the Council’s financial strateg</w:t>
      </w:r>
      <w:r>
        <w:rPr>
          <w:rFonts w:ascii="Arial" w:hAnsi="Arial" w:cs="Arial"/>
          <w:bCs/>
          <w:sz w:val="20"/>
          <w:szCs w:val="20"/>
        </w:rPr>
        <w:t>y</w:t>
      </w:r>
      <w:r w:rsidRPr="006B6E56">
        <w:rPr>
          <w:rFonts w:ascii="Arial" w:hAnsi="Arial" w:cs="Arial"/>
          <w:bCs/>
          <w:sz w:val="20"/>
          <w:szCs w:val="20"/>
        </w:rPr>
        <w:t xml:space="preserve"> restricting loan funding. They made the following comments in their report: </w:t>
      </w:r>
    </w:p>
    <w:p w14:paraId="7F3AAA62" w14:textId="77777777" w:rsidR="008A6D6D" w:rsidRPr="006B6E56" w:rsidRDefault="008A6D6D" w:rsidP="0089580D">
      <w:pPr>
        <w:spacing w:line="276" w:lineRule="auto"/>
        <w:rPr>
          <w:rFonts w:ascii="Arial" w:hAnsi="Arial" w:cs="Arial"/>
          <w:sz w:val="20"/>
          <w:szCs w:val="20"/>
        </w:rPr>
      </w:pPr>
    </w:p>
    <w:p w14:paraId="08A77421" w14:textId="341694DA" w:rsidR="008A6D6D" w:rsidRPr="006B6E56" w:rsidRDefault="00A61A70" w:rsidP="0089580D">
      <w:pPr>
        <w:spacing w:line="276" w:lineRule="auto"/>
        <w:ind w:left="851"/>
        <w:rPr>
          <w:rFonts w:ascii="Arial" w:hAnsi="Arial" w:cs="Arial"/>
          <w:i/>
          <w:sz w:val="20"/>
          <w:szCs w:val="20"/>
        </w:rPr>
      </w:pPr>
      <w:r>
        <w:rPr>
          <w:rFonts w:ascii="Arial" w:hAnsi="Arial" w:cs="Arial"/>
          <w:i/>
          <w:sz w:val="20"/>
          <w:szCs w:val="20"/>
        </w:rPr>
        <w:t>“</w:t>
      </w:r>
      <w:r w:rsidR="008A6D6D" w:rsidRPr="006B6E56">
        <w:rPr>
          <w:rFonts w:ascii="Arial" w:hAnsi="Arial" w:cs="Arial"/>
          <w:i/>
          <w:sz w:val="20"/>
          <w:szCs w:val="20"/>
        </w:rPr>
        <w:t>When analysing the financial capacity of the Council we believe Council will not be able to incorporate any further loan funding in addition to the already forecast loans.</w:t>
      </w:r>
      <w:r>
        <w:rPr>
          <w:rFonts w:ascii="Arial" w:hAnsi="Arial" w:cs="Arial"/>
          <w:i/>
          <w:sz w:val="20"/>
          <w:szCs w:val="20"/>
        </w:rPr>
        <w:t>”</w:t>
      </w:r>
    </w:p>
    <w:p w14:paraId="1B1ED980" w14:textId="77777777" w:rsidR="008A6D6D" w:rsidRPr="006B6E56" w:rsidRDefault="008A6D6D" w:rsidP="0089580D">
      <w:pPr>
        <w:spacing w:line="276" w:lineRule="auto"/>
        <w:ind w:left="851"/>
        <w:rPr>
          <w:rFonts w:ascii="Arial" w:hAnsi="Arial" w:cs="Arial"/>
          <w:i/>
          <w:sz w:val="20"/>
          <w:szCs w:val="20"/>
        </w:rPr>
      </w:pPr>
    </w:p>
    <w:p w14:paraId="098AD03B" w14:textId="67DCC051" w:rsidR="008A6D6D" w:rsidRPr="006B6E56" w:rsidRDefault="00A61A70" w:rsidP="0089580D">
      <w:pPr>
        <w:spacing w:line="276" w:lineRule="auto"/>
        <w:ind w:left="851"/>
        <w:rPr>
          <w:rFonts w:ascii="Arial" w:hAnsi="Arial" w:cs="Arial"/>
          <w:i/>
          <w:sz w:val="20"/>
          <w:szCs w:val="20"/>
        </w:rPr>
      </w:pPr>
      <w:r>
        <w:rPr>
          <w:rFonts w:ascii="Arial" w:hAnsi="Arial" w:cs="Arial"/>
          <w:i/>
          <w:sz w:val="20"/>
          <w:szCs w:val="20"/>
        </w:rPr>
        <w:t>“</w:t>
      </w:r>
      <w:r w:rsidR="008A6D6D" w:rsidRPr="006B6E56">
        <w:rPr>
          <w:rFonts w:ascii="Arial" w:hAnsi="Arial" w:cs="Arial"/>
          <w:i/>
          <w:sz w:val="20"/>
          <w:szCs w:val="20"/>
        </w:rPr>
        <w:t>Council to consider seeking extensions of the SRV [special rate variation] and Environmental Levy, which are critical to the Council’s debt repayment abilities.</w:t>
      </w:r>
      <w:r>
        <w:rPr>
          <w:rFonts w:ascii="Arial" w:hAnsi="Arial" w:cs="Arial"/>
          <w:i/>
          <w:sz w:val="20"/>
          <w:szCs w:val="20"/>
        </w:rPr>
        <w:t>”</w:t>
      </w:r>
    </w:p>
    <w:p w14:paraId="2D631AE9" w14:textId="77777777" w:rsidR="008A6D6D" w:rsidRPr="006B6E56" w:rsidRDefault="008A6D6D" w:rsidP="0089580D">
      <w:pPr>
        <w:autoSpaceDE w:val="0"/>
        <w:autoSpaceDN w:val="0"/>
        <w:adjustRightInd w:val="0"/>
        <w:spacing w:line="276" w:lineRule="auto"/>
        <w:jc w:val="both"/>
        <w:rPr>
          <w:rFonts w:ascii="Arial" w:eastAsiaTheme="minorHAnsi" w:hAnsi="Arial" w:cs="Arial"/>
          <w:color w:val="000000"/>
          <w:sz w:val="20"/>
          <w:szCs w:val="20"/>
        </w:rPr>
      </w:pPr>
    </w:p>
    <w:p w14:paraId="4E0C2E51" w14:textId="74F5BF55" w:rsidR="008A6D6D" w:rsidRDefault="008A6D6D" w:rsidP="0089580D">
      <w:pPr>
        <w:pStyle w:val="Default"/>
        <w:spacing w:line="276" w:lineRule="auto"/>
        <w:jc w:val="both"/>
        <w:rPr>
          <w:sz w:val="20"/>
          <w:szCs w:val="20"/>
        </w:rPr>
      </w:pPr>
      <w:r w:rsidRPr="00E22DEC">
        <w:rPr>
          <w:sz w:val="20"/>
          <w:szCs w:val="20"/>
        </w:rPr>
        <w:t xml:space="preserve">Implementing this </w:t>
      </w:r>
      <w:r>
        <w:rPr>
          <w:sz w:val="20"/>
          <w:szCs w:val="20"/>
        </w:rPr>
        <w:t>S</w:t>
      </w:r>
      <w:r w:rsidRPr="00E22DEC">
        <w:rPr>
          <w:sz w:val="20"/>
          <w:szCs w:val="20"/>
        </w:rPr>
        <w:t>trategy</w:t>
      </w:r>
      <w:r>
        <w:rPr>
          <w:sz w:val="20"/>
          <w:szCs w:val="20"/>
        </w:rPr>
        <w:t xml:space="preserve"> 3</w:t>
      </w:r>
      <w:r w:rsidRPr="00E22DEC">
        <w:rPr>
          <w:sz w:val="20"/>
          <w:szCs w:val="20"/>
        </w:rPr>
        <w:t xml:space="preserve"> is fiscally responsible</w:t>
      </w:r>
      <w:r>
        <w:rPr>
          <w:sz w:val="20"/>
          <w:szCs w:val="20"/>
        </w:rPr>
        <w:t>,</w:t>
      </w:r>
      <w:r w:rsidRPr="00E22DEC">
        <w:rPr>
          <w:sz w:val="20"/>
          <w:szCs w:val="20"/>
        </w:rPr>
        <w:t xml:space="preserve"> </w:t>
      </w:r>
      <w:r w:rsidR="00A61A70">
        <w:rPr>
          <w:sz w:val="20"/>
          <w:szCs w:val="20"/>
        </w:rPr>
        <w:t>and see</w:t>
      </w:r>
      <w:r>
        <w:rPr>
          <w:sz w:val="20"/>
          <w:szCs w:val="20"/>
        </w:rPr>
        <w:t>s t</w:t>
      </w:r>
      <w:r w:rsidRPr="009F031C">
        <w:rPr>
          <w:sz w:val="20"/>
          <w:szCs w:val="20"/>
        </w:rPr>
        <w:t>he Council’s Loan Balance Ou</w:t>
      </w:r>
      <w:r>
        <w:rPr>
          <w:sz w:val="20"/>
          <w:szCs w:val="20"/>
        </w:rPr>
        <w:t>tstanding as at 30 June 2014 reduce from</w:t>
      </w:r>
      <w:r w:rsidRPr="009F031C">
        <w:rPr>
          <w:sz w:val="20"/>
          <w:szCs w:val="20"/>
        </w:rPr>
        <w:t xml:space="preserve"> $58.7 million to $16.8</w:t>
      </w:r>
      <w:r>
        <w:rPr>
          <w:sz w:val="20"/>
          <w:szCs w:val="20"/>
        </w:rPr>
        <w:t xml:space="preserve"> million</w:t>
      </w:r>
      <w:r w:rsidRPr="009F031C">
        <w:rPr>
          <w:sz w:val="20"/>
          <w:szCs w:val="20"/>
        </w:rPr>
        <w:t xml:space="preserve"> by 2024</w:t>
      </w:r>
      <w:r>
        <w:rPr>
          <w:sz w:val="20"/>
          <w:szCs w:val="20"/>
        </w:rPr>
        <w:t>/</w:t>
      </w:r>
      <w:r w:rsidRPr="009F031C">
        <w:rPr>
          <w:sz w:val="20"/>
          <w:szCs w:val="20"/>
        </w:rPr>
        <w:t>25</w:t>
      </w:r>
      <w:r>
        <w:rPr>
          <w:sz w:val="20"/>
          <w:szCs w:val="20"/>
        </w:rPr>
        <w:t xml:space="preserve"> as per the Council’s LTFP (</w:t>
      </w:r>
      <w:r w:rsidRPr="00FA0E8D">
        <w:rPr>
          <w:color w:val="000000" w:themeColor="text1"/>
          <w:sz w:val="20"/>
          <w:szCs w:val="20"/>
        </w:rPr>
        <w:t xml:space="preserve">see </w:t>
      </w:r>
      <w:r w:rsidR="00FA0E8D" w:rsidRPr="00C4015C">
        <w:rPr>
          <w:b/>
          <w:color w:val="000000" w:themeColor="text1"/>
          <w:sz w:val="20"/>
          <w:szCs w:val="20"/>
        </w:rPr>
        <w:t>Figure 3</w:t>
      </w:r>
      <w:r w:rsidR="00D6244E">
        <w:rPr>
          <w:b/>
          <w:color w:val="000000" w:themeColor="text1"/>
          <w:sz w:val="20"/>
          <w:szCs w:val="20"/>
        </w:rPr>
        <w:t>.13</w:t>
      </w:r>
      <w:r w:rsidRPr="00FA0E8D">
        <w:rPr>
          <w:color w:val="000000" w:themeColor="text1"/>
          <w:sz w:val="20"/>
          <w:szCs w:val="20"/>
        </w:rPr>
        <w:t xml:space="preserve"> below which </w:t>
      </w:r>
      <w:r>
        <w:rPr>
          <w:sz w:val="20"/>
          <w:szCs w:val="20"/>
        </w:rPr>
        <w:t>highlights the progressive reduction in debt)</w:t>
      </w:r>
      <w:r w:rsidRPr="009F031C">
        <w:rPr>
          <w:sz w:val="20"/>
          <w:szCs w:val="20"/>
        </w:rPr>
        <w:t>.</w:t>
      </w:r>
      <w:r>
        <w:rPr>
          <w:sz w:val="20"/>
          <w:szCs w:val="20"/>
        </w:rPr>
        <w:t xml:space="preserve"> This all</w:t>
      </w:r>
      <w:r w:rsidRPr="00E22DEC">
        <w:rPr>
          <w:sz w:val="20"/>
          <w:szCs w:val="20"/>
        </w:rPr>
        <w:t>ows the C</w:t>
      </w:r>
      <w:r>
        <w:rPr>
          <w:sz w:val="20"/>
          <w:szCs w:val="20"/>
        </w:rPr>
        <w:t>ouncil to further strengthen its</w:t>
      </w:r>
      <w:r w:rsidRPr="00E22DEC">
        <w:rPr>
          <w:sz w:val="20"/>
          <w:szCs w:val="20"/>
        </w:rPr>
        <w:t xml:space="preserve"> financial capabilities and ensure </w:t>
      </w:r>
      <w:r>
        <w:rPr>
          <w:sz w:val="20"/>
          <w:szCs w:val="20"/>
        </w:rPr>
        <w:t>it</w:t>
      </w:r>
      <w:r w:rsidRPr="00E22DEC">
        <w:rPr>
          <w:sz w:val="20"/>
          <w:szCs w:val="20"/>
        </w:rPr>
        <w:t xml:space="preserve"> address</w:t>
      </w:r>
      <w:r>
        <w:rPr>
          <w:sz w:val="20"/>
          <w:szCs w:val="20"/>
        </w:rPr>
        <w:t>es</w:t>
      </w:r>
      <w:r w:rsidRPr="00E22DEC">
        <w:rPr>
          <w:sz w:val="20"/>
          <w:szCs w:val="20"/>
        </w:rPr>
        <w:t xml:space="preserve"> </w:t>
      </w:r>
      <w:r>
        <w:rPr>
          <w:sz w:val="20"/>
          <w:szCs w:val="20"/>
        </w:rPr>
        <w:t>its</w:t>
      </w:r>
      <w:r w:rsidRPr="00E22DEC">
        <w:rPr>
          <w:sz w:val="20"/>
          <w:szCs w:val="20"/>
        </w:rPr>
        <w:t xml:space="preserve"> </w:t>
      </w:r>
      <w:r>
        <w:rPr>
          <w:sz w:val="20"/>
          <w:szCs w:val="20"/>
        </w:rPr>
        <w:t xml:space="preserve">significant </w:t>
      </w:r>
      <w:r w:rsidRPr="00E22DEC">
        <w:rPr>
          <w:sz w:val="20"/>
          <w:szCs w:val="20"/>
        </w:rPr>
        <w:t xml:space="preserve">financial </w:t>
      </w:r>
      <w:r>
        <w:rPr>
          <w:sz w:val="20"/>
          <w:szCs w:val="20"/>
        </w:rPr>
        <w:t xml:space="preserve">and asset management </w:t>
      </w:r>
      <w:r w:rsidRPr="00E22DEC">
        <w:rPr>
          <w:sz w:val="20"/>
          <w:szCs w:val="20"/>
        </w:rPr>
        <w:t>challenges.</w:t>
      </w:r>
    </w:p>
    <w:p w14:paraId="4459B2D1" w14:textId="77777777" w:rsidR="008A6D6D" w:rsidRDefault="008A6D6D" w:rsidP="0089580D">
      <w:pPr>
        <w:pStyle w:val="Default"/>
        <w:spacing w:line="276" w:lineRule="auto"/>
        <w:jc w:val="both"/>
        <w:rPr>
          <w:i/>
          <w:color w:val="FF0000"/>
          <w:sz w:val="20"/>
          <w:szCs w:val="20"/>
        </w:rPr>
      </w:pPr>
    </w:p>
    <w:p w14:paraId="402DCA27" w14:textId="77777777" w:rsidR="008A6D6D" w:rsidRPr="006B6E56" w:rsidRDefault="008A6D6D" w:rsidP="0089580D">
      <w:pPr>
        <w:spacing w:line="276" w:lineRule="auto"/>
        <w:jc w:val="both"/>
        <w:rPr>
          <w:rFonts w:ascii="Arial" w:hAnsi="Arial" w:cs="Arial"/>
          <w:sz w:val="20"/>
          <w:szCs w:val="20"/>
        </w:rPr>
      </w:pPr>
      <w:r w:rsidRPr="006B6E56">
        <w:rPr>
          <w:rFonts w:ascii="Arial" w:eastAsiaTheme="minorHAnsi" w:hAnsi="Arial" w:cs="Arial"/>
          <w:color w:val="000000"/>
          <w:sz w:val="20"/>
          <w:szCs w:val="20"/>
        </w:rPr>
        <w:t>In the short to medium term at least, borrowings are not a viable funding alternative to the proposed special variation to rates however the appropriateness of loan borrowings as a source of funding is reviewed annually and it may well be appropriate in the longer term when the Council’s debt levels have been reduced to more manageable levels.</w:t>
      </w:r>
    </w:p>
    <w:p w14:paraId="37B105EC" w14:textId="77777777" w:rsidR="008A6D6D" w:rsidRPr="00D81B3B" w:rsidRDefault="008A6D6D" w:rsidP="0089580D">
      <w:pPr>
        <w:pStyle w:val="Default"/>
        <w:spacing w:line="276" w:lineRule="auto"/>
        <w:jc w:val="both"/>
        <w:rPr>
          <w:i/>
          <w:color w:val="FF0000"/>
          <w:sz w:val="20"/>
          <w:szCs w:val="20"/>
        </w:rPr>
      </w:pPr>
    </w:p>
    <w:p w14:paraId="1D3CFAB7" w14:textId="656788FB" w:rsidR="008A6D6D" w:rsidRDefault="00A61A70" w:rsidP="0089580D">
      <w:pPr>
        <w:pStyle w:val="Default"/>
        <w:spacing w:line="276" w:lineRule="auto"/>
        <w:jc w:val="both"/>
        <w:rPr>
          <w:color w:val="auto"/>
          <w:sz w:val="20"/>
          <w:szCs w:val="20"/>
        </w:rPr>
      </w:pPr>
      <w:r>
        <w:rPr>
          <w:color w:val="auto"/>
          <w:sz w:val="20"/>
          <w:szCs w:val="20"/>
        </w:rPr>
        <w:t>Under the no special variation</w:t>
      </w:r>
      <w:r w:rsidR="008A6D6D" w:rsidRPr="008035D0">
        <w:rPr>
          <w:color w:val="auto"/>
          <w:sz w:val="20"/>
          <w:szCs w:val="20"/>
        </w:rPr>
        <w:t xml:space="preserve"> scenario the impact of this strategy is seen in a large reduction in capital expenditure and large increase in the percentage of built assets in poor condition over 10 years and an increase in the risks associated with deteriorating infrastructure.  In the scenario with SV council is able to fund some of the infrastructure backlog and reduce the percentage of built assets in poor condition over 10 years.  Without any change in borrowing the debt services ratio improves with an SV as operating revenue improves.  </w:t>
      </w:r>
    </w:p>
    <w:p w14:paraId="4FFEFA72" w14:textId="77777777" w:rsidR="00A61A70" w:rsidRPr="008035D0" w:rsidRDefault="00A61A70" w:rsidP="008A6D6D">
      <w:pPr>
        <w:pStyle w:val="Default"/>
        <w:spacing w:line="360" w:lineRule="auto"/>
        <w:jc w:val="both"/>
        <w:rPr>
          <w:color w:val="auto"/>
          <w:sz w:val="20"/>
          <w:szCs w:val="20"/>
        </w:rPr>
      </w:pPr>
    </w:p>
    <w:p w14:paraId="476AF900" w14:textId="20E175CE" w:rsidR="008A6D6D" w:rsidRPr="00F55699" w:rsidRDefault="00FA0E8D" w:rsidP="008A6D6D">
      <w:pPr>
        <w:pStyle w:val="Default"/>
        <w:spacing w:line="360" w:lineRule="auto"/>
        <w:jc w:val="both"/>
        <w:rPr>
          <w:b/>
          <w:color w:val="000000" w:themeColor="text1"/>
          <w:sz w:val="18"/>
          <w:szCs w:val="18"/>
        </w:rPr>
      </w:pPr>
      <w:r w:rsidRPr="00F55699">
        <w:rPr>
          <w:b/>
          <w:color w:val="000000" w:themeColor="text1"/>
          <w:sz w:val="18"/>
          <w:szCs w:val="18"/>
        </w:rPr>
        <w:t xml:space="preserve">Figure </w:t>
      </w:r>
      <w:r w:rsidR="00F55699">
        <w:rPr>
          <w:b/>
          <w:color w:val="000000" w:themeColor="text1"/>
          <w:sz w:val="18"/>
          <w:szCs w:val="18"/>
        </w:rPr>
        <w:t>3.</w:t>
      </w:r>
      <w:r w:rsidRPr="00F55699">
        <w:rPr>
          <w:b/>
          <w:color w:val="000000" w:themeColor="text1"/>
          <w:sz w:val="18"/>
          <w:szCs w:val="18"/>
        </w:rPr>
        <w:t>13</w:t>
      </w:r>
      <w:r w:rsidR="0089580D" w:rsidRPr="00F55699">
        <w:rPr>
          <w:b/>
          <w:color w:val="000000" w:themeColor="text1"/>
          <w:sz w:val="18"/>
          <w:szCs w:val="18"/>
        </w:rPr>
        <w:t>: Debt Reduction Strategy</w:t>
      </w:r>
    </w:p>
    <w:p w14:paraId="6DDF4984" w14:textId="77777777" w:rsidR="008A6D6D" w:rsidRDefault="008A6D6D" w:rsidP="008A6D6D">
      <w:pPr>
        <w:spacing w:line="360" w:lineRule="auto"/>
        <w:jc w:val="both"/>
        <w:rPr>
          <w:rFonts w:ascii="Arial" w:hAnsi="Arial" w:cs="Arial"/>
          <w:sz w:val="20"/>
          <w:szCs w:val="20"/>
        </w:rPr>
      </w:pPr>
      <w:r w:rsidRPr="00703753">
        <w:rPr>
          <w:noProof/>
        </w:rPr>
        <w:drawing>
          <wp:inline distT="0" distB="0" distL="0" distR="0" wp14:anchorId="54B12964" wp14:editId="2B8DCF66">
            <wp:extent cx="5731510" cy="2435657"/>
            <wp:effectExtent l="0" t="0" r="2540" b="3175"/>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5731510" cy="2435657"/>
                    </a:xfrm>
                    <a:prstGeom prst="rect">
                      <a:avLst/>
                    </a:prstGeom>
                    <a:noFill/>
                    <a:ln>
                      <a:noFill/>
                    </a:ln>
                  </pic:spPr>
                </pic:pic>
              </a:graphicData>
            </a:graphic>
          </wp:inline>
        </w:drawing>
      </w:r>
    </w:p>
    <w:p w14:paraId="2A1448F6" w14:textId="77777777" w:rsidR="008A6D6D" w:rsidRDefault="008A6D6D" w:rsidP="008A6D6D">
      <w:pPr>
        <w:spacing w:line="360" w:lineRule="auto"/>
        <w:jc w:val="both"/>
        <w:rPr>
          <w:rFonts w:ascii="Arial" w:hAnsi="Arial" w:cs="Arial"/>
          <w:sz w:val="20"/>
          <w:szCs w:val="20"/>
        </w:rPr>
      </w:pPr>
    </w:p>
    <w:p w14:paraId="673FD085" w14:textId="71436DF9" w:rsidR="008A6D6D" w:rsidRDefault="008A6D6D" w:rsidP="00C4015C">
      <w:pPr>
        <w:spacing w:after="60" w:line="276" w:lineRule="auto"/>
        <w:jc w:val="both"/>
        <w:rPr>
          <w:rFonts w:ascii="Arial" w:hAnsi="Arial" w:cs="Arial"/>
          <w:sz w:val="20"/>
          <w:szCs w:val="20"/>
        </w:rPr>
      </w:pPr>
      <w:r>
        <w:rPr>
          <w:rFonts w:ascii="Arial" w:hAnsi="Arial" w:cs="Arial"/>
          <w:sz w:val="20"/>
          <w:szCs w:val="20"/>
        </w:rPr>
        <w:t xml:space="preserve">The Debt Service Ratio </w:t>
      </w:r>
      <w:r w:rsidRPr="00C4015C">
        <w:rPr>
          <w:rFonts w:ascii="Arial" w:hAnsi="Arial" w:cs="Arial"/>
          <w:b/>
          <w:sz w:val="20"/>
          <w:szCs w:val="20"/>
        </w:rPr>
        <w:t xml:space="preserve">Figure </w:t>
      </w:r>
      <w:r w:rsidR="00C4015C" w:rsidRPr="00C4015C">
        <w:rPr>
          <w:rFonts w:ascii="Arial" w:hAnsi="Arial" w:cs="Arial"/>
          <w:b/>
          <w:sz w:val="20"/>
          <w:szCs w:val="20"/>
        </w:rPr>
        <w:t>3.14</w:t>
      </w:r>
      <w:r>
        <w:rPr>
          <w:rFonts w:ascii="Arial" w:hAnsi="Arial" w:cs="Arial"/>
          <w:sz w:val="20"/>
          <w:szCs w:val="20"/>
        </w:rPr>
        <w:t xml:space="preserve"> below, highlights the i</w:t>
      </w:r>
      <w:r w:rsidRPr="00E34476">
        <w:rPr>
          <w:rFonts w:ascii="Arial" w:hAnsi="Arial" w:cs="Arial"/>
          <w:sz w:val="20"/>
          <w:szCs w:val="20"/>
        </w:rPr>
        <w:t>mprovements to the ratio from 2016</w:t>
      </w:r>
      <w:r>
        <w:rPr>
          <w:rFonts w:ascii="Arial" w:hAnsi="Arial" w:cs="Arial"/>
          <w:sz w:val="20"/>
          <w:szCs w:val="20"/>
        </w:rPr>
        <w:t>/</w:t>
      </w:r>
      <w:r w:rsidRPr="00E34476">
        <w:rPr>
          <w:rFonts w:ascii="Arial" w:hAnsi="Arial" w:cs="Arial"/>
          <w:sz w:val="20"/>
          <w:szCs w:val="20"/>
        </w:rPr>
        <w:t xml:space="preserve">17 as </w:t>
      </w:r>
      <w:r>
        <w:rPr>
          <w:rFonts w:ascii="Arial" w:hAnsi="Arial" w:cs="Arial"/>
          <w:sz w:val="20"/>
          <w:szCs w:val="20"/>
        </w:rPr>
        <w:t>the Council implements its</w:t>
      </w:r>
      <w:r w:rsidRPr="00E34476">
        <w:rPr>
          <w:rFonts w:ascii="Arial" w:hAnsi="Arial" w:cs="Arial"/>
          <w:sz w:val="20"/>
          <w:szCs w:val="20"/>
        </w:rPr>
        <w:t xml:space="preserve"> financial strategy to manage borrowings responsib</w:t>
      </w:r>
      <w:r>
        <w:rPr>
          <w:rFonts w:ascii="Arial" w:hAnsi="Arial" w:cs="Arial"/>
          <w:sz w:val="20"/>
          <w:szCs w:val="20"/>
        </w:rPr>
        <w:t>l</w:t>
      </w:r>
      <w:r w:rsidRPr="00E34476">
        <w:rPr>
          <w:rFonts w:ascii="Arial" w:hAnsi="Arial" w:cs="Arial"/>
          <w:sz w:val="20"/>
          <w:szCs w:val="20"/>
        </w:rPr>
        <w:t>y. At the same time, from 2015</w:t>
      </w:r>
      <w:r>
        <w:rPr>
          <w:rFonts w:ascii="Arial" w:hAnsi="Arial" w:cs="Arial"/>
          <w:sz w:val="20"/>
          <w:szCs w:val="20"/>
        </w:rPr>
        <w:t>/</w:t>
      </w:r>
      <w:r w:rsidRPr="00E34476">
        <w:rPr>
          <w:rFonts w:ascii="Arial" w:hAnsi="Arial" w:cs="Arial"/>
          <w:sz w:val="20"/>
          <w:szCs w:val="20"/>
        </w:rPr>
        <w:t>16 to 2019</w:t>
      </w:r>
      <w:r>
        <w:rPr>
          <w:rFonts w:ascii="Arial" w:hAnsi="Arial" w:cs="Arial"/>
          <w:sz w:val="20"/>
          <w:szCs w:val="20"/>
        </w:rPr>
        <w:t>/</w:t>
      </w:r>
      <w:r w:rsidRPr="00E34476">
        <w:rPr>
          <w:rFonts w:ascii="Arial" w:hAnsi="Arial" w:cs="Arial"/>
          <w:sz w:val="20"/>
          <w:szCs w:val="20"/>
        </w:rPr>
        <w:t>20 existing debts with large repayment amounts are retired in each year but from 2019</w:t>
      </w:r>
      <w:r>
        <w:rPr>
          <w:rFonts w:ascii="Arial" w:hAnsi="Arial" w:cs="Arial"/>
          <w:sz w:val="20"/>
          <w:szCs w:val="20"/>
        </w:rPr>
        <w:t>/</w:t>
      </w:r>
      <w:r w:rsidRPr="00E34476">
        <w:rPr>
          <w:rFonts w:ascii="Arial" w:hAnsi="Arial" w:cs="Arial"/>
          <w:sz w:val="20"/>
          <w:szCs w:val="20"/>
        </w:rPr>
        <w:t>20 there are fewer existing debts retiring and operating revenue is increasing</w:t>
      </w:r>
      <w:r>
        <w:rPr>
          <w:rFonts w:ascii="Arial" w:hAnsi="Arial" w:cs="Arial"/>
          <w:sz w:val="20"/>
          <w:szCs w:val="20"/>
        </w:rPr>
        <w:t>.</w:t>
      </w:r>
    </w:p>
    <w:p w14:paraId="162F5F47" w14:textId="77777777" w:rsidR="008A6D6D" w:rsidRDefault="008A6D6D" w:rsidP="00C4015C">
      <w:pPr>
        <w:spacing w:after="60" w:line="276" w:lineRule="auto"/>
        <w:jc w:val="both"/>
        <w:rPr>
          <w:rFonts w:ascii="Arial" w:hAnsi="Arial" w:cs="Arial"/>
          <w:sz w:val="20"/>
          <w:szCs w:val="20"/>
        </w:rPr>
      </w:pPr>
    </w:p>
    <w:p w14:paraId="3266DBEB" w14:textId="320227FA" w:rsidR="008A6D6D" w:rsidRDefault="008A6D6D" w:rsidP="00C4015C">
      <w:pPr>
        <w:spacing w:after="60" w:line="276" w:lineRule="auto"/>
        <w:jc w:val="both"/>
        <w:rPr>
          <w:rFonts w:ascii="Arial" w:hAnsi="Arial" w:cs="Arial"/>
          <w:sz w:val="20"/>
          <w:szCs w:val="20"/>
        </w:rPr>
      </w:pPr>
      <w:r w:rsidRPr="00E34476">
        <w:rPr>
          <w:rFonts w:ascii="Arial" w:hAnsi="Arial" w:cs="Arial"/>
          <w:sz w:val="20"/>
          <w:szCs w:val="20"/>
        </w:rPr>
        <w:t xml:space="preserve">The slight increase in the </w:t>
      </w:r>
      <w:r>
        <w:rPr>
          <w:rFonts w:ascii="Arial" w:hAnsi="Arial" w:cs="Arial"/>
          <w:sz w:val="20"/>
          <w:szCs w:val="20"/>
        </w:rPr>
        <w:t>Debt Service R</w:t>
      </w:r>
      <w:r w:rsidRPr="00E34476">
        <w:rPr>
          <w:rFonts w:ascii="Arial" w:hAnsi="Arial" w:cs="Arial"/>
          <w:sz w:val="20"/>
          <w:szCs w:val="20"/>
        </w:rPr>
        <w:t>atio in 2015</w:t>
      </w:r>
      <w:r>
        <w:rPr>
          <w:rFonts w:ascii="Arial" w:hAnsi="Arial" w:cs="Arial"/>
          <w:sz w:val="20"/>
          <w:szCs w:val="20"/>
        </w:rPr>
        <w:t>/</w:t>
      </w:r>
      <w:r w:rsidRPr="00E34476">
        <w:rPr>
          <w:rFonts w:ascii="Arial" w:hAnsi="Arial" w:cs="Arial"/>
          <w:sz w:val="20"/>
          <w:szCs w:val="20"/>
        </w:rPr>
        <w:t xml:space="preserve">16 is largely due to the servicing requirements of the NSW Government subsidised loans for Blue Mountains </w:t>
      </w:r>
      <w:r>
        <w:rPr>
          <w:rFonts w:ascii="Arial" w:hAnsi="Arial" w:cs="Arial"/>
          <w:sz w:val="20"/>
          <w:szCs w:val="20"/>
        </w:rPr>
        <w:t>Theatre and Community Hub – Springwood ($6 million</w:t>
      </w:r>
      <w:r w:rsidRPr="00E34476">
        <w:rPr>
          <w:rFonts w:ascii="Arial" w:hAnsi="Arial" w:cs="Arial"/>
          <w:sz w:val="20"/>
          <w:szCs w:val="20"/>
        </w:rPr>
        <w:t>) and Blaxland Waste Management Facility ($4.9</w:t>
      </w:r>
      <w:r>
        <w:rPr>
          <w:rFonts w:ascii="Arial" w:hAnsi="Arial" w:cs="Arial"/>
          <w:sz w:val="20"/>
          <w:szCs w:val="20"/>
        </w:rPr>
        <w:t xml:space="preserve"> million</w:t>
      </w:r>
      <w:r w:rsidRPr="00E34476">
        <w:rPr>
          <w:rFonts w:ascii="Arial" w:hAnsi="Arial" w:cs="Arial"/>
          <w:sz w:val="20"/>
          <w:szCs w:val="20"/>
        </w:rPr>
        <w:t>)</w:t>
      </w:r>
      <w:r>
        <w:rPr>
          <w:rFonts w:ascii="Arial" w:hAnsi="Arial" w:cs="Arial"/>
          <w:sz w:val="20"/>
          <w:szCs w:val="20"/>
        </w:rPr>
        <w:t>,</w:t>
      </w:r>
      <w:r w:rsidR="008035D0">
        <w:rPr>
          <w:rFonts w:ascii="Arial" w:hAnsi="Arial" w:cs="Arial"/>
          <w:sz w:val="20"/>
          <w:szCs w:val="20"/>
        </w:rPr>
        <w:t xml:space="preserve"> </w:t>
      </w:r>
      <w:r w:rsidRPr="00E34476">
        <w:rPr>
          <w:rFonts w:ascii="Arial" w:hAnsi="Arial" w:cs="Arial"/>
          <w:sz w:val="20"/>
          <w:szCs w:val="20"/>
        </w:rPr>
        <w:t xml:space="preserve">that increase loan repayments costs. </w:t>
      </w:r>
    </w:p>
    <w:p w14:paraId="2F0F97E5" w14:textId="77777777" w:rsidR="008A6D6D" w:rsidRDefault="008A6D6D" w:rsidP="00C4015C">
      <w:pPr>
        <w:spacing w:after="60" w:line="276" w:lineRule="auto"/>
        <w:jc w:val="both"/>
        <w:rPr>
          <w:rFonts w:ascii="Arial" w:hAnsi="Arial" w:cs="Arial"/>
          <w:sz w:val="20"/>
          <w:szCs w:val="20"/>
        </w:rPr>
      </w:pPr>
    </w:p>
    <w:p w14:paraId="18234B69" w14:textId="77777777" w:rsidR="008A6D6D" w:rsidRPr="00975B76" w:rsidRDefault="008A6D6D" w:rsidP="00C4015C">
      <w:pPr>
        <w:spacing w:after="60" w:line="276" w:lineRule="auto"/>
        <w:jc w:val="both"/>
        <w:rPr>
          <w:rFonts w:ascii="Arial" w:hAnsi="Arial" w:cs="Arial"/>
          <w:i/>
          <w:sz w:val="20"/>
          <w:szCs w:val="20"/>
        </w:rPr>
      </w:pPr>
      <w:r w:rsidRPr="00975B76">
        <w:rPr>
          <w:rFonts w:ascii="Arial" w:hAnsi="Arial" w:cs="Arial"/>
          <w:i/>
          <w:sz w:val="20"/>
          <w:szCs w:val="20"/>
        </w:rPr>
        <w:t>No special variation</w:t>
      </w:r>
      <w:r>
        <w:rPr>
          <w:rFonts w:ascii="Arial" w:hAnsi="Arial" w:cs="Arial"/>
          <w:i/>
          <w:sz w:val="20"/>
          <w:szCs w:val="20"/>
        </w:rPr>
        <w:t xml:space="preserve"> (Scenario 3)</w:t>
      </w:r>
    </w:p>
    <w:p w14:paraId="1D10C626" w14:textId="36607D51" w:rsidR="008A6D6D" w:rsidRPr="00E34476" w:rsidRDefault="00A61A70" w:rsidP="00C4015C">
      <w:pPr>
        <w:spacing w:after="60" w:line="276" w:lineRule="auto"/>
        <w:jc w:val="both"/>
        <w:rPr>
          <w:rFonts w:ascii="Arial" w:hAnsi="Arial" w:cs="Arial"/>
          <w:sz w:val="20"/>
          <w:szCs w:val="20"/>
        </w:rPr>
      </w:pPr>
      <w:r>
        <w:rPr>
          <w:rFonts w:ascii="Arial" w:hAnsi="Arial" w:cs="Arial"/>
          <w:sz w:val="20"/>
          <w:szCs w:val="20"/>
        </w:rPr>
        <w:t>Under the n</w:t>
      </w:r>
      <w:r w:rsidR="008A6D6D">
        <w:rPr>
          <w:rFonts w:ascii="Arial" w:hAnsi="Arial" w:cs="Arial"/>
          <w:sz w:val="20"/>
          <w:szCs w:val="20"/>
        </w:rPr>
        <w:t>o special variation</w:t>
      </w:r>
      <w:r>
        <w:rPr>
          <w:rFonts w:ascii="Arial" w:hAnsi="Arial" w:cs="Arial"/>
          <w:sz w:val="20"/>
          <w:szCs w:val="20"/>
        </w:rPr>
        <w:t xml:space="preserve"> scenario</w:t>
      </w:r>
      <w:r w:rsidR="008A6D6D">
        <w:rPr>
          <w:rFonts w:ascii="Arial" w:hAnsi="Arial" w:cs="Arial"/>
          <w:sz w:val="20"/>
          <w:szCs w:val="20"/>
        </w:rPr>
        <w:t>, t</w:t>
      </w:r>
      <w:r w:rsidR="008A6D6D" w:rsidRPr="00E34476">
        <w:rPr>
          <w:rFonts w:ascii="Arial" w:hAnsi="Arial" w:cs="Arial"/>
          <w:sz w:val="20"/>
          <w:szCs w:val="20"/>
        </w:rPr>
        <w:t>he Council</w:t>
      </w:r>
      <w:r w:rsidR="008A6D6D">
        <w:rPr>
          <w:rFonts w:ascii="Arial" w:hAnsi="Arial" w:cs="Arial"/>
          <w:sz w:val="20"/>
          <w:szCs w:val="20"/>
        </w:rPr>
        <w:t>’s</w:t>
      </w:r>
      <w:r w:rsidR="008A6D6D" w:rsidRPr="00E34476">
        <w:rPr>
          <w:rFonts w:ascii="Arial" w:hAnsi="Arial" w:cs="Arial"/>
          <w:sz w:val="20"/>
          <w:szCs w:val="20"/>
        </w:rPr>
        <w:t xml:space="preserve"> projected debt service ratio </w:t>
      </w:r>
      <w:r w:rsidR="008A6D6D">
        <w:rPr>
          <w:rFonts w:ascii="Arial" w:hAnsi="Arial" w:cs="Arial"/>
          <w:sz w:val="20"/>
          <w:szCs w:val="20"/>
        </w:rPr>
        <w:t xml:space="preserve">at </w:t>
      </w:r>
      <w:r w:rsidR="008A6D6D" w:rsidRPr="00E34476">
        <w:rPr>
          <w:rFonts w:ascii="Arial" w:hAnsi="Arial" w:cs="Arial"/>
          <w:sz w:val="20"/>
          <w:szCs w:val="20"/>
        </w:rPr>
        <w:t xml:space="preserve">4.8% </w:t>
      </w:r>
      <w:r w:rsidR="008A6D6D">
        <w:rPr>
          <w:rFonts w:ascii="Arial" w:hAnsi="Arial" w:cs="Arial"/>
          <w:sz w:val="20"/>
          <w:szCs w:val="20"/>
        </w:rPr>
        <w:t>by 2023/24,</w:t>
      </w:r>
      <w:r w:rsidR="008A6D6D" w:rsidRPr="00E34476">
        <w:rPr>
          <w:rFonts w:ascii="Arial" w:hAnsi="Arial" w:cs="Arial"/>
          <w:sz w:val="20"/>
          <w:szCs w:val="20"/>
        </w:rPr>
        <w:t xml:space="preserve"> is significantly below the benchmark</w:t>
      </w:r>
      <w:r w:rsidR="008A6D6D">
        <w:rPr>
          <w:rFonts w:ascii="Arial" w:hAnsi="Arial" w:cs="Arial"/>
          <w:sz w:val="20"/>
          <w:szCs w:val="20"/>
        </w:rPr>
        <w:t xml:space="preserve"> by 2023/24</w:t>
      </w:r>
      <w:r w:rsidR="008A6D6D" w:rsidRPr="00E34476">
        <w:rPr>
          <w:rFonts w:ascii="Arial" w:hAnsi="Arial" w:cs="Arial"/>
          <w:sz w:val="20"/>
          <w:szCs w:val="20"/>
        </w:rPr>
        <w:t xml:space="preserve">. The ratio is less favourable compared to </w:t>
      </w:r>
      <w:r w:rsidR="008A6D6D">
        <w:rPr>
          <w:rFonts w:ascii="Arial" w:hAnsi="Arial" w:cs="Arial"/>
          <w:sz w:val="20"/>
          <w:szCs w:val="20"/>
        </w:rPr>
        <w:t>the proposed special variation</w:t>
      </w:r>
      <w:r w:rsidR="008A6D6D" w:rsidRPr="00E34476">
        <w:rPr>
          <w:rFonts w:ascii="Arial" w:hAnsi="Arial" w:cs="Arial"/>
          <w:sz w:val="20"/>
          <w:szCs w:val="20"/>
        </w:rPr>
        <w:t xml:space="preserve"> </w:t>
      </w:r>
      <w:r w:rsidR="008A6D6D">
        <w:rPr>
          <w:rFonts w:ascii="Arial" w:hAnsi="Arial" w:cs="Arial"/>
          <w:sz w:val="20"/>
          <w:szCs w:val="20"/>
        </w:rPr>
        <w:t>(Scenario 1) since this scen</w:t>
      </w:r>
      <w:r w:rsidR="008A6D6D" w:rsidRPr="00E34476">
        <w:rPr>
          <w:rFonts w:ascii="Arial" w:hAnsi="Arial" w:cs="Arial"/>
          <w:sz w:val="20"/>
          <w:szCs w:val="20"/>
        </w:rPr>
        <w:t>ario ha</w:t>
      </w:r>
      <w:r w:rsidR="008A6D6D">
        <w:rPr>
          <w:rFonts w:ascii="Arial" w:hAnsi="Arial" w:cs="Arial"/>
          <w:sz w:val="20"/>
          <w:szCs w:val="20"/>
        </w:rPr>
        <w:t>s</w:t>
      </w:r>
      <w:r w:rsidR="008A6D6D" w:rsidRPr="00E34476">
        <w:rPr>
          <w:rFonts w:ascii="Arial" w:hAnsi="Arial" w:cs="Arial"/>
          <w:sz w:val="20"/>
          <w:szCs w:val="20"/>
        </w:rPr>
        <w:t xml:space="preserve"> increased operating revenue from </w:t>
      </w:r>
      <w:r w:rsidR="008A6D6D">
        <w:rPr>
          <w:rFonts w:ascii="Arial" w:hAnsi="Arial" w:cs="Arial"/>
          <w:sz w:val="20"/>
          <w:szCs w:val="20"/>
        </w:rPr>
        <w:t xml:space="preserve">the </w:t>
      </w:r>
      <w:r w:rsidR="008A6D6D" w:rsidRPr="00E34476">
        <w:rPr>
          <w:rFonts w:ascii="Arial" w:hAnsi="Arial" w:cs="Arial"/>
          <w:sz w:val="20"/>
          <w:szCs w:val="20"/>
        </w:rPr>
        <w:t>special variation</w:t>
      </w:r>
      <w:r w:rsidR="008A6D6D">
        <w:rPr>
          <w:rFonts w:ascii="Arial" w:hAnsi="Arial" w:cs="Arial"/>
          <w:sz w:val="20"/>
          <w:szCs w:val="20"/>
        </w:rPr>
        <w:t>.</w:t>
      </w:r>
      <w:r w:rsidR="008A6D6D" w:rsidRPr="00E34476">
        <w:rPr>
          <w:rFonts w:ascii="Arial" w:hAnsi="Arial" w:cs="Arial"/>
          <w:sz w:val="20"/>
          <w:szCs w:val="20"/>
        </w:rPr>
        <w:t xml:space="preserve"> </w:t>
      </w:r>
    </w:p>
    <w:p w14:paraId="278E72D4" w14:textId="379919E7" w:rsidR="008A6D6D" w:rsidRPr="00F55699" w:rsidRDefault="00FA0E8D" w:rsidP="008A6D6D">
      <w:pPr>
        <w:spacing w:before="320" w:line="360" w:lineRule="auto"/>
        <w:jc w:val="both"/>
        <w:rPr>
          <w:rFonts w:ascii="Arial" w:hAnsi="Arial" w:cs="Arial"/>
          <w:b/>
          <w:sz w:val="18"/>
          <w:szCs w:val="18"/>
        </w:rPr>
      </w:pPr>
      <w:r w:rsidRPr="00F55699">
        <w:rPr>
          <w:rFonts w:ascii="Arial" w:hAnsi="Arial" w:cs="Arial"/>
          <w:b/>
          <w:sz w:val="18"/>
          <w:szCs w:val="18"/>
        </w:rPr>
        <w:t>Figure 3.14</w:t>
      </w:r>
      <w:r w:rsidR="00F55699" w:rsidRPr="00F55699">
        <w:rPr>
          <w:rFonts w:ascii="Arial" w:hAnsi="Arial" w:cs="Arial"/>
          <w:b/>
          <w:sz w:val="18"/>
          <w:szCs w:val="18"/>
        </w:rPr>
        <w:t>:</w:t>
      </w:r>
      <w:r w:rsidR="008A6D6D" w:rsidRPr="00F55699">
        <w:rPr>
          <w:rFonts w:ascii="Arial" w:hAnsi="Arial" w:cs="Arial"/>
          <w:b/>
          <w:sz w:val="18"/>
          <w:szCs w:val="18"/>
        </w:rPr>
        <w:t xml:space="preserve"> </w:t>
      </w:r>
      <w:r w:rsidR="00385677">
        <w:rPr>
          <w:rFonts w:ascii="Arial" w:hAnsi="Arial" w:cs="Arial"/>
          <w:b/>
          <w:sz w:val="18"/>
          <w:szCs w:val="18"/>
        </w:rPr>
        <w:t xml:space="preserve">Financial scenarios 1 and 3 - </w:t>
      </w:r>
      <w:r w:rsidR="008A6D6D" w:rsidRPr="00F55699">
        <w:rPr>
          <w:rFonts w:ascii="Arial" w:hAnsi="Arial" w:cs="Arial"/>
          <w:b/>
          <w:sz w:val="18"/>
          <w:szCs w:val="18"/>
        </w:rPr>
        <w:t>10-year projection of the Debt Service Ratio</w:t>
      </w:r>
    </w:p>
    <w:p w14:paraId="1ED7EC62" w14:textId="77777777" w:rsidR="008A6D6D" w:rsidRPr="00E34476" w:rsidRDefault="008A6D6D" w:rsidP="008A6D6D">
      <w:pPr>
        <w:spacing w:line="360" w:lineRule="auto"/>
        <w:jc w:val="both"/>
        <w:rPr>
          <w:rFonts w:ascii="Arial" w:hAnsi="Arial" w:cs="Arial"/>
          <w:color w:val="00408A"/>
          <w:kern w:val="28"/>
          <w:sz w:val="20"/>
          <w:szCs w:val="20"/>
        </w:rPr>
      </w:pPr>
      <w:r w:rsidRPr="00E34476">
        <w:rPr>
          <w:rFonts w:ascii="Arial" w:hAnsi="Arial" w:cs="Arial"/>
          <w:noProof/>
          <w:sz w:val="20"/>
          <w:szCs w:val="20"/>
        </w:rPr>
        <w:drawing>
          <wp:inline distT="0" distB="0" distL="0" distR="0" wp14:anchorId="7A5A4F5F" wp14:editId="75A3EF1D">
            <wp:extent cx="5486400" cy="2543175"/>
            <wp:effectExtent l="0" t="0" r="19050" b="9525"/>
            <wp:docPr id="2096" name="Chart 209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bl>
      <w:tblPr>
        <w:tblW w:w="8760" w:type="dxa"/>
        <w:tblInd w:w="93" w:type="dxa"/>
        <w:tblLook w:val="04A0" w:firstRow="1" w:lastRow="0" w:firstColumn="1" w:lastColumn="0" w:noHBand="0" w:noVBand="1"/>
      </w:tblPr>
      <w:tblGrid>
        <w:gridCol w:w="1433"/>
        <w:gridCol w:w="717"/>
        <w:gridCol w:w="784"/>
        <w:gridCol w:w="746"/>
        <w:gridCol w:w="746"/>
        <w:gridCol w:w="746"/>
        <w:gridCol w:w="746"/>
        <w:gridCol w:w="746"/>
        <w:gridCol w:w="746"/>
        <w:gridCol w:w="746"/>
        <w:gridCol w:w="746"/>
      </w:tblGrid>
      <w:tr w:rsidR="008A6D6D" w:rsidRPr="00E34476" w14:paraId="0791804C" w14:textId="77777777" w:rsidTr="00162D6E">
        <w:trPr>
          <w:trHeight w:val="315"/>
        </w:trPr>
        <w:tc>
          <w:tcPr>
            <w:tcW w:w="1433"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14:paraId="5C943C5F" w14:textId="77777777" w:rsidR="008A6D6D" w:rsidRPr="00E34476" w:rsidRDefault="008A6D6D" w:rsidP="00162D6E">
            <w:pPr>
              <w:spacing w:line="360" w:lineRule="auto"/>
              <w:jc w:val="both"/>
              <w:rPr>
                <w:rFonts w:ascii="Arial" w:hAnsi="Arial" w:cs="Arial"/>
                <w:b/>
                <w:bCs/>
                <w:color w:val="000000"/>
                <w:sz w:val="20"/>
                <w:szCs w:val="20"/>
              </w:rPr>
            </w:pPr>
            <w:r w:rsidRPr="00E34476">
              <w:rPr>
                <w:rFonts w:ascii="Arial" w:hAnsi="Arial" w:cs="Arial"/>
                <w:b/>
                <w:bCs/>
                <w:color w:val="000000"/>
                <w:sz w:val="20"/>
                <w:szCs w:val="20"/>
              </w:rPr>
              <w:t> </w:t>
            </w:r>
          </w:p>
        </w:tc>
        <w:tc>
          <w:tcPr>
            <w:tcW w:w="575" w:type="dxa"/>
            <w:tcBorders>
              <w:top w:val="single" w:sz="4" w:space="0" w:color="auto"/>
              <w:left w:val="nil"/>
              <w:bottom w:val="single" w:sz="4" w:space="0" w:color="auto"/>
              <w:right w:val="nil"/>
            </w:tcBorders>
            <w:shd w:val="clear" w:color="auto" w:fill="95B3D7" w:themeFill="accent1" w:themeFillTint="99"/>
            <w:noWrap/>
            <w:vAlign w:val="bottom"/>
            <w:hideMark/>
          </w:tcPr>
          <w:p w14:paraId="3DDD015F" w14:textId="77777777" w:rsidR="008A6D6D" w:rsidRPr="00E34476" w:rsidRDefault="008A6D6D" w:rsidP="00162D6E">
            <w:pPr>
              <w:spacing w:line="360" w:lineRule="auto"/>
              <w:jc w:val="both"/>
              <w:rPr>
                <w:rFonts w:ascii="Arial" w:hAnsi="Arial" w:cs="Arial"/>
                <w:b/>
                <w:bCs/>
                <w:color w:val="000000"/>
                <w:sz w:val="20"/>
                <w:szCs w:val="20"/>
              </w:rPr>
            </w:pPr>
            <w:r w:rsidRPr="00E34476">
              <w:rPr>
                <w:rFonts w:ascii="Arial" w:hAnsi="Arial" w:cs="Arial"/>
                <w:b/>
                <w:bCs/>
                <w:color w:val="000000"/>
                <w:sz w:val="20"/>
                <w:szCs w:val="20"/>
              </w:rPr>
              <w:t>14/15</w:t>
            </w:r>
          </w:p>
        </w:tc>
        <w:tc>
          <w:tcPr>
            <w:tcW w:w="784" w:type="dxa"/>
            <w:tcBorders>
              <w:top w:val="single" w:sz="4" w:space="0" w:color="auto"/>
              <w:left w:val="nil"/>
              <w:bottom w:val="single" w:sz="4" w:space="0" w:color="auto"/>
              <w:right w:val="nil"/>
            </w:tcBorders>
            <w:shd w:val="clear" w:color="auto" w:fill="95B3D7" w:themeFill="accent1" w:themeFillTint="99"/>
            <w:noWrap/>
            <w:vAlign w:val="bottom"/>
            <w:hideMark/>
          </w:tcPr>
          <w:p w14:paraId="628A72D3" w14:textId="77777777" w:rsidR="008A6D6D" w:rsidRPr="00E34476" w:rsidRDefault="008A6D6D" w:rsidP="00162D6E">
            <w:pPr>
              <w:spacing w:line="360" w:lineRule="auto"/>
              <w:jc w:val="both"/>
              <w:rPr>
                <w:rFonts w:ascii="Arial" w:hAnsi="Arial" w:cs="Arial"/>
                <w:b/>
                <w:bCs/>
                <w:color w:val="000000"/>
                <w:sz w:val="20"/>
                <w:szCs w:val="20"/>
              </w:rPr>
            </w:pPr>
            <w:r w:rsidRPr="00E34476">
              <w:rPr>
                <w:rFonts w:ascii="Arial" w:hAnsi="Arial" w:cs="Arial"/>
                <w:b/>
                <w:bCs/>
                <w:color w:val="000000"/>
                <w:sz w:val="20"/>
                <w:szCs w:val="20"/>
              </w:rPr>
              <w:t>15/16</w:t>
            </w:r>
          </w:p>
        </w:tc>
        <w:tc>
          <w:tcPr>
            <w:tcW w:w="746" w:type="dxa"/>
            <w:tcBorders>
              <w:top w:val="single" w:sz="4" w:space="0" w:color="auto"/>
              <w:left w:val="nil"/>
              <w:bottom w:val="single" w:sz="4" w:space="0" w:color="auto"/>
              <w:right w:val="nil"/>
            </w:tcBorders>
            <w:shd w:val="clear" w:color="auto" w:fill="95B3D7" w:themeFill="accent1" w:themeFillTint="99"/>
            <w:noWrap/>
            <w:vAlign w:val="bottom"/>
            <w:hideMark/>
          </w:tcPr>
          <w:p w14:paraId="7463F645" w14:textId="77777777" w:rsidR="008A6D6D" w:rsidRPr="00E34476" w:rsidRDefault="008A6D6D" w:rsidP="00162D6E">
            <w:pPr>
              <w:spacing w:line="360" w:lineRule="auto"/>
              <w:jc w:val="both"/>
              <w:rPr>
                <w:rFonts w:ascii="Arial" w:hAnsi="Arial" w:cs="Arial"/>
                <w:b/>
                <w:bCs/>
                <w:color w:val="000000"/>
                <w:sz w:val="20"/>
                <w:szCs w:val="20"/>
              </w:rPr>
            </w:pPr>
            <w:r w:rsidRPr="00E34476">
              <w:rPr>
                <w:rFonts w:ascii="Arial" w:hAnsi="Arial" w:cs="Arial"/>
                <w:b/>
                <w:bCs/>
                <w:color w:val="000000"/>
                <w:sz w:val="20"/>
                <w:szCs w:val="20"/>
              </w:rPr>
              <w:t>16/17</w:t>
            </w:r>
          </w:p>
        </w:tc>
        <w:tc>
          <w:tcPr>
            <w:tcW w:w="746" w:type="dxa"/>
            <w:tcBorders>
              <w:top w:val="single" w:sz="4" w:space="0" w:color="auto"/>
              <w:left w:val="nil"/>
              <w:bottom w:val="single" w:sz="4" w:space="0" w:color="auto"/>
              <w:right w:val="nil"/>
            </w:tcBorders>
            <w:shd w:val="clear" w:color="auto" w:fill="95B3D7" w:themeFill="accent1" w:themeFillTint="99"/>
            <w:noWrap/>
            <w:vAlign w:val="bottom"/>
            <w:hideMark/>
          </w:tcPr>
          <w:p w14:paraId="39EBAB4E" w14:textId="77777777" w:rsidR="008A6D6D" w:rsidRPr="00E34476" w:rsidRDefault="008A6D6D" w:rsidP="00162D6E">
            <w:pPr>
              <w:spacing w:line="360" w:lineRule="auto"/>
              <w:jc w:val="both"/>
              <w:rPr>
                <w:rFonts w:ascii="Arial" w:hAnsi="Arial" w:cs="Arial"/>
                <w:b/>
                <w:bCs/>
                <w:color w:val="000000"/>
                <w:sz w:val="20"/>
                <w:szCs w:val="20"/>
              </w:rPr>
            </w:pPr>
            <w:r w:rsidRPr="00E34476">
              <w:rPr>
                <w:rFonts w:ascii="Arial" w:hAnsi="Arial" w:cs="Arial"/>
                <w:b/>
                <w:bCs/>
                <w:color w:val="000000"/>
                <w:sz w:val="20"/>
                <w:szCs w:val="20"/>
              </w:rPr>
              <w:t>17/18</w:t>
            </w:r>
          </w:p>
        </w:tc>
        <w:tc>
          <w:tcPr>
            <w:tcW w:w="746" w:type="dxa"/>
            <w:tcBorders>
              <w:top w:val="single" w:sz="4" w:space="0" w:color="auto"/>
              <w:left w:val="nil"/>
              <w:bottom w:val="single" w:sz="4" w:space="0" w:color="auto"/>
              <w:right w:val="nil"/>
            </w:tcBorders>
            <w:shd w:val="clear" w:color="auto" w:fill="95B3D7" w:themeFill="accent1" w:themeFillTint="99"/>
            <w:noWrap/>
            <w:vAlign w:val="bottom"/>
            <w:hideMark/>
          </w:tcPr>
          <w:p w14:paraId="21179AF1" w14:textId="77777777" w:rsidR="008A6D6D" w:rsidRPr="00E34476" w:rsidRDefault="008A6D6D" w:rsidP="00162D6E">
            <w:pPr>
              <w:spacing w:line="360" w:lineRule="auto"/>
              <w:jc w:val="both"/>
              <w:rPr>
                <w:rFonts w:ascii="Arial" w:hAnsi="Arial" w:cs="Arial"/>
                <w:b/>
                <w:bCs/>
                <w:color w:val="000000"/>
                <w:sz w:val="20"/>
                <w:szCs w:val="20"/>
              </w:rPr>
            </w:pPr>
            <w:r w:rsidRPr="00E34476">
              <w:rPr>
                <w:rFonts w:ascii="Arial" w:hAnsi="Arial" w:cs="Arial"/>
                <w:b/>
                <w:bCs/>
                <w:color w:val="000000"/>
                <w:sz w:val="20"/>
                <w:szCs w:val="20"/>
              </w:rPr>
              <w:t>18/19</w:t>
            </w:r>
          </w:p>
        </w:tc>
        <w:tc>
          <w:tcPr>
            <w:tcW w:w="746" w:type="dxa"/>
            <w:tcBorders>
              <w:top w:val="single" w:sz="4" w:space="0" w:color="auto"/>
              <w:left w:val="nil"/>
              <w:bottom w:val="single" w:sz="4" w:space="0" w:color="auto"/>
              <w:right w:val="nil"/>
            </w:tcBorders>
            <w:shd w:val="clear" w:color="auto" w:fill="95B3D7" w:themeFill="accent1" w:themeFillTint="99"/>
            <w:noWrap/>
            <w:vAlign w:val="bottom"/>
            <w:hideMark/>
          </w:tcPr>
          <w:p w14:paraId="219FCD98" w14:textId="77777777" w:rsidR="008A6D6D" w:rsidRPr="00E34476" w:rsidRDefault="008A6D6D" w:rsidP="00162D6E">
            <w:pPr>
              <w:spacing w:line="360" w:lineRule="auto"/>
              <w:jc w:val="both"/>
              <w:rPr>
                <w:rFonts w:ascii="Arial" w:hAnsi="Arial" w:cs="Arial"/>
                <w:b/>
                <w:bCs/>
                <w:color w:val="000000"/>
                <w:sz w:val="20"/>
                <w:szCs w:val="20"/>
              </w:rPr>
            </w:pPr>
            <w:r w:rsidRPr="00E34476">
              <w:rPr>
                <w:rFonts w:ascii="Arial" w:hAnsi="Arial" w:cs="Arial"/>
                <w:b/>
                <w:bCs/>
                <w:color w:val="000000"/>
                <w:sz w:val="20"/>
                <w:szCs w:val="20"/>
              </w:rPr>
              <w:t>19/20</w:t>
            </w:r>
          </w:p>
        </w:tc>
        <w:tc>
          <w:tcPr>
            <w:tcW w:w="746" w:type="dxa"/>
            <w:tcBorders>
              <w:top w:val="single" w:sz="4" w:space="0" w:color="auto"/>
              <w:left w:val="nil"/>
              <w:bottom w:val="single" w:sz="4" w:space="0" w:color="auto"/>
              <w:right w:val="nil"/>
            </w:tcBorders>
            <w:shd w:val="clear" w:color="auto" w:fill="95B3D7" w:themeFill="accent1" w:themeFillTint="99"/>
            <w:noWrap/>
            <w:vAlign w:val="bottom"/>
            <w:hideMark/>
          </w:tcPr>
          <w:p w14:paraId="0A9F02FC" w14:textId="77777777" w:rsidR="008A6D6D" w:rsidRPr="00E34476" w:rsidRDefault="008A6D6D" w:rsidP="00162D6E">
            <w:pPr>
              <w:spacing w:line="360" w:lineRule="auto"/>
              <w:jc w:val="both"/>
              <w:rPr>
                <w:rFonts w:ascii="Arial" w:hAnsi="Arial" w:cs="Arial"/>
                <w:b/>
                <w:bCs/>
                <w:color w:val="000000"/>
                <w:sz w:val="20"/>
                <w:szCs w:val="20"/>
              </w:rPr>
            </w:pPr>
            <w:r w:rsidRPr="00E34476">
              <w:rPr>
                <w:rFonts w:ascii="Arial" w:hAnsi="Arial" w:cs="Arial"/>
                <w:b/>
                <w:bCs/>
                <w:color w:val="000000"/>
                <w:sz w:val="20"/>
                <w:szCs w:val="20"/>
              </w:rPr>
              <w:t>20/21</w:t>
            </w:r>
          </w:p>
        </w:tc>
        <w:tc>
          <w:tcPr>
            <w:tcW w:w="746" w:type="dxa"/>
            <w:tcBorders>
              <w:top w:val="single" w:sz="4" w:space="0" w:color="auto"/>
              <w:left w:val="nil"/>
              <w:bottom w:val="single" w:sz="4" w:space="0" w:color="auto"/>
              <w:right w:val="nil"/>
            </w:tcBorders>
            <w:shd w:val="clear" w:color="auto" w:fill="95B3D7" w:themeFill="accent1" w:themeFillTint="99"/>
            <w:noWrap/>
            <w:vAlign w:val="bottom"/>
            <w:hideMark/>
          </w:tcPr>
          <w:p w14:paraId="11422AF5" w14:textId="77777777" w:rsidR="008A6D6D" w:rsidRPr="00E34476" w:rsidRDefault="008A6D6D" w:rsidP="00162D6E">
            <w:pPr>
              <w:spacing w:line="360" w:lineRule="auto"/>
              <w:jc w:val="both"/>
              <w:rPr>
                <w:rFonts w:ascii="Arial" w:hAnsi="Arial" w:cs="Arial"/>
                <w:b/>
                <w:bCs/>
                <w:color w:val="000000"/>
                <w:sz w:val="20"/>
                <w:szCs w:val="20"/>
              </w:rPr>
            </w:pPr>
            <w:r w:rsidRPr="00E34476">
              <w:rPr>
                <w:rFonts w:ascii="Arial" w:hAnsi="Arial" w:cs="Arial"/>
                <w:b/>
                <w:bCs/>
                <w:color w:val="000000"/>
                <w:sz w:val="20"/>
                <w:szCs w:val="20"/>
              </w:rPr>
              <w:t>21/22</w:t>
            </w:r>
          </w:p>
        </w:tc>
        <w:tc>
          <w:tcPr>
            <w:tcW w:w="746" w:type="dxa"/>
            <w:tcBorders>
              <w:top w:val="single" w:sz="4" w:space="0" w:color="auto"/>
              <w:left w:val="nil"/>
              <w:bottom w:val="single" w:sz="4" w:space="0" w:color="auto"/>
              <w:right w:val="nil"/>
            </w:tcBorders>
            <w:shd w:val="clear" w:color="auto" w:fill="95B3D7" w:themeFill="accent1" w:themeFillTint="99"/>
            <w:noWrap/>
            <w:vAlign w:val="bottom"/>
            <w:hideMark/>
          </w:tcPr>
          <w:p w14:paraId="3276AF54" w14:textId="77777777" w:rsidR="008A6D6D" w:rsidRPr="00E34476" w:rsidRDefault="008A6D6D" w:rsidP="00162D6E">
            <w:pPr>
              <w:spacing w:line="360" w:lineRule="auto"/>
              <w:jc w:val="both"/>
              <w:rPr>
                <w:rFonts w:ascii="Arial" w:hAnsi="Arial" w:cs="Arial"/>
                <w:b/>
                <w:bCs/>
                <w:color w:val="000000"/>
                <w:sz w:val="20"/>
                <w:szCs w:val="20"/>
              </w:rPr>
            </w:pPr>
            <w:r w:rsidRPr="00E34476">
              <w:rPr>
                <w:rFonts w:ascii="Arial" w:hAnsi="Arial" w:cs="Arial"/>
                <w:b/>
                <w:bCs/>
                <w:color w:val="000000"/>
                <w:sz w:val="20"/>
                <w:szCs w:val="20"/>
              </w:rPr>
              <w:t>22/23</w:t>
            </w:r>
          </w:p>
        </w:tc>
        <w:tc>
          <w:tcPr>
            <w:tcW w:w="746"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0E30F772" w14:textId="77777777" w:rsidR="008A6D6D" w:rsidRPr="00E34476" w:rsidRDefault="008A6D6D" w:rsidP="00162D6E">
            <w:pPr>
              <w:spacing w:line="360" w:lineRule="auto"/>
              <w:jc w:val="both"/>
              <w:rPr>
                <w:rFonts w:ascii="Arial" w:hAnsi="Arial" w:cs="Arial"/>
                <w:b/>
                <w:bCs/>
                <w:color w:val="000000"/>
                <w:sz w:val="20"/>
                <w:szCs w:val="20"/>
              </w:rPr>
            </w:pPr>
            <w:r w:rsidRPr="00E34476">
              <w:rPr>
                <w:rFonts w:ascii="Arial" w:hAnsi="Arial" w:cs="Arial"/>
                <w:b/>
                <w:bCs/>
                <w:color w:val="000000"/>
                <w:sz w:val="20"/>
                <w:szCs w:val="20"/>
              </w:rPr>
              <w:t>23/24</w:t>
            </w:r>
          </w:p>
        </w:tc>
      </w:tr>
      <w:tr w:rsidR="008A6D6D" w:rsidRPr="00E34476" w14:paraId="43E7961C" w14:textId="77777777" w:rsidTr="00162D6E">
        <w:trPr>
          <w:trHeight w:val="315"/>
        </w:trPr>
        <w:tc>
          <w:tcPr>
            <w:tcW w:w="1433" w:type="dxa"/>
            <w:tcBorders>
              <w:top w:val="nil"/>
              <w:left w:val="single" w:sz="4" w:space="0" w:color="auto"/>
              <w:bottom w:val="nil"/>
              <w:right w:val="single" w:sz="4" w:space="0" w:color="auto"/>
            </w:tcBorders>
            <w:shd w:val="clear" w:color="auto" w:fill="auto"/>
            <w:noWrap/>
            <w:vAlign w:val="bottom"/>
            <w:hideMark/>
          </w:tcPr>
          <w:p w14:paraId="73F399B4" w14:textId="77777777" w:rsidR="008A6D6D" w:rsidRPr="004662EE" w:rsidRDefault="008A6D6D" w:rsidP="00162D6E">
            <w:pPr>
              <w:spacing w:line="360" w:lineRule="auto"/>
              <w:jc w:val="both"/>
              <w:rPr>
                <w:rFonts w:ascii="Arial" w:hAnsi="Arial" w:cs="Arial"/>
                <w:b/>
                <w:bCs/>
                <w:color w:val="000000"/>
                <w:sz w:val="16"/>
                <w:szCs w:val="16"/>
              </w:rPr>
            </w:pPr>
            <w:r w:rsidRPr="004662EE">
              <w:rPr>
                <w:rFonts w:ascii="Arial" w:hAnsi="Arial" w:cs="Arial"/>
                <w:b/>
                <w:bCs/>
                <w:color w:val="000000"/>
                <w:sz w:val="16"/>
                <w:szCs w:val="16"/>
              </w:rPr>
              <w:t>SV (Scenario 1)</w:t>
            </w:r>
          </w:p>
        </w:tc>
        <w:tc>
          <w:tcPr>
            <w:tcW w:w="575" w:type="dxa"/>
            <w:tcBorders>
              <w:top w:val="nil"/>
              <w:left w:val="nil"/>
              <w:bottom w:val="nil"/>
              <w:right w:val="nil"/>
            </w:tcBorders>
            <w:shd w:val="clear" w:color="auto" w:fill="auto"/>
            <w:noWrap/>
            <w:vAlign w:val="bottom"/>
            <w:hideMark/>
          </w:tcPr>
          <w:p w14:paraId="635C9423" w14:textId="77777777" w:rsidR="008A6D6D" w:rsidRPr="004662EE" w:rsidRDefault="008A6D6D" w:rsidP="00162D6E">
            <w:pPr>
              <w:spacing w:line="360" w:lineRule="auto"/>
              <w:jc w:val="both"/>
              <w:rPr>
                <w:rFonts w:ascii="Arial" w:hAnsi="Arial" w:cs="Arial"/>
                <w:color w:val="000000"/>
                <w:sz w:val="18"/>
                <w:szCs w:val="18"/>
              </w:rPr>
            </w:pPr>
            <w:r w:rsidRPr="004662EE">
              <w:rPr>
                <w:rFonts w:ascii="Arial" w:hAnsi="Arial" w:cs="Arial"/>
                <w:color w:val="000000"/>
                <w:sz w:val="18"/>
                <w:szCs w:val="18"/>
              </w:rPr>
              <w:t>9.7%</w:t>
            </w:r>
          </w:p>
        </w:tc>
        <w:tc>
          <w:tcPr>
            <w:tcW w:w="784" w:type="dxa"/>
            <w:tcBorders>
              <w:top w:val="nil"/>
              <w:left w:val="nil"/>
              <w:bottom w:val="nil"/>
              <w:right w:val="nil"/>
            </w:tcBorders>
            <w:shd w:val="clear" w:color="auto" w:fill="auto"/>
            <w:noWrap/>
            <w:vAlign w:val="bottom"/>
            <w:hideMark/>
          </w:tcPr>
          <w:p w14:paraId="71ABE565" w14:textId="77777777" w:rsidR="008A6D6D" w:rsidRPr="004662EE" w:rsidRDefault="008A6D6D" w:rsidP="00162D6E">
            <w:pPr>
              <w:spacing w:line="360" w:lineRule="auto"/>
              <w:jc w:val="both"/>
              <w:rPr>
                <w:rFonts w:ascii="Arial" w:hAnsi="Arial" w:cs="Arial"/>
                <w:color w:val="000000"/>
                <w:sz w:val="18"/>
                <w:szCs w:val="18"/>
              </w:rPr>
            </w:pPr>
            <w:r w:rsidRPr="004662EE">
              <w:rPr>
                <w:rFonts w:ascii="Arial" w:hAnsi="Arial" w:cs="Arial"/>
                <w:color w:val="000000"/>
                <w:sz w:val="18"/>
                <w:szCs w:val="18"/>
              </w:rPr>
              <w:t>9.8%</w:t>
            </w:r>
          </w:p>
        </w:tc>
        <w:tc>
          <w:tcPr>
            <w:tcW w:w="746" w:type="dxa"/>
            <w:tcBorders>
              <w:top w:val="nil"/>
              <w:left w:val="nil"/>
              <w:bottom w:val="nil"/>
              <w:right w:val="nil"/>
            </w:tcBorders>
            <w:shd w:val="clear" w:color="auto" w:fill="auto"/>
            <w:noWrap/>
            <w:vAlign w:val="bottom"/>
            <w:hideMark/>
          </w:tcPr>
          <w:p w14:paraId="6A8C35FF" w14:textId="77777777" w:rsidR="008A6D6D" w:rsidRPr="004662EE" w:rsidRDefault="008A6D6D" w:rsidP="00162D6E">
            <w:pPr>
              <w:spacing w:line="360" w:lineRule="auto"/>
              <w:jc w:val="both"/>
              <w:rPr>
                <w:rFonts w:ascii="Arial" w:hAnsi="Arial" w:cs="Arial"/>
                <w:color w:val="000000"/>
                <w:sz w:val="18"/>
                <w:szCs w:val="18"/>
              </w:rPr>
            </w:pPr>
            <w:r w:rsidRPr="004662EE">
              <w:rPr>
                <w:rFonts w:ascii="Arial" w:hAnsi="Arial" w:cs="Arial"/>
                <w:color w:val="000000"/>
                <w:sz w:val="18"/>
                <w:szCs w:val="18"/>
              </w:rPr>
              <w:t>8.7%</w:t>
            </w:r>
          </w:p>
        </w:tc>
        <w:tc>
          <w:tcPr>
            <w:tcW w:w="746" w:type="dxa"/>
            <w:tcBorders>
              <w:top w:val="nil"/>
              <w:left w:val="nil"/>
              <w:bottom w:val="nil"/>
              <w:right w:val="nil"/>
            </w:tcBorders>
            <w:shd w:val="clear" w:color="auto" w:fill="auto"/>
            <w:noWrap/>
            <w:vAlign w:val="bottom"/>
            <w:hideMark/>
          </w:tcPr>
          <w:p w14:paraId="20005D77" w14:textId="77777777" w:rsidR="008A6D6D" w:rsidRPr="004662EE" w:rsidRDefault="008A6D6D" w:rsidP="00162D6E">
            <w:pPr>
              <w:spacing w:line="360" w:lineRule="auto"/>
              <w:jc w:val="both"/>
              <w:rPr>
                <w:rFonts w:ascii="Arial" w:hAnsi="Arial" w:cs="Arial"/>
                <w:color w:val="000000"/>
                <w:sz w:val="18"/>
                <w:szCs w:val="18"/>
              </w:rPr>
            </w:pPr>
            <w:r w:rsidRPr="004662EE">
              <w:rPr>
                <w:rFonts w:ascii="Arial" w:hAnsi="Arial" w:cs="Arial"/>
                <w:color w:val="000000"/>
                <w:sz w:val="18"/>
                <w:szCs w:val="18"/>
              </w:rPr>
              <w:t>7.8%</w:t>
            </w:r>
          </w:p>
        </w:tc>
        <w:tc>
          <w:tcPr>
            <w:tcW w:w="746" w:type="dxa"/>
            <w:tcBorders>
              <w:top w:val="nil"/>
              <w:left w:val="nil"/>
              <w:bottom w:val="nil"/>
              <w:right w:val="nil"/>
            </w:tcBorders>
            <w:shd w:val="clear" w:color="auto" w:fill="auto"/>
            <w:noWrap/>
            <w:vAlign w:val="bottom"/>
            <w:hideMark/>
          </w:tcPr>
          <w:p w14:paraId="490E724D" w14:textId="77777777" w:rsidR="008A6D6D" w:rsidRPr="004662EE" w:rsidRDefault="008A6D6D" w:rsidP="00162D6E">
            <w:pPr>
              <w:spacing w:line="360" w:lineRule="auto"/>
              <w:jc w:val="both"/>
              <w:rPr>
                <w:rFonts w:ascii="Arial" w:hAnsi="Arial" w:cs="Arial"/>
                <w:color w:val="000000"/>
                <w:sz w:val="18"/>
                <w:szCs w:val="18"/>
              </w:rPr>
            </w:pPr>
            <w:r w:rsidRPr="004662EE">
              <w:rPr>
                <w:rFonts w:ascii="Arial" w:hAnsi="Arial" w:cs="Arial"/>
                <w:color w:val="000000"/>
                <w:sz w:val="18"/>
                <w:szCs w:val="18"/>
              </w:rPr>
              <w:t>6.7%</w:t>
            </w:r>
          </w:p>
        </w:tc>
        <w:tc>
          <w:tcPr>
            <w:tcW w:w="746" w:type="dxa"/>
            <w:tcBorders>
              <w:top w:val="nil"/>
              <w:left w:val="nil"/>
              <w:bottom w:val="nil"/>
              <w:right w:val="nil"/>
            </w:tcBorders>
            <w:shd w:val="clear" w:color="auto" w:fill="auto"/>
            <w:noWrap/>
            <w:vAlign w:val="bottom"/>
            <w:hideMark/>
          </w:tcPr>
          <w:p w14:paraId="4A43C62B" w14:textId="77777777" w:rsidR="008A6D6D" w:rsidRPr="004662EE" w:rsidRDefault="008A6D6D" w:rsidP="00162D6E">
            <w:pPr>
              <w:spacing w:line="360" w:lineRule="auto"/>
              <w:jc w:val="both"/>
              <w:rPr>
                <w:rFonts w:ascii="Arial" w:hAnsi="Arial" w:cs="Arial"/>
                <w:color w:val="000000"/>
                <w:sz w:val="18"/>
                <w:szCs w:val="18"/>
              </w:rPr>
            </w:pPr>
            <w:r w:rsidRPr="004662EE">
              <w:rPr>
                <w:rFonts w:ascii="Arial" w:hAnsi="Arial" w:cs="Arial"/>
                <w:color w:val="000000"/>
                <w:sz w:val="18"/>
                <w:szCs w:val="18"/>
              </w:rPr>
              <w:t>5.7%</w:t>
            </w:r>
          </w:p>
        </w:tc>
        <w:tc>
          <w:tcPr>
            <w:tcW w:w="746" w:type="dxa"/>
            <w:tcBorders>
              <w:top w:val="nil"/>
              <w:left w:val="nil"/>
              <w:bottom w:val="nil"/>
              <w:right w:val="nil"/>
            </w:tcBorders>
            <w:shd w:val="clear" w:color="auto" w:fill="auto"/>
            <w:noWrap/>
            <w:vAlign w:val="bottom"/>
            <w:hideMark/>
          </w:tcPr>
          <w:p w14:paraId="2516436D" w14:textId="77777777" w:rsidR="008A6D6D" w:rsidRPr="004662EE" w:rsidRDefault="008A6D6D" w:rsidP="00162D6E">
            <w:pPr>
              <w:spacing w:line="360" w:lineRule="auto"/>
              <w:jc w:val="both"/>
              <w:rPr>
                <w:rFonts w:ascii="Arial" w:hAnsi="Arial" w:cs="Arial"/>
                <w:color w:val="000000"/>
                <w:sz w:val="18"/>
                <w:szCs w:val="18"/>
              </w:rPr>
            </w:pPr>
            <w:r w:rsidRPr="004662EE">
              <w:rPr>
                <w:rFonts w:ascii="Arial" w:hAnsi="Arial" w:cs="Arial"/>
                <w:color w:val="000000"/>
                <w:sz w:val="18"/>
                <w:szCs w:val="18"/>
              </w:rPr>
              <w:t>5.2%</w:t>
            </w:r>
          </w:p>
        </w:tc>
        <w:tc>
          <w:tcPr>
            <w:tcW w:w="746" w:type="dxa"/>
            <w:tcBorders>
              <w:top w:val="nil"/>
              <w:left w:val="nil"/>
              <w:bottom w:val="nil"/>
              <w:right w:val="nil"/>
            </w:tcBorders>
            <w:shd w:val="clear" w:color="auto" w:fill="auto"/>
            <w:noWrap/>
            <w:vAlign w:val="bottom"/>
            <w:hideMark/>
          </w:tcPr>
          <w:p w14:paraId="62258456" w14:textId="77777777" w:rsidR="008A6D6D" w:rsidRPr="004662EE" w:rsidRDefault="008A6D6D" w:rsidP="00162D6E">
            <w:pPr>
              <w:spacing w:line="360" w:lineRule="auto"/>
              <w:jc w:val="both"/>
              <w:rPr>
                <w:rFonts w:ascii="Arial" w:hAnsi="Arial" w:cs="Arial"/>
                <w:color w:val="000000"/>
                <w:sz w:val="18"/>
                <w:szCs w:val="18"/>
              </w:rPr>
            </w:pPr>
            <w:r w:rsidRPr="004662EE">
              <w:rPr>
                <w:rFonts w:ascii="Arial" w:hAnsi="Arial" w:cs="Arial"/>
                <w:color w:val="000000"/>
                <w:sz w:val="18"/>
                <w:szCs w:val="18"/>
              </w:rPr>
              <w:t>5.0%</w:t>
            </w:r>
          </w:p>
        </w:tc>
        <w:tc>
          <w:tcPr>
            <w:tcW w:w="746" w:type="dxa"/>
            <w:tcBorders>
              <w:top w:val="nil"/>
              <w:left w:val="nil"/>
              <w:bottom w:val="nil"/>
              <w:right w:val="nil"/>
            </w:tcBorders>
            <w:shd w:val="clear" w:color="auto" w:fill="auto"/>
            <w:noWrap/>
            <w:vAlign w:val="bottom"/>
            <w:hideMark/>
          </w:tcPr>
          <w:p w14:paraId="5452CBFB" w14:textId="77777777" w:rsidR="008A6D6D" w:rsidRPr="004662EE" w:rsidRDefault="008A6D6D" w:rsidP="00162D6E">
            <w:pPr>
              <w:spacing w:line="360" w:lineRule="auto"/>
              <w:jc w:val="both"/>
              <w:rPr>
                <w:rFonts w:ascii="Arial" w:hAnsi="Arial" w:cs="Arial"/>
                <w:color w:val="000000"/>
                <w:sz w:val="18"/>
                <w:szCs w:val="18"/>
              </w:rPr>
            </w:pPr>
            <w:r w:rsidRPr="004662EE">
              <w:rPr>
                <w:rFonts w:ascii="Arial" w:hAnsi="Arial" w:cs="Arial"/>
                <w:color w:val="000000"/>
                <w:sz w:val="18"/>
                <w:szCs w:val="18"/>
              </w:rPr>
              <w:t>4.8%</w:t>
            </w:r>
          </w:p>
        </w:tc>
        <w:tc>
          <w:tcPr>
            <w:tcW w:w="746" w:type="dxa"/>
            <w:tcBorders>
              <w:top w:val="nil"/>
              <w:left w:val="nil"/>
              <w:bottom w:val="nil"/>
              <w:right w:val="single" w:sz="4" w:space="0" w:color="auto"/>
            </w:tcBorders>
            <w:shd w:val="clear" w:color="auto" w:fill="auto"/>
            <w:noWrap/>
            <w:vAlign w:val="bottom"/>
            <w:hideMark/>
          </w:tcPr>
          <w:p w14:paraId="076835E0" w14:textId="77777777" w:rsidR="008A6D6D" w:rsidRPr="004662EE" w:rsidRDefault="008A6D6D" w:rsidP="00162D6E">
            <w:pPr>
              <w:spacing w:line="360" w:lineRule="auto"/>
              <w:jc w:val="both"/>
              <w:rPr>
                <w:rFonts w:ascii="Arial" w:hAnsi="Arial" w:cs="Arial"/>
                <w:color w:val="000000"/>
                <w:sz w:val="18"/>
                <w:szCs w:val="18"/>
              </w:rPr>
            </w:pPr>
            <w:r w:rsidRPr="004662EE">
              <w:rPr>
                <w:rFonts w:ascii="Arial" w:hAnsi="Arial" w:cs="Arial"/>
                <w:color w:val="000000"/>
                <w:sz w:val="18"/>
                <w:szCs w:val="18"/>
              </w:rPr>
              <w:t>4.2%</w:t>
            </w:r>
          </w:p>
        </w:tc>
      </w:tr>
      <w:tr w:rsidR="008A6D6D" w:rsidRPr="00E34476" w14:paraId="106AC9DE" w14:textId="77777777" w:rsidTr="00162D6E">
        <w:trPr>
          <w:trHeight w:val="315"/>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14:paraId="267691CE" w14:textId="77777777" w:rsidR="008A6D6D" w:rsidRPr="004662EE" w:rsidRDefault="008A6D6D" w:rsidP="00162D6E">
            <w:pPr>
              <w:spacing w:line="360" w:lineRule="auto"/>
              <w:rPr>
                <w:rFonts w:ascii="Arial" w:hAnsi="Arial" w:cs="Arial"/>
                <w:b/>
                <w:bCs/>
                <w:color w:val="000000"/>
                <w:sz w:val="16"/>
                <w:szCs w:val="16"/>
              </w:rPr>
            </w:pPr>
            <w:r w:rsidRPr="004662EE">
              <w:rPr>
                <w:rFonts w:ascii="Arial" w:hAnsi="Arial" w:cs="Arial"/>
                <w:b/>
                <w:bCs/>
                <w:color w:val="000000"/>
                <w:sz w:val="16"/>
                <w:szCs w:val="16"/>
              </w:rPr>
              <w:t>No SV (Scenario 3)</w:t>
            </w:r>
          </w:p>
        </w:tc>
        <w:tc>
          <w:tcPr>
            <w:tcW w:w="575" w:type="dxa"/>
            <w:tcBorders>
              <w:top w:val="nil"/>
              <w:left w:val="nil"/>
              <w:bottom w:val="single" w:sz="4" w:space="0" w:color="auto"/>
              <w:right w:val="nil"/>
            </w:tcBorders>
            <w:shd w:val="clear" w:color="auto" w:fill="auto"/>
            <w:noWrap/>
            <w:vAlign w:val="bottom"/>
            <w:hideMark/>
          </w:tcPr>
          <w:p w14:paraId="2DC45950" w14:textId="77777777" w:rsidR="008A6D6D" w:rsidRPr="004662EE" w:rsidRDefault="008A6D6D" w:rsidP="00162D6E">
            <w:pPr>
              <w:spacing w:line="360" w:lineRule="auto"/>
              <w:jc w:val="both"/>
              <w:rPr>
                <w:rFonts w:ascii="Arial" w:hAnsi="Arial" w:cs="Arial"/>
                <w:color w:val="000000"/>
                <w:sz w:val="18"/>
                <w:szCs w:val="18"/>
              </w:rPr>
            </w:pPr>
            <w:r w:rsidRPr="004662EE">
              <w:rPr>
                <w:rFonts w:ascii="Arial" w:hAnsi="Arial" w:cs="Arial"/>
                <w:color w:val="000000"/>
                <w:sz w:val="18"/>
                <w:szCs w:val="18"/>
              </w:rPr>
              <w:t>9.7%</w:t>
            </w:r>
          </w:p>
        </w:tc>
        <w:tc>
          <w:tcPr>
            <w:tcW w:w="784" w:type="dxa"/>
            <w:tcBorders>
              <w:top w:val="nil"/>
              <w:left w:val="nil"/>
              <w:bottom w:val="single" w:sz="4" w:space="0" w:color="auto"/>
              <w:right w:val="nil"/>
            </w:tcBorders>
            <w:shd w:val="clear" w:color="auto" w:fill="auto"/>
            <w:noWrap/>
            <w:vAlign w:val="bottom"/>
            <w:hideMark/>
          </w:tcPr>
          <w:p w14:paraId="60A324DB" w14:textId="77777777" w:rsidR="008A6D6D" w:rsidRPr="004662EE" w:rsidRDefault="008A6D6D" w:rsidP="00162D6E">
            <w:pPr>
              <w:spacing w:line="360" w:lineRule="auto"/>
              <w:jc w:val="both"/>
              <w:rPr>
                <w:rFonts w:ascii="Arial" w:hAnsi="Arial" w:cs="Arial"/>
                <w:color w:val="000000"/>
                <w:sz w:val="18"/>
                <w:szCs w:val="18"/>
              </w:rPr>
            </w:pPr>
            <w:r w:rsidRPr="004662EE">
              <w:rPr>
                <w:rFonts w:ascii="Arial" w:hAnsi="Arial" w:cs="Arial"/>
                <w:color w:val="000000"/>
                <w:sz w:val="18"/>
                <w:szCs w:val="18"/>
              </w:rPr>
              <w:t>10.0%</w:t>
            </w:r>
          </w:p>
        </w:tc>
        <w:tc>
          <w:tcPr>
            <w:tcW w:w="746" w:type="dxa"/>
            <w:tcBorders>
              <w:top w:val="nil"/>
              <w:left w:val="nil"/>
              <w:bottom w:val="single" w:sz="4" w:space="0" w:color="auto"/>
              <w:right w:val="nil"/>
            </w:tcBorders>
            <w:shd w:val="clear" w:color="auto" w:fill="auto"/>
            <w:noWrap/>
            <w:vAlign w:val="bottom"/>
            <w:hideMark/>
          </w:tcPr>
          <w:p w14:paraId="6DC9DABE" w14:textId="77777777" w:rsidR="008A6D6D" w:rsidRPr="004662EE" w:rsidRDefault="008A6D6D" w:rsidP="00162D6E">
            <w:pPr>
              <w:spacing w:line="360" w:lineRule="auto"/>
              <w:jc w:val="both"/>
              <w:rPr>
                <w:rFonts w:ascii="Arial" w:hAnsi="Arial" w:cs="Arial"/>
                <w:color w:val="000000"/>
                <w:sz w:val="18"/>
                <w:szCs w:val="18"/>
              </w:rPr>
            </w:pPr>
            <w:r w:rsidRPr="004662EE">
              <w:rPr>
                <w:rFonts w:ascii="Arial" w:hAnsi="Arial" w:cs="Arial"/>
                <w:color w:val="000000"/>
                <w:sz w:val="18"/>
                <w:szCs w:val="18"/>
              </w:rPr>
              <w:t>9.2%</w:t>
            </w:r>
          </w:p>
        </w:tc>
        <w:tc>
          <w:tcPr>
            <w:tcW w:w="746" w:type="dxa"/>
            <w:tcBorders>
              <w:top w:val="nil"/>
              <w:left w:val="nil"/>
              <w:bottom w:val="single" w:sz="4" w:space="0" w:color="auto"/>
              <w:right w:val="nil"/>
            </w:tcBorders>
            <w:shd w:val="clear" w:color="auto" w:fill="auto"/>
            <w:noWrap/>
            <w:vAlign w:val="bottom"/>
            <w:hideMark/>
          </w:tcPr>
          <w:p w14:paraId="73D9AE85" w14:textId="77777777" w:rsidR="008A6D6D" w:rsidRPr="004662EE" w:rsidRDefault="008A6D6D" w:rsidP="00162D6E">
            <w:pPr>
              <w:spacing w:line="360" w:lineRule="auto"/>
              <w:jc w:val="both"/>
              <w:rPr>
                <w:rFonts w:ascii="Arial" w:hAnsi="Arial" w:cs="Arial"/>
                <w:color w:val="000000"/>
                <w:sz w:val="18"/>
                <w:szCs w:val="18"/>
              </w:rPr>
            </w:pPr>
            <w:r w:rsidRPr="004662EE">
              <w:rPr>
                <w:rFonts w:ascii="Arial" w:hAnsi="Arial" w:cs="Arial"/>
                <w:color w:val="000000"/>
                <w:sz w:val="18"/>
                <w:szCs w:val="18"/>
              </w:rPr>
              <w:t>8.5%</w:t>
            </w:r>
          </w:p>
        </w:tc>
        <w:tc>
          <w:tcPr>
            <w:tcW w:w="746" w:type="dxa"/>
            <w:tcBorders>
              <w:top w:val="nil"/>
              <w:left w:val="nil"/>
              <w:bottom w:val="single" w:sz="4" w:space="0" w:color="auto"/>
              <w:right w:val="nil"/>
            </w:tcBorders>
            <w:shd w:val="clear" w:color="auto" w:fill="auto"/>
            <w:noWrap/>
            <w:vAlign w:val="bottom"/>
            <w:hideMark/>
          </w:tcPr>
          <w:p w14:paraId="01091C22" w14:textId="77777777" w:rsidR="008A6D6D" w:rsidRPr="004662EE" w:rsidRDefault="008A6D6D" w:rsidP="00162D6E">
            <w:pPr>
              <w:spacing w:line="360" w:lineRule="auto"/>
              <w:jc w:val="both"/>
              <w:rPr>
                <w:rFonts w:ascii="Arial" w:hAnsi="Arial" w:cs="Arial"/>
                <w:color w:val="000000"/>
                <w:sz w:val="18"/>
                <w:szCs w:val="18"/>
              </w:rPr>
            </w:pPr>
            <w:r w:rsidRPr="004662EE">
              <w:rPr>
                <w:rFonts w:ascii="Arial" w:hAnsi="Arial" w:cs="Arial"/>
                <w:color w:val="000000"/>
                <w:sz w:val="18"/>
                <w:szCs w:val="18"/>
              </w:rPr>
              <w:t>7.5%</w:t>
            </w:r>
          </w:p>
        </w:tc>
        <w:tc>
          <w:tcPr>
            <w:tcW w:w="746" w:type="dxa"/>
            <w:tcBorders>
              <w:top w:val="nil"/>
              <w:left w:val="nil"/>
              <w:bottom w:val="single" w:sz="4" w:space="0" w:color="auto"/>
              <w:right w:val="nil"/>
            </w:tcBorders>
            <w:shd w:val="clear" w:color="auto" w:fill="auto"/>
            <w:noWrap/>
            <w:vAlign w:val="bottom"/>
            <w:hideMark/>
          </w:tcPr>
          <w:p w14:paraId="5588E28C" w14:textId="77777777" w:rsidR="008A6D6D" w:rsidRPr="004662EE" w:rsidRDefault="008A6D6D" w:rsidP="00162D6E">
            <w:pPr>
              <w:spacing w:line="360" w:lineRule="auto"/>
              <w:jc w:val="both"/>
              <w:rPr>
                <w:rFonts w:ascii="Arial" w:hAnsi="Arial" w:cs="Arial"/>
                <w:color w:val="000000"/>
                <w:sz w:val="18"/>
                <w:szCs w:val="18"/>
              </w:rPr>
            </w:pPr>
            <w:r w:rsidRPr="004662EE">
              <w:rPr>
                <w:rFonts w:ascii="Arial" w:hAnsi="Arial" w:cs="Arial"/>
                <w:color w:val="000000"/>
                <w:sz w:val="18"/>
                <w:szCs w:val="18"/>
              </w:rPr>
              <w:t>6.4%</w:t>
            </w:r>
          </w:p>
        </w:tc>
        <w:tc>
          <w:tcPr>
            <w:tcW w:w="746" w:type="dxa"/>
            <w:tcBorders>
              <w:top w:val="nil"/>
              <w:left w:val="nil"/>
              <w:bottom w:val="single" w:sz="4" w:space="0" w:color="auto"/>
              <w:right w:val="nil"/>
            </w:tcBorders>
            <w:shd w:val="clear" w:color="auto" w:fill="auto"/>
            <w:noWrap/>
            <w:vAlign w:val="bottom"/>
            <w:hideMark/>
          </w:tcPr>
          <w:p w14:paraId="7F67F66A" w14:textId="77777777" w:rsidR="008A6D6D" w:rsidRPr="004662EE" w:rsidRDefault="008A6D6D" w:rsidP="00162D6E">
            <w:pPr>
              <w:spacing w:line="360" w:lineRule="auto"/>
              <w:jc w:val="both"/>
              <w:rPr>
                <w:rFonts w:ascii="Arial" w:hAnsi="Arial" w:cs="Arial"/>
                <w:color w:val="000000"/>
                <w:sz w:val="18"/>
                <w:szCs w:val="18"/>
              </w:rPr>
            </w:pPr>
            <w:r w:rsidRPr="004662EE">
              <w:rPr>
                <w:rFonts w:ascii="Arial" w:hAnsi="Arial" w:cs="Arial"/>
                <w:color w:val="000000"/>
                <w:sz w:val="18"/>
                <w:szCs w:val="18"/>
              </w:rPr>
              <w:t>5.9%</w:t>
            </w:r>
          </w:p>
        </w:tc>
        <w:tc>
          <w:tcPr>
            <w:tcW w:w="746" w:type="dxa"/>
            <w:tcBorders>
              <w:top w:val="nil"/>
              <w:left w:val="nil"/>
              <w:bottom w:val="single" w:sz="4" w:space="0" w:color="auto"/>
              <w:right w:val="nil"/>
            </w:tcBorders>
            <w:shd w:val="clear" w:color="auto" w:fill="auto"/>
            <w:noWrap/>
            <w:vAlign w:val="bottom"/>
            <w:hideMark/>
          </w:tcPr>
          <w:p w14:paraId="526538D8" w14:textId="77777777" w:rsidR="008A6D6D" w:rsidRPr="004662EE" w:rsidRDefault="008A6D6D" w:rsidP="00162D6E">
            <w:pPr>
              <w:spacing w:line="360" w:lineRule="auto"/>
              <w:jc w:val="both"/>
              <w:rPr>
                <w:rFonts w:ascii="Arial" w:hAnsi="Arial" w:cs="Arial"/>
                <w:color w:val="000000"/>
                <w:sz w:val="18"/>
                <w:szCs w:val="18"/>
              </w:rPr>
            </w:pPr>
            <w:r w:rsidRPr="004662EE">
              <w:rPr>
                <w:rFonts w:ascii="Arial" w:hAnsi="Arial" w:cs="Arial"/>
                <w:color w:val="000000"/>
                <w:sz w:val="18"/>
                <w:szCs w:val="18"/>
              </w:rPr>
              <w:t>5.7%</w:t>
            </w:r>
          </w:p>
        </w:tc>
        <w:tc>
          <w:tcPr>
            <w:tcW w:w="746" w:type="dxa"/>
            <w:tcBorders>
              <w:top w:val="nil"/>
              <w:left w:val="nil"/>
              <w:bottom w:val="single" w:sz="4" w:space="0" w:color="auto"/>
              <w:right w:val="nil"/>
            </w:tcBorders>
            <w:shd w:val="clear" w:color="auto" w:fill="auto"/>
            <w:noWrap/>
            <w:vAlign w:val="bottom"/>
            <w:hideMark/>
          </w:tcPr>
          <w:p w14:paraId="1042855F" w14:textId="77777777" w:rsidR="008A6D6D" w:rsidRPr="004662EE" w:rsidRDefault="008A6D6D" w:rsidP="00162D6E">
            <w:pPr>
              <w:spacing w:line="360" w:lineRule="auto"/>
              <w:jc w:val="both"/>
              <w:rPr>
                <w:rFonts w:ascii="Arial" w:hAnsi="Arial" w:cs="Arial"/>
                <w:color w:val="000000"/>
                <w:sz w:val="18"/>
                <w:szCs w:val="18"/>
              </w:rPr>
            </w:pPr>
            <w:r w:rsidRPr="004662EE">
              <w:rPr>
                <w:rFonts w:ascii="Arial" w:hAnsi="Arial" w:cs="Arial"/>
                <w:color w:val="000000"/>
                <w:sz w:val="18"/>
                <w:szCs w:val="18"/>
              </w:rPr>
              <w:t>5.5%</w:t>
            </w:r>
          </w:p>
        </w:tc>
        <w:tc>
          <w:tcPr>
            <w:tcW w:w="746" w:type="dxa"/>
            <w:tcBorders>
              <w:top w:val="nil"/>
              <w:left w:val="nil"/>
              <w:bottom w:val="single" w:sz="4" w:space="0" w:color="auto"/>
              <w:right w:val="single" w:sz="4" w:space="0" w:color="auto"/>
            </w:tcBorders>
            <w:shd w:val="clear" w:color="auto" w:fill="auto"/>
            <w:noWrap/>
            <w:vAlign w:val="bottom"/>
            <w:hideMark/>
          </w:tcPr>
          <w:p w14:paraId="63034B40" w14:textId="77777777" w:rsidR="008A6D6D" w:rsidRPr="004662EE" w:rsidRDefault="008A6D6D" w:rsidP="00162D6E">
            <w:pPr>
              <w:spacing w:line="360" w:lineRule="auto"/>
              <w:jc w:val="both"/>
              <w:rPr>
                <w:rFonts w:ascii="Arial" w:hAnsi="Arial" w:cs="Arial"/>
                <w:color w:val="000000"/>
                <w:sz w:val="18"/>
                <w:szCs w:val="18"/>
              </w:rPr>
            </w:pPr>
            <w:r w:rsidRPr="004662EE">
              <w:rPr>
                <w:rFonts w:ascii="Arial" w:hAnsi="Arial" w:cs="Arial"/>
                <w:color w:val="000000"/>
                <w:sz w:val="18"/>
                <w:szCs w:val="18"/>
              </w:rPr>
              <w:t>4.8%</w:t>
            </w:r>
          </w:p>
        </w:tc>
      </w:tr>
    </w:tbl>
    <w:p w14:paraId="27C43E64" w14:textId="2D98CDD5" w:rsidR="008A6D6D" w:rsidRPr="00E34476" w:rsidRDefault="008A6D6D" w:rsidP="000D5456">
      <w:pPr>
        <w:pStyle w:val="Heading3"/>
        <w:tabs>
          <w:tab w:val="clear" w:pos="1844"/>
          <w:tab w:val="num" w:pos="709"/>
        </w:tabs>
        <w:ind w:left="709"/>
      </w:pPr>
      <w:bookmarkStart w:id="61" w:name="_Toc394079427"/>
      <w:bookmarkStart w:id="62" w:name="_Toc394079805"/>
      <w:bookmarkStart w:id="63" w:name="_Toc394080297"/>
      <w:bookmarkStart w:id="64" w:name="_Toc394580131"/>
      <w:r>
        <w:t>R</w:t>
      </w:r>
      <w:r w:rsidRPr="00E34476">
        <w:t xml:space="preserve">ates &amp; </w:t>
      </w:r>
      <w:r>
        <w:t>A</w:t>
      </w:r>
      <w:r w:rsidRPr="00E34476">
        <w:t xml:space="preserve">nnual </w:t>
      </w:r>
      <w:r>
        <w:t>C</w:t>
      </w:r>
      <w:r w:rsidRPr="00E34476">
        <w:t xml:space="preserve">harges </w:t>
      </w:r>
      <w:r>
        <w:t>C</w:t>
      </w:r>
      <w:r w:rsidRPr="00E34476">
        <w:t xml:space="preserve">overage </w:t>
      </w:r>
      <w:r>
        <w:t>R</w:t>
      </w:r>
      <w:r w:rsidRPr="00E34476">
        <w:t>atio</w:t>
      </w:r>
      <w:bookmarkEnd w:id="61"/>
      <w:bookmarkEnd w:id="62"/>
      <w:bookmarkEnd w:id="63"/>
      <w:bookmarkEnd w:id="64"/>
    </w:p>
    <w:p w14:paraId="2E9A5700" w14:textId="77777777" w:rsidR="008A6D6D" w:rsidRPr="008022C5" w:rsidRDefault="008A6D6D" w:rsidP="00C4015C">
      <w:pPr>
        <w:spacing w:before="120" w:after="60" w:line="276" w:lineRule="auto"/>
        <w:jc w:val="both"/>
        <w:rPr>
          <w:rFonts w:ascii="Arial" w:hAnsi="Arial" w:cs="Arial"/>
          <w:i/>
          <w:sz w:val="20"/>
          <w:szCs w:val="20"/>
        </w:rPr>
      </w:pPr>
      <w:r w:rsidRPr="008022C5">
        <w:rPr>
          <w:rFonts w:ascii="Arial" w:hAnsi="Arial" w:cs="Arial"/>
          <w:i/>
          <w:sz w:val="20"/>
          <w:szCs w:val="20"/>
        </w:rPr>
        <w:t xml:space="preserve">Proposed special </w:t>
      </w:r>
      <w:r>
        <w:rPr>
          <w:rFonts w:ascii="Arial" w:hAnsi="Arial" w:cs="Arial"/>
          <w:i/>
          <w:sz w:val="20"/>
          <w:szCs w:val="20"/>
        </w:rPr>
        <w:t>v</w:t>
      </w:r>
      <w:r w:rsidRPr="008022C5">
        <w:rPr>
          <w:rFonts w:ascii="Arial" w:hAnsi="Arial" w:cs="Arial"/>
          <w:i/>
          <w:sz w:val="20"/>
          <w:szCs w:val="20"/>
        </w:rPr>
        <w:t>ariation</w:t>
      </w:r>
      <w:r>
        <w:rPr>
          <w:rFonts w:ascii="Arial" w:hAnsi="Arial" w:cs="Arial"/>
          <w:i/>
          <w:sz w:val="20"/>
          <w:szCs w:val="20"/>
        </w:rPr>
        <w:t xml:space="preserve"> (Scenario 1)</w:t>
      </w:r>
    </w:p>
    <w:p w14:paraId="72085837" w14:textId="77777777" w:rsidR="008A6D6D" w:rsidRPr="00E34476" w:rsidRDefault="008A6D6D" w:rsidP="00C4015C">
      <w:pPr>
        <w:spacing w:after="60" w:line="276" w:lineRule="auto"/>
        <w:jc w:val="both"/>
        <w:rPr>
          <w:rFonts w:ascii="Arial" w:hAnsi="Arial" w:cs="Arial"/>
          <w:sz w:val="20"/>
          <w:szCs w:val="20"/>
        </w:rPr>
      </w:pPr>
      <w:r w:rsidRPr="00BF6931">
        <w:rPr>
          <w:rFonts w:ascii="Arial" w:hAnsi="Arial" w:cs="Arial"/>
          <w:sz w:val="20"/>
          <w:szCs w:val="20"/>
        </w:rPr>
        <w:t>Under the proposed special variation</w:t>
      </w:r>
      <w:r>
        <w:rPr>
          <w:rFonts w:ascii="Arial" w:hAnsi="Arial" w:cs="Arial"/>
          <w:sz w:val="20"/>
          <w:szCs w:val="20"/>
        </w:rPr>
        <w:t>,</w:t>
      </w:r>
      <w:r w:rsidRPr="00E34476">
        <w:rPr>
          <w:rFonts w:ascii="Arial" w:hAnsi="Arial" w:cs="Arial"/>
          <w:sz w:val="20"/>
          <w:szCs w:val="20"/>
        </w:rPr>
        <w:t xml:space="preserve"> </w:t>
      </w:r>
      <w:r>
        <w:rPr>
          <w:rFonts w:ascii="Arial" w:hAnsi="Arial" w:cs="Arial"/>
          <w:sz w:val="20"/>
          <w:szCs w:val="20"/>
        </w:rPr>
        <w:t xml:space="preserve">the </w:t>
      </w:r>
      <w:r w:rsidRPr="00E34476">
        <w:rPr>
          <w:rFonts w:ascii="Arial" w:hAnsi="Arial" w:cs="Arial"/>
          <w:sz w:val="20"/>
          <w:szCs w:val="20"/>
        </w:rPr>
        <w:t xml:space="preserve">Council’s </w:t>
      </w:r>
      <w:r>
        <w:rPr>
          <w:rFonts w:ascii="Arial" w:hAnsi="Arial" w:cs="Arial"/>
          <w:sz w:val="20"/>
          <w:szCs w:val="20"/>
        </w:rPr>
        <w:t>Rates and Annual Charges Coverage Ratio is projected to improve from 60.6% to a ratio of 68.8% b</w:t>
      </w:r>
      <w:r w:rsidRPr="00E34476">
        <w:rPr>
          <w:rFonts w:ascii="Arial" w:hAnsi="Arial" w:cs="Arial"/>
          <w:sz w:val="20"/>
          <w:szCs w:val="20"/>
        </w:rPr>
        <w:t>y 2023</w:t>
      </w:r>
      <w:r>
        <w:rPr>
          <w:rFonts w:ascii="Arial" w:hAnsi="Arial" w:cs="Arial"/>
          <w:sz w:val="20"/>
          <w:szCs w:val="20"/>
        </w:rPr>
        <w:t>/</w:t>
      </w:r>
      <w:r w:rsidRPr="00E34476">
        <w:rPr>
          <w:rFonts w:ascii="Arial" w:hAnsi="Arial" w:cs="Arial"/>
          <w:sz w:val="20"/>
          <w:szCs w:val="20"/>
        </w:rPr>
        <w:t>24</w:t>
      </w:r>
      <w:r>
        <w:rPr>
          <w:rFonts w:ascii="Arial" w:hAnsi="Arial" w:cs="Arial"/>
          <w:sz w:val="20"/>
          <w:szCs w:val="20"/>
        </w:rPr>
        <w:t>.  The ratio progressively increases from 2015/16 to 2018/19 as a consequence of the staged special rate variation increases and then plateau’s when rate revenue is then only indexed by the rate peg. This ratio is a positive indicator of the Council improved financial</w:t>
      </w:r>
      <w:r w:rsidRPr="00E34476">
        <w:rPr>
          <w:rFonts w:ascii="Arial" w:hAnsi="Arial" w:cs="Arial"/>
          <w:sz w:val="20"/>
          <w:szCs w:val="20"/>
        </w:rPr>
        <w:t xml:space="preserve"> sustainab</w:t>
      </w:r>
      <w:r>
        <w:rPr>
          <w:rFonts w:ascii="Arial" w:hAnsi="Arial" w:cs="Arial"/>
          <w:sz w:val="20"/>
          <w:szCs w:val="20"/>
        </w:rPr>
        <w:t>ility.</w:t>
      </w:r>
    </w:p>
    <w:p w14:paraId="6F120272" w14:textId="77777777" w:rsidR="008A6D6D" w:rsidRDefault="008A6D6D" w:rsidP="00C4015C">
      <w:pPr>
        <w:spacing w:after="60" w:line="276" w:lineRule="auto"/>
        <w:jc w:val="both"/>
        <w:rPr>
          <w:rFonts w:ascii="Arial" w:hAnsi="Arial" w:cs="Arial"/>
          <w:sz w:val="20"/>
          <w:szCs w:val="20"/>
        </w:rPr>
      </w:pPr>
      <w:r>
        <w:rPr>
          <w:rFonts w:ascii="Arial" w:hAnsi="Arial" w:cs="Arial"/>
          <w:sz w:val="20"/>
          <w:szCs w:val="20"/>
        </w:rPr>
        <w:t>The increasing ratio is the result of an adopted</w:t>
      </w:r>
      <w:r w:rsidRPr="00B63460">
        <w:rPr>
          <w:rFonts w:ascii="Arial" w:hAnsi="Arial" w:cs="Arial"/>
          <w:sz w:val="20"/>
          <w:szCs w:val="20"/>
        </w:rPr>
        <w:t xml:space="preserve"> action within the Council’s Six </w:t>
      </w:r>
      <w:r>
        <w:rPr>
          <w:rFonts w:ascii="Arial" w:hAnsi="Arial" w:cs="Arial"/>
          <w:sz w:val="20"/>
          <w:szCs w:val="20"/>
        </w:rPr>
        <w:t xml:space="preserve">Point </w:t>
      </w:r>
      <w:r w:rsidRPr="00B63460">
        <w:rPr>
          <w:rFonts w:ascii="Arial" w:hAnsi="Arial" w:cs="Arial"/>
          <w:sz w:val="20"/>
          <w:szCs w:val="20"/>
        </w:rPr>
        <w:t xml:space="preserve">Strategies for Financial Sustainability – </w:t>
      </w:r>
      <w:r w:rsidRPr="00B63460">
        <w:rPr>
          <w:rFonts w:ascii="Arial" w:hAnsi="Arial" w:cs="Arial"/>
          <w:i/>
          <w:sz w:val="20"/>
          <w:szCs w:val="20"/>
        </w:rPr>
        <w:t>Strategy 4 – Increase Income,</w:t>
      </w:r>
      <w:r w:rsidRPr="00B63460">
        <w:rPr>
          <w:rFonts w:ascii="Arial" w:hAnsi="Arial" w:cs="Arial"/>
          <w:sz w:val="20"/>
          <w:szCs w:val="20"/>
        </w:rPr>
        <w:t xml:space="preserve"> </w:t>
      </w:r>
      <w:r>
        <w:rPr>
          <w:rFonts w:ascii="Arial" w:hAnsi="Arial" w:cs="Arial"/>
          <w:sz w:val="20"/>
          <w:szCs w:val="20"/>
        </w:rPr>
        <w:t>and the increase in rates revenue i</w:t>
      </w:r>
      <w:r w:rsidRPr="00B63460">
        <w:rPr>
          <w:rFonts w:ascii="Arial" w:hAnsi="Arial" w:cs="Arial"/>
          <w:sz w:val="20"/>
          <w:szCs w:val="20"/>
        </w:rPr>
        <w:t>s one of the most fundamental el</w:t>
      </w:r>
      <w:r>
        <w:rPr>
          <w:rFonts w:ascii="Arial" w:hAnsi="Arial" w:cs="Arial"/>
          <w:sz w:val="20"/>
          <w:szCs w:val="20"/>
        </w:rPr>
        <w:t>ements of the Council’s LTFP</w:t>
      </w:r>
      <w:r w:rsidRPr="00B63460">
        <w:rPr>
          <w:rFonts w:ascii="Arial" w:hAnsi="Arial" w:cs="Arial"/>
          <w:sz w:val="20"/>
          <w:szCs w:val="20"/>
        </w:rPr>
        <w:t xml:space="preserve"> to be sustainable into the future.</w:t>
      </w:r>
    </w:p>
    <w:p w14:paraId="20F4CE58" w14:textId="77777777" w:rsidR="008A6D6D" w:rsidRDefault="008A6D6D" w:rsidP="00C4015C">
      <w:pPr>
        <w:spacing w:after="60" w:line="276" w:lineRule="auto"/>
        <w:jc w:val="both"/>
        <w:rPr>
          <w:rFonts w:ascii="Arial" w:hAnsi="Arial" w:cs="Arial"/>
          <w:sz w:val="20"/>
          <w:szCs w:val="20"/>
        </w:rPr>
      </w:pPr>
    </w:p>
    <w:p w14:paraId="6A9CD444" w14:textId="77777777" w:rsidR="008A6D6D" w:rsidRPr="00B63460" w:rsidRDefault="008A6D6D" w:rsidP="00C4015C">
      <w:pPr>
        <w:spacing w:after="60" w:line="276" w:lineRule="auto"/>
        <w:jc w:val="both"/>
        <w:rPr>
          <w:rFonts w:ascii="Arial" w:hAnsi="Arial" w:cs="Arial"/>
          <w:sz w:val="20"/>
          <w:szCs w:val="20"/>
        </w:rPr>
      </w:pPr>
      <w:r>
        <w:rPr>
          <w:rFonts w:ascii="Arial" w:hAnsi="Arial" w:cs="Arial"/>
          <w:sz w:val="20"/>
          <w:szCs w:val="20"/>
        </w:rPr>
        <w:t>Significantly, t</w:t>
      </w:r>
      <w:r w:rsidRPr="00B63460">
        <w:rPr>
          <w:rFonts w:ascii="Arial" w:hAnsi="Arial" w:cs="Arial"/>
          <w:sz w:val="20"/>
          <w:szCs w:val="20"/>
        </w:rPr>
        <w:t xml:space="preserve">he proposed </w:t>
      </w:r>
      <w:r>
        <w:rPr>
          <w:rFonts w:ascii="Arial" w:hAnsi="Arial" w:cs="Arial"/>
          <w:sz w:val="20"/>
          <w:szCs w:val="20"/>
        </w:rPr>
        <w:t>s</w:t>
      </w:r>
      <w:r w:rsidRPr="00B63460">
        <w:rPr>
          <w:rFonts w:ascii="Arial" w:hAnsi="Arial" w:cs="Arial"/>
          <w:sz w:val="20"/>
          <w:szCs w:val="20"/>
        </w:rPr>
        <w:t xml:space="preserve">pecial </w:t>
      </w:r>
      <w:r>
        <w:rPr>
          <w:rFonts w:ascii="Arial" w:hAnsi="Arial" w:cs="Arial"/>
          <w:sz w:val="20"/>
          <w:szCs w:val="20"/>
        </w:rPr>
        <w:t>v</w:t>
      </w:r>
      <w:r w:rsidRPr="00B63460">
        <w:rPr>
          <w:rFonts w:ascii="Arial" w:hAnsi="Arial" w:cs="Arial"/>
          <w:sz w:val="20"/>
          <w:szCs w:val="20"/>
        </w:rPr>
        <w:t xml:space="preserve">ariation generates a significant, reliable and much needed revenue source to cover the funding requirements of Council’s built infrastructure and maintains and improves Council services at a level supported by the community. </w:t>
      </w:r>
      <w:r w:rsidRPr="00E34476">
        <w:rPr>
          <w:rFonts w:ascii="Arial" w:hAnsi="Arial" w:cs="Arial"/>
          <w:sz w:val="20"/>
          <w:szCs w:val="20"/>
        </w:rPr>
        <w:t>As rates and annual charges provide over half of the Council’s revenue, the Council will have a high degree of certainty that this source of funding will be maintained over the next 10 years.</w:t>
      </w:r>
    </w:p>
    <w:p w14:paraId="1D882DCA" w14:textId="77777777" w:rsidR="008A6D6D" w:rsidRPr="00B63460" w:rsidRDefault="008A6D6D" w:rsidP="00C4015C">
      <w:pPr>
        <w:spacing w:line="276" w:lineRule="auto"/>
        <w:jc w:val="both"/>
        <w:rPr>
          <w:rFonts w:ascii="Arial" w:hAnsi="Arial" w:cs="Arial"/>
          <w:sz w:val="20"/>
          <w:szCs w:val="20"/>
        </w:rPr>
      </w:pPr>
    </w:p>
    <w:p w14:paraId="0C51663E" w14:textId="77777777" w:rsidR="008A6D6D" w:rsidRDefault="008A6D6D" w:rsidP="00C4015C">
      <w:pPr>
        <w:spacing w:after="60" w:line="276" w:lineRule="auto"/>
        <w:jc w:val="both"/>
        <w:rPr>
          <w:rFonts w:ascii="Arial" w:hAnsi="Arial" w:cs="Arial"/>
          <w:sz w:val="20"/>
          <w:szCs w:val="20"/>
        </w:rPr>
      </w:pPr>
      <w:r>
        <w:rPr>
          <w:rFonts w:ascii="Arial" w:hAnsi="Arial" w:cs="Arial"/>
          <w:sz w:val="20"/>
          <w:szCs w:val="20"/>
        </w:rPr>
        <w:t>The improved ratio</w:t>
      </w:r>
      <w:r w:rsidRPr="00B63460">
        <w:rPr>
          <w:rFonts w:ascii="Arial" w:hAnsi="Arial" w:cs="Arial"/>
          <w:sz w:val="20"/>
          <w:szCs w:val="20"/>
        </w:rPr>
        <w:t xml:space="preserve"> enables the Council to achieve a financially responsible surplus Operating Balance by 2018/19 and maintain that position within the benchmark over the longer term, without having to introduce substantial or disruptive service adjustments, as well enabling the Council to achieve each of its long-term financial goals. The </w:t>
      </w:r>
      <w:r>
        <w:rPr>
          <w:rFonts w:ascii="Arial" w:hAnsi="Arial" w:cs="Arial"/>
          <w:sz w:val="20"/>
          <w:szCs w:val="20"/>
        </w:rPr>
        <w:t>additional rates</w:t>
      </w:r>
      <w:r w:rsidRPr="00B63460">
        <w:rPr>
          <w:rFonts w:ascii="Arial" w:hAnsi="Arial" w:cs="Arial"/>
          <w:sz w:val="20"/>
          <w:szCs w:val="20"/>
        </w:rPr>
        <w:t xml:space="preserve"> revenue will be targeted in smart ways towards initiatives that will reduce long term operational costs and asset whole of lifecycle costs.  </w:t>
      </w:r>
    </w:p>
    <w:p w14:paraId="29CC136B" w14:textId="77777777" w:rsidR="008A6D6D" w:rsidRDefault="008A6D6D" w:rsidP="00C4015C">
      <w:pPr>
        <w:spacing w:after="60" w:line="276" w:lineRule="auto"/>
        <w:jc w:val="both"/>
        <w:rPr>
          <w:rFonts w:ascii="Arial" w:hAnsi="Arial" w:cs="Arial"/>
          <w:b/>
          <w:sz w:val="20"/>
          <w:szCs w:val="20"/>
        </w:rPr>
      </w:pPr>
    </w:p>
    <w:p w14:paraId="1511C0DF" w14:textId="77777777" w:rsidR="008A6D6D" w:rsidRPr="00975B76" w:rsidRDefault="008A6D6D" w:rsidP="00C4015C">
      <w:pPr>
        <w:spacing w:after="60" w:line="276" w:lineRule="auto"/>
        <w:jc w:val="both"/>
        <w:rPr>
          <w:rFonts w:ascii="Arial" w:hAnsi="Arial" w:cs="Arial"/>
          <w:i/>
          <w:sz w:val="20"/>
          <w:szCs w:val="20"/>
        </w:rPr>
      </w:pPr>
      <w:r w:rsidRPr="00975B76">
        <w:rPr>
          <w:rFonts w:ascii="Arial" w:hAnsi="Arial" w:cs="Arial"/>
          <w:i/>
          <w:sz w:val="20"/>
          <w:szCs w:val="20"/>
        </w:rPr>
        <w:t>No special variation</w:t>
      </w:r>
      <w:r>
        <w:rPr>
          <w:rFonts w:ascii="Arial" w:hAnsi="Arial" w:cs="Arial"/>
          <w:i/>
          <w:sz w:val="20"/>
          <w:szCs w:val="20"/>
        </w:rPr>
        <w:t xml:space="preserve"> (Scenario 3)</w:t>
      </w:r>
    </w:p>
    <w:p w14:paraId="6520EC0C" w14:textId="16214937" w:rsidR="008A6D6D" w:rsidRDefault="00A61A70" w:rsidP="00C4015C">
      <w:pPr>
        <w:spacing w:after="60" w:line="276" w:lineRule="auto"/>
        <w:jc w:val="both"/>
        <w:rPr>
          <w:rFonts w:ascii="Arial" w:hAnsi="Arial" w:cs="Arial"/>
          <w:sz w:val="20"/>
          <w:szCs w:val="20"/>
        </w:rPr>
      </w:pPr>
      <w:r>
        <w:rPr>
          <w:rFonts w:ascii="Arial" w:hAnsi="Arial" w:cs="Arial"/>
          <w:sz w:val="20"/>
          <w:szCs w:val="20"/>
        </w:rPr>
        <w:t>Under the n</w:t>
      </w:r>
      <w:r w:rsidR="008A6D6D">
        <w:rPr>
          <w:rFonts w:ascii="Arial" w:hAnsi="Arial" w:cs="Arial"/>
          <w:sz w:val="20"/>
          <w:szCs w:val="20"/>
        </w:rPr>
        <w:t>o special variation</w:t>
      </w:r>
      <w:r>
        <w:rPr>
          <w:rFonts w:ascii="Arial" w:hAnsi="Arial" w:cs="Arial"/>
          <w:sz w:val="20"/>
          <w:szCs w:val="20"/>
        </w:rPr>
        <w:t xml:space="preserve"> scenario</w:t>
      </w:r>
      <w:r w:rsidR="008A6D6D">
        <w:rPr>
          <w:rFonts w:ascii="Arial" w:hAnsi="Arial" w:cs="Arial"/>
          <w:sz w:val="20"/>
          <w:szCs w:val="20"/>
        </w:rPr>
        <w:t>, t</w:t>
      </w:r>
      <w:r w:rsidR="008A6D6D" w:rsidRPr="00E34476">
        <w:rPr>
          <w:rFonts w:ascii="Arial" w:hAnsi="Arial" w:cs="Arial"/>
          <w:sz w:val="20"/>
          <w:szCs w:val="20"/>
        </w:rPr>
        <w:t>he Council</w:t>
      </w:r>
      <w:r w:rsidR="008A6D6D">
        <w:rPr>
          <w:rFonts w:ascii="Arial" w:hAnsi="Arial" w:cs="Arial"/>
          <w:sz w:val="20"/>
          <w:szCs w:val="20"/>
        </w:rPr>
        <w:t>’s</w:t>
      </w:r>
      <w:r w:rsidR="008A6D6D" w:rsidRPr="00E34476">
        <w:rPr>
          <w:rFonts w:ascii="Arial" w:hAnsi="Arial" w:cs="Arial"/>
          <w:sz w:val="20"/>
          <w:szCs w:val="20"/>
        </w:rPr>
        <w:t xml:space="preserve"> projected </w:t>
      </w:r>
      <w:r w:rsidR="008A6D6D">
        <w:rPr>
          <w:rFonts w:ascii="Arial" w:hAnsi="Arial" w:cs="Arial"/>
          <w:sz w:val="20"/>
          <w:szCs w:val="20"/>
        </w:rPr>
        <w:t>Rates and Annual Charges Coverage Ratio is projected to increase from 60.6% to a ratio of 64.9% b</w:t>
      </w:r>
      <w:r w:rsidR="008A6D6D" w:rsidRPr="00E34476">
        <w:rPr>
          <w:rFonts w:ascii="Arial" w:hAnsi="Arial" w:cs="Arial"/>
          <w:sz w:val="20"/>
          <w:szCs w:val="20"/>
        </w:rPr>
        <w:t>y 2023</w:t>
      </w:r>
      <w:r w:rsidR="008A6D6D">
        <w:rPr>
          <w:rFonts w:ascii="Arial" w:hAnsi="Arial" w:cs="Arial"/>
          <w:sz w:val="20"/>
          <w:szCs w:val="20"/>
        </w:rPr>
        <w:t>/</w:t>
      </w:r>
      <w:r w:rsidR="008A6D6D" w:rsidRPr="00E34476">
        <w:rPr>
          <w:rFonts w:ascii="Arial" w:hAnsi="Arial" w:cs="Arial"/>
          <w:sz w:val="20"/>
          <w:szCs w:val="20"/>
        </w:rPr>
        <w:t>24</w:t>
      </w:r>
      <w:r w:rsidR="008A6D6D">
        <w:rPr>
          <w:rFonts w:ascii="Arial" w:hAnsi="Arial" w:cs="Arial"/>
          <w:sz w:val="20"/>
          <w:szCs w:val="20"/>
        </w:rPr>
        <w:t>.</w:t>
      </w:r>
      <w:r>
        <w:rPr>
          <w:rFonts w:ascii="Arial" w:hAnsi="Arial" w:cs="Arial"/>
          <w:sz w:val="20"/>
          <w:szCs w:val="20"/>
        </w:rPr>
        <w:t xml:space="preserve">  The ratio effectively plateau</w:t>
      </w:r>
      <w:r w:rsidR="008A6D6D">
        <w:rPr>
          <w:rFonts w:ascii="Arial" w:hAnsi="Arial" w:cs="Arial"/>
          <w:sz w:val="20"/>
          <w:szCs w:val="20"/>
        </w:rPr>
        <w:t xml:space="preserve">s for the 10 years of the LTFP as rate revenue is only indexed by the rate peg, assumed at 3%. </w:t>
      </w:r>
    </w:p>
    <w:p w14:paraId="3B0C7BAD" w14:textId="77777777" w:rsidR="008A6D6D" w:rsidRDefault="008A6D6D" w:rsidP="00C4015C">
      <w:pPr>
        <w:spacing w:after="60" w:line="276" w:lineRule="auto"/>
        <w:jc w:val="both"/>
        <w:rPr>
          <w:rFonts w:ascii="Arial" w:hAnsi="Arial" w:cs="Arial"/>
          <w:sz w:val="20"/>
          <w:szCs w:val="20"/>
        </w:rPr>
      </w:pPr>
    </w:p>
    <w:p w14:paraId="68F1643A" w14:textId="5FB184E6" w:rsidR="00A61A70" w:rsidRDefault="008A6D6D" w:rsidP="00C4015C">
      <w:pPr>
        <w:spacing w:after="60" w:line="276" w:lineRule="auto"/>
        <w:jc w:val="both"/>
        <w:rPr>
          <w:rFonts w:ascii="Arial" w:hAnsi="Arial" w:cs="Arial"/>
          <w:sz w:val="20"/>
          <w:szCs w:val="20"/>
        </w:rPr>
      </w:pPr>
      <w:r>
        <w:rPr>
          <w:rFonts w:ascii="Arial" w:hAnsi="Arial" w:cs="Arial"/>
          <w:sz w:val="20"/>
          <w:szCs w:val="20"/>
        </w:rPr>
        <w:t xml:space="preserve">A ratio greater than 40% is deemed sustainable by the OLG, however in the context of Blue Mountains City Council’s unique financial burdens it is considered an appropriate strategy for the Council to target a ratio of around 69% and indeed this has been supported by a majority of residents in the Council’s Resourcing Our Future engagement.   </w:t>
      </w:r>
    </w:p>
    <w:p w14:paraId="38444C10" w14:textId="67B3E4F9" w:rsidR="00A61A70" w:rsidRDefault="00A61A70" w:rsidP="00C4015C">
      <w:pPr>
        <w:spacing w:line="276" w:lineRule="auto"/>
        <w:rPr>
          <w:rFonts w:ascii="Arial" w:hAnsi="Arial" w:cs="Arial"/>
          <w:sz w:val="20"/>
          <w:szCs w:val="20"/>
        </w:rPr>
      </w:pPr>
    </w:p>
    <w:p w14:paraId="467108CB" w14:textId="39F75490" w:rsidR="008A6D6D" w:rsidRPr="00F55699" w:rsidRDefault="00FA0E8D" w:rsidP="00385677">
      <w:pPr>
        <w:keepNext/>
        <w:tabs>
          <w:tab w:val="left" w:pos="7665"/>
        </w:tabs>
        <w:jc w:val="both"/>
        <w:rPr>
          <w:rFonts w:ascii="Arial" w:hAnsi="Arial" w:cs="Arial"/>
          <w:b/>
          <w:sz w:val="18"/>
          <w:szCs w:val="18"/>
        </w:rPr>
      </w:pPr>
      <w:r w:rsidRPr="00F55699">
        <w:rPr>
          <w:rFonts w:ascii="Arial" w:hAnsi="Arial" w:cs="Arial"/>
          <w:b/>
          <w:sz w:val="18"/>
          <w:szCs w:val="18"/>
        </w:rPr>
        <w:t>Figure 3.15</w:t>
      </w:r>
      <w:r w:rsidR="008A6D6D" w:rsidRPr="00F55699">
        <w:rPr>
          <w:rFonts w:ascii="Arial" w:hAnsi="Arial" w:cs="Arial"/>
          <w:b/>
          <w:sz w:val="18"/>
          <w:szCs w:val="18"/>
        </w:rPr>
        <w:t xml:space="preserve"> </w:t>
      </w:r>
      <w:r w:rsidR="00385677">
        <w:rPr>
          <w:rFonts w:ascii="Arial" w:hAnsi="Arial" w:cs="Arial"/>
          <w:b/>
          <w:sz w:val="18"/>
          <w:szCs w:val="18"/>
        </w:rPr>
        <w:t xml:space="preserve">Financial scenarios 1 and 3 - </w:t>
      </w:r>
      <w:r w:rsidR="008A6D6D" w:rsidRPr="00F55699">
        <w:rPr>
          <w:rFonts w:ascii="Arial" w:hAnsi="Arial" w:cs="Arial"/>
          <w:b/>
          <w:sz w:val="18"/>
          <w:szCs w:val="18"/>
        </w:rPr>
        <w:t xml:space="preserve">10-year projection of the rates and annual charges </w:t>
      </w:r>
      <w:r w:rsidR="00385677">
        <w:rPr>
          <w:rFonts w:ascii="Arial" w:hAnsi="Arial" w:cs="Arial"/>
          <w:b/>
          <w:sz w:val="18"/>
          <w:szCs w:val="18"/>
        </w:rPr>
        <w:t>c</w:t>
      </w:r>
      <w:r w:rsidR="008A6D6D" w:rsidRPr="00F55699">
        <w:rPr>
          <w:rFonts w:ascii="Arial" w:hAnsi="Arial" w:cs="Arial"/>
          <w:b/>
          <w:sz w:val="18"/>
          <w:szCs w:val="18"/>
        </w:rPr>
        <w:t>overage ratio</w:t>
      </w:r>
      <w:r w:rsidR="00631EA1" w:rsidRPr="00F55699">
        <w:rPr>
          <w:rFonts w:ascii="Arial" w:hAnsi="Arial" w:cs="Arial"/>
          <w:b/>
          <w:sz w:val="18"/>
          <w:szCs w:val="18"/>
        </w:rPr>
        <w:tab/>
      </w:r>
    </w:p>
    <w:p w14:paraId="796B2E68" w14:textId="77777777" w:rsidR="008A6D6D" w:rsidRPr="00E34476" w:rsidRDefault="008A6D6D" w:rsidP="008A6D6D">
      <w:pPr>
        <w:spacing w:line="360" w:lineRule="auto"/>
        <w:jc w:val="both"/>
        <w:rPr>
          <w:rFonts w:ascii="Arial" w:hAnsi="Arial" w:cs="Arial"/>
          <w:sz w:val="20"/>
          <w:szCs w:val="20"/>
        </w:rPr>
      </w:pPr>
      <w:r w:rsidRPr="00E34476">
        <w:rPr>
          <w:rFonts w:ascii="Arial" w:hAnsi="Arial" w:cs="Arial"/>
          <w:noProof/>
          <w:sz w:val="20"/>
          <w:szCs w:val="20"/>
        </w:rPr>
        <w:drawing>
          <wp:anchor distT="0" distB="0" distL="114300" distR="114300" simplePos="0" relativeHeight="251828224" behindDoc="0" locked="0" layoutInCell="1" allowOverlap="1" wp14:anchorId="2D191243" wp14:editId="35DE6F61">
            <wp:simplePos x="0" y="0"/>
            <wp:positionH relativeFrom="column">
              <wp:posOffset>-3810</wp:posOffset>
            </wp:positionH>
            <wp:positionV relativeFrom="paragraph">
              <wp:posOffset>12065</wp:posOffset>
            </wp:positionV>
            <wp:extent cx="5534025" cy="3095625"/>
            <wp:effectExtent l="0" t="0" r="9525" b="9525"/>
            <wp:wrapNone/>
            <wp:docPr id="2097" name="Chart 209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page">
              <wp14:pctWidth>0</wp14:pctWidth>
            </wp14:sizeRelH>
            <wp14:sizeRelV relativeFrom="page">
              <wp14:pctHeight>0</wp14:pctHeight>
            </wp14:sizeRelV>
          </wp:anchor>
        </w:drawing>
      </w:r>
    </w:p>
    <w:p w14:paraId="1FE043BE" w14:textId="77777777" w:rsidR="008A6D6D" w:rsidRPr="00E34476" w:rsidRDefault="008A6D6D" w:rsidP="008A6D6D">
      <w:pPr>
        <w:spacing w:line="360" w:lineRule="auto"/>
        <w:jc w:val="both"/>
        <w:rPr>
          <w:rFonts w:ascii="Arial" w:hAnsi="Arial" w:cs="Arial"/>
          <w:sz w:val="20"/>
          <w:szCs w:val="20"/>
        </w:rPr>
      </w:pPr>
    </w:p>
    <w:p w14:paraId="7993A284" w14:textId="77777777" w:rsidR="008A6D6D" w:rsidRPr="00E34476" w:rsidRDefault="008A6D6D" w:rsidP="008A6D6D">
      <w:pPr>
        <w:spacing w:line="360" w:lineRule="auto"/>
        <w:jc w:val="both"/>
        <w:rPr>
          <w:rFonts w:ascii="Arial" w:hAnsi="Arial" w:cs="Arial"/>
          <w:sz w:val="20"/>
          <w:szCs w:val="20"/>
        </w:rPr>
      </w:pPr>
    </w:p>
    <w:p w14:paraId="2FCEA1A2" w14:textId="77777777" w:rsidR="008A6D6D" w:rsidRPr="00E34476" w:rsidRDefault="008A6D6D" w:rsidP="008A6D6D">
      <w:pPr>
        <w:spacing w:line="360" w:lineRule="auto"/>
        <w:jc w:val="both"/>
        <w:rPr>
          <w:rFonts w:ascii="Arial" w:hAnsi="Arial" w:cs="Arial"/>
          <w:sz w:val="20"/>
          <w:szCs w:val="20"/>
        </w:rPr>
      </w:pPr>
    </w:p>
    <w:p w14:paraId="251B8B1C" w14:textId="77777777" w:rsidR="008A6D6D" w:rsidRPr="00E34476" w:rsidRDefault="008A6D6D" w:rsidP="008A6D6D">
      <w:pPr>
        <w:spacing w:line="360" w:lineRule="auto"/>
        <w:jc w:val="both"/>
        <w:rPr>
          <w:rFonts w:ascii="Arial" w:hAnsi="Arial" w:cs="Arial"/>
          <w:sz w:val="20"/>
          <w:szCs w:val="20"/>
        </w:rPr>
      </w:pPr>
    </w:p>
    <w:p w14:paraId="2CB4810C" w14:textId="77777777" w:rsidR="008A6D6D" w:rsidRPr="00E34476" w:rsidRDefault="008A6D6D" w:rsidP="008A6D6D">
      <w:pPr>
        <w:spacing w:line="360" w:lineRule="auto"/>
        <w:jc w:val="both"/>
        <w:rPr>
          <w:rFonts w:ascii="Arial" w:hAnsi="Arial" w:cs="Arial"/>
          <w:sz w:val="20"/>
          <w:szCs w:val="20"/>
        </w:rPr>
      </w:pPr>
    </w:p>
    <w:p w14:paraId="23C774F7" w14:textId="77777777" w:rsidR="008A6D6D" w:rsidRPr="00E34476" w:rsidRDefault="008A6D6D" w:rsidP="008A6D6D">
      <w:pPr>
        <w:spacing w:line="360" w:lineRule="auto"/>
        <w:jc w:val="both"/>
        <w:rPr>
          <w:rFonts w:ascii="Arial" w:hAnsi="Arial" w:cs="Arial"/>
          <w:sz w:val="20"/>
          <w:szCs w:val="20"/>
        </w:rPr>
      </w:pPr>
    </w:p>
    <w:p w14:paraId="35DEE5C6" w14:textId="77777777" w:rsidR="008A6D6D" w:rsidRPr="00E34476" w:rsidRDefault="008A6D6D" w:rsidP="008A6D6D">
      <w:pPr>
        <w:spacing w:line="360" w:lineRule="auto"/>
        <w:jc w:val="both"/>
        <w:rPr>
          <w:rFonts w:ascii="Arial" w:hAnsi="Arial" w:cs="Arial"/>
          <w:sz w:val="20"/>
          <w:szCs w:val="20"/>
        </w:rPr>
      </w:pPr>
    </w:p>
    <w:p w14:paraId="43219FB1" w14:textId="77777777" w:rsidR="008A6D6D" w:rsidRPr="00E34476" w:rsidRDefault="008A6D6D" w:rsidP="008A6D6D">
      <w:pPr>
        <w:spacing w:line="360" w:lineRule="auto"/>
        <w:jc w:val="both"/>
        <w:rPr>
          <w:rFonts w:ascii="Arial" w:hAnsi="Arial" w:cs="Arial"/>
          <w:sz w:val="20"/>
          <w:szCs w:val="20"/>
        </w:rPr>
      </w:pPr>
    </w:p>
    <w:p w14:paraId="7BF81D11" w14:textId="77777777" w:rsidR="008A6D6D" w:rsidRPr="00E34476" w:rsidRDefault="008A6D6D" w:rsidP="008A6D6D">
      <w:pPr>
        <w:spacing w:line="360" w:lineRule="auto"/>
        <w:jc w:val="both"/>
        <w:rPr>
          <w:rFonts w:ascii="Arial" w:hAnsi="Arial" w:cs="Arial"/>
          <w:sz w:val="20"/>
          <w:szCs w:val="20"/>
        </w:rPr>
      </w:pPr>
    </w:p>
    <w:p w14:paraId="78801839" w14:textId="77777777" w:rsidR="008A6D6D" w:rsidRPr="00E34476" w:rsidRDefault="008A6D6D" w:rsidP="008A6D6D">
      <w:pPr>
        <w:spacing w:line="360" w:lineRule="auto"/>
        <w:jc w:val="both"/>
        <w:rPr>
          <w:rFonts w:ascii="Arial" w:hAnsi="Arial" w:cs="Arial"/>
          <w:sz w:val="20"/>
          <w:szCs w:val="20"/>
        </w:rPr>
      </w:pPr>
    </w:p>
    <w:p w14:paraId="652E3712" w14:textId="77777777" w:rsidR="008A6D6D" w:rsidRPr="00E34476" w:rsidRDefault="008A6D6D" w:rsidP="008A6D6D">
      <w:pPr>
        <w:spacing w:line="360" w:lineRule="auto"/>
        <w:jc w:val="both"/>
        <w:rPr>
          <w:rFonts w:ascii="Arial" w:hAnsi="Arial" w:cs="Arial"/>
          <w:sz w:val="20"/>
          <w:szCs w:val="20"/>
        </w:rPr>
      </w:pPr>
    </w:p>
    <w:p w14:paraId="39038AD3" w14:textId="77777777" w:rsidR="008A6D6D" w:rsidRPr="00E34476" w:rsidRDefault="008A6D6D" w:rsidP="008A6D6D">
      <w:pPr>
        <w:spacing w:line="360" w:lineRule="auto"/>
        <w:jc w:val="both"/>
        <w:rPr>
          <w:rFonts w:ascii="Arial" w:hAnsi="Arial" w:cs="Arial"/>
          <w:sz w:val="20"/>
          <w:szCs w:val="20"/>
        </w:rPr>
      </w:pPr>
    </w:p>
    <w:p w14:paraId="57F19FF6" w14:textId="77777777" w:rsidR="008A6D6D" w:rsidRPr="00E34476" w:rsidRDefault="008A6D6D" w:rsidP="008A6D6D">
      <w:pPr>
        <w:spacing w:line="360" w:lineRule="auto"/>
        <w:jc w:val="both"/>
        <w:rPr>
          <w:rFonts w:ascii="Arial" w:hAnsi="Arial" w:cs="Arial"/>
          <w:sz w:val="20"/>
          <w:szCs w:val="20"/>
        </w:rPr>
      </w:pPr>
    </w:p>
    <w:p w14:paraId="6B927C01" w14:textId="77777777" w:rsidR="008A6D6D" w:rsidRPr="00E34476" w:rsidRDefault="008A6D6D" w:rsidP="008A6D6D">
      <w:pPr>
        <w:spacing w:line="360" w:lineRule="auto"/>
        <w:jc w:val="both"/>
        <w:rPr>
          <w:rFonts w:ascii="Arial" w:hAnsi="Arial" w:cs="Arial"/>
          <w:sz w:val="20"/>
          <w:szCs w:val="20"/>
        </w:rPr>
      </w:pPr>
    </w:p>
    <w:tbl>
      <w:tblPr>
        <w:tblW w:w="8845" w:type="dxa"/>
        <w:tblInd w:w="93" w:type="dxa"/>
        <w:tblLook w:val="04A0" w:firstRow="1" w:lastRow="0" w:firstColumn="1" w:lastColumn="0" w:noHBand="0" w:noVBand="1"/>
      </w:tblPr>
      <w:tblGrid>
        <w:gridCol w:w="1716"/>
        <w:gridCol w:w="727"/>
        <w:gridCol w:w="727"/>
        <w:gridCol w:w="727"/>
        <w:gridCol w:w="727"/>
        <w:gridCol w:w="727"/>
        <w:gridCol w:w="727"/>
        <w:gridCol w:w="727"/>
        <w:gridCol w:w="727"/>
        <w:gridCol w:w="727"/>
        <w:gridCol w:w="727"/>
      </w:tblGrid>
      <w:tr w:rsidR="008A6D6D" w:rsidRPr="00E34476" w14:paraId="02C78EDE" w14:textId="77777777" w:rsidTr="00162D6E">
        <w:trPr>
          <w:trHeight w:val="322"/>
        </w:trPr>
        <w:tc>
          <w:tcPr>
            <w:tcW w:w="1716"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14:paraId="6DAC11D2" w14:textId="77777777" w:rsidR="008A6D6D" w:rsidRPr="00E34476" w:rsidRDefault="008A6D6D" w:rsidP="00162D6E">
            <w:pPr>
              <w:spacing w:line="360" w:lineRule="auto"/>
              <w:jc w:val="both"/>
              <w:rPr>
                <w:rFonts w:ascii="Arial" w:hAnsi="Arial" w:cs="Arial"/>
                <w:color w:val="000000"/>
                <w:sz w:val="20"/>
                <w:szCs w:val="20"/>
              </w:rPr>
            </w:pPr>
            <w:r w:rsidRPr="00E34476">
              <w:rPr>
                <w:rFonts w:ascii="Arial" w:hAnsi="Arial" w:cs="Arial"/>
                <w:color w:val="000000"/>
                <w:sz w:val="20"/>
                <w:szCs w:val="20"/>
              </w:rPr>
              <w:t> </w:t>
            </w:r>
          </w:p>
        </w:tc>
        <w:tc>
          <w:tcPr>
            <w:tcW w:w="586" w:type="dxa"/>
            <w:tcBorders>
              <w:top w:val="single" w:sz="4" w:space="0" w:color="auto"/>
              <w:left w:val="nil"/>
              <w:bottom w:val="single" w:sz="4" w:space="0" w:color="auto"/>
              <w:right w:val="nil"/>
            </w:tcBorders>
            <w:shd w:val="clear" w:color="auto" w:fill="95B3D7" w:themeFill="accent1" w:themeFillTint="99"/>
            <w:noWrap/>
            <w:vAlign w:val="bottom"/>
            <w:hideMark/>
          </w:tcPr>
          <w:p w14:paraId="7D348EDC" w14:textId="77777777" w:rsidR="008A6D6D" w:rsidRPr="004662EE" w:rsidRDefault="008A6D6D" w:rsidP="00162D6E">
            <w:pPr>
              <w:spacing w:line="360" w:lineRule="auto"/>
              <w:jc w:val="both"/>
              <w:rPr>
                <w:rFonts w:ascii="Arial" w:hAnsi="Arial" w:cs="Arial"/>
                <w:b/>
                <w:bCs/>
                <w:color w:val="000000"/>
                <w:sz w:val="18"/>
                <w:szCs w:val="18"/>
              </w:rPr>
            </w:pPr>
            <w:r w:rsidRPr="004662EE">
              <w:rPr>
                <w:rFonts w:ascii="Arial" w:hAnsi="Arial" w:cs="Arial"/>
                <w:b/>
                <w:bCs/>
                <w:color w:val="000000"/>
                <w:sz w:val="18"/>
                <w:szCs w:val="18"/>
              </w:rPr>
              <w:t>14/15</w:t>
            </w:r>
          </w:p>
        </w:tc>
        <w:tc>
          <w:tcPr>
            <w:tcW w:w="727" w:type="dxa"/>
            <w:tcBorders>
              <w:top w:val="single" w:sz="4" w:space="0" w:color="auto"/>
              <w:left w:val="nil"/>
              <w:bottom w:val="single" w:sz="4" w:space="0" w:color="auto"/>
              <w:right w:val="nil"/>
            </w:tcBorders>
            <w:shd w:val="clear" w:color="auto" w:fill="95B3D7" w:themeFill="accent1" w:themeFillTint="99"/>
            <w:noWrap/>
            <w:vAlign w:val="bottom"/>
            <w:hideMark/>
          </w:tcPr>
          <w:p w14:paraId="64598B93" w14:textId="77777777" w:rsidR="008A6D6D" w:rsidRPr="004662EE" w:rsidRDefault="008A6D6D" w:rsidP="00162D6E">
            <w:pPr>
              <w:spacing w:line="360" w:lineRule="auto"/>
              <w:jc w:val="both"/>
              <w:rPr>
                <w:rFonts w:ascii="Arial" w:hAnsi="Arial" w:cs="Arial"/>
                <w:b/>
                <w:bCs/>
                <w:color w:val="000000"/>
                <w:sz w:val="18"/>
                <w:szCs w:val="18"/>
              </w:rPr>
            </w:pPr>
            <w:r w:rsidRPr="004662EE">
              <w:rPr>
                <w:rFonts w:ascii="Arial" w:hAnsi="Arial" w:cs="Arial"/>
                <w:b/>
                <w:bCs/>
                <w:color w:val="000000"/>
                <w:sz w:val="18"/>
                <w:szCs w:val="18"/>
              </w:rPr>
              <w:t>15/16</w:t>
            </w:r>
          </w:p>
        </w:tc>
        <w:tc>
          <w:tcPr>
            <w:tcW w:w="727" w:type="dxa"/>
            <w:tcBorders>
              <w:top w:val="single" w:sz="4" w:space="0" w:color="auto"/>
              <w:left w:val="nil"/>
              <w:bottom w:val="single" w:sz="4" w:space="0" w:color="auto"/>
              <w:right w:val="nil"/>
            </w:tcBorders>
            <w:shd w:val="clear" w:color="auto" w:fill="95B3D7" w:themeFill="accent1" w:themeFillTint="99"/>
            <w:noWrap/>
            <w:vAlign w:val="bottom"/>
            <w:hideMark/>
          </w:tcPr>
          <w:p w14:paraId="5A4C77C4" w14:textId="77777777" w:rsidR="008A6D6D" w:rsidRPr="004662EE" w:rsidRDefault="008A6D6D" w:rsidP="00162D6E">
            <w:pPr>
              <w:spacing w:line="360" w:lineRule="auto"/>
              <w:jc w:val="both"/>
              <w:rPr>
                <w:rFonts w:ascii="Arial" w:hAnsi="Arial" w:cs="Arial"/>
                <w:b/>
                <w:bCs/>
                <w:color w:val="000000"/>
                <w:sz w:val="18"/>
                <w:szCs w:val="18"/>
              </w:rPr>
            </w:pPr>
            <w:r w:rsidRPr="004662EE">
              <w:rPr>
                <w:rFonts w:ascii="Arial" w:hAnsi="Arial" w:cs="Arial"/>
                <w:b/>
                <w:bCs/>
                <w:color w:val="000000"/>
                <w:sz w:val="18"/>
                <w:szCs w:val="18"/>
              </w:rPr>
              <w:t>16/17</w:t>
            </w:r>
          </w:p>
        </w:tc>
        <w:tc>
          <w:tcPr>
            <w:tcW w:w="727" w:type="dxa"/>
            <w:tcBorders>
              <w:top w:val="single" w:sz="4" w:space="0" w:color="auto"/>
              <w:left w:val="nil"/>
              <w:bottom w:val="single" w:sz="4" w:space="0" w:color="auto"/>
              <w:right w:val="nil"/>
            </w:tcBorders>
            <w:shd w:val="clear" w:color="auto" w:fill="95B3D7" w:themeFill="accent1" w:themeFillTint="99"/>
            <w:noWrap/>
            <w:vAlign w:val="bottom"/>
            <w:hideMark/>
          </w:tcPr>
          <w:p w14:paraId="429B9396" w14:textId="77777777" w:rsidR="008A6D6D" w:rsidRPr="004662EE" w:rsidRDefault="008A6D6D" w:rsidP="00162D6E">
            <w:pPr>
              <w:spacing w:line="360" w:lineRule="auto"/>
              <w:jc w:val="both"/>
              <w:rPr>
                <w:rFonts w:ascii="Arial" w:hAnsi="Arial" w:cs="Arial"/>
                <w:b/>
                <w:bCs/>
                <w:color w:val="000000"/>
                <w:sz w:val="18"/>
                <w:szCs w:val="18"/>
              </w:rPr>
            </w:pPr>
            <w:r w:rsidRPr="004662EE">
              <w:rPr>
                <w:rFonts w:ascii="Arial" w:hAnsi="Arial" w:cs="Arial"/>
                <w:b/>
                <w:bCs/>
                <w:color w:val="000000"/>
                <w:sz w:val="18"/>
                <w:szCs w:val="18"/>
              </w:rPr>
              <w:t>17/18</w:t>
            </w:r>
          </w:p>
        </w:tc>
        <w:tc>
          <w:tcPr>
            <w:tcW w:w="727" w:type="dxa"/>
            <w:tcBorders>
              <w:top w:val="single" w:sz="4" w:space="0" w:color="auto"/>
              <w:left w:val="nil"/>
              <w:bottom w:val="single" w:sz="4" w:space="0" w:color="auto"/>
              <w:right w:val="nil"/>
            </w:tcBorders>
            <w:shd w:val="clear" w:color="auto" w:fill="95B3D7" w:themeFill="accent1" w:themeFillTint="99"/>
            <w:noWrap/>
            <w:vAlign w:val="bottom"/>
            <w:hideMark/>
          </w:tcPr>
          <w:p w14:paraId="6579C538" w14:textId="77777777" w:rsidR="008A6D6D" w:rsidRPr="004662EE" w:rsidRDefault="008A6D6D" w:rsidP="00162D6E">
            <w:pPr>
              <w:spacing w:line="360" w:lineRule="auto"/>
              <w:jc w:val="both"/>
              <w:rPr>
                <w:rFonts w:ascii="Arial" w:hAnsi="Arial" w:cs="Arial"/>
                <w:b/>
                <w:bCs/>
                <w:color w:val="000000"/>
                <w:sz w:val="18"/>
                <w:szCs w:val="18"/>
              </w:rPr>
            </w:pPr>
            <w:r w:rsidRPr="004662EE">
              <w:rPr>
                <w:rFonts w:ascii="Arial" w:hAnsi="Arial" w:cs="Arial"/>
                <w:b/>
                <w:bCs/>
                <w:color w:val="000000"/>
                <w:sz w:val="18"/>
                <w:szCs w:val="18"/>
              </w:rPr>
              <w:t>18/19</w:t>
            </w:r>
          </w:p>
        </w:tc>
        <w:tc>
          <w:tcPr>
            <w:tcW w:w="727" w:type="dxa"/>
            <w:tcBorders>
              <w:top w:val="single" w:sz="4" w:space="0" w:color="auto"/>
              <w:left w:val="nil"/>
              <w:bottom w:val="single" w:sz="4" w:space="0" w:color="auto"/>
              <w:right w:val="nil"/>
            </w:tcBorders>
            <w:shd w:val="clear" w:color="auto" w:fill="95B3D7" w:themeFill="accent1" w:themeFillTint="99"/>
            <w:noWrap/>
            <w:vAlign w:val="bottom"/>
            <w:hideMark/>
          </w:tcPr>
          <w:p w14:paraId="0B8FEC7C" w14:textId="77777777" w:rsidR="008A6D6D" w:rsidRPr="004662EE" w:rsidRDefault="008A6D6D" w:rsidP="00162D6E">
            <w:pPr>
              <w:spacing w:line="360" w:lineRule="auto"/>
              <w:jc w:val="both"/>
              <w:rPr>
                <w:rFonts w:ascii="Arial" w:hAnsi="Arial" w:cs="Arial"/>
                <w:b/>
                <w:bCs/>
                <w:color w:val="000000"/>
                <w:sz w:val="18"/>
                <w:szCs w:val="18"/>
              </w:rPr>
            </w:pPr>
            <w:r w:rsidRPr="004662EE">
              <w:rPr>
                <w:rFonts w:ascii="Arial" w:hAnsi="Arial" w:cs="Arial"/>
                <w:b/>
                <w:bCs/>
                <w:color w:val="000000"/>
                <w:sz w:val="18"/>
                <w:szCs w:val="18"/>
              </w:rPr>
              <w:t>19/20</w:t>
            </w:r>
          </w:p>
        </w:tc>
        <w:tc>
          <w:tcPr>
            <w:tcW w:w="727" w:type="dxa"/>
            <w:tcBorders>
              <w:top w:val="single" w:sz="4" w:space="0" w:color="auto"/>
              <w:left w:val="nil"/>
              <w:bottom w:val="single" w:sz="4" w:space="0" w:color="auto"/>
              <w:right w:val="nil"/>
            </w:tcBorders>
            <w:shd w:val="clear" w:color="auto" w:fill="95B3D7" w:themeFill="accent1" w:themeFillTint="99"/>
            <w:noWrap/>
            <w:vAlign w:val="bottom"/>
            <w:hideMark/>
          </w:tcPr>
          <w:p w14:paraId="2B6FFD2E" w14:textId="77777777" w:rsidR="008A6D6D" w:rsidRPr="004662EE" w:rsidRDefault="008A6D6D" w:rsidP="00162D6E">
            <w:pPr>
              <w:spacing w:line="360" w:lineRule="auto"/>
              <w:jc w:val="both"/>
              <w:rPr>
                <w:rFonts w:ascii="Arial" w:hAnsi="Arial" w:cs="Arial"/>
                <w:b/>
                <w:bCs/>
                <w:color w:val="000000"/>
                <w:sz w:val="18"/>
                <w:szCs w:val="18"/>
              </w:rPr>
            </w:pPr>
            <w:r w:rsidRPr="004662EE">
              <w:rPr>
                <w:rFonts w:ascii="Arial" w:hAnsi="Arial" w:cs="Arial"/>
                <w:b/>
                <w:bCs/>
                <w:color w:val="000000"/>
                <w:sz w:val="18"/>
                <w:szCs w:val="18"/>
              </w:rPr>
              <w:t>20/21</w:t>
            </w:r>
          </w:p>
        </w:tc>
        <w:tc>
          <w:tcPr>
            <w:tcW w:w="727" w:type="dxa"/>
            <w:tcBorders>
              <w:top w:val="single" w:sz="4" w:space="0" w:color="auto"/>
              <w:left w:val="nil"/>
              <w:bottom w:val="single" w:sz="4" w:space="0" w:color="auto"/>
              <w:right w:val="nil"/>
            </w:tcBorders>
            <w:shd w:val="clear" w:color="auto" w:fill="95B3D7" w:themeFill="accent1" w:themeFillTint="99"/>
            <w:noWrap/>
            <w:vAlign w:val="bottom"/>
            <w:hideMark/>
          </w:tcPr>
          <w:p w14:paraId="0250A708" w14:textId="77777777" w:rsidR="008A6D6D" w:rsidRPr="004662EE" w:rsidRDefault="008A6D6D" w:rsidP="00162D6E">
            <w:pPr>
              <w:spacing w:line="360" w:lineRule="auto"/>
              <w:jc w:val="both"/>
              <w:rPr>
                <w:rFonts w:ascii="Arial" w:hAnsi="Arial" w:cs="Arial"/>
                <w:b/>
                <w:bCs/>
                <w:color w:val="000000"/>
                <w:sz w:val="18"/>
                <w:szCs w:val="18"/>
              </w:rPr>
            </w:pPr>
            <w:r w:rsidRPr="004662EE">
              <w:rPr>
                <w:rFonts w:ascii="Arial" w:hAnsi="Arial" w:cs="Arial"/>
                <w:b/>
                <w:bCs/>
                <w:color w:val="000000"/>
                <w:sz w:val="18"/>
                <w:szCs w:val="18"/>
              </w:rPr>
              <w:t>21/22</w:t>
            </w:r>
          </w:p>
        </w:tc>
        <w:tc>
          <w:tcPr>
            <w:tcW w:w="727" w:type="dxa"/>
            <w:tcBorders>
              <w:top w:val="single" w:sz="4" w:space="0" w:color="auto"/>
              <w:left w:val="nil"/>
              <w:bottom w:val="single" w:sz="4" w:space="0" w:color="auto"/>
              <w:right w:val="nil"/>
            </w:tcBorders>
            <w:shd w:val="clear" w:color="auto" w:fill="95B3D7" w:themeFill="accent1" w:themeFillTint="99"/>
            <w:noWrap/>
            <w:vAlign w:val="bottom"/>
            <w:hideMark/>
          </w:tcPr>
          <w:p w14:paraId="6B247ECC" w14:textId="77777777" w:rsidR="008A6D6D" w:rsidRPr="004662EE" w:rsidRDefault="008A6D6D" w:rsidP="00162D6E">
            <w:pPr>
              <w:spacing w:line="360" w:lineRule="auto"/>
              <w:jc w:val="both"/>
              <w:rPr>
                <w:rFonts w:ascii="Arial" w:hAnsi="Arial" w:cs="Arial"/>
                <w:b/>
                <w:bCs/>
                <w:color w:val="000000"/>
                <w:sz w:val="18"/>
                <w:szCs w:val="18"/>
              </w:rPr>
            </w:pPr>
            <w:r w:rsidRPr="004662EE">
              <w:rPr>
                <w:rFonts w:ascii="Arial" w:hAnsi="Arial" w:cs="Arial"/>
                <w:b/>
                <w:bCs/>
                <w:color w:val="000000"/>
                <w:sz w:val="18"/>
                <w:szCs w:val="18"/>
              </w:rPr>
              <w:t>22/23</w:t>
            </w:r>
          </w:p>
        </w:tc>
        <w:tc>
          <w:tcPr>
            <w:tcW w:w="727"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72214E59" w14:textId="77777777" w:rsidR="008A6D6D" w:rsidRPr="004662EE" w:rsidRDefault="008A6D6D" w:rsidP="00162D6E">
            <w:pPr>
              <w:spacing w:line="360" w:lineRule="auto"/>
              <w:jc w:val="both"/>
              <w:rPr>
                <w:rFonts w:ascii="Arial" w:hAnsi="Arial" w:cs="Arial"/>
                <w:b/>
                <w:bCs/>
                <w:color w:val="000000"/>
                <w:sz w:val="18"/>
                <w:szCs w:val="18"/>
              </w:rPr>
            </w:pPr>
            <w:r w:rsidRPr="004662EE">
              <w:rPr>
                <w:rFonts w:ascii="Arial" w:hAnsi="Arial" w:cs="Arial"/>
                <w:b/>
                <w:bCs/>
                <w:color w:val="000000"/>
                <w:sz w:val="18"/>
                <w:szCs w:val="18"/>
              </w:rPr>
              <w:t>23/24</w:t>
            </w:r>
          </w:p>
        </w:tc>
      </w:tr>
      <w:tr w:rsidR="008A6D6D" w:rsidRPr="00E34476" w14:paraId="7D7F1514" w14:textId="77777777" w:rsidTr="00162D6E">
        <w:trPr>
          <w:trHeight w:val="322"/>
        </w:trPr>
        <w:tc>
          <w:tcPr>
            <w:tcW w:w="1716" w:type="dxa"/>
            <w:tcBorders>
              <w:top w:val="nil"/>
              <w:left w:val="single" w:sz="4" w:space="0" w:color="auto"/>
              <w:bottom w:val="nil"/>
              <w:right w:val="single" w:sz="4" w:space="0" w:color="auto"/>
            </w:tcBorders>
            <w:shd w:val="clear" w:color="auto" w:fill="auto"/>
            <w:noWrap/>
            <w:vAlign w:val="bottom"/>
            <w:hideMark/>
          </w:tcPr>
          <w:p w14:paraId="3CC088BB" w14:textId="77777777" w:rsidR="008A6D6D" w:rsidRPr="004662EE" w:rsidRDefault="008A6D6D" w:rsidP="00162D6E">
            <w:pPr>
              <w:spacing w:line="360" w:lineRule="auto"/>
              <w:jc w:val="both"/>
              <w:rPr>
                <w:rFonts w:ascii="Arial" w:hAnsi="Arial" w:cs="Arial"/>
                <w:b/>
                <w:bCs/>
                <w:color w:val="000000"/>
                <w:sz w:val="16"/>
                <w:szCs w:val="16"/>
              </w:rPr>
            </w:pPr>
            <w:r w:rsidRPr="004662EE">
              <w:rPr>
                <w:rFonts w:ascii="Arial" w:hAnsi="Arial" w:cs="Arial"/>
                <w:b/>
                <w:bCs/>
                <w:color w:val="000000"/>
                <w:sz w:val="16"/>
                <w:szCs w:val="16"/>
              </w:rPr>
              <w:t>SV (Scenario 1)</w:t>
            </w:r>
          </w:p>
        </w:tc>
        <w:tc>
          <w:tcPr>
            <w:tcW w:w="586" w:type="dxa"/>
            <w:tcBorders>
              <w:top w:val="nil"/>
              <w:left w:val="nil"/>
              <w:bottom w:val="nil"/>
              <w:right w:val="nil"/>
            </w:tcBorders>
            <w:shd w:val="clear" w:color="auto" w:fill="auto"/>
            <w:noWrap/>
            <w:vAlign w:val="bottom"/>
            <w:hideMark/>
          </w:tcPr>
          <w:p w14:paraId="414A3C9C" w14:textId="77777777" w:rsidR="008A6D6D" w:rsidRPr="004662EE" w:rsidRDefault="008A6D6D" w:rsidP="00162D6E">
            <w:pPr>
              <w:spacing w:line="360" w:lineRule="auto"/>
              <w:jc w:val="both"/>
              <w:rPr>
                <w:rFonts w:ascii="Arial" w:hAnsi="Arial" w:cs="Arial"/>
                <w:color w:val="000000"/>
                <w:sz w:val="18"/>
                <w:szCs w:val="18"/>
              </w:rPr>
            </w:pPr>
            <w:r w:rsidRPr="004662EE">
              <w:rPr>
                <w:rFonts w:ascii="Arial" w:hAnsi="Arial" w:cs="Arial"/>
                <w:color w:val="000000"/>
                <w:sz w:val="18"/>
                <w:szCs w:val="18"/>
              </w:rPr>
              <w:t>60.6%</w:t>
            </w:r>
          </w:p>
        </w:tc>
        <w:tc>
          <w:tcPr>
            <w:tcW w:w="727" w:type="dxa"/>
            <w:tcBorders>
              <w:top w:val="nil"/>
              <w:left w:val="nil"/>
              <w:bottom w:val="nil"/>
              <w:right w:val="nil"/>
            </w:tcBorders>
            <w:shd w:val="clear" w:color="auto" w:fill="auto"/>
            <w:noWrap/>
            <w:vAlign w:val="bottom"/>
            <w:hideMark/>
          </w:tcPr>
          <w:p w14:paraId="580412DF" w14:textId="77777777" w:rsidR="008A6D6D" w:rsidRPr="004662EE" w:rsidRDefault="008A6D6D" w:rsidP="00162D6E">
            <w:pPr>
              <w:spacing w:line="360" w:lineRule="auto"/>
              <w:jc w:val="both"/>
              <w:rPr>
                <w:rFonts w:ascii="Arial" w:hAnsi="Arial" w:cs="Arial"/>
                <w:color w:val="000000"/>
                <w:sz w:val="18"/>
                <w:szCs w:val="18"/>
              </w:rPr>
            </w:pPr>
            <w:r w:rsidRPr="004662EE">
              <w:rPr>
                <w:rFonts w:ascii="Arial" w:hAnsi="Arial" w:cs="Arial"/>
                <w:color w:val="000000"/>
                <w:sz w:val="18"/>
                <w:szCs w:val="18"/>
              </w:rPr>
              <w:t>63.8%</w:t>
            </w:r>
          </w:p>
        </w:tc>
        <w:tc>
          <w:tcPr>
            <w:tcW w:w="727" w:type="dxa"/>
            <w:tcBorders>
              <w:top w:val="nil"/>
              <w:left w:val="nil"/>
              <w:bottom w:val="nil"/>
              <w:right w:val="nil"/>
            </w:tcBorders>
            <w:shd w:val="clear" w:color="auto" w:fill="auto"/>
            <w:noWrap/>
            <w:vAlign w:val="bottom"/>
            <w:hideMark/>
          </w:tcPr>
          <w:p w14:paraId="2F54EBED" w14:textId="77777777" w:rsidR="008A6D6D" w:rsidRPr="004662EE" w:rsidRDefault="008A6D6D" w:rsidP="00162D6E">
            <w:pPr>
              <w:spacing w:line="360" w:lineRule="auto"/>
              <w:jc w:val="both"/>
              <w:rPr>
                <w:rFonts w:ascii="Arial" w:hAnsi="Arial" w:cs="Arial"/>
                <w:color w:val="000000"/>
                <w:sz w:val="18"/>
                <w:szCs w:val="18"/>
              </w:rPr>
            </w:pPr>
            <w:r w:rsidRPr="004662EE">
              <w:rPr>
                <w:rFonts w:ascii="Arial" w:hAnsi="Arial" w:cs="Arial"/>
                <w:color w:val="000000"/>
                <w:sz w:val="18"/>
                <w:szCs w:val="18"/>
              </w:rPr>
              <w:t>65.3%</w:t>
            </w:r>
          </w:p>
        </w:tc>
        <w:tc>
          <w:tcPr>
            <w:tcW w:w="727" w:type="dxa"/>
            <w:tcBorders>
              <w:top w:val="nil"/>
              <w:left w:val="nil"/>
              <w:bottom w:val="nil"/>
              <w:right w:val="nil"/>
            </w:tcBorders>
            <w:shd w:val="clear" w:color="auto" w:fill="auto"/>
            <w:noWrap/>
            <w:vAlign w:val="bottom"/>
            <w:hideMark/>
          </w:tcPr>
          <w:p w14:paraId="67EBA0B0" w14:textId="77777777" w:rsidR="008A6D6D" w:rsidRPr="004662EE" w:rsidRDefault="008A6D6D" w:rsidP="00162D6E">
            <w:pPr>
              <w:spacing w:line="360" w:lineRule="auto"/>
              <w:jc w:val="both"/>
              <w:rPr>
                <w:rFonts w:ascii="Arial" w:hAnsi="Arial" w:cs="Arial"/>
                <w:color w:val="000000"/>
                <w:sz w:val="18"/>
                <w:szCs w:val="18"/>
              </w:rPr>
            </w:pPr>
            <w:r w:rsidRPr="004662EE">
              <w:rPr>
                <w:rFonts w:ascii="Arial" w:hAnsi="Arial" w:cs="Arial"/>
                <w:color w:val="000000"/>
                <w:sz w:val="18"/>
                <w:szCs w:val="18"/>
              </w:rPr>
              <w:t>66.7%</w:t>
            </w:r>
          </w:p>
        </w:tc>
        <w:tc>
          <w:tcPr>
            <w:tcW w:w="727" w:type="dxa"/>
            <w:tcBorders>
              <w:top w:val="nil"/>
              <w:left w:val="nil"/>
              <w:bottom w:val="nil"/>
              <w:right w:val="nil"/>
            </w:tcBorders>
            <w:shd w:val="clear" w:color="auto" w:fill="auto"/>
            <w:noWrap/>
            <w:vAlign w:val="bottom"/>
            <w:hideMark/>
          </w:tcPr>
          <w:p w14:paraId="5580659D" w14:textId="77777777" w:rsidR="008A6D6D" w:rsidRPr="004662EE" w:rsidRDefault="008A6D6D" w:rsidP="00162D6E">
            <w:pPr>
              <w:spacing w:line="360" w:lineRule="auto"/>
              <w:jc w:val="both"/>
              <w:rPr>
                <w:rFonts w:ascii="Arial" w:hAnsi="Arial" w:cs="Arial"/>
                <w:color w:val="000000"/>
                <w:sz w:val="18"/>
                <w:szCs w:val="18"/>
              </w:rPr>
            </w:pPr>
            <w:r w:rsidRPr="004662EE">
              <w:rPr>
                <w:rFonts w:ascii="Arial" w:hAnsi="Arial" w:cs="Arial"/>
                <w:color w:val="000000"/>
                <w:sz w:val="18"/>
                <w:szCs w:val="18"/>
              </w:rPr>
              <w:t>68.0%</w:t>
            </w:r>
          </w:p>
        </w:tc>
        <w:tc>
          <w:tcPr>
            <w:tcW w:w="727" w:type="dxa"/>
            <w:tcBorders>
              <w:top w:val="nil"/>
              <w:left w:val="nil"/>
              <w:bottom w:val="nil"/>
              <w:right w:val="nil"/>
            </w:tcBorders>
            <w:shd w:val="clear" w:color="auto" w:fill="auto"/>
            <w:noWrap/>
            <w:vAlign w:val="bottom"/>
            <w:hideMark/>
          </w:tcPr>
          <w:p w14:paraId="39C72488" w14:textId="77777777" w:rsidR="008A6D6D" w:rsidRPr="004662EE" w:rsidRDefault="008A6D6D" w:rsidP="00162D6E">
            <w:pPr>
              <w:spacing w:line="360" w:lineRule="auto"/>
              <w:jc w:val="both"/>
              <w:rPr>
                <w:rFonts w:ascii="Arial" w:hAnsi="Arial" w:cs="Arial"/>
                <w:color w:val="000000"/>
                <w:sz w:val="18"/>
                <w:szCs w:val="18"/>
              </w:rPr>
            </w:pPr>
            <w:r w:rsidRPr="004662EE">
              <w:rPr>
                <w:rFonts w:ascii="Arial" w:hAnsi="Arial" w:cs="Arial"/>
                <w:color w:val="000000"/>
                <w:sz w:val="18"/>
                <w:szCs w:val="18"/>
              </w:rPr>
              <w:t>68.3%</w:t>
            </w:r>
          </w:p>
        </w:tc>
        <w:tc>
          <w:tcPr>
            <w:tcW w:w="727" w:type="dxa"/>
            <w:tcBorders>
              <w:top w:val="nil"/>
              <w:left w:val="nil"/>
              <w:bottom w:val="nil"/>
              <w:right w:val="nil"/>
            </w:tcBorders>
            <w:shd w:val="clear" w:color="auto" w:fill="auto"/>
            <w:noWrap/>
            <w:vAlign w:val="bottom"/>
            <w:hideMark/>
          </w:tcPr>
          <w:p w14:paraId="27D14FD9" w14:textId="77777777" w:rsidR="008A6D6D" w:rsidRPr="004662EE" w:rsidRDefault="008A6D6D" w:rsidP="00162D6E">
            <w:pPr>
              <w:spacing w:line="360" w:lineRule="auto"/>
              <w:jc w:val="both"/>
              <w:rPr>
                <w:rFonts w:ascii="Arial" w:hAnsi="Arial" w:cs="Arial"/>
                <w:color w:val="000000"/>
                <w:sz w:val="18"/>
                <w:szCs w:val="18"/>
              </w:rPr>
            </w:pPr>
            <w:r w:rsidRPr="004662EE">
              <w:rPr>
                <w:rFonts w:ascii="Arial" w:hAnsi="Arial" w:cs="Arial"/>
                <w:color w:val="000000"/>
                <w:sz w:val="18"/>
                <w:szCs w:val="18"/>
              </w:rPr>
              <w:t>68.4%</w:t>
            </w:r>
          </w:p>
        </w:tc>
        <w:tc>
          <w:tcPr>
            <w:tcW w:w="727" w:type="dxa"/>
            <w:tcBorders>
              <w:top w:val="nil"/>
              <w:left w:val="nil"/>
              <w:bottom w:val="nil"/>
              <w:right w:val="nil"/>
            </w:tcBorders>
            <w:shd w:val="clear" w:color="auto" w:fill="auto"/>
            <w:noWrap/>
            <w:vAlign w:val="bottom"/>
            <w:hideMark/>
          </w:tcPr>
          <w:p w14:paraId="23F0F487" w14:textId="77777777" w:rsidR="008A6D6D" w:rsidRPr="004662EE" w:rsidRDefault="008A6D6D" w:rsidP="00162D6E">
            <w:pPr>
              <w:spacing w:line="360" w:lineRule="auto"/>
              <w:jc w:val="both"/>
              <w:rPr>
                <w:rFonts w:ascii="Arial" w:hAnsi="Arial" w:cs="Arial"/>
                <w:color w:val="000000"/>
                <w:sz w:val="18"/>
                <w:szCs w:val="18"/>
              </w:rPr>
            </w:pPr>
            <w:r w:rsidRPr="004662EE">
              <w:rPr>
                <w:rFonts w:ascii="Arial" w:hAnsi="Arial" w:cs="Arial"/>
                <w:color w:val="000000"/>
                <w:sz w:val="18"/>
                <w:szCs w:val="18"/>
              </w:rPr>
              <w:t>68.6%</w:t>
            </w:r>
          </w:p>
        </w:tc>
        <w:tc>
          <w:tcPr>
            <w:tcW w:w="727" w:type="dxa"/>
            <w:tcBorders>
              <w:top w:val="nil"/>
              <w:left w:val="nil"/>
              <w:bottom w:val="nil"/>
              <w:right w:val="nil"/>
            </w:tcBorders>
            <w:shd w:val="clear" w:color="auto" w:fill="auto"/>
            <w:noWrap/>
            <w:vAlign w:val="bottom"/>
            <w:hideMark/>
          </w:tcPr>
          <w:p w14:paraId="6DE19776" w14:textId="77777777" w:rsidR="008A6D6D" w:rsidRPr="004662EE" w:rsidRDefault="008A6D6D" w:rsidP="00162D6E">
            <w:pPr>
              <w:spacing w:line="360" w:lineRule="auto"/>
              <w:jc w:val="both"/>
              <w:rPr>
                <w:rFonts w:ascii="Arial" w:hAnsi="Arial" w:cs="Arial"/>
                <w:color w:val="000000"/>
                <w:sz w:val="18"/>
                <w:szCs w:val="18"/>
              </w:rPr>
            </w:pPr>
            <w:r w:rsidRPr="004662EE">
              <w:rPr>
                <w:rFonts w:ascii="Arial" w:hAnsi="Arial" w:cs="Arial"/>
                <w:color w:val="000000"/>
                <w:sz w:val="18"/>
                <w:szCs w:val="18"/>
              </w:rPr>
              <w:t>68.7%</w:t>
            </w:r>
          </w:p>
        </w:tc>
        <w:tc>
          <w:tcPr>
            <w:tcW w:w="727" w:type="dxa"/>
            <w:tcBorders>
              <w:top w:val="nil"/>
              <w:left w:val="nil"/>
              <w:bottom w:val="nil"/>
              <w:right w:val="single" w:sz="4" w:space="0" w:color="auto"/>
            </w:tcBorders>
            <w:shd w:val="clear" w:color="auto" w:fill="auto"/>
            <w:noWrap/>
            <w:vAlign w:val="bottom"/>
            <w:hideMark/>
          </w:tcPr>
          <w:p w14:paraId="027C8175" w14:textId="77777777" w:rsidR="008A6D6D" w:rsidRPr="004662EE" w:rsidRDefault="008A6D6D" w:rsidP="00162D6E">
            <w:pPr>
              <w:spacing w:line="360" w:lineRule="auto"/>
              <w:jc w:val="both"/>
              <w:rPr>
                <w:rFonts w:ascii="Arial" w:hAnsi="Arial" w:cs="Arial"/>
                <w:color w:val="000000"/>
                <w:sz w:val="18"/>
                <w:szCs w:val="18"/>
              </w:rPr>
            </w:pPr>
            <w:r w:rsidRPr="004662EE">
              <w:rPr>
                <w:rFonts w:ascii="Arial" w:hAnsi="Arial" w:cs="Arial"/>
                <w:color w:val="000000"/>
                <w:sz w:val="18"/>
                <w:szCs w:val="18"/>
              </w:rPr>
              <w:t>68.8%</w:t>
            </w:r>
          </w:p>
        </w:tc>
      </w:tr>
      <w:tr w:rsidR="008A6D6D" w:rsidRPr="00E34476" w14:paraId="7B722718" w14:textId="77777777" w:rsidTr="00162D6E">
        <w:trPr>
          <w:trHeight w:val="322"/>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0F58AD96" w14:textId="77777777" w:rsidR="008A6D6D" w:rsidRPr="004662EE" w:rsidRDefault="008A6D6D" w:rsidP="00162D6E">
            <w:pPr>
              <w:spacing w:line="360" w:lineRule="auto"/>
              <w:rPr>
                <w:rFonts w:ascii="Arial" w:hAnsi="Arial" w:cs="Arial"/>
                <w:b/>
                <w:bCs/>
                <w:color w:val="000000"/>
                <w:sz w:val="16"/>
                <w:szCs w:val="16"/>
              </w:rPr>
            </w:pPr>
            <w:r w:rsidRPr="004662EE">
              <w:rPr>
                <w:rFonts w:ascii="Arial" w:hAnsi="Arial" w:cs="Arial"/>
                <w:b/>
                <w:bCs/>
                <w:color w:val="000000"/>
                <w:sz w:val="16"/>
                <w:szCs w:val="16"/>
              </w:rPr>
              <w:t>No SV (Scenario 3)</w:t>
            </w:r>
          </w:p>
        </w:tc>
        <w:tc>
          <w:tcPr>
            <w:tcW w:w="586" w:type="dxa"/>
            <w:tcBorders>
              <w:top w:val="nil"/>
              <w:left w:val="nil"/>
              <w:bottom w:val="single" w:sz="4" w:space="0" w:color="auto"/>
              <w:right w:val="nil"/>
            </w:tcBorders>
            <w:shd w:val="clear" w:color="auto" w:fill="auto"/>
            <w:noWrap/>
            <w:vAlign w:val="bottom"/>
            <w:hideMark/>
          </w:tcPr>
          <w:p w14:paraId="58080D8F" w14:textId="77777777" w:rsidR="008A6D6D" w:rsidRPr="004662EE" w:rsidRDefault="008A6D6D" w:rsidP="00162D6E">
            <w:pPr>
              <w:spacing w:line="360" w:lineRule="auto"/>
              <w:jc w:val="both"/>
              <w:rPr>
                <w:rFonts w:ascii="Arial" w:hAnsi="Arial" w:cs="Arial"/>
                <w:color w:val="000000"/>
                <w:sz w:val="18"/>
                <w:szCs w:val="18"/>
              </w:rPr>
            </w:pPr>
            <w:r w:rsidRPr="004662EE">
              <w:rPr>
                <w:rFonts w:ascii="Arial" w:hAnsi="Arial" w:cs="Arial"/>
                <w:color w:val="000000"/>
                <w:sz w:val="18"/>
                <w:szCs w:val="18"/>
              </w:rPr>
              <w:t>60.6%</w:t>
            </w:r>
          </w:p>
        </w:tc>
        <w:tc>
          <w:tcPr>
            <w:tcW w:w="727" w:type="dxa"/>
            <w:tcBorders>
              <w:top w:val="nil"/>
              <w:left w:val="nil"/>
              <w:bottom w:val="single" w:sz="4" w:space="0" w:color="auto"/>
              <w:right w:val="nil"/>
            </w:tcBorders>
            <w:shd w:val="clear" w:color="auto" w:fill="auto"/>
            <w:noWrap/>
            <w:vAlign w:val="bottom"/>
            <w:hideMark/>
          </w:tcPr>
          <w:p w14:paraId="47FD1E62" w14:textId="77777777" w:rsidR="008A6D6D" w:rsidRPr="004662EE" w:rsidRDefault="008A6D6D" w:rsidP="00162D6E">
            <w:pPr>
              <w:spacing w:line="360" w:lineRule="auto"/>
              <w:jc w:val="both"/>
              <w:rPr>
                <w:rFonts w:ascii="Arial" w:hAnsi="Arial" w:cs="Arial"/>
                <w:color w:val="000000"/>
                <w:sz w:val="18"/>
                <w:szCs w:val="18"/>
              </w:rPr>
            </w:pPr>
            <w:r w:rsidRPr="004662EE">
              <w:rPr>
                <w:rFonts w:ascii="Arial" w:hAnsi="Arial" w:cs="Arial"/>
                <w:color w:val="000000"/>
                <w:sz w:val="18"/>
                <w:szCs w:val="18"/>
              </w:rPr>
              <w:t>63.1%</w:t>
            </w:r>
          </w:p>
        </w:tc>
        <w:tc>
          <w:tcPr>
            <w:tcW w:w="727" w:type="dxa"/>
            <w:tcBorders>
              <w:top w:val="nil"/>
              <w:left w:val="nil"/>
              <w:bottom w:val="single" w:sz="4" w:space="0" w:color="auto"/>
              <w:right w:val="nil"/>
            </w:tcBorders>
            <w:shd w:val="clear" w:color="auto" w:fill="auto"/>
            <w:noWrap/>
            <w:vAlign w:val="bottom"/>
            <w:hideMark/>
          </w:tcPr>
          <w:p w14:paraId="548383F8" w14:textId="77777777" w:rsidR="008A6D6D" w:rsidRPr="004662EE" w:rsidRDefault="008A6D6D" w:rsidP="00162D6E">
            <w:pPr>
              <w:spacing w:line="360" w:lineRule="auto"/>
              <w:jc w:val="both"/>
              <w:rPr>
                <w:rFonts w:ascii="Arial" w:hAnsi="Arial" w:cs="Arial"/>
                <w:color w:val="000000"/>
                <w:sz w:val="18"/>
                <w:szCs w:val="18"/>
              </w:rPr>
            </w:pPr>
            <w:r w:rsidRPr="004662EE">
              <w:rPr>
                <w:rFonts w:ascii="Arial" w:hAnsi="Arial" w:cs="Arial"/>
                <w:color w:val="000000"/>
                <w:sz w:val="18"/>
                <w:szCs w:val="18"/>
              </w:rPr>
              <w:t>63.6%</w:t>
            </w:r>
          </w:p>
        </w:tc>
        <w:tc>
          <w:tcPr>
            <w:tcW w:w="727" w:type="dxa"/>
            <w:tcBorders>
              <w:top w:val="nil"/>
              <w:left w:val="nil"/>
              <w:bottom w:val="single" w:sz="4" w:space="0" w:color="auto"/>
              <w:right w:val="nil"/>
            </w:tcBorders>
            <w:shd w:val="clear" w:color="auto" w:fill="auto"/>
            <w:noWrap/>
            <w:vAlign w:val="bottom"/>
            <w:hideMark/>
          </w:tcPr>
          <w:p w14:paraId="546AB049" w14:textId="77777777" w:rsidR="008A6D6D" w:rsidRPr="004662EE" w:rsidRDefault="008A6D6D" w:rsidP="00162D6E">
            <w:pPr>
              <w:spacing w:line="360" w:lineRule="auto"/>
              <w:jc w:val="both"/>
              <w:rPr>
                <w:rFonts w:ascii="Arial" w:hAnsi="Arial" w:cs="Arial"/>
                <w:color w:val="000000"/>
                <w:sz w:val="18"/>
                <w:szCs w:val="18"/>
              </w:rPr>
            </w:pPr>
            <w:r w:rsidRPr="004662EE">
              <w:rPr>
                <w:rFonts w:ascii="Arial" w:hAnsi="Arial" w:cs="Arial"/>
                <w:color w:val="000000"/>
                <w:sz w:val="18"/>
                <w:szCs w:val="18"/>
              </w:rPr>
              <w:t>63.8%</w:t>
            </w:r>
          </w:p>
        </w:tc>
        <w:tc>
          <w:tcPr>
            <w:tcW w:w="727" w:type="dxa"/>
            <w:tcBorders>
              <w:top w:val="nil"/>
              <w:left w:val="nil"/>
              <w:bottom w:val="single" w:sz="4" w:space="0" w:color="auto"/>
              <w:right w:val="nil"/>
            </w:tcBorders>
            <w:shd w:val="clear" w:color="auto" w:fill="auto"/>
            <w:noWrap/>
            <w:vAlign w:val="bottom"/>
            <w:hideMark/>
          </w:tcPr>
          <w:p w14:paraId="1BF9CFA4" w14:textId="77777777" w:rsidR="008A6D6D" w:rsidRPr="004662EE" w:rsidRDefault="008A6D6D" w:rsidP="00162D6E">
            <w:pPr>
              <w:spacing w:line="360" w:lineRule="auto"/>
              <w:jc w:val="both"/>
              <w:rPr>
                <w:rFonts w:ascii="Arial" w:hAnsi="Arial" w:cs="Arial"/>
                <w:color w:val="000000"/>
                <w:sz w:val="18"/>
                <w:szCs w:val="18"/>
              </w:rPr>
            </w:pPr>
            <w:r w:rsidRPr="004662EE">
              <w:rPr>
                <w:rFonts w:ascii="Arial" w:hAnsi="Arial" w:cs="Arial"/>
                <w:color w:val="000000"/>
                <w:sz w:val="18"/>
                <w:szCs w:val="18"/>
              </w:rPr>
              <w:t>64.1%</w:t>
            </w:r>
          </w:p>
        </w:tc>
        <w:tc>
          <w:tcPr>
            <w:tcW w:w="727" w:type="dxa"/>
            <w:tcBorders>
              <w:top w:val="nil"/>
              <w:left w:val="nil"/>
              <w:bottom w:val="single" w:sz="4" w:space="0" w:color="auto"/>
              <w:right w:val="nil"/>
            </w:tcBorders>
            <w:shd w:val="clear" w:color="auto" w:fill="auto"/>
            <w:noWrap/>
            <w:vAlign w:val="bottom"/>
            <w:hideMark/>
          </w:tcPr>
          <w:p w14:paraId="599F885D" w14:textId="77777777" w:rsidR="008A6D6D" w:rsidRPr="004662EE" w:rsidRDefault="008A6D6D" w:rsidP="00162D6E">
            <w:pPr>
              <w:spacing w:line="360" w:lineRule="auto"/>
              <w:jc w:val="both"/>
              <w:rPr>
                <w:rFonts w:ascii="Arial" w:hAnsi="Arial" w:cs="Arial"/>
                <w:color w:val="000000"/>
                <w:sz w:val="18"/>
                <w:szCs w:val="18"/>
              </w:rPr>
            </w:pPr>
            <w:r w:rsidRPr="004662EE">
              <w:rPr>
                <w:rFonts w:ascii="Arial" w:hAnsi="Arial" w:cs="Arial"/>
                <w:color w:val="000000"/>
                <w:sz w:val="18"/>
                <w:szCs w:val="18"/>
              </w:rPr>
              <w:t>64.4%</w:t>
            </w:r>
          </w:p>
        </w:tc>
        <w:tc>
          <w:tcPr>
            <w:tcW w:w="727" w:type="dxa"/>
            <w:tcBorders>
              <w:top w:val="nil"/>
              <w:left w:val="nil"/>
              <w:bottom w:val="single" w:sz="4" w:space="0" w:color="auto"/>
              <w:right w:val="nil"/>
            </w:tcBorders>
            <w:shd w:val="clear" w:color="auto" w:fill="auto"/>
            <w:noWrap/>
            <w:vAlign w:val="bottom"/>
            <w:hideMark/>
          </w:tcPr>
          <w:p w14:paraId="583F440E" w14:textId="77777777" w:rsidR="008A6D6D" w:rsidRPr="004662EE" w:rsidRDefault="008A6D6D" w:rsidP="00162D6E">
            <w:pPr>
              <w:spacing w:line="360" w:lineRule="auto"/>
              <w:jc w:val="both"/>
              <w:rPr>
                <w:rFonts w:ascii="Arial" w:hAnsi="Arial" w:cs="Arial"/>
                <w:color w:val="000000"/>
                <w:sz w:val="18"/>
                <w:szCs w:val="18"/>
              </w:rPr>
            </w:pPr>
            <w:r w:rsidRPr="004662EE">
              <w:rPr>
                <w:rFonts w:ascii="Arial" w:hAnsi="Arial" w:cs="Arial"/>
                <w:color w:val="000000"/>
                <w:sz w:val="18"/>
                <w:szCs w:val="18"/>
              </w:rPr>
              <w:t>64.6%</w:t>
            </w:r>
          </w:p>
        </w:tc>
        <w:tc>
          <w:tcPr>
            <w:tcW w:w="727" w:type="dxa"/>
            <w:tcBorders>
              <w:top w:val="nil"/>
              <w:left w:val="nil"/>
              <w:bottom w:val="single" w:sz="4" w:space="0" w:color="auto"/>
              <w:right w:val="nil"/>
            </w:tcBorders>
            <w:shd w:val="clear" w:color="auto" w:fill="auto"/>
            <w:noWrap/>
            <w:vAlign w:val="bottom"/>
            <w:hideMark/>
          </w:tcPr>
          <w:p w14:paraId="0E22B8FC" w14:textId="77777777" w:rsidR="008A6D6D" w:rsidRPr="004662EE" w:rsidRDefault="008A6D6D" w:rsidP="00162D6E">
            <w:pPr>
              <w:spacing w:line="360" w:lineRule="auto"/>
              <w:jc w:val="both"/>
              <w:rPr>
                <w:rFonts w:ascii="Arial" w:hAnsi="Arial" w:cs="Arial"/>
                <w:color w:val="000000"/>
                <w:sz w:val="18"/>
                <w:szCs w:val="18"/>
              </w:rPr>
            </w:pPr>
            <w:r w:rsidRPr="004662EE">
              <w:rPr>
                <w:rFonts w:ascii="Arial" w:hAnsi="Arial" w:cs="Arial"/>
                <w:color w:val="000000"/>
                <w:sz w:val="18"/>
                <w:szCs w:val="18"/>
              </w:rPr>
              <w:t>64.7%</w:t>
            </w:r>
          </w:p>
        </w:tc>
        <w:tc>
          <w:tcPr>
            <w:tcW w:w="727" w:type="dxa"/>
            <w:tcBorders>
              <w:top w:val="nil"/>
              <w:left w:val="nil"/>
              <w:bottom w:val="single" w:sz="4" w:space="0" w:color="auto"/>
              <w:right w:val="nil"/>
            </w:tcBorders>
            <w:shd w:val="clear" w:color="auto" w:fill="auto"/>
            <w:noWrap/>
            <w:vAlign w:val="bottom"/>
            <w:hideMark/>
          </w:tcPr>
          <w:p w14:paraId="651F649A" w14:textId="77777777" w:rsidR="008A6D6D" w:rsidRPr="004662EE" w:rsidRDefault="008A6D6D" w:rsidP="00162D6E">
            <w:pPr>
              <w:spacing w:line="360" w:lineRule="auto"/>
              <w:jc w:val="both"/>
              <w:rPr>
                <w:rFonts w:ascii="Arial" w:hAnsi="Arial" w:cs="Arial"/>
                <w:color w:val="000000"/>
                <w:sz w:val="18"/>
                <w:szCs w:val="18"/>
              </w:rPr>
            </w:pPr>
            <w:r w:rsidRPr="004662EE">
              <w:rPr>
                <w:rFonts w:ascii="Arial" w:hAnsi="Arial" w:cs="Arial"/>
                <w:color w:val="000000"/>
                <w:sz w:val="18"/>
                <w:szCs w:val="18"/>
              </w:rPr>
              <w:t>64.9%</w:t>
            </w:r>
          </w:p>
        </w:tc>
        <w:tc>
          <w:tcPr>
            <w:tcW w:w="727" w:type="dxa"/>
            <w:tcBorders>
              <w:top w:val="nil"/>
              <w:left w:val="nil"/>
              <w:bottom w:val="single" w:sz="4" w:space="0" w:color="auto"/>
              <w:right w:val="single" w:sz="4" w:space="0" w:color="auto"/>
            </w:tcBorders>
            <w:shd w:val="clear" w:color="auto" w:fill="auto"/>
            <w:noWrap/>
            <w:vAlign w:val="bottom"/>
            <w:hideMark/>
          </w:tcPr>
          <w:p w14:paraId="0063459C" w14:textId="77777777" w:rsidR="008A6D6D" w:rsidRPr="004662EE" w:rsidRDefault="008A6D6D" w:rsidP="00162D6E">
            <w:pPr>
              <w:spacing w:line="360" w:lineRule="auto"/>
              <w:jc w:val="both"/>
              <w:rPr>
                <w:rFonts w:ascii="Arial" w:hAnsi="Arial" w:cs="Arial"/>
                <w:color w:val="000000"/>
                <w:sz w:val="18"/>
                <w:szCs w:val="18"/>
              </w:rPr>
            </w:pPr>
            <w:r w:rsidRPr="004662EE">
              <w:rPr>
                <w:rFonts w:ascii="Arial" w:hAnsi="Arial" w:cs="Arial"/>
                <w:color w:val="000000"/>
                <w:sz w:val="18"/>
                <w:szCs w:val="18"/>
              </w:rPr>
              <w:t>64.9%</w:t>
            </w:r>
          </w:p>
        </w:tc>
      </w:tr>
    </w:tbl>
    <w:p w14:paraId="6552B11D" w14:textId="14837301" w:rsidR="000D2F58" w:rsidRDefault="000D2F58" w:rsidP="008A6D6D">
      <w:pPr>
        <w:spacing w:line="360" w:lineRule="auto"/>
        <w:jc w:val="both"/>
        <w:rPr>
          <w:rFonts w:ascii="Arial" w:hAnsi="Arial" w:cs="Arial"/>
          <w:b/>
          <w:sz w:val="20"/>
          <w:szCs w:val="20"/>
        </w:rPr>
      </w:pPr>
    </w:p>
    <w:p w14:paraId="58269CAC" w14:textId="77777777" w:rsidR="008A6D6D" w:rsidRPr="00E34476" w:rsidRDefault="008A6D6D" w:rsidP="000D5456">
      <w:pPr>
        <w:pStyle w:val="Heading3"/>
        <w:tabs>
          <w:tab w:val="clear" w:pos="1844"/>
          <w:tab w:val="num" w:pos="709"/>
        </w:tabs>
        <w:ind w:hanging="1844"/>
      </w:pPr>
      <w:bookmarkStart w:id="65" w:name="_Toc392865746"/>
      <w:bookmarkStart w:id="66" w:name="_Toc392874317"/>
      <w:bookmarkStart w:id="67" w:name="_Toc392874431"/>
      <w:bookmarkStart w:id="68" w:name="_Toc394079428"/>
      <w:bookmarkStart w:id="69" w:name="_Toc394079806"/>
      <w:bookmarkStart w:id="70" w:name="_Toc394080298"/>
      <w:bookmarkStart w:id="71" w:name="_Toc394580132"/>
      <w:r w:rsidRPr="00E34476">
        <w:t xml:space="preserve">Rates, </w:t>
      </w:r>
      <w:r>
        <w:t>A</w:t>
      </w:r>
      <w:r w:rsidRPr="00E34476">
        <w:t xml:space="preserve">nnual </w:t>
      </w:r>
      <w:r>
        <w:t>C</w:t>
      </w:r>
      <w:r w:rsidRPr="00E34476">
        <w:t xml:space="preserve">harges, </w:t>
      </w:r>
      <w:r>
        <w:t>I</w:t>
      </w:r>
      <w:r w:rsidRPr="00E34476">
        <w:t xml:space="preserve">nterest &amp; </w:t>
      </w:r>
      <w:r>
        <w:t>E</w:t>
      </w:r>
      <w:r w:rsidRPr="00E34476">
        <w:t xml:space="preserve">xtra </w:t>
      </w:r>
      <w:r>
        <w:t>C</w:t>
      </w:r>
      <w:r w:rsidRPr="00E34476">
        <w:t xml:space="preserve">harges </w:t>
      </w:r>
      <w:r>
        <w:t>O</w:t>
      </w:r>
      <w:r w:rsidRPr="00E34476">
        <w:t xml:space="preserve">utstanding </w:t>
      </w:r>
      <w:r>
        <w:t>P</w:t>
      </w:r>
      <w:r w:rsidRPr="00E34476">
        <w:t>ercentage</w:t>
      </w:r>
      <w:bookmarkEnd w:id="65"/>
      <w:bookmarkEnd w:id="66"/>
      <w:bookmarkEnd w:id="67"/>
      <w:bookmarkEnd w:id="68"/>
      <w:bookmarkEnd w:id="69"/>
      <w:bookmarkEnd w:id="70"/>
      <w:bookmarkEnd w:id="71"/>
    </w:p>
    <w:p w14:paraId="5C5569D8" w14:textId="77777777" w:rsidR="008A6D6D" w:rsidRPr="008022C5" w:rsidRDefault="008A6D6D" w:rsidP="00FF78B3">
      <w:pPr>
        <w:spacing w:before="120" w:after="60" w:line="276" w:lineRule="auto"/>
        <w:jc w:val="both"/>
        <w:rPr>
          <w:rFonts w:ascii="Arial" w:hAnsi="Arial" w:cs="Arial"/>
          <w:i/>
          <w:sz w:val="20"/>
          <w:szCs w:val="20"/>
        </w:rPr>
      </w:pPr>
      <w:r w:rsidRPr="008022C5">
        <w:rPr>
          <w:rFonts w:ascii="Arial" w:hAnsi="Arial" w:cs="Arial"/>
          <w:i/>
          <w:sz w:val="20"/>
          <w:szCs w:val="20"/>
        </w:rPr>
        <w:t xml:space="preserve">Proposed special </w:t>
      </w:r>
      <w:r>
        <w:rPr>
          <w:rFonts w:ascii="Arial" w:hAnsi="Arial" w:cs="Arial"/>
          <w:i/>
          <w:sz w:val="20"/>
          <w:szCs w:val="20"/>
        </w:rPr>
        <w:t>v</w:t>
      </w:r>
      <w:r w:rsidRPr="008022C5">
        <w:rPr>
          <w:rFonts w:ascii="Arial" w:hAnsi="Arial" w:cs="Arial"/>
          <w:i/>
          <w:sz w:val="20"/>
          <w:szCs w:val="20"/>
        </w:rPr>
        <w:t>ariation</w:t>
      </w:r>
      <w:r>
        <w:rPr>
          <w:rFonts w:ascii="Arial" w:hAnsi="Arial" w:cs="Arial"/>
          <w:i/>
          <w:sz w:val="20"/>
          <w:szCs w:val="20"/>
        </w:rPr>
        <w:t xml:space="preserve"> (Scenario 1)</w:t>
      </w:r>
    </w:p>
    <w:p w14:paraId="53CA6ADE" w14:textId="77777777" w:rsidR="008A6D6D" w:rsidRDefault="008A6D6D" w:rsidP="00FF78B3">
      <w:pPr>
        <w:spacing w:after="60" w:line="276" w:lineRule="auto"/>
        <w:jc w:val="both"/>
        <w:rPr>
          <w:rFonts w:ascii="Arial" w:hAnsi="Arial" w:cs="Arial"/>
          <w:sz w:val="20"/>
          <w:szCs w:val="20"/>
        </w:rPr>
      </w:pPr>
      <w:r w:rsidRPr="00BF6931">
        <w:rPr>
          <w:rFonts w:ascii="Arial" w:hAnsi="Arial" w:cs="Arial"/>
          <w:sz w:val="20"/>
          <w:szCs w:val="20"/>
        </w:rPr>
        <w:t>Under the proposed special variation</w:t>
      </w:r>
      <w:r>
        <w:rPr>
          <w:rFonts w:ascii="Arial" w:hAnsi="Arial" w:cs="Arial"/>
          <w:sz w:val="20"/>
          <w:szCs w:val="20"/>
        </w:rPr>
        <w:t>,</w:t>
      </w:r>
      <w:r w:rsidRPr="00E34476">
        <w:rPr>
          <w:rFonts w:ascii="Arial" w:hAnsi="Arial" w:cs="Arial"/>
          <w:sz w:val="20"/>
          <w:szCs w:val="20"/>
        </w:rPr>
        <w:t xml:space="preserve"> </w:t>
      </w:r>
      <w:r>
        <w:rPr>
          <w:rFonts w:ascii="Arial" w:hAnsi="Arial" w:cs="Arial"/>
          <w:sz w:val="20"/>
          <w:szCs w:val="20"/>
        </w:rPr>
        <w:t xml:space="preserve">the </w:t>
      </w:r>
      <w:r w:rsidRPr="00E34476">
        <w:rPr>
          <w:rFonts w:ascii="Arial" w:hAnsi="Arial" w:cs="Arial"/>
          <w:sz w:val="20"/>
          <w:szCs w:val="20"/>
        </w:rPr>
        <w:t>Council’s</w:t>
      </w:r>
      <w:r>
        <w:rPr>
          <w:rFonts w:ascii="Arial" w:hAnsi="Arial" w:cs="Arial"/>
          <w:sz w:val="20"/>
          <w:szCs w:val="20"/>
        </w:rPr>
        <w:t xml:space="preserve"> Rates, Annual Charges, Interest &amp; Extra Charges Outstanding Percentage,</w:t>
      </w:r>
      <w:r w:rsidRPr="00E34476">
        <w:rPr>
          <w:rFonts w:ascii="Arial" w:hAnsi="Arial" w:cs="Arial"/>
          <w:sz w:val="20"/>
          <w:szCs w:val="20"/>
        </w:rPr>
        <w:t xml:space="preserve"> </w:t>
      </w:r>
      <w:r>
        <w:rPr>
          <w:rFonts w:ascii="Arial" w:hAnsi="Arial" w:cs="Arial"/>
          <w:sz w:val="20"/>
          <w:szCs w:val="20"/>
        </w:rPr>
        <w:t>n</w:t>
      </w:r>
      <w:r w:rsidRPr="00E34476">
        <w:rPr>
          <w:rFonts w:ascii="Arial" w:hAnsi="Arial" w:cs="Arial"/>
          <w:sz w:val="20"/>
          <w:szCs w:val="20"/>
        </w:rPr>
        <w:t>otwithstanding the increase in rates</w:t>
      </w:r>
      <w:r>
        <w:rPr>
          <w:rFonts w:ascii="Arial" w:hAnsi="Arial" w:cs="Arial"/>
          <w:sz w:val="20"/>
          <w:szCs w:val="20"/>
        </w:rPr>
        <w:t xml:space="preserve"> revenue</w:t>
      </w:r>
      <w:r w:rsidRPr="00E34476">
        <w:rPr>
          <w:rFonts w:ascii="Arial" w:hAnsi="Arial" w:cs="Arial"/>
          <w:sz w:val="20"/>
          <w:szCs w:val="20"/>
        </w:rPr>
        <w:t xml:space="preserve"> due to the special variation, remains under the 5% benchmark at around 4.1%</w:t>
      </w:r>
      <w:r>
        <w:rPr>
          <w:rFonts w:ascii="Arial" w:hAnsi="Arial" w:cs="Arial"/>
          <w:sz w:val="20"/>
          <w:szCs w:val="20"/>
        </w:rPr>
        <w:t>.</w:t>
      </w:r>
    </w:p>
    <w:p w14:paraId="1772B9F7" w14:textId="77777777" w:rsidR="008A6D6D" w:rsidRDefault="008A6D6D" w:rsidP="00FF78B3">
      <w:pPr>
        <w:spacing w:after="60" w:line="276" w:lineRule="auto"/>
        <w:jc w:val="both"/>
        <w:rPr>
          <w:rFonts w:ascii="Arial" w:hAnsi="Arial" w:cs="Arial"/>
          <w:sz w:val="20"/>
          <w:szCs w:val="20"/>
        </w:rPr>
      </w:pPr>
    </w:p>
    <w:p w14:paraId="5D2D8AFB" w14:textId="31A8F0C0" w:rsidR="008A6D6D" w:rsidRDefault="008A6D6D" w:rsidP="00650526">
      <w:pPr>
        <w:spacing w:after="60" w:line="276" w:lineRule="auto"/>
        <w:jc w:val="both"/>
        <w:rPr>
          <w:rFonts w:ascii="Arial" w:hAnsi="Arial" w:cs="Arial"/>
          <w:sz w:val="20"/>
          <w:szCs w:val="20"/>
          <w:lang w:val="en-US"/>
        </w:rPr>
      </w:pPr>
      <w:r>
        <w:rPr>
          <w:rFonts w:ascii="Arial" w:hAnsi="Arial" w:cs="Arial"/>
          <w:sz w:val="20"/>
          <w:szCs w:val="20"/>
        </w:rPr>
        <w:t xml:space="preserve">The financial indicator measures the </w:t>
      </w:r>
      <w:r w:rsidRPr="00E34476">
        <w:rPr>
          <w:rFonts w:ascii="Arial" w:hAnsi="Arial" w:cs="Arial"/>
          <w:sz w:val="20"/>
          <w:szCs w:val="20"/>
        </w:rPr>
        <w:t>impact of uncollected rates and annual charges on the Council’s liquidity and the adequacy of debt recovery efforts</w:t>
      </w:r>
      <w:r>
        <w:rPr>
          <w:rFonts w:ascii="Arial" w:hAnsi="Arial" w:cs="Arial"/>
          <w:sz w:val="20"/>
          <w:szCs w:val="20"/>
        </w:rPr>
        <w:t xml:space="preserve">, and the </w:t>
      </w:r>
      <w:r w:rsidRPr="00E34476">
        <w:rPr>
          <w:rFonts w:ascii="Arial" w:hAnsi="Arial" w:cs="Arial"/>
          <w:sz w:val="20"/>
          <w:szCs w:val="20"/>
        </w:rPr>
        <w:t>result</w:t>
      </w:r>
      <w:r>
        <w:rPr>
          <w:rFonts w:ascii="Arial" w:hAnsi="Arial" w:cs="Arial"/>
          <w:sz w:val="20"/>
          <w:szCs w:val="20"/>
        </w:rPr>
        <w:t xml:space="preserve"> being better than the 5% target</w:t>
      </w:r>
      <w:r w:rsidRPr="00E34476">
        <w:rPr>
          <w:rFonts w:ascii="Arial" w:hAnsi="Arial" w:cs="Arial"/>
          <w:sz w:val="20"/>
          <w:szCs w:val="20"/>
        </w:rPr>
        <w:t xml:space="preserve"> is a reflection of efficient credit management practices </w:t>
      </w:r>
      <w:r>
        <w:rPr>
          <w:rFonts w:ascii="Arial" w:hAnsi="Arial" w:cs="Arial"/>
          <w:sz w:val="20"/>
          <w:szCs w:val="20"/>
        </w:rPr>
        <w:t>employed by the Council to</w:t>
      </w:r>
      <w:r w:rsidRPr="00E34476">
        <w:rPr>
          <w:rFonts w:ascii="Arial" w:hAnsi="Arial" w:cs="Arial"/>
          <w:sz w:val="20"/>
          <w:szCs w:val="20"/>
        </w:rPr>
        <w:t xml:space="preserve"> ensure the Council’s cash liquidity</w:t>
      </w:r>
      <w:r>
        <w:rPr>
          <w:rFonts w:ascii="Arial" w:hAnsi="Arial" w:cs="Arial"/>
          <w:sz w:val="20"/>
          <w:szCs w:val="20"/>
        </w:rPr>
        <w:t>.</w:t>
      </w:r>
      <w:r w:rsidR="00650526">
        <w:rPr>
          <w:rFonts w:ascii="Arial" w:hAnsi="Arial" w:cs="Arial"/>
          <w:sz w:val="20"/>
          <w:szCs w:val="20"/>
        </w:rPr>
        <w:t xml:space="preserve"> </w:t>
      </w:r>
      <w:r w:rsidRPr="00E25D88">
        <w:rPr>
          <w:rFonts w:ascii="Arial" w:hAnsi="Arial" w:cs="Arial"/>
          <w:sz w:val="20"/>
          <w:szCs w:val="20"/>
          <w:lang w:val="en-US"/>
        </w:rPr>
        <w:t>The Council has a responsibility to the Blue Mountains community to recover monies owing to it in a timely, efficient and effective manner to fund operations and ensure effective cash flow management.  This is particularly important given that just under half (49%) of the Council’s total annual revenue is derived from rate payments.</w:t>
      </w:r>
    </w:p>
    <w:p w14:paraId="3739A936" w14:textId="77777777" w:rsidR="008A6D6D" w:rsidRPr="00F5593C" w:rsidRDefault="008A6D6D" w:rsidP="00FF78B3">
      <w:pPr>
        <w:spacing w:line="276" w:lineRule="auto"/>
        <w:jc w:val="both"/>
        <w:rPr>
          <w:rFonts w:ascii="Arial" w:hAnsi="Arial" w:cs="Arial"/>
          <w:sz w:val="20"/>
          <w:szCs w:val="20"/>
          <w:lang w:val="en-US"/>
        </w:rPr>
      </w:pPr>
      <w:r>
        <w:rPr>
          <w:rFonts w:ascii="Arial" w:hAnsi="Arial" w:cs="Arial"/>
          <w:sz w:val="20"/>
          <w:szCs w:val="20"/>
          <w:lang w:val="en-US"/>
        </w:rPr>
        <w:t xml:space="preserve">However, the Council also takes very seriously its social responsibilities and has been </w:t>
      </w:r>
      <w:r w:rsidRPr="00F5593C">
        <w:rPr>
          <w:rFonts w:ascii="Arial" w:hAnsi="Arial" w:cs="Arial"/>
          <w:sz w:val="20"/>
          <w:szCs w:val="20"/>
          <w:lang w:val="en-US"/>
        </w:rPr>
        <w:t>proactive</w:t>
      </w:r>
      <w:r>
        <w:rPr>
          <w:rFonts w:ascii="Arial" w:hAnsi="Arial" w:cs="Arial"/>
          <w:sz w:val="20"/>
          <w:szCs w:val="20"/>
          <w:lang w:val="en-US"/>
        </w:rPr>
        <w:t xml:space="preserve"> in establishing</w:t>
      </w:r>
      <w:r w:rsidRPr="00F5593C">
        <w:rPr>
          <w:rFonts w:ascii="Arial" w:hAnsi="Arial" w:cs="Arial"/>
          <w:sz w:val="20"/>
          <w:szCs w:val="20"/>
          <w:lang w:val="en-US"/>
        </w:rPr>
        <w:t xml:space="preserve"> policies and procedures that support ratepayers experiencing genuine hardship, provide a transparent decision making framework that ensures all ratepayers, including low income and pensioner ratepayers, are treated in a fair and equitable manner.</w:t>
      </w:r>
    </w:p>
    <w:p w14:paraId="3A1D47EC" w14:textId="77777777" w:rsidR="008A6D6D" w:rsidRPr="00F5593C" w:rsidRDefault="008A6D6D" w:rsidP="00FF78B3">
      <w:pPr>
        <w:spacing w:line="276" w:lineRule="auto"/>
        <w:jc w:val="both"/>
        <w:rPr>
          <w:rFonts w:ascii="Arial" w:hAnsi="Arial" w:cs="Arial"/>
          <w:sz w:val="20"/>
          <w:szCs w:val="20"/>
          <w:lang w:val="en-US"/>
        </w:rPr>
      </w:pPr>
      <w:r w:rsidRPr="00F5593C">
        <w:rPr>
          <w:rFonts w:ascii="Arial" w:hAnsi="Arial" w:cs="Arial"/>
          <w:sz w:val="20"/>
          <w:szCs w:val="20"/>
          <w:lang w:val="en-US"/>
        </w:rPr>
        <w:t>These policies and procedures would also support ratepayers experiencing hardship as a result of any approved additional special rate variation or annual rate peg increases.</w:t>
      </w:r>
    </w:p>
    <w:p w14:paraId="105CF145" w14:textId="77777777" w:rsidR="008A6D6D" w:rsidRPr="00F5593C" w:rsidRDefault="008A6D6D" w:rsidP="00FF78B3">
      <w:pPr>
        <w:spacing w:after="60" w:line="276" w:lineRule="auto"/>
        <w:jc w:val="both"/>
        <w:rPr>
          <w:rFonts w:ascii="Arial" w:hAnsi="Arial" w:cs="Arial"/>
          <w:sz w:val="20"/>
          <w:szCs w:val="20"/>
        </w:rPr>
      </w:pPr>
    </w:p>
    <w:p w14:paraId="58A090F3" w14:textId="2C013794" w:rsidR="008A6D6D" w:rsidRDefault="008A6D6D" w:rsidP="00FF78B3">
      <w:pPr>
        <w:spacing w:line="276" w:lineRule="auto"/>
        <w:jc w:val="both"/>
        <w:rPr>
          <w:rFonts w:ascii="Arial" w:hAnsi="Arial" w:cs="Arial"/>
          <w:bCs/>
          <w:sz w:val="20"/>
          <w:szCs w:val="20"/>
          <w:lang w:val="en-US"/>
        </w:rPr>
      </w:pPr>
      <w:r w:rsidRPr="00F5593C">
        <w:rPr>
          <w:rFonts w:ascii="Arial" w:hAnsi="Arial" w:cs="Arial"/>
          <w:bCs/>
          <w:sz w:val="20"/>
          <w:szCs w:val="20"/>
          <w:lang w:val="en-US"/>
        </w:rPr>
        <w:t>The Council’s</w:t>
      </w:r>
      <w:r>
        <w:rPr>
          <w:rFonts w:ascii="Arial" w:hAnsi="Arial" w:cs="Arial"/>
          <w:bCs/>
          <w:sz w:val="20"/>
          <w:szCs w:val="20"/>
          <w:lang w:val="en-US"/>
        </w:rPr>
        <w:t xml:space="preserve"> historical performance in debt recovery is depicted </w:t>
      </w:r>
      <w:r w:rsidRPr="00803D3E">
        <w:rPr>
          <w:rFonts w:ascii="Arial" w:hAnsi="Arial" w:cs="Arial"/>
          <w:b/>
          <w:bCs/>
          <w:sz w:val="20"/>
          <w:szCs w:val="20"/>
          <w:lang w:val="en-US"/>
        </w:rPr>
        <w:t xml:space="preserve">in </w:t>
      </w:r>
      <w:r w:rsidR="007428EA" w:rsidRPr="00803D3E">
        <w:rPr>
          <w:rFonts w:ascii="Arial" w:hAnsi="Arial" w:cs="Arial"/>
          <w:b/>
          <w:bCs/>
          <w:sz w:val="20"/>
          <w:szCs w:val="20"/>
          <w:lang w:val="en-US"/>
        </w:rPr>
        <w:t>F</w:t>
      </w:r>
      <w:r w:rsidRPr="00803D3E">
        <w:rPr>
          <w:rFonts w:ascii="Arial" w:hAnsi="Arial" w:cs="Arial"/>
          <w:b/>
          <w:bCs/>
          <w:sz w:val="20"/>
          <w:szCs w:val="20"/>
          <w:lang w:val="en-US"/>
        </w:rPr>
        <w:t xml:space="preserve">igure </w:t>
      </w:r>
      <w:r w:rsidR="007428EA" w:rsidRPr="00803D3E">
        <w:rPr>
          <w:rFonts w:ascii="Arial" w:hAnsi="Arial" w:cs="Arial"/>
          <w:b/>
          <w:bCs/>
          <w:sz w:val="20"/>
          <w:szCs w:val="20"/>
          <w:lang w:val="en-US"/>
        </w:rPr>
        <w:t>3.16</w:t>
      </w:r>
      <w:r w:rsidR="007428EA">
        <w:rPr>
          <w:rFonts w:ascii="Arial" w:hAnsi="Arial" w:cs="Arial"/>
          <w:bCs/>
          <w:sz w:val="20"/>
          <w:szCs w:val="20"/>
          <w:lang w:val="en-US"/>
        </w:rPr>
        <w:t xml:space="preserve"> </w:t>
      </w:r>
      <w:r w:rsidRPr="00B6783F">
        <w:rPr>
          <w:rFonts w:ascii="Arial" w:hAnsi="Arial" w:cs="Arial"/>
          <w:bCs/>
          <w:sz w:val="20"/>
          <w:szCs w:val="20"/>
          <w:lang w:val="en-US"/>
        </w:rPr>
        <w:t>below</w:t>
      </w:r>
      <w:r>
        <w:rPr>
          <w:rFonts w:ascii="Arial" w:hAnsi="Arial" w:cs="Arial"/>
          <w:bCs/>
          <w:sz w:val="20"/>
          <w:szCs w:val="20"/>
          <w:lang w:val="en-US"/>
        </w:rPr>
        <w:t>, which</w:t>
      </w:r>
      <w:r w:rsidRPr="00B6783F">
        <w:rPr>
          <w:rFonts w:ascii="Arial" w:hAnsi="Arial" w:cs="Arial"/>
          <w:bCs/>
          <w:sz w:val="20"/>
          <w:szCs w:val="20"/>
          <w:lang w:val="en-US"/>
        </w:rPr>
        <w:t xml:space="preserve"> shows that the amount of outstanding total rate revenue has declined from $2.4</w:t>
      </w:r>
      <w:r>
        <w:rPr>
          <w:rFonts w:ascii="Arial" w:hAnsi="Arial" w:cs="Arial"/>
          <w:bCs/>
          <w:sz w:val="20"/>
          <w:szCs w:val="20"/>
          <w:lang w:val="en-US"/>
        </w:rPr>
        <w:t xml:space="preserve"> million</w:t>
      </w:r>
      <w:r w:rsidRPr="00B6783F">
        <w:rPr>
          <w:rFonts w:ascii="Arial" w:hAnsi="Arial" w:cs="Arial"/>
          <w:bCs/>
          <w:sz w:val="20"/>
          <w:szCs w:val="20"/>
          <w:lang w:val="en-US"/>
        </w:rPr>
        <w:t xml:space="preserve"> in 2002</w:t>
      </w:r>
      <w:r>
        <w:rPr>
          <w:rFonts w:ascii="Arial" w:hAnsi="Arial" w:cs="Arial"/>
          <w:bCs/>
          <w:sz w:val="20"/>
          <w:szCs w:val="20"/>
          <w:lang w:val="en-US"/>
        </w:rPr>
        <w:t>/</w:t>
      </w:r>
      <w:r w:rsidRPr="00B6783F">
        <w:rPr>
          <w:rFonts w:ascii="Arial" w:hAnsi="Arial" w:cs="Arial"/>
          <w:bCs/>
          <w:sz w:val="20"/>
          <w:szCs w:val="20"/>
          <w:lang w:val="en-US"/>
        </w:rPr>
        <w:t>03 to $2.3</w:t>
      </w:r>
      <w:r>
        <w:rPr>
          <w:rFonts w:ascii="Arial" w:hAnsi="Arial" w:cs="Arial"/>
          <w:bCs/>
          <w:sz w:val="20"/>
          <w:szCs w:val="20"/>
          <w:lang w:val="en-US"/>
        </w:rPr>
        <w:t xml:space="preserve"> million</w:t>
      </w:r>
      <w:r w:rsidRPr="00B6783F">
        <w:rPr>
          <w:rFonts w:ascii="Arial" w:hAnsi="Arial" w:cs="Arial"/>
          <w:bCs/>
          <w:sz w:val="20"/>
          <w:szCs w:val="20"/>
          <w:lang w:val="en-US"/>
        </w:rPr>
        <w:t xml:space="preserve"> in 2013</w:t>
      </w:r>
      <w:r>
        <w:rPr>
          <w:rFonts w:ascii="Arial" w:hAnsi="Arial" w:cs="Arial"/>
          <w:bCs/>
          <w:sz w:val="20"/>
          <w:szCs w:val="20"/>
          <w:lang w:val="en-US"/>
        </w:rPr>
        <w:t>/</w:t>
      </w:r>
      <w:r w:rsidRPr="00B6783F">
        <w:rPr>
          <w:rFonts w:ascii="Arial" w:hAnsi="Arial" w:cs="Arial"/>
          <w:bCs/>
          <w:sz w:val="20"/>
          <w:szCs w:val="20"/>
          <w:lang w:val="en-US"/>
        </w:rPr>
        <w:t>14. This is in the context of overall rates collectible for the City increasing from $36.1M to $60.9M per annum over the same period. This data indicates that the capacity of residents to meet outstanding rate debt commitments has been improving over time, supported by the implementation of the range o</w:t>
      </w:r>
      <w:r>
        <w:rPr>
          <w:rFonts w:ascii="Arial" w:hAnsi="Arial" w:cs="Arial"/>
          <w:bCs/>
          <w:sz w:val="20"/>
          <w:szCs w:val="20"/>
          <w:lang w:val="en-US"/>
        </w:rPr>
        <w:t xml:space="preserve">f relief measures including (see </w:t>
      </w:r>
      <w:r w:rsidRPr="00803D3E">
        <w:rPr>
          <w:rFonts w:ascii="Arial" w:hAnsi="Arial" w:cs="Arial"/>
          <w:b/>
          <w:bCs/>
          <w:sz w:val="20"/>
          <w:szCs w:val="20"/>
          <w:lang w:val="en-US"/>
        </w:rPr>
        <w:t>Section 5.3 Addressing Hardship</w:t>
      </w:r>
      <w:r>
        <w:rPr>
          <w:rFonts w:ascii="Arial" w:hAnsi="Arial" w:cs="Arial"/>
          <w:bCs/>
          <w:sz w:val="20"/>
          <w:szCs w:val="20"/>
          <w:lang w:val="en-US"/>
        </w:rPr>
        <w:t>):</w:t>
      </w:r>
    </w:p>
    <w:p w14:paraId="5804A695" w14:textId="77777777" w:rsidR="00FF78B3" w:rsidRPr="00E25D88" w:rsidRDefault="00FF78B3" w:rsidP="00FF78B3">
      <w:pPr>
        <w:spacing w:line="276" w:lineRule="auto"/>
        <w:jc w:val="both"/>
        <w:rPr>
          <w:rFonts w:ascii="Arial" w:hAnsi="Arial" w:cs="Arial"/>
          <w:bCs/>
          <w:sz w:val="20"/>
          <w:szCs w:val="20"/>
          <w:lang w:val="en-US"/>
        </w:rPr>
      </w:pPr>
    </w:p>
    <w:p w14:paraId="22E58C8D" w14:textId="733F21E8" w:rsidR="008A6D6D" w:rsidRPr="00E25D88" w:rsidRDefault="008A6D6D" w:rsidP="00FF78B3">
      <w:pPr>
        <w:pStyle w:val="ListParagraph"/>
        <w:numPr>
          <w:ilvl w:val="0"/>
          <w:numId w:val="83"/>
        </w:numPr>
        <w:spacing w:line="276" w:lineRule="auto"/>
        <w:contextualSpacing/>
        <w:jc w:val="both"/>
        <w:rPr>
          <w:rFonts w:ascii="Arial" w:eastAsia="Times New Roman" w:hAnsi="Arial" w:cs="Arial"/>
          <w:bCs/>
          <w:sz w:val="20"/>
          <w:szCs w:val="20"/>
          <w:lang w:val="en-US"/>
        </w:rPr>
      </w:pPr>
      <w:r w:rsidRPr="00E25D88">
        <w:rPr>
          <w:rFonts w:ascii="Arial" w:eastAsia="Times New Roman" w:hAnsi="Arial" w:cs="Arial"/>
          <w:bCs/>
          <w:sz w:val="20"/>
          <w:szCs w:val="20"/>
          <w:lang w:val="en-US"/>
        </w:rPr>
        <w:t>Hardship Relief Policy</w:t>
      </w:r>
      <w:r w:rsidR="00FF78B3">
        <w:rPr>
          <w:rFonts w:ascii="Arial" w:eastAsia="Times New Roman" w:hAnsi="Arial" w:cs="Arial"/>
          <w:bCs/>
          <w:sz w:val="20"/>
          <w:szCs w:val="20"/>
          <w:lang w:val="en-US"/>
        </w:rPr>
        <w:t xml:space="preserve"> (see </w:t>
      </w:r>
      <w:r w:rsidR="00FF78B3" w:rsidRPr="00FF78B3">
        <w:rPr>
          <w:rFonts w:ascii="Arial" w:eastAsia="Times New Roman" w:hAnsi="Arial" w:cs="Arial"/>
          <w:b/>
          <w:bCs/>
          <w:sz w:val="20"/>
          <w:szCs w:val="20"/>
          <w:lang w:val="en-US"/>
        </w:rPr>
        <w:t>Attachment 7</w:t>
      </w:r>
      <w:r w:rsidR="00FF78B3">
        <w:rPr>
          <w:rFonts w:ascii="Arial" w:eastAsia="Times New Roman" w:hAnsi="Arial" w:cs="Arial"/>
          <w:bCs/>
          <w:sz w:val="20"/>
          <w:szCs w:val="20"/>
          <w:lang w:val="en-US"/>
        </w:rPr>
        <w:t>)</w:t>
      </w:r>
      <w:r w:rsidRPr="00E25D88">
        <w:rPr>
          <w:rFonts w:ascii="Arial" w:eastAsia="Times New Roman" w:hAnsi="Arial" w:cs="Arial"/>
          <w:bCs/>
          <w:sz w:val="20"/>
          <w:szCs w:val="20"/>
          <w:lang w:val="en-US"/>
        </w:rPr>
        <w:t>;</w:t>
      </w:r>
    </w:p>
    <w:p w14:paraId="5B4DC1A1" w14:textId="77777777" w:rsidR="008A6D6D" w:rsidRPr="00E25D88" w:rsidRDefault="008A6D6D" w:rsidP="00FF78B3">
      <w:pPr>
        <w:numPr>
          <w:ilvl w:val="0"/>
          <w:numId w:val="83"/>
        </w:numPr>
        <w:spacing w:line="276" w:lineRule="auto"/>
        <w:contextualSpacing/>
        <w:jc w:val="both"/>
        <w:rPr>
          <w:rFonts w:ascii="Arial" w:hAnsi="Arial" w:cs="Arial"/>
          <w:bCs/>
          <w:sz w:val="20"/>
          <w:szCs w:val="20"/>
          <w:lang w:val="en-US"/>
        </w:rPr>
      </w:pPr>
      <w:r w:rsidRPr="00E25D88">
        <w:rPr>
          <w:rFonts w:ascii="Arial" w:hAnsi="Arial" w:cs="Arial"/>
          <w:bCs/>
          <w:sz w:val="20"/>
          <w:szCs w:val="20"/>
          <w:lang w:val="en-US"/>
        </w:rPr>
        <w:t>Pensioner Concession Rebates;</w:t>
      </w:r>
    </w:p>
    <w:p w14:paraId="510A3779" w14:textId="77777777" w:rsidR="008A6D6D" w:rsidRPr="00E25D88" w:rsidRDefault="008A6D6D" w:rsidP="00FF78B3">
      <w:pPr>
        <w:numPr>
          <w:ilvl w:val="0"/>
          <w:numId w:val="83"/>
        </w:numPr>
        <w:spacing w:line="276" w:lineRule="auto"/>
        <w:contextualSpacing/>
        <w:jc w:val="both"/>
        <w:rPr>
          <w:rFonts w:ascii="Arial" w:hAnsi="Arial" w:cs="Arial"/>
          <w:bCs/>
          <w:sz w:val="20"/>
          <w:szCs w:val="20"/>
          <w:lang w:val="en-US"/>
        </w:rPr>
      </w:pPr>
      <w:r w:rsidRPr="00E25D88">
        <w:rPr>
          <w:rFonts w:ascii="Arial" w:hAnsi="Arial" w:cs="Arial"/>
          <w:bCs/>
          <w:sz w:val="20"/>
          <w:szCs w:val="20"/>
          <w:lang w:val="en-US"/>
        </w:rPr>
        <w:t>Specific Negotiated Arrangements to Pay;</w:t>
      </w:r>
    </w:p>
    <w:p w14:paraId="0FFEEBB6" w14:textId="77777777" w:rsidR="008A6D6D" w:rsidRPr="00E25D88" w:rsidRDefault="008A6D6D" w:rsidP="00FF78B3">
      <w:pPr>
        <w:numPr>
          <w:ilvl w:val="0"/>
          <w:numId w:val="83"/>
        </w:numPr>
        <w:spacing w:line="276" w:lineRule="auto"/>
        <w:contextualSpacing/>
        <w:jc w:val="both"/>
        <w:rPr>
          <w:rFonts w:ascii="Arial" w:hAnsi="Arial" w:cs="Arial"/>
          <w:bCs/>
          <w:sz w:val="20"/>
          <w:szCs w:val="20"/>
          <w:lang w:val="en-US"/>
        </w:rPr>
      </w:pPr>
      <w:r w:rsidRPr="00E25D88">
        <w:rPr>
          <w:rFonts w:ascii="Arial" w:hAnsi="Arial" w:cs="Arial"/>
          <w:bCs/>
          <w:sz w:val="20"/>
          <w:szCs w:val="20"/>
          <w:lang w:val="en-US"/>
        </w:rPr>
        <w:t>Adjustments to Accrued Interest;</w:t>
      </w:r>
    </w:p>
    <w:p w14:paraId="41A554EC" w14:textId="77777777" w:rsidR="008A6D6D" w:rsidRPr="00E25D88" w:rsidRDefault="008A6D6D" w:rsidP="00FF78B3">
      <w:pPr>
        <w:numPr>
          <w:ilvl w:val="0"/>
          <w:numId w:val="83"/>
        </w:numPr>
        <w:spacing w:line="276" w:lineRule="auto"/>
        <w:contextualSpacing/>
        <w:jc w:val="both"/>
        <w:rPr>
          <w:rFonts w:ascii="Arial" w:hAnsi="Arial" w:cs="Arial"/>
          <w:bCs/>
          <w:sz w:val="20"/>
          <w:szCs w:val="20"/>
          <w:lang w:val="en-US"/>
        </w:rPr>
      </w:pPr>
      <w:r w:rsidRPr="00E25D88">
        <w:rPr>
          <w:rFonts w:ascii="Arial" w:hAnsi="Arial" w:cs="Arial"/>
          <w:bCs/>
          <w:sz w:val="20"/>
          <w:szCs w:val="20"/>
          <w:lang w:val="en-US"/>
        </w:rPr>
        <w:t>Aged and Disability Support Services; and</w:t>
      </w:r>
    </w:p>
    <w:p w14:paraId="7EB7B739" w14:textId="77777777" w:rsidR="008A6D6D" w:rsidRPr="00E25D88" w:rsidRDefault="008A6D6D" w:rsidP="00FF78B3">
      <w:pPr>
        <w:numPr>
          <w:ilvl w:val="0"/>
          <w:numId w:val="83"/>
        </w:numPr>
        <w:spacing w:line="276" w:lineRule="auto"/>
        <w:contextualSpacing/>
        <w:jc w:val="both"/>
        <w:rPr>
          <w:rFonts w:ascii="Arial" w:hAnsi="Arial" w:cs="Arial"/>
          <w:bCs/>
          <w:sz w:val="20"/>
          <w:szCs w:val="20"/>
          <w:lang w:val="en-US"/>
        </w:rPr>
      </w:pPr>
      <w:r w:rsidRPr="00E25D88">
        <w:rPr>
          <w:rFonts w:ascii="Arial" w:hAnsi="Arial" w:cs="Arial"/>
          <w:bCs/>
          <w:sz w:val="20"/>
          <w:szCs w:val="20"/>
          <w:lang w:val="en-US"/>
        </w:rPr>
        <w:t>Referral to Free Financial Advisory Services and support agencies such as St Vincent De Paul and the Salvation Army.</w:t>
      </w:r>
    </w:p>
    <w:p w14:paraId="0D2551AB" w14:textId="77777777" w:rsidR="0059380B" w:rsidRDefault="0059380B" w:rsidP="008A6D6D">
      <w:pPr>
        <w:spacing w:line="360" w:lineRule="auto"/>
        <w:jc w:val="both"/>
        <w:rPr>
          <w:rFonts w:ascii="Arial" w:hAnsi="Arial" w:cs="Arial"/>
          <w:bCs/>
          <w:sz w:val="20"/>
          <w:szCs w:val="20"/>
          <w:lang w:val="en-US"/>
        </w:rPr>
      </w:pPr>
    </w:p>
    <w:p w14:paraId="68FD0F93" w14:textId="22493E4E" w:rsidR="008A6D6D" w:rsidRPr="00F55699" w:rsidRDefault="00BC0005" w:rsidP="007428EA">
      <w:pPr>
        <w:spacing w:line="360" w:lineRule="auto"/>
        <w:ind w:left="568" w:firstLine="284"/>
        <w:jc w:val="both"/>
        <w:rPr>
          <w:rFonts w:ascii="Arial" w:hAnsi="Arial" w:cs="Arial"/>
          <w:b/>
          <w:bCs/>
          <w:sz w:val="18"/>
          <w:szCs w:val="18"/>
          <w:lang w:val="en-US"/>
        </w:rPr>
      </w:pPr>
      <w:r w:rsidRPr="00F55699">
        <w:rPr>
          <w:noProof/>
          <w:sz w:val="18"/>
          <w:szCs w:val="18"/>
        </w:rPr>
        <w:drawing>
          <wp:anchor distT="0" distB="0" distL="114300" distR="114300" simplePos="0" relativeHeight="251900928" behindDoc="1" locked="0" layoutInCell="1" allowOverlap="1" wp14:anchorId="19541B88" wp14:editId="1D6A8DF1">
            <wp:simplePos x="0" y="0"/>
            <wp:positionH relativeFrom="column">
              <wp:posOffset>327025</wp:posOffset>
            </wp:positionH>
            <wp:positionV relativeFrom="paragraph">
              <wp:posOffset>156845</wp:posOffset>
            </wp:positionV>
            <wp:extent cx="3992245" cy="2210435"/>
            <wp:effectExtent l="0" t="0" r="8255" b="0"/>
            <wp:wrapTight wrapText="bothSides">
              <wp:wrapPolygon edited="0">
                <wp:start x="0" y="0"/>
                <wp:lineTo x="0" y="21408"/>
                <wp:lineTo x="21542" y="21408"/>
                <wp:lineTo x="21542" y="0"/>
                <wp:lineTo x="0" y="0"/>
              </wp:wrapPolygon>
            </wp:wrapTight>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3992245" cy="2210435"/>
                    </a:xfrm>
                    <a:prstGeom prst="rect">
                      <a:avLst/>
                    </a:prstGeom>
                    <a:noFill/>
                    <a:ln>
                      <a:noFill/>
                    </a:ln>
                  </pic:spPr>
                </pic:pic>
              </a:graphicData>
            </a:graphic>
            <wp14:sizeRelH relativeFrom="page">
              <wp14:pctWidth>0</wp14:pctWidth>
            </wp14:sizeRelH>
            <wp14:sizeRelV relativeFrom="page">
              <wp14:pctHeight>0</wp14:pctHeight>
            </wp14:sizeRelV>
          </wp:anchor>
        </w:drawing>
      </w:r>
      <w:r w:rsidR="0059380B" w:rsidRPr="00F55699">
        <w:rPr>
          <w:rFonts w:ascii="Arial" w:hAnsi="Arial" w:cs="Arial"/>
          <w:b/>
          <w:bCs/>
          <w:sz w:val="18"/>
          <w:szCs w:val="18"/>
          <w:lang w:val="en-US"/>
        </w:rPr>
        <w:t>Figure 3.16: Debt Recovery Ratio</w:t>
      </w:r>
    </w:p>
    <w:p w14:paraId="192D91B7" w14:textId="04D2B3D2" w:rsidR="008A6D6D" w:rsidRPr="00B6783F" w:rsidRDefault="008A6D6D" w:rsidP="008A6D6D">
      <w:pPr>
        <w:spacing w:after="60" w:line="360" w:lineRule="auto"/>
        <w:jc w:val="both"/>
        <w:rPr>
          <w:rFonts w:ascii="Arial" w:hAnsi="Arial" w:cs="Arial"/>
          <w:b/>
          <w:sz w:val="20"/>
          <w:szCs w:val="20"/>
        </w:rPr>
      </w:pPr>
    </w:p>
    <w:p w14:paraId="45779226" w14:textId="77777777" w:rsidR="00FF78B3" w:rsidRDefault="00FF78B3" w:rsidP="008A6D6D">
      <w:pPr>
        <w:spacing w:after="60" w:line="360" w:lineRule="auto"/>
        <w:jc w:val="both"/>
        <w:rPr>
          <w:rFonts w:ascii="Arial" w:hAnsi="Arial" w:cs="Arial"/>
          <w:i/>
          <w:sz w:val="20"/>
          <w:szCs w:val="20"/>
        </w:rPr>
      </w:pPr>
    </w:p>
    <w:p w14:paraId="6E9D6A3A" w14:textId="77777777" w:rsidR="00FF78B3" w:rsidRDefault="00FF78B3">
      <w:pPr>
        <w:rPr>
          <w:rFonts w:ascii="Arial" w:hAnsi="Arial" w:cs="Arial"/>
          <w:i/>
          <w:sz w:val="20"/>
          <w:szCs w:val="20"/>
        </w:rPr>
      </w:pPr>
      <w:r>
        <w:rPr>
          <w:rFonts w:ascii="Arial" w:hAnsi="Arial" w:cs="Arial"/>
          <w:i/>
          <w:sz w:val="20"/>
          <w:szCs w:val="20"/>
        </w:rPr>
        <w:br w:type="page"/>
      </w:r>
    </w:p>
    <w:p w14:paraId="04F36786" w14:textId="172E847D" w:rsidR="008A6D6D" w:rsidRPr="00975B76" w:rsidRDefault="008A6D6D" w:rsidP="00FF78B3">
      <w:pPr>
        <w:spacing w:after="60" w:line="276" w:lineRule="auto"/>
        <w:jc w:val="both"/>
        <w:rPr>
          <w:rFonts w:ascii="Arial" w:hAnsi="Arial" w:cs="Arial"/>
          <w:i/>
          <w:sz w:val="20"/>
          <w:szCs w:val="20"/>
        </w:rPr>
      </w:pPr>
      <w:r w:rsidRPr="00975B76">
        <w:rPr>
          <w:rFonts w:ascii="Arial" w:hAnsi="Arial" w:cs="Arial"/>
          <w:i/>
          <w:sz w:val="20"/>
          <w:szCs w:val="20"/>
        </w:rPr>
        <w:t>No special variation</w:t>
      </w:r>
      <w:r>
        <w:rPr>
          <w:rFonts w:ascii="Arial" w:hAnsi="Arial" w:cs="Arial"/>
          <w:i/>
          <w:sz w:val="20"/>
          <w:szCs w:val="20"/>
        </w:rPr>
        <w:t xml:space="preserve"> (Scenario 3)</w:t>
      </w:r>
    </w:p>
    <w:p w14:paraId="08D740A5" w14:textId="2D077900" w:rsidR="008A6D6D" w:rsidRPr="00E34476" w:rsidRDefault="00A61A70" w:rsidP="00FF78B3">
      <w:pPr>
        <w:spacing w:after="60" w:line="276" w:lineRule="auto"/>
        <w:jc w:val="both"/>
        <w:rPr>
          <w:rFonts w:ascii="Arial" w:hAnsi="Arial" w:cs="Arial"/>
          <w:sz w:val="20"/>
          <w:szCs w:val="20"/>
        </w:rPr>
      </w:pPr>
      <w:r>
        <w:rPr>
          <w:rFonts w:ascii="Arial" w:hAnsi="Arial" w:cs="Arial"/>
          <w:sz w:val="20"/>
          <w:szCs w:val="20"/>
        </w:rPr>
        <w:t>Under the n</w:t>
      </w:r>
      <w:r w:rsidR="008A6D6D">
        <w:rPr>
          <w:rFonts w:ascii="Arial" w:hAnsi="Arial" w:cs="Arial"/>
          <w:sz w:val="20"/>
          <w:szCs w:val="20"/>
        </w:rPr>
        <w:t>o special variation</w:t>
      </w:r>
      <w:r>
        <w:rPr>
          <w:rFonts w:ascii="Arial" w:hAnsi="Arial" w:cs="Arial"/>
          <w:sz w:val="20"/>
          <w:szCs w:val="20"/>
        </w:rPr>
        <w:t xml:space="preserve"> scenario</w:t>
      </w:r>
      <w:r w:rsidR="008A6D6D">
        <w:rPr>
          <w:rFonts w:ascii="Arial" w:hAnsi="Arial" w:cs="Arial"/>
          <w:sz w:val="20"/>
          <w:szCs w:val="20"/>
        </w:rPr>
        <w:t>, t</w:t>
      </w:r>
      <w:r w:rsidR="008A6D6D" w:rsidRPr="00E34476">
        <w:rPr>
          <w:rFonts w:ascii="Arial" w:hAnsi="Arial" w:cs="Arial"/>
          <w:sz w:val="20"/>
          <w:szCs w:val="20"/>
        </w:rPr>
        <w:t>he Council</w:t>
      </w:r>
      <w:r w:rsidR="008A6D6D">
        <w:rPr>
          <w:rFonts w:ascii="Arial" w:hAnsi="Arial" w:cs="Arial"/>
          <w:sz w:val="20"/>
          <w:szCs w:val="20"/>
        </w:rPr>
        <w:t>’s</w:t>
      </w:r>
      <w:r w:rsidR="008A6D6D" w:rsidRPr="00E34476">
        <w:rPr>
          <w:rFonts w:ascii="Arial" w:hAnsi="Arial" w:cs="Arial"/>
          <w:sz w:val="20"/>
          <w:szCs w:val="20"/>
        </w:rPr>
        <w:t xml:space="preserve"> projected</w:t>
      </w:r>
      <w:r w:rsidR="008A6D6D" w:rsidRPr="00C01F33">
        <w:rPr>
          <w:rFonts w:ascii="Arial" w:hAnsi="Arial" w:cs="Arial"/>
          <w:sz w:val="20"/>
          <w:szCs w:val="20"/>
        </w:rPr>
        <w:t xml:space="preserve"> </w:t>
      </w:r>
      <w:r w:rsidR="008A6D6D">
        <w:rPr>
          <w:rFonts w:ascii="Arial" w:hAnsi="Arial" w:cs="Arial"/>
          <w:sz w:val="20"/>
          <w:szCs w:val="20"/>
        </w:rPr>
        <w:t>Rates, Annual Charges, Interest &amp; Extra Charges Outstanding Percentage,</w:t>
      </w:r>
      <w:r w:rsidR="008A6D6D" w:rsidRPr="00E34476">
        <w:rPr>
          <w:rFonts w:ascii="Arial" w:hAnsi="Arial" w:cs="Arial"/>
          <w:sz w:val="20"/>
          <w:szCs w:val="20"/>
        </w:rPr>
        <w:t xml:space="preserve"> </w:t>
      </w:r>
      <w:r w:rsidR="008A6D6D">
        <w:rPr>
          <w:rFonts w:ascii="Arial" w:hAnsi="Arial" w:cs="Arial"/>
          <w:sz w:val="20"/>
          <w:szCs w:val="20"/>
        </w:rPr>
        <w:t>also</w:t>
      </w:r>
      <w:r w:rsidR="008A6D6D" w:rsidRPr="00E34476">
        <w:rPr>
          <w:rFonts w:ascii="Arial" w:hAnsi="Arial" w:cs="Arial"/>
          <w:sz w:val="20"/>
          <w:szCs w:val="20"/>
        </w:rPr>
        <w:t xml:space="preserve"> remains under the 5% benchmark at </w:t>
      </w:r>
      <w:r w:rsidR="008A6D6D">
        <w:rPr>
          <w:rFonts w:ascii="Arial" w:hAnsi="Arial" w:cs="Arial"/>
          <w:sz w:val="20"/>
          <w:szCs w:val="20"/>
        </w:rPr>
        <w:t xml:space="preserve">the same </w:t>
      </w:r>
      <w:r w:rsidR="008A6D6D" w:rsidRPr="00E34476">
        <w:rPr>
          <w:rFonts w:ascii="Arial" w:hAnsi="Arial" w:cs="Arial"/>
          <w:sz w:val="20"/>
          <w:szCs w:val="20"/>
        </w:rPr>
        <w:t>4.1%</w:t>
      </w:r>
      <w:r w:rsidR="008A6D6D">
        <w:rPr>
          <w:rFonts w:ascii="Arial" w:hAnsi="Arial" w:cs="Arial"/>
          <w:sz w:val="20"/>
          <w:szCs w:val="20"/>
        </w:rPr>
        <w:t xml:space="preserve"> f</w:t>
      </w:r>
      <w:r w:rsidR="008A6D6D" w:rsidRPr="00E34476">
        <w:rPr>
          <w:rFonts w:ascii="Arial" w:hAnsi="Arial" w:cs="Arial"/>
          <w:sz w:val="20"/>
          <w:szCs w:val="20"/>
        </w:rPr>
        <w:t xml:space="preserve">or the life of the </w:t>
      </w:r>
      <w:r w:rsidR="008A6D6D">
        <w:rPr>
          <w:rFonts w:ascii="Arial" w:hAnsi="Arial" w:cs="Arial"/>
          <w:sz w:val="20"/>
          <w:szCs w:val="20"/>
        </w:rPr>
        <w:t xml:space="preserve">Base Case </w:t>
      </w:r>
      <w:r w:rsidR="008A6D6D" w:rsidRPr="00E34476">
        <w:rPr>
          <w:rFonts w:ascii="Arial" w:hAnsi="Arial" w:cs="Arial"/>
          <w:i/>
          <w:sz w:val="20"/>
          <w:szCs w:val="20"/>
        </w:rPr>
        <w:t>LTFP</w:t>
      </w:r>
      <w:r w:rsidR="008A6D6D">
        <w:rPr>
          <w:rFonts w:ascii="Arial" w:hAnsi="Arial" w:cs="Arial"/>
          <w:i/>
          <w:sz w:val="20"/>
          <w:szCs w:val="20"/>
        </w:rPr>
        <w:t>.</w:t>
      </w:r>
    </w:p>
    <w:p w14:paraId="44D7BFED" w14:textId="7357BC08" w:rsidR="008A6D6D" w:rsidRPr="00F55699" w:rsidRDefault="008A6D6D" w:rsidP="00FF78B3">
      <w:pPr>
        <w:spacing w:before="320" w:line="276" w:lineRule="auto"/>
        <w:jc w:val="both"/>
        <w:rPr>
          <w:rFonts w:ascii="Arial" w:hAnsi="Arial" w:cs="Arial"/>
          <w:b/>
          <w:sz w:val="18"/>
          <w:szCs w:val="18"/>
        </w:rPr>
      </w:pPr>
      <w:bookmarkStart w:id="72" w:name="_Ref394051679"/>
      <w:bookmarkStart w:id="73" w:name="_Toc394487390"/>
      <w:bookmarkStart w:id="74" w:name="_Toc411254042"/>
      <w:r w:rsidRPr="00F55699">
        <w:rPr>
          <w:rFonts w:ascii="Arial" w:hAnsi="Arial" w:cs="Arial"/>
          <w:b/>
          <w:sz w:val="18"/>
          <w:szCs w:val="18"/>
        </w:rPr>
        <w:t>Figure</w:t>
      </w:r>
      <w:bookmarkEnd w:id="72"/>
      <w:r w:rsidR="00FA0E8D" w:rsidRPr="00F55699">
        <w:rPr>
          <w:rFonts w:ascii="Arial" w:hAnsi="Arial" w:cs="Arial"/>
          <w:b/>
          <w:sz w:val="18"/>
          <w:szCs w:val="18"/>
        </w:rPr>
        <w:t xml:space="preserve"> 3.1</w:t>
      </w:r>
      <w:r w:rsidR="00F71929" w:rsidRPr="00F55699">
        <w:rPr>
          <w:rFonts w:ascii="Arial" w:hAnsi="Arial" w:cs="Arial"/>
          <w:b/>
          <w:sz w:val="18"/>
          <w:szCs w:val="18"/>
        </w:rPr>
        <w:t>7</w:t>
      </w:r>
      <w:r w:rsidR="00F55699" w:rsidRPr="00F55699">
        <w:rPr>
          <w:rFonts w:ascii="Arial" w:hAnsi="Arial" w:cs="Arial"/>
          <w:b/>
          <w:sz w:val="18"/>
          <w:szCs w:val="18"/>
        </w:rPr>
        <w:t>:</w:t>
      </w:r>
      <w:r w:rsidRPr="00F55699">
        <w:rPr>
          <w:rFonts w:ascii="Arial" w:hAnsi="Arial" w:cs="Arial"/>
          <w:b/>
          <w:sz w:val="18"/>
          <w:szCs w:val="18"/>
        </w:rPr>
        <w:t xml:space="preserve"> 10-year </w:t>
      </w:r>
      <w:r w:rsidR="00014ED5" w:rsidRPr="00F55699">
        <w:rPr>
          <w:rFonts w:ascii="Arial" w:hAnsi="Arial" w:cs="Arial"/>
          <w:b/>
          <w:sz w:val="18"/>
          <w:szCs w:val="18"/>
        </w:rPr>
        <w:t>P</w:t>
      </w:r>
      <w:r w:rsidRPr="00F55699">
        <w:rPr>
          <w:rFonts w:ascii="Arial" w:hAnsi="Arial" w:cs="Arial"/>
          <w:b/>
          <w:sz w:val="18"/>
          <w:szCs w:val="18"/>
        </w:rPr>
        <w:t>rojection - Rates, annual charges, interest &amp; extra charges outstanding percentage</w:t>
      </w:r>
      <w:bookmarkEnd w:id="73"/>
      <w:bookmarkEnd w:id="74"/>
    </w:p>
    <w:p w14:paraId="23EAB39A" w14:textId="77777777" w:rsidR="008A6D6D" w:rsidRDefault="008A6D6D" w:rsidP="008A6D6D">
      <w:pPr>
        <w:spacing w:line="360" w:lineRule="auto"/>
        <w:jc w:val="both"/>
        <w:rPr>
          <w:rFonts w:ascii="Arial" w:hAnsi="Arial" w:cs="Arial"/>
          <w:color w:val="00408A"/>
          <w:kern w:val="28"/>
          <w:sz w:val="20"/>
          <w:szCs w:val="20"/>
        </w:rPr>
      </w:pPr>
      <w:r w:rsidRPr="00E34476">
        <w:rPr>
          <w:rFonts w:ascii="Arial" w:hAnsi="Arial" w:cs="Arial"/>
          <w:noProof/>
          <w:sz w:val="20"/>
          <w:szCs w:val="20"/>
        </w:rPr>
        <w:drawing>
          <wp:inline distT="0" distB="0" distL="0" distR="0" wp14:anchorId="564855BE" wp14:editId="300E3A28">
            <wp:extent cx="5729591" cy="2733472"/>
            <wp:effectExtent l="0" t="0" r="24130" b="10160"/>
            <wp:docPr id="2099" name="Chart 209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DF8DFE0" w14:textId="77777777" w:rsidR="008A6D6D" w:rsidRPr="001E2780" w:rsidRDefault="008A6D6D" w:rsidP="008A6D6D">
      <w:pPr>
        <w:spacing w:line="360" w:lineRule="auto"/>
        <w:jc w:val="both"/>
        <w:rPr>
          <w:rFonts w:ascii="Arial" w:hAnsi="Arial" w:cs="Arial"/>
          <w:i/>
          <w:color w:val="00408A"/>
          <w:kern w:val="28"/>
          <w:sz w:val="16"/>
          <w:szCs w:val="16"/>
        </w:rPr>
      </w:pPr>
      <w:r w:rsidRPr="001E2780">
        <w:rPr>
          <w:rFonts w:ascii="Arial" w:hAnsi="Arial" w:cs="Arial"/>
          <w:i/>
          <w:color w:val="00408A"/>
          <w:kern w:val="28"/>
          <w:sz w:val="16"/>
          <w:szCs w:val="16"/>
        </w:rPr>
        <w:t xml:space="preserve">Note: Scenario 1 and Scenario 3 trend the same under this ratio, and therefore Scenario 1 is not observable on this </w:t>
      </w:r>
      <w:r>
        <w:rPr>
          <w:rFonts w:ascii="Arial" w:hAnsi="Arial" w:cs="Arial"/>
          <w:i/>
          <w:color w:val="00408A"/>
          <w:kern w:val="28"/>
          <w:sz w:val="16"/>
          <w:szCs w:val="16"/>
        </w:rPr>
        <w:t>figure</w:t>
      </w:r>
      <w:r w:rsidRPr="001E2780">
        <w:rPr>
          <w:rFonts w:ascii="Arial" w:hAnsi="Arial" w:cs="Arial"/>
          <w:i/>
          <w:color w:val="00408A"/>
          <w:kern w:val="28"/>
          <w:sz w:val="16"/>
          <w:szCs w:val="16"/>
        </w:rPr>
        <w:t>.</w:t>
      </w:r>
    </w:p>
    <w:tbl>
      <w:tblPr>
        <w:tblW w:w="9516" w:type="dxa"/>
        <w:tblInd w:w="93" w:type="dxa"/>
        <w:tblLook w:val="04A0" w:firstRow="1" w:lastRow="0" w:firstColumn="1" w:lastColumn="0" w:noHBand="0" w:noVBand="1"/>
      </w:tblPr>
      <w:tblGrid>
        <w:gridCol w:w="1858"/>
        <w:gridCol w:w="717"/>
        <w:gridCol w:w="778"/>
        <w:gridCol w:w="778"/>
        <w:gridCol w:w="778"/>
        <w:gridCol w:w="778"/>
        <w:gridCol w:w="778"/>
        <w:gridCol w:w="778"/>
        <w:gridCol w:w="778"/>
        <w:gridCol w:w="778"/>
        <w:gridCol w:w="717"/>
      </w:tblGrid>
      <w:tr w:rsidR="008A6D6D" w:rsidRPr="00E34476" w14:paraId="1B4DA8D2" w14:textId="77777777" w:rsidTr="00631EA1">
        <w:trPr>
          <w:trHeight w:val="309"/>
        </w:trPr>
        <w:tc>
          <w:tcPr>
            <w:tcW w:w="1858"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14:paraId="56119464" w14:textId="77777777" w:rsidR="008A6D6D" w:rsidRPr="00E34476" w:rsidRDefault="008A6D6D" w:rsidP="00162D6E">
            <w:pPr>
              <w:spacing w:line="360" w:lineRule="auto"/>
              <w:jc w:val="both"/>
              <w:rPr>
                <w:rFonts w:ascii="Arial" w:hAnsi="Arial" w:cs="Arial"/>
                <w:b/>
                <w:bCs/>
                <w:color w:val="000000"/>
                <w:sz w:val="20"/>
                <w:szCs w:val="20"/>
              </w:rPr>
            </w:pPr>
            <w:r w:rsidRPr="00E34476">
              <w:rPr>
                <w:rFonts w:ascii="Arial" w:hAnsi="Arial" w:cs="Arial"/>
                <w:b/>
                <w:bCs/>
                <w:color w:val="000000"/>
                <w:sz w:val="20"/>
                <w:szCs w:val="20"/>
              </w:rPr>
              <w:t> </w:t>
            </w:r>
          </w:p>
        </w:tc>
        <w:tc>
          <w:tcPr>
            <w:tcW w:w="717" w:type="dxa"/>
            <w:tcBorders>
              <w:top w:val="single" w:sz="4" w:space="0" w:color="auto"/>
              <w:left w:val="nil"/>
              <w:bottom w:val="single" w:sz="4" w:space="0" w:color="auto"/>
              <w:right w:val="nil"/>
            </w:tcBorders>
            <w:shd w:val="clear" w:color="auto" w:fill="95B3D7" w:themeFill="accent1" w:themeFillTint="99"/>
            <w:noWrap/>
            <w:vAlign w:val="bottom"/>
            <w:hideMark/>
          </w:tcPr>
          <w:p w14:paraId="7B76AC26" w14:textId="77777777" w:rsidR="008A6D6D" w:rsidRPr="00E34476" w:rsidRDefault="008A6D6D" w:rsidP="00162D6E">
            <w:pPr>
              <w:spacing w:line="360" w:lineRule="auto"/>
              <w:jc w:val="both"/>
              <w:rPr>
                <w:rFonts w:ascii="Arial" w:hAnsi="Arial" w:cs="Arial"/>
                <w:b/>
                <w:bCs/>
                <w:color w:val="000000"/>
                <w:sz w:val="20"/>
                <w:szCs w:val="20"/>
              </w:rPr>
            </w:pPr>
            <w:r w:rsidRPr="00E34476">
              <w:rPr>
                <w:rFonts w:ascii="Arial" w:hAnsi="Arial" w:cs="Arial"/>
                <w:b/>
                <w:bCs/>
                <w:color w:val="000000"/>
                <w:sz w:val="20"/>
                <w:szCs w:val="20"/>
              </w:rPr>
              <w:t>14/15</w:t>
            </w:r>
          </w:p>
        </w:tc>
        <w:tc>
          <w:tcPr>
            <w:tcW w:w="778" w:type="dxa"/>
            <w:tcBorders>
              <w:top w:val="single" w:sz="4" w:space="0" w:color="auto"/>
              <w:left w:val="nil"/>
              <w:bottom w:val="single" w:sz="4" w:space="0" w:color="auto"/>
              <w:right w:val="nil"/>
            </w:tcBorders>
            <w:shd w:val="clear" w:color="auto" w:fill="95B3D7" w:themeFill="accent1" w:themeFillTint="99"/>
            <w:noWrap/>
            <w:vAlign w:val="bottom"/>
            <w:hideMark/>
          </w:tcPr>
          <w:p w14:paraId="12B71642" w14:textId="77777777" w:rsidR="008A6D6D" w:rsidRPr="00E34476" w:rsidRDefault="008A6D6D" w:rsidP="00162D6E">
            <w:pPr>
              <w:spacing w:line="360" w:lineRule="auto"/>
              <w:jc w:val="both"/>
              <w:rPr>
                <w:rFonts w:ascii="Arial" w:hAnsi="Arial" w:cs="Arial"/>
                <w:b/>
                <w:bCs/>
                <w:color w:val="000000"/>
                <w:sz w:val="20"/>
                <w:szCs w:val="20"/>
              </w:rPr>
            </w:pPr>
            <w:r w:rsidRPr="00E34476">
              <w:rPr>
                <w:rFonts w:ascii="Arial" w:hAnsi="Arial" w:cs="Arial"/>
                <w:b/>
                <w:bCs/>
                <w:color w:val="000000"/>
                <w:sz w:val="20"/>
                <w:szCs w:val="20"/>
              </w:rPr>
              <w:t>15/16</w:t>
            </w:r>
          </w:p>
        </w:tc>
        <w:tc>
          <w:tcPr>
            <w:tcW w:w="778" w:type="dxa"/>
            <w:tcBorders>
              <w:top w:val="single" w:sz="4" w:space="0" w:color="auto"/>
              <w:left w:val="nil"/>
              <w:bottom w:val="single" w:sz="4" w:space="0" w:color="auto"/>
              <w:right w:val="nil"/>
            </w:tcBorders>
            <w:shd w:val="clear" w:color="auto" w:fill="95B3D7" w:themeFill="accent1" w:themeFillTint="99"/>
            <w:noWrap/>
            <w:vAlign w:val="bottom"/>
            <w:hideMark/>
          </w:tcPr>
          <w:p w14:paraId="14DD9D66" w14:textId="77777777" w:rsidR="008A6D6D" w:rsidRPr="00E34476" w:rsidRDefault="008A6D6D" w:rsidP="00162D6E">
            <w:pPr>
              <w:spacing w:line="360" w:lineRule="auto"/>
              <w:jc w:val="both"/>
              <w:rPr>
                <w:rFonts w:ascii="Arial" w:hAnsi="Arial" w:cs="Arial"/>
                <w:b/>
                <w:bCs/>
                <w:color w:val="000000"/>
                <w:sz w:val="20"/>
                <w:szCs w:val="20"/>
              </w:rPr>
            </w:pPr>
            <w:r w:rsidRPr="00E34476">
              <w:rPr>
                <w:rFonts w:ascii="Arial" w:hAnsi="Arial" w:cs="Arial"/>
                <w:b/>
                <w:bCs/>
                <w:color w:val="000000"/>
                <w:sz w:val="20"/>
                <w:szCs w:val="20"/>
              </w:rPr>
              <w:t>16/17</w:t>
            </w:r>
          </w:p>
        </w:tc>
        <w:tc>
          <w:tcPr>
            <w:tcW w:w="778" w:type="dxa"/>
            <w:tcBorders>
              <w:top w:val="single" w:sz="4" w:space="0" w:color="auto"/>
              <w:left w:val="nil"/>
              <w:bottom w:val="single" w:sz="4" w:space="0" w:color="auto"/>
              <w:right w:val="nil"/>
            </w:tcBorders>
            <w:shd w:val="clear" w:color="auto" w:fill="95B3D7" w:themeFill="accent1" w:themeFillTint="99"/>
            <w:noWrap/>
            <w:vAlign w:val="bottom"/>
            <w:hideMark/>
          </w:tcPr>
          <w:p w14:paraId="14EC071B" w14:textId="77777777" w:rsidR="008A6D6D" w:rsidRPr="00E34476" w:rsidRDefault="008A6D6D" w:rsidP="00162D6E">
            <w:pPr>
              <w:spacing w:line="360" w:lineRule="auto"/>
              <w:jc w:val="both"/>
              <w:rPr>
                <w:rFonts w:ascii="Arial" w:hAnsi="Arial" w:cs="Arial"/>
                <w:b/>
                <w:bCs/>
                <w:color w:val="000000"/>
                <w:sz w:val="20"/>
                <w:szCs w:val="20"/>
              </w:rPr>
            </w:pPr>
            <w:r w:rsidRPr="00E34476">
              <w:rPr>
                <w:rFonts w:ascii="Arial" w:hAnsi="Arial" w:cs="Arial"/>
                <w:b/>
                <w:bCs/>
                <w:color w:val="000000"/>
                <w:sz w:val="20"/>
                <w:szCs w:val="20"/>
              </w:rPr>
              <w:t>17/18</w:t>
            </w:r>
          </w:p>
        </w:tc>
        <w:tc>
          <w:tcPr>
            <w:tcW w:w="778" w:type="dxa"/>
            <w:tcBorders>
              <w:top w:val="single" w:sz="4" w:space="0" w:color="auto"/>
              <w:left w:val="nil"/>
              <w:bottom w:val="single" w:sz="4" w:space="0" w:color="auto"/>
              <w:right w:val="nil"/>
            </w:tcBorders>
            <w:shd w:val="clear" w:color="auto" w:fill="95B3D7" w:themeFill="accent1" w:themeFillTint="99"/>
            <w:noWrap/>
            <w:vAlign w:val="bottom"/>
            <w:hideMark/>
          </w:tcPr>
          <w:p w14:paraId="3DD9615D" w14:textId="77777777" w:rsidR="008A6D6D" w:rsidRPr="00E34476" w:rsidRDefault="008A6D6D" w:rsidP="00162D6E">
            <w:pPr>
              <w:spacing w:line="360" w:lineRule="auto"/>
              <w:jc w:val="both"/>
              <w:rPr>
                <w:rFonts w:ascii="Arial" w:hAnsi="Arial" w:cs="Arial"/>
                <w:b/>
                <w:bCs/>
                <w:color w:val="000000"/>
                <w:sz w:val="20"/>
                <w:szCs w:val="20"/>
              </w:rPr>
            </w:pPr>
            <w:r w:rsidRPr="00E34476">
              <w:rPr>
                <w:rFonts w:ascii="Arial" w:hAnsi="Arial" w:cs="Arial"/>
                <w:b/>
                <w:bCs/>
                <w:color w:val="000000"/>
                <w:sz w:val="20"/>
                <w:szCs w:val="20"/>
              </w:rPr>
              <w:t>18/19</w:t>
            </w:r>
          </w:p>
        </w:tc>
        <w:tc>
          <w:tcPr>
            <w:tcW w:w="778" w:type="dxa"/>
            <w:tcBorders>
              <w:top w:val="single" w:sz="4" w:space="0" w:color="auto"/>
              <w:left w:val="nil"/>
              <w:bottom w:val="single" w:sz="4" w:space="0" w:color="auto"/>
              <w:right w:val="nil"/>
            </w:tcBorders>
            <w:shd w:val="clear" w:color="auto" w:fill="95B3D7" w:themeFill="accent1" w:themeFillTint="99"/>
            <w:noWrap/>
            <w:vAlign w:val="bottom"/>
            <w:hideMark/>
          </w:tcPr>
          <w:p w14:paraId="5778FC5C" w14:textId="77777777" w:rsidR="008A6D6D" w:rsidRPr="00E34476" w:rsidRDefault="008A6D6D" w:rsidP="00162D6E">
            <w:pPr>
              <w:spacing w:line="360" w:lineRule="auto"/>
              <w:jc w:val="both"/>
              <w:rPr>
                <w:rFonts w:ascii="Arial" w:hAnsi="Arial" w:cs="Arial"/>
                <w:b/>
                <w:bCs/>
                <w:color w:val="000000"/>
                <w:sz w:val="20"/>
                <w:szCs w:val="20"/>
              </w:rPr>
            </w:pPr>
            <w:r w:rsidRPr="00E34476">
              <w:rPr>
                <w:rFonts w:ascii="Arial" w:hAnsi="Arial" w:cs="Arial"/>
                <w:b/>
                <w:bCs/>
                <w:color w:val="000000"/>
                <w:sz w:val="20"/>
                <w:szCs w:val="20"/>
              </w:rPr>
              <w:t>19/20</w:t>
            </w:r>
          </w:p>
        </w:tc>
        <w:tc>
          <w:tcPr>
            <w:tcW w:w="778" w:type="dxa"/>
            <w:tcBorders>
              <w:top w:val="single" w:sz="4" w:space="0" w:color="auto"/>
              <w:left w:val="nil"/>
              <w:bottom w:val="single" w:sz="4" w:space="0" w:color="auto"/>
              <w:right w:val="nil"/>
            </w:tcBorders>
            <w:shd w:val="clear" w:color="auto" w:fill="95B3D7" w:themeFill="accent1" w:themeFillTint="99"/>
            <w:noWrap/>
            <w:vAlign w:val="bottom"/>
            <w:hideMark/>
          </w:tcPr>
          <w:p w14:paraId="57762B83" w14:textId="77777777" w:rsidR="008A6D6D" w:rsidRPr="00E34476" w:rsidRDefault="008A6D6D" w:rsidP="00162D6E">
            <w:pPr>
              <w:spacing w:line="360" w:lineRule="auto"/>
              <w:jc w:val="both"/>
              <w:rPr>
                <w:rFonts w:ascii="Arial" w:hAnsi="Arial" w:cs="Arial"/>
                <w:b/>
                <w:bCs/>
                <w:color w:val="000000"/>
                <w:sz w:val="20"/>
                <w:szCs w:val="20"/>
              </w:rPr>
            </w:pPr>
            <w:r w:rsidRPr="00E34476">
              <w:rPr>
                <w:rFonts w:ascii="Arial" w:hAnsi="Arial" w:cs="Arial"/>
                <w:b/>
                <w:bCs/>
                <w:color w:val="000000"/>
                <w:sz w:val="20"/>
                <w:szCs w:val="20"/>
              </w:rPr>
              <w:t>20/21</w:t>
            </w:r>
          </w:p>
        </w:tc>
        <w:tc>
          <w:tcPr>
            <w:tcW w:w="778" w:type="dxa"/>
            <w:tcBorders>
              <w:top w:val="single" w:sz="4" w:space="0" w:color="auto"/>
              <w:left w:val="nil"/>
              <w:bottom w:val="single" w:sz="4" w:space="0" w:color="auto"/>
              <w:right w:val="nil"/>
            </w:tcBorders>
            <w:shd w:val="clear" w:color="auto" w:fill="95B3D7" w:themeFill="accent1" w:themeFillTint="99"/>
            <w:noWrap/>
            <w:vAlign w:val="bottom"/>
            <w:hideMark/>
          </w:tcPr>
          <w:p w14:paraId="6B70357A" w14:textId="77777777" w:rsidR="008A6D6D" w:rsidRPr="00E34476" w:rsidRDefault="008A6D6D" w:rsidP="00162D6E">
            <w:pPr>
              <w:spacing w:line="360" w:lineRule="auto"/>
              <w:jc w:val="both"/>
              <w:rPr>
                <w:rFonts w:ascii="Arial" w:hAnsi="Arial" w:cs="Arial"/>
                <w:b/>
                <w:bCs/>
                <w:color w:val="000000"/>
                <w:sz w:val="20"/>
                <w:szCs w:val="20"/>
              </w:rPr>
            </w:pPr>
            <w:r w:rsidRPr="00E34476">
              <w:rPr>
                <w:rFonts w:ascii="Arial" w:hAnsi="Arial" w:cs="Arial"/>
                <w:b/>
                <w:bCs/>
                <w:color w:val="000000"/>
                <w:sz w:val="20"/>
                <w:szCs w:val="20"/>
              </w:rPr>
              <w:t>21/22</w:t>
            </w:r>
          </w:p>
        </w:tc>
        <w:tc>
          <w:tcPr>
            <w:tcW w:w="778" w:type="dxa"/>
            <w:tcBorders>
              <w:top w:val="single" w:sz="4" w:space="0" w:color="auto"/>
              <w:left w:val="nil"/>
              <w:bottom w:val="single" w:sz="4" w:space="0" w:color="auto"/>
              <w:right w:val="nil"/>
            </w:tcBorders>
            <w:shd w:val="clear" w:color="auto" w:fill="95B3D7" w:themeFill="accent1" w:themeFillTint="99"/>
            <w:noWrap/>
            <w:vAlign w:val="bottom"/>
            <w:hideMark/>
          </w:tcPr>
          <w:p w14:paraId="4AC070F2" w14:textId="77777777" w:rsidR="008A6D6D" w:rsidRPr="00E34476" w:rsidRDefault="008A6D6D" w:rsidP="00162D6E">
            <w:pPr>
              <w:spacing w:line="360" w:lineRule="auto"/>
              <w:jc w:val="both"/>
              <w:rPr>
                <w:rFonts w:ascii="Arial" w:hAnsi="Arial" w:cs="Arial"/>
                <w:b/>
                <w:bCs/>
                <w:color w:val="000000"/>
                <w:sz w:val="20"/>
                <w:szCs w:val="20"/>
              </w:rPr>
            </w:pPr>
            <w:r w:rsidRPr="00E34476">
              <w:rPr>
                <w:rFonts w:ascii="Arial" w:hAnsi="Arial" w:cs="Arial"/>
                <w:b/>
                <w:bCs/>
                <w:color w:val="000000"/>
                <w:sz w:val="20"/>
                <w:szCs w:val="20"/>
              </w:rPr>
              <w:t>22/23</w:t>
            </w:r>
          </w:p>
        </w:tc>
        <w:tc>
          <w:tcPr>
            <w:tcW w:w="717"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53B9D5D8" w14:textId="77777777" w:rsidR="008A6D6D" w:rsidRPr="00E34476" w:rsidRDefault="008A6D6D" w:rsidP="00162D6E">
            <w:pPr>
              <w:spacing w:line="360" w:lineRule="auto"/>
              <w:jc w:val="both"/>
              <w:rPr>
                <w:rFonts w:ascii="Arial" w:hAnsi="Arial" w:cs="Arial"/>
                <w:b/>
                <w:bCs/>
                <w:color w:val="000000"/>
                <w:sz w:val="20"/>
                <w:szCs w:val="20"/>
              </w:rPr>
            </w:pPr>
            <w:r w:rsidRPr="00E34476">
              <w:rPr>
                <w:rFonts w:ascii="Arial" w:hAnsi="Arial" w:cs="Arial"/>
                <w:b/>
                <w:bCs/>
                <w:color w:val="000000"/>
                <w:sz w:val="20"/>
                <w:szCs w:val="20"/>
              </w:rPr>
              <w:t>23/24</w:t>
            </w:r>
          </w:p>
        </w:tc>
      </w:tr>
      <w:tr w:rsidR="008A6D6D" w:rsidRPr="00E34476" w14:paraId="7E82E0F7" w14:textId="77777777" w:rsidTr="00631EA1">
        <w:trPr>
          <w:trHeight w:val="309"/>
        </w:trPr>
        <w:tc>
          <w:tcPr>
            <w:tcW w:w="1858" w:type="dxa"/>
            <w:tcBorders>
              <w:top w:val="nil"/>
              <w:left w:val="single" w:sz="4" w:space="0" w:color="auto"/>
              <w:bottom w:val="nil"/>
              <w:right w:val="single" w:sz="4" w:space="0" w:color="auto"/>
            </w:tcBorders>
            <w:shd w:val="clear" w:color="auto" w:fill="auto"/>
            <w:noWrap/>
            <w:vAlign w:val="bottom"/>
            <w:hideMark/>
          </w:tcPr>
          <w:p w14:paraId="0D52429B" w14:textId="77777777" w:rsidR="008A6D6D" w:rsidRPr="00F815D2" w:rsidRDefault="008A6D6D" w:rsidP="00162D6E">
            <w:pPr>
              <w:spacing w:line="360" w:lineRule="auto"/>
              <w:jc w:val="both"/>
              <w:rPr>
                <w:rFonts w:ascii="Arial" w:hAnsi="Arial" w:cs="Arial"/>
                <w:b/>
                <w:bCs/>
                <w:color w:val="000000"/>
                <w:sz w:val="18"/>
                <w:szCs w:val="18"/>
              </w:rPr>
            </w:pPr>
            <w:r w:rsidRPr="00F815D2">
              <w:rPr>
                <w:rFonts w:ascii="Arial" w:hAnsi="Arial" w:cs="Arial"/>
                <w:b/>
                <w:bCs/>
                <w:color w:val="000000"/>
                <w:sz w:val="18"/>
                <w:szCs w:val="18"/>
              </w:rPr>
              <w:t>SV (Scenario 1)</w:t>
            </w:r>
          </w:p>
        </w:tc>
        <w:tc>
          <w:tcPr>
            <w:tcW w:w="717" w:type="dxa"/>
            <w:tcBorders>
              <w:top w:val="nil"/>
              <w:left w:val="nil"/>
              <w:bottom w:val="nil"/>
              <w:right w:val="nil"/>
            </w:tcBorders>
            <w:shd w:val="clear" w:color="auto" w:fill="auto"/>
            <w:noWrap/>
            <w:vAlign w:val="bottom"/>
            <w:hideMark/>
          </w:tcPr>
          <w:p w14:paraId="27D1DE45" w14:textId="77777777" w:rsidR="008A6D6D" w:rsidRPr="00E34476" w:rsidRDefault="008A6D6D" w:rsidP="00162D6E">
            <w:pPr>
              <w:spacing w:line="360" w:lineRule="auto"/>
              <w:jc w:val="both"/>
              <w:rPr>
                <w:rFonts w:ascii="Arial" w:hAnsi="Arial" w:cs="Arial"/>
                <w:color w:val="000000"/>
                <w:sz w:val="20"/>
                <w:szCs w:val="20"/>
              </w:rPr>
            </w:pPr>
            <w:r w:rsidRPr="00E34476">
              <w:rPr>
                <w:rFonts w:ascii="Arial" w:hAnsi="Arial" w:cs="Arial"/>
                <w:color w:val="000000"/>
                <w:sz w:val="20"/>
                <w:szCs w:val="20"/>
              </w:rPr>
              <w:t>4.1%</w:t>
            </w:r>
          </w:p>
        </w:tc>
        <w:tc>
          <w:tcPr>
            <w:tcW w:w="778" w:type="dxa"/>
            <w:tcBorders>
              <w:top w:val="nil"/>
              <w:left w:val="nil"/>
              <w:bottom w:val="nil"/>
              <w:right w:val="nil"/>
            </w:tcBorders>
            <w:shd w:val="clear" w:color="auto" w:fill="auto"/>
            <w:noWrap/>
            <w:vAlign w:val="bottom"/>
            <w:hideMark/>
          </w:tcPr>
          <w:p w14:paraId="3948CC1E" w14:textId="77777777" w:rsidR="008A6D6D" w:rsidRPr="00E34476" w:rsidRDefault="008A6D6D" w:rsidP="00162D6E">
            <w:pPr>
              <w:spacing w:line="360" w:lineRule="auto"/>
              <w:jc w:val="both"/>
              <w:rPr>
                <w:rFonts w:ascii="Arial" w:hAnsi="Arial" w:cs="Arial"/>
                <w:color w:val="000000"/>
                <w:sz w:val="20"/>
                <w:szCs w:val="20"/>
              </w:rPr>
            </w:pPr>
            <w:r w:rsidRPr="00E34476">
              <w:rPr>
                <w:rFonts w:ascii="Arial" w:hAnsi="Arial" w:cs="Arial"/>
                <w:color w:val="000000"/>
                <w:sz w:val="20"/>
                <w:szCs w:val="20"/>
              </w:rPr>
              <w:t>4.1%</w:t>
            </w:r>
          </w:p>
        </w:tc>
        <w:tc>
          <w:tcPr>
            <w:tcW w:w="778" w:type="dxa"/>
            <w:tcBorders>
              <w:top w:val="nil"/>
              <w:left w:val="nil"/>
              <w:bottom w:val="nil"/>
              <w:right w:val="nil"/>
            </w:tcBorders>
            <w:shd w:val="clear" w:color="auto" w:fill="auto"/>
            <w:noWrap/>
            <w:vAlign w:val="bottom"/>
            <w:hideMark/>
          </w:tcPr>
          <w:p w14:paraId="38CB6694" w14:textId="77777777" w:rsidR="008A6D6D" w:rsidRPr="00E34476" w:rsidRDefault="008A6D6D" w:rsidP="00162D6E">
            <w:pPr>
              <w:spacing w:line="360" w:lineRule="auto"/>
              <w:jc w:val="both"/>
              <w:rPr>
                <w:rFonts w:ascii="Arial" w:hAnsi="Arial" w:cs="Arial"/>
                <w:color w:val="000000"/>
                <w:sz w:val="20"/>
                <w:szCs w:val="20"/>
              </w:rPr>
            </w:pPr>
            <w:r w:rsidRPr="00E34476">
              <w:rPr>
                <w:rFonts w:ascii="Arial" w:hAnsi="Arial" w:cs="Arial"/>
                <w:color w:val="000000"/>
                <w:sz w:val="20"/>
                <w:szCs w:val="20"/>
              </w:rPr>
              <w:t>4.1%</w:t>
            </w:r>
          </w:p>
        </w:tc>
        <w:tc>
          <w:tcPr>
            <w:tcW w:w="778" w:type="dxa"/>
            <w:tcBorders>
              <w:top w:val="nil"/>
              <w:left w:val="nil"/>
              <w:bottom w:val="nil"/>
              <w:right w:val="nil"/>
            </w:tcBorders>
            <w:shd w:val="clear" w:color="auto" w:fill="auto"/>
            <w:noWrap/>
            <w:vAlign w:val="bottom"/>
            <w:hideMark/>
          </w:tcPr>
          <w:p w14:paraId="6E2B00C6" w14:textId="77777777" w:rsidR="008A6D6D" w:rsidRPr="00E34476" w:rsidRDefault="008A6D6D" w:rsidP="00162D6E">
            <w:pPr>
              <w:spacing w:line="360" w:lineRule="auto"/>
              <w:jc w:val="both"/>
              <w:rPr>
                <w:rFonts w:ascii="Arial" w:hAnsi="Arial" w:cs="Arial"/>
                <w:color w:val="000000"/>
                <w:sz w:val="20"/>
                <w:szCs w:val="20"/>
              </w:rPr>
            </w:pPr>
            <w:r w:rsidRPr="00E34476">
              <w:rPr>
                <w:rFonts w:ascii="Arial" w:hAnsi="Arial" w:cs="Arial"/>
                <w:color w:val="000000"/>
                <w:sz w:val="20"/>
                <w:szCs w:val="20"/>
              </w:rPr>
              <w:t>4.1%</w:t>
            </w:r>
          </w:p>
        </w:tc>
        <w:tc>
          <w:tcPr>
            <w:tcW w:w="778" w:type="dxa"/>
            <w:tcBorders>
              <w:top w:val="nil"/>
              <w:left w:val="nil"/>
              <w:bottom w:val="nil"/>
              <w:right w:val="nil"/>
            </w:tcBorders>
            <w:shd w:val="clear" w:color="auto" w:fill="auto"/>
            <w:noWrap/>
            <w:vAlign w:val="bottom"/>
            <w:hideMark/>
          </w:tcPr>
          <w:p w14:paraId="02C990F0" w14:textId="77777777" w:rsidR="008A6D6D" w:rsidRPr="00E34476" w:rsidRDefault="008A6D6D" w:rsidP="00162D6E">
            <w:pPr>
              <w:spacing w:line="360" w:lineRule="auto"/>
              <w:jc w:val="both"/>
              <w:rPr>
                <w:rFonts w:ascii="Arial" w:hAnsi="Arial" w:cs="Arial"/>
                <w:color w:val="000000"/>
                <w:sz w:val="20"/>
                <w:szCs w:val="20"/>
              </w:rPr>
            </w:pPr>
            <w:r w:rsidRPr="00E34476">
              <w:rPr>
                <w:rFonts w:ascii="Arial" w:hAnsi="Arial" w:cs="Arial"/>
                <w:color w:val="000000"/>
                <w:sz w:val="20"/>
                <w:szCs w:val="20"/>
              </w:rPr>
              <w:t>4.1%</w:t>
            </w:r>
          </w:p>
        </w:tc>
        <w:tc>
          <w:tcPr>
            <w:tcW w:w="778" w:type="dxa"/>
            <w:tcBorders>
              <w:top w:val="nil"/>
              <w:left w:val="nil"/>
              <w:bottom w:val="nil"/>
              <w:right w:val="nil"/>
            </w:tcBorders>
            <w:shd w:val="clear" w:color="auto" w:fill="auto"/>
            <w:noWrap/>
            <w:vAlign w:val="bottom"/>
            <w:hideMark/>
          </w:tcPr>
          <w:p w14:paraId="09C9F4F9" w14:textId="77777777" w:rsidR="008A6D6D" w:rsidRPr="00E34476" w:rsidRDefault="008A6D6D" w:rsidP="00162D6E">
            <w:pPr>
              <w:spacing w:line="360" w:lineRule="auto"/>
              <w:jc w:val="both"/>
              <w:rPr>
                <w:rFonts w:ascii="Arial" w:hAnsi="Arial" w:cs="Arial"/>
                <w:color w:val="000000"/>
                <w:sz w:val="20"/>
                <w:szCs w:val="20"/>
              </w:rPr>
            </w:pPr>
            <w:r w:rsidRPr="00E34476">
              <w:rPr>
                <w:rFonts w:ascii="Arial" w:hAnsi="Arial" w:cs="Arial"/>
                <w:color w:val="000000"/>
                <w:sz w:val="20"/>
                <w:szCs w:val="20"/>
              </w:rPr>
              <w:t>4.1%</w:t>
            </w:r>
          </w:p>
        </w:tc>
        <w:tc>
          <w:tcPr>
            <w:tcW w:w="778" w:type="dxa"/>
            <w:tcBorders>
              <w:top w:val="nil"/>
              <w:left w:val="nil"/>
              <w:bottom w:val="nil"/>
              <w:right w:val="nil"/>
            </w:tcBorders>
            <w:shd w:val="clear" w:color="auto" w:fill="auto"/>
            <w:noWrap/>
            <w:vAlign w:val="bottom"/>
            <w:hideMark/>
          </w:tcPr>
          <w:p w14:paraId="23C7A743" w14:textId="77777777" w:rsidR="008A6D6D" w:rsidRPr="00E34476" w:rsidRDefault="008A6D6D" w:rsidP="00162D6E">
            <w:pPr>
              <w:spacing w:line="360" w:lineRule="auto"/>
              <w:jc w:val="both"/>
              <w:rPr>
                <w:rFonts w:ascii="Arial" w:hAnsi="Arial" w:cs="Arial"/>
                <w:color w:val="000000"/>
                <w:sz w:val="20"/>
                <w:szCs w:val="20"/>
              </w:rPr>
            </w:pPr>
            <w:r w:rsidRPr="00E34476">
              <w:rPr>
                <w:rFonts w:ascii="Arial" w:hAnsi="Arial" w:cs="Arial"/>
                <w:color w:val="000000"/>
                <w:sz w:val="20"/>
                <w:szCs w:val="20"/>
              </w:rPr>
              <w:t>4.1%</w:t>
            </w:r>
          </w:p>
        </w:tc>
        <w:tc>
          <w:tcPr>
            <w:tcW w:w="778" w:type="dxa"/>
            <w:tcBorders>
              <w:top w:val="nil"/>
              <w:left w:val="nil"/>
              <w:bottom w:val="nil"/>
              <w:right w:val="nil"/>
            </w:tcBorders>
            <w:shd w:val="clear" w:color="auto" w:fill="auto"/>
            <w:noWrap/>
            <w:vAlign w:val="bottom"/>
            <w:hideMark/>
          </w:tcPr>
          <w:p w14:paraId="3D6885A7" w14:textId="77777777" w:rsidR="008A6D6D" w:rsidRPr="00E34476" w:rsidRDefault="008A6D6D" w:rsidP="00162D6E">
            <w:pPr>
              <w:spacing w:line="360" w:lineRule="auto"/>
              <w:jc w:val="both"/>
              <w:rPr>
                <w:rFonts w:ascii="Arial" w:hAnsi="Arial" w:cs="Arial"/>
                <w:color w:val="000000"/>
                <w:sz w:val="20"/>
                <w:szCs w:val="20"/>
              </w:rPr>
            </w:pPr>
            <w:r w:rsidRPr="00E34476">
              <w:rPr>
                <w:rFonts w:ascii="Arial" w:hAnsi="Arial" w:cs="Arial"/>
                <w:color w:val="000000"/>
                <w:sz w:val="20"/>
                <w:szCs w:val="20"/>
              </w:rPr>
              <w:t>4.1%</w:t>
            </w:r>
          </w:p>
        </w:tc>
        <w:tc>
          <w:tcPr>
            <w:tcW w:w="778" w:type="dxa"/>
            <w:tcBorders>
              <w:top w:val="nil"/>
              <w:left w:val="nil"/>
              <w:bottom w:val="nil"/>
              <w:right w:val="nil"/>
            </w:tcBorders>
            <w:shd w:val="clear" w:color="auto" w:fill="auto"/>
            <w:noWrap/>
            <w:vAlign w:val="bottom"/>
            <w:hideMark/>
          </w:tcPr>
          <w:p w14:paraId="6DDC3DD5" w14:textId="77777777" w:rsidR="008A6D6D" w:rsidRPr="00E34476" w:rsidRDefault="008A6D6D" w:rsidP="00162D6E">
            <w:pPr>
              <w:spacing w:line="360" w:lineRule="auto"/>
              <w:jc w:val="both"/>
              <w:rPr>
                <w:rFonts w:ascii="Arial" w:hAnsi="Arial" w:cs="Arial"/>
                <w:color w:val="000000"/>
                <w:sz w:val="20"/>
                <w:szCs w:val="20"/>
              </w:rPr>
            </w:pPr>
            <w:r w:rsidRPr="00E34476">
              <w:rPr>
                <w:rFonts w:ascii="Arial" w:hAnsi="Arial" w:cs="Arial"/>
                <w:color w:val="000000"/>
                <w:sz w:val="20"/>
                <w:szCs w:val="20"/>
              </w:rPr>
              <w:t>4.1%</w:t>
            </w:r>
          </w:p>
        </w:tc>
        <w:tc>
          <w:tcPr>
            <w:tcW w:w="717" w:type="dxa"/>
            <w:tcBorders>
              <w:top w:val="nil"/>
              <w:left w:val="nil"/>
              <w:bottom w:val="nil"/>
              <w:right w:val="single" w:sz="4" w:space="0" w:color="auto"/>
            </w:tcBorders>
            <w:shd w:val="clear" w:color="auto" w:fill="auto"/>
            <w:noWrap/>
            <w:vAlign w:val="bottom"/>
            <w:hideMark/>
          </w:tcPr>
          <w:p w14:paraId="353CF4AA" w14:textId="77777777" w:rsidR="008A6D6D" w:rsidRPr="00E34476" w:rsidRDefault="008A6D6D" w:rsidP="00162D6E">
            <w:pPr>
              <w:spacing w:line="360" w:lineRule="auto"/>
              <w:jc w:val="both"/>
              <w:rPr>
                <w:rFonts w:ascii="Arial" w:hAnsi="Arial" w:cs="Arial"/>
                <w:color w:val="000000"/>
                <w:sz w:val="20"/>
                <w:szCs w:val="20"/>
              </w:rPr>
            </w:pPr>
            <w:r w:rsidRPr="00E34476">
              <w:rPr>
                <w:rFonts w:ascii="Arial" w:hAnsi="Arial" w:cs="Arial"/>
                <w:color w:val="000000"/>
                <w:sz w:val="20"/>
                <w:szCs w:val="20"/>
              </w:rPr>
              <w:t>4.1%</w:t>
            </w:r>
          </w:p>
        </w:tc>
      </w:tr>
      <w:tr w:rsidR="008A6D6D" w:rsidRPr="00E34476" w14:paraId="387192FD" w14:textId="77777777" w:rsidTr="00631EA1">
        <w:trPr>
          <w:trHeight w:val="309"/>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7DFD614F" w14:textId="77777777" w:rsidR="008A6D6D" w:rsidRPr="00F815D2" w:rsidRDefault="008A6D6D" w:rsidP="00162D6E">
            <w:pPr>
              <w:spacing w:line="360" w:lineRule="auto"/>
              <w:rPr>
                <w:rFonts w:ascii="Arial" w:hAnsi="Arial" w:cs="Arial"/>
                <w:b/>
                <w:bCs/>
                <w:color w:val="000000"/>
                <w:sz w:val="18"/>
                <w:szCs w:val="18"/>
              </w:rPr>
            </w:pPr>
            <w:r w:rsidRPr="00F815D2">
              <w:rPr>
                <w:rFonts w:ascii="Arial" w:hAnsi="Arial" w:cs="Arial"/>
                <w:b/>
                <w:bCs/>
                <w:color w:val="000000"/>
                <w:sz w:val="18"/>
                <w:szCs w:val="18"/>
              </w:rPr>
              <w:t>No SV (Scenario 3)</w:t>
            </w:r>
          </w:p>
        </w:tc>
        <w:tc>
          <w:tcPr>
            <w:tcW w:w="717" w:type="dxa"/>
            <w:tcBorders>
              <w:top w:val="nil"/>
              <w:left w:val="nil"/>
              <w:bottom w:val="single" w:sz="4" w:space="0" w:color="auto"/>
              <w:right w:val="nil"/>
            </w:tcBorders>
            <w:shd w:val="clear" w:color="auto" w:fill="auto"/>
            <w:noWrap/>
            <w:vAlign w:val="bottom"/>
            <w:hideMark/>
          </w:tcPr>
          <w:p w14:paraId="7C8AFE05" w14:textId="77777777" w:rsidR="008A6D6D" w:rsidRPr="00E34476" w:rsidRDefault="008A6D6D" w:rsidP="00162D6E">
            <w:pPr>
              <w:spacing w:line="360" w:lineRule="auto"/>
              <w:jc w:val="both"/>
              <w:rPr>
                <w:rFonts w:ascii="Arial" w:hAnsi="Arial" w:cs="Arial"/>
                <w:color w:val="000000"/>
                <w:sz w:val="20"/>
                <w:szCs w:val="20"/>
              </w:rPr>
            </w:pPr>
            <w:r w:rsidRPr="00E34476">
              <w:rPr>
                <w:rFonts w:ascii="Arial" w:hAnsi="Arial" w:cs="Arial"/>
                <w:color w:val="000000"/>
                <w:sz w:val="20"/>
                <w:szCs w:val="20"/>
              </w:rPr>
              <w:t>4.1%</w:t>
            </w:r>
          </w:p>
        </w:tc>
        <w:tc>
          <w:tcPr>
            <w:tcW w:w="778" w:type="dxa"/>
            <w:tcBorders>
              <w:top w:val="nil"/>
              <w:left w:val="nil"/>
              <w:bottom w:val="single" w:sz="4" w:space="0" w:color="auto"/>
              <w:right w:val="nil"/>
            </w:tcBorders>
            <w:shd w:val="clear" w:color="auto" w:fill="auto"/>
            <w:noWrap/>
            <w:vAlign w:val="bottom"/>
            <w:hideMark/>
          </w:tcPr>
          <w:p w14:paraId="7B3FFC6D" w14:textId="77777777" w:rsidR="008A6D6D" w:rsidRPr="00E34476" w:rsidRDefault="008A6D6D" w:rsidP="00162D6E">
            <w:pPr>
              <w:spacing w:line="360" w:lineRule="auto"/>
              <w:jc w:val="both"/>
              <w:rPr>
                <w:rFonts w:ascii="Arial" w:hAnsi="Arial" w:cs="Arial"/>
                <w:color w:val="000000"/>
                <w:sz w:val="20"/>
                <w:szCs w:val="20"/>
              </w:rPr>
            </w:pPr>
            <w:r w:rsidRPr="00E34476">
              <w:rPr>
                <w:rFonts w:ascii="Arial" w:hAnsi="Arial" w:cs="Arial"/>
                <w:color w:val="000000"/>
                <w:sz w:val="20"/>
                <w:szCs w:val="20"/>
              </w:rPr>
              <w:t>4.1%</w:t>
            </w:r>
          </w:p>
        </w:tc>
        <w:tc>
          <w:tcPr>
            <w:tcW w:w="778" w:type="dxa"/>
            <w:tcBorders>
              <w:top w:val="nil"/>
              <w:left w:val="nil"/>
              <w:bottom w:val="single" w:sz="4" w:space="0" w:color="auto"/>
              <w:right w:val="nil"/>
            </w:tcBorders>
            <w:shd w:val="clear" w:color="auto" w:fill="auto"/>
            <w:noWrap/>
            <w:vAlign w:val="bottom"/>
            <w:hideMark/>
          </w:tcPr>
          <w:p w14:paraId="60C3D01D" w14:textId="77777777" w:rsidR="008A6D6D" w:rsidRPr="00E34476" w:rsidRDefault="008A6D6D" w:rsidP="00162D6E">
            <w:pPr>
              <w:spacing w:line="360" w:lineRule="auto"/>
              <w:jc w:val="both"/>
              <w:rPr>
                <w:rFonts w:ascii="Arial" w:hAnsi="Arial" w:cs="Arial"/>
                <w:color w:val="000000"/>
                <w:sz w:val="20"/>
                <w:szCs w:val="20"/>
              </w:rPr>
            </w:pPr>
            <w:r w:rsidRPr="00E34476">
              <w:rPr>
                <w:rFonts w:ascii="Arial" w:hAnsi="Arial" w:cs="Arial"/>
                <w:color w:val="000000"/>
                <w:sz w:val="20"/>
                <w:szCs w:val="20"/>
              </w:rPr>
              <w:t>4.1%</w:t>
            </w:r>
          </w:p>
        </w:tc>
        <w:tc>
          <w:tcPr>
            <w:tcW w:w="778" w:type="dxa"/>
            <w:tcBorders>
              <w:top w:val="nil"/>
              <w:left w:val="nil"/>
              <w:bottom w:val="single" w:sz="4" w:space="0" w:color="auto"/>
              <w:right w:val="nil"/>
            </w:tcBorders>
            <w:shd w:val="clear" w:color="auto" w:fill="auto"/>
            <w:noWrap/>
            <w:vAlign w:val="bottom"/>
            <w:hideMark/>
          </w:tcPr>
          <w:p w14:paraId="5313E5BD" w14:textId="77777777" w:rsidR="008A6D6D" w:rsidRPr="00E34476" w:rsidRDefault="008A6D6D" w:rsidP="00162D6E">
            <w:pPr>
              <w:spacing w:line="360" w:lineRule="auto"/>
              <w:jc w:val="both"/>
              <w:rPr>
                <w:rFonts w:ascii="Arial" w:hAnsi="Arial" w:cs="Arial"/>
                <w:color w:val="000000"/>
                <w:sz w:val="20"/>
                <w:szCs w:val="20"/>
              </w:rPr>
            </w:pPr>
            <w:r w:rsidRPr="00E34476">
              <w:rPr>
                <w:rFonts w:ascii="Arial" w:hAnsi="Arial" w:cs="Arial"/>
                <w:color w:val="000000"/>
                <w:sz w:val="20"/>
                <w:szCs w:val="20"/>
              </w:rPr>
              <w:t>4.1%</w:t>
            </w:r>
          </w:p>
        </w:tc>
        <w:tc>
          <w:tcPr>
            <w:tcW w:w="778" w:type="dxa"/>
            <w:tcBorders>
              <w:top w:val="nil"/>
              <w:left w:val="nil"/>
              <w:bottom w:val="single" w:sz="4" w:space="0" w:color="auto"/>
              <w:right w:val="nil"/>
            </w:tcBorders>
            <w:shd w:val="clear" w:color="auto" w:fill="auto"/>
            <w:noWrap/>
            <w:vAlign w:val="bottom"/>
            <w:hideMark/>
          </w:tcPr>
          <w:p w14:paraId="3D617181" w14:textId="77777777" w:rsidR="008A6D6D" w:rsidRPr="00E34476" w:rsidRDefault="008A6D6D" w:rsidP="00162D6E">
            <w:pPr>
              <w:spacing w:line="360" w:lineRule="auto"/>
              <w:jc w:val="both"/>
              <w:rPr>
                <w:rFonts w:ascii="Arial" w:hAnsi="Arial" w:cs="Arial"/>
                <w:color w:val="000000"/>
                <w:sz w:val="20"/>
                <w:szCs w:val="20"/>
              </w:rPr>
            </w:pPr>
            <w:r w:rsidRPr="00E34476">
              <w:rPr>
                <w:rFonts w:ascii="Arial" w:hAnsi="Arial" w:cs="Arial"/>
                <w:color w:val="000000"/>
                <w:sz w:val="20"/>
                <w:szCs w:val="20"/>
              </w:rPr>
              <w:t>4.1%</w:t>
            </w:r>
          </w:p>
        </w:tc>
        <w:tc>
          <w:tcPr>
            <w:tcW w:w="778" w:type="dxa"/>
            <w:tcBorders>
              <w:top w:val="nil"/>
              <w:left w:val="nil"/>
              <w:bottom w:val="single" w:sz="4" w:space="0" w:color="auto"/>
              <w:right w:val="nil"/>
            </w:tcBorders>
            <w:shd w:val="clear" w:color="auto" w:fill="auto"/>
            <w:noWrap/>
            <w:vAlign w:val="bottom"/>
            <w:hideMark/>
          </w:tcPr>
          <w:p w14:paraId="5E4C46A4" w14:textId="77777777" w:rsidR="008A6D6D" w:rsidRPr="00E34476" w:rsidRDefault="008A6D6D" w:rsidP="00162D6E">
            <w:pPr>
              <w:spacing w:line="360" w:lineRule="auto"/>
              <w:jc w:val="both"/>
              <w:rPr>
                <w:rFonts w:ascii="Arial" w:hAnsi="Arial" w:cs="Arial"/>
                <w:color w:val="000000"/>
                <w:sz w:val="20"/>
                <w:szCs w:val="20"/>
              </w:rPr>
            </w:pPr>
            <w:r w:rsidRPr="00E34476">
              <w:rPr>
                <w:rFonts w:ascii="Arial" w:hAnsi="Arial" w:cs="Arial"/>
                <w:color w:val="000000"/>
                <w:sz w:val="20"/>
                <w:szCs w:val="20"/>
              </w:rPr>
              <w:t>4.1%</w:t>
            </w:r>
          </w:p>
        </w:tc>
        <w:tc>
          <w:tcPr>
            <w:tcW w:w="778" w:type="dxa"/>
            <w:tcBorders>
              <w:top w:val="nil"/>
              <w:left w:val="nil"/>
              <w:bottom w:val="single" w:sz="4" w:space="0" w:color="auto"/>
              <w:right w:val="nil"/>
            </w:tcBorders>
            <w:shd w:val="clear" w:color="auto" w:fill="auto"/>
            <w:noWrap/>
            <w:vAlign w:val="bottom"/>
            <w:hideMark/>
          </w:tcPr>
          <w:p w14:paraId="2F3EE72F" w14:textId="77777777" w:rsidR="008A6D6D" w:rsidRPr="00E34476" w:rsidRDefault="008A6D6D" w:rsidP="00162D6E">
            <w:pPr>
              <w:spacing w:line="360" w:lineRule="auto"/>
              <w:jc w:val="both"/>
              <w:rPr>
                <w:rFonts w:ascii="Arial" w:hAnsi="Arial" w:cs="Arial"/>
                <w:color w:val="000000"/>
                <w:sz w:val="20"/>
                <w:szCs w:val="20"/>
              </w:rPr>
            </w:pPr>
            <w:r w:rsidRPr="00E34476">
              <w:rPr>
                <w:rFonts w:ascii="Arial" w:hAnsi="Arial" w:cs="Arial"/>
                <w:color w:val="000000"/>
                <w:sz w:val="20"/>
                <w:szCs w:val="20"/>
              </w:rPr>
              <w:t>4.1%</w:t>
            </w:r>
          </w:p>
        </w:tc>
        <w:tc>
          <w:tcPr>
            <w:tcW w:w="778" w:type="dxa"/>
            <w:tcBorders>
              <w:top w:val="nil"/>
              <w:left w:val="nil"/>
              <w:bottom w:val="single" w:sz="4" w:space="0" w:color="auto"/>
              <w:right w:val="nil"/>
            </w:tcBorders>
            <w:shd w:val="clear" w:color="auto" w:fill="auto"/>
            <w:noWrap/>
            <w:vAlign w:val="bottom"/>
            <w:hideMark/>
          </w:tcPr>
          <w:p w14:paraId="1B37B53E" w14:textId="77777777" w:rsidR="008A6D6D" w:rsidRPr="00E34476" w:rsidRDefault="008A6D6D" w:rsidP="00162D6E">
            <w:pPr>
              <w:spacing w:line="360" w:lineRule="auto"/>
              <w:jc w:val="both"/>
              <w:rPr>
                <w:rFonts w:ascii="Arial" w:hAnsi="Arial" w:cs="Arial"/>
                <w:color w:val="000000"/>
                <w:sz w:val="20"/>
                <w:szCs w:val="20"/>
              </w:rPr>
            </w:pPr>
            <w:r w:rsidRPr="00E34476">
              <w:rPr>
                <w:rFonts w:ascii="Arial" w:hAnsi="Arial" w:cs="Arial"/>
                <w:color w:val="000000"/>
                <w:sz w:val="20"/>
                <w:szCs w:val="20"/>
              </w:rPr>
              <w:t>4.1%</w:t>
            </w:r>
          </w:p>
        </w:tc>
        <w:tc>
          <w:tcPr>
            <w:tcW w:w="778" w:type="dxa"/>
            <w:tcBorders>
              <w:top w:val="nil"/>
              <w:left w:val="nil"/>
              <w:bottom w:val="single" w:sz="4" w:space="0" w:color="auto"/>
              <w:right w:val="nil"/>
            </w:tcBorders>
            <w:shd w:val="clear" w:color="auto" w:fill="auto"/>
            <w:noWrap/>
            <w:vAlign w:val="bottom"/>
            <w:hideMark/>
          </w:tcPr>
          <w:p w14:paraId="4330C3B8" w14:textId="77777777" w:rsidR="008A6D6D" w:rsidRPr="00E34476" w:rsidRDefault="008A6D6D" w:rsidP="00162D6E">
            <w:pPr>
              <w:spacing w:line="360" w:lineRule="auto"/>
              <w:jc w:val="both"/>
              <w:rPr>
                <w:rFonts w:ascii="Arial" w:hAnsi="Arial" w:cs="Arial"/>
                <w:color w:val="000000"/>
                <w:sz w:val="20"/>
                <w:szCs w:val="20"/>
              </w:rPr>
            </w:pPr>
            <w:r w:rsidRPr="00E34476">
              <w:rPr>
                <w:rFonts w:ascii="Arial" w:hAnsi="Arial" w:cs="Arial"/>
                <w:color w:val="000000"/>
                <w:sz w:val="20"/>
                <w:szCs w:val="20"/>
              </w:rPr>
              <w:t>4.1%</w:t>
            </w:r>
          </w:p>
        </w:tc>
        <w:tc>
          <w:tcPr>
            <w:tcW w:w="717" w:type="dxa"/>
            <w:tcBorders>
              <w:top w:val="nil"/>
              <w:left w:val="nil"/>
              <w:bottom w:val="single" w:sz="4" w:space="0" w:color="auto"/>
              <w:right w:val="single" w:sz="4" w:space="0" w:color="auto"/>
            </w:tcBorders>
            <w:shd w:val="clear" w:color="auto" w:fill="auto"/>
            <w:noWrap/>
            <w:vAlign w:val="bottom"/>
            <w:hideMark/>
          </w:tcPr>
          <w:p w14:paraId="40D14C86" w14:textId="77777777" w:rsidR="008A6D6D" w:rsidRPr="00E34476" w:rsidRDefault="008A6D6D" w:rsidP="00162D6E">
            <w:pPr>
              <w:spacing w:line="360" w:lineRule="auto"/>
              <w:jc w:val="both"/>
              <w:rPr>
                <w:rFonts w:ascii="Arial" w:hAnsi="Arial" w:cs="Arial"/>
                <w:color w:val="000000"/>
                <w:sz w:val="20"/>
                <w:szCs w:val="20"/>
              </w:rPr>
            </w:pPr>
            <w:r w:rsidRPr="00E34476">
              <w:rPr>
                <w:rFonts w:ascii="Arial" w:hAnsi="Arial" w:cs="Arial"/>
                <w:color w:val="000000"/>
                <w:sz w:val="20"/>
                <w:szCs w:val="20"/>
              </w:rPr>
              <w:t>4.1%</w:t>
            </w:r>
          </w:p>
        </w:tc>
      </w:tr>
    </w:tbl>
    <w:p w14:paraId="7820B35F" w14:textId="77777777" w:rsidR="008A6D6D" w:rsidRDefault="008A6D6D" w:rsidP="008A6D6D">
      <w:pPr>
        <w:spacing w:line="360" w:lineRule="auto"/>
        <w:jc w:val="both"/>
        <w:rPr>
          <w:rFonts w:ascii="Arial" w:hAnsi="Arial" w:cs="Arial"/>
          <w:b/>
          <w:sz w:val="20"/>
          <w:szCs w:val="20"/>
        </w:rPr>
      </w:pPr>
    </w:p>
    <w:p w14:paraId="3822B5D7" w14:textId="455EA961" w:rsidR="008A6D6D" w:rsidRPr="00E34476" w:rsidRDefault="008A6D6D" w:rsidP="000D5456">
      <w:pPr>
        <w:pStyle w:val="Heading3"/>
        <w:tabs>
          <w:tab w:val="clear" w:pos="1844"/>
          <w:tab w:val="num" w:pos="709"/>
        </w:tabs>
        <w:ind w:hanging="1844"/>
      </w:pPr>
      <w:bookmarkStart w:id="75" w:name="_Toc392865747"/>
      <w:bookmarkStart w:id="76" w:name="_Toc392874318"/>
      <w:bookmarkStart w:id="77" w:name="_Toc392874432"/>
      <w:bookmarkStart w:id="78" w:name="_Toc394079429"/>
      <w:bookmarkStart w:id="79" w:name="_Toc394079807"/>
      <w:bookmarkStart w:id="80" w:name="_Toc394080299"/>
      <w:bookmarkStart w:id="81" w:name="_Toc394580133"/>
      <w:r w:rsidRPr="00E34476">
        <w:t>Buil</w:t>
      </w:r>
      <w:r>
        <w:t>ding &amp; Infrastructure Renewal R</w:t>
      </w:r>
      <w:r w:rsidRPr="00E34476">
        <w:t>atio</w:t>
      </w:r>
      <w:bookmarkEnd w:id="75"/>
      <w:bookmarkEnd w:id="76"/>
      <w:bookmarkEnd w:id="77"/>
      <w:bookmarkEnd w:id="78"/>
      <w:bookmarkEnd w:id="79"/>
      <w:bookmarkEnd w:id="80"/>
      <w:bookmarkEnd w:id="81"/>
      <w:r>
        <w:t xml:space="preserve"> and Asset Renewal Ratio</w:t>
      </w:r>
    </w:p>
    <w:p w14:paraId="26A6D27F" w14:textId="77777777" w:rsidR="008A6D6D" w:rsidRPr="008022C5" w:rsidRDefault="008A6D6D" w:rsidP="00BC0005">
      <w:pPr>
        <w:spacing w:before="120" w:after="60" w:line="276" w:lineRule="auto"/>
        <w:jc w:val="both"/>
        <w:rPr>
          <w:rFonts w:ascii="Arial" w:hAnsi="Arial" w:cs="Arial"/>
          <w:i/>
          <w:sz w:val="20"/>
          <w:szCs w:val="20"/>
        </w:rPr>
      </w:pPr>
      <w:r w:rsidRPr="008022C5">
        <w:rPr>
          <w:rFonts w:ascii="Arial" w:hAnsi="Arial" w:cs="Arial"/>
          <w:i/>
          <w:sz w:val="20"/>
          <w:szCs w:val="20"/>
        </w:rPr>
        <w:t xml:space="preserve">Proposed special </w:t>
      </w:r>
      <w:r>
        <w:rPr>
          <w:rFonts w:ascii="Arial" w:hAnsi="Arial" w:cs="Arial"/>
          <w:i/>
          <w:sz w:val="20"/>
          <w:szCs w:val="20"/>
        </w:rPr>
        <w:t>v</w:t>
      </w:r>
      <w:r w:rsidRPr="008022C5">
        <w:rPr>
          <w:rFonts w:ascii="Arial" w:hAnsi="Arial" w:cs="Arial"/>
          <w:i/>
          <w:sz w:val="20"/>
          <w:szCs w:val="20"/>
        </w:rPr>
        <w:t>ariation</w:t>
      </w:r>
      <w:r>
        <w:rPr>
          <w:rFonts w:ascii="Arial" w:hAnsi="Arial" w:cs="Arial"/>
          <w:i/>
          <w:sz w:val="20"/>
          <w:szCs w:val="20"/>
        </w:rPr>
        <w:t xml:space="preserve"> (Scenario 1)</w:t>
      </w:r>
    </w:p>
    <w:p w14:paraId="68E6205C" w14:textId="77777777" w:rsidR="008A6D6D" w:rsidRPr="00E34476" w:rsidRDefault="008A6D6D" w:rsidP="00BC0005">
      <w:pPr>
        <w:spacing w:line="276" w:lineRule="auto"/>
        <w:jc w:val="both"/>
        <w:rPr>
          <w:rFonts w:ascii="Arial" w:hAnsi="Arial" w:cs="Arial"/>
          <w:sz w:val="20"/>
          <w:szCs w:val="20"/>
        </w:rPr>
      </w:pPr>
      <w:r w:rsidRPr="00E34476">
        <w:rPr>
          <w:rFonts w:ascii="Arial" w:hAnsi="Arial" w:cs="Arial"/>
          <w:sz w:val="20"/>
          <w:szCs w:val="20"/>
        </w:rPr>
        <w:t xml:space="preserve">The </w:t>
      </w:r>
      <w:r>
        <w:rPr>
          <w:rFonts w:ascii="Arial" w:hAnsi="Arial" w:cs="Arial"/>
          <w:sz w:val="20"/>
          <w:szCs w:val="20"/>
        </w:rPr>
        <w:t xml:space="preserve">Building &amp; Infrastructure Renewal Ratio and the Asset Renewal Ratio measure the </w:t>
      </w:r>
      <w:r w:rsidRPr="00E34476">
        <w:rPr>
          <w:rFonts w:ascii="Arial" w:hAnsi="Arial" w:cs="Arial"/>
          <w:sz w:val="20"/>
          <w:szCs w:val="20"/>
        </w:rPr>
        <w:t xml:space="preserve">Council’s ability to fund the renewal of road, drainage and building assets </w:t>
      </w:r>
      <w:r>
        <w:rPr>
          <w:rFonts w:ascii="Arial" w:hAnsi="Arial" w:cs="Arial"/>
          <w:sz w:val="20"/>
          <w:szCs w:val="20"/>
        </w:rPr>
        <w:t xml:space="preserve">and all built assets respectively, </w:t>
      </w:r>
      <w:r w:rsidRPr="00E34476">
        <w:rPr>
          <w:rFonts w:ascii="Arial" w:hAnsi="Arial" w:cs="Arial"/>
          <w:sz w:val="20"/>
          <w:szCs w:val="20"/>
        </w:rPr>
        <w:t>relative to the rate at which these assets are depreciating</w:t>
      </w:r>
      <w:r>
        <w:rPr>
          <w:rFonts w:ascii="Arial" w:hAnsi="Arial" w:cs="Arial"/>
          <w:sz w:val="20"/>
          <w:szCs w:val="20"/>
        </w:rPr>
        <w:t>.</w:t>
      </w:r>
    </w:p>
    <w:p w14:paraId="5F745B89" w14:textId="77777777" w:rsidR="008A6D6D" w:rsidRDefault="008A6D6D" w:rsidP="00BC0005">
      <w:pPr>
        <w:spacing w:line="276" w:lineRule="auto"/>
        <w:jc w:val="both"/>
        <w:rPr>
          <w:rFonts w:ascii="Arial" w:hAnsi="Arial" w:cs="Arial"/>
          <w:sz w:val="20"/>
          <w:szCs w:val="20"/>
        </w:rPr>
      </w:pPr>
    </w:p>
    <w:p w14:paraId="0DE8891D" w14:textId="54D3A6F2" w:rsidR="008A6D6D" w:rsidRDefault="008A6D6D" w:rsidP="00BC0005">
      <w:pPr>
        <w:spacing w:after="60" w:line="276" w:lineRule="auto"/>
        <w:jc w:val="both"/>
        <w:rPr>
          <w:rFonts w:ascii="Arial" w:hAnsi="Arial" w:cs="Arial"/>
          <w:sz w:val="20"/>
          <w:szCs w:val="20"/>
        </w:rPr>
      </w:pPr>
      <w:r>
        <w:rPr>
          <w:rFonts w:ascii="Arial" w:hAnsi="Arial" w:cs="Arial"/>
          <w:sz w:val="20"/>
          <w:szCs w:val="20"/>
        </w:rPr>
        <w:t xml:space="preserve">The proposed special variation additional revenue will be targeted to asset renewal and maintenance of existing assets (not new assets), through smart initiatives that will reduce long term operational costs, asset whole of lifecycle </w:t>
      </w:r>
      <w:r w:rsidR="004C59FF">
        <w:rPr>
          <w:rFonts w:ascii="Arial" w:hAnsi="Arial" w:cs="Arial"/>
          <w:sz w:val="20"/>
          <w:szCs w:val="20"/>
        </w:rPr>
        <w:t>costs and in turn favourably</w:t>
      </w:r>
      <w:r>
        <w:rPr>
          <w:rFonts w:ascii="Arial" w:hAnsi="Arial" w:cs="Arial"/>
          <w:sz w:val="20"/>
          <w:szCs w:val="20"/>
        </w:rPr>
        <w:t xml:space="preserve"> impact both ratios.</w:t>
      </w:r>
    </w:p>
    <w:p w14:paraId="2CE0D80E" w14:textId="77777777" w:rsidR="008A6D6D" w:rsidRDefault="008A6D6D" w:rsidP="00BC0005">
      <w:pPr>
        <w:spacing w:line="276" w:lineRule="auto"/>
        <w:jc w:val="both"/>
        <w:rPr>
          <w:rFonts w:ascii="Arial" w:hAnsi="Arial" w:cs="Arial"/>
          <w:sz w:val="20"/>
          <w:szCs w:val="20"/>
        </w:rPr>
      </w:pPr>
    </w:p>
    <w:p w14:paraId="48CD659B" w14:textId="2C881693" w:rsidR="008A6D6D" w:rsidRDefault="008A6D6D" w:rsidP="00BC0005">
      <w:pPr>
        <w:spacing w:line="276" w:lineRule="auto"/>
        <w:jc w:val="both"/>
        <w:rPr>
          <w:rFonts w:ascii="Arial" w:hAnsi="Arial" w:cs="Arial"/>
          <w:sz w:val="20"/>
          <w:szCs w:val="20"/>
        </w:rPr>
      </w:pPr>
      <w:r w:rsidRPr="00BF6931">
        <w:rPr>
          <w:rFonts w:ascii="Arial" w:hAnsi="Arial" w:cs="Arial"/>
          <w:sz w:val="20"/>
          <w:szCs w:val="20"/>
        </w:rPr>
        <w:t>Under the proposed special variation</w:t>
      </w:r>
      <w:r>
        <w:rPr>
          <w:rFonts w:ascii="Arial" w:hAnsi="Arial" w:cs="Arial"/>
          <w:sz w:val="20"/>
          <w:szCs w:val="20"/>
        </w:rPr>
        <w:t>,</w:t>
      </w:r>
      <w:r w:rsidRPr="00E34476">
        <w:rPr>
          <w:rFonts w:ascii="Arial" w:hAnsi="Arial" w:cs="Arial"/>
          <w:sz w:val="20"/>
          <w:szCs w:val="20"/>
        </w:rPr>
        <w:t xml:space="preserve"> </w:t>
      </w:r>
      <w:r>
        <w:rPr>
          <w:rFonts w:ascii="Arial" w:hAnsi="Arial" w:cs="Arial"/>
          <w:sz w:val="20"/>
          <w:szCs w:val="20"/>
        </w:rPr>
        <w:t xml:space="preserve">the </w:t>
      </w:r>
      <w:r w:rsidRPr="00E34476">
        <w:rPr>
          <w:rFonts w:ascii="Arial" w:hAnsi="Arial" w:cs="Arial"/>
          <w:sz w:val="20"/>
          <w:szCs w:val="20"/>
        </w:rPr>
        <w:t xml:space="preserve">Council’s </w:t>
      </w:r>
      <w:r>
        <w:rPr>
          <w:rFonts w:ascii="Arial" w:hAnsi="Arial" w:cs="Arial"/>
          <w:sz w:val="20"/>
          <w:szCs w:val="20"/>
        </w:rPr>
        <w:t>Building and Infrastructure Renewals Ratio improves from 26% in 2014/15 to 54% of required renewal expenditure, by 2023/24</w:t>
      </w:r>
      <w:r w:rsidR="00803D3E">
        <w:rPr>
          <w:rFonts w:ascii="Arial" w:hAnsi="Arial" w:cs="Arial"/>
          <w:sz w:val="20"/>
          <w:szCs w:val="20"/>
        </w:rPr>
        <w:t xml:space="preserve"> (see </w:t>
      </w:r>
      <w:r w:rsidR="00803D3E" w:rsidRPr="00803D3E">
        <w:rPr>
          <w:rFonts w:ascii="Arial" w:hAnsi="Arial" w:cs="Arial"/>
          <w:b/>
          <w:sz w:val="20"/>
          <w:szCs w:val="20"/>
        </w:rPr>
        <w:t>Figure 3.18</w:t>
      </w:r>
      <w:r w:rsidR="00803D3E">
        <w:rPr>
          <w:rFonts w:ascii="Arial" w:hAnsi="Arial" w:cs="Arial"/>
          <w:sz w:val="20"/>
          <w:szCs w:val="20"/>
        </w:rPr>
        <w:t>)</w:t>
      </w:r>
      <w:r>
        <w:rPr>
          <w:rFonts w:ascii="Arial" w:hAnsi="Arial" w:cs="Arial"/>
          <w:sz w:val="20"/>
          <w:szCs w:val="20"/>
        </w:rPr>
        <w:t>; and the Council’s Asset Renewal Ratio improves from 18% in 2014/15 to 50% of required renewal expenditure, by 2023/24</w:t>
      </w:r>
      <w:r w:rsidR="00803D3E">
        <w:rPr>
          <w:rFonts w:ascii="Arial" w:hAnsi="Arial" w:cs="Arial"/>
          <w:sz w:val="20"/>
          <w:szCs w:val="20"/>
        </w:rPr>
        <w:t xml:space="preserve"> (see </w:t>
      </w:r>
      <w:r w:rsidR="00803D3E" w:rsidRPr="00803D3E">
        <w:rPr>
          <w:rFonts w:ascii="Arial" w:hAnsi="Arial" w:cs="Arial"/>
          <w:b/>
          <w:sz w:val="20"/>
          <w:szCs w:val="20"/>
        </w:rPr>
        <w:t>Figure 3.19</w:t>
      </w:r>
      <w:r w:rsidR="00803D3E">
        <w:rPr>
          <w:rFonts w:ascii="Arial" w:hAnsi="Arial" w:cs="Arial"/>
          <w:sz w:val="20"/>
          <w:szCs w:val="20"/>
        </w:rPr>
        <w:t>)</w:t>
      </w:r>
      <w:r>
        <w:rPr>
          <w:rFonts w:ascii="Arial" w:hAnsi="Arial" w:cs="Arial"/>
          <w:sz w:val="20"/>
          <w:szCs w:val="20"/>
        </w:rPr>
        <w:t xml:space="preserve">. </w:t>
      </w:r>
    </w:p>
    <w:p w14:paraId="0ABFC0F5" w14:textId="77777777" w:rsidR="008A6D6D" w:rsidRDefault="008A6D6D" w:rsidP="00BC0005">
      <w:pPr>
        <w:spacing w:line="276" w:lineRule="auto"/>
        <w:jc w:val="both"/>
        <w:rPr>
          <w:rFonts w:ascii="Arial" w:hAnsi="Arial" w:cs="Arial"/>
          <w:sz w:val="20"/>
          <w:szCs w:val="20"/>
        </w:rPr>
      </w:pPr>
    </w:p>
    <w:p w14:paraId="795A1BB7" w14:textId="77777777" w:rsidR="008A6D6D" w:rsidRPr="00E34476" w:rsidRDefault="008A6D6D" w:rsidP="00BC0005">
      <w:pPr>
        <w:spacing w:line="276" w:lineRule="auto"/>
        <w:jc w:val="both"/>
        <w:rPr>
          <w:rFonts w:ascii="Arial" w:hAnsi="Arial" w:cs="Arial"/>
          <w:sz w:val="20"/>
          <w:szCs w:val="20"/>
        </w:rPr>
      </w:pPr>
      <w:r>
        <w:rPr>
          <w:rFonts w:ascii="Arial" w:hAnsi="Arial" w:cs="Arial"/>
          <w:sz w:val="20"/>
          <w:szCs w:val="20"/>
        </w:rPr>
        <w:t xml:space="preserve">Each ratio is much more sustainable and importantly risks are more manageable than the underfunding and the level of associated risks </w:t>
      </w:r>
      <w:r w:rsidRPr="00E34476">
        <w:rPr>
          <w:rFonts w:ascii="Arial" w:hAnsi="Arial" w:cs="Arial"/>
          <w:sz w:val="20"/>
          <w:szCs w:val="20"/>
        </w:rPr>
        <w:t xml:space="preserve">under </w:t>
      </w:r>
      <w:r>
        <w:rPr>
          <w:rFonts w:ascii="Arial" w:hAnsi="Arial" w:cs="Arial"/>
          <w:sz w:val="20"/>
          <w:szCs w:val="20"/>
        </w:rPr>
        <w:t>no special variation (</w:t>
      </w:r>
      <w:r w:rsidRPr="00E34476">
        <w:rPr>
          <w:rFonts w:ascii="Arial" w:hAnsi="Arial" w:cs="Arial"/>
          <w:sz w:val="20"/>
          <w:szCs w:val="20"/>
        </w:rPr>
        <w:t>Options 3</w:t>
      </w:r>
      <w:r>
        <w:rPr>
          <w:rFonts w:ascii="Arial" w:hAnsi="Arial" w:cs="Arial"/>
          <w:sz w:val="20"/>
          <w:szCs w:val="20"/>
        </w:rPr>
        <w:t xml:space="preserve">), which only renews building and infrastructure assets and all assets at 33% of required renewal expenditure for both ratios. </w:t>
      </w:r>
    </w:p>
    <w:p w14:paraId="10E63BD6" w14:textId="77777777" w:rsidR="008A6D6D" w:rsidRDefault="008A6D6D" w:rsidP="00BC0005">
      <w:pPr>
        <w:spacing w:after="60" w:line="276" w:lineRule="auto"/>
        <w:jc w:val="both"/>
        <w:rPr>
          <w:rFonts w:ascii="Arial" w:hAnsi="Arial" w:cs="Arial"/>
          <w:sz w:val="20"/>
          <w:szCs w:val="20"/>
        </w:rPr>
      </w:pPr>
    </w:p>
    <w:p w14:paraId="6B923A0F" w14:textId="79533063" w:rsidR="008A6D6D" w:rsidRDefault="008A6D6D" w:rsidP="00BC0005">
      <w:pPr>
        <w:spacing w:after="60" w:line="276" w:lineRule="auto"/>
        <w:jc w:val="both"/>
        <w:rPr>
          <w:rFonts w:ascii="Arial" w:hAnsi="Arial" w:cs="Arial"/>
          <w:sz w:val="20"/>
          <w:szCs w:val="20"/>
        </w:rPr>
      </w:pPr>
      <w:r>
        <w:rPr>
          <w:rFonts w:ascii="Arial" w:hAnsi="Arial" w:cs="Arial"/>
          <w:sz w:val="20"/>
          <w:szCs w:val="20"/>
        </w:rPr>
        <w:t xml:space="preserve">The target for both ratios is greater than 100% to be sustainable. </w:t>
      </w:r>
      <w:r w:rsidR="003C25E4">
        <w:rPr>
          <w:rFonts w:ascii="Arial" w:hAnsi="Arial" w:cs="Arial"/>
          <w:sz w:val="20"/>
          <w:szCs w:val="20"/>
        </w:rPr>
        <w:t xml:space="preserve">Figures 3.18 and 3.19 </w:t>
      </w:r>
      <w:r>
        <w:rPr>
          <w:rFonts w:ascii="Arial" w:hAnsi="Arial" w:cs="Arial"/>
          <w:sz w:val="20"/>
          <w:szCs w:val="20"/>
        </w:rPr>
        <w:t>below show both</w:t>
      </w:r>
      <w:r w:rsidRPr="00E34476">
        <w:rPr>
          <w:rFonts w:ascii="Arial" w:hAnsi="Arial" w:cs="Arial"/>
          <w:sz w:val="20"/>
          <w:szCs w:val="20"/>
        </w:rPr>
        <w:t xml:space="preserve"> ratio</w:t>
      </w:r>
      <w:r>
        <w:rPr>
          <w:rFonts w:ascii="Arial" w:hAnsi="Arial" w:cs="Arial"/>
          <w:sz w:val="20"/>
          <w:szCs w:val="20"/>
        </w:rPr>
        <w:t>s</w:t>
      </w:r>
      <w:r w:rsidRPr="00E34476">
        <w:rPr>
          <w:rFonts w:ascii="Arial" w:hAnsi="Arial" w:cs="Arial"/>
          <w:sz w:val="20"/>
          <w:szCs w:val="20"/>
        </w:rPr>
        <w:t xml:space="preserve"> </w:t>
      </w:r>
      <w:r>
        <w:rPr>
          <w:rFonts w:ascii="Arial" w:hAnsi="Arial" w:cs="Arial"/>
          <w:sz w:val="20"/>
          <w:szCs w:val="20"/>
        </w:rPr>
        <w:t>progressively and significantly trending upwards as they reflect</w:t>
      </w:r>
      <w:r w:rsidRPr="00E34476">
        <w:rPr>
          <w:rFonts w:ascii="Arial" w:hAnsi="Arial" w:cs="Arial"/>
          <w:sz w:val="20"/>
          <w:szCs w:val="20"/>
        </w:rPr>
        <w:t xml:space="preserve"> the impact the proposed sp</w:t>
      </w:r>
      <w:r>
        <w:rPr>
          <w:rFonts w:ascii="Arial" w:hAnsi="Arial" w:cs="Arial"/>
          <w:sz w:val="20"/>
          <w:szCs w:val="20"/>
        </w:rPr>
        <w:t>ecial variation (Option 1)</w:t>
      </w:r>
      <w:r w:rsidRPr="00E34476">
        <w:rPr>
          <w:rFonts w:ascii="Arial" w:hAnsi="Arial" w:cs="Arial"/>
          <w:sz w:val="20"/>
          <w:szCs w:val="20"/>
        </w:rPr>
        <w:t xml:space="preserve"> has on </w:t>
      </w:r>
      <w:r>
        <w:rPr>
          <w:rFonts w:ascii="Arial" w:hAnsi="Arial" w:cs="Arial"/>
          <w:sz w:val="20"/>
          <w:szCs w:val="20"/>
        </w:rPr>
        <w:t>existing</w:t>
      </w:r>
      <w:r w:rsidRPr="00E34476">
        <w:rPr>
          <w:rFonts w:ascii="Arial" w:hAnsi="Arial" w:cs="Arial"/>
          <w:sz w:val="20"/>
          <w:szCs w:val="20"/>
        </w:rPr>
        <w:t xml:space="preserve"> assets</w:t>
      </w:r>
      <w:r>
        <w:rPr>
          <w:rFonts w:ascii="Arial" w:hAnsi="Arial" w:cs="Arial"/>
          <w:sz w:val="20"/>
          <w:szCs w:val="20"/>
        </w:rPr>
        <w:t>.  However, notwithstanding the Council’s measure has significantly improved after 10 years under the proposed special variation, the measure at 54% for the Building &amp; Infrastructure Renewals and the Asset Renewal Ratio at 50%, still</w:t>
      </w:r>
      <w:r w:rsidRPr="00E34476">
        <w:rPr>
          <w:rFonts w:ascii="Arial" w:hAnsi="Arial" w:cs="Arial"/>
          <w:sz w:val="20"/>
          <w:szCs w:val="20"/>
        </w:rPr>
        <w:t xml:space="preserve"> indicate that the Council is significantly underfunding asset renewal</w:t>
      </w:r>
      <w:r>
        <w:rPr>
          <w:rFonts w:ascii="Arial" w:hAnsi="Arial" w:cs="Arial"/>
          <w:sz w:val="20"/>
          <w:szCs w:val="20"/>
        </w:rPr>
        <w:t xml:space="preserve"> under both options.</w:t>
      </w:r>
    </w:p>
    <w:p w14:paraId="63CA4FED" w14:textId="77777777" w:rsidR="008A6D6D" w:rsidRDefault="008A6D6D" w:rsidP="00BC0005">
      <w:pPr>
        <w:spacing w:after="60" w:line="276" w:lineRule="auto"/>
        <w:jc w:val="both"/>
        <w:rPr>
          <w:rFonts w:ascii="Arial" w:hAnsi="Arial" w:cs="Arial"/>
          <w:sz w:val="20"/>
          <w:szCs w:val="20"/>
        </w:rPr>
      </w:pPr>
    </w:p>
    <w:p w14:paraId="63692850" w14:textId="21D987E7" w:rsidR="008A6D6D" w:rsidRDefault="008A6D6D" w:rsidP="00BC0005">
      <w:pPr>
        <w:spacing w:after="60" w:line="276" w:lineRule="auto"/>
        <w:jc w:val="both"/>
        <w:rPr>
          <w:rFonts w:ascii="Arial" w:hAnsi="Arial" w:cs="Arial"/>
          <w:sz w:val="20"/>
          <w:szCs w:val="20"/>
        </w:rPr>
      </w:pPr>
      <w:r>
        <w:rPr>
          <w:rFonts w:ascii="Arial" w:hAnsi="Arial" w:cs="Arial"/>
          <w:sz w:val="20"/>
          <w:szCs w:val="20"/>
        </w:rPr>
        <w:t>The a</w:t>
      </w:r>
      <w:r w:rsidRPr="00E34476">
        <w:rPr>
          <w:rFonts w:ascii="Arial" w:hAnsi="Arial" w:cs="Arial"/>
          <w:sz w:val="20"/>
          <w:szCs w:val="20"/>
        </w:rPr>
        <w:t xml:space="preserve">sset renewal </w:t>
      </w:r>
      <w:r>
        <w:rPr>
          <w:rFonts w:ascii="Arial" w:hAnsi="Arial" w:cs="Arial"/>
          <w:sz w:val="20"/>
          <w:szCs w:val="20"/>
        </w:rPr>
        <w:t>funding</w:t>
      </w:r>
      <w:r w:rsidR="004C59FF">
        <w:rPr>
          <w:rFonts w:ascii="Arial" w:hAnsi="Arial" w:cs="Arial"/>
          <w:sz w:val="20"/>
          <w:szCs w:val="20"/>
        </w:rPr>
        <w:t xml:space="preserve"> gaps highlighted in both ratio</w:t>
      </w:r>
      <w:r>
        <w:rPr>
          <w:rFonts w:ascii="Arial" w:hAnsi="Arial" w:cs="Arial"/>
          <w:sz w:val="20"/>
          <w:szCs w:val="20"/>
        </w:rPr>
        <w:t xml:space="preserve">s </w:t>
      </w:r>
      <w:r w:rsidR="004C59FF">
        <w:rPr>
          <w:rFonts w:ascii="Arial" w:hAnsi="Arial" w:cs="Arial"/>
          <w:sz w:val="20"/>
          <w:szCs w:val="20"/>
        </w:rPr>
        <w:t>reveal</w:t>
      </w:r>
      <w:r>
        <w:rPr>
          <w:rFonts w:ascii="Arial" w:hAnsi="Arial" w:cs="Arial"/>
          <w:sz w:val="20"/>
          <w:szCs w:val="20"/>
        </w:rPr>
        <w:t xml:space="preserve"> how</w:t>
      </w:r>
      <w:r w:rsidRPr="00741267">
        <w:rPr>
          <w:rFonts w:ascii="Arial" w:hAnsi="Arial" w:cs="Arial"/>
          <w:sz w:val="20"/>
          <w:szCs w:val="20"/>
        </w:rPr>
        <w:t xml:space="preserve"> vital </w:t>
      </w:r>
      <w:r>
        <w:rPr>
          <w:rFonts w:ascii="Arial" w:hAnsi="Arial" w:cs="Arial"/>
          <w:sz w:val="20"/>
          <w:szCs w:val="20"/>
        </w:rPr>
        <w:t>it is for the Council continue</w:t>
      </w:r>
      <w:r w:rsidRPr="00741267">
        <w:rPr>
          <w:rFonts w:ascii="Arial" w:hAnsi="Arial" w:cs="Arial"/>
          <w:sz w:val="20"/>
          <w:szCs w:val="20"/>
        </w:rPr>
        <w:t xml:space="preserve"> to implement </w:t>
      </w:r>
      <w:r>
        <w:rPr>
          <w:rFonts w:ascii="Arial" w:hAnsi="Arial" w:cs="Arial"/>
          <w:sz w:val="20"/>
          <w:szCs w:val="20"/>
        </w:rPr>
        <w:t xml:space="preserve">all </w:t>
      </w:r>
      <w:r w:rsidRPr="00741267">
        <w:rPr>
          <w:rFonts w:ascii="Arial" w:hAnsi="Arial" w:cs="Arial"/>
          <w:sz w:val="20"/>
          <w:szCs w:val="20"/>
        </w:rPr>
        <w:t>its LTFP - Six Strategies for Financial Sustainability over the next 10 to 20 years</w:t>
      </w:r>
      <w:r>
        <w:rPr>
          <w:rFonts w:ascii="Arial" w:hAnsi="Arial" w:cs="Arial"/>
          <w:sz w:val="20"/>
          <w:szCs w:val="20"/>
        </w:rPr>
        <w:t>.</w:t>
      </w:r>
    </w:p>
    <w:p w14:paraId="543C7082" w14:textId="77777777" w:rsidR="008A6D6D" w:rsidRDefault="008A6D6D" w:rsidP="00BC0005">
      <w:pPr>
        <w:spacing w:after="60" w:line="276" w:lineRule="auto"/>
        <w:jc w:val="both"/>
        <w:rPr>
          <w:rFonts w:ascii="Arial" w:hAnsi="Arial" w:cs="Arial"/>
          <w:sz w:val="20"/>
          <w:szCs w:val="20"/>
        </w:rPr>
      </w:pPr>
    </w:p>
    <w:p w14:paraId="2DB51733" w14:textId="77777777" w:rsidR="008A6D6D" w:rsidRDefault="008A6D6D" w:rsidP="00BC0005">
      <w:pPr>
        <w:spacing w:after="60" w:line="276" w:lineRule="auto"/>
        <w:jc w:val="both"/>
        <w:rPr>
          <w:rFonts w:ascii="Arial" w:hAnsi="Arial" w:cs="Arial"/>
          <w:sz w:val="20"/>
          <w:szCs w:val="20"/>
        </w:rPr>
      </w:pPr>
      <w:r w:rsidRPr="00E34476">
        <w:rPr>
          <w:rFonts w:ascii="Arial" w:hAnsi="Arial" w:cs="Arial"/>
          <w:sz w:val="20"/>
          <w:szCs w:val="20"/>
        </w:rPr>
        <w:t xml:space="preserve">The fluctuations in the ratio from year to year are represented by the </w:t>
      </w:r>
      <w:r>
        <w:rPr>
          <w:rFonts w:ascii="Arial" w:hAnsi="Arial" w:cs="Arial"/>
          <w:sz w:val="20"/>
          <w:szCs w:val="20"/>
        </w:rPr>
        <w:t xml:space="preserve">proposed </w:t>
      </w:r>
      <w:r w:rsidRPr="00E34476">
        <w:rPr>
          <w:rFonts w:ascii="Arial" w:hAnsi="Arial" w:cs="Arial"/>
          <w:sz w:val="20"/>
          <w:szCs w:val="20"/>
        </w:rPr>
        <w:t>special variation expenditure being shif</w:t>
      </w:r>
      <w:r>
        <w:rPr>
          <w:rFonts w:ascii="Arial" w:hAnsi="Arial" w:cs="Arial"/>
          <w:sz w:val="20"/>
          <w:szCs w:val="20"/>
        </w:rPr>
        <w:t>ted between renewal expenditure</w:t>
      </w:r>
      <w:r w:rsidRPr="00E34476">
        <w:rPr>
          <w:rFonts w:ascii="Arial" w:hAnsi="Arial" w:cs="Arial"/>
          <w:sz w:val="20"/>
          <w:szCs w:val="20"/>
        </w:rPr>
        <w:t>, upgrade, maintena</w:t>
      </w:r>
      <w:r>
        <w:rPr>
          <w:rFonts w:ascii="Arial" w:hAnsi="Arial" w:cs="Arial"/>
          <w:sz w:val="20"/>
          <w:szCs w:val="20"/>
        </w:rPr>
        <w:t>nce and operational expenditure over the 10 years of the Council’s LTFP.</w:t>
      </w:r>
    </w:p>
    <w:p w14:paraId="1747CF8E" w14:textId="77777777" w:rsidR="008A6D6D" w:rsidRPr="00E34476" w:rsidRDefault="008A6D6D" w:rsidP="00BC0005">
      <w:pPr>
        <w:spacing w:after="60" w:line="276" w:lineRule="auto"/>
        <w:jc w:val="both"/>
        <w:rPr>
          <w:rFonts w:ascii="Arial" w:hAnsi="Arial" w:cs="Arial"/>
          <w:sz w:val="20"/>
          <w:szCs w:val="20"/>
        </w:rPr>
      </w:pPr>
      <w:r w:rsidRPr="00E34476">
        <w:rPr>
          <w:rFonts w:ascii="Arial" w:hAnsi="Arial" w:cs="Arial"/>
          <w:sz w:val="20"/>
          <w:szCs w:val="20"/>
        </w:rPr>
        <w:t xml:space="preserve"> </w:t>
      </w:r>
    </w:p>
    <w:p w14:paraId="38F22DC3" w14:textId="77777777" w:rsidR="008A6D6D" w:rsidRPr="00975B76" w:rsidRDefault="008A6D6D" w:rsidP="00BC0005">
      <w:pPr>
        <w:spacing w:after="60" w:line="276" w:lineRule="auto"/>
        <w:jc w:val="both"/>
        <w:rPr>
          <w:rFonts w:ascii="Arial" w:hAnsi="Arial" w:cs="Arial"/>
          <w:i/>
          <w:sz w:val="20"/>
          <w:szCs w:val="20"/>
        </w:rPr>
      </w:pPr>
      <w:r w:rsidRPr="00975B76">
        <w:rPr>
          <w:rFonts w:ascii="Arial" w:hAnsi="Arial" w:cs="Arial"/>
          <w:i/>
          <w:sz w:val="20"/>
          <w:szCs w:val="20"/>
        </w:rPr>
        <w:t>No special variation</w:t>
      </w:r>
      <w:r>
        <w:rPr>
          <w:rFonts w:ascii="Arial" w:hAnsi="Arial" w:cs="Arial"/>
          <w:i/>
          <w:sz w:val="20"/>
          <w:szCs w:val="20"/>
        </w:rPr>
        <w:t xml:space="preserve"> (Scenario 3)</w:t>
      </w:r>
    </w:p>
    <w:p w14:paraId="3DD26E01" w14:textId="3A10C5A0" w:rsidR="008A6D6D" w:rsidRPr="00E34476" w:rsidRDefault="004C59FF" w:rsidP="00BC0005">
      <w:pPr>
        <w:spacing w:after="60" w:line="276" w:lineRule="auto"/>
        <w:jc w:val="both"/>
        <w:rPr>
          <w:rFonts w:ascii="Arial" w:hAnsi="Arial" w:cs="Arial"/>
          <w:sz w:val="20"/>
          <w:szCs w:val="20"/>
        </w:rPr>
      </w:pPr>
      <w:r>
        <w:rPr>
          <w:rFonts w:ascii="Arial" w:hAnsi="Arial" w:cs="Arial"/>
          <w:sz w:val="20"/>
          <w:szCs w:val="20"/>
        </w:rPr>
        <w:t>Under the n</w:t>
      </w:r>
      <w:r w:rsidR="008A6D6D">
        <w:rPr>
          <w:rFonts w:ascii="Arial" w:hAnsi="Arial" w:cs="Arial"/>
          <w:sz w:val="20"/>
          <w:szCs w:val="20"/>
        </w:rPr>
        <w:t>o special variation</w:t>
      </w:r>
      <w:r>
        <w:rPr>
          <w:rFonts w:ascii="Arial" w:hAnsi="Arial" w:cs="Arial"/>
          <w:sz w:val="20"/>
          <w:szCs w:val="20"/>
        </w:rPr>
        <w:t xml:space="preserve"> scenario</w:t>
      </w:r>
      <w:r w:rsidR="008A6D6D">
        <w:rPr>
          <w:rFonts w:ascii="Arial" w:hAnsi="Arial" w:cs="Arial"/>
          <w:sz w:val="20"/>
          <w:szCs w:val="20"/>
        </w:rPr>
        <w:t>, t</w:t>
      </w:r>
      <w:r w:rsidR="008A6D6D" w:rsidRPr="00E34476">
        <w:rPr>
          <w:rFonts w:ascii="Arial" w:hAnsi="Arial" w:cs="Arial"/>
          <w:sz w:val="20"/>
          <w:szCs w:val="20"/>
        </w:rPr>
        <w:t>he Council</w:t>
      </w:r>
      <w:r w:rsidR="008A6D6D">
        <w:rPr>
          <w:rFonts w:ascii="Arial" w:hAnsi="Arial" w:cs="Arial"/>
          <w:sz w:val="20"/>
          <w:szCs w:val="20"/>
        </w:rPr>
        <w:t>’s</w:t>
      </w:r>
      <w:r w:rsidR="008A6D6D" w:rsidRPr="00E34476">
        <w:rPr>
          <w:rFonts w:ascii="Arial" w:hAnsi="Arial" w:cs="Arial"/>
          <w:sz w:val="20"/>
          <w:szCs w:val="20"/>
        </w:rPr>
        <w:t xml:space="preserve"> </w:t>
      </w:r>
      <w:r w:rsidR="008A6D6D">
        <w:rPr>
          <w:rFonts w:ascii="Arial" w:hAnsi="Arial" w:cs="Arial"/>
          <w:sz w:val="20"/>
          <w:szCs w:val="20"/>
        </w:rPr>
        <w:t xml:space="preserve">10 year </w:t>
      </w:r>
      <w:r w:rsidR="008A6D6D" w:rsidRPr="00E34476">
        <w:rPr>
          <w:rFonts w:ascii="Arial" w:hAnsi="Arial" w:cs="Arial"/>
          <w:sz w:val="20"/>
          <w:szCs w:val="20"/>
        </w:rPr>
        <w:t>projected ratio</w:t>
      </w:r>
      <w:r w:rsidR="008A6D6D">
        <w:rPr>
          <w:rFonts w:ascii="Arial" w:hAnsi="Arial" w:cs="Arial"/>
          <w:sz w:val="20"/>
          <w:szCs w:val="20"/>
        </w:rPr>
        <w:t>s at 33%</w:t>
      </w:r>
      <w:r w:rsidR="008A6D6D" w:rsidRPr="00E34476">
        <w:rPr>
          <w:rFonts w:ascii="Arial" w:hAnsi="Arial" w:cs="Arial"/>
          <w:sz w:val="20"/>
          <w:szCs w:val="20"/>
        </w:rPr>
        <w:t xml:space="preserve"> </w:t>
      </w:r>
      <w:r w:rsidR="008A6D6D">
        <w:rPr>
          <w:rFonts w:ascii="Arial" w:hAnsi="Arial" w:cs="Arial"/>
          <w:sz w:val="20"/>
          <w:szCs w:val="20"/>
        </w:rPr>
        <w:t>for both ra</w:t>
      </w:r>
      <w:r>
        <w:rPr>
          <w:rFonts w:ascii="Arial" w:hAnsi="Arial" w:cs="Arial"/>
          <w:sz w:val="20"/>
          <w:szCs w:val="20"/>
        </w:rPr>
        <w:t>tio</w:t>
      </w:r>
      <w:r w:rsidR="008A6D6D">
        <w:rPr>
          <w:rFonts w:ascii="Arial" w:hAnsi="Arial" w:cs="Arial"/>
          <w:sz w:val="20"/>
          <w:szCs w:val="20"/>
        </w:rPr>
        <w:t xml:space="preserve">s </w:t>
      </w:r>
      <w:r w:rsidR="008A6D6D" w:rsidRPr="00E34476">
        <w:rPr>
          <w:rFonts w:ascii="Arial" w:hAnsi="Arial" w:cs="Arial"/>
          <w:sz w:val="20"/>
          <w:szCs w:val="20"/>
        </w:rPr>
        <w:t>indicate that the Council is significantly underfunding the renewal of road, drainage and building assets</w:t>
      </w:r>
      <w:r w:rsidR="008A6D6D">
        <w:rPr>
          <w:rFonts w:ascii="Arial" w:hAnsi="Arial" w:cs="Arial"/>
          <w:sz w:val="20"/>
          <w:szCs w:val="20"/>
        </w:rPr>
        <w:t xml:space="preserve"> and all assets</w:t>
      </w:r>
      <w:r w:rsidR="008A6D6D" w:rsidRPr="00E34476">
        <w:rPr>
          <w:rFonts w:ascii="Arial" w:hAnsi="Arial" w:cs="Arial"/>
          <w:sz w:val="20"/>
          <w:szCs w:val="20"/>
        </w:rPr>
        <w:t xml:space="preserve">. As a result, significant </w:t>
      </w:r>
      <w:r w:rsidR="008A6D6D">
        <w:rPr>
          <w:rFonts w:ascii="Arial" w:hAnsi="Arial" w:cs="Arial"/>
          <w:sz w:val="20"/>
          <w:szCs w:val="20"/>
        </w:rPr>
        <w:t xml:space="preserve">risks and </w:t>
      </w:r>
      <w:r w:rsidR="008A6D6D" w:rsidRPr="00E34476">
        <w:rPr>
          <w:rFonts w:ascii="Arial" w:hAnsi="Arial" w:cs="Arial"/>
          <w:sz w:val="20"/>
          <w:szCs w:val="20"/>
        </w:rPr>
        <w:t xml:space="preserve">deterioration in the condition of built assets will occur with resulting reactive closure/removal if </w:t>
      </w:r>
      <w:r w:rsidR="008A6D6D">
        <w:rPr>
          <w:rFonts w:ascii="Arial" w:hAnsi="Arial" w:cs="Arial"/>
          <w:sz w:val="20"/>
          <w:szCs w:val="20"/>
        </w:rPr>
        <w:t>facilities and other infrastructure</w:t>
      </w:r>
      <w:r w:rsidR="008A6D6D" w:rsidRPr="00E34476">
        <w:rPr>
          <w:rFonts w:ascii="Arial" w:hAnsi="Arial" w:cs="Arial"/>
          <w:sz w:val="20"/>
          <w:szCs w:val="20"/>
        </w:rPr>
        <w:t xml:space="preserve"> breakdown or are unsafe</w:t>
      </w:r>
      <w:r w:rsidR="008A6D6D">
        <w:rPr>
          <w:rFonts w:ascii="Arial" w:hAnsi="Arial" w:cs="Arial"/>
          <w:sz w:val="20"/>
          <w:szCs w:val="20"/>
        </w:rPr>
        <w:t>.</w:t>
      </w:r>
    </w:p>
    <w:p w14:paraId="4CD2DFE0" w14:textId="7FCBB955" w:rsidR="008A6D6D" w:rsidRPr="00F55699" w:rsidRDefault="008A6D6D" w:rsidP="00385677">
      <w:pPr>
        <w:keepNext/>
        <w:spacing w:before="320"/>
        <w:jc w:val="both"/>
        <w:rPr>
          <w:rFonts w:ascii="Arial" w:hAnsi="Arial" w:cs="Arial"/>
          <w:b/>
          <w:sz w:val="18"/>
          <w:szCs w:val="18"/>
        </w:rPr>
      </w:pPr>
      <w:bookmarkStart w:id="82" w:name="_Ref394051822"/>
      <w:bookmarkStart w:id="83" w:name="_Toc394487391"/>
      <w:bookmarkStart w:id="84" w:name="_Toc411254043"/>
      <w:r w:rsidRPr="00F55699">
        <w:rPr>
          <w:rFonts w:ascii="Arial" w:hAnsi="Arial" w:cs="Arial"/>
          <w:b/>
          <w:sz w:val="18"/>
          <w:szCs w:val="18"/>
        </w:rPr>
        <w:t xml:space="preserve">Figure </w:t>
      </w:r>
      <w:bookmarkEnd w:id="82"/>
      <w:r w:rsidR="00FA0E8D" w:rsidRPr="00F55699">
        <w:rPr>
          <w:rFonts w:ascii="Arial" w:hAnsi="Arial" w:cs="Arial"/>
          <w:b/>
          <w:sz w:val="18"/>
          <w:szCs w:val="18"/>
        </w:rPr>
        <w:t>3.1</w:t>
      </w:r>
      <w:r w:rsidR="00F71929" w:rsidRPr="00F55699">
        <w:rPr>
          <w:rFonts w:ascii="Arial" w:hAnsi="Arial" w:cs="Arial"/>
          <w:b/>
          <w:sz w:val="18"/>
          <w:szCs w:val="18"/>
        </w:rPr>
        <w:t>8</w:t>
      </w:r>
      <w:r w:rsidR="00F55699" w:rsidRPr="00F55699">
        <w:rPr>
          <w:rFonts w:ascii="Arial" w:hAnsi="Arial" w:cs="Arial"/>
          <w:b/>
          <w:sz w:val="18"/>
          <w:szCs w:val="18"/>
        </w:rPr>
        <w:t>:</w:t>
      </w:r>
      <w:r w:rsidRPr="00F55699">
        <w:rPr>
          <w:rFonts w:ascii="Arial" w:hAnsi="Arial" w:cs="Arial"/>
          <w:b/>
          <w:sz w:val="18"/>
          <w:szCs w:val="18"/>
        </w:rPr>
        <w:t xml:space="preserve">  </w:t>
      </w:r>
      <w:r w:rsidR="00385677">
        <w:rPr>
          <w:rFonts w:ascii="Arial" w:hAnsi="Arial" w:cs="Arial"/>
          <w:b/>
          <w:sz w:val="18"/>
          <w:szCs w:val="18"/>
        </w:rPr>
        <w:t xml:space="preserve">Financial scenarios 1 and 3 - </w:t>
      </w:r>
      <w:r w:rsidRPr="00F55699">
        <w:rPr>
          <w:rFonts w:ascii="Arial" w:hAnsi="Arial" w:cs="Arial"/>
          <w:b/>
          <w:sz w:val="18"/>
          <w:szCs w:val="18"/>
        </w:rPr>
        <w:t xml:space="preserve">10-year </w:t>
      </w:r>
      <w:r w:rsidR="00014ED5" w:rsidRPr="00F55699">
        <w:rPr>
          <w:rFonts w:ascii="Arial" w:hAnsi="Arial" w:cs="Arial"/>
          <w:b/>
          <w:sz w:val="18"/>
          <w:szCs w:val="18"/>
        </w:rPr>
        <w:t>P</w:t>
      </w:r>
      <w:r w:rsidRPr="00F55699">
        <w:rPr>
          <w:rFonts w:ascii="Arial" w:hAnsi="Arial" w:cs="Arial"/>
          <w:b/>
          <w:sz w:val="18"/>
          <w:szCs w:val="18"/>
        </w:rPr>
        <w:t>rojection - Building and Infrastructure Renewal Ratio</w:t>
      </w:r>
      <w:bookmarkEnd w:id="83"/>
      <w:bookmarkEnd w:id="84"/>
    </w:p>
    <w:p w14:paraId="50E3611A" w14:textId="77777777" w:rsidR="008A6D6D" w:rsidRPr="00E34476" w:rsidRDefault="008A6D6D" w:rsidP="008A6D6D">
      <w:pPr>
        <w:spacing w:line="360" w:lineRule="auto"/>
        <w:jc w:val="both"/>
        <w:rPr>
          <w:rFonts w:ascii="Arial" w:hAnsi="Arial" w:cs="Arial"/>
          <w:color w:val="7AC143"/>
          <w:spacing w:val="-11"/>
          <w:sz w:val="20"/>
          <w:szCs w:val="20"/>
        </w:rPr>
      </w:pPr>
      <w:r w:rsidRPr="00E34476">
        <w:rPr>
          <w:rFonts w:ascii="Arial" w:hAnsi="Arial" w:cs="Arial"/>
          <w:noProof/>
          <w:sz w:val="20"/>
          <w:szCs w:val="20"/>
        </w:rPr>
        <w:drawing>
          <wp:inline distT="0" distB="0" distL="0" distR="0" wp14:anchorId="2CD9EC18" wp14:editId="3F432D36">
            <wp:extent cx="5740842" cy="2592125"/>
            <wp:effectExtent l="0" t="0" r="12700" b="17780"/>
            <wp:docPr id="2100" name="Chart 2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bl>
      <w:tblPr>
        <w:tblW w:w="9037" w:type="dxa"/>
        <w:tblInd w:w="93" w:type="dxa"/>
        <w:tblLook w:val="04A0" w:firstRow="1" w:lastRow="0" w:firstColumn="1" w:lastColumn="0" w:noHBand="0" w:noVBand="1"/>
      </w:tblPr>
      <w:tblGrid>
        <w:gridCol w:w="1858"/>
        <w:gridCol w:w="667"/>
        <w:gridCol w:w="731"/>
        <w:gridCol w:w="731"/>
        <w:gridCol w:w="731"/>
        <w:gridCol w:w="731"/>
        <w:gridCol w:w="731"/>
        <w:gridCol w:w="731"/>
        <w:gridCol w:w="731"/>
        <w:gridCol w:w="731"/>
        <w:gridCol w:w="731"/>
      </w:tblGrid>
      <w:tr w:rsidR="008A6D6D" w:rsidRPr="00E34476" w14:paraId="2BA624E7" w14:textId="77777777" w:rsidTr="00162D6E">
        <w:trPr>
          <w:trHeight w:val="272"/>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0FC49" w14:textId="77777777" w:rsidR="008A6D6D" w:rsidRPr="00E34476" w:rsidRDefault="008A6D6D" w:rsidP="00162D6E">
            <w:pPr>
              <w:spacing w:line="360" w:lineRule="auto"/>
              <w:jc w:val="both"/>
              <w:rPr>
                <w:rFonts w:ascii="Arial" w:hAnsi="Arial" w:cs="Arial"/>
                <w:b/>
                <w:bCs/>
                <w:color w:val="000000"/>
                <w:sz w:val="20"/>
                <w:szCs w:val="20"/>
              </w:rPr>
            </w:pPr>
            <w:r w:rsidRPr="00E34476">
              <w:rPr>
                <w:rFonts w:ascii="Arial" w:hAnsi="Arial" w:cs="Arial"/>
                <w:b/>
                <w:bCs/>
                <w:color w:val="000000"/>
                <w:sz w:val="20"/>
                <w:szCs w:val="20"/>
              </w:rPr>
              <w:t> </w:t>
            </w:r>
          </w:p>
        </w:tc>
        <w:tc>
          <w:tcPr>
            <w:tcW w:w="600" w:type="dxa"/>
            <w:tcBorders>
              <w:top w:val="single" w:sz="4" w:space="0" w:color="auto"/>
              <w:left w:val="nil"/>
              <w:bottom w:val="single" w:sz="4" w:space="0" w:color="auto"/>
              <w:right w:val="nil"/>
            </w:tcBorders>
            <w:shd w:val="clear" w:color="auto" w:fill="auto"/>
            <w:noWrap/>
            <w:vAlign w:val="bottom"/>
            <w:hideMark/>
          </w:tcPr>
          <w:p w14:paraId="2CAB4E31" w14:textId="77777777" w:rsidR="008A6D6D" w:rsidRPr="004F067C" w:rsidRDefault="008A6D6D" w:rsidP="00162D6E">
            <w:pPr>
              <w:spacing w:line="360" w:lineRule="auto"/>
              <w:jc w:val="both"/>
              <w:rPr>
                <w:rFonts w:ascii="Arial" w:hAnsi="Arial" w:cs="Arial"/>
                <w:b/>
                <w:bCs/>
                <w:color w:val="000000"/>
                <w:sz w:val="18"/>
                <w:szCs w:val="18"/>
              </w:rPr>
            </w:pPr>
            <w:r w:rsidRPr="004F067C">
              <w:rPr>
                <w:rFonts w:ascii="Arial" w:hAnsi="Arial" w:cs="Arial"/>
                <w:b/>
                <w:bCs/>
                <w:color w:val="000000"/>
                <w:sz w:val="18"/>
                <w:szCs w:val="18"/>
              </w:rPr>
              <w:t>14/15</w:t>
            </w:r>
          </w:p>
        </w:tc>
        <w:tc>
          <w:tcPr>
            <w:tcW w:w="731" w:type="dxa"/>
            <w:tcBorders>
              <w:top w:val="single" w:sz="4" w:space="0" w:color="auto"/>
              <w:left w:val="nil"/>
              <w:bottom w:val="single" w:sz="4" w:space="0" w:color="auto"/>
              <w:right w:val="nil"/>
            </w:tcBorders>
            <w:shd w:val="clear" w:color="auto" w:fill="auto"/>
            <w:noWrap/>
            <w:vAlign w:val="bottom"/>
            <w:hideMark/>
          </w:tcPr>
          <w:p w14:paraId="42E38731" w14:textId="77777777" w:rsidR="008A6D6D" w:rsidRPr="004F067C" w:rsidRDefault="008A6D6D" w:rsidP="00162D6E">
            <w:pPr>
              <w:spacing w:line="360" w:lineRule="auto"/>
              <w:jc w:val="both"/>
              <w:rPr>
                <w:rFonts w:ascii="Arial" w:hAnsi="Arial" w:cs="Arial"/>
                <w:b/>
                <w:bCs/>
                <w:color w:val="000000"/>
                <w:sz w:val="18"/>
                <w:szCs w:val="18"/>
              </w:rPr>
            </w:pPr>
            <w:r w:rsidRPr="004F067C">
              <w:rPr>
                <w:rFonts w:ascii="Arial" w:hAnsi="Arial" w:cs="Arial"/>
                <w:b/>
                <w:bCs/>
                <w:color w:val="000000"/>
                <w:sz w:val="18"/>
                <w:szCs w:val="18"/>
              </w:rPr>
              <w:t>15/16</w:t>
            </w:r>
          </w:p>
        </w:tc>
        <w:tc>
          <w:tcPr>
            <w:tcW w:w="731" w:type="dxa"/>
            <w:tcBorders>
              <w:top w:val="single" w:sz="4" w:space="0" w:color="auto"/>
              <w:left w:val="nil"/>
              <w:bottom w:val="single" w:sz="4" w:space="0" w:color="auto"/>
              <w:right w:val="nil"/>
            </w:tcBorders>
            <w:shd w:val="clear" w:color="auto" w:fill="auto"/>
            <w:noWrap/>
            <w:vAlign w:val="bottom"/>
            <w:hideMark/>
          </w:tcPr>
          <w:p w14:paraId="2DC63107" w14:textId="77777777" w:rsidR="008A6D6D" w:rsidRPr="004F067C" w:rsidRDefault="008A6D6D" w:rsidP="00162D6E">
            <w:pPr>
              <w:spacing w:line="360" w:lineRule="auto"/>
              <w:jc w:val="both"/>
              <w:rPr>
                <w:rFonts w:ascii="Arial" w:hAnsi="Arial" w:cs="Arial"/>
                <w:b/>
                <w:bCs/>
                <w:color w:val="000000"/>
                <w:sz w:val="18"/>
                <w:szCs w:val="18"/>
              </w:rPr>
            </w:pPr>
            <w:r w:rsidRPr="004F067C">
              <w:rPr>
                <w:rFonts w:ascii="Arial" w:hAnsi="Arial" w:cs="Arial"/>
                <w:b/>
                <w:bCs/>
                <w:color w:val="000000"/>
                <w:sz w:val="18"/>
                <w:szCs w:val="18"/>
              </w:rPr>
              <w:t>16/17</w:t>
            </w:r>
          </w:p>
        </w:tc>
        <w:tc>
          <w:tcPr>
            <w:tcW w:w="731" w:type="dxa"/>
            <w:tcBorders>
              <w:top w:val="single" w:sz="4" w:space="0" w:color="auto"/>
              <w:left w:val="nil"/>
              <w:bottom w:val="single" w:sz="4" w:space="0" w:color="auto"/>
              <w:right w:val="nil"/>
            </w:tcBorders>
            <w:shd w:val="clear" w:color="auto" w:fill="auto"/>
            <w:noWrap/>
            <w:vAlign w:val="bottom"/>
            <w:hideMark/>
          </w:tcPr>
          <w:p w14:paraId="2753A54C" w14:textId="77777777" w:rsidR="008A6D6D" w:rsidRPr="004F067C" w:rsidRDefault="008A6D6D" w:rsidP="00162D6E">
            <w:pPr>
              <w:spacing w:line="360" w:lineRule="auto"/>
              <w:jc w:val="both"/>
              <w:rPr>
                <w:rFonts w:ascii="Arial" w:hAnsi="Arial" w:cs="Arial"/>
                <w:b/>
                <w:bCs/>
                <w:color w:val="000000"/>
                <w:sz w:val="18"/>
                <w:szCs w:val="18"/>
              </w:rPr>
            </w:pPr>
            <w:r w:rsidRPr="004F067C">
              <w:rPr>
                <w:rFonts w:ascii="Arial" w:hAnsi="Arial" w:cs="Arial"/>
                <w:b/>
                <w:bCs/>
                <w:color w:val="000000"/>
                <w:sz w:val="18"/>
                <w:szCs w:val="18"/>
              </w:rPr>
              <w:t>17/18</w:t>
            </w:r>
          </w:p>
        </w:tc>
        <w:tc>
          <w:tcPr>
            <w:tcW w:w="731" w:type="dxa"/>
            <w:tcBorders>
              <w:top w:val="single" w:sz="4" w:space="0" w:color="auto"/>
              <w:left w:val="nil"/>
              <w:bottom w:val="single" w:sz="4" w:space="0" w:color="auto"/>
              <w:right w:val="nil"/>
            </w:tcBorders>
            <w:shd w:val="clear" w:color="auto" w:fill="auto"/>
            <w:noWrap/>
            <w:vAlign w:val="bottom"/>
            <w:hideMark/>
          </w:tcPr>
          <w:p w14:paraId="4EF92096" w14:textId="77777777" w:rsidR="008A6D6D" w:rsidRPr="004F067C" w:rsidRDefault="008A6D6D" w:rsidP="00162D6E">
            <w:pPr>
              <w:spacing w:line="360" w:lineRule="auto"/>
              <w:jc w:val="both"/>
              <w:rPr>
                <w:rFonts w:ascii="Arial" w:hAnsi="Arial" w:cs="Arial"/>
                <w:b/>
                <w:bCs/>
                <w:color w:val="000000"/>
                <w:sz w:val="18"/>
                <w:szCs w:val="18"/>
              </w:rPr>
            </w:pPr>
            <w:r w:rsidRPr="004F067C">
              <w:rPr>
                <w:rFonts w:ascii="Arial" w:hAnsi="Arial" w:cs="Arial"/>
                <w:b/>
                <w:bCs/>
                <w:color w:val="000000"/>
                <w:sz w:val="18"/>
                <w:szCs w:val="18"/>
              </w:rPr>
              <w:t>18/19</w:t>
            </w:r>
          </w:p>
        </w:tc>
        <w:tc>
          <w:tcPr>
            <w:tcW w:w="731" w:type="dxa"/>
            <w:tcBorders>
              <w:top w:val="single" w:sz="4" w:space="0" w:color="auto"/>
              <w:left w:val="nil"/>
              <w:bottom w:val="single" w:sz="4" w:space="0" w:color="auto"/>
              <w:right w:val="nil"/>
            </w:tcBorders>
            <w:shd w:val="clear" w:color="auto" w:fill="auto"/>
            <w:noWrap/>
            <w:vAlign w:val="bottom"/>
            <w:hideMark/>
          </w:tcPr>
          <w:p w14:paraId="4663FB60" w14:textId="77777777" w:rsidR="008A6D6D" w:rsidRPr="004F067C" w:rsidRDefault="008A6D6D" w:rsidP="00162D6E">
            <w:pPr>
              <w:spacing w:line="360" w:lineRule="auto"/>
              <w:jc w:val="both"/>
              <w:rPr>
                <w:rFonts w:ascii="Arial" w:hAnsi="Arial" w:cs="Arial"/>
                <w:b/>
                <w:bCs/>
                <w:color w:val="000000"/>
                <w:sz w:val="18"/>
                <w:szCs w:val="18"/>
              </w:rPr>
            </w:pPr>
            <w:r w:rsidRPr="004F067C">
              <w:rPr>
                <w:rFonts w:ascii="Arial" w:hAnsi="Arial" w:cs="Arial"/>
                <w:b/>
                <w:bCs/>
                <w:color w:val="000000"/>
                <w:sz w:val="18"/>
                <w:szCs w:val="18"/>
              </w:rPr>
              <w:t>19/20</w:t>
            </w:r>
          </w:p>
        </w:tc>
        <w:tc>
          <w:tcPr>
            <w:tcW w:w="731" w:type="dxa"/>
            <w:tcBorders>
              <w:top w:val="single" w:sz="4" w:space="0" w:color="auto"/>
              <w:left w:val="nil"/>
              <w:bottom w:val="single" w:sz="4" w:space="0" w:color="auto"/>
              <w:right w:val="nil"/>
            </w:tcBorders>
            <w:shd w:val="clear" w:color="auto" w:fill="auto"/>
            <w:noWrap/>
            <w:vAlign w:val="bottom"/>
            <w:hideMark/>
          </w:tcPr>
          <w:p w14:paraId="04AF6666" w14:textId="77777777" w:rsidR="008A6D6D" w:rsidRPr="004F067C" w:rsidRDefault="008A6D6D" w:rsidP="00162D6E">
            <w:pPr>
              <w:spacing w:line="360" w:lineRule="auto"/>
              <w:jc w:val="both"/>
              <w:rPr>
                <w:rFonts w:ascii="Arial" w:hAnsi="Arial" w:cs="Arial"/>
                <w:b/>
                <w:bCs/>
                <w:color w:val="000000"/>
                <w:sz w:val="18"/>
                <w:szCs w:val="18"/>
              </w:rPr>
            </w:pPr>
            <w:r w:rsidRPr="004F067C">
              <w:rPr>
                <w:rFonts w:ascii="Arial" w:hAnsi="Arial" w:cs="Arial"/>
                <w:b/>
                <w:bCs/>
                <w:color w:val="000000"/>
                <w:sz w:val="18"/>
                <w:szCs w:val="18"/>
              </w:rPr>
              <w:t>20/21</w:t>
            </w:r>
          </w:p>
        </w:tc>
        <w:tc>
          <w:tcPr>
            <w:tcW w:w="731" w:type="dxa"/>
            <w:tcBorders>
              <w:top w:val="single" w:sz="4" w:space="0" w:color="auto"/>
              <w:left w:val="nil"/>
              <w:bottom w:val="single" w:sz="4" w:space="0" w:color="auto"/>
              <w:right w:val="nil"/>
            </w:tcBorders>
            <w:shd w:val="clear" w:color="auto" w:fill="auto"/>
            <w:noWrap/>
            <w:vAlign w:val="bottom"/>
            <w:hideMark/>
          </w:tcPr>
          <w:p w14:paraId="57F80655" w14:textId="77777777" w:rsidR="008A6D6D" w:rsidRPr="004F067C" w:rsidRDefault="008A6D6D" w:rsidP="00162D6E">
            <w:pPr>
              <w:spacing w:line="360" w:lineRule="auto"/>
              <w:jc w:val="both"/>
              <w:rPr>
                <w:rFonts w:ascii="Arial" w:hAnsi="Arial" w:cs="Arial"/>
                <w:b/>
                <w:bCs/>
                <w:color w:val="000000"/>
                <w:sz w:val="18"/>
                <w:szCs w:val="18"/>
              </w:rPr>
            </w:pPr>
            <w:r w:rsidRPr="004F067C">
              <w:rPr>
                <w:rFonts w:ascii="Arial" w:hAnsi="Arial" w:cs="Arial"/>
                <w:b/>
                <w:bCs/>
                <w:color w:val="000000"/>
                <w:sz w:val="18"/>
                <w:szCs w:val="18"/>
              </w:rPr>
              <w:t>21/22</w:t>
            </w:r>
          </w:p>
        </w:tc>
        <w:tc>
          <w:tcPr>
            <w:tcW w:w="731" w:type="dxa"/>
            <w:tcBorders>
              <w:top w:val="single" w:sz="4" w:space="0" w:color="auto"/>
              <w:left w:val="nil"/>
              <w:bottom w:val="single" w:sz="4" w:space="0" w:color="auto"/>
              <w:right w:val="nil"/>
            </w:tcBorders>
            <w:shd w:val="clear" w:color="auto" w:fill="auto"/>
            <w:noWrap/>
            <w:vAlign w:val="bottom"/>
            <w:hideMark/>
          </w:tcPr>
          <w:p w14:paraId="6117DC52" w14:textId="77777777" w:rsidR="008A6D6D" w:rsidRPr="004F067C" w:rsidRDefault="008A6D6D" w:rsidP="00162D6E">
            <w:pPr>
              <w:spacing w:line="360" w:lineRule="auto"/>
              <w:jc w:val="both"/>
              <w:rPr>
                <w:rFonts w:ascii="Arial" w:hAnsi="Arial" w:cs="Arial"/>
                <w:b/>
                <w:bCs/>
                <w:color w:val="000000"/>
                <w:sz w:val="18"/>
                <w:szCs w:val="18"/>
              </w:rPr>
            </w:pPr>
            <w:r w:rsidRPr="004F067C">
              <w:rPr>
                <w:rFonts w:ascii="Arial" w:hAnsi="Arial" w:cs="Arial"/>
                <w:b/>
                <w:bCs/>
                <w:color w:val="000000"/>
                <w:sz w:val="18"/>
                <w:szCs w:val="18"/>
              </w:rPr>
              <w:t>22/23</w:t>
            </w:r>
          </w:p>
        </w:tc>
        <w:tc>
          <w:tcPr>
            <w:tcW w:w="731" w:type="dxa"/>
            <w:tcBorders>
              <w:top w:val="single" w:sz="4" w:space="0" w:color="auto"/>
              <w:left w:val="nil"/>
              <w:bottom w:val="single" w:sz="4" w:space="0" w:color="auto"/>
              <w:right w:val="single" w:sz="4" w:space="0" w:color="auto"/>
            </w:tcBorders>
            <w:shd w:val="clear" w:color="auto" w:fill="auto"/>
            <w:noWrap/>
            <w:vAlign w:val="bottom"/>
            <w:hideMark/>
          </w:tcPr>
          <w:p w14:paraId="6B6C0FC7" w14:textId="77777777" w:rsidR="008A6D6D" w:rsidRPr="004F067C" w:rsidRDefault="008A6D6D" w:rsidP="00162D6E">
            <w:pPr>
              <w:spacing w:line="360" w:lineRule="auto"/>
              <w:jc w:val="both"/>
              <w:rPr>
                <w:rFonts w:ascii="Arial" w:hAnsi="Arial" w:cs="Arial"/>
                <w:b/>
                <w:bCs/>
                <w:color w:val="000000"/>
                <w:sz w:val="18"/>
                <w:szCs w:val="18"/>
              </w:rPr>
            </w:pPr>
            <w:r w:rsidRPr="004F067C">
              <w:rPr>
                <w:rFonts w:ascii="Arial" w:hAnsi="Arial" w:cs="Arial"/>
                <w:b/>
                <w:bCs/>
                <w:color w:val="000000"/>
                <w:sz w:val="18"/>
                <w:szCs w:val="18"/>
              </w:rPr>
              <w:t>23/24</w:t>
            </w:r>
          </w:p>
        </w:tc>
      </w:tr>
      <w:tr w:rsidR="008A6D6D" w:rsidRPr="00E34476" w14:paraId="275A7397" w14:textId="77777777" w:rsidTr="00162D6E">
        <w:trPr>
          <w:trHeight w:val="272"/>
        </w:trPr>
        <w:tc>
          <w:tcPr>
            <w:tcW w:w="1858" w:type="dxa"/>
            <w:tcBorders>
              <w:top w:val="nil"/>
              <w:left w:val="single" w:sz="4" w:space="0" w:color="auto"/>
              <w:bottom w:val="nil"/>
              <w:right w:val="single" w:sz="4" w:space="0" w:color="auto"/>
            </w:tcBorders>
            <w:shd w:val="clear" w:color="auto" w:fill="auto"/>
            <w:noWrap/>
            <w:vAlign w:val="bottom"/>
            <w:hideMark/>
          </w:tcPr>
          <w:p w14:paraId="1FE28311" w14:textId="77777777" w:rsidR="008A6D6D" w:rsidRPr="004F067C" w:rsidRDefault="008A6D6D" w:rsidP="00162D6E">
            <w:pPr>
              <w:spacing w:line="360" w:lineRule="auto"/>
              <w:jc w:val="both"/>
              <w:rPr>
                <w:rFonts w:ascii="Arial" w:hAnsi="Arial" w:cs="Arial"/>
                <w:b/>
                <w:bCs/>
                <w:color w:val="000000"/>
                <w:sz w:val="18"/>
                <w:szCs w:val="18"/>
              </w:rPr>
            </w:pPr>
            <w:r w:rsidRPr="004F067C">
              <w:rPr>
                <w:rFonts w:ascii="Arial" w:hAnsi="Arial" w:cs="Arial"/>
                <w:b/>
                <w:bCs/>
                <w:color w:val="000000"/>
                <w:sz w:val="18"/>
                <w:szCs w:val="18"/>
              </w:rPr>
              <w:t>SV (Scenario 1)</w:t>
            </w:r>
          </w:p>
        </w:tc>
        <w:tc>
          <w:tcPr>
            <w:tcW w:w="600" w:type="dxa"/>
            <w:tcBorders>
              <w:top w:val="nil"/>
              <w:left w:val="nil"/>
              <w:bottom w:val="nil"/>
              <w:right w:val="nil"/>
            </w:tcBorders>
            <w:shd w:val="clear" w:color="auto" w:fill="auto"/>
            <w:noWrap/>
            <w:vAlign w:val="bottom"/>
            <w:hideMark/>
          </w:tcPr>
          <w:p w14:paraId="4FCAF226" w14:textId="77777777" w:rsidR="008A6D6D" w:rsidRPr="004F067C" w:rsidRDefault="008A6D6D" w:rsidP="00162D6E">
            <w:pPr>
              <w:spacing w:line="360" w:lineRule="auto"/>
              <w:jc w:val="both"/>
              <w:rPr>
                <w:rFonts w:ascii="Arial" w:hAnsi="Arial" w:cs="Arial"/>
                <w:color w:val="000000"/>
                <w:sz w:val="18"/>
                <w:szCs w:val="18"/>
              </w:rPr>
            </w:pPr>
            <w:r w:rsidRPr="004F067C">
              <w:rPr>
                <w:rFonts w:ascii="Arial" w:hAnsi="Arial" w:cs="Arial"/>
                <w:color w:val="000000"/>
                <w:sz w:val="18"/>
                <w:szCs w:val="18"/>
              </w:rPr>
              <w:t>26%</w:t>
            </w:r>
          </w:p>
        </w:tc>
        <w:tc>
          <w:tcPr>
            <w:tcW w:w="731" w:type="dxa"/>
            <w:tcBorders>
              <w:top w:val="nil"/>
              <w:left w:val="nil"/>
              <w:bottom w:val="nil"/>
              <w:right w:val="nil"/>
            </w:tcBorders>
            <w:shd w:val="clear" w:color="auto" w:fill="auto"/>
            <w:noWrap/>
            <w:vAlign w:val="bottom"/>
            <w:hideMark/>
          </w:tcPr>
          <w:p w14:paraId="37B886E1" w14:textId="77777777" w:rsidR="008A6D6D" w:rsidRPr="004F067C" w:rsidRDefault="008A6D6D" w:rsidP="00162D6E">
            <w:pPr>
              <w:spacing w:line="360" w:lineRule="auto"/>
              <w:jc w:val="both"/>
              <w:rPr>
                <w:rFonts w:ascii="Arial" w:hAnsi="Arial" w:cs="Arial"/>
                <w:color w:val="000000"/>
                <w:sz w:val="18"/>
                <w:szCs w:val="18"/>
              </w:rPr>
            </w:pPr>
            <w:r w:rsidRPr="004F067C">
              <w:rPr>
                <w:rFonts w:ascii="Arial" w:hAnsi="Arial" w:cs="Arial"/>
                <w:color w:val="000000"/>
                <w:sz w:val="18"/>
                <w:szCs w:val="18"/>
              </w:rPr>
              <w:t>23%</w:t>
            </w:r>
          </w:p>
        </w:tc>
        <w:tc>
          <w:tcPr>
            <w:tcW w:w="731" w:type="dxa"/>
            <w:tcBorders>
              <w:top w:val="nil"/>
              <w:left w:val="nil"/>
              <w:bottom w:val="nil"/>
              <w:right w:val="nil"/>
            </w:tcBorders>
            <w:shd w:val="clear" w:color="auto" w:fill="auto"/>
            <w:noWrap/>
            <w:vAlign w:val="bottom"/>
            <w:hideMark/>
          </w:tcPr>
          <w:p w14:paraId="3D1B2EDE" w14:textId="77777777" w:rsidR="008A6D6D" w:rsidRPr="004F067C" w:rsidRDefault="008A6D6D" w:rsidP="00162D6E">
            <w:pPr>
              <w:spacing w:line="360" w:lineRule="auto"/>
              <w:jc w:val="both"/>
              <w:rPr>
                <w:rFonts w:ascii="Arial" w:hAnsi="Arial" w:cs="Arial"/>
                <w:color w:val="000000"/>
                <w:sz w:val="18"/>
                <w:szCs w:val="18"/>
              </w:rPr>
            </w:pPr>
            <w:r w:rsidRPr="004F067C">
              <w:rPr>
                <w:rFonts w:ascii="Arial" w:hAnsi="Arial" w:cs="Arial"/>
                <w:color w:val="000000"/>
                <w:sz w:val="18"/>
                <w:szCs w:val="18"/>
              </w:rPr>
              <w:t>29%</w:t>
            </w:r>
          </w:p>
        </w:tc>
        <w:tc>
          <w:tcPr>
            <w:tcW w:w="731" w:type="dxa"/>
            <w:tcBorders>
              <w:top w:val="nil"/>
              <w:left w:val="nil"/>
              <w:bottom w:val="nil"/>
              <w:right w:val="nil"/>
            </w:tcBorders>
            <w:shd w:val="clear" w:color="auto" w:fill="auto"/>
            <w:noWrap/>
            <w:vAlign w:val="bottom"/>
            <w:hideMark/>
          </w:tcPr>
          <w:p w14:paraId="56E1DF47" w14:textId="77777777" w:rsidR="008A6D6D" w:rsidRPr="004F067C" w:rsidRDefault="008A6D6D" w:rsidP="00162D6E">
            <w:pPr>
              <w:spacing w:line="360" w:lineRule="auto"/>
              <w:jc w:val="both"/>
              <w:rPr>
                <w:rFonts w:ascii="Arial" w:hAnsi="Arial" w:cs="Arial"/>
                <w:color w:val="000000"/>
                <w:sz w:val="18"/>
                <w:szCs w:val="18"/>
              </w:rPr>
            </w:pPr>
            <w:r w:rsidRPr="004F067C">
              <w:rPr>
                <w:rFonts w:ascii="Arial" w:hAnsi="Arial" w:cs="Arial"/>
                <w:color w:val="000000"/>
                <w:sz w:val="18"/>
                <w:szCs w:val="18"/>
              </w:rPr>
              <w:t>40%</w:t>
            </w:r>
          </w:p>
        </w:tc>
        <w:tc>
          <w:tcPr>
            <w:tcW w:w="731" w:type="dxa"/>
            <w:tcBorders>
              <w:top w:val="nil"/>
              <w:left w:val="nil"/>
              <w:bottom w:val="nil"/>
              <w:right w:val="nil"/>
            </w:tcBorders>
            <w:shd w:val="clear" w:color="auto" w:fill="auto"/>
            <w:noWrap/>
            <w:vAlign w:val="bottom"/>
            <w:hideMark/>
          </w:tcPr>
          <w:p w14:paraId="323F7E76" w14:textId="77777777" w:rsidR="008A6D6D" w:rsidRPr="004F067C" w:rsidRDefault="008A6D6D" w:rsidP="00162D6E">
            <w:pPr>
              <w:spacing w:line="360" w:lineRule="auto"/>
              <w:jc w:val="both"/>
              <w:rPr>
                <w:rFonts w:ascii="Arial" w:hAnsi="Arial" w:cs="Arial"/>
                <w:color w:val="000000"/>
                <w:sz w:val="18"/>
                <w:szCs w:val="18"/>
              </w:rPr>
            </w:pPr>
            <w:r w:rsidRPr="004F067C">
              <w:rPr>
                <w:rFonts w:ascii="Arial" w:hAnsi="Arial" w:cs="Arial"/>
                <w:color w:val="000000"/>
                <w:sz w:val="18"/>
                <w:szCs w:val="18"/>
              </w:rPr>
              <w:t>46%</w:t>
            </w:r>
          </w:p>
        </w:tc>
        <w:tc>
          <w:tcPr>
            <w:tcW w:w="731" w:type="dxa"/>
            <w:tcBorders>
              <w:top w:val="nil"/>
              <w:left w:val="nil"/>
              <w:bottom w:val="nil"/>
              <w:right w:val="nil"/>
            </w:tcBorders>
            <w:shd w:val="clear" w:color="auto" w:fill="auto"/>
            <w:noWrap/>
            <w:vAlign w:val="bottom"/>
            <w:hideMark/>
          </w:tcPr>
          <w:p w14:paraId="48E33C46" w14:textId="77777777" w:rsidR="008A6D6D" w:rsidRPr="004F067C" w:rsidRDefault="008A6D6D" w:rsidP="00162D6E">
            <w:pPr>
              <w:spacing w:line="360" w:lineRule="auto"/>
              <w:jc w:val="both"/>
              <w:rPr>
                <w:rFonts w:ascii="Arial" w:hAnsi="Arial" w:cs="Arial"/>
                <w:color w:val="000000"/>
                <w:sz w:val="18"/>
                <w:szCs w:val="18"/>
              </w:rPr>
            </w:pPr>
            <w:r w:rsidRPr="004F067C">
              <w:rPr>
                <w:rFonts w:ascii="Arial" w:hAnsi="Arial" w:cs="Arial"/>
                <w:color w:val="000000"/>
                <w:sz w:val="18"/>
                <w:szCs w:val="18"/>
              </w:rPr>
              <w:t>47%</w:t>
            </w:r>
          </w:p>
        </w:tc>
        <w:tc>
          <w:tcPr>
            <w:tcW w:w="731" w:type="dxa"/>
            <w:tcBorders>
              <w:top w:val="nil"/>
              <w:left w:val="nil"/>
              <w:bottom w:val="nil"/>
              <w:right w:val="nil"/>
            </w:tcBorders>
            <w:shd w:val="clear" w:color="auto" w:fill="auto"/>
            <w:noWrap/>
            <w:vAlign w:val="bottom"/>
            <w:hideMark/>
          </w:tcPr>
          <w:p w14:paraId="508C273D" w14:textId="77777777" w:rsidR="008A6D6D" w:rsidRPr="004F067C" w:rsidRDefault="008A6D6D" w:rsidP="00162D6E">
            <w:pPr>
              <w:spacing w:line="360" w:lineRule="auto"/>
              <w:jc w:val="both"/>
              <w:rPr>
                <w:rFonts w:ascii="Arial" w:hAnsi="Arial" w:cs="Arial"/>
                <w:color w:val="000000"/>
                <w:sz w:val="18"/>
                <w:szCs w:val="18"/>
              </w:rPr>
            </w:pPr>
            <w:r w:rsidRPr="004F067C">
              <w:rPr>
                <w:rFonts w:ascii="Arial" w:hAnsi="Arial" w:cs="Arial"/>
                <w:color w:val="000000"/>
                <w:sz w:val="18"/>
                <w:szCs w:val="18"/>
              </w:rPr>
              <w:t>50%</w:t>
            </w:r>
          </w:p>
        </w:tc>
        <w:tc>
          <w:tcPr>
            <w:tcW w:w="731" w:type="dxa"/>
            <w:tcBorders>
              <w:top w:val="nil"/>
              <w:left w:val="nil"/>
              <w:bottom w:val="nil"/>
              <w:right w:val="nil"/>
            </w:tcBorders>
            <w:shd w:val="clear" w:color="auto" w:fill="auto"/>
            <w:noWrap/>
            <w:vAlign w:val="bottom"/>
            <w:hideMark/>
          </w:tcPr>
          <w:p w14:paraId="2BCA38E3" w14:textId="77777777" w:rsidR="008A6D6D" w:rsidRPr="004F067C" w:rsidRDefault="008A6D6D" w:rsidP="00162D6E">
            <w:pPr>
              <w:spacing w:line="360" w:lineRule="auto"/>
              <w:jc w:val="both"/>
              <w:rPr>
                <w:rFonts w:ascii="Arial" w:hAnsi="Arial" w:cs="Arial"/>
                <w:color w:val="000000"/>
                <w:sz w:val="18"/>
                <w:szCs w:val="18"/>
              </w:rPr>
            </w:pPr>
            <w:r w:rsidRPr="004F067C">
              <w:rPr>
                <w:rFonts w:ascii="Arial" w:hAnsi="Arial" w:cs="Arial"/>
                <w:color w:val="000000"/>
                <w:sz w:val="18"/>
                <w:szCs w:val="18"/>
              </w:rPr>
              <w:t>52%</w:t>
            </w:r>
          </w:p>
        </w:tc>
        <w:tc>
          <w:tcPr>
            <w:tcW w:w="731" w:type="dxa"/>
            <w:tcBorders>
              <w:top w:val="nil"/>
              <w:left w:val="nil"/>
              <w:bottom w:val="nil"/>
              <w:right w:val="nil"/>
            </w:tcBorders>
            <w:shd w:val="clear" w:color="auto" w:fill="auto"/>
            <w:noWrap/>
            <w:vAlign w:val="bottom"/>
            <w:hideMark/>
          </w:tcPr>
          <w:p w14:paraId="07F51B42" w14:textId="77777777" w:rsidR="008A6D6D" w:rsidRPr="004F067C" w:rsidRDefault="008A6D6D" w:rsidP="00162D6E">
            <w:pPr>
              <w:spacing w:line="360" w:lineRule="auto"/>
              <w:jc w:val="both"/>
              <w:rPr>
                <w:rFonts w:ascii="Arial" w:hAnsi="Arial" w:cs="Arial"/>
                <w:color w:val="000000"/>
                <w:sz w:val="18"/>
                <w:szCs w:val="18"/>
              </w:rPr>
            </w:pPr>
            <w:r w:rsidRPr="004F067C">
              <w:rPr>
                <w:rFonts w:ascii="Arial" w:hAnsi="Arial" w:cs="Arial"/>
                <w:color w:val="000000"/>
                <w:sz w:val="18"/>
                <w:szCs w:val="18"/>
              </w:rPr>
              <w:t>47%</w:t>
            </w:r>
          </w:p>
        </w:tc>
        <w:tc>
          <w:tcPr>
            <w:tcW w:w="731" w:type="dxa"/>
            <w:tcBorders>
              <w:top w:val="nil"/>
              <w:left w:val="nil"/>
              <w:bottom w:val="nil"/>
              <w:right w:val="single" w:sz="4" w:space="0" w:color="auto"/>
            </w:tcBorders>
            <w:shd w:val="clear" w:color="auto" w:fill="auto"/>
            <w:noWrap/>
            <w:vAlign w:val="bottom"/>
            <w:hideMark/>
          </w:tcPr>
          <w:p w14:paraId="61236EB1" w14:textId="77777777" w:rsidR="008A6D6D" w:rsidRPr="004F067C" w:rsidRDefault="008A6D6D" w:rsidP="00162D6E">
            <w:pPr>
              <w:spacing w:line="360" w:lineRule="auto"/>
              <w:jc w:val="both"/>
              <w:rPr>
                <w:rFonts w:ascii="Arial" w:hAnsi="Arial" w:cs="Arial"/>
                <w:color w:val="000000"/>
                <w:sz w:val="18"/>
                <w:szCs w:val="18"/>
              </w:rPr>
            </w:pPr>
            <w:r w:rsidRPr="004F067C">
              <w:rPr>
                <w:rFonts w:ascii="Arial" w:hAnsi="Arial" w:cs="Arial"/>
                <w:color w:val="000000"/>
                <w:sz w:val="18"/>
                <w:szCs w:val="18"/>
              </w:rPr>
              <w:t>54%</w:t>
            </w:r>
          </w:p>
        </w:tc>
      </w:tr>
      <w:tr w:rsidR="008A6D6D" w:rsidRPr="00E34476" w14:paraId="6804BC9D" w14:textId="77777777" w:rsidTr="00162D6E">
        <w:trPr>
          <w:trHeight w:val="272"/>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541121ED" w14:textId="77777777" w:rsidR="008A6D6D" w:rsidRPr="004F067C" w:rsidRDefault="008A6D6D" w:rsidP="00162D6E">
            <w:pPr>
              <w:spacing w:line="360" w:lineRule="auto"/>
              <w:rPr>
                <w:rFonts w:ascii="Arial" w:hAnsi="Arial" w:cs="Arial"/>
                <w:b/>
                <w:bCs/>
                <w:color w:val="000000"/>
                <w:sz w:val="18"/>
                <w:szCs w:val="18"/>
              </w:rPr>
            </w:pPr>
            <w:r w:rsidRPr="004F067C">
              <w:rPr>
                <w:rFonts w:ascii="Arial" w:hAnsi="Arial" w:cs="Arial"/>
                <w:b/>
                <w:bCs/>
                <w:color w:val="000000"/>
                <w:sz w:val="18"/>
                <w:szCs w:val="18"/>
              </w:rPr>
              <w:t>No SV (Scenario 3)</w:t>
            </w:r>
          </w:p>
        </w:tc>
        <w:tc>
          <w:tcPr>
            <w:tcW w:w="600" w:type="dxa"/>
            <w:tcBorders>
              <w:top w:val="nil"/>
              <w:left w:val="nil"/>
              <w:bottom w:val="single" w:sz="4" w:space="0" w:color="auto"/>
              <w:right w:val="nil"/>
            </w:tcBorders>
            <w:shd w:val="clear" w:color="auto" w:fill="auto"/>
            <w:noWrap/>
            <w:vAlign w:val="bottom"/>
            <w:hideMark/>
          </w:tcPr>
          <w:p w14:paraId="304F522C" w14:textId="77777777" w:rsidR="008A6D6D" w:rsidRPr="004F067C" w:rsidRDefault="008A6D6D" w:rsidP="00162D6E">
            <w:pPr>
              <w:spacing w:line="360" w:lineRule="auto"/>
              <w:jc w:val="both"/>
              <w:rPr>
                <w:rFonts w:ascii="Arial" w:hAnsi="Arial" w:cs="Arial"/>
                <w:color w:val="000000"/>
                <w:sz w:val="18"/>
                <w:szCs w:val="18"/>
              </w:rPr>
            </w:pPr>
            <w:r w:rsidRPr="004F067C">
              <w:rPr>
                <w:rFonts w:ascii="Arial" w:hAnsi="Arial" w:cs="Arial"/>
                <w:color w:val="000000"/>
                <w:sz w:val="18"/>
                <w:szCs w:val="18"/>
              </w:rPr>
              <w:t>26%</w:t>
            </w:r>
          </w:p>
        </w:tc>
        <w:tc>
          <w:tcPr>
            <w:tcW w:w="731" w:type="dxa"/>
            <w:tcBorders>
              <w:top w:val="nil"/>
              <w:left w:val="nil"/>
              <w:bottom w:val="single" w:sz="4" w:space="0" w:color="auto"/>
              <w:right w:val="nil"/>
            </w:tcBorders>
            <w:shd w:val="clear" w:color="auto" w:fill="auto"/>
            <w:noWrap/>
            <w:vAlign w:val="bottom"/>
            <w:hideMark/>
          </w:tcPr>
          <w:p w14:paraId="6E1029FD" w14:textId="77777777" w:rsidR="008A6D6D" w:rsidRPr="004F067C" w:rsidRDefault="008A6D6D" w:rsidP="00162D6E">
            <w:pPr>
              <w:spacing w:line="360" w:lineRule="auto"/>
              <w:jc w:val="both"/>
              <w:rPr>
                <w:rFonts w:ascii="Arial" w:hAnsi="Arial" w:cs="Arial"/>
                <w:color w:val="000000"/>
                <w:sz w:val="18"/>
                <w:szCs w:val="18"/>
              </w:rPr>
            </w:pPr>
            <w:r w:rsidRPr="004F067C">
              <w:rPr>
                <w:rFonts w:ascii="Arial" w:hAnsi="Arial" w:cs="Arial"/>
                <w:color w:val="000000"/>
                <w:sz w:val="18"/>
                <w:szCs w:val="18"/>
              </w:rPr>
              <w:t>24%</w:t>
            </w:r>
          </w:p>
        </w:tc>
        <w:tc>
          <w:tcPr>
            <w:tcW w:w="731" w:type="dxa"/>
            <w:tcBorders>
              <w:top w:val="nil"/>
              <w:left w:val="nil"/>
              <w:bottom w:val="single" w:sz="4" w:space="0" w:color="auto"/>
              <w:right w:val="nil"/>
            </w:tcBorders>
            <w:shd w:val="clear" w:color="auto" w:fill="auto"/>
            <w:noWrap/>
            <w:vAlign w:val="bottom"/>
            <w:hideMark/>
          </w:tcPr>
          <w:p w14:paraId="7D27BE1A" w14:textId="77777777" w:rsidR="008A6D6D" w:rsidRPr="004F067C" w:rsidRDefault="008A6D6D" w:rsidP="00162D6E">
            <w:pPr>
              <w:spacing w:line="360" w:lineRule="auto"/>
              <w:jc w:val="both"/>
              <w:rPr>
                <w:rFonts w:ascii="Arial" w:hAnsi="Arial" w:cs="Arial"/>
                <w:color w:val="000000"/>
                <w:sz w:val="18"/>
                <w:szCs w:val="18"/>
              </w:rPr>
            </w:pPr>
            <w:r w:rsidRPr="004F067C">
              <w:rPr>
                <w:rFonts w:ascii="Arial" w:hAnsi="Arial" w:cs="Arial"/>
                <w:color w:val="000000"/>
                <w:sz w:val="18"/>
                <w:szCs w:val="18"/>
              </w:rPr>
              <w:t>24%</w:t>
            </w:r>
          </w:p>
        </w:tc>
        <w:tc>
          <w:tcPr>
            <w:tcW w:w="731" w:type="dxa"/>
            <w:tcBorders>
              <w:top w:val="nil"/>
              <w:left w:val="nil"/>
              <w:bottom w:val="single" w:sz="4" w:space="0" w:color="auto"/>
              <w:right w:val="nil"/>
            </w:tcBorders>
            <w:shd w:val="clear" w:color="auto" w:fill="auto"/>
            <w:noWrap/>
            <w:vAlign w:val="bottom"/>
            <w:hideMark/>
          </w:tcPr>
          <w:p w14:paraId="78B4DA90" w14:textId="77777777" w:rsidR="008A6D6D" w:rsidRPr="004F067C" w:rsidRDefault="008A6D6D" w:rsidP="00162D6E">
            <w:pPr>
              <w:spacing w:line="360" w:lineRule="auto"/>
              <w:jc w:val="both"/>
              <w:rPr>
                <w:rFonts w:ascii="Arial" w:hAnsi="Arial" w:cs="Arial"/>
                <w:color w:val="000000"/>
                <w:sz w:val="18"/>
                <w:szCs w:val="18"/>
              </w:rPr>
            </w:pPr>
            <w:r w:rsidRPr="004F067C">
              <w:rPr>
                <w:rFonts w:ascii="Arial" w:hAnsi="Arial" w:cs="Arial"/>
                <w:color w:val="000000"/>
                <w:sz w:val="18"/>
                <w:szCs w:val="18"/>
              </w:rPr>
              <w:t>28%</w:t>
            </w:r>
          </w:p>
        </w:tc>
        <w:tc>
          <w:tcPr>
            <w:tcW w:w="731" w:type="dxa"/>
            <w:tcBorders>
              <w:top w:val="nil"/>
              <w:left w:val="nil"/>
              <w:bottom w:val="single" w:sz="4" w:space="0" w:color="auto"/>
              <w:right w:val="nil"/>
            </w:tcBorders>
            <w:shd w:val="clear" w:color="auto" w:fill="auto"/>
            <w:noWrap/>
            <w:vAlign w:val="bottom"/>
            <w:hideMark/>
          </w:tcPr>
          <w:p w14:paraId="4D31AE8A" w14:textId="77777777" w:rsidR="008A6D6D" w:rsidRPr="004F067C" w:rsidRDefault="008A6D6D" w:rsidP="00162D6E">
            <w:pPr>
              <w:spacing w:line="360" w:lineRule="auto"/>
              <w:jc w:val="both"/>
              <w:rPr>
                <w:rFonts w:ascii="Arial" w:hAnsi="Arial" w:cs="Arial"/>
                <w:color w:val="000000"/>
                <w:sz w:val="18"/>
                <w:szCs w:val="18"/>
              </w:rPr>
            </w:pPr>
            <w:r w:rsidRPr="004F067C">
              <w:rPr>
                <w:rFonts w:ascii="Arial" w:hAnsi="Arial" w:cs="Arial"/>
                <w:color w:val="000000"/>
                <w:sz w:val="18"/>
                <w:szCs w:val="18"/>
              </w:rPr>
              <w:t>25%</w:t>
            </w:r>
          </w:p>
        </w:tc>
        <w:tc>
          <w:tcPr>
            <w:tcW w:w="731" w:type="dxa"/>
            <w:tcBorders>
              <w:top w:val="nil"/>
              <w:left w:val="nil"/>
              <w:bottom w:val="single" w:sz="4" w:space="0" w:color="auto"/>
              <w:right w:val="nil"/>
            </w:tcBorders>
            <w:shd w:val="clear" w:color="auto" w:fill="auto"/>
            <w:noWrap/>
            <w:vAlign w:val="bottom"/>
            <w:hideMark/>
          </w:tcPr>
          <w:p w14:paraId="0601B117" w14:textId="77777777" w:rsidR="008A6D6D" w:rsidRPr="004F067C" w:rsidRDefault="008A6D6D" w:rsidP="00162D6E">
            <w:pPr>
              <w:spacing w:line="360" w:lineRule="auto"/>
              <w:jc w:val="both"/>
              <w:rPr>
                <w:rFonts w:ascii="Arial" w:hAnsi="Arial" w:cs="Arial"/>
                <w:color w:val="000000"/>
                <w:sz w:val="18"/>
                <w:szCs w:val="18"/>
              </w:rPr>
            </w:pPr>
            <w:r w:rsidRPr="004F067C">
              <w:rPr>
                <w:rFonts w:ascii="Arial" w:hAnsi="Arial" w:cs="Arial"/>
                <w:color w:val="000000"/>
                <w:sz w:val="18"/>
                <w:szCs w:val="18"/>
              </w:rPr>
              <w:t>27%</w:t>
            </w:r>
          </w:p>
        </w:tc>
        <w:tc>
          <w:tcPr>
            <w:tcW w:w="731" w:type="dxa"/>
            <w:tcBorders>
              <w:top w:val="nil"/>
              <w:left w:val="nil"/>
              <w:bottom w:val="single" w:sz="4" w:space="0" w:color="auto"/>
              <w:right w:val="nil"/>
            </w:tcBorders>
            <w:shd w:val="clear" w:color="auto" w:fill="auto"/>
            <w:noWrap/>
            <w:vAlign w:val="bottom"/>
            <w:hideMark/>
          </w:tcPr>
          <w:p w14:paraId="09F36160" w14:textId="77777777" w:rsidR="008A6D6D" w:rsidRPr="004F067C" w:rsidRDefault="008A6D6D" w:rsidP="00162D6E">
            <w:pPr>
              <w:spacing w:line="360" w:lineRule="auto"/>
              <w:jc w:val="both"/>
              <w:rPr>
                <w:rFonts w:ascii="Arial" w:hAnsi="Arial" w:cs="Arial"/>
                <w:color w:val="000000"/>
                <w:sz w:val="18"/>
                <w:szCs w:val="18"/>
              </w:rPr>
            </w:pPr>
            <w:r w:rsidRPr="004F067C">
              <w:rPr>
                <w:rFonts w:ascii="Arial" w:hAnsi="Arial" w:cs="Arial"/>
                <w:color w:val="000000"/>
                <w:sz w:val="18"/>
                <w:szCs w:val="18"/>
              </w:rPr>
              <w:t>26%</w:t>
            </w:r>
          </w:p>
        </w:tc>
        <w:tc>
          <w:tcPr>
            <w:tcW w:w="731" w:type="dxa"/>
            <w:tcBorders>
              <w:top w:val="nil"/>
              <w:left w:val="nil"/>
              <w:bottom w:val="single" w:sz="4" w:space="0" w:color="auto"/>
              <w:right w:val="nil"/>
            </w:tcBorders>
            <w:shd w:val="clear" w:color="auto" w:fill="auto"/>
            <w:noWrap/>
            <w:vAlign w:val="bottom"/>
            <w:hideMark/>
          </w:tcPr>
          <w:p w14:paraId="58EB652F" w14:textId="77777777" w:rsidR="008A6D6D" w:rsidRPr="004F067C" w:rsidRDefault="008A6D6D" w:rsidP="00162D6E">
            <w:pPr>
              <w:spacing w:line="360" w:lineRule="auto"/>
              <w:jc w:val="both"/>
              <w:rPr>
                <w:rFonts w:ascii="Arial" w:hAnsi="Arial" w:cs="Arial"/>
                <w:color w:val="000000"/>
                <w:sz w:val="18"/>
                <w:szCs w:val="18"/>
              </w:rPr>
            </w:pPr>
            <w:r w:rsidRPr="004F067C">
              <w:rPr>
                <w:rFonts w:ascii="Arial" w:hAnsi="Arial" w:cs="Arial"/>
                <w:color w:val="000000"/>
                <w:sz w:val="18"/>
                <w:szCs w:val="18"/>
              </w:rPr>
              <w:t>31%</w:t>
            </w:r>
          </w:p>
        </w:tc>
        <w:tc>
          <w:tcPr>
            <w:tcW w:w="731" w:type="dxa"/>
            <w:tcBorders>
              <w:top w:val="nil"/>
              <w:left w:val="nil"/>
              <w:bottom w:val="single" w:sz="4" w:space="0" w:color="auto"/>
              <w:right w:val="nil"/>
            </w:tcBorders>
            <w:shd w:val="clear" w:color="auto" w:fill="auto"/>
            <w:noWrap/>
            <w:vAlign w:val="bottom"/>
            <w:hideMark/>
          </w:tcPr>
          <w:p w14:paraId="59959696" w14:textId="77777777" w:rsidR="008A6D6D" w:rsidRPr="004F067C" w:rsidRDefault="008A6D6D" w:rsidP="00162D6E">
            <w:pPr>
              <w:spacing w:line="360" w:lineRule="auto"/>
              <w:jc w:val="both"/>
              <w:rPr>
                <w:rFonts w:ascii="Arial" w:hAnsi="Arial" w:cs="Arial"/>
                <w:color w:val="000000"/>
                <w:sz w:val="18"/>
                <w:szCs w:val="18"/>
              </w:rPr>
            </w:pPr>
            <w:r w:rsidRPr="004F067C">
              <w:rPr>
                <w:rFonts w:ascii="Arial" w:hAnsi="Arial" w:cs="Arial"/>
                <w:color w:val="000000"/>
                <w:sz w:val="18"/>
                <w:szCs w:val="18"/>
              </w:rPr>
              <w:t>27%</w:t>
            </w:r>
          </w:p>
        </w:tc>
        <w:tc>
          <w:tcPr>
            <w:tcW w:w="731" w:type="dxa"/>
            <w:tcBorders>
              <w:top w:val="nil"/>
              <w:left w:val="nil"/>
              <w:bottom w:val="single" w:sz="4" w:space="0" w:color="auto"/>
              <w:right w:val="single" w:sz="4" w:space="0" w:color="auto"/>
            </w:tcBorders>
            <w:shd w:val="clear" w:color="auto" w:fill="auto"/>
            <w:noWrap/>
            <w:vAlign w:val="bottom"/>
            <w:hideMark/>
          </w:tcPr>
          <w:p w14:paraId="5ABEE284" w14:textId="77777777" w:rsidR="008A6D6D" w:rsidRPr="004F067C" w:rsidRDefault="008A6D6D" w:rsidP="00162D6E">
            <w:pPr>
              <w:spacing w:line="360" w:lineRule="auto"/>
              <w:jc w:val="both"/>
              <w:rPr>
                <w:rFonts w:ascii="Arial" w:hAnsi="Arial" w:cs="Arial"/>
                <w:color w:val="000000"/>
                <w:sz w:val="18"/>
                <w:szCs w:val="18"/>
              </w:rPr>
            </w:pPr>
            <w:r w:rsidRPr="004F067C">
              <w:rPr>
                <w:rFonts w:ascii="Arial" w:hAnsi="Arial" w:cs="Arial"/>
                <w:color w:val="000000"/>
                <w:sz w:val="18"/>
                <w:szCs w:val="18"/>
              </w:rPr>
              <w:t>33%</w:t>
            </w:r>
          </w:p>
        </w:tc>
      </w:tr>
    </w:tbl>
    <w:p w14:paraId="18C4CB00" w14:textId="77777777" w:rsidR="008A6D6D" w:rsidRDefault="008A6D6D" w:rsidP="008A6D6D">
      <w:pPr>
        <w:spacing w:line="360" w:lineRule="auto"/>
        <w:jc w:val="both"/>
        <w:rPr>
          <w:rFonts w:ascii="Arial" w:hAnsi="Arial" w:cs="Arial"/>
          <w:b/>
          <w:sz w:val="20"/>
          <w:szCs w:val="20"/>
        </w:rPr>
      </w:pPr>
    </w:p>
    <w:p w14:paraId="71E6AB4E" w14:textId="77777777" w:rsidR="00BC0005" w:rsidRDefault="00BC0005">
      <w:pPr>
        <w:rPr>
          <w:rFonts w:ascii="Arial" w:hAnsi="Arial" w:cs="Arial"/>
          <w:b/>
          <w:sz w:val="20"/>
          <w:szCs w:val="20"/>
        </w:rPr>
      </w:pPr>
      <w:r>
        <w:rPr>
          <w:rFonts w:ascii="Arial" w:hAnsi="Arial" w:cs="Arial"/>
          <w:b/>
          <w:sz w:val="20"/>
          <w:szCs w:val="20"/>
        </w:rPr>
        <w:br w:type="page"/>
      </w:r>
    </w:p>
    <w:p w14:paraId="79743D99" w14:textId="3BB52F20" w:rsidR="007F2AF4" w:rsidRPr="00F55699" w:rsidRDefault="00FA0E8D" w:rsidP="008A6D6D">
      <w:pPr>
        <w:spacing w:before="320" w:line="360" w:lineRule="auto"/>
        <w:jc w:val="both"/>
        <w:rPr>
          <w:rFonts w:ascii="Arial" w:hAnsi="Arial" w:cs="Arial"/>
          <w:b/>
          <w:sz w:val="18"/>
          <w:szCs w:val="18"/>
        </w:rPr>
      </w:pPr>
      <w:r w:rsidRPr="00F55699">
        <w:rPr>
          <w:rFonts w:ascii="Arial" w:hAnsi="Arial" w:cs="Arial"/>
          <w:b/>
          <w:sz w:val="18"/>
          <w:szCs w:val="18"/>
        </w:rPr>
        <w:t>Figure 3.1</w:t>
      </w:r>
      <w:r w:rsidR="00F71929" w:rsidRPr="00F55699">
        <w:rPr>
          <w:rFonts w:ascii="Arial" w:hAnsi="Arial" w:cs="Arial"/>
          <w:b/>
          <w:sz w:val="18"/>
          <w:szCs w:val="18"/>
        </w:rPr>
        <w:t>9</w:t>
      </w:r>
      <w:r w:rsidR="00F55699">
        <w:rPr>
          <w:rFonts w:ascii="Arial" w:hAnsi="Arial" w:cs="Arial"/>
          <w:b/>
          <w:sz w:val="18"/>
          <w:szCs w:val="18"/>
        </w:rPr>
        <w:t>:</w:t>
      </w:r>
      <w:r w:rsidR="008A6D6D" w:rsidRPr="00F55699">
        <w:rPr>
          <w:rFonts w:ascii="Arial" w:hAnsi="Arial" w:cs="Arial"/>
          <w:b/>
          <w:sz w:val="18"/>
          <w:szCs w:val="18"/>
        </w:rPr>
        <w:t xml:space="preserve">  </w:t>
      </w:r>
      <w:r w:rsidR="00385677">
        <w:rPr>
          <w:rFonts w:ascii="Arial" w:hAnsi="Arial" w:cs="Arial"/>
          <w:b/>
          <w:sz w:val="18"/>
          <w:szCs w:val="18"/>
        </w:rPr>
        <w:t xml:space="preserve">Financial scenarios 1 and 3 - </w:t>
      </w:r>
      <w:r w:rsidR="008A6D6D" w:rsidRPr="00F55699">
        <w:rPr>
          <w:rFonts w:ascii="Arial" w:hAnsi="Arial" w:cs="Arial"/>
          <w:b/>
          <w:sz w:val="18"/>
          <w:szCs w:val="18"/>
        </w:rPr>
        <w:t>10-year projection</w:t>
      </w:r>
      <w:r w:rsidR="00385677">
        <w:rPr>
          <w:rFonts w:ascii="Arial" w:hAnsi="Arial" w:cs="Arial"/>
          <w:b/>
          <w:sz w:val="18"/>
          <w:szCs w:val="18"/>
        </w:rPr>
        <w:t xml:space="preserve"> of</w:t>
      </w:r>
      <w:r w:rsidR="008A6D6D" w:rsidRPr="00F55699">
        <w:rPr>
          <w:rFonts w:ascii="Arial" w:hAnsi="Arial" w:cs="Arial"/>
          <w:b/>
          <w:sz w:val="18"/>
          <w:szCs w:val="18"/>
        </w:rPr>
        <w:t xml:space="preserve"> Asset </w:t>
      </w:r>
      <w:r w:rsidR="00585452">
        <w:rPr>
          <w:rFonts w:ascii="Arial" w:hAnsi="Arial" w:cs="Arial"/>
          <w:b/>
          <w:sz w:val="18"/>
          <w:szCs w:val="18"/>
        </w:rPr>
        <w:t>Renewals R</w:t>
      </w:r>
      <w:r w:rsidR="008A6D6D" w:rsidRPr="00F55699">
        <w:rPr>
          <w:rFonts w:ascii="Arial" w:hAnsi="Arial" w:cs="Arial"/>
          <w:b/>
          <w:sz w:val="18"/>
          <w:szCs w:val="18"/>
        </w:rPr>
        <w:t>atio</w:t>
      </w:r>
    </w:p>
    <w:p w14:paraId="4B399C45" w14:textId="77777777" w:rsidR="008A6D6D" w:rsidRPr="00E34476" w:rsidRDefault="008A6D6D" w:rsidP="008A6D6D">
      <w:pPr>
        <w:spacing w:line="360" w:lineRule="auto"/>
        <w:jc w:val="both"/>
        <w:rPr>
          <w:rFonts w:ascii="Arial" w:hAnsi="Arial" w:cs="Arial"/>
          <w:color w:val="7AC143"/>
          <w:spacing w:val="-11"/>
          <w:sz w:val="20"/>
          <w:szCs w:val="20"/>
        </w:rPr>
      </w:pPr>
      <w:r w:rsidRPr="00E34476">
        <w:rPr>
          <w:rFonts w:ascii="Arial" w:hAnsi="Arial" w:cs="Arial"/>
          <w:noProof/>
          <w:sz w:val="20"/>
          <w:szCs w:val="20"/>
        </w:rPr>
        <w:drawing>
          <wp:inline distT="0" distB="0" distL="0" distR="0" wp14:anchorId="0F2A37F4" wp14:editId="61B13C1E">
            <wp:extent cx="5734050" cy="2376675"/>
            <wp:effectExtent l="0" t="0" r="19050" b="24130"/>
            <wp:docPr id="2101" name="Chart 2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bl>
      <w:tblPr>
        <w:tblW w:w="9058" w:type="dxa"/>
        <w:tblInd w:w="93" w:type="dxa"/>
        <w:tblLook w:val="04A0" w:firstRow="1" w:lastRow="0" w:firstColumn="1" w:lastColumn="0" w:noHBand="0" w:noVBand="1"/>
      </w:tblPr>
      <w:tblGrid>
        <w:gridCol w:w="1588"/>
        <w:gridCol w:w="747"/>
        <w:gridCol w:w="747"/>
        <w:gridCol w:w="747"/>
        <w:gridCol w:w="747"/>
        <w:gridCol w:w="747"/>
        <w:gridCol w:w="747"/>
        <w:gridCol w:w="747"/>
        <w:gridCol w:w="747"/>
        <w:gridCol w:w="747"/>
        <w:gridCol w:w="747"/>
      </w:tblGrid>
      <w:tr w:rsidR="008A6D6D" w:rsidRPr="00E34476" w14:paraId="486A3C9C" w14:textId="77777777" w:rsidTr="00162D6E">
        <w:trPr>
          <w:trHeight w:val="291"/>
        </w:trPr>
        <w:tc>
          <w:tcPr>
            <w:tcW w:w="1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CE465" w14:textId="77777777" w:rsidR="008A6D6D" w:rsidRPr="00E34476" w:rsidRDefault="008A6D6D" w:rsidP="00162D6E">
            <w:pPr>
              <w:spacing w:line="360" w:lineRule="auto"/>
              <w:jc w:val="both"/>
              <w:rPr>
                <w:rFonts w:ascii="Arial" w:hAnsi="Arial" w:cs="Arial"/>
                <w:b/>
                <w:bCs/>
                <w:color w:val="000000"/>
                <w:sz w:val="20"/>
                <w:szCs w:val="20"/>
              </w:rPr>
            </w:pPr>
            <w:r w:rsidRPr="00E34476">
              <w:rPr>
                <w:rFonts w:ascii="Arial" w:hAnsi="Arial" w:cs="Arial"/>
                <w:b/>
                <w:bCs/>
                <w:color w:val="000000"/>
                <w:sz w:val="20"/>
                <w:szCs w:val="20"/>
              </w:rPr>
              <w:t> </w:t>
            </w:r>
          </w:p>
        </w:tc>
        <w:tc>
          <w:tcPr>
            <w:tcW w:w="747" w:type="dxa"/>
            <w:tcBorders>
              <w:top w:val="single" w:sz="4" w:space="0" w:color="auto"/>
              <w:left w:val="nil"/>
              <w:bottom w:val="single" w:sz="4" w:space="0" w:color="auto"/>
              <w:right w:val="nil"/>
            </w:tcBorders>
            <w:shd w:val="clear" w:color="auto" w:fill="auto"/>
            <w:noWrap/>
            <w:vAlign w:val="bottom"/>
            <w:hideMark/>
          </w:tcPr>
          <w:p w14:paraId="6142F505" w14:textId="77777777" w:rsidR="008A6D6D" w:rsidRPr="004F067C" w:rsidRDefault="008A6D6D" w:rsidP="00162D6E">
            <w:pPr>
              <w:spacing w:line="360" w:lineRule="auto"/>
              <w:jc w:val="both"/>
              <w:rPr>
                <w:rFonts w:ascii="Arial" w:hAnsi="Arial" w:cs="Arial"/>
                <w:b/>
                <w:bCs/>
                <w:color w:val="000000"/>
                <w:sz w:val="18"/>
                <w:szCs w:val="18"/>
              </w:rPr>
            </w:pPr>
            <w:r w:rsidRPr="004F067C">
              <w:rPr>
                <w:rFonts w:ascii="Arial" w:hAnsi="Arial" w:cs="Arial"/>
                <w:b/>
                <w:bCs/>
                <w:color w:val="000000"/>
                <w:sz w:val="18"/>
                <w:szCs w:val="18"/>
              </w:rPr>
              <w:t>14/15</w:t>
            </w:r>
          </w:p>
        </w:tc>
        <w:tc>
          <w:tcPr>
            <w:tcW w:w="747" w:type="dxa"/>
            <w:tcBorders>
              <w:top w:val="single" w:sz="4" w:space="0" w:color="auto"/>
              <w:left w:val="nil"/>
              <w:bottom w:val="single" w:sz="4" w:space="0" w:color="auto"/>
              <w:right w:val="nil"/>
            </w:tcBorders>
            <w:shd w:val="clear" w:color="auto" w:fill="auto"/>
            <w:noWrap/>
            <w:vAlign w:val="bottom"/>
            <w:hideMark/>
          </w:tcPr>
          <w:p w14:paraId="60BEA418" w14:textId="77777777" w:rsidR="008A6D6D" w:rsidRPr="004F067C" w:rsidRDefault="008A6D6D" w:rsidP="00162D6E">
            <w:pPr>
              <w:spacing w:line="360" w:lineRule="auto"/>
              <w:jc w:val="both"/>
              <w:rPr>
                <w:rFonts w:ascii="Arial" w:hAnsi="Arial" w:cs="Arial"/>
                <w:b/>
                <w:bCs/>
                <w:color w:val="000000"/>
                <w:sz w:val="18"/>
                <w:szCs w:val="18"/>
              </w:rPr>
            </w:pPr>
            <w:r w:rsidRPr="004F067C">
              <w:rPr>
                <w:rFonts w:ascii="Arial" w:hAnsi="Arial" w:cs="Arial"/>
                <w:b/>
                <w:bCs/>
                <w:color w:val="000000"/>
                <w:sz w:val="18"/>
                <w:szCs w:val="18"/>
              </w:rPr>
              <w:t>15/16</w:t>
            </w:r>
          </w:p>
        </w:tc>
        <w:tc>
          <w:tcPr>
            <w:tcW w:w="747" w:type="dxa"/>
            <w:tcBorders>
              <w:top w:val="single" w:sz="4" w:space="0" w:color="auto"/>
              <w:left w:val="nil"/>
              <w:bottom w:val="single" w:sz="4" w:space="0" w:color="auto"/>
              <w:right w:val="nil"/>
            </w:tcBorders>
            <w:shd w:val="clear" w:color="auto" w:fill="auto"/>
            <w:noWrap/>
            <w:vAlign w:val="bottom"/>
            <w:hideMark/>
          </w:tcPr>
          <w:p w14:paraId="0CAA2069" w14:textId="77777777" w:rsidR="008A6D6D" w:rsidRPr="004F067C" w:rsidRDefault="008A6D6D" w:rsidP="00162D6E">
            <w:pPr>
              <w:spacing w:line="360" w:lineRule="auto"/>
              <w:jc w:val="both"/>
              <w:rPr>
                <w:rFonts w:ascii="Arial" w:hAnsi="Arial" w:cs="Arial"/>
                <w:b/>
                <w:bCs/>
                <w:color w:val="000000"/>
                <w:sz w:val="18"/>
                <w:szCs w:val="18"/>
              </w:rPr>
            </w:pPr>
            <w:r w:rsidRPr="004F067C">
              <w:rPr>
                <w:rFonts w:ascii="Arial" w:hAnsi="Arial" w:cs="Arial"/>
                <w:b/>
                <w:bCs/>
                <w:color w:val="000000"/>
                <w:sz w:val="18"/>
                <w:szCs w:val="18"/>
              </w:rPr>
              <w:t>16/17</w:t>
            </w:r>
          </w:p>
        </w:tc>
        <w:tc>
          <w:tcPr>
            <w:tcW w:w="747" w:type="dxa"/>
            <w:tcBorders>
              <w:top w:val="single" w:sz="4" w:space="0" w:color="auto"/>
              <w:left w:val="nil"/>
              <w:bottom w:val="single" w:sz="4" w:space="0" w:color="auto"/>
              <w:right w:val="nil"/>
            </w:tcBorders>
            <w:shd w:val="clear" w:color="auto" w:fill="auto"/>
            <w:noWrap/>
            <w:vAlign w:val="bottom"/>
            <w:hideMark/>
          </w:tcPr>
          <w:p w14:paraId="75AA2100" w14:textId="77777777" w:rsidR="008A6D6D" w:rsidRPr="004F067C" w:rsidRDefault="008A6D6D" w:rsidP="00162D6E">
            <w:pPr>
              <w:spacing w:line="360" w:lineRule="auto"/>
              <w:jc w:val="both"/>
              <w:rPr>
                <w:rFonts w:ascii="Arial" w:hAnsi="Arial" w:cs="Arial"/>
                <w:b/>
                <w:bCs/>
                <w:color w:val="000000"/>
                <w:sz w:val="18"/>
                <w:szCs w:val="18"/>
              </w:rPr>
            </w:pPr>
            <w:r w:rsidRPr="004F067C">
              <w:rPr>
                <w:rFonts w:ascii="Arial" w:hAnsi="Arial" w:cs="Arial"/>
                <w:b/>
                <w:bCs/>
                <w:color w:val="000000"/>
                <w:sz w:val="18"/>
                <w:szCs w:val="18"/>
              </w:rPr>
              <w:t>17/18</w:t>
            </w:r>
          </w:p>
        </w:tc>
        <w:tc>
          <w:tcPr>
            <w:tcW w:w="747" w:type="dxa"/>
            <w:tcBorders>
              <w:top w:val="single" w:sz="4" w:space="0" w:color="auto"/>
              <w:left w:val="nil"/>
              <w:bottom w:val="single" w:sz="4" w:space="0" w:color="auto"/>
              <w:right w:val="nil"/>
            </w:tcBorders>
            <w:shd w:val="clear" w:color="auto" w:fill="auto"/>
            <w:noWrap/>
            <w:vAlign w:val="bottom"/>
            <w:hideMark/>
          </w:tcPr>
          <w:p w14:paraId="1AC0FA6F" w14:textId="77777777" w:rsidR="008A6D6D" w:rsidRPr="004F067C" w:rsidRDefault="008A6D6D" w:rsidP="00162D6E">
            <w:pPr>
              <w:spacing w:line="360" w:lineRule="auto"/>
              <w:jc w:val="both"/>
              <w:rPr>
                <w:rFonts w:ascii="Arial" w:hAnsi="Arial" w:cs="Arial"/>
                <w:b/>
                <w:bCs/>
                <w:color w:val="000000"/>
                <w:sz w:val="18"/>
                <w:szCs w:val="18"/>
              </w:rPr>
            </w:pPr>
            <w:r w:rsidRPr="004F067C">
              <w:rPr>
                <w:rFonts w:ascii="Arial" w:hAnsi="Arial" w:cs="Arial"/>
                <w:b/>
                <w:bCs/>
                <w:color w:val="000000"/>
                <w:sz w:val="18"/>
                <w:szCs w:val="18"/>
              </w:rPr>
              <w:t>18/19</w:t>
            </w:r>
          </w:p>
        </w:tc>
        <w:tc>
          <w:tcPr>
            <w:tcW w:w="747" w:type="dxa"/>
            <w:tcBorders>
              <w:top w:val="single" w:sz="4" w:space="0" w:color="auto"/>
              <w:left w:val="nil"/>
              <w:bottom w:val="single" w:sz="4" w:space="0" w:color="auto"/>
              <w:right w:val="nil"/>
            </w:tcBorders>
            <w:shd w:val="clear" w:color="auto" w:fill="auto"/>
            <w:noWrap/>
            <w:vAlign w:val="bottom"/>
            <w:hideMark/>
          </w:tcPr>
          <w:p w14:paraId="78542A58" w14:textId="77777777" w:rsidR="008A6D6D" w:rsidRPr="004F067C" w:rsidRDefault="008A6D6D" w:rsidP="00162D6E">
            <w:pPr>
              <w:spacing w:line="360" w:lineRule="auto"/>
              <w:jc w:val="both"/>
              <w:rPr>
                <w:rFonts w:ascii="Arial" w:hAnsi="Arial" w:cs="Arial"/>
                <w:b/>
                <w:bCs/>
                <w:color w:val="000000"/>
                <w:sz w:val="18"/>
                <w:szCs w:val="18"/>
              </w:rPr>
            </w:pPr>
            <w:r w:rsidRPr="004F067C">
              <w:rPr>
                <w:rFonts w:ascii="Arial" w:hAnsi="Arial" w:cs="Arial"/>
                <w:b/>
                <w:bCs/>
                <w:color w:val="000000"/>
                <w:sz w:val="18"/>
                <w:szCs w:val="18"/>
              </w:rPr>
              <w:t>19/20</w:t>
            </w:r>
          </w:p>
        </w:tc>
        <w:tc>
          <w:tcPr>
            <w:tcW w:w="747" w:type="dxa"/>
            <w:tcBorders>
              <w:top w:val="single" w:sz="4" w:space="0" w:color="auto"/>
              <w:left w:val="nil"/>
              <w:bottom w:val="single" w:sz="4" w:space="0" w:color="auto"/>
              <w:right w:val="nil"/>
            </w:tcBorders>
            <w:shd w:val="clear" w:color="auto" w:fill="auto"/>
            <w:noWrap/>
            <w:vAlign w:val="bottom"/>
            <w:hideMark/>
          </w:tcPr>
          <w:p w14:paraId="4FE970BF" w14:textId="77777777" w:rsidR="008A6D6D" w:rsidRPr="004F067C" w:rsidRDefault="008A6D6D" w:rsidP="00162D6E">
            <w:pPr>
              <w:spacing w:line="360" w:lineRule="auto"/>
              <w:jc w:val="both"/>
              <w:rPr>
                <w:rFonts w:ascii="Arial" w:hAnsi="Arial" w:cs="Arial"/>
                <w:b/>
                <w:bCs/>
                <w:color w:val="000000"/>
                <w:sz w:val="18"/>
                <w:szCs w:val="18"/>
              </w:rPr>
            </w:pPr>
            <w:r w:rsidRPr="004F067C">
              <w:rPr>
                <w:rFonts w:ascii="Arial" w:hAnsi="Arial" w:cs="Arial"/>
                <w:b/>
                <w:bCs/>
                <w:color w:val="000000"/>
                <w:sz w:val="18"/>
                <w:szCs w:val="18"/>
              </w:rPr>
              <w:t>20/21</w:t>
            </w:r>
          </w:p>
        </w:tc>
        <w:tc>
          <w:tcPr>
            <w:tcW w:w="747" w:type="dxa"/>
            <w:tcBorders>
              <w:top w:val="single" w:sz="4" w:space="0" w:color="auto"/>
              <w:left w:val="nil"/>
              <w:bottom w:val="single" w:sz="4" w:space="0" w:color="auto"/>
              <w:right w:val="nil"/>
            </w:tcBorders>
            <w:shd w:val="clear" w:color="auto" w:fill="auto"/>
            <w:noWrap/>
            <w:vAlign w:val="bottom"/>
            <w:hideMark/>
          </w:tcPr>
          <w:p w14:paraId="4997361D" w14:textId="77777777" w:rsidR="008A6D6D" w:rsidRPr="004F067C" w:rsidRDefault="008A6D6D" w:rsidP="00162D6E">
            <w:pPr>
              <w:spacing w:line="360" w:lineRule="auto"/>
              <w:jc w:val="both"/>
              <w:rPr>
                <w:rFonts w:ascii="Arial" w:hAnsi="Arial" w:cs="Arial"/>
                <w:b/>
                <w:bCs/>
                <w:color w:val="000000"/>
                <w:sz w:val="18"/>
                <w:szCs w:val="18"/>
              </w:rPr>
            </w:pPr>
            <w:r w:rsidRPr="004F067C">
              <w:rPr>
                <w:rFonts w:ascii="Arial" w:hAnsi="Arial" w:cs="Arial"/>
                <w:b/>
                <w:bCs/>
                <w:color w:val="000000"/>
                <w:sz w:val="18"/>
                <w:szCs w:val="18"/>
              </w:rPr>
              <w:t>21/22</w:t>
            </w:r>
          </w:p>
        </w:tc>
        <w:tc>
          <w:tcPr>
            <w:tcW w:w="747" w:type="dxa"/>
            <w:tcBorders>
              <w:top w:val="single" w:sz="4" w:space="0" w:color="auto"/>
              <w:left w:val="nil"/>
              <w:bottom w:val="single" w:sz="4" w:space="0" w:color="auto"/>
              <w:right w:val="nil"/>
            </w:tcBorders>
            <w:shd w:val="clear" w:color="auto" w:fill="auto"/>
            <w:noWrap/>
            <w:vAlign w:val="bottom"/>
            <w:hideMark/>
          </w:tcPr>
          <w:p w14:paraId="4903D17F" w14:textId="77777777" w:rsidR="008A6D6D" w:rsidRPr="004F067C" w:rsidRDefault="008A6D6D" w:rsidP="00162D6E">
            <w:pPr>
              <w:spacing w:line="360" w:lineRule="auto"/>
              <w:jc w:val="both"/>
              <w:rPr>
                <w:rFonts w:ascii="Arial" w:hAnsi="Arial" w:cs="Arial"/>
                <w:b/>
                <w:bCs/>
                <w:color w:val="000000"/>
                <w:sz w:val="18"/>
                <w:szCs w:val="18"/>
              </w:rPr>
            </w:pPr>
            <w:r w:rsidRPr="004F067C">
              <w:rPr>
                <w:rFonts w:ascii="Arial" w:hAnsi="Arial" w:cs="Arial"/>
                <w:b/>
                <w:bCs/>
                <w:color w:val="000000"/>
                <w:sz w:val="18"/>
                <w:szCs w:val="18"/>
              </w:rPr>
              <w:t>22/23</w:t>
            </w:r>
          </w:p>
        </w:tc>
        <w:tc>
          <w:tcPr>
            <w:tcW w:w="747" w:type="dxa"/>
            <w:tcBorders>
              <w:top w:val="single" w:sz="4" w:space="0" w:color="auto"/>
              <w:left w:val="nil"/>
              <w:bottom w:val="single" w:sz="4" w:space="0" w:color="auto"/>
              <w:right w:val="single" w:sz="4" w:space="0" w:color="auto"/>
            </w:tcBorders>
            <w:shd w:val="clear" w:color="auto" w:fill="auto"/>
            <w:noWrap/>
            <w:vAlign w:val="bottom"/>
            <w:hideMark/>
          </w:tcPr>
          <w:p w14:paraId="3288E29C" w14:textId="77777777" w:rsidR="008A6D6D" w:rsidRPr="004F067C" w:rsidRDefault="008A6D6D" w:rsidP="00162D6E">
            <w:pPr>
              <w:spacing w:line="360" w:lineRule="auto"/>
              <w:jc w:val="both"/>
              <w:rPr>
                <w:rFonts w:ascii="Arial" w:hAnsi="Arial" w:cs="Arial"/>
                <w:b/>
                <w:bCs/>
                <w:color w:val="000000"/>
                <w:sz w:val="18"/>
                <w:szCs w:val="18"/>
              </w:rPr>
            </w:pPr>
            <w:r w:rsidRPr="004F067C">
              <w:rPr>
                <w:rFonts w:ascii="Arial" w:hAnsi="Arial" w:cs="Arial"/>
                <w:b/>
                <w:bCs/>
                <w:color w:val="000000"/>
                <w:sz w:val="18"/>
                <w:szCs w:val="18"/>
              </w:rPr>
              <w:t>23/24</w:t>
            </w:r>
          </w:p>
        </w:tc>
      </w:tr>
      <w:tr w:rsidR="008A6D6D" w:rsidRPr="00E34476" w14:paraId="3F64964E" w14:textId="77777777" w:rsidTr="00162D6E">
        <w:trPr>
          <w:trHeight w:val="291"/>
        </w:trPr>
        <w:tc>
          <w:tcPr>
            <w:tcW w:w="1588" w:type="dxa"/>
            <w:tcBorders>
              <w:top w:val="nil"/>
              <w:left w:val="single" w:sz="4" w:space="0" w:color="auto"/>
              <w:bottom w:val="nil"/>
              <w:right w:val="single" w:sz="4" w:space="0" w:color="auto"/>
            </w:tcBorders>
            <w:shd w:val="clear" w:color="auto" w:fill="auto"/>
            <w:noWrap/>
            <w:vAlign w:val="bottom"/>
            <w:hideMark/>
          </w:tcPr>
          <w:p w14:paraId="2EA40085" w14:textId="77777777" w:rsidR="008A6D6D" w:rsidRPr="004F067C" w:rsidRDefault="008A6D6D" w:rsidP="00162D6E">
            <w:pPr>
              <w:spacing w:line="360" w:lineRule="auto"/>
              <w:jc w:val="both"/>
              <w:rPr>
                <w:rFonts w:ascii="Arial" w:hAnsi="Arial" w:cs="Arial"/>
                <w:b/>
                <w:bCs/>
                <w:color w:val="000000"/>
                <w:sz w:val="18"/>
                <w:szCs w:val="18"/>
              </w:rPr>
            </w:pPr>
            <w:r w:rsidRPr="004F067C">
              <w:rPr>
                <w:rFonts w:ascii="Arial" w:hAnsi="Arial" w:cs="Arial"/>
                <w:b/>
                <w:bCs/>
                <w:color w:val="000000"/>
                <w:sz w:val="18"/>
                <w:szCs w:val="18"/>
              </w:rPr>
              <w:t>SV (Scenario 1)</w:t>
            </w:r>
          </w:p>
        </w:tc>
        <w:tc>
          <w:tcPr>
            <w:tcW w:w="747" w:type="dxa"/>
            <w:tcBorders>
              <w:top w:val="nil"/>
              <w:left w:val="nil"/>
              <w:bottom w:val="nil"/>
              <w:right w:val="nil"/>
            </w:tcBorders>
            <w:shd w:val="clear" w:color="auto" w:fill="auto"/>
            <w:noWrap/>
            <w:vAlign w:val="bottom"/>
            <w:hideMark/>
          </w:tcPr>
          <w:p w14:paraId="64B4AB9B" w14:textId="77777777" w:rsidR="008A6D6D" w:rsidRPr="004F067C" w:rsidRDefault="008A6D6D" w:rsidP="00162D6E">
            <w:pPr>
              <w:spacing w:line="360" w:lineRule="auto"/>
              <w:jc w:val="both"/>
              <w:rPr>
                <w:rFonts w:ascii="Arial" w:hAnsi="Arial" w:cs="Arial"/>
                <w:color w:val="000000"/>
                <w:sz w:val="18"/>
                <w:szCs w:val="18"/>
              </w:rPr>
            </w:pPr>
            <w:r w:rsidRPr="004F067C">
              <w:rPr>
                <w:rFonts w:ascii="Arial" w:hAnsi="Arial" w:cs="Arial"/>
                <w:color w:val="000000"/>
                <w:sz w:val="18"/>
                <w:szCs w:val="18"/>
              </w:rPr>
              <w:t>18%</w:t>
            </w:r>
          </w:p>
        </w:tc>
        <w:tc>
          <w:tcPr>
            <w:tcW w:w="747" w:type="dxa"/>
            <w:tcBorders>
              <w:top w:val="nil"/>
              <w:left w:val="nil"/>
              <w:bottom w:val="nil"/>
              <w:right w:val="nil"/>
            </w:tcBorders>
            <w:shd w:val="clear" w:color="auto" w:fill="auto"/>
            <w:noWrap/>
            <w:vAlign w:val="bottom"/>
            <w:hideMark/>
          </w:tcPr>
          <w:p w14:paraId="0228497B" w14:textId="77777777" w:rsidR="008A6D6D" w:rsidRPr="004F067C" w:rsidRDefault="008A6D6D" w:rsidP="00162D6E">
            <w:pPr>
              <w:spacing w:line="360" w:lineRule="auto"/>
              <w:jc w:val="both"/>
              <w:rPr>
                <w:rFonts w:ascii="Arial" w:hAnsi="Arial" w:cs="Arial"/>
                <w:color w:val="000000"/>
                <w:sz w:val="18"/>
                <w:szCs w:val="18"/>
              </w:rPr>
            </w:pPr>
            <w:r w:rsidRPr="004F067C">
              <w:rPr>
                <w:rFonts w:ascii="Arial" w:hAnsi="Arial" w:cs="Arial"/>
                <w:color w:val="000000"/>
                <w:sz w:val="18"/>
                <w:szCs w:val="18"/>
              </w:rPr>
              <w:t>21%</w:t>
            </w:r>
          </w:p>
        </w:tc>
        <w:tc>
          <w:tcPr>
            <w:tcW w:w="747" w:type="dxa"/>
            <w:tcBorders>
              <w:top w:val="nil"/>
              <w:left w:val="nil"/>
              <w:bottom w:val="nil"/>
              <w:right w:val="nil"/>
            </w:tcBorders>
            <w:shd w:val="clear" w:color="auto" w:fill="auto"/>
            <w:noWrap/>
            <w:vAlign w:val="bottom"/>
            <w:hideMark/>
          </w:tcPr>
          <w:p w14:paraId="5E97A3F0" w14:textId="77777777" w:rsidR="008A6D6D" w:rsidRPr="004F067C" w:rsidRDefault="008A6D6D" w:rsidP="00162D6E">
            <w:pPr>
              <w:spacing w:line="360" w:lineRule="auto"/>
              <w:jc w:val="both"/>
              <w:rPr>
                <w:rFonts w:ascii="Arial" w:hAnsi="Arial" w:cs="Arial"/>
                <w:color w:val="000000"/>
                <w:sz w:val="18"/>
                <w:szCs w:val="18"/>
              </w:rPr>
            </w:pPr>
            <w:r w:rsidRPr="004F067C">
              <w:rPr>
                <w:rFonts w:ascii="Arial" w:hAnsi="Arial" w:cs="Arial"/>
                <w:color w:val="000000"/>
                <w:sz w:val="18"/>
                <w:szCs w:val="18"/>
              </w:rPr>
              <w:t>23%</w:t>
            </w:r>
          </w:p>
        </w:tc>
        <w:tc>
          <w:tcPr>
            <w:tcW w:w="747" w:type="dxa"/>
            <w:tcBorders>
              <w:top w:val="nil"/>
              <w:left w:val="nil"/>
              <w:bottom w:val="nil"/>
              <w:right w:val="nil"/>
            </w:tcBorders>
            <w:shd w:val="clear" w:color="auto" w:fill="auto"/>
            <w:noWrap/>
            <w:vAlign w:val="bottom"/>
            <w:hideMark/>
          </w:tcPr>
          <w:p w14:paraId="7A790720" w14:textId="77777777" w:rsidR="008A6D6D" w:rsidRPr="004F067C" w:rsidRDefault="008A6D6D" w:rsidP="00162D6E">
            <w:pPr>
              <w:spacing w:line="360" w:lineRule="auto"/>
              <w:jc w:val="both"/>
              <w:rPr>
                <w:rFonts w:ascii="Arial" w:hAnsi="Arial" w:cs="Arial"/>
                <w:color w:val="000000"/>
                <w:sz w:val="18"/>
                <w:szCs w:val="18"/>
              </w:rPr>
            </w:pPr>
            <w:r w:rsidRPr="004F067C">
              <w:rPr>
                <w:rFonts w:ascii="Arial" w:hAnsi="Arial" w:cs="Arial"/>
                <w:color w:val="000000"/>
                <w:sz w:val="18"/>
                <w:szCs w:val="18"/>
              </w:rPr>
              <w:t>40%</w:t>
            </w:r>
          </w:p>
        </w:tc>
        <w:tc>
          <w:tcPr>
            <w:tcW w:w="747" w:type="dxa"/>
            <w:tcBorders>
              <w:top w:val="nil"/>
              <w:left w:val="nil"/>
              <w:bottom w:val="nil"/>
              <w:right w:val="nil"/>
            </w:tcBorders>
            <w:shd w:val="clear" w:color="auto" w:fill="auto"/>
            <w:noWrap/>
            <w:vAlign w:val="bottom"/>
            <w:hideMark/>
          </w:tcPr>
          <w:p w14:paraId="10135EC6" w14:textId="77777777" w:rsidR="008A6D6D" w:rsidRPr="004F067C" w:rsidRDefault="008A6D6D" w:rsidP="00162D6E">
            <w:pPr>
              <w:spacing w:line="360" w:lineRule="auto"/>
              <w:jc w:val="both"/>
              <w:rPr>
                <w:rFonts w:ascii="Arial" w:hAnsi="Arial" w:cs="Arial"/>
                <w:color w:val="000000"/>
                <w:sz w:val="18"/>
                <w:szCs w:val="18"/>
              </w:rPr>
            </w:pPr>
            <w:r w:rsidRPr="004F067C">
              <w:rPr>
                <w:rFonts w:ascii="Arial" w:hAnsi="Arial" w:cs="Arial"/>
                <w:color w:val="000000"/>
                <w:sz w:val="18"/>
                <w:szCs w:val="18"/>
              </w:rPr>
              <w:t>44%</w:t>
            </w:r>
          </w:p>
        </w:tc>
        <w:tc>
          <w:tcPr>
            <w:tcW w:w="747" w:type="dxa"/>
            <w:tcBorders>
              <w:top w:val="nil"/>
              <w:left w:val="nil"/>
              <w:bottom w:val="nil"/>
              <w:right w:val="nil"/>
            </w:tcBorders>
            <w:shd w:val="clear" w:color="auto" w:fill="auto"/>
            <w:noWrap/>
            <w:vAlign w:val="bottom"/>
            <w:hideMark/>
          </w:tcPr>
          <w:p w14:paraId="5227870E" w14:textId="77777777" w:rsidR="008A6D6D" w:rsidRPr="004F067C" w:rsidRDefault="008A6D6D" w:rsidP="00162D6E">
            <w:pPr>
              <w:spacing w:line="360" w:lineRule="auto"/>
              <w:jc w:val="both"/>
              <w:rPr>
                <w:rFonts w:ascii="Arial" w:hAnsi="Arial" w:cs="Arial"/>
                <w:color w:val="000000"/>
                <w:sz w:val="18"/>
                <w:szCs w:val="18"/>
              </w:rPr>
            </w:pPr>
            <w:r w:rsidRPr="004F067C">
              <w:rPr>
                <w:rFonts w:ascii="Arial" w:hAnsi="Arial" w:cs="Arial"/>
                <w:color w:val="000000"/>
                <w:sz w:val="18"/>
                <w:szCs w:val="18"/>
              </w:rPr>
              <w:t>49%</w:t>
            </w:r>
          </w:p>
        </w:tc>
        <w:tc>
          <w:tcPr>
            <w:tcW w:w="747" w:type="dxa"/>
            <w:tcBorders>
              <w:top w:val="nil"/>
              <w:left w:val="nil"/>
              <w:bottom w:val="nil"/>
              <w:right w:val="nil"/>
            </w:tcBorders>
            <w:shd w:val="clear" w:color="auto" w:fill="auto"/>
            <w:noWrap/>
            <w:vAlign w:val="bottom"/>
            <w:hideMark/>
          </w:tcPr>
          <w:p w14:paraId="5174F59B" w14:textId="77777777" w:rsidR="008A6D6D" w:rsidRPr="004F067C" w:rsidRDefault="008A6D6D" w:rsidP="00162D6E">
            <w:pPr>
              <w:spacing w:line="360" w:lineRule="auto"/>
              <w:jc w:val="both"/>
              <w:rPr>
                <w:rFonts w:ascii="Arial" w:hAnsi="Arial" w:cs="Arial"/>
                <w:color w:val="000000"/>
                <w:sz w:val="18"/>
                <w:szCs w:val="18"/>
              </w:rPr>
            </w:pPr>
            <w:r w:rsidRPr="004F067C">
              <w:rPr>
                <w:rFonts w:ascii="Arial" w:hAnsi="Arial" w:cs="Arial"/>
                <w:color w:val="000000"/>
                <w:sz w:val="18"/>
                <w:szCs w:val="18"/>
              </w:rPr>
              <w:t>52%</w:t>
            </w:r>
          </w:p>
        </w:tc>
        <w:tc>
          <w:tcPr>
            <w:tcW w:w="747" w:type="dxa"/>
            <w:tcBorders>
              <w:top w:val="nil"/>
              <w:left w:val="nil"/>
              <w:bottom w:val="nil"/>
              <w:right w:val="nil"/>
            </w:tcBorders>
            <w:shd w:val="clear" w:color="auto" w:fill="auto"/>
            <w:noWrap/>
            <w:vAlign w:val="bottom"/>
            <w:hideMark/>
          </w:tcPr>
          <w:p w14:paraId="0EFF2D21" w14:textId="77777777" w:rsidR="008A6D6D" w:rsidRPr="004F067C" w:rsidRDefault="008A6D6D" w:rsidP="00162D6E">
            <w:pPr>
              <w:spacing w:line="360" w:lineRule="auto"/>
              <w:jc w:val="both"/>
              <w:rPr>
                <w:rFonts w:ascii="Arial" w:hAnsi="Arial" w:cs="Arial"/>
                <w:color w:val="000000"/>
                <w:sz w:val="18"/>
                <w:szCs w:val="18"/>
              </w:rPr>
            </w:pPr>
            <w:r w:rsidRPr="004F067C">
              <w:rPr>
                <w:rFonts w:ascii="Arial" w:hAnsi="Arial" w:cs="Arial"/>
                <w:color w:val="000000"/>
                <w:sz w:val="18"/>
                <w:szCs w:val="18"/>
              </w:rPr>
              <w:t>48%</w:t>
            </w:r>
          </w:p>
        </w:tc>
        <w:tc>
          <w:tcPr>
            <w:tcW w:w="747" w:type="dxa"/>
            <w:tcBorders>
              <w:top w:val="nil"/>
              <w:left w:val="nil"/>
              <w:bottom w:val="nil"/>
              <w:right w:val="nil"/>
            </w:tcBorders>
            <w:shd w:val="clear" w:color="auto" w:fill="auto"/>
            <w:noWrap/>
            <w:vAlign w:val="bottom"/>
            <w:hideMark/>
          </w:tcPr>
          <w:p w14:paraId="6E72FB17" w14:textId="77777777" w:rsidR="008A6D6D" w:rsidRPr="004F067C" w:rsidRDefault="008A6D6D" w:rsidP="00162D6E">
            <w:pPr>
              <w:spacing w:line="360" w:lineRule="auto"/>
              <w:jc w:val="both"/>
              <w:rPr>
                <w:rFonts w:ascii="Arial" w:hAnsi="Arial" w:cs="Arial"/>
                <w:color w:val="000000"/>
                <w:sz w:val="18"/>
                <w:szCs w:val="18"/>
              </w:rPr>
            </w:pPr>
            <w:r w:rsidRPr="004F067C">
              <w:rPr>
                <w:rFonts w:ascii="Arial" w:hAnsi="Arial" w:cs="Arial"/>
                <w:color w:val="000000"/>
                <w:sz w:val="18"/>
                <w:szCs w:val="18"/>
              </w:rPr>
              <w:t>46%</w:t>
            </w:r>
          </w:p>
        </w:tc>
        <w:tc>
          <w:tcPr>
            <w:tcW w:w="747" w:type="dxa"/>
            <w:tcBorders>
              <w:top w:val="nil"/>
              <w:left w:val="nil"/>
              <w:bottom w:val="nil"/>
              <w:right w:val="single" w:sz="4" w:space="0" w:color="auto"/>
            </w:tcBorders>
            <w:shd w:val="clear" w:color="auto" w:fill="auto"/>
            <w:noWrap/>
            <w:vAlign w:val="bottom"/>
            <w:hideMark/>
          </w:tcPr>
          <w:p w14:paraId="4C1792B9" w14:textId="77777777" w:rsidR="008A6D6D" w:rsidRPr="004F067C" w:rsidRDefault="008A6D6D" w:rsidP="00162D6E">
            <w:pPr>
              <w:spacing w:line="360" w:lineRule="auto"/>
              <w:jc w:val="both"/>
              <w:rPr>
                <w:rFonts w:ascii="Arial" w:hAnsi="Arial" w:cs="Arial"/>
                <w:color w:val="000000"/>
                <w:sz w:val="18"/>
                <w:szCs w:val="18"/>
              </w:rPr>
            </w:pPr>
            <w:r w:rsidRPr="004F067C">
              <w:rPr>
                <w:rFonts w:ascii="Arial" w:hAnsi="Arial" w:cs="Arial"/>
                <w:color w:val="000000"/>
                <w:sz w:val="18"/>
                <w:szCs w:val="18"/>
              </w:rPr>
              <w:t>50%</w:t>
            </w:r>
          </w:p>
        </w:tc>
      </w:tr>
      <w:tr w:rsidR="008A6D6D" w:rsidRPr="00E34476" w14:paraId="26DE7EAC" w14:textId="77777777" w:rsidTr="00162D6E">
        <w:trPr>
          <w:trHeight w:val="291"/>
        </w:trPr>
        <w:tc>
          <w:tcPr>
            <w:tcW w:w="1588" w:type="dxa"/>
            <w:tcBorders>
              <w:top w:val="nil"/>
              <w:left w:val="single" w:sz="4" w:space="0" w:color="auto"/>
              <w:bottom w:val="single" w:sz="4" w:space="0" w:color="auto"/>
              <w:right w:val="single" w:sz="4" w:space="0" w:color="auto"/>
            </w:tcBorders>
            <w:shd w:val="clear" w:color="auto" w:fill="auto"/>
            <w:noWrap/>
            <w:vAlign w:val="bottom"/>
            <w:hideMark/>
          </w:tcPr>
          <w:p w14:paraId="10E6F2AC" w14:textId="77777777" w:rsidR="008A6D6D" w:rsidRPr="004F067C" w:rsidRDefault="008A6D6D" w:rsidP="00162D6E">
            <w:pPr>
              <w:spacing w:line="360" w:lineRule="auto"/>
              <w:rPr>
                <w:rFonts w:ascii="Arial" w:hAnsi="Arial" w:cs="Arial"/>
                <w:b/>
                <w:bCs/>
                <w:color w:val="000000"/>
                <w:sz w:val="18"/>
                <w:szCs w:val="18"/>
              </w:rPr>
            </w:pPr>
            <w:r w:rsidRPr="004F067C">
              <w:rPr>
                <w:rFonts w:ascii="Arial" w:hAnsi="Arial" w:cs="Arial"/>
                <w:b/>
                <w:bCs/>
                <w:color w:val="000000"/>
                <w:sz w:val="18"/>
                <w:szCs w:val="18"/>
              </w:rPr>
              <w:t>No SV (Scenario 3)</w:t>
            </w:r>
          </w:p>
        </w:tc>
        <w:tc>
          <w:tcPr>
            <w:tcW w:w="747" w:type="dxa"/>
            <w:tcBorders>
              <w:top w:val="nil"/>
              <w:left w:val="nil"/>
              <w:bottom w:val="single" w:sz="4" w:space="0" w:color="auto"/>
              <w:right w:val="nil"/>
            </w:tcBorders>
            <w:shd w:val="clear" w:color="auto" w:fill="auto"/>
            <w:noWrap/>
            <w:vAlign w:val="bottom"/>
            <w:hideMark/>
          </w:tcPr>
          <w:p w14:paraId="06F87D24" w14:textId="77777777" w:rsidR="008A6D6D" w:rsidRPr="004F067C" w:rsidRDefault="008A6D6D" w:rsidP="00162D6E">
            <w:pPr>
              <w:spacing w:line="360" w:lineRule="auto"/>
              <w:jc w:val="both"/>
              <w:rPr>
                <w:rFonts w:ascii="Arial" w:hAnsi="Arial" w:cs="Arial"/>
                <w:color w:val="000000"/>
                <w:sz w:val="18"/>
                <w:szCs w:val="18"/>
              </w:rPr>
            </w:pPr>
            <w:r w:rsidRPr="004F067C">
              <w:rPr>
                <w:rFonts w:ascii="Arial" w:hAnsi="Arial" w:cs="Arial"/>
                <w:color w:val="000000"/>
                <w:sz w:val="18"/>
                <w:szCs w:val="18"/>
              </w:rPr>
              <w:t>18%</w:t>
            </w:r>
          </w:p>
        </w:tc>
        <w:tc>
          <w:tcPr>
            <w:tcW w:w="747" w:type="dxa"/>
            <w:tcBorders>
              <w:top w:val="nil"/>
              <w:left w:val="nil"/>
              <w:bottom w:val="single" w:sz="4" w:space="0" w:color="auto"/>
              <w:right w:val="nil"/>
            </w:tcBorders>
            <w:shd w:val="clear" w:color="auto" w:fill="auto"/>
            <w:noWrap/>
            <w:vAlign w:val="bottom"/>
            <w:hideMark/>
          </w:tcPr>
          <w:p w14:paraId="05E57A97" w14:textId="77777777" w:rsidR="008A6D6D" w:rsidRPr="004F067C" w:rsidRDefault="008A6D6D" w:rsidP="00162D6E">
            <w:pPr>
              <w:spacing w:line="360" w:lineRule="auto"/>
              <w:jc w:val="both"/>
              <w:rPr>
                <w:rFonts w:ascii="Arial" w:hAnsi="Arial" w:cs="Arial"/>
                <w:color w:val="000000"/>
                <w:sz w:val="18"/>
                <w:szCs w:val="18"/>
              </w:rPr>
            </w:pPr>
            <w:r w:rsidRPr="004F067C">
              <w:rPr>
                <w:rFonts w:ascii="Arial" w:hAnsi="Arial" w:cs="Arial"/>
                <w:color w:val="000000"/>
                <w:sz w:val="18"/>
                <w:szCs w:val="18"/>
              </w:rPr>
              <w:t>20%</w:t>
            </w:r>
          </w:p>
        </w:tc>
        <w:tc>
          <w:tcPr>
            <w:tcW w:w="747" w:type="dxa"/>
            <w:tcBorders>
              <w:top w:val="nil"/>
              <w:left w:val="nil"/>
              <w:bottom w:val="single" w:sz="4" w:space="0" w:color="auto"/>
              <w:right w:val="nil"/>
            </w:tcBorders>
            <w:shd w:val="clear" w:color="auto" w:fill="auto"/>
            <w:noWrap/>
            <w:vAlign w:val="bottom"/>
            <w:hideMark/>
          </w:tcPr>
          <w:p w14:paraId="4F9CA249" w14:textId="77777777" w:rsidR="008A6D6D" w:rsidRPr="004F067C" w:rsidRDefault="008A6D6D" w:rsidP="00162D6E">
            <w:pPr>
              <w:spacing w:line="360" w:lineRule="auto"/>
              <w:jc w:val="both"/>
              <w:rPr>
                <w:rFonts w:ascii="Arial" w:hAnsi="Arial" w:cs="Arial"/>
                <w:color w:val="000000"/>
                <w:sz w:val="18"/>
                <w:szCs w:val="18"/>
              </w:rPr>
            </w:pPr>
            <w:r w:rsidRPr="004F067C">
              <w:rPr>
                <w:rFonts w:ascii="Arial" w:hAnsi="Arial" w:cs="Arial"/>
                <w:color w:val="000000"/>
                <w:sz w:val="18"/>
                <w:szCs w:val="18"/>
              </w:rPr>
              <w:t>16%</w:t>
            </w:r>
          </w:p>
        </w:tc>
        <w:tc>
          <w:tcPr>
            <w:tcW w:w="747" w:type="dxa"/>
            <w:tcBorders>
              <w:top w:val="nil"/>
              <w:left w:val="nil"/>
              <w:bottom w:val="single" w:sz="4" w:space="0" w:color="auto"/>
              <w:right w:val="nil"/>
            </w:tcBorders>
            <w:shd w:val="clear" w:color="auto" w:fill="auto"/>
            <w:noWrap/>
            <w:vAlign w:val="bottom"/>
            <w:hideMark/>
          </w:tcPr>
          <w:p w14:paraId="470AA389" w14:textId="77777777" w:rsidR="008A6D6D" w:rsidRPr="004F067C" w:rsidRDefault="008A6D6D" w:rsidP="00162D6E">
            <w:pPr>
              <w:spacing w:line="360" w:lineRule="auto"/>
              <w:jc w:val="both"/>
              <w:rPr>
                <w:rFonts w:ascii="Arial" w:hAnsi="Arial" w:cs="Arial"/>
                <w:color w:val="000000"/>
                <w:sz w:val="18"/>
                <w:szCs w:val="18"/>
              </w:rPr>
            </w:pPr>
            <w:r w:rsidRPr="004F067C">
              <w:rPr>
                <w:rFonts w:ascii="Arial" w:hAnsi="Arial" w:cs="Arial"/>
                <w:color w:val="000000"/>
                <w:sz w:val="18"/>
                <w:szCs w:val="18"/>
              </w:rPr>
              <w:t>23%</w:t>
            </w:r>
          </w:p>
        </w:tc>
        <w:tc>
          <w:tcPr>
            <w:tcW w:w="747" w:type="dxa"/>
            <w:tcBorders>
              <w:top w:val="nil"/>
              <w:left w:val="nil"/>
              <w:bottom w:val="single" w:sz="4" w:space="0" w:color="auto"/>
              <w:right w:val="nil"/>
            </w:tcBorders>
            <w:shd w:val="clear" w:color="auto" w:fill="auto"/>
            <w:noWrap/>
            <w:vAlign w:val="bottom"/>
            <w:hideMark/>
          </w:tcPr>
          <w:p w14:paraId="7E309083" w14:textId="77777777" w:rsidR="008A6D6D" w:rsidRPr="004F067C" w:rsidRDefault="008A6D6D" w:rsidP="00162D6E">
            <w:pPr>
              <w:spacing w:line="360" w:lineRule="auto"/>
              <w:jc w:val="both"/>
              <w:rPr>
                <w:rFonts w:ascii="Arial" w:hAnsi="Arial" w:cs="Arial"/>
                <w:color w:val="000000"/>
                <w:sz w:val="18"/>
                <w:szCs w:val="18"/>
              </w:rPr>
            </w:pPr>
            <w:r w:rsidRPr="004F067C">
              <w:rPr>
                <w:rFonts w:ascii="Arial" w:hAnsi="Arial" w:cs="Arial"/>
                <w:color w:val="000000"/>
                <w:sz w:val="18"/>
                <w:szCs w:val="18"/>
              </w:rPr>
              <w:t>23%</w:t>
            </w:r>
          </w:p>
        </w:tc>
        <w:tc>
          <w:tcPr>
            <w:tcW w:w="747" w:type="dxa"/>
            <w:tcBorders>
              <w:top w:val="nil"/>
              <w:left w:val="nil"/>
              <w:bottom w:val="single" w:sz="4" w:space="0" w:color="auto"/>
              <w:right w:val="nil"/>
            </w:tcBorders>
            <w:shd w:val="clear" w:color="auto" w:fill="auto"/>
            <w:noWrap/>
            <w:vAlign w:val="bottom"/>
            <w:hideMark/>
          </w:tcPr>
          <w:p w14:paraId="2824F850" w14:textId="77777777" w:rsidR="008A6D6D" w:rsidRPr="004F067C" w:rsidRDefault="008A6D6D" w:rsidP="00162D6E">
            <w:pPr>
              <w:spacing w:line="360" w:lineRule="auto"/>
              <w:jc w:val="both"/>
              <w:rPr>
                <w:rFonts w:ascii="Arial" w:hAnsi="Arial" w:cs="Arial"/>
                <w:color w:val="000000"/>
                <w:sz w:val="18"/>
                <w:szCs w:val="18"/>
              </w:rPr>
            </w:pPr>
            <w:r w:rsidRPr="004F067C">
              <w:rPr>
                <w:rFonts w:ascii="Arial" w:hAnsi="Arial" w:cs="Arial"/>
                <w:color w:val="000000"/>
                <w:sz w:val="18"/>
                <w:szCs w:val="18"/>
              </w:rPr>
              <w:t>25%</w:t>
            </w:r>
          </w:p>
        </w:tc>
        <w:tc>
          <w:tcPr>
            <w:tcW w:w="747" w:type="dxa"/>
            <w:tcBorders>
              <w:top w:val="nil"/>
              <w:left w:val="nil"/>
              <w:bottom w:val="single" w:sz="4" w:space="0" w:color="auto"/>
              <w:right w:val="nil"/>
            </w:tcBorders>
            <w:shd w:val="clear" w:color="auto" w:fill="auto"/>
            <w:noWrap/>
            <w:vAlign w:val="bottom"/>
            <w:hideMark/>
          </w:tcPr>
          <w:p w14:paraId="2D56DF2B" w14:textId="77777777" w:rsidR="008A6D6D" w:rsidRPr="004F067C" w:rsidRDefault="008A6D6D" w:rsidP="00162D6E">
            <w:pPr>
              <w:spacing w:line="360" w:lineRule="auto"/>
              <w:jc w:val="both"/>
              <w:rPr>
                <w:rFonts w:ascii="Arial" w:hAnsi="Arial" w:cs="Arial"/>
                <w:color w:val="000000"/>
                <w:sz w:val="18"/>
                <w:szCs w:val="18"/>
              </w:rPr>
            </w:pPr>
            <w:r w:rsidRPr="004F067C">
              <w:rPr>
                <w:rFonts w:ascii="Arial" w:hAnsi="Arial" w:cs="Arial"/>
                <w:color w:val="000000"/>
                <w:sz w:val="18"/>
                <w:szCs w:val="18"/>
              </w:rPr>
              <w:t>27%</w:t>
            </w:r>
          </w:p>
        </w:tc>
        <w:tc>
          <w:tcPr>
            <w:tcW w:w="747" w:type="dxa"/>
            <w:tcBorders>
              <w:top w:val="nil"/>
              <w:left w:val="nil"/>
              <w:bottom w:val="single" w:sz="4" w:space="0" w:color="auto"/>
              <w:right w:val="nil"/>
            </w:tcBorders>
            <w:shd w:val="clear" w:color="auto" w:fill="auto"/>
            <w:noWrap/>
            <w:vAlign w:val="bottom"/>
            <w:hideMark/>
          </w:tcPr>
          <w:p w14:paraId="78BC40BF" w14:textId="77777777" w:rsidR="008A6D6D" w:rsidRPr="004F067C" w:rsidRDefault="008A6D6D" w:rsidP="00162D6E">
            <w:pPr>
              <w:spacing w:line="360" w:lineRule="auto"/>
              <w:jc w:val="both"/>
              <w:rPr>
                <w:rFonts w:ascii="Arial" w:hAnsi="Arial" w:cs="Arial"/>
                <w:color w:val="000000"/>
                <w:sz w:val="18"/>
                <w:szCs w:val="18"/>
              </w:rPr>
            </w:pPr>
            <w:r w:rsidRPr="004F067C">
              <w:rPr>
                <w:rFonts w:ascii="Arial" w:hAnsi="Arial" w:cs="Arial"/>
                <w:color w:val="000000"/>
                <w:sz w:val="18"/>
                <w:szCs w:val="18"/>
              </w:rPr>
              <w:t>29%</w:t>
            </w:r>
          </w:p>
        </w:tc>
        <w:tc>
          <w:tcPr>
            <w:tcW w:w="747" w:type="dxa"/>
            <w:tcBorders>
              <w:top w:val="nil"/>
              <w:left w:val="nil"/>
              <w:bottom w:val="single" w:sz="4" w:space="0" w:color="auto"/>
              <w:right w:val="nil"/>
            </w:tcBorders>
            <w:shd w:val="clear" w:color="auto" w:fill="auto"/>
            <w:noWrap/>
            <w:vAlign w:val="bottom"/>
            <w:hideMark/>
          </w:tcPr>
          <w:p w14:paraId="690CCE34" w14:textId="77777777" w:rsidR="008A6D6D" w:rsidRPr="004F067C" w:rsidRDefault="008A6D6D" w:rsidP="00162D6E">
            <w:pPr>
              <w:spacing w:line="360" w:lineRule="auto"/>
              <w:jc w:val="both"/>
              <w:rPr>
                <w:rFonts w:ascii="Arial" w:hAnsi="Arial" w:cs="Arial"/>
                <w:color w:val="000000"/>
                <w:sz w:val="18"/>
                <w:szCs w:val="18"/>
              </w:rPr>
            </w:pPr>
            <w:r w:rsidRPr="004F067C">
              <w:rPr>
                <w:rFonts w:ascii="Arial" w:hAnsi="Arial" w:cs="Arial"/>
                <w:color w:val="000000"/>
                <w:sz w:val="18"/>
                <w:szCs w:val="18"/>
              </w:rPr>
              <w:t>26%</w:t>
            </w:r>
          </w:p>
        </w:tc>
        <w:tc>
          <w:tcPr>
            <w:tcW w:w="747" w:type="dxa"/>
            <w:tcBorders>
              <w:top w:val="nil"/>
              <w:left w:val="nil"/>
              <w:bottom w:val="single" w:sz="4" w:space="0" w:color="auto"/>
              <w:right w:val="single" w:sz="4" w:space="0" w:color="auto"/>
            </w:tcBorders>
            <w:shd w:val="clear" w:color="auto" w:fill="auto"/>
            <w:noWrap/>
            <w:vAlign w:val="bottom"/>
            <w:hideMark/>
          </w:tcPr>
          <w:p w14:paraId="2B4F939C" w14:textId="77777777" w:rsidR="008A6D6D" w:rsidRPr="004F067C" w:rsidRDefault="008A6D6D" w:rsidP="00162D6E">
            <w:pPr>
              <w:spacing w:line="360" w:lineRule="auto"/>
              <w:jc w:val="both"/>
              <w:rPr>
                <w:rFonts w:ascii="Arial" w:hAnsi="Arial" w:cs="Arial"/>
                <w:color w:val="000000"/>
                <w:sz w:val="18"/>
                <w:szCs w:val="18"/>
              </w:rPr>
            </w:pPr>
            <w:r w:rsidRPr="004F067C">
              <w:rPr>
                <w:rFonts w:ascii="Arial" w:hAnsi="Arial" w:cs="Arial"/>
                <w:color w:val="000000"/>
                <w:sz w:val="18"/>
                <w:szCs w:val="18"/>
              </w:rPr>
              <w:t>33%</w:t>
            </w:r>
          </w:p>
        </w:tc>
      </w:tr>
    </w:tbl>
    <w:p w14:paraId="40AE4C66" w14:textId="77777777" w:rsidR="008A6D6D" w:rsidRDefault="008A6D6D" w:rsidP="00BC0005">
      <w:pPr>
        <w:spacing w:after="60" w:line="276" w:lineRule="auto"/>
        <w:jc w:val="both"/>
        <w:rPr>
          <w:rFonts w:ascii="Arial" w:hAnsi="Arial" w:cs="Arial"/>
          <w:color w:val="000000" w:themeColor="text1"/>
          <w:sz w:val="20"/>
          <w:szCs w:val="20"/>
        </w:rPr>
      </w:pPr>
    </w:p>
    <w:p w14:paraId="3C5C3977" w14:textId="39155B87" w:rsidR="003168C9" w:rsidRDefault="003168C9" w:rsidP="00BC0005">
      <w:pPr>
        <w:spacing w:after="60" w:line="276" w:lineRule="auto"/>
        <w:jc w:val="both"/>
        <w:rPr>
          <w:rFonts w:ascii="Arial" w:hAnsi="Arial" w:cs="Arial"/>
          <w:color w:val="000000" w:themeColor="text1"/>
          <w:sz w:val="20"/>
          <w:szCs w:val="20"/>
        </w:rPr>
      </w:pPr>
      <w:r>
        <w:rPr>
          <w:rFonts w:ascii="Arial" w:hAnsi="Arial" w:cs="Arial"/>
          <w:color w:val="000000" w:themeColor="text1"/>
          <w:sz w:val="20"/>
          <w:szCs w:val="20"/>
        </w:rPr>
        <w:t>This ratio is not sustainable under any option other than Option 1. The Council will manage the risk at this level by progressively closing high risk/lower use facilities as needed, in consultation with the community.</w:t>
      </w:r>
    </w:p>
    <w:p w14:paraId="13FD5050" w14:textId="5747CCB7" w:rsidR="000C0E35" w:rsidRDefault="00014ED5" w:rsidP="00014ED5">
      <w:pPr>
        <w:pStyle w:val="Heading3"/>
        <w:tabs>
          <w:tab w:val="clear" w:pos="1844"/>
          <w:tab w:val="num" w:pos="567"/>
        </w:tabs>
        <w:ind w:hanging="1844"/>
        <w:rPr>
          <w:lang w:val="en-US"/>
        </w:rPr>
      </w:pPr>
      <w:r>
        <w:rPr>
          <w:lang w:val="en-US"/>
        </w:rPr>
        <w:t xml:space="preserve">Revised </w:t>
      </w:r>
      <w:r w:rsidR="001F2F46">
        <w:rPr>
          <w:lang w:val="en-US"/>
        </w:rPr>
        <w:t xml:space="preserve">Special Schedule 7 – </w:t>
      </w:r>
      <w:r>
        <w:rPr>
          <w:lang w:val="en-US"/>
        </w:rPr>
        <w:t>H</w:t>
      </w:r>
      <w:r w:rsidR="000C0E35">
        <w:rPr>
          <w:lang w:val="en-US"/>
        </w:rPr>
        <w:t>ighlighting</w:t>
      </w:r>
      <w:r w:rsidR="001F2F46">
        <w:rPr>
          <w:lang w:val="en-US"/>
        </w:rPr>
        <w:t xml:space="preserve"> the </w:t>
      </w:r>
      <w:r w:rsidR="000C0E35">
        <w:rPr>
          <w:lang w:val="en-US"/>
        </w:rPr>
        <w:t>Infrastructure Asset Backlog</w:t>
      </w:r>
    </w:p>
    <w:p w14:paraId="442C6866" w14:textId="77777777" w:rsidR="00F71929" w:rsidRDefault="00F71929" w:rsidP="000C0E35">
      <w:pPr>
        <w:spacing w:after="60" w:line="360" w:lineRule="auto"/>
        <w:jc w:val="both"/>
        <w:rPr>
          <w:rFonts w:ascii="Arial" w:hAnsi="Arial" w:cs="Arial"/>
          <w:sz w:val="20"/>
          <w:szCs w:val="20"/>
        </w:rPr>
      </w:pPr>
    </w:p>
    <w:p w14:paraId="631BEA2B" w14:textId="4AF72FD2" w:rsidR="000C0E35" w:rsidRDefault="000C0E35" w:rsidP="00BC0005">
      <w:pPr>
        <w:spacing w:after="60" w:line="276" w:lineRule="auto"/>
        <w:jc w:val="both"/>
        <w:rPr>
          <w:rFonts w:ascii="Arial" w:hAnsi="Arial" w:cs="Arial"/>
          <w:sz w:val="20"/>
          <w:szCs w:val="20"/>
        </w:rPr>
      </w:pPr>
      <w:r>
        <w:rPr>
          <w:rFonts w:ascii="Arial" w:hAnsi="Arial" w:cs="Arial"/>
          <w:sz w:val="20"/>
          <w:szCs w:val="20"/>
        </w:rPr>
        <w:t xml:space="preserve">The Council’s Revised Special Schedule 7 (SS7) – Report on Infrastructure Assets as at 30 June 2014 is included in </w:t>
      </w:r>
      <w:r w:rsidR="00F55699">
        <w:rPr>
          <w:rFonts w:ascii="Arial" w:hAnsi="Arial" w:cs="Arial"/>
          <w:sz w:val="20"/>
          <w:szCs w:val="20"/>
        </w:rPr>
        <w:t xml:space="preserve">Table 3.4 </w:t>
      </w:r>
      <w:r>
        <w:rPr>
          <w:rFonts w:ascii="Arial" w:hAnsi="Arial" w:cs="Arial"/>
          <w:sz w:val="20"/>
          <w:szCs w:val="20"/>
        </w:rPr>
        <w:t>below.</w:t>
      </w:r>
    </w:p>
    <w:p w14:paraId="77FEBFB6" w14:textId="40F36477" w:rsidR="000C0E35" w:rsidRDefault="000C0E35" w:rsidP="00BC0005">
      <w:pPr>
        <w:spacing w:after="60" w:line="276" w:lineRule="auto"/>
        <w:jc w:val="both"/>
        <w:rPr>
          <w:rFonts w:ascii="Arial" w:hAnsi="Arial" w:cs="Arial"/>
          <w:sz w:val="20"/>
          <w:szCs w:val="20"/>
        </w:rPr>
      </w:pPr>
      <w:r>
        <w:rPr>
          <w:rFonts w:ascii="Arial" w:hAnsi="Arial" w:cs="Arial"/>
          <w:sz w:val="20"/>
          <w:szCs w:val="20"/>
        </w:rPr>
        <w:t xml:space="preserve"> </w:t>
      </w:r>
    </w:p>
    <w:p w14:paraId="6186672E" w14:textId="1557F3FF" w:rsidR="000C0E35" w:rsidRDefault="000C0E35" w:rsidP="00BC0005">
      <w:pPr>
        <w:spacing w:after="60" w:line="276" w:lineRule="auto"/>
        <w:jc w:val="both"/>
        <w:rPr>
          <w:rFonts w:ascii="Arial" w:hAnsi="Arial" w:cs="Arial"/>
          <w:sz w:val="20"/>
          <w:szCs w:val="20"/>
        </w:rPr>
      </w:pPr>
      <w:r w:rsidRPr="000C0E35">
        <w:rPr>
          <w:rFonts w:ascii="Arial" w:hAnsi="Arial" w:cs="Arial"/>
          <w:sz w:val="20"/>
          <w:szCs w:val="20"/>
        </w:rPr>
        <w:t xml:space="preserve">The </w:t>
      </w:r>
      <w:r>
        <w:rPr>
          <w:rFonts w:ascii="Arial" w:hAnsi="Arial" w:cs="Arial"/>
          <w:sz w:val="20"/>
          <w:szCs w:val="20"/>
        </w:rPr>
        <w:t xml:space="preserve">SS7 </w:t>
      </w:r>
      <w:r w:rsidRPr="000C0E35">
        <w:rPr>
          <w:rFonts w:ascii="Arial" w:hAnsi="Arial" w:cs="Arial"/>
          <w:sz w:val="20"/>
          <w:szCs w:val="20"/>
        </w:rPr>
        <w:t>is an interim report</w:t>
      </w:r>
      <w:r>
        <w:rPr>
          <w:rFonts w:ascii="Arial" w:hAnsi="Arial" w:cs="Arial"/>
          <w:sz w:val="20"/>
          <w:szCs w:val="20"/>
        </w:rPr>
        <w:t xml:space="preserve">. It is </w:t>
      </w:r>
      <w:r w:rsidRPr="000C0E35">
        <w:rPr>
          <w:rFonts w:ascii="Arial" w:hAnsi="Arial" w:cs="Arial"/>
          <w:sz w:val="20"/>
          <w:szCs w:val="20"/>
        </w:rPr>
        <w:t xml:space="preserve">consistent with the methodology </w:t>
      </w:r>
      <w:r>
        <w:rPr>
          <w:rFonts w:ascii="Arial" w:hAnsi="Arial" w:cs="Arial"/>
          <w:sz w:val="20"/>
          <w:szCs w:val="20"/>
        </w:rPr>
        <w:t xml:space="preserve">used </w:t>
      </w:r>
      <w:r w:rsidRPr="000C0E35">
        <w:rPr>
          <w:rFonts w:ascii="Arial" w:hAnsi="Arial" w:cs="Arial"/>
          <w:sz w:val="20"/>
          <w:szCs w:val="20"/>
        </w:rPr>
        <w:t>in previous year</w:t>
      </w:r>
      <w:r>
        <w:rPr>
          <w:rFonts w:ascii="Arial" w:hAnsi="Arial" w:cs="Arial"/>
          <w:sz w:val="20"/>
          <w:szCs w:val="20"/>
        </w:rPr>
        <w:t xml:space="preserve">s, </w:t>
      </w:r>
      <w:r w:rsidRPr="000C0E35">
        <w:rPr>
          <w:rFonts w:ascii="Arial" w:hAnsi="Arial" w:cs="Arial"/>
          <w:sz w:val="20"/>
          <w:szCs w:val="20"/>
        </w:rPr>
        <w:t>pending advice f</w:t>
      </w:r>
      <w:r>
        <w:rPr>
          <w:rFonts w:ascii="Arial" w:hAnsi="Arial" w:cs="Arial"/>
          <w:sz w:val="20"/>
          <w:szCs w:val="20"/>
        </w:rPr>
        <w:t xml:space="preserve">rom the </w:t>
      </w:r>
      <w:r w:rsidRPr="000C0E35">
        <w:rPr>
          <w:rFonts w:ascii="Arial" w:hAnsi="Arial" w:cs="Arial"/>
          <w:sz w:val="20"/>
          <w:szCs w:val="20"/>
        </w:rPr>
        <w:t>OLG on an auditable methodology and completion of community engagement.  </w:t>
      </w:r>
    </w:p>
    <w:p w14:paraId="0672881F" w14:textId="77777777" w:rsidR="000C0E35" w:rsidRDefault="000C0E35" w:rsidP="00BC0005">
      <w:pPr>
        <w:spacing w:after="60" w:line="276" w:lineRule="auto"/>
        <w:jc w:val="both"/>
        <w:rPr>
          <w:rFonts w:ascii="Arial" w:hAnsi="Arial" w:cs="Arial"/>
          <w:sz w:val="20"/>
          <w:szCs w:val="20"/>
        </w:rPr>
      </w:pPr>
    </w:p>
    <w:p w14:paraId="030DA13B" w14:textId="2B4DE831" w:rsidR="000C0E35" w:rsidRDefault="000C0E35" w:rsidP="00BC0005">
      <w:pPr>
        <w:spacing w:after="60" w:line="276" w:lineRule="auto"/>
        <w:jc w:val="both"/>
        <w:rPr>
          <w:rFonts w:ascii="Arial" w:hAnsi="Arial" w:cs="Arial"/>
          <w:sz w:val="20"/>
          <w:szCs w:val="20"/>
        </w:rPr>
      </w:pPr>
      <w:r>
        <w:rPr>
          <w:rFonts w:ascii="Arial" w:hAnsi="Arial" w:cs="Arial"/>
          <w:sz w:val="20"/>
          <w:szCs w:val="20"/>
        </w:rPr>
        <w:t xml:space="preserve">It is noted </w:t>
      </w:r>
      <w:r w:rsidRPr="000C0E35">
        <w:rPr>
          <w:rFonts w:ascii="Arial" w:hAnsi="Arial" w:cs="Arial"/>
          <w:sz w:val="20"/>
          <w:szCs w:val="20"/>
        </w:rPr>
        <w:t xml:space="preserve">that the definition of </w:t>
      </w:r>
      <w:r>
        <w:rPr>
          <w:rFonts w:ascii="Arial" w:hAnsi="Arial" w:cs="Arial"/>
          <w:sz w:val="20"/>
          <w:szCs w:val="20"/>
        </w:rPr>
        <w:t>‘</w:t>
      </w:r>
      <w:r w:rsidRPr="000C0E35">
        <w:rPr>
          <w:rFonts w:ascii="Arial" w:hAnsi="Arial" w:cs="Arial"/>
          <w:sz w:val="20"/>
          <w:szCs w:val="20"/>
        </w:rPr>
        <w:t>satisfactory</w:t>
      </w:r>
      <w:r>
        <w:rPr>
          <w:rFonts w:ascii="Arial" w:hAnsi="Arial" w:cs="Arial"/>
          <w:sz w:val="20"/>
          <w:szCs w:val="20"/>
        </w:rPr>
        <w:t xml:space="preserve">’ with the SS7 is </w:t>
      </w:r>
      <w:r w:rsidRPr="000C0E35">
        <w:rPr>
          <w:rFonts w:ascii="Arial" w:hAnsi="Arial" w:cs="Arial"/>
          <w:sz w:val="20"/>
          <w:szCs w:val="20"/>
        </w:rPr>
        <w:t>ambiguous</w:t>
      </w:r>
      <w:r>
        <w:rPr>
          <w:rFonts w:ascii="Arial" w:hAnsi="Arial" w:cs="Arial"/>
          <w:sz w:val="20"/>
          <w:szCs w:val="20"/>
        </w:rPr>
        <w:t xml:space="preserve">. Therefore, based on the view of the community expressed during the </w:t>
      </w:r>
      <w:r w:rsidRPr="00BF7C48">
        <w:rPr>
          <w:rFonts w:ascii="Arial" w:hAnsi="Arial" w:cs="Arial"/>
          <w:i/>
          <w:sz w:val="20"/>
          <w:szCs w:val="20"/>
        </w:rPr>
        <w:t>Resourcing our Future</w:t>
      </w:r>
      <w:r>
        <w:rPr>
          <w:rFonts w:ascii="Arial" w:hAnsi="Arial" w:cs="Arial"/>
          <w:sz w:val="20"/>
          <w:szCs w:val="20"/>
        </w:rPr>
        <w:t xml:space="preserve"> </w:t>
      </w:r>
      <w:r w:rsidRPr="000C0E35">
        <w:rPr>
          <w:rFonts w:ascii="Arial" w:hAnsi="Arial" w:cs="Arial"/>
          <w:sz w:val="20"/>
          <w:szCs w:val="20"/>
        </w:rPr>
        <w:t>engagement</w:t>
      </w:r>
      <w:r w:rsidR="00BF7C48">
        <w:rPr>
          <w:rFonts w:ascii="Arial" w:hAnsi="Arial" w:cs="Arial"/>
          <w:sz w:val="20"/>
          <w:szCs w:val="20"/>
        </w:rPr>
        <w:t xml:space="preserve"> in 2014</w:t>
      </w:r>
      <w:r>
        <w:rPr>
          <w:rFonts w:ascii="Arial" w:hAnsi="Arial" w:cs="Arial"/>
          <w:sz w:val="20"/>
          <w:szCs w:val="20"/>
        </w:rPr>
        <w:t xml:space="preserve">, the Council updated </w:t>
      </w:r>
      <w:r w:rsidRPr="000C0E35">
        <w:rPr>
          <w:rFonts w:ascii="Arial" w:hAnsi="Arial" w:cs="Arial"/>
          <w:sz w:val="20"/>
          <w:szCs w:val="20"/>
        </w:rPr>
        <w:t xml:space="preserve">the </w:t>
      </w:r>
      <w:r>
        <w:rPr>
          <w:rFonts w:ascii="Arial" w:hAnsi="Arial" w:cs="Arial"/>
          <w:sz w:val="20"/>
          <w:szCs w:val="20"/>
        </w:rPr>
        <w:t>Bring to S</w:t>
      </w:r>
      <w:r w:rsidRPr="000C0E35">
        <w:rPr>
          <w:rFonts w:ascii="Arial" w:hAnsi="Arial" w:cs="Arial"/>
          <w:sz w:val="20"/>
          <w:szCs w:val="20"/>
        </w:rPr>
        <w:t xml:space="preserve">atisfactory (BTS) estimate. </w:t>
      </w:r>
    </w:p>
    <w:p w14:paraId="2EFFD188" w14:textId="77777777" w:rsidR="00BF7C48" w:rsidRPr="000C0E35" w:rsidRDefault="00BF7C48" w:rsidP="00BC0005">
      <w:pPr>
        <w:spacing w:after="60" w:line="276" w:lineRule="auto"/>
        <w:jc w:val="both"/>
        <w:rPr>
          <w:rFonts w:ascii="Arial" w:hAnsi="Arial" w:cs="Arial"/>
          <w:sz w:val="20"/>
          <w:szCs w:val="20"/>
        </w:rPr>
      </w:pPr>
    </w:p>
    <w:p w14:paraId="3CEF0E81" w14:textId="596095A7" w:rsidR="000C0E35" w:rsidRPr="000C0E35" w:rsidRDefault="00BF7C48" w:rsidP="00BC0005">
      <w:pPr>
        <w:spacing w:after="60" w:line="276" w:lineRule="auto"/>
        <w:jc w:val="both"/>
        <w:rPr>
          <w:rFonts w:ascii="Arial" w:hAnsi="Arial" w:cs="Arial"/>
          <w:sz w:val="20"/>
          <w:szCs w:val="20"/>
        </w:rPr>
      </w:pPr>
      <w:r>
        <w:rPr>
          <w:rFonts w:ascii="Arial" w:hAnsi="Arial" w:cs="Arial"/>
          <w:sz w:val="20"/>
          <w:szCs w:val="20"/>
        </w:rPr>
        <w:t>The OLG Code U</w:t>
      </w:r>
      <w:r w:rsidR="000C0E35" w:rsidRPr="000C0E35">
        <w:rPr>
          <w:rFonts w:ascii="Arial" w:hAnsi="Arial" w:cs="Arial"/>
          <w:sz w:val="20"/>
          <w:szCs w:val="20"/>
        </w:rPr>
        <w:t>pdate 22 “strongly encourages” councils to use the 2013 IPR guide for condi</w:t>
      </w:r>
      <w:r>
        <w:rPr>
          <w:rFonts w:ascii="Arial" w:hAnsi="Arial" w:cs="Arial"/>
          <w:sz w:val="20"/>
          <w:szCs w:val="20"/>
        </w:rPr>
        <w:t>tion.   The IPR guide and Code U</w:t>
      </w:r>
      <w:r w:rsidR="000C0E35" w:rsidRPr="000C0E35">
        <w:rPr>
          <w:rFonts w:ascii="Arial" w:hAnsi="Arial" w:cs="Arial"/>
          <w:sz w:val="20"/>
          <w:szCs w:val="20"/>
        </w:rPr>
        <w:t xml:space="preserve">pdate 22 recommend a </w:t>
      </w:r>
      <w:r w:rsidR="00832862">
        <w:rPr>
          <w:rFonts w:ascii="Arial" w:hAnsi="Arial" w:cs="Arial"/>
          <w:sz w:val="20"/>
          <w:szCs w:val="20"/>
        </w:rPr>
        <w:t>‘</w:t>
      </w:r>
      <w:r w:rsidR="000C0E35" w:rsidRPr="000C0E35">
        <w:rPr>
          <w:rFonts w:ascii="Arial" w:hAnsi="Arial" w:cs="Arial"/>
          <w:sz w:val="20"/>
          <w:szCs w:val="20"/>
        </w:rPr>
        <w:t>satisfactory</w:t>
      </w:r>
      <w:r w:rsidR="00832862">
        <w:rPr>
          <w:rFonts w:ascii="Arial" w:hAnsi="Arial" w:cs="Arial"/>
          <w:sz w:val="20"/>
          <w:szCs w:val="20"/>
        </w:rPr>
        <w:t>’</w:t>
      </w:r>
      <w:r w:rsidR="000C0E35" w:rsidRPr="000C0E35">
        <w:rPr>
          <w:rFonts w:ascii="Arial" w:hAnsi="Arial" w:cs="Arial"/>
          <w:sz w:val="20"/>
          <w:szCs w:val="20"/>
        </w:rPr>
        <w:t xml:space="preserve"> standard of condition 2, giving </w:t>
      </w:r>
      <w:r>
        <w:rPr>
          <w:rFonts w:ascii="Arial" w:hAnsi="Arial" w:cs="Arial"/>
          <w:sz w:val="20"/>
          <w:szCs w:val="20"/>
        </w:rPr>
        <w:t>the C</w:t>
      </w:r>
      <w:r w:rsidR="000C0E35" w:rsidRPr="000C0E35">
        <w:rPr>
          <w:rFonts w:ascii="Arial" w:hAnsi="Arial" w:cs="Arial"/>
          <w:sz w:val="20"/>
          <w:szCs w:val="20"/>
        </w:rPr>
        <w:t xml:space="preserve">ouncil </w:t>
      </w:r>
      <w:r>
        <w:rPr>
          <w:rFonts w:ascii="Arial" w:hAnsi="Arial" w:cs="Arial"/>
          <w:sz w:val="20"/>
          <w:szCs w:val="20"/>
        </w:rPr>
        <w:t xml:space="preserve">a </w:t>
      </w:r>
      <w:r w:rsidR="000C0E35" w:rsidRPr="000C0E35">
        <w:rPr>
          <w:rFonts w:ascii="Arial" w:hAnsi="Arial" w:cs="Arial"/>
          <w:sz w:val="20"/>
          <w:szCs w:val="20"/>
        </w:rPr>
        <w:t>BTS need of $672</w:t>
      </w:r>
      <w:r>
        <w:rPr>
          <w:rFonts w:ascii="Arial" w:hAnsi="Arial" w:cs="Arial"/>
          <w:sz w:val="20"/>
          <w:szCs w:val="20"/>
        </w:rPr>
        <w:t xml:space="preserve"> million</w:t>
      </w:r>
      <w:r w:rsidR="000C0E35" w:rsidRPr="000C0E35">
        <w:rPr>
          <w:rFonts w:ascii="Arial" w:hAnsi="Arial" w:cs="Arial"/>
          <w:sz w:val="20"/>
          <w:szCs w:val="20"/>
        </w:rPr>
        <w:t>.  This would be i</w:t>
      </w:r>
      <w:r>
        <w:rPr>
          <w:rFonts w:ascii="Arial" w:hAnsi="Arial" w:cs="Arial"/>
          <w:sz w:val="20"/>
          <w:szCs w:val="20"/>
        </w:rPr>
        <w:t xml:space="preserve">nconsistent with previous </w:t>
      </w:r>
      <w:r w:rsidR="000C0E35" w:rsidRPr="000C0E35">
        <w:rPr>
          <w:rFonts w:ascii="Arial" w:hAnsi="Arial" w:cs="Arial"/>
          <w:sz w:val="20"/>
          <w:szCs w:val="20"/>
        </w:rPr>
        <w:t>reports and reporting a BTS of that magnitude</w:t>
      </w:r>
      <w:r>
        <w:rPr>
          <w:rFonts w:ascii="Arial" w:hAnsi="Arial" w:cs="Arial"/>
          <w:sz w:val="20"/>
          <w:szCs w:val="20"/>
        </w:rPr>
        <w:t xml:space="preserve">, </w:t>
      </w:r>
      <w:r w:rsidR="000C0E35" w:rsidRPr="000C0E35">
        <w:rPr>
          <w:rFonts w:ascii="Arial" w:hAnsi="Arial" w:cs="Arial"/>
          <w:sz w:val="20"/>
          <w:szCs w:val="20"/>
        </w:rPr>
        <w:t>just</w:t>
      </w:r>
      <w:r>
        <w:rPr>
          <w:rFonts w:ascii="Arial" w:hAnsi="Arial" w:cs="Arial"/>
          <w:sz w:val="20"/>
          <w:szCs w:val="20"/>
        </w:rPr>
        <w:t xml:space="preserve"> prior to the </w:t>
      </w:r>
      <w:r w:rsidR="000C0E35" w:rsidRPr="000C0E35">
        <w:rPr>
          <w:rFonts w:ascii="Arial" w:hAnsi="Arial" w:cs="Arial"/>
          <w:sz w:val="20"/>
          <w:szCs w:val="20"/>
        </w:rPr>
        <w:t>final phase of community engagement</w:t>
      </w:r>
      <w:r>
        <w:rPr>
          <w:rFonts w:ascii="Arial" w:hAnsi="Arial" w:cs="Arial"/>
          <w:sz w:val="20"/>
          <w:szCs w:val="20"/>
        </w:rPr>
        <w:t>,</w:t>
      </w:r>
      <w:r w:rsidR="000C0E35" w:rsidRPr="000C0E35">
        <w:rPr>
          <w:rFonts w:ascii="Arial" w:hAnsi="Arial" w:cs="Arial"/>
          <w:sz w:val="20"/>
          <w:szCs w:val="20"/>
        </w:rPr>
        <w:t xml:space="preserve"> had the potential to be alarmist and influence community engagement.   To</w:t>
      </w:r>
      <w:r>
        <w:rPr>
          <w:rFonts w:ascii="Arial" w:hAnsi="Arial" w:cs="Arial"/>
          <w:sz w:val="20"/>
          <w:szCs w:val="20"/>
        </w:rPr>
        <w:t xml:space="preserve"> ensure consistent and evidence-</w:t>
      </w:r>
      <w:r w:rsidR="000C0E35" w:rsidRPr="000C0E35">
        <w:rPr>
          <w:rFonts w:ascii="Arial" w:hAnsi="Arial" w:cs="Arial"/>
          <w:sz w:val="20"/>
          <w:szCs w:val="20"/>
        </w:rPr>
        <w:t>b</w:t>
      </w:r>
      <w:r>
        <w:rPr>
          <w:rFonts w:ascii="Arial" w:hAnsi="Arial" w:cs="Arial"/>
          <w:sz w:val="20"/>
          <w:szCs w:val="20"/>
        </w:rPr>
        <w:t>ased community reporting, the A</w:t>
      </w:r>
      <w:r w:rsidR="000C0E35" w:rsidRPr="000C0E35">
        <w:rPr>
          <w:rFonts w:ascii="Arial" w:hAnsi="Arial" w:cs="Arial"/>
          <w:sz w:val="20"/>
          <w:szCs w:val="20"/>
        </w:rPr>
        <w:t>nnua</w:t>
      </w:r>
      <w:r>
        <w:rPr>
          <w:rFonts w:ascii="Arial" w:hAnsi="Arial" w:cs="Arial"/>
          <w:sz w:val="20"/>
          <w:szCs w:val="20"/>
        </w:rPr>
        <w:t>l Financial Statements and the Resourcing S</w:t>
      </w:r>
      <w:r w:rsidR="000C0E35" w:rsidRPr="000C0E35">
        <w:rPr>
          <w:rFonts w:ascii="Arial" w:hAnsi="Arial" w:cs="Arial"/>
          <w:sz w:val="20"/>
          <w:szCs w:val="20"/>
        </w:rPr>
        <w:t>trategy reported</w:t>
      </w:r>
      <w:r>
        <w:rPr>
          <w:rFonts w:ascii="Arial" w:hAnsi="Arial" w:cs="Arial"/>
          <w:sz w:val="20"/>
          <w:szCs w:val="20"/>
        </w:rPr>
        <w:t xml:space="preserve"> a </w:t>
      </w:r>
      <w:r w:rsidR="00832862">
        <w:rPr>
          <w:rFonts w:ascii="Arial" w:hAnsi="Arial" w:cs="Arial"/>
          <w:sz w:val="20"/>
          <w:szCs w:val="20"/>
        </w:rPr>
        <w:t xml:space="preserve">consistent message, in accordance with past reports, </w:t>
      </w:r>
      <w:r w:rsidR="000C0E35" w:rsidRPr="000C0E35">
        <w:rPr>
          <w:rFonts w:ascii="Arial" w:hAnsi="Arial" w:cs="Arial"/>
          <w:sz w:val="20"/>
          <w:szCs w:val="20"/>
        </w:rPr>
        <w:t xml:space="preserve">of assets in </w:t>
      </w:r>
      <w:r>
        <w:rPr>
          <w:rFonts w:ascii="Arial" w:hAnsi="Arial" w:cs="Arial"/>
          <w:sz w:val="20"/>
          <w:szCs w:val="20"/>
        </w:rPr>
        <w:t>‘</w:t>
      </w:r>
      <w:r w:rsidR="000C0E35" w:rsidRPr="000C0E35">
        <w:rPr>
          <w:rFonts w:ascii="Arial" w:hAnsi="Arial" w:cs="Arial"/>
          <w:sz w:val="20"/>
          <w:szCs w:val="20"/>
        </w:rPr>
        <w:t>poor</w:t>
      </w:r>
      <w:r>
        <w:rPr>
          <w:rFonts w:ascii="Arial" w:hAnsi="Arial" w:cs="Arial"/>
          <w:sz w:val="20"/>
          <w:szCs w:val="20"/>
        </w:rPr>
        <w:t>’</w:t>
      </w:r>
      <w:r w:rsidR="000C0E35" w:rsidRPr="000C0E35">
        <w:rPr>
          <w:rFonts w:ascii="Arial" w:hAnsi="Arial" w:cs="Arial"/>
          <w:sz w:val="20"/>
          <w:szCs w:val="20"/>
        </w:rPr>
        <w:t xml:space="preserve"> and </w:t>
      </w:r>
      <w:r>
        <w:rPr>
          <w:rFonts w:ascii="Arial" w:hAnsi="Arial" w:cs="Arial"/>
          <w:sz w:val="20"/>
          <w:szCs w:val="20"/>
        </w:rPr>
        <w:t>‘</w:t>
      </w:r>
      <w:r w:rsidR="000C0E35" w:rsidRPr="000C0E35">
        <w:rPr>
          <w:rFonts w:ascii="Arial" w:hAnsi="Arial" w:cs="Arial"/>
          <w:sz w:val="20"/>
          <w:szCs w:val="20"/>
        </w:rPr>
        <w:t>very poor condition</w:t>
      </w:r>
      <w:r>
        <w:rPr>
          <w:rFonts w:ascii="Arial" w:hAnsi="Arial" w:cs="Arial"/>
          <w:sz w:val="20"/>
          <w:szCs w:val="20"/>
        </w:rPr>
        <w:t>’</w:t>
      </w:r>
      <w:r w:rsidR="000C0E35" w:rsidRPr="000C0E35">
        <w:rPr>
          <w:rFonts w:ascii="Arial" w:hAnsi="Arial" w:cs="Arial"/>
          <w:sz w:val="20"/>
          <w:szCs w:val="20"/>
        </w:rPr>
        <w:t xml:space="preserve">. </w:t>
      </w:r>
    </w:p>
    <w:p w14:paraId="25060AF2" w14:textId="77777777" w:rsidR="00BF7C48" w:rsidRDefault="00BF7C48" w:rsidP="00BC0005">
      <w:pPr>
        <w:spacing w:after="60" w:line="276" w:lineRule="auto"/>
        <w:jc w:val="both"/>
        <w:rPr>
          <w:rFonts w:ascii="Arial" w:hAnsi="Arial" w:cs="Arial"/>
          <w:sz w:val="20"/>
          <w:szCs w:val="20"/>
        </w:rPr>
      </w:pPr>
    </w:p>
    <w:p w14:paraId="3A0C3BF0" w14:textId="17AB0EBD" w:rsidR="000C0E35" w:rsidRPr="000C0E35" w:rsidRDefault="000C0E35" w:rsidP="00BC0005">
      <w:pPr>
        <w:spacing w:after="60" w:line="276" w:lineRule="auto"/>
        <w:jc w:val="both"/>
        <w:rPr>
          <w:rFonts w:ascii="Arial" w:hAnsi="Arial" w:cs="Arial"/>
          <w:sz w:val="20"/>
          <w:szCs w:val="20"/>
        </w:rPr>
      </w:pPr>
      <w:r w:rsidRPr="000C0E35">
        <w:rPr>
          <w:rFonts w:ascii="Arial" w:hAnsi="Arial" w:cs="Arial"/>
          <w:sz w:val="20"/>
          <w:szCs w:val="20"/>
        </w:rPr>
        <w:t xml:space="preserve">The ambiguity in Code </w:t>
      </w:r>
      <w:r w:rsidR="00832862">
        <w:rPr>
          <w:rFonts w:ascii="Arial" w:hAnsi="Arial" w:cs="Arial"/>
          <w:sz w:val="20"/>
          <w:szCs w:val="20"/>
        </w:rPr>
        <w:t>U</w:t>
      </w:r>
      <w:r w:rsidRPr="000C0E35">
        <w:rPr>
          <w:rFonts w:ascii="Arial" w:hAnsi="Arial" w:cs="Arial"/>
          <w:sz w:val="20"/>
          <w:szCs w:val="20"/>
        </w:rPr>
        <w:t xml:space="preserve">pdate 22 was that BTS was to bring assets to </w:t>
      </w:r>
      <w:r w:rsidR="00832862">
        <w:rPr>
          <w:rFonts w:ascii="Arial" w:hAnsi="Arial" w:cs="Arial"/>
          <w:sz w:val="20"/>
          <w:szCs w:val="20"/>
        </w:rPr>
        <w:t>‘</w:t>
      </w:r>
      <w:r w:rsidRPr="000C0E35">
        <w:rPr>
          <w:rFonts w:ascii="Arial" w:hAnsi="Arial" w:cs="Arial"/>
          <w:sz w:val="20"/>
          <w:szCs w:val="20"/>
        </w:rPr>
        <w:t>condition 2</w:t>
      </w:r>
      <w:r w:rsidR="00832862">
        <w:rPr>
          <w:rFonts w:ascii="Arial" w:hAnsi="Arial" w:cs="Arial"/>
          <w:sz w:val="20"/>
          <w:szCs w:val="20"/>
        </w:rPr>
        <w:t>’</w:t>
      </w:r>
      <w:r w:rsidRPr="000C0E35">
        <w:rPr>
          <w:rFonts w:ascii="Arial" w:hAnsi="Arial" w:cs="Arial"/>
          <w:sz w:val="20"/>
          <w:szCs w:val="20"/>
        </w:rPr>
        <w:t xml:space="preserve"> but also that it could be determined by the community and that “</w:t>
      </w:r>
      <w:r w:rsidRPr="005B5A07">
        <w:rPr>
          <w:rFonts w:ascii="Arial" w:hAnsi="Arial" w:cs="Arial"/>
          <w:i/>
          <w:sz w:val="20"/>
          <w:szCs w:val="20"/>
        </w:rPr>
        <w:t>unless Council has undertaken consultation with their community and has agreed to a level of service from councils assets the BTS should be measured against the second condition rating of Good as stated in the Integrated Planning and Reporting Manual for local government in NSW</w:t>
      </w:r>
      <w:r w:rsidRPr="000C0E35">
        <w:rPr>
          <w:rFonts w:ascii="Arial" w:hAnsi="Arial" w:cs="Arial"/>
          <w:sz w:val="20"/>
          <w:szCs w:val="20"/>
        </w:rPr>
        <w:t>.”</w:t>
      </w:r>
    </w:p>
    <w:p w14:paraId="610D88E1" w14:textId="77777777" w:rsidR="00832862" w:rsidRDefault="00832862" w:rsidP="00BC0005">
      <w:pPr>
        <w:spacing w:after="60" w:line="276" w:lineRule="auto"/>
        <w:jc w:val="both"/>
        <w:rPr>
          <w:rFonts w:ascii="Arial" w:hAnsi="Arial" w:cs="Arial"/>
          <w:sz w:val="20"/>
          <w:szCs w:val="20"/>
        </w:rPr>
      </w:pPr>
    </w:p>
    <w:p w14:paraId="02644533" w14:textId="22777FB8" w:rsidR="000C0E35" w:rsidRPr="000C0E35" w:rsidRDefault="005B5A07" w:rsidP="00BC0005">
      <w:pPr>
        <w:spacing w:after="60" w:line="276" w:lineRule="auto"/>
        <w:jc w:val="both"/>
        <w:rPr>
          <w:rFonts w:ascii="Arial" w:hAnsi="Arial" w:cs="Arial"/>
          <w:sz w:val="20"/>
          <w:szCs w:val="20"/>
        </w:rPr>
      </w:pPr>
      <w:r>
        <w:rPr>
          <w:rFonts w:ascii="Arial" w:hAnsi="Arial" w:cs="Arial"/>
          <w:sz w:val="20"/>
          <w:szCs w:val="20"/>
        </w:rPr>
        <w:t xml:space="preserve">The </w:t>
      </w:r>
      <w:r w:rsidR="000C0E35" w:rsidRPr="000C0E35">
        <w:rPr>
          <w:rFonts w:ascii="Arial" w:hAnsi="Arial" w:cs="Arial"/>
          <w:sz w:val="20"/>
          <w:szCs w:val="20"/>
        </w:rPr>
        <w:t>Council has consistently reported a deteriorating Buildi</w:t>
      </w:r>
      <w:r>
        <w:rPr>
          <w:rFonts w:ascii="Arial" w:hAnsi="Arial" w:cs="Arial"/>
          <w:sz w:val="20"/>
          <w:szCs w:val="20"/>
        </w:rPr>
        <w:t>ng and Infrastructure Renewals R</w:t>
      </w:r>
      <w:r w:rsidR="000C0E35" w:rsidRPr="000C0E35">
        <w:rPr>
          <w:rFonts w:ascii="Arial" w:hAnsi="Arial" w:cs="Arial"/>
          <w:sz w:val="20"/>
          <w:szCs w:val="20"/>
        </w:rPr>
        <w:t>atio with the SS7 for June</w:t>
      </w:r>
      <w:r>
        <w:rPr>
          <w:rFonts w:ascii="Arial" w:hAnsi="Arial" w:cs="Arial"/>
          <w:sz w:val="20"/>
          <w:szCs w:val="20"/>
        </w:rPr>
        <w:t xml:space="preserve"> 2014</w:t>
      </w:r>
      <w:r w:rsidR="000C0E35" w:rsidRPr="000C0E35">
        <w:rPr>
          <w:rFonts w:ascii="Arial" w:hAnsi="Arial" w:cs="Arial"/>
          <w:sz w:val="20"/>
          <w:szCs w:val="20"/>
        </w:rPr>
        <w:t xml:space="preserve"> reporting an unsustainable ratio of 40%, well below the sustainable target of 100%.  </w:t>
      </w:r>
      <w:r>
        <w:rPr>
          <w:rFonts w:ascii="Arial" w:hAnsi="Arial" w:cs="Arial"/>
          <w:sz w:val="20"/>
          <w:szCs w:val="20"/>
        </w:rPr>
        <w:t>The Resourcing S</w:t>
      </w:r>
      <w:r w:rsidR="000C0E35" w:rsidRPr="000C0E35">
        <w:rPr>
          <w:rFonts w:ascii="Arial" w:hAnsi="Arial" w:cs="Arial"/>
          <w:sz w:val="20"/>
          <w:szCs w:val="20"/>
        </w:rPr>
        <w:t>trategy also reported 2</w:t>
      </w:r>
      <w:r>
        <w:rPr>
          <w:rFonts w:ascii="Arial" w:hAnsi="Arial" w:cs="Arial"/>
          <w:sz w:val="20"/>
          <w:szCs w:val="20"/>
        </w:rPr>
        <w:t>1</w:t>
      </w:r>
      <w:r w:rsidR="000C0E35" w:rsidRPr="000C0E35">
        <w:rPr>
          <w:rFonts w:ascii="Arial" w:hAnsi="Arial" w:cs="Arial"/>
          <w:sz w:val="20"/>
          <w:szCs w:val="20"/>
        </w:rPr>
        <w:t xml:space="preserve">% of assets were in poor (IPR </w:t>
      </w:r>
      <w:r>
        <w:rPr>
          <w:rFonts w:ascii="Arial" w:hAnsi="Arial" w:cs="Arial"/>
          <w:sz w:val="20"/>
          <w:szCs w:val="20"/>
        </w:rPr>
        <w:t>Guide - condition r</w:t>
      </w:r>
      <w:r w:rsidR="000C0E35" w:rsidRPr="000C0E35">
        <w:rPr>
          <w:rFonts w:ascii="Arial" w:hAnsi="Arial" w:cs="Arial"/>
          <w:sz w:val="20"/>
          <w:szCs w:val="20"/>
        </w:rPr>
        <w:t xml:space="preserve">ating 4) or very poor (IPR </w:t>
      </w:r>
      <w:r>
        <w:rPr>
          <w:rFonts w:ascii="Arial" w:hAnsi="Arial" w:cs="Arial"/>
          <w:sz w:val="20"/>
          <w:szCs w:val="20"/>
        </w:rPr>
        <w:t>Guide - c</w:t>
      </w:r>
      <w:r w:rsidR="000C0E35" w:rsidRPr="000C0E35">
        <w:rPr>
          <w:rFonts w:ascii="Arial" w:hAnsi="Arial" w:cs="Arial"/>
          <w:sz w:val="20"/>
          <w:szCs w:val="20"/>
        </w:rPr>
        <w:t>ondition rating 5) condition.</w:t>
      </w:r>
    </w:p>
    <w:p w14:paraId="5D6B838B" w14:textId="77777777" w:rsidR="005B5A07" w:rsidRDefault="005B5A07" w:rsidP="00BC0005">
      <w:pPr>
        <w:spacing w:after="60" w:line="276" w:lineRule="auto"/>
        <w:jc w:val="both"/>
        <w:rPr>
          <w:rFonts w:ascii="Arial" w:hAnsi="Arial" w:cs="Arial"/>
          <w:sz w:val="20"/>
          <w:szCs w:val="20"/>
        </w:rPr>
      </w:pPr>
    </w:p>
    <w:p w14:paraId="4D519122" w14:textId="77777777" w:rsidR="00385677" w:rsidRDefault="000C0E35" w:rsidP="00BC0005">
      <w:pPr>
        <w:spacing w:after="60" w:line="276" w:lineRule="auto"/>
        <w:jc w:val="both"/>
        <w:rPr>
          <w:rFonts w:ascii="Arial" w:hAnsi="Arial" w:cs="Arial"/>
          <w:sz w:val="20"/>
          <w:szCs w:val="20"/>
        </w:rPr>
      </w:pPr>
      <w:r w:rsidRPr="000C0E35">
        <w:rPr>
          <w:rFonts w:ascii="Arial" w:hAnsi="Arial" w:cs="Arial"/>
          <w:sz w:val="20"/>
          <w:szCs w:val="20"/>
        </w:rPr>
        <w:t xml:space="preserve">The community consultation has now been concluded with a majority wanting to pay more to keep the current services and arrest the decline in infrastructure condition.  In alignment with this </w:t>
      </w:r>
      <w:r w:rsidR="005B5A07">
        <w:rPr>
          <w:rFonts w:ascii="Arial" w:hAnsi="Arial" w:cs="Arial"/>
          <w:sz w:val="20"/>
          <w:szCs w:val="20"/>
        </w:rPr>
        <w:t>comm</w:t>
      </w:r>
      <w:r w:rsidRPr="000C0E35">
        <w:rPr>
          <w:rFonts w:ascii="Arial" w:hAnsi="Arial" w:cs="Arial"/>
          <w:sz w:val="20"/>
          <w:szCs w:val="20"/>
        </w:rPr>
        <w:t>unity view</w:t>
      </w:r>
      <w:r w:rsidR="005B5A07">
        <w:rPr>
          <w:rFonts w:ascii="Arial" w:hAnsi="Arial" w:cs="Arial"/>
          <w:sz w:val="20"/>
          <w:szCs w:val="20"/>
        </w:rPr>
        <w:t>,</w:t>
      </w:r>
      <w:r w:rsidRPr="000C0E35">
        <w:rPr>
          <w:rFonts w:ascii="Arial" w:hAnsi="Arial" w:cs="Arial"/>
          <w:sz w:val="20"/>
          <w:szCs w:val="20"/>
        </w:rPr>
        <w:t xml:space="preserve"> the BTS is to bring assets to </w:t>
      </w:r>
      <w:r w:rsidR="005B5A07">
        <w:rPr>
          <w:rFonts w:ascii="Arial" w:hAnsi="Arial" w:cs="Arial"/>
          <w:sz w:val="20"/>
          <w:szCs w:val="20"/>
        </w:rPr>
        <w:t>‘</w:t>
      </w:r>
      <w:r w:rsidRPr="000C0E35">
        <w:rPr>
          <w:rFonts w:ascii="Arial" w:hAnsi="Arial" w:cs="Arial"/>
          <w:sz w:val="20"/>
          <w:szCs w:val="20"/>
        </w:rPr>
        <w:t>condition 3</w:t>
      </w:r>
      <w:r w:rsidR="005B5A07">
        <w:rPr>
          <w:rFonts w:ascii="Arial" w:hAnsi="Arial" w:cs="Arial"/>
          <w:sz w:val="20"/>
          <w:szCs w:val="20"/>
        </w:rPr>
        <w:t>’</w:t>
      </w:r>
      <w:r w:rsidRPr="000C0E35">
        <w:rPr>
          <w:rFonts w:ascii="Arial" w:hAnsi="Arial" w:cs="Arial"/>
          <w:sz w:val="20"/>
          <w:szCs w:val="20"/>
        </w:rPr>
        <w:t>, a lower standard tha</w:t>
      </w:r>
      <w:r w:rsidR="005B5A07">
        <w:rPr>
          <w:rFonts w:ascii="Arial" w:hAnsi="Arial" w:cs="Arial"/>
          <w:sz w:val="20"/>
          <w:szCs w:val="20"/>
        </w:rPr>
        <w:t>n</w:t>
      </w:r>
      <w:r w:rsidRPr="000C0E35">
        <w:rPr>
          <w:rFonts w:ascii="Arial" w:hAnsi="Arial" w:cs="Arial"/>
          <w:sz w:val="20"/>
          <w:szCs w:val="20"/>
        </w:rPr>
        <w:t xml:space="preserve"> suggested by </w:t>
      </w:r>
      <w:r w:rsidR="005B5A07">
        <w:rPr>
          <w:rFonts w:ascii="Arial" w:hAnsi="Arial" w:cs="Arial"/>
          <w:sz w:val="20"/>
          <w:szCs w:val="20"/>
        </w:rPr>
        <w:t xml:space="preserve">the </w:t>
      </w:r>
      <w:r w:rsidRPr="000C0E35">
        <w:rPr>
          <w:rFonts w:ascii="Arial" w:hAnsi="Arial" w:cs="Arial"/>
          <w:sz w:val="20"/>
          <w:szCs w:val="20"/>
        </w:rPr>
        <w:t xml:space="preserve">OLG, but one the community </w:t>
      </w:r>
      <w:r w:rsidR="005B5A07">
        <w:rPr>
          <w:rFonts w:ascii="Arial" w:hAnsi="Arial" w:cs="Arial"/>
          <w:sz w:val="20"/>
          <w:szCs w:val="20"/>
        </w:rPr>
        <w:t xml:space="preserve">has </w:t>
      </w:r>
      <w:r w:rsidRPr="000C0E35">
        <w:rPr>
          <w:rFonts w:ascii="Arial" w:hAnsi="Arial" w:cs="Arial"/>
          <w:sz w:val="20"/>
          <w:szCs w:val="20"/>
        </w:rPr>
        <w:t xml:space="preserve">found acceptable given </w:t>
      </w:r>
      <w:r w:rsidR="005B5A07">
        <w:rPr>
          <w:rFonts w:ascii="Arial" w:hAnsi="Arial" w:cs="Arial"/>
          <w:sz w:val="20"/>
          <w:szCs w:val="20"/>
        </w:rPr>
        <w:t>the rate increases proposed under the special variation</w:t>
      </w:r>
      <w:r w:rsidRPr="000C0E35">
        <w:rPr>
          <w:rFonts w:ascii="Arial" w:hAnsi="Arial" w:cs="Arial"/>
          <w:sz w:val="20"/>
          <w:szCs w:val="20"/>
        </w:rPr>
        <w:t>.  </w:t>
      </w:r>
    </w:p>
    <w:p w14:paraId="364C7018" w14:textId="77777777" w:rsidR="00385677" w:rsidRDefault="00385677" w:rsidP="00BC0005">
      <w:pPr>
        <w:spacing w:after="60" w:line="276" w:lineRule="auto"/>
        <w:jc w:val="both"/>
        <w:rPr>
          <w:rFonts w:ascii="Arial" w:hAnsi="Arial" w:cs="Arial"/>
          <w:sz w:val="20"/>
          <w:szCs w:val="20"/>
        </w:rPr>
      </w:pPr>
    </w:p>
    <w:p w14:paraId="50A6598A" w14:textId="4D399D18" w:rsidR="002C70E8" w:rsidRDefault="000C0E35" w:rsidP="00385677">
      <w:pPr>
        <w:spacing w:after="60" w:line="276" w:lineRule="auto"/>
        <w:rPr>
          <w:rFonts w:ascii="Arial" w:hAnsi="Arial" w:cs="Arial"/>
          <w:sz w:val="20"/>
          <w:szCs w:val="20"/>
        </w:rPr>
        <w:sectPr w:rsidR="002C70E8" w:rsidSect="00B56715">
          <w:headerReference w:type="even" r:id="rId70"/>
          <w:headerReference w:type="default" r:id="rId71"/>
          <w:footerReference w:type="even" r:id="rId72"/>
          <w:footerReference w:type="default" r:id="rId73"/>
          <w:pgSz w:w="11907" w:h="16840" w:code="9"/>
          <w:pgMar w:top="426" w:right="1701" w:bottom="1276" w:left="1701" w:header="1134" w:footer="284" w:gutter="0"/>
          <w:pgNumType w:start="1"/>
          <w:cols w:space="708"/>
          <w:docGrid w:linePitch="360"/>
        </w:sectPr>
      </w:pPr>
      <w:r w:rsidRPr="00385677">
        <w:rPr>
          <w:rFonts w:ascii="Arial" w:hAnsi="Arial" w:cs="Arial"/>
          <w:b/>
          <w:sz w:val="20"/>
          <w:szCs w:val="20"/>
        </w:rPr>
        <w:t xml:space="preserve">The BTS for this standard is shown </w:t>
      </w:r>
      <w:r w:rsidR="005B5A07" w:rsidRPr="00385677">
        <w:rPr>
          <w:rFonts w:ascii="Arial" w:hAnsi="Arial" w:cs="Arial"/>
          <w:b/>
          <w:sz w:val="20"/>
          <w:szCs w:val="20"/>
        </w:rPr>
        <w:t xml:space="preserve">in the following table, and </w:t>
      </w:r>
      <w:r w:rsidRPr="00385677">
        <w:rPr>
          <w:rFonts w:ascii="Arial" w:hAnsi="Arial" w:cs="Arial"/>
          <w:b/>
          <w:sz w:val="20"/>
          <w:szCs w:val="20"/>
        </w:rPr>
        <w:t>in</w:t>
      </w:r>
      <w:r w:rsidR="005B5A07" w:rsidRPr="00385677">
        <w:rPr>
          <w:rFonts w:ascii="Arial" w:hAnsi="Arial" w:cs="Arial"/>
          <w:b/>
          <w:sz w:val="20"/>
          <w:szCs w:val="20"/>
        </w:rPr>
        <w:t xml:space="preserve">dicates </w:t>
      </w:r>
      <w:r w:rsidRPr="00385677">
        <w:rPr>
          <w:rFonts w:ascii="Arial" w:hAnsi="Arial" w:cs="Arial"/>
          <w:b/>
          <w:sz w:val="20"/>
          <w:szCs w:val="20"/>
        </w:rPr>
        <w:t xml:space="preserve">a BTS of more than $183 </w:t>
      </w:r>
      <w:r w:rsidR="005B5A07" w:rsidRPr="00385677">
        <w:rPr>
          <w:rFonts w:ascii="Arial" w:hAnsi="Arial" w:cs="Arial"/>
          <w:b/>
          <w:sz w:val="20"/>
          <w:szCs w:val="20"/>
        </w:rPr>
        <w:t>m</w:t>
      </w:r>
      <w:r w:rsidRPr="00385677">
        <w:rPr>
          <w:rFonts w:ascii="Arial" w:hAnsi="Arial" w:cs="Arial"/>
          <w:b/>
          <w:sz w:val="20"/>
          <w:szCs w:val="20"/>
        </w:rPr>
        <w:t>illion at 30 June 2014</w:t>
      </w:r>
      <w:r w:rsidR="005B5A07" w:rsidRPr="00385677">
        <w:rPr>
          <w:rFonts w:ascii="Arial" w:hAnsi="Arial" w:cs="Arial"/>
          <w:b/>
          <w:sz w:val="20"/>
          <w:szCs w:val="20"/>
        </w:rPr>
        <w:t>,</w:t>
      </w:r>
      <w:r w:rsidRPr="00385677">
        <w:rPr>
          <w:rFonts w:ascii="Arial" w:hAnsi="Arial" w:cs="Arial"/>
          <w:b/>
          <w:sz w:val="20"/>
          <w:szCs w:val="20"/>
        </w:rPr>
        <w:t xml:space="preserve"> with an Infrastructure Backlog Ratio of 0.19.</w:t>
      </w:r>
      <w:r w:rsidRPr="000C0E35">
        <w:rPr>
          <w:rFonts w:ascii="Arial" w:hAnsi="Arial" w:cs="Arial"/>
          <w:sz w:val="20"/>
          <w:szCs w:val="20"/>
        </w:rPr>
        <w:t xml:space="preserve">  This is consistent with </w:t>
      </w:r>
      <w:r w:rsidR="005B5A07">
        <w:rPr>
          <w:rFonts w:ascii="Arial" w:hAnsi="Arial" w:cs="Arial"/>
          <w:sz w:val="20"/>
          <w:szCs w:val="20"/>
        </w:rPr>
        <w:t>the R</w:t>
      </w:r>
      <w:r w:rsidRPr="000C0E35">
        <w:rPr>
          <w:rFonts w:ascii="Arial" w:hAnsi="Arial" w:cs="Arial"/>
          <w:sz w:val="20"/>
          <w:szCs w:val="20"/>
        </w:rPr>
        <w:t xml:space="preserve">esourcing </w:t>
      </w:r>
      <w:r w:rsidR="005B5A07">
        <w:rPr>
          <w:rFonts w:ascii="Arial" w:hAnsi="Arial" w:cs="Arial"/>
          <w:sz w:val="20"/>
          <w:szCs w:val="20"/>
        </w:rPr>
        <w:t>S</w:t>
      </w:r>
      <w:r w:rsidRPr="000C0E35">
        <w:rPr>
          <w:rFonts w:ascii="Arial" w:hAnsi="Arial" w:cs="Arial"/>
          <w:sz w:val="20"/>
          <w:szCs w:val="20"/>
        </w:rPr>
        <w:t>trategy and community engagement.</w:t>
      </w:r>
    </w:p>
    <w:p w14:paraId="6A621E69" w14:textId="10A39F61" w:rsidR="001C6501" w:rsidRPr="0005187B" w:rsidRDefault="00F55699" w:rsidP="006B1840">
      <w:pPr>
        <w:spacing w:line="276" w:lineRule="auto"/>
        <w:ind w:left="-142" w:firstLine="142"/>
        <w:jc w:val="both"/>
        <w:rPr>
          <w:rFonts w:ascii="Arial" w:hAnsi="Arial" w:cs="Arial"/>
          <w:b/>
          <w:sz w:val="20"/>
          <w:szCs w:val="20"/>
        </w:rPr>
      </w:pPr>
      <w:r>
        <w:rPr>
          <w:rFonts w:ascii="Arial" w:hAnsi="Arial" w:cs="Arial"/>
          <w:b/>
          <w:color w:val="000000" w:themeColor="text1"/>
          <w:sz w:val="20"/>
          <w:szCs w:val="20"/>
        </w:rPr>
        <w:t xml:space="preserve"> Table</w:t>
      </w:r>
      <w:r w:rsidR="00FA0E8D" w:rsidRPr="00FA0E8D">
        <w:rPr>
          <w:rFonts w:ascii="Arial" w:hAnsi="Arial" w:cs="Arial"/>
          <w:b/>
          <w:color w:val="000000" w:themeColor="text1"/>
          <w:sz w:val="20"/>
          <w:szCs w:val="20"/>
        </w:rPr>
        <w:t xml:space="preserve"> 3.</w:t>
      </w:r>
      <w:r>
        <w:rPr>
          <w:rFonts w:ascii="Arial" w:hAnsi="Arial" w:cs="Arial"/>
          <w:b/>
          <w:color w:val="000000" w:themeColor="text1"/>
          <w:sz w:val="20"/>
          <w:szCs w:val="20"/>
        </w:rPr>
        <w:t>4</w:t>
      </w:r>
      <w:r w:rsidR="008035D0" w:rsidRPr="00FA0E8D">
        <w:rPr>
          <w:rFonts w:ascii="Arial" w:hAnsi="Arial" w:cs="Arial"/>
          <w:b/>
          <w:color w:val="000000" w:themeColor="text1"/>
          <w:sz w:val="20"/>
          <w:szCs w:val="20"/>
        </w:rPr>
        <w:t>:</w:t>
      </w:r>
      <w:r w:rsidR="001C6501" w:rsidRPr="00FA0E8D">
        <w:rPr>
          <w:rFonts w:ascii="Arial" w:hAnsi="Arial" w:cs="Arial"/>
          <w:b/>
          <w:color w:val="000000" w:themeColor="text1"/>
          <w:sz w:val="20"/>
          <w:szCs w:val="20"/>
        </w:rPr>
        <w:t xml:space="preserve">  </w:t>
      </w:r>
      <w:r w:rsidR="008035D0" w:rsidRPr="00FA0E8D">
        <w:rPr>
          <w:rFonts w:ascii="Arial" w:hAnsi="Arial" w:cs="Arial"/>
          <w:b/>
          <w:color w:val="000000" w:themeColor="text1"/>
          <w:sz w:val="20"/>
          <w:szCs w:val="20"/>
        </w:rPr>
        <w:t xml:space="preserve">Revised </w:t>
      </w:r>
      <w:r w:rsidR="0005187B" w:rsidRPr="00FA0E8D">
        <w:rPr>
          <w:rFonts w:ascii="Arial" w:hAnsi="Arial" w:cs="Arial"/>
          <w:b/>
          <w:color w:val="000000" w:themeColor="text1"/>
          <w:sz w:val="20"/>
          <w:szCs w:val="20"/>
        </w:rPr>
        <w:t xml:space="preserve">Special Schedule </w:t>
      </w:r>
      <w:r w:rsidR="0005187B">
        <w:rPr>
          <w:rFonts w:ascii="Arial" w:hAnsi="Arial" w:cs="Arial"/>
          <w:b/>
          <w:sz w:val="20"/>
          <w:szCs w:val="20"/>
        </w:rPr>
        <w:t>7 Report on Infrastructure As at 30 June 2014 (</w:t>
      </w:r>
      <w:r w:rsidR="001C6501" w:rsidRPr="0005187B">
        <w:rPr>
          <w:rFonts w:ascii="Arial" w:hAnsi="Arial" w:cs="Arial"/>
          <w:b/>
          <w:noProof/>
          <w:sz w:val="20"/>
          <w:szCs w:val="20"/>
        </w:rPr>
        <mc:AlternateContent>
          <mc:Choice Requires="wps">
            <w:drawing>
              <wp:anchor distT="0" distB="0" distL="114300" distR="114300" simplePos="0" relativeHeight="251832320" behindDoc="1" locked="0" layoutInCell="1" allowOverlap="1" wp14:anchorId="416C926F" wp14:editId="7D3A89D5">
                <wp:simplePos x="0" y="0"/>
                <wp:positionH relativeFrom="page">
                  <wp:posOffset>10561320</wp:posOffset>
                </wp:positionH>
                <wp:positionV relativeFrom="page">
                  <wp:posOffset>7612380</wp:posOffset>
                </wp:positionV>
                <wp:extent cx="127000" cy="856615"/>
                <wp:effectExtent l="0" t="1905" r="0" b="0"/>
                <wp:wrapNone/>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856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C339C" w14:textId="77777777" w:rsidR="005864FD" w:rsidRDefault="005864FD" w:rsidP="001C6501">
                            <w:pPr>
                              <w:pStyle w:val="BodyText"/>
                              <w:spacing w:line="184" w:lineRule="exact"/>
                            </w:pPr>
                            <w:r>
                              <w:rPr>
                                <w:spacing w:val="-1"/>
                              </w:rPr>
                              <w:t>Special Schedules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831.6pt;margin-top:599.4pt;width:10pt;height:67.45pt;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" filled="f" stroked="f">
                <v:textbox style="layout-flow:vertical" inset="0,0,0,0">
                  <w:txbxContent>
                    <w:p w14:paraId="78BC339C" w14:textId="77777777" w:rsidR="005864FD" w:rsidRDefault="005864FD" w:rsidP="001C6501">
                      <w:pPr>
                        <w:pStyle w:val="BodyText"/>
                        <w:spacing w:line="184" w:lineRule="exact"/>
                      </w:pPr>
                      <w:r>
                        <w:rPr>
                          <w:spacing w:val="-1"/>
                        </w:rPr>
                        <w:t>Special Schedules</w:t>
                      </w:r>
                    </w:p>
                  </w:txbxContent>
                </v:textbox>
                <w10:wrap anchorx="page" anchory="page"/>
              </v:shape>
            </w:pict>
          </mc:Fallback>
        </mc:AlternateContent>
      </w:r>
      <w:r w:rsidR="001C6501" w:rsidRPr="0005187B">
        <w:rPr>
          <w:rFonts w:ascii="Arial" w:hAnsi="Arial" w:cs="Arial"/>
          <w:b/>
          <w:noProof/>
          <w:sz w:val="20"/>
          <w:szCs w:val="20"/>
        </w:rPr>
        <mc:AlternateContent>
          <mc:Choice Requires="wps">
            <w:drawing>
              <wp:anchor distT="0" distB="0" distL="114300" distR="114300" simplePos="0" relativeHeight="251833344" behindDoc="1" locked="0" layoutInCell="1" allowOverlap="1" wp14:anchorId="49C6A498" wp14:editId="64A52A91">
                <wp:simplePos x="0" y="0"/>
                <wp:positionH relativeFrom="page">
                  <wp:posOffset>403860</wp:posOffset>
                </wp:positionH>
                <wp:positionV relativeFrom="page">
                  <wp:posOffset>8385175</wp:posOffset>
                </wp:positionV>
                <wp:extent cx="127000" cy="81915"/>
                <wp:effectExtent l="3810" t="3175" r="2540" b="635"/>
                <wp:wrapNone/>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643C7" w14:textId="77777777" w:rsidR="005864FD" w:rsidRDefault="005864FD" w:rsidP="001C6501">
                            <w:pPr>
                              <w:pStyle w:val="BodyText"/>
                              <w:spacing w:line="184" w:lineRule="exact"/>
                            </w:pPr>
                            <w:r>
                              <w:t>p</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4" type="#_x0000_t202" style="position:absolute;left:0;text-align:left;margin-left:31.8pt;margin-top:660.25pt;width:10pt;height:6.45pt;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" filled="f" stroked="f">
                <v:textbox style="layout-flow:vertical" inset="0,0,0,0">
                  <w:txbxContent>
                    <w:p w14:paraId="28F643C7" w14:textId="77777777" w:rsidR="005864FD" w:rsidRDefault="005864FD" w:rsidP="001C6501">
                      <w:pPr>
                        <w:pStyle w:val="BodyText"/>
                        <w:spacing w:line="184" w:lineRule="exact"/>
                      </w:pPr>
                      <w:r>
                        <w:t>p</w:t>
                      </w:r>
                    </w:p>
                  </w:txbxContent>
                </v:textbox>
                <w10:wrap anchorx="page" anchory="page"/>
              </v:shape>
            </w:pict>
          </mc:Fallback>
        </mc:AlternateContent>
      </w:r>
      <w:r w:rsidR="001C6501" w:rsidRPr="0005187B">
        <w:rPr>
          <w:rFonts w:ascii="Arial" w:hAnsi="Arial" w:cs="Arial"/>
          <w:b/>
          <w:sz w:val="20"/>
          <w:szCs w:val="20"/>
        </w:rPr>
        <w:t xml:space="preserve"> </w:t>
      </w:r>
      <w:r w:rsidR="0005187B">
        <w:rPr>
          <w:rFonts w:ascii="Arial" w:hAnsi="Arial" w:cs="Arial"/>
          <w:b/>
          <w:sz w:val="20"/>
          <w:szCs w:val="20"/>
        </w:rPr>
        <w:t>Using OLG</w:t>
      </w:r>
      <w:r w:rsidR="0005187B" w:rsidRPr="0005187B">
        <w:rPr>
          <w:rFonts w:ascii="Arial" w:hAnsi="Arial" w:cs="Arial"/>
          <w:b/>
          <w:sz w:val="20"/>
          <w:szCs w:val="20"/>
        </w:rPr>
        <w:t xml:space="preserve"> Methodology</w:t>
      </w:r>
      <w:r w:rsidR="0005187B">
        <w:rPr>
          <w:rFonts w:ascii="Arial" w:hAnsi="Arial" w:cs="Arial"/>
          <w:b/>
          <w:sz w:val="20"/>
          <w:szCs w:val="20"/>
        </w:rPr>
        <w:t xml:space="preserve">)  </w:t>
      </w:r>
      <w:r w:rsidR="0005187B">
        <w:rPr>
          <w:rFonts w:ascii="Arial"/>
          <w:b/>
          <w:color w:val="333333"/>
          <w:sz w:val="20"/>
        </w:rPr>
        <w:t>$'000</w:t>
      </w:r>
    </w:p>
    <w:tbl>
      <w:tblPr>
        <w:tblW w:w="14954" w:type="dxa"/>
        <w:tblInd w:w="93" w:type="dxa"/>
        <w:tblLayout w:type="fixed"/>
        <w:tblCellMar>
          <w:left w:w="0" w:type="dxa"/>
          <w:right w:w="0" w:type="dxa"/>
        </w:tblCellMar>
        <w:tblLook w:val="01E0" w:firstRow="1" w:lastRow="1" w:firstColumn="1" w:lastColumn="1" w:noHBand="0" w:noVBand="0"/>
      </w:tblPr>
      <w:tblGrid>
        <w:gridCol w:w="1062"/>
        <w:gridCol w:w="3119"/>
        <w:gridCol w:w="1417"/>
        <w:gridCol w:w="1417"/>
        <w:gridCol w:w="1418"/>
        <w:gridCol w:w="1276"/>
        <w:gridCol w:w="709"/>
        <w:gridCol w:w="709"/>
        <w:gridCol w:w="709"/>
        <w:gridCol w:w="708"/>
        <w:gridCol w:w="709"/>
        <w:gridCol w:w="1701"/>
      </w:tblGrid>
      <w:tr w:rsidR="002C70E8" w:rsidRPr="0005187B" w14:paraId="6C5C30EB" w14:textId="77777777" w:rsidTr="006B1840">
        <w:trPr>
          <w:trHeight w:hRule="exact" w:val="433"/>
        </w:trPr>
        <w:tc>
          <w:tcPr>
            <w:tcW w:w="1062" w:type="dxa"/>
            <w:vMerge w:val="restart"/>
            <w:tcBorders>
              <w:top w:val="single" w:sz="17" w:space="0" w:color="333333"/>
              <w:left w:val="single" w:sz="17" w:space="0" w:color="333333"/>
              <w:right w:val="single" w:sz="9" w:space="0" w:color="333333"/>
            </w:tcBorders>
          </w:tcPr>
          <w:p w14:paraId="676E553B" w14:textId="77777777" w:rsidR="001C6501" w:rsidRPr="002C70E8" w:rsidRDefault="001C6501" w:rsidP="006B1840">
            <w:pPr>
              <w:pStyle w:val="TableParagraph"/>
              <w:rPr>
                <w:sz w:val="16"/>
                <w:szCs w:val="16"/>
              </w:rPr>
            </w:pPr>
          </w:p>
          <w:p w14:paraId="500DA842" w14:textId="77777777" w:rsidR="001C6501" w:rsidRPr="002C70E8" w:rsidRDefault="001C6501" w:rsidP="006B1840">
            <w:pPr>
              <w:pStyle w:val="TableParagraph"/>
              <w:ind w:left="17"/>
              <w:jc w:val="center"/>
              <w:rPr>
                <w:rFonts w:ascii="Arial" w:eastAsia="Arial" w:hAnsi="Arial" w:cs="Arial"/>
                <w:sz w:val="16"/>
                <w:szCs w:val="16"/>
              </w:rPr>
            </w:pPr>
            <w:r w:rsidRPr="002C70E8">
              <w:rPr>
                <w:rFonts w:ascii="Arial"/>
                <w:b/>
                <w:spacing w:val="-1"/>
                <w:sz w:val="16"/>
                <w:szCs w:val="16"/>
              </w:rPr>
              <w:t>Asset</w:t>
            </w:r>
            <w:r w:rsidRPr="002C70E8">
              <w:rPr>
                <w:rFonts w:ascii="Arial"/>
                <w:b/>
                <w:spacing w:val="-3"/>
                <w:sz w:val="16"/>
                <w:szCs w:val="16"/>
              </w:rPr>
              <w:t xml:space="preserve"> </w:t>
            </w:r>
            <w:r w:rsidRPr="002C70E8">
              <w:rPr>
                <w:rFonts w:ascii="Arial"/>
                <w:b/>
                <w:spacing w:val="-1"/>
                <w:sz w:val="16"/>
                <w:szCs w:val="16"/>
              </w:rPr>
              <w:t>Class</w:t>
            </w:r>
          </w:p>
        </w:tc>
        <w:tc>
          <w:tcPr>
            <w:tcW w:w="3119" w:type="dxa"/>
            <w:vMerge w:val="restart"/>
            <w:tcBorders>
              <w:top w:val="single" w:sz="17" w:space="0" w:color="333333"/>
              <w:left w:val="single" w:sz="9" w:space="0" w:color="333333"/>
              <w:right w:val="single" w:sz="9" w:space="0" w:color="000000"/>
            </w:tcBorders>
            <w:vAlign w:val="center"/>
          </w:tcPr>
          <w:p w14:paraId="01E5AF87" w14:textId="77777777" w:rsidR="001C6501" w:rsidRPr="002C70E8" w:rsidRDefault="001C6501" w:rsidP="006B1840">
            <w:pPr>
              <w:pStyle w:val="TableParagraph"/>
              <w:ind w:left="27"/>
              <w:jc w:val="center"/>
              <w:rPr>
                <w:rFonts w:ascii="Arial" w:eastAsia="Arial" w:hAnsi="Arial" w:cs="Arial"/>
                <w:sz w:val="16"/>
                <w:szCs w:val="16"/>
              </w:rPr>
            </w:pPr>
            <w:r w:rsidRPr="002C70E8">
              <w:rPr>
                <w:rFonts w:ascii="Arial"/>
                <w:b/>
                <w:spacing w:val="-1"/>
                <w:sz w:val="16"/>
                <w:szCs w:val="16"/>
              </w:rPr>
              <w:t>Asset</w:t>
            </w:r>
            <w:r w:rsidRPr="002C70E8">
              <w:rPr>
                <w:rFonts w:ascii="Arial"/>
                <w:b/>
                <w:spacing w:val="-3"/>
                <w:sz w:val="16"/>
                <w:szCs w:val="16"/>
              </w:rPr>
              <w:t xml:space="preserve"> </w:t>
            </w:r>
            <w:r w:rsidRPr="002C70E8">
              <w:rPr>
                <w:rFonts w:ascii="Arial"/>
                <w:b/>
                <w:spacing w:val="-1"/>
                <w:sz w:val="16"/>
                <w:szCs w:val="16"/>
              </w:rPr>
              <w:t>Category</w:t>
            </w:r>
          </w:p>
        </w:tc>
        <w:tc>
          <w:tcPr>
            <w:tcW w:w="1417" w:type="dxa"/>
            <w:vMerge w:val="restart"/>
            <w:tcBorders>
              <w:top w:val="single" w:sz="17" w:space="0" w:color="333333"/>
              <w:left w:val="single" w:sz="9" w:space="0" w:color="000000"/>
              <w:right w:val="single" w:sz="9" w:space="0" w:color="C0C0C0"/>
            </w:tcBorders>
            <w:vAlign w:val="center"/>
          </w:tcPr>
          <w:p w14:paraId="555A74CB" w14:textId="77777777" w:rsidR="001C6501" w:rsidRPr="002C70E8" w:rsidRDefault="001C6501" w:rsidP="006B1840">
            <w:pPr>
              <w:pStyle w:val="TableParagraph"/>
              <w:ind w:left="308" w:right="51"/>
              <w:jc w:val="center"/>
              <w:rPr>
                <w:rFonts w:ascii="Arial"/>
                <w:b/>
                <w:spacing w:val="-2"/>
                <w:w w:val="105"/>
                <w:sz w:val="15"/>
                <w:szCs w:val="15"/>
              </w:rPr>
            </w:pPr>
            <w:r w:rsidRPr="002C70E8">
              <w:rPr>
                <w:rFonts w:ascii="Arial"/>
                <w:b/>
                <w:spacing w:val="-2"/>
                <w:w w:val="105"/>
                <w:sz w:val="15"/>
                <w:szCs w:val="15"/>
              </w:rPr>
              <w:t>Required (3)</w:t>
            </w:r>
          </w:p>
          <w:p w14:paraId="0A3F7F2B" w14:textId="77777777" w:rsidR="001C6501" w:rsidRPr="002C70E8" w:rsidRDefault="001C6501" w:rsidP="006B1840">
            <w:pPr>
              <w:pStyle w:val="TableParagraph"/>
              <w:ind w:left="308" w:right="51"/>
              <w:jc w:val="center"/>
              <w:rPr>
                <w:rFonts w:ascii="Arial" w:eastAsia="Arial" w:hAnsi="Arial" w:cs="Arial"/>
                <w:sz w:val="15"/>
                <w:szCs w:val="15"/>
              </w:rPr>
            </w:pPr>
            <w:r w:rsidRPr="002C70E8">
              <w:rPr>
                <w:rFonts w:ascii="Arial"/>
                <w:b/>
                <w:spacing w:val="-2"/>
                <w:w w:val="105"/>
                <w:sz w:val="15"/>
                <w:szCs w:val="15"/>
              </w:rPr>
              <w:t>Annual Maintenance</w:t>
            </w:r>
          </w:p>
        </w:tc>
        <w:tc>
          <w:tcPr>
            <w:tcW w:w="1417" w:type="dxa"/>
            <w:vMerge w:val="restart"/>
            <w:tcBorders>
              <w:top w:val="single" w:sz="17" w:space="0" w:color="333333"/>
              <w:left w:val="single" w:sz="9" w:space="0" w:color="C0C0C0"/>
              <w:right w:val="single" w:sz="9" w:space="0" w:color="000000"/>
            </w:tcBorders>
            <w:vAlign w:val="center"/>
          </w:tcPr>
          <w:p w14:paraId="5863B5ED" w14:textId="77777777" w:rsidR="001C6501" w:rsidRPr="002C70E8" w:rsidRDefault="001C6501" w:rsidP="006B1840">
            <w:pPr>
              <w:pStyle w:val="TableParagraph"/>
              <w:ind w:left="308" w:right="51"/>
              <w:jc w:val="center"/>
              <w:rPr>
                <w:rFonts w:ascii="Arial"/>
                <w:b/>
                <w:spacing w:val="-2"/>
                <w:w w:val="105"/>
                <w:sz w:val="15"/>
                <w:szCs w:val="15"/>
              </w:rPr>
            </w:pPr>
            <w:r w:rsidRPr="002C70E8">
              <w:rPr>
                <w:rFonts w:ascii="Arial"/>
                <w:b/>
                <w:spacing w:val="-2"/>
                <w:w w:val="105"/>
                <w:sz w:val="15"/>
                <w:szCs w:val="15"/>
              </w:rPr>
              <w:t>Actual (4)</w:t>
            </w:r>
          </w:p>
          <w:p w14:paraId="0447266F" w14:textId="77777777" w:rsidR="001C6501" w:rsidRPr="002C70E8" w:rsidRDefault="001C6501" w:rsidP="006B1840">
            <w:pPr>
              <w:pStyle w:val="TableParagraph"/>
              <w:ind w:left="308" w:right="51"/>
              <w:jc w:val="center"/>
              <w:rPr>
                <w:rFonts w:ascii="Arial"/>
                <w:b/>
                <w:spacing w:val="-2"/>
                <w:w w:val="105"/>
                <w:sz w:val="15"/>
                <w:szCs w:val="15"/>
              </w:rPr>
            </w:pPr>
            <w:r w:rsidRPr="002C70E8">
              <w:rPr>
                <w:rFonts w:ascii="Arial"/>
                <w:b/>
                <w:spacing w:val="-2"/>
                <w:w w:val="105"/>
                <w:sz w:val="15"/>
                <w:szCs w:val="15"/>
              </w:rPr>
              <w:t>Maintenance</w:t>
            </w:r>
          </w:p>
          <w:p w14:paraId="389A21ED" w14:textId="77777777" w:rsidR="001C6501" w:rsidRPr="002C70E8" w:rsidRDefault="001C6501" w:rsidP="006B1840">
            <w:pPr>
              <w:pStyle w:val="TableParagraph"/>
              <w:ind w:left="308" w:right="51"/>
              <w:jc w:val="center"/>
              <w:rPr>
                <w:rFonts w:ascii="Arial" w:eastAsia="Arial" w:hAnsi="Arial" w:cs="Arial"/>
                <w:sz w:val="15"/>
                <w:szCs w:val="15"/>
              </w:rPr>
            </w:pPr>
            <w:r w:rsidRPr="002C70E8">
              <w:rPr>
                <w:rFonts w:ascii="Arial"/>
                <w:b/>
                <w:spacing w:val="-2"/>
                <w:w w:val="105"/>
                <w:sz w:val="15"/>
                <w:szCs w:val="15"/>
              </w:rPr>
              <w:t>2013/14</w:t>
            </w:r>
          </w:p>
        </w:tc>
        <w:tc>
          <w:tcPr>
            <w:tcW w:w="1418" w:type="dxa"/>
            <w:vMerge w:val="restart"/>
            <w:tcBorders>
              <w:top w:val="single" w:sz="17" w:space="0" w:color="333333"/>
              <w:left w:val="single" w:sz="9" w:space="0" w:color="000000"/>
              <w:right w:val="single" w:sz="9" w:space="0" w:color="333333"/>
            </w:tcBorders>
            <w:vAlign w:val="center"/>
          </w:tcPr>
          <w:p w14:paraId="28AB4189" w14:textId="77777777" w:rsidR="001C6501" w:rsidRPr="002C70E8" w:rsidRDefault="001C6501" w:rsidP="006B1840">
            <w:pPr>
              <w:pStyle w:val="TableParagraph"/>
              <w:ind w:right="51"/>
              <w:jc w:val="center"/>
              <w:rPr>
                <w:rFonts w:ascii="Arial"/>
                <w:b/>
                <w:spacing w:val="-2"/>
                <w:w w:val="105"/>
                <w:sz w:val="15"/>
                <w:szCs w:val="15"/>
              </w:rPr>
            </w:pPr>
            <w:r w:rsidRPr="002C70E8">
              <w:rPr>
                <w:rFonts w:ascii="Arial"/>
                <w:b/>
                <w:spacing w:val="-2"/>
                <w:w w:val="105"/>
                <w:sz w:val="15"/>
                <w:szCs w:val="15"/>
              </w:rPr>
              <w:t>Current Replacement</w:t>
            </w:r>
          </w:p>
          <w:p w14:paraId="4CFDFBD6" w14:textId="77777777" w:rsidR="001C6501" w:rsidRPr="002C70E8" w:rsidRDefault="001C6501" w:rsidP="006B1840">
            <w:pPr>
              <w:pStyle w:val="TableParagraph"/>
              <w:ind w:right="51"/>
              <w:jc w:val="center"/>
              <w:rPr>
                <w:rFonts w:ascii="Arial" w:eastAsia="Arial" w:hAnsi="Arial" w:cs="Arial"/>
                <w:sz w:val="15"/>
                <w:szCs w:val="15"/>
              </w:rPr>
            </w:pPr>
            <w:r w:rsidRPr="002C70E8">
              <w:rPr>
                <w:rFonts w:ascii="Arial"/>
                <w:b/>
                <w:spacing w:val="-2"/>
                <w:w w:val="105"/>
                <w:sz w:val="15"/>
                <w:szCs w:val="15"/>
              </w:rPr>
              <w:t>Cost (CRC) (5)</w:t>
            </w:r>
          </w:p>
        </w:tc>
        <w:tc>
          <w:tcPr>
            <w:tcW w:w="1276" w:type="dxa"/>
            <w:vMerge w:val="restart"/>
            <w:tcBorders>
              <w:top w:val="single" w:sz="17" w:space="0" w:color="333333"/>
              <w:left w:val="single" w:sz="9" w:space="0" w:color="333333"/>
              <w:right w:val="single" w:sz="9" w:space="0" w:color="333333"/>
            </w:tcBorders>
            <w:vAlign w:val="center"/>
          </w:tcPr>
          <w:p w14:paraId="7962CF67" w14:textId="0AB0EEB9" w:rsidR="001C6501" w:rsidRPr="002C70E8" w:rsidRDefault="002C70E8" w:rsidP="006B1840">
            <w:pPr>
              <w:pStyle w:val="TableParagraph"/>
              <w:ind w:left="308" w:right="51"/>
              <w:jc w:val="center"/>
              <w:rPr>
                <w:rFonts w:ascii="Arial" w:eastAsia="Arial" w:hAnsi="Arial" w:cs="Arial"/>
                <w:sz w:val="15"/>
                <w:szCs w:val="15"/>
              </w:rPr>
            </w:pPr>
            <w:r w:rsidRPr="002C70E8">
              <w:rPr>
                <w:rFonts w:ascii="Arial"/>
                <w:b/>
                <w:spacing w:val="-2"/>
                <w:w w:val="105"/>
                <w:sz w:val="15"/>
                <w:szCs w:val="15"/>
              </w:rPr>
              <w:t>W</w:t>
            </w:r>
            <w:r w:rsidR="001C6501" w:rsidRPr="002C70E8">
              <w:rPr>
                <w:rFonts w:ascii="Arial"/>
                <w:b/>
                <w:spacing w:val="-2"/>
                <w:w w:val="105"/>
                <w:sz w:val="15"/>
                <w:szCs w:val="15"/>
              </w:rPr>
              <w:t>ritten</w:t>
            </w:r>
            <w:r w:rsidRPr="002C70E8">
              <w:rPr>
                <w:rFonts w:ascii="Arial"/>
                <w:b/>
                <w:spacing w:val="-2"/>
                <w:w w:val="105"/>
                <w:sz w:val="15"/>
                <w:szCs w:val="15"/>
              </w:rPr>
              <w:t xml:space="preserve"> </w:t>
            </w:r>
            <w:r w:rsidR="001C6501" w:rsidRPr="002C70E8">
              <w:rPr>
                <w:rFonts w:ascii="Arial"/>
                <w:b/>
                <w:spacing w:val="-2"/>
                <w:w w:val="105"/>
                <w:sz w:val="15"/>
                <w:szCs w:val="15"/>
              </w:rPr>
              <w:t>Down Value (WDV) (6)</w:t>
            </w:r>
          </w:p>
        </w:tc>
        <w:tc>
          <w:tcPr>
            <w:tcW w:w="3544" w:type="dxa"/>
            <w:gridSpan w:val="5"/>
            <w:tcBorders>
              <w:top w:val="single" w:sz="17" w:space="0" w:color="333333"/>
              <w:left w:val="single" w:sz="9" w:space="0" w:color="333333"/>
              <w:bottom w:val="single" w:sz="9" w:space="0" w:color="C0C0C0"/>
              <w:right w:val="single" w:sz="17" w:space="0" w:color="333333"/>
            </w:tcBorders>
            <w:vAlign w:val="center"/>
          </w:tcPr>
          <w:p w14:paraId="7D1715EA" w14:textId="77777777" w:rsidR="001C6501" w:rsidRPr="002C70E8" w:rsidRDefault="001C6501" w:rsidP="006B1840">
            <w:pPr>
              <w:pStyle w:val="TableParagraph"/>
              <w:ind w:left="283"/>
              <w:jc w:val="center"/>
              <w:rPr>
                <w:rFonts w:ascii="Arial" w:eastAsia="Arial" w:hAnsi="Arial" w:cs="Arial"/>
                <w:sz w:val="16"/>
                <w:szCs w:val="16"/>
              </w:rPr>
            </w:pPr>
            <w:r w:rsidRPr="002C70E8">
              <w:rPr>
                <w:rFonts w:ascii="Arial"/>
                <w:b/>
                <w:spacing w:val="-2"/>
                <w:w w:val="105"/>
                <w:sz w:val="15"/>
                <w:szCs w:val="15"/>
              </w:rPr>
              <w:t>Assets in Condition as a % of CRC (5), (7)</w:t>
            </w:r>
          </w:p>
        </w:tc>
        <w:tc>
          <w:tcPr>
            <w:tcW w:w="1701" w:type="dxa"/>
            <w:vMerge w:val="restart"/>
            <w:tcBorders>
              <w:top w:val="single" w:sz="17" w:space="0" w:color="333333"/>
              <w:left w:val="single" w:sz="17" w:space="0" w:color="333333"/>
              <w:right w:val="single" w:sz="17" w:space="0" w:color="333333"/>
            </w:tcBorders>
            <w:vAlign w:val="center"/>
          </w:tcPr>
          <w:p w14:paraId="0B8C098A" w14:textId="4F3A8A08" w:rsidR="001C6501" w:rsidRPr="002C70E8" w:rsidRDefault="001C6501" w:rsidP="006B1840">
            <w:pPr>
              <w:pStyle w:val="TableParagraph"/>
              <w:jc w:val="center"/>
              <w:rPr>
                <w:rFonts w:ascii="Arial"/>
                <w:b/>
                <w:spacing w:val="-2"/>
                <w:w w:val="105"/>
                <w:sz w:val="15"/>
                <w:szCs w:val="15"/>
              </w:rPr>
            </w:pPr>
            <w:r w:rsidRPr="002C70E8">
              <w:rPr>
                <w:rFonts w:ascii="Arial"/>
                <w:b/>
                <w:spacing w:val="-2"/>
                <w:w w:val="105"/>
                <w:sz w:val="15"/>
                <w:szCs w:val="15"/>
              </w:rPr>
              <w:t>EstimatedCost to</w:t>
            </w:r>
          </w:p>
          <w:p w14:paraId="1656A6E9" w14:textId="77777777" w:rsidR="001C6501" w:rsidRPr="002C70E8" w:rsidRDefault="001C6501" w:rsidP="006B1840">
            <w:pPr>
              <w:pStyle w:val="TableParagraph"/>
              <w:jc w:val="center"/>
              <w:rPr>
                <w:rFonts w:ascii="Arial"/>
                <w:b/>
                <w:spacing w:val="-2"/>
                <w:w w:val="105"/>
                <w:sz w:val="15"/>
                <w:szCs w:val="15"/>
              </w:rPr>
            </w:pPr>
            <w:r w:rsidRPr="002C70E8">
              <w:rPr>
                <w:rFonts w:ascii="Arial"/>
                <w:b/>
                <w:spacing w:val="-2"/>
                <w:w w:val="105"/>
                <w:sz w:val="15"/>
                <w:szCs w:val="15"/>
              </w:rPr>
              <w:t>Bring to Satisfactory</w:t>
            </w:r>
          </w:p>
          <w:p w14:paraId="154DFFD4" w14:textId="77777777" w:rsidR="001C6501" w:rsidRPr="002C70E8" w:rsidRDefault="001C6501" w:rsidP="006B1840">
            <w:pPr>
              <w:pStyle w:val="TableParagraph"/>
              <w:jc w:val="center"/>
              <w:rPr>
                <w:rFonts w:ascii="Arial" w:eastAsia="Arial" w:hAnsi="Arial" w:cs="Arial"/>
                <w:sz w:val="16"/>
                <w:szCs w:val="16"/>
              </w:rPr>
            </w:pPr>
            <w:r w:rsidRPr="002C70E8">
              <w:rPr>
                <w:rFonts w:ascii="Arial"/>
                <w:b/>
                <w:spacing w:val="-2"/>
                <w:w w:val="105"/>
                <w:sz w:val="15"/>
                <w:szCs w:val="15"/>
              </w:rPr>
              <w:t>(BTS) (2)</w:t>
            </w:r>
          </w:p>
        </w:tc>
      </w:tr>
      <w:tr w:rsidR="002C70E8" w:rsidRPr="0005187B" w14:paraId="1CAB4976" w14:textId="77777777" w:rsidTr="006B1840">
        <w:trPr>
          <w:trHeight w:hRule="exact" w:val="243"/>
        </w:trPr>
        <w:tc>
          <w:tcPr>
            <w:tcW w:w="1062" w:type="dxa"/>
            <w:vMerge/>
            <w:tcBorders>
              <w:left w:val="single" w:sz="17" w:space="0" w:color="333333"/>
              <w:right w:val="single" w:sz="9" w:space="0" w:color="333333"/>
            </w:tcBorders>
          </w:tcPr>
          <w:p w14:paraId="27CD9D76" w14:textId="77777777" w:rsidR="001C6501" w:rsidRPr="002C70E8" w:rsidRDefault="001C6501" w:rsidP="001C6501">
            <w:pPr>
              <w:rPr>
                <w:sz w:val="16"/>
                <w:szCs w:val="16"/>
              </w:rPr>
            </w:pPr>
          </w:p>
        </w:tc>
        <w:tc>
          <w:tcPr>
            <w:tcW w:w="3119" w:type="dxa"/>
            <w:vMerge/>
            <w:tcBorders>
              <w:left w:val="single" w:sz="9" w:space="0" w:color="333333"/>
              <w:right w:val="single" w:sz="9" w:space="0" w:color="000000"/>
            </w:tcBorders>
          </w:tcPr>
          <w:p w14:paraId="161E7589" w14:textId="77777777" w:rsidR="001C6501" w:rsidRPr="002C70E8" w:rsidRDefault="001C6501" w:rsidP="001C6501">
            <w:pPr>
              <w:rPr>
                <w:sz w:val="16"/>
                <w:szCs w:val="16"/>
              </w:rPr>
            </w:pPr>
          </w:p>
        </w:tc>
        <w:tc>
          <w:tcPr>
            <w:tcW w:w="1417" w:type="dxa"/>
            <w:vMerge/>
            <w:tcBorders>
              <w:left w:val="single" w:sz="9" w:space="0" w:color="000000"/>
              <w:right w:val="single" w:sz="9" w:space="0" w:color="C0C0C0"/>
            </w:tcBorders>
          </w:tcPr>
          <w:p w14:paraId="298FCF0E" w14:textId="77777777" w:rsidR="001C6501" w:rsidRPr="002C70E8" w:rsidRDefault="001C6501" w:rsidP="001C6501">
            <w:pPr>
              <w:rPr>
                <w:sz w:val="16"/>
                <w:szCs w:val="16"/>
              </w:rPr>
            </w:pPr>
          </w:p>
        </w:tc>
        <w:tc>
          <w:tcPr>
            <w:tcW w:w="1417" w:type="dxa"/>
            <w:vMerge/>
            <w:tcBorders>
              <w:left w:val="single" w:sz="9" w:space="0" w:color="C0C0C0"/>
              <w:right w:val="single" w:sz="9" w:space="0" w:color="000000"/>
            </w:tcBorders>
          </w:tcPr>
          <w:p w14:paraId="0D070E1A" w14:textId="77777777" w:rsidR="001C6501" w:rsidRPr="002C70E8" w:rsidRDefault="001C6501" w:rsidP="001C6501">
            <w:pPr>
              <w:rPr>
                <w:sz w:val="16"/>
                <w:szCs w:val="16"/>
              </w:rPr>
            </w:pPr>
          </w:p>
        </w:tc>
        <w:tc>
          <w:tcPr>
            <w:tcW w:w="1418" w:type="dxa"/>
            <w:vMerge/>
            <w:tcBorders>
              <w:left w:val="single" w:sz="9" w:space="0" w:color="000000"/>
              <w:right w:val="single" w:sz="9" w:space="0" w:color="333333"/>
            </w:tcBorders>
          </w:tcPr>
          <w:p w14:paraId="62B4AFE5" w14:textId="77777777" w:rsidR="001C6501" w:rsidRPr="002C70E8" w:rsidRDefault="001C6501" w:rsidP="001C6501">
            <w:pPr>
              <w:rPr>
                <w:sz w:val="16"/>
                <w:szCs w:val="16"/>
              </w:rPr>
            </w:pPr>
          </w:p>
        </w:tc>
        <w:tc>
          <w:tcPr>
            <w:tcW w:w="1276" w:type="dxa"/>
            <w:vMerge/>
            <w:tcBorders>
              <w:left w:val="single" w:sz="9" w:space="0" w:color="333333"/>
              <w:right w:val="single" w:sz="9" w:space="0" w:color="333333"/>
            </w:tcBorders>
          </w:tcPr>
          <w:p w14:paraId="48CCC3BA" w14:textId="77777777" w:rsidR="001C6501" w:rsidRPr="002C70E8" w:rsidRDefault="001C6501" w:rsidP="001C6501">
            <w:pPr>
              <w:rPr>
                <w:sz w:val="16"/>
                <w:szCs w:val="16"/>
              </w:rPr>
            </w:pPr>
          </w:p>
        </w:tc>
        <w:tc>
          <w:tcPr>
            <w:tcW w:w="709" w:type="dxa"/>
            <w:tcBorders>
              <w:top w:val="single" w:sz="9" w:space="0" w:color="C0C0C0"/>
              <w:left w:val="single" w:sz="9" w:space="0" w:color="333333"/>
              <w:bottom w:val="single" w:sz="9" w:space="0" w:color="C0C0C0"/>
              <w:right w:val="single" w:sz="9" w:space="0" w:color="C0C0C0"/>
            </w:tcBorders>
          </w:tcPr>
          <w:p w14:paraId="727D80BF" w14:textId="77777777" w:rsidR="001C6501" w:rsidRPr="002C70E8" w:rsidRDefault="001C6501" w:rsidP="001C6501">
            <w:pPr>
              <w:pStyle w:val="TableParagraph"/>
              <w:spacing w:before="23"/>
              <w:ind w:left="328" w:right="311"/>
              <w:jc w:val="center"/>
              <w:rPr>
                <w:rFonts w:ascii="Arial" w:eastAsia="Arial" w:hAnsi="Arial" w:cs="Arial"/>
                <w:sz w:val="16"/>
                <w:szCs w:val="16"/>
              </w:rPr>
            </w:pPr>
            <w:r w:rsidRPr="002C70E8">
              <w:rPr>
                <w:rFonts w:ascii="Arial"/>
                <w:b/>
                <w:sz w:val="16"/>
                <w:szCs w:val="16"/>
              </w:rPr>
              <w:t>1</w:t>
            </w:r>
          </w:p>
        </w:tc>
        <w:tc>
          <w:tcPr>
            <w:tcW w:w="709" w:type="dxa"/>
            <w:tcBorders>
              <w:top w:val="single" w:sz="9" w:space="0" w:color="C0C0C0"/>
              <w:left w:val="single" w:sz="9" w:space="0" w:color="C0C0C0"/>
              <w:bottom w:val="single" w:sz="9" w:space="0" w:color="C0C0C0"/>
              <w:right w:val="single" w:sz="9" w:space="0" w:color="C0C0C0"/>
            </w:tcBorders>
          </w:tcPr>
          <w:p w14:paraId="53C118D8" w14:textId="77777777" w:rsidR="001C6501" w:rsidRPr="002C70E8" w:rsidRDefault="001C6501" w:rsidP="001C6501">
            <w:pPr>
              <w:pStyle w:val="TableParagraph"/>
              <w:spacing w:before="23"/>
              <w:ind w:left="412" w:right="396"/>
              <w:jc w:val="center"/>
              <w:rPr>
                <w:rFonts w:ascii="Arial" w:eastAsia="Arial" w:hAnsi="Arial" w:cs="Arial"/>
                <w:sz w:val="16"/>
                <w:szCs w:val="16"/>
              </w:rPr>
            </w:pPr>
            <w:r w:rsidRPr="002C70E8">
              <w:rPr>
                <w:rFonts w:ascii="Arial"/>
                <w:b/>
                <w:sz w:val="16"/>
                <w:szCs w:val="16"/>
              </w:rPr>
              <w:t>2</w:t>
            </w:r>
          </w:p>
        </w:tc>
        <w:tc>
          <w:tcPr>
            <w:tcW w:w="709" w:type="dxa"/>
            <w:tcBorders>
              <w:top w:val="single" w:sz="9" w:space="0" w:color="C0C0C0"/>
              <w:left w:val="single" w:sz="9" w:space="0" w:color="C0C0C0"/>
              <w:bottom w:val="single" w:sz="9" w:space="0" w:color="C0C0C0"/>
              <w:right w:val="single" w:sz="9" w:space="0" w:color="C0C0C0"/>
            </w:tcBorders>
          </w:tcPr>
          <w:p w14:paraId="31E3013E" w14:textId="77777777" w:rsidR="001C6501" w:rsidRPr="002C70E8" w:rsidRDefault="001C6501" w:rsidP="001C6501">
            <w:pPr>
              <w:pStyle w:val="TableParagraph"/>
              <w:spacing w:before="23"/>
              <w:ind w:left="412" w:right="395"/>
              <w:jc w:val="center"/>
              <w:rPr>
                <w:rFonts w:ascii="Arial" w:eastAsia="Arial" w:hAnsi="Arial" w:cs="Arial"/>
                <w:sz w:val="16"/>
                <w:szCs w:val="16"/>
              </w:rPr>
            </w:pPr>
            <w:r w:rsidRPr="002C70E8">
              <w:rPr>
                <w:rFonts w:ascii="Arial"/>
                <w:b/>
                <w:sz w:val="16"/>
                <w:szCs w:val="16"/>
              </w:rPr>
              <w:t>3</w:t>
            </w:r>
          </w:p>
        </w:tc>
        <w:tc>
          <w:tcPr>
            <w:tcW w:w="708" w:type="dxa"/>
            <w:tcBorders>
              <w:top w:val="single" w:sz="9" w:space="0" w:color="C0C0C0"/>
              <w:left w:val="single" w:sz="9" w:space="0" w:color="C0C0C0"/>
              <w:bottom w:val="single" w:sz="9" w:space="0" w:color="C0C0C0"/>
              <w:right w:val="single" w:sz="9" w:space="0" w:color="C0C0C0"/>
            </w:tcBorders>
          </w:tcPr>
          <w:p w14:paraId="6CB37B24" w14:textId="77777777" w:rsidR="001C6501" w:rsidRPr="002C70E8" w:rsidRDefault="001C6501" w:rsidP="001C6501">
            <w:pPr>
              <w:pStyle w:val="TableParagraph"/>
              <w:spacing w:before="23"/>
              <w:ind w:left="412" w:right="395"/>
              <w:jc w:val="center"/>
              <w:rPr>
                <w:rFonts w:ascii="Arial" w:eastAsia="Arial" w:hAnsi="Arial" w:cs="Arial"/>
                <w:sz w:val="16"/>
                <w:szCs w:val="16"/>
              </w:rPr>
            </w:pPr>
            <w:r w:rsidRPr="002C70E8">
              <w:rPr>
                <w:rFonts w:ascii="Arial"/>
                <w:b/>
                <w:sz w:val="16"/>
                <w:szCs w:val="16"/>
              </w:rPr>
              <w:t>4</w:t>
            </w:r>
          </w:p>
        </w:tc>
        <w:tc>
          <w:tcPr>
            <w:tcW w:w="709" w:type="dxa"/>
            <w:tcBorders>
              <w:top w:val="single" w:sz="9" w:space="0" w:color="C0C0C0"/>
              <w:left w:val="single" w:sz="9" w:space="0" w:color="C0C0C0"/>
              <w:bottom w:val="single" w:sz="9" w:space="0" w:color="C0C0C0"/>
              <w:right w:val="single" w:sz="17" w:space="0" w:color="333333"/>
            </w:tcBorders>
          </w:tcPr>
          <w:p w14:paraId="3C880931" w14:textId="77777777" w:rsidR="001C6501" w:rsidRPr="002C70E8" w:rsidRDefault="001C6501" w:rsidP="001C6501">
            <w:pPr>
              <w:pStyle w:val="TableParagraph"/>
              <w:spacing w:before="4"/>
              <w:ind w:left="27"/>
              <w:jc w:val="center"/>
              <w:rPr>
                <w:rFonts w:ascii="Arial" w:eastAsia="Arial" w:hAnsi="Arial" w:cs="Arial"/>
                <w:sz w:val="16"/>
                <w:szCs w:val="16"/>
              </w:rPr>
            </w:pPr>
            <w:r w:rsidRPr="002C70E8">
              <w:rPr>
                <w:rFonts w:ascii="Arial"/>
                <w:b/>
                <w:sz w:val="16"/>
                <w:szCs w:val="16"/>
              </w:rPr>
              <w:t>5</w:t>
            </w:r>
          </w:p>
        </w:tc>
        <w:tc>
          <w:tcPr>
            <w:tcW w:w="1701" w:type="dxa"/>
            <w:vMerge/>
            <w:tcBorders>
              <w:left w:val="single" w:sz="17" w:space="0" w:color="333333"/>
              <w:right w:val="single" w:sz="17" w:space="0" w:color="333333"/>
            </w:tcBorders>
          </w:tcPr>
          <w:p w14:paraId="49D5730B" w14:textId="77777777" w:rsidR="001C6501" w:rsidRPr="002C70E8" w:rsidRDefault="001C6501" w:rsidP="001C6501">
            <w:pPr>
              <w:rPr>
                <w:sz w:val="16"/>
                <w:szCs w:val="16"/>
              </w:rPr>
            </w:pPr>
          </w:p>
        </w:tc>
      </w:tr>
      <w:tr w:rsidR="002C70E8" w14:paraId="188DEFD0" w14:textId="77777777" w:rsidTr="006B1840">
        <w:trPr>
          <w:trHeight w:hRule="exact" w:val="183"/>
        </w:trPr>
        <w:tc>
          <w:tcPr>
            <w:tcW w:w="1062" w:type="dxa"/>
            <w:vMerge/>
            <w:tcBorders>
              <w:left w:val="single" w:sz="17" w:space="0" w:color="333333"/>
              <w:bottom w:val="single" w:sz="17" w:space="0" w:color="333333"/>
              <w:right w:val="single" w:sz="9" w:space="0" w:color="333333"/>
            </w:tcBorders>
          </w:tcPr>
          <w:p w14:paraId="722DECE3" w14:textId="77777777" w:rsidR="001C6501" w:rsidRPr="002C70E8" w:rsidRDefault="001C6501" w:rsidP="001C6501">
            <w:pPr>
              <w:rPr>
                <w:sz w:val="16"/>
                <w:szCs w:val="16"/>
              </w:rPr>
            </w:pPr>
          </w:p>
        </w:tc>
        <w:tc>
          <w:tcPr>
            <w:tcW w:w="3119" w:type="dxa"/>
            <w:vMerge/>
            <w:tcBorders>
              <w:left w:val="single" w:sz="9" w:space="0" w:color="333333"/>
              <w:bottom w:val="single" w:sz="17" w:space="0" w:color="333333"/>
              <w:right w:val="single" w:sz="9" w:space="0" w:color="000000"/>
            </w:tcBorders>
          </w:tcPr>
          <w:p w14:paraId="66E5A312" w14:textId="77777777" w:rsidR="001C6501" w:rsidRPr="002C70E8" w:rsidRDefault="001C6501" w:rsidP="001C6501">
            <w:pPr>
              <w:rPr>
                <w:sz w:val="16"/>
                <w:szCs w:val="16"/>
              </w:rPr>
            </w:pPr>
          </w:p>
        </w:tc>
        <w:tc>
          <w:tcPr>
            <w:tcW w:w="1417" w:type="dxa"/>
            <w:vMerge/>
            <w:tcBorders>
              <w:left w:val="single" w:sz="9" w:space="0" w:color="000000"/>
              <w:bottom w:val="single" w:sz="17" w:space="0" w:color="333333"/>
              <w:right w:val="single" w:sz="9" w:space="0" w:color="C0C0C0"/>
            </w:tcBorders>
          </w:tcPr>
          <w:p w14:paraId="12ADC4E1" w14:textId="77777777" w:rsidR="001C6501" w:rsidRPr="002C70E8" w:rsidRDefault="001C6501" w:rsidP="001C6501">
            <w:pPr>
              <w:rPr>
                <w:sz w:val="16"/>
                <w:szCs w:val="16"/>
              </w:rPr>
            </w:pPr>
          </w:p>
        </w:tc>
        <w:tc>
          <w:tcPr>
            <w:tcW w:w="1417" w:type="dxa"/>
            <w:vMerge/>
            <w:tcBorders>
              <w:left w:val="single" w:sz="9" w:space="0" w:color="C0C0C0"/>
              <w:bottom w:val="single" w:sz="17" w:space="0" w:color="333333"/>
              <w:right w:val="single" w:sz="9" w:space="0" w:color="000000"/>
            </w:tcBorders>
          </w:tcPr>
          <w:p w14:paraId="2F66AF53" w14:textId="77777777" w:rsidR="001C6501" w:rsidRPr="002C70E8" w:rsidRDefault="001C6501" w:rsidP="001C6501">
            <w:pPr>
              <w:rPr>
                <w:sz w:val="16"/>
                <w:szCs w:val="16"/>
              </w:rPr>
            </w:pPr>
          </w:p>
        </w:tc>
        <w:tc>
          <w:tcPr>
            <w:tcW w:w="1418" w:type="dxa"/>
            <w:vMerge/>
            <w:tcBorders>
              <w:left w:val="single" w:sz="9" w:space="0" w:color="000000"/>
              <w:bottom w:val="single" w:sz="17" w:space="0" w:color="333333"/>
              <w:right w:val="single" w:sz="9" w:space="0" w:color="333333"/>
            </w:tcBorders>
          </w:tcPr>
          <w:p w14:paraId="1160D6DA" w14:textId="77777777" w:rsidR="001C6501" w:rsidRPr="002C70E8" w:rsidRDefault="001C6501" w:rsidP="001C6501">
            <w:pPr>
              <w:rPr>
                <w:sz w:val="16"/>
                <w:szCs w:val="16"/>
              </w:rPr>
            </w:pPr>
          </w:p>
        </w:tc>
        <w:tc>
          <w:tcPr>
            <w:tcW w:w="1276" w:type="dxa"/>
            <w:vMerge/>
            <w:tcBorders>
              <w:left w:val="single" w:sz="9" w:space="0" w:color="333333"/>
              <w:bottom w:val="single" w:sz="17" w:space="0" w:color="333333"/>
              <w:right w:val="single" w:sz="9" w:space="0" w:color="333333"/>
            </w:tcBorders>
          </w:tcPr>
          <w:p w14:paraId="4B1F188D" w14:textId="77777777" w:rsidR="001C6501" w:rsidRPr="002C70E8" w:rsidRDefault="001C6501" w:rsidP="001C6501">
            <w:pPr>
              <w:rPr>
                <w:sz w:val="16"/>
                <w:szCs w:val="16"/>
              </w:rPr>
            </w:pPr>
          </w:p>
        </w:tc>
        <w:tc>
          <w:tcPr>
            <w:tcW w:w="3544" w:type="dxa"/>
            <w:gridSpan w:val="5"/>
            <w:tcBorders>
              <w:top w:val="single" w:sz="9" w:space="0" w:color="C0C0C0"/>
              <w:left w:val="single" w:sz="9" w:space="0" w:color="333333"/>
              <w:bottom w:val="single" w:sz="17" w:space="0" w:color="333333"/>
              <w:right w:val="single" w:sz="17" w:space="0" w:color="333333"/>
            </w:tcBorders>
          </w:tcPr>
          <w:p w14:paraId="02FDAB46" w14:textId="77777777" w:rsidR="001C6501" w:rsidRPr="002C70E8" w:rsidRDefault="001C6501" w:rsidP="001C6501">
            <w:pPr>
              <w:rPr>
                <w:sz w:val="16"/>
                <w:szCs w:val="16"/>
              </w:rPr>
            </w:pPr>
          </w:p>
        </w:tc>
        <w:tc>
          <w:tcPr>
            <w:tcW w:w="1701" w:type="dxa"/>
            <w:vMerge/>
            <w:tcBorders>
              <w:left w:val="single" w:sz="17" w:space="0" w:color="333333"/>
              <w:bottom w:val="single" w:sz="17" w:space="0" w:color="333333"/>
              <w:right w:val="single" w:sz="17" w:space="0" w:color="333333"/>
            </w:tcBorders>
          </w:tcPr>
          <w:p w14:paraId="58A04BEF" w14:textId="77777777" w:rsidR="001C6501" w:rsidRPr="002C70E8" w:rsidRDefault="001C6501" w:rsidP="001C6501">
            <w:pPr>
              <w:rPr>
                <w:sz w:val="16"/>
                <w:szCs w:val="16"/>
              </w:rPr>
            </w:pPr>
          </w:p>
        </w:tc>
      </w:tr>
      <w:tr w:rsidR="002C70E8" w14:paraId="63E3A1E8" w14:textId="77777777" w:rsidTr="006B1840">
        <w:trPr>
          <w:trHeight w:hRule="exact" w:val="155"/>
        </w:trPr>
        <w:tc>
          <w:tcPr>
            <w:tcW w:w="1062" w:type="dxa"/>
            <w:vMerge w:val="restart"/>
            <w:tcBorders>
              <w:top w:val="single" w:sz="17" w:space="0" w:color="333333"/>
              <w:left w:val="single" w:sz="9" w:space="0" w:color="333333"/>
              <w:right w:val="single" w:sz="9" w:space="0" w:color="333333"/>
            </w:tcBorders>
          </w:tcPr>
          <w:p w14:paraId="1835BCD5" w14:textId="77777777" w:rsidR="001C6501" w:rsidRPr="002C70E8" w:rsidRDefault="001C6501" w:rsidP="001C6501">
            <w:pPr>
              <w:pStyle w:val="TableParagraph"/>
              <w:spacing w:line="200" w:lineRule="exact"/>
              <w:rPr>
                <w:sz w:val="16"/>
                <w:szCs w:val="16"/>
              </w:rPr>
            </w:pPr>
          </w:p>
          <w:p w14:paraId="6099E8AE" w14:textId="77777777" w:rsidR="001C6501" w:rsidRPr="002C70E8" w:rsidRDefault="001C6501" w:rsidP="001C6501">
            <w:pPr>
              <w:pStyle w:val="TableParagraph"/>
              <w:spacing w:before="15" w:line="200" w:lineRule="exact"/>
              <w:rPr>
                <w:sz w:val="16"/>
                <w:szCs w:val="16"/>
              </w:rPr>
            </w:pPr>
          </w:p>
          <w:p w14:paraId="0B8048FC" w14:textId="77777777" w:rsidR="001C6501" w:rsidRPr="002C70E8" w:rsidRDefault="001C6501" w:rsidP="001C6501">
            <w:pPr>
              <w:pStyle w:val="TableParagraph"/>
              <w:ind w:left="27"/>
              <w:rPr>
                <w:rFonts w:ascii="Arial" w:eastAsia="Arial" w:hAnsi="Arial" w:cs="Arial"/>
                <w:sz w:val="16"/>
                <w:szCs w:val="16"/>
              </w:rPr>
            </w:pPr>
            <w:r w:rsidRPr="002C70E8">
              <w:rPr>
                <w:rFonts w:ascii="Arial"/>
                <w:b/>
                <w:spacing w:val="-1"/>
                <w:sz w:val="16"/>
                <w:szCs w:val="16"/>
              </w:rPr>
              <w:t>Buildings</w:t>
            </w:r>
          </w:p>
        </w:tc>
        <w:tc>
          <w:tcPr>
            <w:tcW w:w="3119" w:type="dxa"/>
            <w:tcBorders>
              <w:top w:val="single" w:sz="17" w:space="0" w:color="333333"/>
              <w:left w:val="single" w:sz="9" w:space="0" w:color="333333"/>
              <w:bottom w:val="single" w:sz="2" w:space="0" w:color="000000"/>
              <w:right w:val="single" w:sz="9" w:space="0" w:color="000000"/>
            </w:tcBorders>
          </w:tcPr>
          <w:p w14:paraId="537CA2FE" w14:textId="77777777" w:rsidR="001C6501" w:rsidRPr="002C70E8" w:rsidRDefault="001C6501" w:rsidP="001C6501">
            <w:pPr>
              <w:rPr>
                <w:sz w:val="16"/>
                <w:szCs w:val="16"/>
              </w:rPr>
            </w:pPr>
          </w:p>
        </w:tc>
        <w:tc>
          <w:tcPr>
            <w:tcW w:w="2834" w:type="dxa"/>
            <w:gridSpan w:val="2"/>
            <w:tcBorders>
              <w:top w:val="single" w:sz="17" w:space="0" w:color="333333"/>
              <w:left w:val="single" w:sz="9" w:space="0" w:color="000000"/>
              <w:bottom w:val="single" w:sz="2" w:space="0" w:color="000000"/>
              <w:right w:val="single" w:sz="9" w:space="0" w:color="000000"/>
            </w:tcBorders>
          </w:tcPr>
          <w:p w14:paraId="6F85D3FF" w14:textId="77777777" w:rsidR="001C6501" w:rsidRPr="002C70E8" w:rsidRDefault="001C6501" w:rsidP="001C6501">
            <w:pPr>
              <w:rPr>
                <w:sz w:val="16"/>
                <w:szCs w:val="16"/>
              </w:rPr>
            </w:pPr>
          </w:p>
        </w:tc>
        <w:tc>
          <w:tcPr>
            <w:tcW w:w="1418" w:type="dxa"/>
            <w:tcBorders>
              <w:top w:val="single" w:sz="17" w:space="0" w:color="333333"/>
              <w:left w:val="single" w:sz="9" w:space="0" w:color="000000"/>
              <w:bottom w:val="single" w:sz="2" w:space="0" w:color="000000"/>
              <w:right w:val="single" w:sz="9" w:space="0" w:color="333333"/>
            </w:tcBorders>
          </w:tcPr>
          <w:p w14:paraId="7C22C2C9" w14:textId="77777777" w:rsidR="001C6501" w:rsidRPr="002C70E8" w:rsidRDefault="001C6501" w:rsidP="001C6501">
            <w:pPr>
              <w:rPr>
                <w:sz w:val="16"/>
                <w:szCs w:val="16"/>
              </w:rPr>
            </w:pPr>
          </w:p>
        </w:tc>
        <w:tc>
          <w:tcPr>
            <w:tcW w:w="1276" w:type="dxa"/>
            <w:tcBorders>
              <w:top w:val="single" w:sz="17" w:space="0" w:color="333333"/>
              <w:left w:val="single" w:sz="9" w:space="0" w:color="333333"/>
              <w:bottom w:val="single" w:sz="2" w:space="0" w:color="000000"/>
              <w:right w:val="single" w:sz="9" w:space="0" w:color="333333"/>
            </w:tcBorders>
          </w:tcPr>
          <w:p w14:paraId="5C97A176" w14:textId="77777777" w:rsidR="001C6501" w:rsidRPr="002C70E8" w:rsidRDefault="001C6501" w:rsidP="001C6501">
            <w:pPr>
              <w:rPr>
                <w:sz w:val="16"/>
                <w:szCs w:val="16"/>
              </w:rPr>
            </w:pPr>
          </w:p>
        </w:tc>
        <w:tc>
          <w:tcPr>
            <w:tcW w:w="3544" w:type="dxa"/>
            <w:gridSpan w:val="5"/>
            <w:tcBorders>
              <w:top w:val="single" w:sz="17" w:space="0" w:color="333333"/>
              <w:left w:val="single" w:sz="9" w:space="0" w:color="333333"/>
              <w:bottom w:val="single" w:sz="2" w:space="0" w:color="000000"/>
              <w:right w:val="single" w:sz="9" w:space="0" w:color="333333"/>
            </w:tcBorders>
          </w:tcPr>
          <w:p w14:paraId="401A233A" w14:textId="77777777" w:rsidR="001C6501" w:rsidRPr="002C70E8" w:rsidRDefault="001C6501" w:rsidP="001C6501">
            <w:pPr>
              <w:rPr>
                <w:sz w:val="16"/>
                <w:szCs w:val="16"/>
              </w:rPr>
            </w:pPr>
          </w:p>
        </w:tc>
        <w:tc>
          <w:tcPr>
            <w:tcW w:w="1701" w:type="dxa"/>
            <w:tcBorders>
              <w:top w:val="single" w:sz="17" w:space="0" w:color="333333"/>
              <w:left w:val="single" w:sz="9" w:space="0" w:color="333333"/>
              <w:bottom w:val="single" w:sz="2" w:space="0" w:color="000000"/>
              <w:right w:val="single" w:sz="9" w:space="0" w:color="333333"/>
            </w:tcBorders>
          </w:tcPr>
          <w:p w14:paraId="45C64F79" w14:textId="77777777" w:rsidR="001C6501" w:rsidRPr="002C70E8" w:rsidRDefault="001C6501" w:rsidP="001C6501">
            <w:pPr>
              <w:rPr>
                <w:sz w:val="16"/>
                <w:szCs w:val="16"/>
              </w:rPr>
            </w:pPr>
          </w:p>
        </w:tc>
      </w:tr>
      <w:tr w:rsidR="002C70E8" w14:paraId="4C50ACCD" w14:textId="77777777" w:rsidTr="006B1840">
        <w:trPr>
          <w:trHeight w:hRule="exact" w:val="193"/>
        </w:trPr>
        <w:tc>
          <w:tcPr>
            <w:tcW w:w="1062" w:type="dxa"/>
            <w:vMerge/>
            <w:tcBorders>
              <w:left w:val="single" w:sz="9" w:space="0" w:color="333333"/>
              <w:right w:val="single" w:sz="9" w:space="0" w:color="333333"/>
            </w:tcBorders>
          </w:tcPr>
          <w:p w14:paraId="2EC73007" w14:textId="77777777" w:rsidR="001C6501" w:rsidRPr="002C70E8" w:rsidRDefault="001C6501" w:rsidP="001C6501">
            <w:pPr>
              <w:rPr>
                <w:sz w:val="16"/>
                <w:szCs w:val="16"/>
              </w:rPr>
            </w:pPr>
          </w:p>
        </w:tc>
        <w:tc>
          <w:tcPr>
            <w:tcW w:w="3119" w:type="dxa"/>
            <w:tcBorders>
              <w:top w:val="single" w:sz="2" w:space="0" w:color="000000"/>
              <w:left w:val="single" w:sz="9" w:space="0" w:color="333333"/>
              <w:bottom w:val="single" w:sz="2" w:space="0" w:color="000000"/>
              <w:right w:val="single" w:sz="9" w:space="0" w:color="000000"/>
            </w:tcBorders>
            <w:vAlign w:val="center"/>
          </w:tcPr>
          <w:p w14:paraId="2A8A41DA" w14:textId="1F856E80" w:rsidR="001C6501" w:rsidRPr="002C70E8" w:rsidRDefault="001C6501" w:rsidP="002C70E8">
            <w:pPr>
              <w:pStyle w:val="TableParagraph"/>
              <w:tabs>
                <w:tab w:val="left" w:pos="2268"/>
              </w:tabs>
              <w:spacing w:line="262" w:lineRule="auto"/>
              <w:ind w:left="27" w:right="283"/>
              <w:rPr>
                <w:rFonts w:ascii="Arial" w:eastAsia="Arial" w:hAnsi="Arial" w:cs="Arial"/>
                <w:sz w:val="16"/>
                <w:szCs w:val="16"/>
              </w:rPr>
            </w:pPr>
            <w:r w:rsidRPr="002C70E8">
              <w:rPr>
                <w:rFonts w:ascii="Arial"/>
                <w:sz w:val="16"/>
                <w:szCs w:val="16"/>
              </w:rPr>
              <w:t>Council</w:t>
            </w:r>
            <w:r w:rsidRPr="002C70E8">
              <w:rPr>
                <w:rFonts w:ascii="Arial"/>
                <w:spacing w:val="-1"/>
                <w:sz w:val="16"/>
                <w:szCs w:val="16"/>
              </w:rPr>
              <w:t xml:space="preserve"> </w:t>
            </w:r>
            <w:r w:rsidRPr="002C70E8">
              <w:rPr>
                <w:rFonts w:ascii="Arial"/>
                <w:sz w:val="16"/>
                <w:szCs w:val="16"/>
              </w:rPr>
              <w:t>Offices</w:t>
            </w:r>
            <w:r w:rsidRPr="002C70E8">
              <w:rPr>
                <w:rFonts w:ascii="Arial"/>
                <w:spacing w:val="-1"/>
                <w:sz w:val="16"/>
                <w:szCs w:val="16"/>
              </w:rPr>
              <w:t xml:space="preserve"> </w:t>
            </w:r>
            <w:r w:rsidRPr="002C70E8">
              <w:rPr>
                <w:rFonts w:ascii="Arial"/>
                <w:sz w:val="16"/>
                <w:szCs w:val="16"/>
              </w:rPr>
              <w:t>/</w:t>
            </w:r>
            <w:r w:rsidR="002C70E8" w:rsidRPr="002C70E8">
              <w:rPr>
                <w:rFonts w:ascii="Arial"/>
                <w:sz w:val="16"/>
                <w:szCs w:val="16"/>
              </w:rPr>
              <w:t xml:space="preserve"> </w:t>
            </w:r>
            <w:r w:rsidR="002C70E8" w:rsidRPr="002C70E8">
              <w:rPr>
                <w:rFonts w:ascii="Arial"/>
                <w:spacing w:val="23"/>
                <w:sz w:val="16"/>
                <w:szCs w:val="16"/>
              </w:rPr>
              <w:t>A</w:t>
            </w:r>
            <w:r w:rsidRPr="002C70E8">
              <w:rPr>
                <w:rFonts w:ascii="Arial"/>
                <w:sz w:val="16"/>
                <w:szCs w:val="16"/>
              </w:rPr>
              <w:t>dministration</w:t>
            </w:r>
          </w:p>
        </w:tc>
        <w:tc>
          <w:tcPr>
            <w:tcW w:w="1417" w:type="dxa"/>
            <w:tcBorders>
              <w:top w:val="single" w:sz="2" w:space="0" w:color="000000"/>
              <w:left w:val="single" w:sz="9" w:space="0" w:color="000000"/>
              <w:bottom w:val="single" w:sz="2" w:space="0" w:color="000000"/>
              <w:right w:val="single" w:sz="9" w:space="0" w:color="C0C0C0"/>
            </w:tcBorders>
          </w:tcPr>
          <w:p w14:paraId="150D22B6" w14:textId="77777777" w:rsidR="001C6501" w:rsidRPr="002C70E8" w:rsidRDefault="001C6501" w:rsidP="002C70E8">
            <w:pPr>
              <w:pStyle w:val="TableParagraph"/>
              <w:spacing w:before="20" w:line="220" w:lineRule="exact"/>
              <w:jc w:val="right"/>
              <w:rPr>
                <w:sz w:val="16"/>
                <w:szCs w:val="16"/>
              </w:rPr>
            </w:pPr>
          </w:p>
          <w:p w14:paraId="33F963C7" w14:textId="77777777" w:rsidR="001C6501" w:rsidRPr="002C70E8" w:rsidRDefault="001C6501" w:rsidP="002C70E8">
            <w:pPr>
              <w:pStyle w:val="TableParagraph"/>
              <w:ind w:left="670"/>
              <w:jc w:val="right"/>
              <w:rPr>
                <w:rFonts w:ascii="Arial" w:eastAsia="Arial" w:hAnsi="Arial" w:cs="Arial"/>
                <w:sz w:val="16"/>
                <w:szCs w:val="16"/>
              </w:rPr>
            </w:pPr>
            <w:r w:rsidRPr="002C70E8">
              <w:rPr>
                <w:rFonts w:ascii="Arial"/>
                <w:sz w:val="16"/>
                <w:szCs w:val="16"/>
              </w:rPr>
              <w:t>569</w:t>
            </w:r>
          </w:p>
        </w:tc>
        <w:tc>
          <w:tcPr>
            <w:tcW w:w="1417" w:type="dxa"/>
            <w:tcBorders>
              <w:top w:val="single" w:sz="2" w:space="0" w:color="000000"/>
              <w:left w:val="single" w:sz="9" w:space="0" w:color="C0C0C0"/>
              <w:bottom w:val="single" w:sz="2" w:space="0" w:color="000000"/>
              <w:right w:val="single" w:sz="9" w:space="0" w:color="000000"/>
            </w:tcBorders>
          </w:tcPr>
          <w:p w14:paraId="0175A3F6" w14:textId="77777777" w:rsidR="001C6501" w:rsidRPr="002C70E8" w:rsidRDefault="001C6501" w:rsidP="002C70E8">
            <w:pPr>
              <w:pStyle w:val="TableParagraph"/>
              <w:spacing w:before="20" w:line="220" w:lineRule="exact"/>
              <w:jc w:val="right"/>
              <w:rPr>
                <w:sz w:val="16"/>
                <w:szCs w:val="16"/>
              </w:rPr>
            </w:pPr>
          </w:p>
          <w:p w14:paraId="191FBF9B" w14:textId="77777777" w:rsidR="001C6501" w:rsidRPr="002C70E8" w:rsidRDefault="001C6501" w:rsidP="002C70E8">
            <w:pPr>
              <w:pStyle w:val="TableParagraph"/>
              <w:ind w:left="670"/>
              <w:jc w:val="right"/>
              <w:rPr>
                <w:rFonts w:ascii="Arial" w:eastAsia="Arial" w:hAnsi="Arial" w:cs="Arial"/>
                <w:sz w:val="16"/>
                <w:szCs w:val="16"/>
              </w:rPr>
            </w:pPr>
            <w:r w:rsidRPr="002C70E8">
              <w:rPr>
                <w:rFonts w:ascii="Arial"/>
                <w:sz w:val="16"/>
                <w:szCs w:val="16"/>
              </w:rPr>
              <w:t>552</w:t>
            </w:r>
          </w:p>
        </w:tc>
        <w:tc>
          <w:tcPr>
            <w:tcW w:w="1418" w:type="dxa"/>
            <w:tcBorders>
              <w:top w:val="single" w:sz="2" w:space="0" w:color="000000"/>
              <w:left w:val="single" w:sz="9" w:space="0" w:color="000000"/>
              <w:bottom w:val="single" w:sz="2" w:space="0" w:color="000000"/>
              <w:right w:val="single" w:sz="9" w:space="0" w:color="333333"/>
            </w:tcBorders>
          </w:tcPr>
          <w:p w14:paraId="7206495D" w14:textId="77777777" w:rsidR="001C6501" w:rsidRPr="002C70E8" w:rsidRDefault="001C6501" w:rsidP="002C70E8">
            <w:pPr>
              <w:pStyle w:val="TableParagraph"/>
              <w:spacing w:before="20" w:line="220" w:lineRule="exact"/>
              <w:jc w:val="right"/>
              <w:rPr>
                <w:sz w:val="16"/>
                <w:szCs w:val="16"/>
              </w:rPr>
            </w:pPr>
          </w:p>
          <w:p w14:paraId="763978FE" w14:textId="77777777" w:rsidR="001C6501" w:rsidRPr="002C70E8" w:rsidRDefault="001C6501" w:rsidP="002C70E8">
            <w:pPr>
              <w:pStyle w:val="TableParagraph"/>
              <w:ind w:left="393"/>
              <w:jc w:val="right"/>
              <w:rPr>
                <w:rFonts w:ascii="Arial" w:eastAsia="Arial" w:hAnsi="Arial" w:cs="Arial"/>
                <w:sz w:val="16"/>
                <w:szCs w:val="16"/>
              </w:rPr>
            </w:pPr>
            <w:r w:rsidRPr="002C70E8">
              <w:rPr>
                <w:rFonts w:ascii="Arial"/>
                <w:spacing w:val="-1"/>
                <w:sz w:val="16"/>
                <w:szCs w:val="16"/>
              </w:rPr>
              <w:t>15,629</w:t>
            </w:r>
          </w:p>
        </w:tc>
        <w:tc>
          <w:tcPr>
            <w:tcW w:w="1276" w:type="dxa"/>
            <w:tcBorders>
              <w:top w:val="single" w:sz="2" w:space="0" w:color="000000"/>
              <w:left w:val="single" w:sz="9" w:space="0" w:color="333333"/>
              <w:bottom w:val="single" w:sz="2" w:space="0" w:color="000000"/>
              <w:right w:val="single" w:sz="9" w:space="0" w:color="333333"/>
            </w:tcBorders>
          </w:tcPr>
          <w:p w14:paraId="15E3A8A1" w14:textId="77777777" w:rsidR="001C6501" w:rsidRPr="002C70E8" w:rsidRDefault="001C6501" w:rsidP="002C70E8">
            <w:pPr>
              <w:pStyle w:val="TableParagraph"/>
              <w:spacing w:before="20" w:line="220" w:lineRule="exact"/>
              <w:jc w:val="right"/>
              <w:rPr>
                <w:sz w:val="16"/>
                <w:szCs w:val="16"/>
              </w:rPr>
            </w:pPr>
          </w:p>
          <w:p w14:paraId="59C8E1CF" w14:textId="77777777" w:rsidR="001C6501" w:rsidRPr="002C70E8" w:rsidRDefault="001C6501" w:rsidP="002C70E8">
            <w:pPr>
              <w:pStyle w:val="TableParagraph"/>
              <w:ind w:left="504"/>
              <w:jc w:val="right"/>
              <w:rPr>
                <w:rFonts w:ascii="Arial" w:eastAsia="Arial" w:hAnsi="Arial" w:cs="Arial"/>
                <w:sz w:val="16"/>
                <w:szCs w:val="16"/>
              </w:rPr>
            </w:pPr>
            <w:r w:rsidRPr="002C70E8">
              <w:rPr>
                <w:rFonts w:ascii="Arial"/>
                <w:spacing w:val="-1"/>
                <w:sz w:val="16"/>
                <w:szCs w:val="16"/>
              </w:rPr>
              <w:t>7,319</w:t>
            </w:r>
          </w:p>
        </w:tc>
        <w:tc>
          <w:tcPr>
            <w:tcW w:w="709" w:type="dxa"/>
            <w:tcBorders>
              <w:top w:val="single" w:sz="2" w:space="0" w:color="000000"/>
              <w:left w:val="single" w:sz="9" w:space="0" w:color="333333"/>
              <w:bottom w:val="single" w:sz="2" w:space="0" w:color="000000"/>
              <w:right w:val="single" w:sz="9" w:space="0" w:color="C0C0C0"/>
            </w:tcBorders>
          </w:tcPr>
          <w:p w14:paraId="0A8B9A52" w14:textId="77777777" w:rsidR="001C6501" w:rsidRPr="002C70E8" w:rsidRDefault="001C6501" w:rsidP="002C70E8">
            <w:pPr>
              <w:pStyle w:val="TableParagraph"/>
              <w:spacing w:before="19" w:line="240" w:lineRule="exact"/>
              <w:jc w:val="right"/>
              <w:rPr>
                <w:sz w:val="16"/>
                <w:szCs w:val="16"/>
              </w:rPr>
            </w:pPr>
          </w:p>
          <w:p w14:paraId="28ABE048" w14:textId="77777777" w:rsidR="001C6501" w:rsidRPr="002C70E8" w:rsidRDefault="001C6501" w:rsidP="002C70E8">
            <w:pPr>
              <w:pStyle w:val="TableParagraph"/>
              <w:ind w:left="328"/>
              <w:jc w:val="right"/>
              <w:rPr>
                <w:rFonts w:ascii="Arial" w:eastAsia="Arial" w:hAnsi="Arial" w:cs="Arial"/>
                <w:sz w:val="16"/>
                <w:szCs w:val="16"/>
              </w:rPr>
            </w:pPr>
            <w:r w:rsidRPr="002C70E8">
              <w:rPr>
                <w:rFonts w:ascii="Arial"/>
                <w:spacing w:val="-1"/>
                <w:sz w:val="16"/>
                <w:szCs w:val="16"/>
              </w:rPr>
              <w:t>0%</w:t>
            </w:r>
          </w:p>
        </w:tc>
        <w:tc>
          <w:tcPr>
            <w:tcW w:w="709" w:type="dxa"/>
            <w:tcBorders>
              <w:top w:val="single" w:sz="2" w:space="0" w:color="000000"/>
              <w:left w:val="single" w:sz="9" w:space="0" w:color="C0C0C0"/>
              <w:bottom w:val="single" w:sz="2" w:space="0" w:color="000000"/>
              <w:right w:val="single" w:sz="9" w:space="0" w:color="C0C0C0"/>
            </w:tcBorders>
          </w:tcPr>
          <w:p w14:paraId="64C7EF3D" w14:textId="77777777" w:rsidR="001C6501" w:rsidRPr="002C70E8" w:rsidRDefault="001C6501" w:rsidP="002C70E8">
            <w:pPr>
              <w:pStyle w:val="TableParagraph"/>
              <w:spacing w:before="19" w:line="240" w:lineRule="exact"/>
              <w:jc w:val="right"/>
              <w:rPr>
                <w:sz w:val="16"/>
                <w:szCs w:val="16"/>
              </w:rPr>
            </w:pPr>
          </w:p>
          <w:p w14:paraId="6531E321" w14:textId="77777777" w:rsidR="001C6501" w:rsidRPr="002C70E8" w:rsidRDefault="001C6501" w:rsidP="002C70E8">
            <w:pPr>
              <w:pStyle w:val="TableParagraph"/>
              <w:ind w:left="298"/>
              <w:jc w:val="right"/>
              <w:rPr>
                <w:rFonts w:ascii="Arial" w:eastAsia="Arial" w:hAnsi="Arial" w:cs="Arial"/>
                <w:sz w:val="16"/>
                <w:szCs w:val="16"/>
              </w:rPr>
            </w:pPr>
            <w:r w:rsidRPr="002C70E8">
              <w:rPr>
                <w:rFonts w:ascii="Arial"/>
                <w:spacing w:val="-1"/>
                <w:sz w:val="16"/>
                <w:szCs w:val="16"/>
              </w:rPr>
              <w:t>20%</w:t>
            </w:r>
          </w:p>
        </w:tc>
        <w:tc>
          <w:tcPr>
            <w:tcW w:w="709" w:type="dxa"/>
            <w:tcBorders>
              <w:top w:val="single" w:sz="2" w:space="0" w:color="000000"/>
              <w:left w:val="single" w:sz="9" w:space="0" w:color="C0C0C0"/>
              <w:bottom w:val="single" w:sz="2" w:space="0" w:color="000000"/>
              <w:right w:val="single" w:sz="9" w:space="0" w:color="C0C0C0"/>
            </w:tcBorders>
          </w:tcPr>
          <w:p w14:paraId="45E35F60" w14:textId="77777777" w:rsidR="001C6501" w:rsidRPr="002C70E8" w:rsidRDefault="001C6501" w:rsidP="002C70E8">
            <w:pPr>
              <w:pStyle w:val="TableParagraph"/>
              <w:spacing w:before="19" w:line="240" w:lineRule="exact"/>
              <w:jc w:val="right"/>
              <w:rPr>
                <w:sz w:val="16"/>
                <w:szCs w:val="16"/>
              </w:rPr>
            </w:pPr>
          </w:p>
          <w:p w14:paraId="3ECEBF6A" w14:textId="77777777" w:rsidR="001C6501" w:rsidRPr="002C70E8" w:rsidRDefault="001C6501" w:rsidP="002C70E8">
            <w:pPr>
              <w:pStyle w:val="TableParagraph"/>
              <w:ind w:left="298"/>
              <w:jc w:val="right"/>
              <w:rPr>
                <w:rFonts w:ascii="Arial" w:eastAsia="Arial" w:hAnsi="Arial" w:cs="Arial"/>
                <w:sz w:val="16"/>
                <w:szCs w:val="16"/>
              </w:rPr>
            </w:pPr>
            <w:r w:rsidRPr="002C70E8">
              <w:rPr>
                <w:rFonts w:ascii="Arial"/>
                <w:spacing w:val="-1"/>
                <w:sz w:val="16"/>
                <w:szCs w:val="16"/>
              </w:rPr>
              <w:t>60%</w:t>
            </w:r>
          </w:p>
        </w:tc>
        <w:tc>
          <w:tcPr>
            <w:tcW w:w="708" w:type="dxa"/>
            <w:tcBorders>
              <w:top w:val="single" w:sz="2" w:space="0" w:color="000000"/>
              <w:left w:val="single" w:sz="9" w:space="0" w:color="C0C0C0"/>
              <w:bottom w:val="single" w:sz="2" w:space="0" w:color="000000"/>
              <w:right w:val="single" w:sz="9" w:space="0" w:color="C0C0C0"/>
            </w:tcBorders>
          </w:tcPr>
          <w:p w14:paraId="1C9221AC" w14:textId="77777777" w:rsidR="001C6501" w:rsidRPr="002C70E8" w:rsidRDefault="001C6501" w:rsidP="002C70E8">
            <w:pPr>
              <w:pStyle w:val="TableParagraph"/>
              <w:spacing w:before="19" w:line="240" w:lineRule="exact"/>
              <w:jc w:val="right"/>
              <w:rPr>
                <w:sz w:val="16"/>
                <w:szCs w:val="16"/>
              </w:rPr>
            </w:pPr>
          </w:p>
          <w:p w14:paraId="2D2286FF" w14:textId="77777777" w:rsidR="001C6501" w:rsidRPr="002C70E8" w:rsidRDefault="001C6501" w:rsidP="002C70E8">
            <w:pPr>
              <w:pStyle w:val="TableParagraph"/>
              <w:ind w:left="298"/>
              <w:jc w:val="right"/>
              <w:rPr>
                <w:rFonts w:ascii="Arial" w:eastAsia="Arial" w:hAnsi="Arial" w:cs="Arial"/>
                <w:sz w:val="16"/>
                <w:szCs w:val="16"/>
              </w:rPr>
            </w:pPr>
            <w:r w:rsidRPr="002C70E8">
              <w:rPr>
                <w:rFonts w:ascii="Arial"/>
                <w:spacing w:val="-1"/>
                <w:sz w:val="16"/>
                <w:szCs w:val="16"/>
              </w:rPr>
              <w:t>15%</w:t>
            </w:r>
          </w:p>
        </w:tc>
        <w:tc>
          <w:tcPr>
            <w:tcW w:w="709" w:type="dxa"/>
            <w:tcBorders>
              <w:top w:val="single" w:sz="2" w:space="0" w:color="000000"/>
              <w:left w:val="single" w:sz="9" w:space="0" w:color="C0C0C0"/>
              <w:bottom w:val="single" w:sz="2" w:space="0" w:color="000000"/>
              <w:right w:val="single" w:sz="9" w:space="0" w:color="333333"/>
            </w:tcBorders>
          </w:tcPr>
          <w:p w14:paraId="20A1B15E" w14:textId="77777777" w:rsidR="001C6501" w:rsidRPr="002C70E8" w:rsidRDefault="001C6501" w:rsidP="002C70E8">
            <w:pPr>
              <w:pStyle w:val="TableParagraph"/>
              <w:spacing w:before="19" w:line="240" w:lineRule="exact"/>
              <w:jc w:val="right"/>
              <w:rPr>
                <w:sz w:val="16"/>
                <w:szCs w:val="16"/>
              </w:rPr>
            </w:pPr>
          </w:p>
          <w:p w14:paraId="761E169F" w14:textId="77777777" w:rsidR="001C6501" w:rsidRPr="002C70E8" w:rsidRDefault="001C6501" w:rsidP="002C70E8">
            <w:pPr>
              <w:pStyle w:val="TableParagraph"/>
              <w:ind w:left="328"/>
              <w:jc w:val="right"/>
              <w:rPr>
                <w:rFonts w:ascii="Arial" w:eastAsia="Arial" w:hAnsi="Arial" w:cs="Arial"/>
                <w:sz w:val="16"/>
                <w:szCs w:val="16"/>
              </w:rPr>
            </w:pPr>
            <w:r w:rsidRPr="002C70E8">
              <w:rPr>
                <w:rFonts w:ascii="Arial"/>
                <w:spacing w:val="-1"/>
                <w:sz w:val="16"/>
                <w:szCs w:val="16"/>
              </w:rPr>
              <w:t>5%</w:t>
            </w:r>
          </w:p>
        </w:tc>
        <w:tc>
          <w:tcPr>
            <w:tcW w:w="1701" w:type="dxa"/>
            <w:tcBorders>
              <w:top w:val="single" w:sz="2" w:space="0" w:color="000000"/>
              <w:left w:val="single" w:sz="9" w:space="0" w:color="333333"/>
              <w:bottom w:val="single" w:sz="2" w:space="0" w:color="000000"/>
              <w:right w:val="single" w:sz="9" w:space="0" w:color="333333"/>
            </w:tcBorders>
          </w:tcPr>
          <w:p w14:paraId="7B56C9CB" w14:textId="77777777" w:rsidR="001C6501" w:rsidRPr="002C70E8" w:rsidRDefault="001C6501" w:rsidP="002C70E8">
            <w:pPr>
              <w:pStyle w:val="TableParagraph"/>
              <w:spacing w:before="20" w:line="220" w:lineRule="exact"/>
              <w:jc w:val="right"/>
              <w:rPr>
                <w:sz w:val="16"/>
                <w:szCs w:val="16"/>
              </w:rPr>
            </w:pPr>
          </w:p>
          <w:p w14:paraId="4B887080" w14:textId="77777777" w:rsidR="001C6501" w:rsidRPr="002C70E8" w:rsidRDefault="001C6501" w:rsidP="002C70E8">
            <w:pPr>
              <w:pStyle w:val="TableParagraph"/>
              <w:ind w:left="504"/>
              <w:jc w:val="right"/>
              <w:rPr>
                <w:rFonts w:ascii="Arial" w:eastAsia="Arial" w:hAnsi="Arial" w:cs="Arial"/>
                <w:sz w:val="16"/>
                <w:szCs w:val="16"/>
              </w:rPr>
            </w:pPr>
            <w:r w:rsidRPr="002C70E8">
              <w:rPr>
                <w:rFonts w:ascii="Arial"/>
                <w:spacing w:val="-1"/>
                <w:sz w:val="16"/>
                <w:szCs w:val="16"/>
              </w:rPr>
              <w:t>3,126</w:t>
            </w:r>
          </w:p>
        </w:tc>
      </w:tr>
      <w:tr w:rsidR="002C70E8" w14:paraId="298E4BA9" w14:textId="77777777" w:rsidTr="006B1840">
        <w:trPr>
          <w:trHeight w:hRule="exact" w:val="243"/>
        </w:trPr>
        <w:tc>
          <w:tcPr>
            <w:tcW w:w="1062" w:type="dxa"/>
            <w:vMerge/>
            <w:tcBorders>
              <w:left w:val="single" w:sz="9" w:space="0" w:color="333333"/>
              <w:right w:val="single" w:sz="9" w:space="0" w:color="333333"/>
            </w:tcBorders>
          </w:tcPr>
          <w:p w14:paraId="4E020731" w14:textId="77777777" w:rsidR="001C6501" w:rsidRPr="002C70E8" w:rsidRDefault="001C6501" w:rsidP="001C6501">
            <w:pPr>
              <w:rPr>
                <w:sz w:val="16"/>
                <w:szCs w:val="16"/>
              </w:rPr>
            </w:pPr>
          </w:p>
        </w:tc>
        <w:tc>
          <w:tcPr>
            <w:tcW w:w="3119" w:type="dxa"/>
            <w:tcBorders>
              <w:top w:val="single" w:sz="2" w:space="0" w:color="000000"/>
              <w:left w:val="single" w:sz="9" w:space="0" w:color="333333"/>
              <w:bottom w:val="single" w:sz="2" w:space="0" w:color="000000"/>
              <w:right w:val="single" w:sz="9" w:space="0" w:color="000000"/>
            </w:tcBorders>
          </w:tcPr>
          <w:p w14:paraId="3EDAD105" w14:textId="77777777" w:rsidR="001C6501" w:rsidRPr="002C70E8" w:rsidRDefault="001C6501" w:rsidP="001C6501">
            <w:pPr>
              <w:pStyle w:val="TableParagraph"/>
              <w:spacing w:line="224" w:lineRule="exact"/>
              <w:ind w:left="27"/>
              <w:rPr>
                <w:rFonts w:ascii="Arial" w:eastAsia="Arial" w:hAnsi="Arial" w:cs="Arial"/>
                <w:sz w:val="16"/>
                <w:szCs w:val="16"/>
              </w:rPr>
            </w:pPr>
            <w:r w:rsidRPr="002C70E8">
              <w:rPr>
                <w:rFonts w:ascii="Arial"/>
                <w:sz w:val="16"/>
                <w:szCs w:val="16"/>
              </w:rPr>
              <w:t>Recreational</w:t>
            </w:r>
            <w:r w:rsidRPr="002C70E8">
              <w:rPr>
                <w:rFonts w:ascii="Arial"/>
                <w:spacing w:val="-1"/>
                <w:sz w:val="16"/>
                <w:szCs w:val="16"/>
              </w:rPr>
              <w:t xml:space="preserve"> </w:t>
            </w:r>
            <w:r w:rsidRPr="002C70E8">
              <w:rPr>
                <w:rFonts w:ascii="Arial"/>
                <w:sz w:val="16"/>
                <w:szCs w:val="16"/>
              </w:rPr>
              <w:t>&amp;</w:t>
            </w:r>
            <w:r w:rsidRPr="002C70E8">
              <w:rPr>
                <w:rFonts w:ascii="Arial"/>
                <w:spacing w:val="-1"/>
                <w:sz w:val="16"/>
                <w:szCs w:val="16"/>
              </w:rPr>
              <w:t xml:space="preserve"> Cultural</w:t>
            </w:r>
            <w:r w:rsidRPr="002C70E8">
              <w:rPr>
                <w:rFonts w:ascii="Arial"/>
                <w:sz w:val="16"/>
                <w:szCs w:val="16"/>
              </w:rPr>
              <w:t xml:space="preserve"> Facilities</w:t>
            </w:r>
          </w:p>
        </w:tc>
        <w:tc>
          <w:tcPr>
            <w:tcW w:w="1417" w:type="dxa"/>
            <w:tcBorders>
              <w:top w:val="single" w:sz="2" w:space="0" w:color="000000"/>
              <w:left w:val="single" w:sz="9" w:space="0" w:color="000000"/>
              <w:bottom w:val="single" w:sz="2" w:space="0" w:color="000000"/>
              <w:right w:val="single" w:sz="9" w:space="0" w:color="C0C0C0"/>
            </w:tcBorders>
          </w:tcPr>
          <w:p w14:paraId="6B918E12" w14:textId="77777777" w:rsidR="001C6501" w:rsidRPr="002C70E8" w:rsidRDefault="001C6501" w:rsidP="002C70E8">
            <w:pPr>
              <w:pStyle w:val="TableParagraph"/>
              <w:spacing w:line="224" w:lineRule="exact"/>
              <w:ind w:left="504"/>
              <w:jc w:val="right"/>
              <w:rPr>
                <w:rFonts w:ascii="Arial" w:eastAsia="Arial" w:hAnsi="Arial" w:cs="Arial"/>
                <w:sz w:val="16"/>
                <w:szCs w:val="16"/>
              </w:rPr>
            </w:pPr>
            <w:r w:rsidRPr="002C70E8">
              <w:rPr>
                <w:rFonts w:ascii="Arial"/>
                <w:spacing w:val="-1"/>
                <w:sz w:val="16"/>
                <w:szCs w:val="16"/>
              </w:rPr>
              <w:t>1,008</w:t>
            </w:r>
          </w:p>
        </w:tc>
        <w:tc>
          <w:tcPr>
            <w:tcW w:w="1417" w:type="dxa"/>
            <w:tcBorders>
              <w:top w:val="single" w:sz="2" w:space="0" w:color="000000"/>
              <w:left w:val="single" w:sz="9" w:space="0" w:color="C0C0C0"/>
              <w:bottom w:val="single" w:sz="2" w:space="0" w:color="000000"/>
              <w:right w:val="single" w:sz="9" w:space="0" w:color="000000"/>
            </w:tcBorders>
          </w:tcPr>
          <w:p w14:paraId="4A043FE6" w14:textId="77777777" w:rsidR="001C6501" w:rsidRPr="002C70E8" w:rsidRDefault="001C6501" w:rsidP="002C70E8">
            <w:pPr>
              <w:pStyle w:val="TableParagraph"/>
              <w:spacing w:line="224" w:lineRule="exact"/>
              <w:ind w:left="504"/>
              <w:jc w:val="right"/>
              <w:rPr>
                <w:rFonts w:ascii="Arial" w:eastAsia="Arial" w:hAnsi="Arial" w:cs="Arial"/>
                <w:sz w:val="16"/>
                <w:szCs w:val="16"/>
              </w:rPr>
            </w:pPr>
            <w:r w:rsidRPr="002C70E8">
              <w:rPr>
                <w:rFonts w:ascii="Arial"/>
                <w:spacing w:val="-1"/>
                <w:sz w:val="16"/>
                <w:szCs w:val="16"/>
              </w:rPr>
              <w:t>1,008</w:t>
            </w:r>
          </w:p>
        </w:tc>
        <w:tc>
          <w:tcPr>
            <w:tcW w:w="1418" w:type="dxa"/>
            <w:tcBorders>
              <w:top w:val="single" w:sz="2" w:space="0" w:color="000000"/>
              <w:left w:val="single" w:sz="9" w:space="0" w:color="000000"/>
              <w:bottom w:val="single" w:sz="2" w:space="0" w:color="000000"/>
              <w:right w:val="single" w:sz="9" w:space="0" w:color="333333"/>
            </w:tcBorders>
          </w:tcPr>
          <w:p w14:paraId="20144208" w14:textId="77777777" w:rsidR="001C6501" w:rsidRPr="002C70E8" w:rsidRDefault="001C6501" w:rsidP="002C70E8">
            <w:pPr>
              <w:pStyle w:val="TableParagraph"/>
              <w:spacing w:line="224" w:lineRule="exact"/>
              <w:ind w:left="393"/>
              <w:jc w:val="right"/>
              <w:rPr>
                <w:rFonts w:ascii="Arial" w:eastAsia="Arial" w:hAnsi="Arial" w:cs="Arial"/>
                <w:sz w:val="16"/>
                <w:szCs w:val="16"/>
              </w:rPr>
            </w:pPr>
            <w:r w:rsidRPr="002C70E8">
              <w:rPr>
                <w:rFonts w:ascii="Arial"/>
                <w:spacing w:val="-1"/>
                <w:sz w:val="16"/>
                <w:szCs w:val="16"/>
              </w:rPr>
              <w:t>51,799</w:t>
            </w:r>
          </w:p>
        </w:tc>
        <w:tc>
          <w:tcPr>
            <w:tcW w:w="1276" w:type="dxa"/>
            <w:tcBorders>
              <w:top w:val="single" w:sz="2" w:space="0" w:color="000000"/>
              <w:left w:val="single" w:sz="9" w:space="0" w:color="333333"/>
              <w:bottom w:val="single" w:sz="2" w:space="0" w:color="000000"/>
              <w:right w:val="single" w:sz="9" w:space="0" w:color="333333"/>
            </w:tcBorders>
          </w:tcPr>
          <w:p w14:paraId="443600D3" w14:textId="77777777" w:rsidR="001C6501" w:rsidRPr="002C70E8" w:rsidRDefault="001C6501" w:rsidP="002C70E8">
            <w:pPr>
              <w:pStyle w:val="TableParagraph"/>
              <w:spacing w:line="224" w:lineRule="exact"/>
              <w:ind w:left="393"/>
              <w:jc w:val="right"/>
              <w:rPr>
                <w:rFonts w:ascii="Arial" w:eastAsia="Arial" w:hAnsi="Arial" w:cs="Arial"/>
                <w:sz w:val="16"/>
                <w:szCs w:val="16"/>
              </w:rPr>
            </w:pPr>
            <w:r w:rsidRPr="002C70E8">
              <w:rPr>
                <w:rFonts w:ascii="Arial"/>
                <w:spacing w:val="-1"/>
                <w:sz w:val="16"/>
                <w:szCs w:val="16"/>
              </w:rPr>
              <w:t>30,741</w:t>
            </w:r>
          </w:p>
        </w:tc>
        <w:tc>
          <w:tcPr>
            <w:tcW w:w="709" w:type="dxa"/>
            <w:tcBorders>
              <w:top w:val="single" w:sz="2" w:space="0" w:color="000000"/>
              <w:left w:val="single" w:sz="9" w:space="0" w:color="333333"/>
              <w:bottom w:val="single" w:sz="2" w:space="0" w:color="000000"/>
              <w:right w:val="single" w:sz="9" w:space="0" w:color="C0C0C0"/>
            </w:tcBorders>
          </w:tcPr>
          <w:p w14:paraId="66CA8946" w14:textId="77777777" w:rsidR="001C6501" w:rsidRPr="002C70E8" w:rsidRDefault="001C6501" w:rsidP="002C70E8">
            <w:pPr>
              <w:pStyle w:val="TableParagraph"/>
              <w:spacing w:before="13"/>
              <w:ind w:left="328"/>
              <w:jc w:val="right"/>
              <w:rPr>
                <w:rFonts w:ascii="Arial" w:eastAsia="Arial" w:hAnsi="Arial" w:cs="Arial"/>
                <w:sz w:val="16"/>
                <w:szCs w:val="16"/>
              </w:rPr>
            </w:pPr>
            <w:r w:rsidRPr="002C70E8">
              <w:rPr>
                <w:rFonts w:ascii="Arial"/>
                <w:spacing w:val="-1"/>
                <w:sz w:val="16"/>
                <w:szCs w:val="16"/>
              </w:rPr>
              <w:t>5%</w:t>
            </w:r>
          </w:p>
        </w:tc>
        <w:tc>
          <w:tcPr>
            <w:tcW w:w="709" w:type="dxa"/>
            <w:tcBorders>
              <w:top w:val="single" w:sz="2" w:space="0" w:color="000000"/>
              <w:left w:val="single" w:sz="9" w:space="0" w:color="C0C0C0"/>
              <w:bottom w:val="single" w:sz="2" w:space="0" w:color="000000"/>
              <w:right w:val="single" w:sz="9" w:space="0" w:color="C0C0C0"/>
            </w:tcBorders>
          </w:tcPr>
          <w:p w14:paraId="03012E7B" w14:textId="77777777" w:rsidR="001C6501" w:rsidRPr="002C70E8" w:rsidRDefault="001C6501" w:rsidP="002C70E8">
            <w:pPr>
              <w:pStyle w:val="TableParagraph"/>
              <w:spacing w:before="13"/>
              <w:ind w:left="327"/>
              <w:jc w:val="right"/>
              <w:rPr>
                <w:rFonts w:ascii="Arial" w:eastAsia="Arial" w:hAnsi="Arial" w:cs="Arial"/>
                <w:sz w:val="16"/>
                <w:szCs w:val="16"/>
              </w:rPr>
            </w:pPr>
            <w:r w:rsidRPr="002C70E8">
              <w:rPr>
                <w:rFonts w:ascii="Arial"/>
                <w:spacing w:val="-1"/>
                <w:sz w:val="16"/>
                <w:szCs w:val="16"/>
              </w:rPr>
              <w:t>5%</w:t>
            </w:r>
          </w:p>
        </w:tc>
        <w:tc>
          <w:tcPr>
            <w:tcW w:w="709" w:type="dxa"/>
            <w:tcBorders>
              <w:top w:val="single" w:sz="2" w:space="0" w:color="000000"/>
              <w:left w:val="single" w:sz="9" w:space="0" w:color="C0C0C0"/>
              <w:bottom w:val="single" w:sz="2" w:space="0" w:color="000000"/>
              <w:right w:val="single" w:sz="9" w:space="0" w:color="C0C0C0"/>
            </w:tcBorders>
          </w:tcPr>
          <w:p w14:paraId="5F60D54F" w14:textId="77777777" w:rsidR="001C6501" w:rsidRPr="002C70E8" w:rsidRDefault="001C6501" w:rsidP="002C70E8">
            <w:pPr>
              <w:pStyle w:val="TableParagraph"/>
              <w:spacing w:before="13"/>
              <w:ind w:left="298"/>
              <w:jc w:val="right"/>
              <w:rPr>
                <w:rFonts w:ascii="Arial" w:eastAsia="Arial" w:hAnsi="Arial" w:cs="Arial"/>
                <w:sz w:val="16"/>
                <w:szCs w:val="16"/>
              </w:rPr>
            </w:pPr>
            <w:r w:rsidRPr="002C70E8">
              <w:rPr>
                <w:rFonts w:ascii="Arial"/>
                <w:spacing w:val="-1"/>
                <w:sz w:val="16"/>
                <w:szCs w:val="16"/>
              </w:rPr>
              <w:t>70%</w:t>
            </w:r>
          </w:p>
        </w:tc>
        <w:tc>
          <w:tcPr>
            <w:tcW w:w="708" w:type="dxa"/>
            <w:tcBorders>
              <w:top w:val="single" w:sz="2" w:space="0" w:color="000000"/>
              <w:left w:val="single" w:sz="9" w:space="0" w:color="C0C0C0"/>
              <w:bottom w:val="single" w:sz="2" w:space="0" w:color="000000"/>
              <w:right w:val="single" w:sz="9" w:space="0" w:color="C0C0C0"/>
            </w:tcBorders>
          </w:tcPr>
          <w:p w14:paraId="20E4337C" w14:textId="77777777" w:rsidR="001C6501" w:rsidRPr="002C70E8" w:rsidRDefault="001C6501" w:rsidP="002C70E8">
            <w:pPr>
              <w:pStyle w:val="TableParagraph"/>
              <w:spacing w:before="13"/>
              <w:ind w:left="298"/>
              <w:jc w:val="right"/>
              <w:rPr>
                <w:rFonts w:ascii="Arial" w:eastAsia="Arial" w:hAnsi="Arial" w:cs="Arial"/>
                <w:sz w:val="16"/>
                <w:szCs w:val="16"/>
              </w:rPr>
            </w:pPr>
            <w:r w:rsidRPr="002C70E8">
              <w:rPr>
                <w:rFonts w:ascii="Arial"/>
                <w:spacing w:val="-1"/>
                <w:sz w:val="16"/>
                <w:szCs w:val="16"/>
              </w:rPr>
              <w:t>15%</w:t>
            </w:r>
          </w:p>
        </w:tc>
        <w:tc>
          <w:tcPr>
            <w:tcW w:w="709" w:type="dxa"/>
            <w:tcBorders>
              <w:top w:val="single" w:sz="2" w:space="0" w:color="000000"/>
              <w:left w:val="single" w:sz="9" w:space="0" w:color="C0C0C0"/>
              <w:bottom w:val="single" w:sz="2" w:space="0" w:color="000000"/>
              <w:right w:val="single" w:sz="9" w:space="0" w:color="333333"/>
            </w:tcBorders>
          </w:tcPr>
          <w:p w14:paraId="6D97E938" w14:textId="77777777" w:rsidR="001C6501" w:rsidRPr="002C70E8" w:rsidRDefault="001C6501" w:rsidP="002C70E8">
            <w:pPr>
              <w:pStyle w:val="TableParagraph"/>
              <w:spacing w:before="13"/>
              <w:ind w:left="328"/>
              <w:jc w:val="right"/>
              <w:rPr>
                <w:rFonts w:ascii="Arial" w:eastAsia="Arial" w:hAnsi="Arial" w:cs="Arial"/>
                <w:sz w:val="16"/>
                <w:szCs w:val="16"/>
              </w:rPr>
            </w:pPr>
            <w:r w:rsidRPr="002C70E8">
              <w:rPr>
                <w:rFonts w:ascii="Arial"/>
                <w:spacing w:val="-1"/>
                <w:sz w:val="16"/>
                <w:szCs w:val="16"/>
              </w:rPr>
              <w:t>5%</w:t>
            </w:r>
          </w:p>
        </w:tc>
        <w:tc>
          <w:tcPr>
            <w:tcW w:w="1701" w:type="dxa"/>
            <w:tcBorders>
              <w:top w:val="single" w:sz="2" w:space="0" w:color="000000"/>
              <w:left w:val="single" w:sz="9" w:space="0" w:color="333333"/>
              <w:bottom w:val="single" w:sz="2" w:space="0" w:color="000000"/>
              <w:right w:val="single" w:sz="9" w:space="0" w:color="333333"/>
            </w:tcBorders>
          </w:tcPr>
          <w:p w14:paraId="77DB0CFD" w14:textId="77777777" w:rsidR="001C6501" w:rsidRPr="002C70E8" w:rsidRDefault="001C6501" w:rsidP="002C70E8">
            <w:pPr>
              <w:pStyle w:val="TableParagraph"/>
              <w:spacing w:line="224" w:lineRule="exact"/>
              <w:ind w:left="393"/>
              <w:jc w:val="right"/>
              <w:rPr>
                <w:rFonts w:ascii="Arial" w:eastAsia="Arial" w:hAnsi="Arial" w:cs="Arial"/>
                <w:sz w:val="16"/>
                <w:szCs w:val="16"/>
              </w:rPr>
            </w:pPr>
            <w:r w:rsidRPr="002C70E8">
              <w:rPr>
                <w:rFonts w:ascii="Arial"/>
                <w:spacing w:val="-1"/>
                <w:sz w:val="16"/>
                <w:szCs w:val="16"/>
              </w:rPr>
              <w:t>10,360</w:t>
            </w:r>
          </w:p>
        </w:tc>
      </w:tr>
      <w:tr w:rsidR="002C70E8" w14:paraId="7835E39C" w14:textId="77777777" w:rsidTr="006B1840">
        <w:trPr>
          <w:trHeight w:hRule="exact" w:val="243"/>
        </w:trPr>
        <w:tc>
          <w:tcPr>
            <w:tcW w:w="1062" w:type="dxa"/>
            <w:vMerge/>
            <w:tcBorders>
              <w:left w:val="single" w:sz="9" w:space="0" w:color="333333"/>
              <w:right w:val="single" w:sz="9" w:space="0" w:color="333333"/>
            </w:tcBorders>
          </w:tcPr>
          <w:p w14:paraId="52F94EB6" w14:textId="77777777" w:rsidR="001C6501" w:rsidRPr="002C70E8" w:rsidRDefault="001C6501" w:rsidP="001C6501">
            <w:pPr>
              <w:rPr>
                <w:sz w:val="16"/>
                <w:szCs w:val="16"/>
              </w:rPr>
            </w:pPr>
          </w:p>
        </w:tc>
        <w:tc>
          <w:tcPr>
            <w:tcW w:w="3119" w:type="dxa"/>
            <w:tcBorders>
              <w:top w:val="single" w:sz="2" w:space="0" w:color="000000"/>
              <w:left w:val="single" w:sz="9" w:space="0" w:color="333333"/>
              <w:bottom w:val="single" w:sz="2" w:space="0" w:color="000000"/>
              <w:right w:val="single" w:sz="9" w:space="0" w:color="000000"/>
            </w:tcBorders>
          </w:tcPr>
          <w:p w14:paraId="414D7E6C" w14:textId="77777777" w:rsidR="001C6501" w:rsidRPr="002C70E8" w:rsidRDefault="001C6501" w:rsidP="001C6501">
            <w:pPr>
              <w:pStyle w:val="TableParagraph"/>
              <w:spacing w:line="224" w:lineRule="exact"/>
              <w:ind w:left="27"/>
              <w:rPr>
                <w:rFonts w:ascii="Arial" w:eastAsia="Arial" w:hAnsi="Arial" w:cs="Arial"/>
                <w:sz w:val="16"/>
                <w:szCs w:val="16"/>
              </w:rPr>
            </w:pPr>
            <w:r w:rsidRPr="002C70E8">
              <w:rPr>
                <w:rFonts w:ascii="Arial"/>
                <w:sz w:val="16"/>
                <w:szCs w:val="16"/>
              </w:rPr>
              <w:t>Health</w:t>
            </w:r>
            <w:r w:rsidRPr="002C70E8">
              <w:rPr>
                <w:rFonts w:ascii="Arial"/>
                <w:spacing w:val="-1"/>
                <w:sz w:val="16"/>
                <w:szCs w:val="16"/>
              </w:rPr>
              <w:t xml:space="preserve"> </w:t>
            </w:r>
            <w:r w:rsidRPr="002C70E8">
              <w:rPr>
                <w:rFonts w:ascii="Arial"/>
                <w:sz w:val="16"/>
                <w:szCs w:val="16"/>
              </w:rPr>
              <w:t>&amp;</w:t>
            </w:r>
            <w:r w:rsidRPr="002C70E8">
              <w:rPr>
                <w:rFonts w:ascii="Arial"/>
                <w:spacing w:val="-1"/>
                <w:sz w:val="16"/>
                <w:szCs w:val="16"/>
              </w:rPr>
              <w:t xml:space="preserve"> </w:t>
            </w:r>
            <w:r w:rsidRPr="002C70E8">
              <w:rPr>
                <w:rFonts w:ascii="Arial"/>
                <w:sz w:val="16"/>
                <w:szCs w:val="16"/>
              </w:rPr>
              <w:t>Community</w:t>
            </w:r>
          </w:p>
        </w:tc>
        <w:tc>
          <w:tcPr>
            <w:tcW w:w="1417" w:type="dxa"/>
            <w:tcBorders>
              <w:top w:val="single" w:sz="2" w:space="0" w:color="000000"/>
              <w:left w:val="single" w:sz="9" w:space="0" w:color="000000"/>
              <w:bottom w:val="single" w:sz="2" w:space="0" w:color="000000"/>
              <w:right w:val="single" w:sz="9" w:space="0" w:color="C0C0C0"/>
            </w:tcBorders>
          </w:tcPr>
          <w:p w14:paraId="54F7DB10" w14:textId="77777777" w:rsidR="001C6501" w:rsidRPr="002C70E8" w:rsidRDefault="001C6501" w:rsidP="002C70E8">
            <w:pPr>
              <w:pStyle w:val="TableParagraph"/>
              <w:spacing w:line="224" w:lineRule="exact"/>
              <w:ind w:left="670"/>
              <w:jc w:val="right"/>
              <w:rPr>
                <w:rFonts w:ascii="Arial" w:eastAsia="Arial" w:hAnsi="Arial" w:cs="Arial"/>
                <w:sz w:val="16"/>
                <w:szCs w:val="16"/>
              </w:rPr>
            </w:pPr>
            <w:r w:rsidRPr="002C70E8">
              <w:rPr>
                <w:rFonts w:ascii="Arial"/>
                <w:sz w:val="16"/>
                <w:szCs w:val="16"/>
              </w:rPr>
              <w:t>263</w:t>
            </w:r>
          </w:p>
        </w:tc>
        <w:tc>
          <w:tcPr>
            <w:tcW w:w="1417" w:type="dxa"/>
            <w:tcBorders>
              <w:top w:val="single" w:sz="2" w:space="0" w:color="000000"/>
              <w:left w:val="single" w:sz="9" w:space="0" w:color="C0C0C0"/>
              <w:bottom w:val="single" w:sz="2" w:space="0" w:color="000000"/>
              <w:right w:val="single" w:sz="9" w:space="0" w:color="000000"/>
            </w:tcBorders>
          </w:tcPr>
          <w:p w14:paraId="439BC8E2" w14:textId="77777777" w:rsidR="001C6501" w:rsidRPr="002C70E8" w:rsidRDefault="001C6501" w:rsidP="002C70E8">
            <w:pPr>
              <w:pStyle w:val="TableParagraph"/>
              <w:spacing w:line="224" w:lineRule="exact"/>
              <w:ind w:left="670"/>
              <w:jc w:val="right"/>
              <w:rPr>
                <w:rFonts w:ascii="Arial" w:eastAsia="Arial" w:hAnsi="Arial" w:cs="Arial"/>
                <w:sz w:val="16"/>
                <w:szCs w:val="16"/>
              </w:rPr>
            </w:pPr>
            <w:r w:rsidRPr="002C70E8">
              <w:rPr>
                <w:rFonts w:ascii="Arial"/>
                <w:sz w:val="16"/>
                <w:szCs w:val="16"/>
              </w:rPr>
              <w:t>263</w:t>
            </w:r>
          </w:p>
        </w:tc>
        <w:tc>
          <w:tcPr>
            <w:tcW w:w="1418" w:type="dxa"/>
            <w:tcBorders>
              <w:top w:val="single" w:sz="2" w:space="0" w:color="000000"/>
              <w:left w:val="single" w:sz="9" w:space="0" w:color="000000"/>
              <w:bottom w:val="single" w:sz="2" w:space="0" w:color="000000"/>
              <w:right w:val="single" w:sz="9" w:space="0" w:color="333333"/>
            </w:tcBorders>
          </w:tcPr>
          <w:p w14:paraId="4A76584C" w14:textId="77777777" w:rsidR="001C6501" w:rsidRPr="002C70E8" w:rsidRDefault="001C6501" w:rsidP="002C70E8">
            <w:pPr>
              <w:pStyle w:val="TableParagraph"/>
              <w:spacing w:line="224" w:lineRule="exact"/>
              <w:ind w:left="393"/>
              <w:jc w:val="right"/>
              <w:rPr>
                <w:rFonts w:ascii="Arial" w:eastAsia="Arial" w:hAnsi="Arial" w:cs="Arial"/>
                <w:sz w:val="16"/>
                <w:szCs w:val="16"/>
              </w:rPr>
            </w:pPr>
            <w:r w:rsidRPr="002C70E8">
              <w:rPr>
                <w:rFonts w:ascii="Arial"/>
                <w:spacing w:val="-1"/>
                <w:sz w:val="16"/>
                <w:szCs w:val="16"/>
              </w:rPr>
              <w:t>14,495</w:t>
            </w:r>
          </w:p>
        </w:tc>
        <w:tc>
          <w:tcPr>
            <w:tcW w:w="1276" w:type="dxa"/>
            <w:tcBorders>
              <w:top w:val="single" w:sz="2" w:space="0" w:color="000000"/>
              <w:left w:val="single" w:sz="9" w:space="0" w:color="333333"/>
              <w:bottom w:val="single" w:sz="2" w:space="0" w:color="000000"/>
              <w:right w:val="single" w:sz="9" w:space="0" w:color="333333"/>
            </w:tcBorders>
          </w:tcPr>
          <w:p w14:paraId="39263F6A" w14:textId="77777777" w:rsidR="001C6501" w:rsidRPr="002C70E8" w:rsidRDefault="001C6501" w:rsidP="002C70E8">
            <w:pPr>
              <w:pStyle w:val="TableParagraph"/>
              <w:spacing w:line="224" w:lineRule="exact"/>
              <w:ind w:left="504"/>
              <w:jc w:val="right"/>
              <w:rPr>
                <w:rFonts w:ascii="Arial" w:eastAsia="Arial" w:hAnsi="Arial" w:cs="Arial"/>
                <w:sz w:val="16"/>
                <w:szCs w:val="16"/>
              </w:rPr>
            </w:pPr>
            <w:r w:rsidRPr="002C70E8">
              <w:rPr>
                <w:rFonts w:ascii="Arial"/>
                <w:spacing w:val="-1"/>
                <w:sz w:val="16"/>
                <w:szCs w:val="16"/>
              </w:rPr>
              <w:t>6,193</w:t>
            </w:r>
          </w:p>
        </w:tc>
        <w:tc>
          <w:tcPr>
            <w:tcW w:w="709" w:type="dxa"/>
            <w:tcBorders>
              <w:top w:val="single" w:sz="2" w:space="0" w:color="000000"/>
              <w:left w:val="single" w:sz="9" w:space="0" w:color="333333"/>
              <w:bottom w:val="single" w:sz="2" w:space="0" w:color="000000"/>
              <w:right w:val="single" w:sz="9" w:space="0" w:color="C0C0C0"/>
            </w:tcBorders>
          </w:tcPr>
          <w:p w14:paraId="0B5B9D41" w14:textId="77777777" w:rsidR="001C6501" w:rsidRPr="002C70E8" w:rsidRDefault="001C6501" w:rsidP="002C70E8">
            <w:pPr>
              <w:pStyle w:val="TableParagraph"/>
              <w:spacing w:before="13"/>
              <w:ind w:left="328"/>
              <w:jc w:val="right"/>
              <w:rPr>
                <w:rFonts w:ascii="Arial" w:eastAsia="Arial" w:hAnsi="Arial" w:cs="Arial"/>
                <w:sz w:val="16"/>
                <w:szCs w:val="16"/>
              </w:rPr>
            </w:pPr>
            <w:r w:rsidRPr="002C70E8">
              <w:rPr>
                <w:rFonts w:ascii="Arial"/>
                <w:spacing w:val="-1"/>
                <w:sz w:val="16"/>
                <w:szCs w:val="16"/>
              </w:rPr>
              <w:t>0%</w:t>
            </w:r>
          </w:p>
        </w:tc>
        <w:tc>
          <w:tcPr>
            <w:tcW w:w="709" w:type="dxa"/>
            <w:tcBorders>
              <w:top w:val="single" w:sz="2" w:space="0" w:color="000000"/>
              <w:left w:val="single" w:sz="9" w:space="0" w:color="C0C0C0"/>
              <w:bottom w:val="single" w:sz="2" w:space="0" w:color="000000"/>
              <w:right w:val="single" w:sz="9" w:space="0" w:color="C0C0C0"/>
            </w:tcBorders>
          </w:tcPr>
          <w:p w14:paraId="54AC6EA0" w14:textId="77777777" w:rsidR="001C6501" w:rsidRPr="002C70E8" w:rsidRDefault="001C6501" w:rsidP="002C70E8">
            <w:pPr>
              <w:pStyle w:val="TableParagraph"/>
              <w:spacing w:before="13"/>
              <w:ind w:left="298"/>
              <w:jc w:val="right"/>
              <w:rPr>
                <w:rFonts w:ascii="Arial" w:eastAsia="Arial" w:hAnsi="Arial" w:cs="Arial"/>
                <w:sz w:val="16"/>
                <w:szCs w:val="16"/>
              </w:rPr>
            </w:pPr>
            <w:r w:rsidRPr="002C70E8">
              <w:rPr>
                <w:rFonts w:ascii="Arial"/>
                <w:spacing w:val="-1"/>
                <w:sz w:val="16"/>
                <w:szCs w:val="16"/>
              </w:rPr>
              <w:t>13%</w:t>
            </w:r>
          </w:p>
        </w:tc>
        <w:tc>
          <w:tcPr>
            <w:tcW w:w="709" w:type="dxa"/>
            <w:tcBorders>
              <w:top w:val="single" w:sz="2" w:space="0" w:color="000000"/>
              <w:left w:val="single" w:sz="9" w:space="0" w:color="C0C0C0"/>
              <w:bottom w:val="single" w:sz="2" w:space="0" w:color="000000"/>
              <w:right w:val="single" w:sz="9" w:space="0" w:color="C0C0C0"/>
            </w:tcBorders>
          </w:tcPr>
          <w:p w14:paraId="761CC9D0" w14:textId="77777777" w:rsidR="001C6501" w:rsidRPr="002C70E8" w:rsidRDefault="001C6501" w:rsidP="002C70E8">
            <w:pPr>
              <w:pStyle w:val="TableParagraph"/>
              <w:spacing w:before="13"/>
              <w:ind w:left="298"/>
              <w:jc w:val="right"/>
              <w:rPr>
                <w:rFonts w:ascii="Arial" w:eastAsia="Arial" w:hAnsi="Arial" w:cs="Arial"/>
                <w:sz w:val="16"/>
                <w:szCs w:val="16"/>
              </w:rPr>
            </w:pPr>
            <w:r w:rsidRPr="002C70E8">
              <w:rPr>
                <w:rFonts w:ascii="Arial"/>
                <w:spacing w:val="-1"/>
                <w:sz w:val="16"/>
                <w:szCs w:val="16"/>
              </w:rPr>
              <w:t>69%</w:t>
            </w:r>
          </w:p>
        </w:tc>
        <w:tc>
          <w:tcPr>
            <w:tcW w:w="708" w:type="dxa"/>
            <w:tcBorders>
              <w:top w:val="single" w:sz="2" w:space="0" w:color="000000"/>
              <w:left w:val="single" w:sz="9" w:space="0" w:color="C0C0C0"/>
              <w:bottom w:val="single" w:sz="2" w:space="0" w:color="000000"/>
              <w:right w:val="single" w:sz="9" w:space="0" w:color="C0C0C0"/>
            </w:tcBorders>
          </w:tcPr>
          <w:p w14:paraId="49771AA9" w14:textId="77777777" w:rsidR="001C6501" w:rsidRPr="002C70E8" w:rsidRDefault="001C6501" w:rsidP="002C70E8">
            <w:pPr>
              <w:pStyle w:val="TableParagraph"/>
              <w:spacing w:before="13"/>
              <w:ind w:left="298"/>
              <w:jc w:val="right"/>
              <w:rPr>
                <w:rFonts w:ascii="Arial" w:eastAsia="Arial" w:hAnsi="Arial" w:cs="Arial"/>
                <w:sz w:val="16"/>
                <w:szCs w:val="16"/>
              </w:rPr>
            </w:pPr>
            <w:r w:rsidRPr="002C70E8">
              <w:rPr>
                <w:rFonts w:ascii="Arial"/>
                <w:spacing w:val="-1"/>
                <w:sz w:val="16"/>
                <w:szCs w:val="16"/>
              </w:rPr>
              <w:t>14%</w:t>
            </w:r>
          </w:p>
        </w:tc>
        <w:tc>
          <w:tcPr>
            <w:tcW w:w="709" w:type="dxa"/>
            <w:tcBorders>
              <w:top w:val="single" w:sz="2" w:space="0" w:color="000000"/>
              <w:left w:val="single" w:sz="9" w:space="0" w:color="C0C0C0"/>
              <w:bottom w:val="single" w:sz="2" w:space="0" w:color="000000"/>
              <w:right w:val="single" w:sz="9" w:space="0" w:color="333333"/>
            </w:tcBorders>
          </w:tcPr>
          <w:p w14:paraId="7946A706" w14:textId="77777777" w:rsidR="001C6501" w:rsidRPr="002C70E8" w:rsidRDefault="001C6501" w:rsidP="002C70E8">
            <w:pPr>
              <w:pStyle w:val="TableParagraph"/>
              <w:spacing w:before="13"/>
              <w:ind w:left="328"/>
              <w:jc w:val="right"/>
              <w:rPr>
                <w:rFonts w:ascii="Arial" w:eastAsia="Arial" w:hAnsi="Arial" w:cs="Arial"/>
                <w:sz w:val="16"/>
                <w:szCs w:val="16"/>
              </w:rPr>
            </w:pPr>
            <w:r w:rsidRPr="002C70E8">
              <w:rPr>
                <w:rFonts w:ascii="Arial"/>
                <w:spacing w:val="-1"/>
                <w:sz w:val="16"/>
                <w:szCs w:val="16"/>
              </w:rPr>
              <w:t>4%</w:t>
            </w:r>
          </w:p>
        </w:tc>
        <w:tc>
          <w:tcPr>
            <w:tcW w:w="1701" w:type="dxa"/>
            <w:tcBorders>
              <w:top w:val="single" w:sz="2" w:space="0" w:color="000000"/>
              <w:left w:val="single" w:sz="9" w:space="0" w:color="333333"/>
              <w:bottom w:val="single" w:sz="2" w:space="0" w:color="000000"/>
              <w:right w:val="single" w:sz="9" w:space="0" w:color="333333"/>
            </w:tcBorders>
          </w:tcPr>
          <w:p w14:paraId="26828505" w14:textId="77777777" w:rsidR="001C6501" w:rsidRPr="002C70E8" w:rsidRDefault="001C6501" w:rsidP="002C70E8">
            <w:pPr>
              <w:pStyle w:val="TableParagraph"/>
              <w:spacing w:line="224" w:lineRule="exact"/>
              <w:ind w:left="504"/>
              <w:jc w:val="right"/>
              <w:rPr>
                <w:rFonts w:ascii="Arial" w:eastAsia="Arial" w:hAnsi="Arial" w:cs="Arial"/>
                <w:sz w:val="16"/>
                <w:szCs w:val="16"/>
              </w:rPr>
            </w:pPr>
            <w:r w:rsidRPr="002C70E8">
              <w:rPr>
                <w:rFonts w:ascii="Arial"/>
                <w:spacing w:val="-1"/>
                <w:sz w:val="16"/>
                <w:szCs w:val="16"/>
              </w:rPr>
              <w:t>2,609</w:t>
            </w:r>
          </w:p>
        </w:tc>
      </w:tr>
      <w:tr w:rsidR="002C70E8" w14:paraId="4CD4DE81" w14:textId="77777777" w:rsidTr="006B1840">
        <w:trPr>
          <w:trHeight w:hRule="exact" w:val="243"/>
        </w:trPr>
        <w:tc>
          <w:tcPr>
            <w:tcW w:w="1062" w:type="dxa"/>
            <w:vMerge/>
            <w:tcBorders>
              <w:left w:val="single" w:sz="9" w:space="0" w:color="333333"/>
              <w:right w:val="single" w:sz="9" w:space="0" w:color="333333"/>
            </w:tcBorders>
          </w:tcPr>
          <w:p w14:paraId="4669CCDC" w14:textId="77777777" w:rsidR="001C6501" w:rsidRPr="002C70E8" w:rsidRDefault="001C6501" w:rsidP="001C6501">
            <w:pPr>
              <w:rPr>
                <w:sz w:val="16"/>
                <w:szCs w:val="16"/>
              </w:rPr>
            </w:pPr>
          </w:p>
        </w:tc>
        <w:tc>
          <w:tcPr>
            <w:tcW w:w="3119" w:type="dxa"/>
            <w:tcBorders>
              <w:top w:val="single" w:sz="2" w:space="0" w:color="000000"/>
              <w:left w:val="single" w:sz="9" w:space="0" w:color="333333"/>
              <w:bottom w:val="single" w:sz="2" w:space="0" w:color="000000"/>
              <w:right w:val="single" w:sz="9" w:space="0" w:color="000000"/>
            </w:tcBorders>
          </w:tcPr>
          <w:p w14:paraId="63E4F10E" w14:textId="77777777" w:rsidR="001C6501" w:rsidRPr="002C70E8" w:rsidRDefault="001C6501" w:rsidP="001C6501">
            <w:pPr>
              <w:pStyle w:val="TableParagraph"/>
              <w:spacing w:line="224" w:lineRule="exact"/>
              <w:ind w:left="27"/>
              <w:rPr>
                <w:rFonts w:ascii="Arial" w:eastAsia="Arial" w:hAnsi="Arial" w:cs="Arial"/>
                <w:sz w:val="16"/>
                <w:szCs w:val="16"/>
              </w:rPr>
            </w:pPr>
            <w:r w:rsidRPr="002C70E8">
              <w:rPr>
                <w:rFonts w:ascii="Arial"/>
                <w:sz w:val="16"/>
                <w:szCs w:val="16"/>
              </w:rPr>
              <w:t>Commercial</w:t>
            </w:r>
          </w:p>
        </w:tc>
        <w:tc>
          <w:tcPr>
            <w:tcW w:w="1417" w:type="dxa"/>
            <w:tcBorders>
              <w:top w:val="single" w:sz="2" w:space="0" w:color="000000"/>
              <w:left w:val="single" w:sz="9" w:space="0" w:color="000000"/>
              <w:bottom w:val="single" w:sz="2" w:space="0" w:color="000000"/>
              <w:right w:val="single" w:sz="9" w:space="0" w:color="C0C0C0"/>
            </w:tcBorders>
          </w:tcPr>
          <w:p w14:paraId="61009DD2" w14:textId="77777777" w:rsidR="001C6501" w:rsidRPr="002C70E8" w:rsidRDefault="001C6501" w:rsidP="002C70E8">
            <w:pPr>
              <w:pStyle w:val="TableParagraph"/>
              <w:spacing w:line="224" w:lineRule="exact"/>
              <w:ind w:left="670"/>
              <w:jc w:val="right"/>
              <w:rPr>
                <w:rFonts w:ascii="Arial" w:eastAsia="Arial" w:hAnsi="Arial" w:cs="Arial"/>
                <w:sz w:val="16"/>
                <w:szCs w:val="16"/>
              </w:rPr>
            </w:pPr>
            <w:r w:rsidRPr="002C70E8">
              <w:rPr>
                <w:rFonts w:ascii="Arial"/>
                <w:sz w:val="16"/>
                <w:szCs w:val="16"/>
              </w:rPr>
              <w:t>118</w:t>
            </w:r>
          </w:p>
        </w:tc>
        <w:tc>
          <w:tcPr>
            <w:tcW w:w="1417" w:type="dxa"/>
            <w:tcBorders>
              <w:top w:val="single" w:sz="2" w:space="0" w:color="000000"/>
              <w:left w:val="single" w:sz="9" w:space="0" w:color="C0C0C0"/>
              <w:bottom w:val="single" w:sz="2" w:space="0" w:color="000000"/>
              <w:right w:val="single" w:sz="9" w:space="0" w:color="000000"/>
            </w:tcBorders>
          </w:tcPr>
          <w:p w14:paraId="6FB3652A" w14:textId="77777777" w:rsidR="001C6501" w:rsidRPr="002C70E8" w:rsidRDefault="001C6501" w:rsidP="002C70E8">
            <w:pPr>
              <w:pStyle w:val="TableParagraph"/>
              <w:spacing w:line="224" w:lineRule="exact"/>
              <w:ind w:left="670"/>
              <w:jc w:val="right"/>
              <w:rPr>
                <w:rFonts w:ascii="Arial" w:eastAsia="Arial" w:hAnsi="Arial" w:cs="Arial"/>
                <w:sz w:val="16"/>
                <w:szCs w:val="16"/>
              </w:rPr>
            </w:pPr>
            <w:r w:rsidRPr="002C70E8">
              <w:rPr>
                <w:rFonts w:ascii="Arial"/>
                <w:sz w:val="16"/>
                <w:szCs w:val="16"/>
              </w:rPr>
              <w:t>118</w:t>
            </w:r>
          </w:p>
        </w:tc>
        <w:tc>
          <w:tcPr>
            <w:tcW w:w="1418" w:type="dxa"/>
            <w:tcBorders>
              <w:top w:val="single" w:sz="2" w:space="0" w:color="000000"/>
              <w:left w:val="single" w:sz="9" w:space="0" w:color="000000"/>
              <w:bottom w:val="single" w:sz="2" w:space="0" w:color="000000"/>
              <w:right w:val="single" w:sz="9" w:space="0" w:color="333333"/>
            </w:tcBorders>
          </w:tcPr>
          <w:p w14:paraId="503D0154" w14:textId="77777777" w:rsidR="001C6501" w:rsidRPr="002C70E8" w:rsidRDefault="001C6501" w:rsidP="002C70E8">
            <w:pPr>
              <w:pStyle w:val="TableParagraph"/>
              <w:spacing w:line="224" w:lineRule="exact"/>
              <w:ind w:left="504"/>
              <w:jc w:val="right"/>
              <w:rPr>
                <w:rFonts w:ascii="Arial" w:eastAsia="Arial" w:hAnsi="Arial" w:cs="Arial"/>
                <w:sz w:val="16"/>
                <w:szCs w:val="16"/>
              </w:rPr>
            </w:pPr>
            <w:r w:rsidRPr="002C70E8">
              <w:rPr>
                <w:rFonts w:ascii="Arial"/>
                <w:spacing w:val="-1"/>
                <w:sz w:val="16"/>
                <w:szCs w:val="16"/>
              </w:rPr>
              <w:t>7,018</w:t>
            </w:r>
          </w:p>
        </w:tc>
        <w:tc>
          <w:tcPr>
            <w:tcW w:w="1276" w:type="dxa"/>
            <w:tcBorders>
              <w:top w:val="single" w:sz="2" w:space="0" w:color="000000"/>
              <w:left w:val="single" w:sz="9" w:space="0" w:color="333333"/>
              <w:bottom w:val="single" w:sz="2" w:space="0" w:color="000000"/>
              <w:right w:val="single" w:sz="9" w:space="0" w:color="333333"/>
            </w:tcBorders>
          </w:tcPr>
          <w:p w14:paraId="4F68E422" w14:textId="77777777" w:rsidR="001C6501" w:rsidRPr="002C70E8" w:rsidRDefault="001C6501" w:rsidP="002C70E8">
            <w:pPr>
              <w:pStyle w:val="TableParagraph"/>
              <w:spacing w:line="224" w:lineRule="exact"/>
              <w:ind w:left="504"/>
              <w:jc w:val="right"/>
              <w:rPr>
                <w:rFonts w:ascii="Arial" w:eastAsia="Arial" w:hAnsi="Arial" w:cs="Arial"/>
                <w:sz w:val="16"/>
                <w:szCs w:val="16"/>
              </w:rPr>
            </w:pPr>
            <w:r w:rsidRPr="002C70E8">
              <w:rPr>
                <w:rFonts w:ascii="Arial"/>
                <w:spacing w:val="-1"/>
                <w:sz w:val="16"/>
                <w:szCs w:val="16"/>
              </w:rPr>
              <w:t>3,480</w:t>
            </w:r>
          </w:p>
        </w:tc>
        <w:tc>
          <w:tcPr>
            <w:tcW w:w="709" w:type="dxa"/>
            <w:tcBorders>
              <w:top w:val="single" w:sz="2" w:space="0" w:color="000000"/>
              <w:left w:val="single" w:sz="9" w:space="0" w:color="333333"/>
              <w:bottom w:val="single" w:sz="2" w:space="0" w:color="000000"/>
              <w:right w:val="single" w:sz="9" w:space="0" w:color="C0C0C0"/>
            </w:tcBorders>
          </w:tcPr>
          <w:p w14:paraId="0604C66B" w14:textId="77777777" w:rsidR="001C6501" w:rsidRPr="002C70E8" w:rsidRDefault="001C6501" w:rsidP="002C70E8">
            <w:pPr>
              <w:pStyle w:val="TableParagraph"/>
              <w:spacing w:before="13"/>
              <w:ind w:left="328"/>
              <w:jc w:val="right"/>
              <w:rPr>
                <w:rFonts w:ascii="Arial" w:eastAsia="Arial" w:hAnsi="Arial" w:cs="Arial"/>
                <w:sz w:val="16"/>
                <w:szCs w:val="16"/>
              </w:rPr>
            </w:pPr>
            <w:r w:rsidRPr="002C70E8">
              <w:rPr>
                <w:rFonts w:ascii="Arial"/>
                <w:spacing w:val="-1"/>
                <w:sz w:val="16"/>
                <w:szCs w:val="16"/>
              </w:rPr>
              <w:t>6%</w:t>
            </w:r>
          </w:p>
        </w:tc>
        <w:tc>
          <w:tcPr>
            <w:tcW w:w="709" w:type="dxa"/>
            <w:tcBorders>
              <w:top w:val="single" w:sz="2" w:space="0" w:color="000000"/>
              <w:left w:val="single" w:sz="9" w:space="0" w:color="C0C0C0"/>
              <w:bottom w:val="single" w:sz="2" w:space="0" w:color="000000"/>
              <w:right w:val="single" w:sz="9" w:space="0" w:color="C0C0C0"/>
            </w:tcBorders>
          </w:tcPr>
          <w:p w14:paraId="003CB717" w14:textId="77777777" w:rsidR="001C6501" w:rsidRPr="002C70E8" w:rsidRDefault="001C6501" w:rsidP="002C70E8">
            <w:pPr>
              <w:pStyle w:val="TableParagraph"/>
              <w:spacing w:before="13"/>
              <w:ind w:left="298"/>
              <w:jc w:val="right"/>
              <w:rPr>
                <w:rFonts w:ascii="Arial" w:eastAsia="Arial" w:hAnsi="Arial" w:cs="Arial"/>
                <w:sz w:val="16"/>
                <w:szCs w:val="16"/>
              </w:rPr>
            </w:pPr>
            <w:r w:rsidRPr="002C70E8">
              <w:rPr>
                <w:rFonts w:ascii="Arial"/>
                <w:spacing w:val="-1"/>
                <w:sz w:val="16"/>
                <w:szCs w:val="16"/>
              </w:rPr>
              <w:t>22%</w:t>
            </w:r>
          </w:p>
        </w:tc>
        <w:tc>
          <w:tcPr>
            <w:tcW w:w="709" w:type="dxa"/>
            <w:tcBorders>
              <w:top w:val="single" w:sz="2" w:space="0" w:color="000000"/>
              <w:left w:val="single" w:sz="9" w:space="0" w:color="C0C0C0"/>
              <w:bottom w:val="single" w:sz="2" w:space="0" w:color="000000"/>
              <w:right w:val="single" w:sz="9" w:space="0" w:color="C0C0C0"/>
            </w:tcBorders>
          </w:tcPr>
          <w:p w14:paraId="34489405" w14:textId="77777777" w:rsidR="001C6501" w:rsidRPr="002C70E8" w:rsidRDefault="001C6501" w:rsidP="002C70E8">
            <w:pPr>
              <w:pStyle w:val="TableParagraph"/>
              <w:spacing w:before="13"/>
              <w:ind w:left="298"/>
              <w:jc w:val="right"/>
              <w:rPr>
                <w:rFonts w:ascii="Arial" w:eastAsia="Arial" w:hAnsi="Arial" w:cs="Arial"/>
                <w:sz w:val="16"/>
                <w:szCs w:val="16"/>
              </w:rPr>
            </w:pPr>
            <w:r w:rsidRPr="002C70E8">
              <w:rPr>
                <w:rFonts w:ascii="Arial"/>
                <w:spacing w:val="-1"/>
                <w:sz w:val="16"/>
                <w:szCs w:val="16"/>
              </w:rPr>
              <w:t>56%</w:t>
            </w:r>
          </w:p>
        </w:tc>
        <w:tc>
          <w:tcPr>
            <w:tcW w:w="708" w:type="dxa"/>
            <w:tcBorders>
              <w:top w:val="single" w:sz="2" w:space="0" w:color="000000"/>
              <w:left w:val="single" w:sz="9" w:space="0" w:color="C0C0C0"/>
              <w:bottom w:val="single" w:sz="2" w:space="0" w:color="000000"/>
              <w:right w:val="single" w:sz="9" w:space="0" w:color="C0C0C0"/>
            </w:tcBorders>
          </w:tcPr>
          <w:p w14:paraId="5F63532A" w14:textId="77777777" w:rsidR="001C6501" w:rsidRPr="002C70E8" w:rsidRDefault="001C6501" w:rsidP="002C70E8">
            <w:pPr>
              <w:pStyle w:val="TableParagraph"/>
              <w:spacing w:before="13"/>
              <w:ind w:left="298"/>
              <w:jc w:val="right"/>
              <w:rPr>
                <w:rFonts w:ascii="Arial" w:eastAsia="Arial" w:hAnsi="Arial" w:cs="Arial"/>
                <w:sz w:val="16"/>
                <w:szCs w:val="16"/>
              </w:rPr>
            </w:pPr>
            <w:r w:rsidRPr="002C70E8">
              <w:rPr>
                <w:rFonts w:ascii="Arial"/>
                <w:spacing w:val="-1"/>
                <w:sz w:val="16"/>
                <w:szCs w:val="16"/>
              </w:rPr>
              <w:t>11%</w:t>
            </w:r>
          </w:p>
        </w:tc>
        <w:tc>
          <w:tcPr>
            <w:tcW w:w="709" w:type="dxa"/>
            <w:tcBorders>
              <w:top w:val="single" w:sz="2" w:space="0" w:color="000000"/>
              <w:left w:val="single" w:sz="9" w:space="0" w:color="C0C0C0"/>
              <w:bottom w:val="single" w:sz="2" w:space="0" w:color="000000"/>
              <w:right w:val="single" w:sz="9" w:space="0" w:color="333333"/>
            </w:tcBorders>
          </w:tcPr>
          <w:p w14:paraId="007A6833" w14:textId="77777777" w:rsidR="001C6501" w:rsidRPr="002C70E8" w:rsidRDefault="001C6501" w:rsidP="002C70E8">
            <w:pPr>
              <w:pStyle w:val="TableParagraph"/>
              <w:spacing w:before="13"/>
              <w:ind w:left="328"/>
              <w:jc w:val="right"/>
              <w:rPr>
                <w:rFonts w:ascii="Arial" w:eastAsia="Arial" w:hAnsi="Arial" w:cs="Arial"/>
                <w:sz w:val="16"/>
                <w:szCs w:val="16"/>
              </w:rPr>
            </w:pPr>
            <w:r w:rsidRPr="002C70E8">
              <w:rPr>
                <w:rFonts w:ascii="Arial"/>
                <w:spacing w:val="-1"/>
                <w:sz w:val="16"/>
                <w:szCs w:val="16"/>
              </w:rPr>
              <w:t>5%</w:t>
            </w:r>
          </w:p>
        </w:tc>
        <w:tc>
          <w:tcPr>
            <w:tcW w:w="1701" w:type="dxa"/>
            <w:tcBorders>
              <w:top w:val="single" w:sz="2" w:space="0" w:color="000000"/>
              <w:left w:val="single" w:sz="9" w:space="0" w:color="333333"/>
              <w:bottom w:val="single" w:sz="2" w:space="0" w:color="000000"/>
              <w:right w:val="single" w:sz="9" w:space="0" w:color="333333"/>
            </w:tcBorders>
          </w:tcPr>
          <w:p w14:paraId="72FC1C41" w14:textId="77777777" w:rsidR="001C6501" w:rsidRPr="002C70E8" w:rsidRDefault="001C6501" w:rsidP="002C70E8">
            <w:pPr>
              <w:pStyle w:val="TableParagraph"/>
              <w:spacing w:line="224" w:lineRule="exact"/>
              <w:ind w:left="504"/>
              <w:jc w:val="right"/>
              <w:rPr>
                <w:rFonts w:ascii="Arial" w:eastAsia="Arial" w:hAnsi="Arial" w:cs="Arial"/>
                <w:sz w:val="16"/>
                <w:szCs w:val="16"/>
              </w:rPr>
            </w:pPr>
            <w:r w:rsidRPr="002C70E8">
              <w:rPr>
                <w:rFonts w:ascii="Arial"/>
                <w:spacing w:val="-1"/>
                <w:sz w:val="16"/>
                <w:szCs w:val="16"/>
              </w:rPr>
              <w:t>1,123</w:t>
            </w:r>
          </w:p>
        </w:tc>
      </w:tr>
      <w:tr w:rsidR="002C70E8" w14:paraId="61A943FE" w14:textId="77777777" w:rsidTr="006B1840">
        <w:trPr>
          <w:trHeight w:hRule="exact" w:val="243"/>
        </w:trPr>
        <w:tc>
          <w:tcPr>
            <w:tcW w:w="1062" w:type="dxa"/>
            <w:vMerge/>
            <w:tcBorders>
              <w:left w:val="single" w:sz="9" w:space="0" w:color="333333"/>
              <w:right w:val="single" w:sz="9" w:space="0" w:color="333333"/>
            </w:tcBorders>
          </w:tcPr>
          <w:p w14:paraId="1D68C7AB" w14:textId="77777777" w:rsidR="001C6501" w:rsidRPr="002C70E8" w:rsidRDefault="001C6501" w:rsidP="001C6501">
            <w:pPr>
              <w:rPr>
                <w:sz w:val="16"/>
                <w:szCs w:val="16"/>
              </w:rPr>
            </w:pPr>
          </w:p>
        </w:tc>
        <w:tc>
          <w:tcPr>
            <w:tcW w:w="3119" w:type="dxa"/>
            <w:tcBorders>
              <w:top w:val="single" w:sz="2" w:space="0" w:color="000000"/>
              <w:left w:val="single" w:sz="9" w:space="0" w:color="333333"/>
              <w:bottom w:val="single" w:sz="2" w:space="0" w:color="000000"/>
              <w:right w:val="single" w:sz="9" w:space="0" w:color="000000"/>
            </w:tcBorders>
          </w:tcPr>
          <w:p w14:paraId="57C0A590" w14:textId="77777777" w:rsidR="001C6501" w:rsidRPr="002C70E8" w:rsidRDefault="001C6501" w:rsidP="001C6501">
            <w:pPr>
              <w:pStyle w:val="TableParagraph"/>
              <w:spacing w:line="224" w:lineRule="exact"/>
              <w:ind w:left="27"/>
              <w:rPr>
                <w:rFonts w:ascii="Arial" w:eastAsia="Arial" w:hAnsi="Arial" w:cs="Arial"/>
                <w:sz w:val="16"/>
                <w:szCs w:val="16"/>
              </w:rPr>
            </w:pPr>
            <w:r w:rsidRPr="002C70E8">
              <w:rPr>
                <w:rFonts w:ascii="Arial"/>
                <w:sz w:val="16"/>
                <w:szCs w:val="16"/>
              </w:rPr>
              <w:t>Emergency</w:t>
            </w:r>
            <w:r w:rsidRPr="002C70E8">
              <w:rPr>
                <w:rFonts w:ascii="Arial"/>
                <w:spacing w:val="-8"/>
                <w:sz w:val="16"/>
                <w:szCs w:val="16"/>
              </w:rPr>
              <w:t xml:space="preserve"> </w:t>
            </w:r>
            <w:r w:rsidRPr="002C70E8">
              <w:rPr>
                <w:rFonts w:ascii="Arial"/>
                <w:sz w:val="16"/>
                <w:szCs w:val="16"/>
              </w:rPr>
              <w:t>Services</w:t>
            </w:r>
            <w:r w:rsidRPr="002C70E8">
              <w:rPr>
                <w:rFonts w:ascii="Arial"/>
                <w:spacing w:val="-1"/>
                <w:sz w:val="16"/>
                <w:szCs w:val="16"/>
              </w:rPr>
              <w:t xml:space="preserve"> </w:t>
            </w:r>
            <w:r w:rsidRPr="002C70E8">
              <w:rPr>
                <w:rFonts w:ascii="Arial"/>
                <w:sz w:val="16"/>
                <w:szCs w:val="16"/>
              </w:rPr>
              <w:t>Buildings</w:t>
            </w:r>
          </w:p>
        </w:tc>
        <w:tc>
          <w:tcPr>
            <w:tcW w:w="1417" w:type="dxa"/>
            <w:tcBorders>
              <w:top w:val="single" w:sz="2" w:space="0" w:color="000000"/>
              <w:left w:val="single" w:sz="9" w:space="0" w:color="000000"/>
              <w:bottom w:val="single" w:sz="2" w:space="0" w:color="000000"/>
              <w:right w:val="single" w:sz="9" w:space="0" w:color="C0C0C0"/>
            </w:tcBorders>
          </w:tcPr>
          <w:p w14:paraId="149C793B" w14:textId="77777777" w:rsidR="001C6501" w:rsidRPr="002C70E8" w:rsidRDefault="001C6501" w:rsidP="002C70E8">
            <w:pPr>
              <w:pStyle w:val="TableParagraph"/>
              <w:spacing w:line="224" w:lineRule="exact"/>
              <w:ind w:right="93"/>
              <w:jc w:val="right"/>
              <w:rPr>
                <w:rFonts w:ascii="Arial" w:eastAsia="Arial" w:hAnsi="Arial" w:cs="Arial"/>
                <w:sz w:val="16"/>
                <w:szCs w:val="16"/>
              </w:rPr>
            </w:pPr>
            <w:r w:rsidRPr="002C70E8">
              <w:rPr>
                <w:rFonts w:ascii="Arial"/>
                <w:sz w:val="16"/>
                <w:szCs w:val="16"/>
              </w:rPr>
              <w:t>80</w:t>
            </w:r>
          </w:p>
        </w:tc>
        <w:tc>
          <w:tcPr>
            <w:tcW w:w="1417" w:type="dxa"/>
            <w:tcBorders>
              <w:top w:val="single" w:sz="2" w:space="0" w:color="000000"/>
              <w:left w:val="single" w:sz="9" w:space="0" w:color="C0C0C0"/>
              <w:bottom w:val="single" w:sz="2" w:space="0" w:color="000000"/>
              <w:right w:val="single" w:sz="9" w:space="0" w:color="000000"/>
            </w:tcBorders>
          </w:tcPr>
          <w:p w14:paraId="51E37FD5" w14:textId="77777777" w:rsidR="001C6501" w:rsidRPr="002C70E8" w:rsidRDefault="001C6501" w:rsidP="002C70E8">
            <w:pPr>
              <w:pStyle w:val="TableParagraph"/>
              <w:spacing w:line="224" w:lineRule="exact"/>
              <w:ind w:right="93"/>
              <w:jc w:val="right"/>
              <w:rPr>
                <w:rFonts w:ascii="Arial" w:eastAsia="Arial" w:hAnsi="Arial" w:cs="Arial"/>
                <w:sz w:val="16"/>
                <w:szCs w:val="16"/>
              </w:rPr>
            </w:pPr>
            <w:r w:rsidRPr="002C70E8">
              <w:rPr>
                <w:rFonts w:ascii="Arial"/>
                <w:sz w:val="16"/>
                <w:szCs w:val="16"/>
              </w:rPr>
              <w:t>78</w:t>
            </w:r>
          </w:p>
        </w:tc>
        <w:tc>
          <w:tcPr>
            <w:tcW w:w="1418" w:type="dxa"/>
            <w:tcBorders>
              <w:top w:val="single" w:sz="2" w:space="0" w:color="000000"/>
              <w:left w:val="single" w:sz="9" w:space="0" w:color="000000"/>
              <w:bottom w:val="single" w:sz="2" w:space="0" w:color="000000"/>
              <w:right w:val="single" w:sz="9" w:space="0" w:color="333333"/>
            </w:tcBorders>
          </w:tcPr>
          <w:p w14:paraId="1FABFF73" w14:textId="77777777" w:rsidR="001C6501" w:rsidRPr="002C70E8" w:rsidRDefault="001C6501" w:rsidP="002C70E8">
            <w:pPr>
              <w:pStyle w:val="TableParagraph"/>
              <w:spacing w:line="224" w:lineRule="exact"/>
              <w:ind w:left="393"/>
              <w:jc w:val="right"/>
              <w:rPr>
                <w:rFonts w:ascii="Arial" w:eastAsia="Arial" w:hAnsi="Arial" w:cs="Arial"/>
                <w:sz w:val="16"/>
                <w:szCs w:val="16"/>
              </w:rPr>
            </w:pPr>
            <w:r w:rsidRPr="002C70E8">
              <w:rPr>
                <w:rFonts w:ascii="Arial"/>
                <w:spacing w:val="-1"/>
                <w:sz w:val="16"/>
                <w:szCs w:val="16"/>
              </w:rPr>
              <w:t>16,143</w:t>
            </w:r>
          </w:p>
        </w:tc>
        <w:tc>
          <w:tcPr>
            <w:tcW w:w="1276" w:type="dxa"/>
            <w:tcBorders>
              <w:top w:val="single" w:sz="2" w:space="0" w:color="000000"/>
              <w:left w:val="single" w:sz="9" w:space="0" w:color="333333"/>
              <w:bottom w:val="single" w:sz="2" w:space="0" w:color="000000"/>
              <w:right w:val="single" w:sz="9" w:space="0" w:color="333333"/>
            </w:tcBorders>
          </w:tcPr>
          <w:p w14:paraId="247395ED" w14:textId="77777777" w:rsidR="001C6501" w:rsidRPr="002C70E8" w:rsidRDefault="001C6501" w:rsidP="002C70E8">
            <w:pPr>
              <w:pStyle w:val="TableParagraph"/>
              <w:spacing w:line="224" w:lineRule="exact"/>
              <w:ind w:left="393"/>
              <w:jc w:val="right"/>
              <w:rPr>
                <w:rFonts w:ascii="Arial" w:eastAsia="Arial" w:hAnsi="Arial" w:cs="Arial"/>
                <w:sz w:val="16"/>
                <w:szCs w:val="16"/>
              </w:rPr>
            </w:pPr>
            <w:r w:rsidRPr="002C70E8">
              <w:rPr>
                <w:rFonts w:ascii="Arial"/>
                <w:spacing w:val="-1"/>
                <w:sz w:val="16"/>
                <w:szCs w:val="16"/>
              </w:rPr>
              <w:t>11,881</w:t>
            </w:r>
          </w:p>
        </w:tc>
        <w:tc>
          <w:tcPr>
            <w:tcW w:w="709" w:type="dxa"/>
            <w:tcBorders>
              <w:top w:val="single" w:sz="2" w:space="0" w:color="000000"/>
              <w:left w:val="single" w:sz="9" w:space="0" w:color="333333"/>
              <w:bottom w:val="single" w:sz="2" w:space="0" w:color="000000"/>
              <w:right w:val="single" w:sz="9" w:space="0" w:color="C0C0C0"/>
            </w:tcBorders>
          </w:tcPr>
          <w:p w14:paraId="014B72F4" w14:textId="77777777" w:rsidR="001C6501" w:rsidRPr="002C70E8" w:rsidRDefault="001C6501" w:rsidP="002C70E8">
            <w:pPr>
              <w:pStyle w:val="TableParagraph"/>
              <w:spacing w:before="13"/>
              <w:ind w:left="328"/>
              <w:jc w:val="right"/>
              <w:rPr>
                <w:rFonts w:ascii="Arial" w:eastAsia="Arial" w:hAnsi="Arial" w:cs="Arial"/>
                <w:sz w:val="16"/>
                <w:szCs w:val="16"/>
              </w:rPr>
            </w:pPr>
            <w:r w:rsidRPr="002C70E8">
              <w:rPr>
                <w:rFonts w:ascii="Arial"/>
                <w:spacing w:val="-1"/>
                <w:sz w:val="16"/>
                <w:szCs w:val="16"/>
              </w:rPr>
              <w:t>5%</w:t>
            </w:r>
          </w:p>
        </w:tc>
        <w:tc>
          <w:tcPr>
            <w:tcW w:w="709" w:type="dxa"/>
            <w:tcBorders>
              <w:top w:val="single" w:sz="2" w:space="0" w:color="000000"/>
              <w:left w:val="single" w:sz="9" w:space="0" w:color="C0C0C0"/>
              <w:bottom w:val="single" w:sz="2" w:space="0" w:color="000000"/>
              <w:right w:val="single" w:sz="9" w:space="0" w:color="C0C0C0"/>
            </w:tcBorders>
          </w:tcPr>
          <w:p w14:paraId="4685A38D" w14:textId="77777777" w:rsidR="001C6501" w:rsidRPr="002C70E8" w:rsidRDefault="001C6501" w:rsidP="002C70E8">
            <w:pPr>
              <w:pStyle w:val="TableParagraph"/>
              <w:spacing w:before="13"/>
              <w:ind w:left="327"/>
              <w:jc w:val="right"/>
              <w:rPr>
                <w:rFonts w:ascii="Arial" w:eastAsia="Arial" w:hAnsi="Arial" w:cs="Arial"/>
                <w:sz w:val="16"/>
                <w:szCs w:val="16"/>
              </w:rPr>
            </w:pPr>
            <w:r w:rsidRPr="002C70E8">
              <w:rPr>
                <w:rFonts w:ascii="Arial"/>
                <w:spacing w:val="-1"/>
                <w:sz w:val="16"/>
                <w:szCs w:val="16"/>
              </w:rPr>
              <w:t>6%</w:t>
            </w:r>
          </w:p>
        </w:tc>
        <w:tc>
          <w:tcPr>
            <w:tcW w:w="709" w:type="dxa"/>
            <w:tcBorders>
              <w:top w:val="single" w:sz="2" w:space="0" w:color="000000"/>
              <w:left w:val="single" w:sz="9" w:space="0" w:color="C0C0C0"/>
              <w:bottom w:val="single" w:sz="2" w:space="0" w:color="000000"/>
              <w:right w:val="single" w:sz="9" w:space="0" w:color="C0C0C0"/>
            </w:tcBorders>
          </w:tcPr>
          <w:p w14:paraId="0FE038CF" w14:textId="77777777" w:rsidR="001C6501" w:rsidRPr="002C70E8" w:rsidRDefault="001C6501" w:rsidP="002C70E8">
            <w:pPr>
              <w:pStyle w:val="TableParagraph"/>
              <w:spacing w:before="13"/>
              <w:ind w:left="298"/>
              <w:jc w:val="right"/>
              <w:rPr>
                <w:rFonts w:ascii="Arial" w:eastAsia="Arial" w:hAnsi="Arial" w:cs="Arial"/>
                <w:sz w:val="16"/>
                <w:szCs w:val="16"/>
              </w:rPr>
            </w:pPr>
            <w:r w:rsidRPr="002C70E8">
              <w:rPr>
                <w:rFonts w:ascii="Arial"/>
                <w:spacing w:val="-1"/>
                <w:sz w:val="16"/>
                <w:szCs w:val="16"/>
              </w:rPr>
              <w:t>41%</w:t>
            </w:r>
          </w:p>
        </w:tc>
        <w:tc>
          <w:tcPr>
            <w:tcW w:w="708" w:type="dxa"/>
            <w:tcBorders>
              <w:top w:val="single" w:sz="2" w:space="0" w:color="000000"/>
              <w:left w:val="single" w:sz="9" w:space="0" w:color="C0C0C0"/>
              <w:bottom w:val="single" w:sz="2" w:space="0" w:color="000000"/>
              <w:right w:val="single" w:sz="9" w:space="0" w:color="C0C0C0"/>
            </w:tcBorders>
          </w:tcPr>
          <w:p w14:paraId="27F02150" w14:textId="77777777" w:rsidR="001C6501" w:rsidRPr="002C70E8" w:rsidRDefault="001C6501" w:rsidP="002C70E8">
            <w:pPr>
              <w:pStyle w:val="TableParagraph"/>
              <w:spacing w:before="13"/>
              <w:ind w:left="298"/>
              <w:jc w:val="right"/>
              <w:rPr>
                <w:rFonts w:ascii="Arial" w:eastAsia="Arial" w:hAnsi="Arial" w:cs="Arial"/>
                <w:sz w:val="16"/>
                <w:szCs w:val="16"/>
              </w:rPr>
            </w:pPr>
            <w:r w:rsidRPr="002C70E8">
              <w:rPr>
                <w:rFonts w:ascii="Arial"/>
                <w:spacing w:val="-1"/>
                <w:sz w:val="16"/>
                <w:szCs w:val="16"/>
              </w:rPr>
              <w:t>40%</w:t>
            </w:r>
          </w:p>
        </w:tc>
        <w:tc>
          <w:tcPr>
            <w:tcW w:w="709" w:type="dxa"/>
            <w:tcBorders>
              <w:top w:val="single" w:sz="2" w:space="0" w:color="000000"/>
              <w:left w:val="single" w:sz="9" w:space="0" w:color="C0C0C0"/>
              <w:bottom w:val="single" w:sz="2" w:space="0" w:color="000000"/>
              <w:right w:val="single" w:sz="9" w:space="0" w:color="333333"/>
            </w:tcBorders>
          </w:tcPr>
          <w:p w14:paraId="423AB1CF" w14:textId="77777777" w:rsidR="001C6501" w:rsidRPr="002C70E8" w:rsidRDefault="001C6501" w:rsidP="002C70E8">
            <w:pPr>
              <w:pStyle w:val="TableParagraph"/>
              <w:spacing w:before="13"/>
              <w:ind w:left="328"/>
              <w:jc w:val="right"/>
              <w:rPr>
                <w:rFonts w:ascii="Arial" w:eastAsia="Arial" w:hAnsi="Arial" w:cs="Arial"/>
                <w:sz w:val="16"/>
                <w:szCs w:val="16"/>
              </w:rPr>
            </w:pPr>
            <w:r w:rsidRPr="002C70E8">
              <w:rPr>
                <w:rFonts w:ascii="Arial"/>
                <w:spacing w:val="-1"/>
                <w:sz w:val="16"/>
                <w:szCs w:val="16"/>
              </w:rPr>
              <w:t>8%</w:t>
            </w:r>
          </w:p>
        </w:tc>
        <w:tc>
          <w:tcPr>
            <w:tcW w:w="1701" w:type="dxa"/>
            <w:tcBorders>
              <w:top w:val="single" w:sz="2" w:space="0" w:color="000000"/>
              <w:left w:val="single" w:sz="9" w:space="0" w:color="333333"/>
              <w:bottom w:val="single" w:sz="2" w:space="0" w:color="000000"/>
              <w:right w:val="single" w:sz="9" w:space="0" w:color="333333"/>
            </w:tcBorders>
          </w:tcPr>
          <w:p w14:paraId="60C4316E" w14:textId="77777777" w:rsidR="001C6501" w:rsidRPr="002C70E8" w:rsidRDefault="001C6501" w:rsidP="002C70E8">
            <w:pPr>
              <w:pStyle w:val="TableParagraph"/>
              <w:spacing w:line="224" w:lineRule="exact"/>
              <w:ind w:left="504"/>
              <w:jc w:val="right"/>
              <w:rPr>
                <w:rFonts w:ascii="Arial" w:eastAsia="Arial" w:hAnsi="Arial" w:cs="Arial"/>
                <w:sz w:val="16"/>
                <w:szCs w:val="16"/>
              </w:rPr>
            </w:pPr>
            <w:r w:rsidRPr="002C70E8">
              <w:rPr>
                <w:rFonts w:ascii="Arial"/>
                <w:spacing w:val="-1"/>
                <w:sz w:val="16"/>
                <w:szCs w:val="16"/>
              </w:rPr>
              <w:t>7,749</w:t>
            </w:r>
          </w:p>
        </w:tc>
      </w:tr>
      <w:tr w:rsidR="002C70E8" w14:paraId="1CC43C32" w14:textId="77777777" w:rsidTr="006B1840">
        <w:trPr>
          <w:trHeight w:hRule="exact" w:val="243"/>
        </w:trPr>
        <w:tc>
          <w:tcPr>
            <w:tcW w:w="1062" w:type="dxa"/>
            <w:vMerge/>
            <w:tcBorders>
              <w:left w:val="single" w:sz="9" w:space="0" w:color="333333"/>
              <w:right w:val="single" w:sz="9" w:space="0" w:color="333333"/>
            </w:tcBorders>
          </w:tcPr>
          <w:p w14:paraId="35A24ADB" w14:textId="77777777" w:rsidR="001C6501" w:rsidRPr="002C70E8" w:rsidRDefault="001C6501" w:rsidP="001C6501">
            <w:pPr>
              <w:rPr>
                <w:sz w:val="16"/>
                <w:szCs w:val="16"/>
              </w:rPr>
            </w:pPr>
          </w:p>
        </w:tc>
        <w:tc>
          <w:tcPr>
            <w:tcW w:w="3119" w:type="dxa"/>
            <w:tcBorders>
              <w:top w:val="single" w:sz="2" w:space="0" w:color="000000"/>
              <w:left w:val="single" w:sz="9" w:space="0" w:color="333333"/>
              <w:bottom w:val="single" w:sz="2" w:space="0" w:color="000000"/>
              <w:right w:val="single" w:sz="9" w:space="0" w:color="000000"/>
            </w:tcBorders>
          </w:tcPr>
          <w:p w14:paraId="2E1E7665" w14:textId="77777777" w:rsidR="001C6501" w:rsidRPr="002C70E8" w:rsidRDefault="001C6501" w:rsidP="001C6501">
            <w:pPr>
              <w:pStyle w:val="TableParagraph"/>
              <w:spacing w:line="224" w:lineRule="exact"/>
              <w:ind w:left="27"/>
              <w:rPr>
                <w:rFonts w:ascii="Arial" w:eastAsia="Arial" w:hAnsi="Arial" w:cs="Arial"/>
                <w:sz w:val="16"/>
                <w:szCs w:val="16"/>
              </w:rPr>
            </w:pPr>
            <w:r w:rsidRPr="002C70E8">
              <w:rPr>
                <w:rFonts w:ascii="Arial"/>
                <w:spacing w:val="-1"/>
                <w:sz w:val="16"/>
                <w:szCs w:val="16"/>
              </w:rPr>
              <w:t>Transport</w:t>
            </w:r>
            <w:r w:rsidRPr="002C70E8">
              <w:rPr>
                <w:rFonts w:ascii="Arial"/>
                <w:spacing w:val="-3"/>
                <w:sz w:val="16"/>
                <w:szCs w:val="16"/>
              </w:rPr>
              <w:t xml:space="preserve"> </w:t>
            </w:r>
            <w:r w:rsidRPr="002C70E8">
              <w:rPr>
                <w:rFonts w:ascii="Arial"/>
                <w:sz w:val="16"/>
                <w:szCs w:val="16"/>
              </w:rPr>
              <w:t>&amp;</w:t>
            </w:r>
            <w:r w:rsidRPr="002C70E8">
              <w:rPr>
                <w:rFonts w:ascii="Arial"/>
                <w:spacing w:val="-1"/>
                <w:sz w:val="16"/>
                <w:szCs w:val="16"/>
              </w:rPr>
              <w:t xml:space="preserve"> </w:t>
            </w:r>
            <w:r w:rsidRPr="002C70E8">
              <w:rPr>
                <w:rFonts w:ascii="Arial"/>
                <w:sz w:val="16"/>
                <w:szCs w:val="16"/>
              </w:rPr>
              <w:t>Communication</w:t>
            </w:r>
          </w:p>
        </w:tc>
        <w:tc>
          <w:tcPr>
            <w:tcW w:w="1417" w:type="dxa"/>
            <w:tcBorders>
              <w:top w:val="single" w:sz="2" w:space="0" w:color="000000"/>
              <w:left w:val="single" w:sz="9" w:space="0" w:color="000000"/>
              <w:bottom w:val="single" w:sz="2" w:space="0" w:color="000000"/>
              <w:right w:val="single" w:sz="9" w:space="0" w:color="C0C0C0"/>
            </w:tcBorders>
          </w:tcPr>
          <w:p w14:paraId="61B0DB6E" w14:textId="77777777" w:rsidR="001C6501" w:rsidRPr="002C70E8" w:rsidRDefault="001C6501" w:rsidP="002C70E8">
            <w:pPr>
              <w:pStyle w:val="TableParagraph"/>
              <w:spacing w:line="224" w:lineRule="exact"/>
              <w:ind w:right="92"/>
              <w:jc w:val="right"/>
              <w:rPr>
                <w:rFonts w:ascii="Arial" w:eastAsia="Arial" w:hAnsi="Arial" w:cs="Arial"/>
                <w:sz w:val="16"/>
                <w:szCs w:val="16"/>
              </w:rPr>
            </w:pPr>
            <w:r w:rsidRPr="002C70E8">
              <w:rPr>
                <w:rFonts w:ascii="Arial"/>
                <w:w w:val="95"/>
                <w:sz w:val="16"/>
                <w:szCs w:val="16"/>
              </w:rPr>
              <w:t>-</w:t>
            </w:r>
          </w:p>
        </w:tc>
        <w:tc>
          <w:tcPr>
            <w:tcW w:w="1417" w:type="dxa"/>
            <w:tcBorders>
              <w:top w:val="single" w:sz="2" w:space="0" w:color="000000"/>
              <w:left w:val="single" w:sz="9" w:space="0" w:color="C0C0C0"/>
              <w:bottom w:val="single" w:sz="2" w:space="0" w:color="000000"/>
              <w:right w:val="single" w:sz="9" w:space="0" w:color="000000"/>
            </w:tcBorders>
          </w:tcPr>
          <w:p w14:paraId="58DEE386" w14:textId="77777777" w:rsidR="001C6501" w:rsidRPr="002C70E8" w:rsidRDefault="001C6501" w:rsidP="002C70E8">
            <w:pPr>
              <w:pStyle w:val="TableParagraph"/>
              <w:spacing w:line="224" w:lineRule="exact"/>
              <w:ind w:right="92"/>
              <w:jc w:val="right"/>
              <w:rPr>
                <w:rFonts w:ascii="Arial" w:eastAsia="Arial" w:hAnsi="Arial" w:cs="Arial"/>
                <w:sz w:val="16"/>
                <w:szCs w:val="16"/>
              </w:rPr>
            </w:pPr>
            <w:r w:rsidRPr="002C70E8">
              <w:rPr>
                <w:rFonts w:ascii="Arial"/>
                <w:w w:val="95"/>
                <w:sz w:val="16"/>
                <w:szCs w:val="16"/>
              </w:rPr>
              <w:t>-</w:t>
            </w:r>
          </w:p>
        </w:tc>
        <w:tc>
          <w:tcPr>
            <w:tcW w:w="1418" w:type="dxa"/>
            <w:tcBorders>
              <w:top w:val="single" w:sz="2" w:space="0" w:color="000000"/>
              <w:left w:val="single" w:sz="9" w:space="0" w:color="000000"/>
              <w:bottom w:val="single" w:sz="2" w:space="0" w:color="000000"/>
              <w:right w:val="single" w:sz="9" w:space="0" w:color="333333"/>
            </w:tcBorders>
          </w:tcPr>
          <w:p w14:paraId="79CB8057" w14:textId="77777777" w:rsidR="001C6501" w:rsidRPr="002C70E8" w:rsidRDefault="001C6501" w:rsidP="002C70E8">
            <w:pPr>
              <w:pStyle w:val="TableParagraph"/>
              <w:spacing w:line="224" w:lineRule="exact"/>
              <w:ind w:left="504"/>
              <w:jc w:val="right"/>
              <w:rPr>
                <w:rFonts w:ascii="Arial" w:eastAsia="Arial" w:hAnsi="Arial" w:cs="Arial"/>
                <w:sz w:val="16"/>
                <w:szCs w:val="16"/>
              </w:rPr>
            </w:pPr>
            <w:r w:rsidRPr="002C70E8">
              <w:rPr>
                <w:rFonts w:ascii="Arial"/>
                <w:spacing w:val="-1"/>
                <w:sz w:val="16"/>
                <w:szCs w:val="16"/>
              </w:rPr>
              <w:t>7,121</w:t>
            </w:r>
          </w:p>
        </w:tc>
        <w:tc>
          <w:tcPr>
            <w:tcW w:w="1276" w:type="dxa"/>
            <w:tcBorders>
              <w:top w:val="single" w:sz="2" w:space="0" w:color="000000"/>
              <w:left w:val="single" w:sz="9" w:space="0" w:color="333333"/>
              <w:bottom w:val="single" w:sz="2" w:space="0" w:color="000000"/>
              <w:right w:val="single" w:sz="9" w:space="0" w:color="333333"/>
            </w:tcBorders>
          </w:tcPr>
          <w:p w14:paraId="0F0782B1" w14:textId="77777777" w:rsidR="001C6501" w:rsidRPr="002C70E8" w:rsidRDefault="001C6501" w:rsidP="002C70E8">
            <w:pPr>
              <w:pStyle w:val="TableParagraph"/>
              <w:spacing w:line="224" w:lineRule="exact"/>
              <w:ind w:left="504"/>
              <w:jc w:val="right"/>
              <w:rPr>
                <w:rFonts w:ascii="Arial" w:eastAsia="Arial" w:hAnsi="Arial" w:cs="Arial"/>
                <w:sz w:val="16"/>
                <w:szCs w:val="16"/>
              </w:rPr>
            </w:pPr>
            <w:r w:rsidRPr="002C70E8">
              <w:rPr>
                <w:rFonts w:ascii="Arial"/>
                <w:spacing w:val="-1"/>
                <w:sz w:val="16"/>
                <w:szCs w:val="16"/>
              </w:rPr>
              <w:t>1,852</w:t>
            </w:r>
          </w:p>
        </w:tc>
        <w:tc>
          <w:tcPr>
            <w:tcW w:w="709" w:type="dxa"/>
            <w:tcBorders>
              <w:top w:val="single" w:sz="2" w:space="0" w:color="000000"/>
              <w:left w:val="single" w:sz="9" w:space="0" w:color="333333"/>
              <w:bottom w:val="single" w:sz="2" w:space="0" w:color="000000"/>
              <w:right w:val="single" w:sz="9" w:space="0" w:color="C0C0C0"/>
            </w:tcBorders>
          </w:tcPr>
          <w:p w14:paraId="2E2D8829" w14:textId="77777777" w:rsidR="001C6501" w:rsidRPr="002C70E8" w:rsidRDefault="001C6501" w:rsidP="002C70E8">
            <w:pPr>
              <w:pStyle w:val="TableParagraph"/>
              <w:spacing w:before="13"/>
              <w:ind w:left="328"/>
              <w:jc w:val="right"/>
              <w:rPr>
                <w:rFonts w:ascii="Arial" w:eastAsia="Arial" w:hAnsi="Arial" w:cs="Arial"/>
                <w:sz w:val="16"/>
                <w:szCs w:val="16"/>
              </w:rPr>
            </w:pPr>
            <w:r w:rsidRPr="002C70E8">
              <w:rPr>
                <w:rFonts w:ascii="Arial"/>
                <w:spacing w:val="-1"/>
                <w:sz w:val="16"/>
                <w:szCs w:val="16"/>
              </w:rPr>
              <w:t>0%</w:t>
            </w:r>
          </w:p>
        </w:tc>
        <w:tc>
          <w:tcPr>
            <w:tcW w:w="709" w:type="dxa"/>
            <w:tcBorders>
              <w:top w:val="single" w:sz="2" w:space="0" w:color="000000"/>
              <w:left w:val="single" w:sz="9" w:space="0" w:color="C0C0C0"/>
              <w:bottom w:val="single" w:sz="2" w:space="0" w:color="000000"/>
              <w:right w:val="single" w:sz="9" w:space="0" w:color="C0C0C0"/>
            </w:tcBorders>
          </w:tcPr>
          <w:p w14:paraId="23CD47CA" w14:textId="77777777" w:rsidR="001C6501" w:rsidRPr="002C70E8" w:rsidRDefault="001C6501" w:rsidP="002C70E8">
            <w:pPr>
              <w:pStyle w:val="TableParagraph"/>
              <w:spacing w:before="13"/>
              <w:ind w:left="298"/>
              <w:jc w:val="right"/>
              <w:rPr>
                <w:rFonts w:ascii="Arial" w:eastAsia="Arial" w:hAnsi="Arial" w:cs="Arial"/>
                <w:sz w:val="16"/>
                <w:szCs w:val="16"/>
              </w:rPr>
            </w:pPr>
            <w:r w:rsidRPr="002C70E8">
              <w:rPr>
                <w:rFonts w:ascii="Arial"/>
                <w:spacing w:val="-1"/>
                <w:sz w:val="16"/>
                <w:szCs w:val="16"/>
              </w:rPr>
              <w:t>90%</w:t>
            </w:r>
          </w:p>
        </w:tc>
        <w:tc>
          <w:tcPr>
            <w:tcW w:w="709" w:type="dxa"/>
            <w:tcBorders>
              <w:top w:val="single" w:sz="2" w:space="0" w:color="000000"/>
              <w:left w:val="single" w:sz="9" w:space="0" w:color="C0C0C0"/>
              <w:bottom w:val="single" w:sz="2" w:space="0" w:color="000000"/>
              <w:right w:val="single" w:sz="9" w:space="0" w:color="C0C0C0"/>
            </w:tcBorders>
          </w:tcPr>
          <w:p w14:paraId="1547E162" w14:textId="77777777" w:rsidR="001C6501" w:rsidRPr="002C70E8" w:rsidRDefault="001C6501" w:rsidP="002C70E8">
            <w:pPr>
              <w:pStyle w:val="TableParagraph"/>
              <w:spacing w:before="13"/>
              <w:ind w:left="328"/>
              <w:jc w:val="right"/>
              <w:rPr>
                <w:rFonts w:ascii="Arial" w:eastAsia="Arial" w:hAnsi="Arial" w:cs="Arial"/>
                <w:sz w:val="16"/>
                <w:szCs w:val="16"/>
              </w:rPr>
            </w:pPr>
            <w:r w:rsidRPr="002C70E8">
              <w:rPr>
                <w:rFonts w:ascii="Arial"/>
                <w:spacing w:val="-1"/>
                <w:sz w:val="16"/>
                <w:szCs w:val="16"/>
              </w:rPr>
              <w:t>5%</w:t>
            </w:r>
          </w:p>
        </w:tc>
        <w:tc>
          <w:tcPr>
            <w:tcW w:w="708" w:type="dxa"/>
            <w:tcBorders>
              <w:top w:val="single" w:sz="2" w:space="0" w:color="000000"/>
              <w:left w:val="single" w:sz="9" w:space="0" w:color="C0C0C0"/>
              <w:bottom w:val="single" w:sz="2" w:space="0" w:color="000000"/>
              <w:right w:val="single" w:sz="9" w:space="0" w:color="C0C0C0"/>
            </w:tcBorders>
          </w:tcPr>
          <w:p w14:paraId="019E2DA5" w14:textId="77777777" w:rsidR="001C6501" w:rsidRPr="002C70E8" w:rsidRDefault="001C6501" w:rsidP="002C70E8">
            <w:pPr>
              <w:pStyle w:val="TableParagraph"/>
              <w:spacing w:before="13"/>
              <w:ind w:left="328"/>
              <w:jc w:val="right"/>
              <w:rPr>
                <w:rFonts w:ascii="Arial" w:eastAsia="Arial" w:hAnsi="Arial" w:cs="Arial"/>
                <w:sz w:val="16"/>
                <w:szCs w:val="16"/>
              </w:rPr>
            </w:pPr>
            <w:r w:rsidRPr="002C70E8">
              <w:rPr>
                <w:rFonts w:ascii="Arial"/>
                <w:spacing w:val="-1"/>
                <w:sz w:val="16"/>
                <w:szCs w:val="16"/>
              </w:rPr>
              <w:t>4%</w:t>
            </w:r>
          </w:p>
        </w:tc>
        <w:tc>
          <w:tcPr>
            <w:tcW w:w="709" w:type="dxa"/>
            <w:tcBorders>
              <w:top w:val="single" w:sz="2" w:space="0" w:color="000000"/>
              <w:left w:val="single" w:sz="9" w:space="0" w:color="C0C0C0"/>
              <w:bottom w:val="single" w:sz="2" w:space="0" w:color="000000"/>
              <w:right w:val="single" w:sz="9" w:space="0" w:color="333333"/>
            </w:tcBorders>
          </w:tcPr>
          <w:p w14:paraId="2C49B988" w14:textId="77777777" w:rsidR="001C6501" w:rsidRPr="002C70E8" w:rsidRDefault="001C6501" w:rsidP="002C70E8">
            <w:pPr>
              <w:pStyle w:val="TableParagraph"/>
              <w:spacing w:before="13"/>
              <w:ind w:left="328"/>
              <w:jc w:val="right"/>
              <w:rPr>
                <w:rFonts w:ascii="Arial" w:eastAsia="Arial" w:hAnsi="Arial" w:cs="Arial"/>
                <w:sz w:val="16"/>
                <w:szCs w:val="16"/>
              </w:rPr>
            </w:pPr>
            <w:r w:rsidRPr="002C70E8">
              <w:rPr>
                <w:rFonts w:ascii="Arial"/>
                <w:spacing w:val="-1"/>
                <w:sz w:val="16"/>
                <w:szCs w:val="16"/>
              </w:rPr>
              <w:t>1%</w:t>
            </w:r>
          </w:p>
        </w:tc>
        <w:tc>
          <w:tcPr>
            <w:tcW w:w="1701" w:type="dxa"/>
            <w:tcBorders>
              <w:top w:val="single" w:sz="2" w:space="0" w:color="000000"/>
              <w:left w:val="single" w:sz="9" w:space="0" w:color="333333"/>
              <w:bottom w:val="single" w:sz="2" w:space="0" w:color="000000"/>
              <w:right w:val="single" w:sz="9" w:space="0" w:color="333333"/>
            </w:tcBorders>
          </w:tcPr>
          <w:p w14:paraId="235F5ECA" w14:textId="77777777" w:rsidR="001C6501" w:rsidRPr="002C70E8" w:rsidRDefault="001C6501" w:rsidP="002C70E8">
            <w:pPr>
              <w:pStyle w:val="TableParagraph"/>
              <w:spacing w:line="224" w:lineRule="exact"/>
              <w:ind w:left="670"/>
              <w:jc w:val="right"/>
              <w:rPr>
                <w:rFonts w:ascii="Arial" w:eastAsia="Arial" w:hAnsi="Arial" w:cs="Arial"/>
                <w:sz w:val="16"/>
                <w:szCs w:val="16"/>
              </w:rPr>
            </w:pPr>
            <w:r w:rsidRPr="002C70E8">
              <w:rPr>
                <w:rFonts w:ascii="Arial"/>
                <w:sz w:val="16"/>
                <w:szCs w:val="16"/>
              </w:rPr>
              <w:t>356</w:t>
            </w:r>
          </w:p>
        </w:tc>
      </w:tr>
      <w:tr w:rsidR="002C70E8" w14:paraId="11B66D9C" w14:textId="77777777" w:rsidTr="006B1840">
        <w:trPr>
          <w:trHeight w:hRule="exact" w:val="243"/>
        </w:trPr>
        <w:tc>
          <w:tcPr>
            <w:tcW w:w="1062" w:type="dxa"/>
            <w:vMerge/>
            <w:tcBorders>
              <w:left w:val="single" w:sz="9" w:space="0" w:color="333333"/>
              <w:right w:val="single" w:sz="9" w:space="0" w:color="333333"/>
            </w:tcBorders>
          </w:tcPr>
          <w:p w14:paraId="2F460CF7" w14:textId="77777777" w:rsidR="001C6501" w:rsidRPr="002C70E8" w:rsidRDefault="001C6501" w:rsidP="001C6501">
            <w:pPr>
              <w:rPr>
                <w:sz w:val="16"/>
                <w:szCs w:val="16"/>
              </w:rPr>
            </w:pPr>
          </w:p>
        </w:tc>
        <w:tc>
          <w:tcPr>
            <w:tcW w:w="3119" w:type="dxa"/>
            <w:tcBorders>
              <w:top w:val="single" w:sz="2" w:space="0" w:color="000000"/>
              <w:left w:val="single" w:sz="9" w:space="0" w:color="333333"/>
              <w:bottom w:val="single" w:sz="2" w:space="0" w:color="000000"/>
              <w:right w:val="single" w:sz="9" w:space="0" w:color="000000"/>
            </w:tcBorders>
          </w:tcPr>
          <w:p w14:paraId="2D6C23CE" w14:textId="77777777" w:rsidR="001C6501" w:rsidRPr="002C70E8" w:rsidRDefault="001C6501" w:rsidP="001C6501">
            <w:pPr>
              <w:pStyle w:val="TableParagraph"/>
              <w:spacing w:line="224" w:lineRule="exact"/>
              <w:ind w:left="27"/>
              <w:rPr>
                <w:rFonts w:ascii="Arial" w:eastAsia="Arial" w:hAnsi="Arial" w:cs="Arial"/>
                <w:sz w:val="16"/>
                <w:szCs w:val="16"/>
              </w:rPr>
            </w:pPr>
            <w:r w:rsidRPr="002C70E8">
              <w:rPr>
                <w:rFonts w:ascii="Arial"/>
                <w:sz w:val="16"/>
                <w:szCs w:val="16"/>
              </w:rPr>
              <w:t>Landfills</w:t>
            </w:r>
            <w:r w:rsidRPr="002C70E8">
              <w:rPr>
                <w:rFonts w:ascii="Arial"/>
                <w:spacing w:val="-2"/>
                <w:sz w:val="16"/>
                <w:szCs w:val="16"/>
              </w:rPr>
              <w:t xml:space="preserve"> </w:t>
            </w:r>
            <w:r w:rsidRPr="002C70E8">
              <w:rPr>
                <w:rFonts w:ascii="Arial"/>
                <w:sz w:val="16"/>
                <w:szCs w:val="16"/>
              </w:rPr>
              <w:t>&amp;</w:t>
            </w:r>
            <w:r w:rsidRPr="002C70E8">
              <w:rPr>
                <w:rFonts w:ascii="Arial"/>
                <w:spacing w:val="-1"/>
                <w:sz w:val="16"/>
                <w:szCs w:val="16"/>
              </w:rPr>
              <w:t xml:space="preserve"> </w:t>
            </w:r>
            <w:r w:rsidRPr="002C70E8">
              <w:rPr>
                <w:rFonts w:ascii="Arial"/>
                <w:spacing w:val="2"/>
                <w:sz w:val="16"/>
                <w:szCs w:val="16"/>
              </w:rPr>
              <w:t>Waste</w:t>
            </w:r>
            <w:r w:rsidRPr="002C70E8">
              <w:rPr>
                <w:rFonts w:ascii="Arial"/>
                <w:spacing w:val="-1"/>
                <w:sz w:val="16"/>
                <w:szCs w:val="16"/>
              </w:rPr>
              <w:t xml:space="preserve"> </w:t>
            </w:r>
            <w:r w:rsidRPr="002C70E8">
              <w:rPr>
                <w:rFonts w:ascii="Arial"/>
                <w:sz w:val="16"/>
                <w:szCs w:val="16"/>
              </w:rPr>
              <w:t>-</w:t>
            </w:r>
            <w:r w:rsidRPr="002C70E8">
              <w:rPr>
                <w:rFonts w:ascii="Arial"/>
                <w:spacing w:val="-3"/>
                <w:sz w:val="16"/>
                <w:szCs w:val="16"/>
              </w:rPr>
              <w:t xml:space="preserve"> </w:t>
            </w:r>
            <w:r w:rsidRPr="002C70E8">
              <w:rPr>
                <w:rFonts w:ascii="Arial"/>
                <w:sz w:val="16"/>
                <w:szCs w:val="16"/>
              </w:rPr>
              <w:t>Katoomba</w:t>
            </w:r>
          </w:p>
        </w:tc>
        <w:tc>
          <w:tcPr>
            <w:tcW w:w="1417" w:type="dxa"/>
            <w:tcBorders>
              <w:top w:val="single" w:sz="2" w:space="0" w:color="000000"/>
              <w:left w:val="single" w:sz="9" w:space="0" w:color="000000"/>
              <w:bottom w:val="single" w:sz="2" w:space="0" w:color="000000"/>
              <w:right w:val="single" w:sz="9" w:space="0" w:color="C0C0C0"/>
            </w:tcBorders>
          </w:tcPr>
          <w:p w14:paraId="28A65D48" w14:textId="77777777" w:rsidR="001C6501" w:rsidRPr="002C70E8" w:rsidRDefault="001C6501" w:rsidP="002C70E8">
            <w:pPr>
              <w:pStyle w:val="TableParagraph"/>
              <w:spacing w:line="224" w:lineRule="exact"/>
              <w:ind w:right="93"/>
              <w:jc w:val="right"/>
              <w:rPr>
                <w:rFonts w:ascii="Arial" w:eastAsia="Arial" w:hAnsi="Arial" w:cs="Arial"/>
                <w:sz w:val="16"/>
                <w:szCs w:val="16"/>
              </w:rPr>
            </w:pPr>
            <w:r w:rsidRPr="002C70E8">
              <w:rPr>
                <w:rFonts w:ascii="Arial"/>
                <w:sz w:val="16"/>
                <w:szCs w:val="16"/>
              </w:rPr>
              <w:t>93</w:t>
            </w:r>
          </w:p>
        </w:tc>
        <w:tc>
          <w:tcPr>
            <w:tcW w:w="1417" w:type="dxa"/>
            <w:tcBorders>
              <w:top w:val="single" w:sz="2" w:space="0" w:color="000000"/>
              <w:left w:val="single" w:sz="9" w:space="0" w:color="C0C0C0"/>
              <w:bottom w:val="single" w:sz="2" w:space="0" w:color="000000"/>
              <w:right w:val="single" w:sz="9" w:space="0" w:color="000000"/>
            </w:tcBorders>
          </w:tcPr>
          <w:p w14:paraId="11556146" w14:textId="77777777" w:rsidR="001C6501" w:rsidRPr="002C70E8" w:rsidRDefault="001C6501" w:rsidP="002C70E8">
            <w:pPr>
              <w:pStyle w:val="TableParagraph"/>
              <w:spacing w:line="224" w:lineRule="exact"/>
              <w:ind w:right="93"/>
              <w:jc w:val="right"/>
              <w:rPr>
                <w:rFonts w:ascii="Arial" w:eastAsia="Arial" w:hAnsi="Arial" w:cs="Arial"/>
                <w:sz w:val="16"/>
                <w:szCs w:val="16"/>
              </w:rPr>
            </w:pPr>
            <w:r w:rsidRPr="002C70E8">
              <w:rPr>
                <w:rFonts w:ascii="Arial"/>
                <w:sz w:val="16"/>
                <w:szCs w:val="16"/>
              </w:rPr>
              <w:t>91</w:t>
            </w:r>
          </w:p>
        </w:tc>
        <w:tc>
          <w:tcPr>
            <w:tcW w:w="1418" w:type="dxa"/>
            <w:tcBorders>
              <w:top w:val="single" w:sz="2" w:space="0" w:color="000000"/>
              <w:left w:val="single" w:sz="9" w:space="0" w:color="000000"/>
              <w:bottom w:val="single" w:sz="2" w:space="0" w:color="000000"/>
              <w:right w:val="single" w:sz="9" w:space="0" w:color="333333"/>
            </w:tcBorders>
          </w:tcPr>
          <w:p w14:paraId="1381688D" w14:textId="77777777" w:rsidR="001C6501" w:rsidRPr="002C70E8" w:rsidRDefault="001C6501" w:rsidP="002C70E8">
            <w:pPr>
              <w:pStyle w:val="TableParagraph"/>
              <w:spacing w:line="224" w:lineRule="exact"/>
              <w:ind w:left="504"/>
              <w:jc w:val="right"/>
              <w:rPr>
                <w:rFonts w:ascii="Arial" w:eastAsia="Arial" w:hAnsi="Arial" w:cs="Arial"/>
                <w:sz w:val="16"/>
                <w:szCs w:val="16"/>
              </w:rPr>
            </w:pPr>
            <w:r w:rsidRPr="002C70E8">
              <w:rPr>
                <w:rFonts w:ascii="Arial"/>
                <w:spacing w:val="-1"/>
                <w:sz w:val="16"/>
                <w:szCs w:val="16"/>
              </w:rPr>
              <w:t>4,145</w:t>
            </w:r>
          </w:p>
        </w:tc>
        <w:tc>
          <w:tcPr>
            <w:tcW w:w="1276" w:type="dxa"/>
            <w:tcBorders>
              <w:top w:val="single" w:sz="2" w:space="0" w:color="000000"/>
              <w:left w:val="single" w:sz="9" w:space="0" w:color="333333"/>
              <w:bottom w:val="single" w:sz="2" w:space="0" w:color="000000"/>
              <w:right w:val="single" w:sz="9" w:space="0" w:color="333333"/>
            </w:tcBorders>
          </w:tcPr>
          <w:p w14:paraId="6694A833" w14:textId="77777777" w:rsidR="001C6501" w:rsidRPr="002C70E8" w:rsidRDefault="001C6501" w:rsidP="002C70E8">
            <w:pPr>
              <w:pStyle w:val="TableParagraph"/>
              <w:spacing w:line="224" w:lineRule="exact"/>
              <w:ind w:left="504"/>
              <w:jc w:val="right"/>
              <w:rPr>
                <w:rFonts w:ascii="Arial" w:eastAsia="Arial" w:hAnsi="Arial" w:cs="Arial"/>
                <w:sz w:val="16"/>
                <w:szCs w:val="16"/>
              </w:rPr>
            </w:pPr>
            <w:r w:rsidRPr="002C70E8">
              <w:rPr>
                <w:rFonts w:ascii="Arial"/>
                <w:spacing w:val="-1"/>
                <w:sz w:val="16"/>
                <w:szCs w:val="16"/>
              </w:rPr>
              <w:t>4,005</w:t>
            </w:r>
          </w:p>
        </w:tc>
        <w:tc>
          <w:tcPr>
            <w:tcW w:w="709" w:type="dxa"/>
            <w:tcBorders>
              <w:top w:val="single" w:sz="2" w:space="0" w:color="000000"/>
              <w:left w:val="single" w:sz="9" w:space="0" w:color="333333"/>
              <w:bottom w:val="single" w:sz="2" w:space="0" w:color="000000"/>
              <w:right w:val="single" w:sz="9" w:space="0" w:color="C0C0C0"/>
            </w:tcBorders>
          </w:tcPr>
          <w:p w14:paraId="70058CD8" w14:textId="77777777" w:rsidR="001C6501" w:rsidRPr="002C70E8" w:rsidRDefault="001C6501" w:rsidP="002C70E8">
            <w:pPr>
              <w:pStyle w:val="TableParagraph"/>
              <w:spacing w:before="13"/>
              <w:ind w:left="298"/>
              <w:jc w:val="right"/>
              <w:rPr>
                <w:rFonts w:ascii="Arial" w:eastAsia="Arial" w:hAnsi="Arial" w:cs="Arial"/>
                <w:sz w:val="16"/>
                <w:szCs w:val="16"/>
              </w:rPr>
            </w:pPr>
            <w:r w:rsidRPr="002C70E8">
              <w:rPr>
                <w:rFonts w:ascii="Arial"/>
                <w:spacing w:val="-1"/>
                <w:sz w:val="16"/>
                <w:szCs w:val="16"/>
              </w:rPr>
              <w:t>60%</w:t>
            </w:r>
          </w:p>
        </w:tc>
        <w:tc>
          <w:tcPr>
            <w:tcW w:w="709" w:type="dxa"/>
            <w:tcBorders>
              <w:top w:val="single" w:sz="2" w:space="0" w:color="000000"/>
              <w:left w:val="single" w:sz="9" w:space="0" w:color="C0C0C0"/>
              <w:bottom w:val="single" w:sz="2" w:space="0" w:color="000000"/>
              <w:right w:val="single" w:sz="9" w:space="0" w:color="C0C0C0"/>
            </w:tcBorders>
          </w:tcPr>
          <w:p w14:paraId="1FF93AAC" w14:textId="77777777" w:rsidR="001C6501" w:rsidRPr="002C70E8" w:rsidRDefault="001C6501" w:rsidP="002C70E8">
            <w:pPr>
              <w:pStyle w:val="TableParagraph"/>
              <w:spacing w:before="13"/>
              <w:ind w:left="298"/>
              <w:jc w:val="right"/>
              <w:rPr>
                <w:rFonts w:ascii="Arial" w:eastAsia="Arial" w:hAnsi="Arial" w:cs="Arial"/>
                <w:sz w:val="16"/>
                <w:szCs w:val="16"/>
              </w:rPr>
            </w:pPr>
            <w:r w:rsidRPr="002C70E8">
              <w:rPr>
                <w:rFonts w:ascii="Arial"/>
                <w:spacing w:val="-1"/>
                <w:sz w:val="16"/>
                <w:szCs w:val="16"/>
              </w:rPr>
              <w:t>34%</w:t>
            </w:r>
          </w:p>
        </w:tc>
        <w:tc>
          <w:tcPr>
            <w:tcW w:w="709" w:type="dxa"/>
            <w:tcBorders>
              <w:top w:val="single" w:sz="2" w:space="0" w:color="000000"/>
              <w:left w:val="single" w:sz="9" w:space="0" w:color="C0C0C0"/>
              <w:bottom w:val="single" w:sz="2" w:space="0" w:color="000000"/>
              <w:right w:val="single" w:sz="9" w:space="0" w:color="C0C0C0"/>
            </w:tcBorders>
          </w:tcPr>
          <w:p w14:paraId="374CAA3B" w14:textId="77777777" w:rsidR="001C6501" w:rsidRPr="002C70E8" w:rsidRDefault="001C6501" w:rsidP="002C70E8">
            <w:pPr>
              <w:pStyle w:val="TableParagraph"/>
              <w:spacing w:before="13"/>
              <w:ind w:left="328"/>
              <w:jc w:val="right"/>
              <w:rPr>
                <w:rFonts w:ascii="Arial" w:eastAsia="Arial" w:hAnsi="Arial" w:cs="Arial"/>
                <w:sz w:val="16"/>
                <w:szCs w:val="16"/>
              </w:rPr>
            </w:pPr>
            <w:r w:rsidRPr="002C70E8">
              <w:rPr>
                <w:rFonts w:ascii="Arial"/>
                <w:spacing w:val="-1"/>
                <w:sz w:val="16"/>
                <w:szCs w:val="16"/>
              </w:rPr>
              <w:t>5%</w:t>
            </w:r>
          </w:p>
        </w:tc>
        <w:tc>
          <w:tcPr>
            <w:tcW w:w="708" w:type="dxa"/>
            <w:tcBorders>
              <w:top w:val="single" w:sz="2" w:space="0" w:color="000000"/>
              <w:left w:val="single" w:sz="9" w:space="0" w:color="C0C0C0"/>
              <w:bottom w:val="single" w:sz="2" w:space="0" w:color="000000"/>
              <w:right w:val="single" w:sz="9" w:space="0" w:color="C0C0C0"/>
            </w:tcBorders>
          </w:tcPr>
          <w:p w14:paraId="132B79CB" w14:textId="77777777" w:rsidR="001C6501" w:rsidRPr="002C70E8" w:rsidRDefault="001C6501" w:rsidP="002C70E8">
            <w:pPr>
              <w:pStyle w:val="TableParagraph"/>
              <w:spacing w:before="13"/>
              <w:ind w:left="328"/>
              <w:jc w:val="right"/>
              <w:rPr>
                <w:rFonts w:ascii="Arial" w:eastAsia="Arial" w:hAnsi="Arial" w:cs="Arial"/>
                <w:sz w:val="16"/>
                <w:szCs w:val="16"/>
              </w:rPr>
            </w:pPr>
            <w:r w:rsidRPr="002C70E8">
              <w:rPr>
                <w:rFonts w:ascii="Arial"/>
                <w:spacing w:val="-1"/>
                <w:sz w:val="16"/>
                <w:szCs w:val="16"/>
              </w:rPr>
              <w:t>0%</w:t>
            </w:r>
          </w:p>
        </w:tc>
        <w:tc>
          <w:tcPr>
            <w:tcW w:w="709" w:type="dxa"/>
            <w:tcBorders>
              <w:top w:val="single" w:sz="2" w:space="0" w:color="000000"/>
              <w:left w:val="single" w:sz="9" w:space="0" w:color="C0C0C0"/>
              <w:bottom w:val="single" w:sz="2" w:space="0" w:color="000000"/>
              <w:right w:val="single" w:sz="9" w:space="0" w:color="333333"/>
            </w:tcBorders>
          </w:tcPr>
          <w:p w14:paraId="05EC2ADB" w14:textId="77777777" w:rsidR="001C6501" w:rsidRPr="002C70E8" w:rsidRDefault="001C6501" w:rsidP="002C70E8">
            <w:pPr>
              <w:pStyle w:val="TableParagraph"/>
              <w:spacing w:before="13"/>
              <w:ind w:left="328"/>
              <w:jc w:val="right"/>
              <w:rPr>
                <w:rFonts w:ascii="Arial" w:eastAsia="Arial" w:hAnsi="Arial" w:cs="Arial"/>
                <w:sz w:val="16"/>
                <w:szCs w:val="16"/>
              </w:rPr>
            </w:pPr>
            <w:r w:rsidRPr="002C70E8">
              <w:rPr>
                <w:rFonts w:ascii="Arial"/>
                <w:spacing w:val="-1"/>
                <w:sz w:val="16"/>
                <w:szCs w:val="16"/>
              </w:rPr>
              <w:t>1%</w:t>
            </w:r>
          </w:p>
        </w:tc>
        <w:tc>
          <w:tcPr>
            <w:tcW w:w="1701" w:type="dxa"/>
            <w:tcBorders>
              <w:top w:val="single" w:sz="2" w:space="0" w:color="000000"/>
              <w:left w:val="single" w:sz="9" w:space="0" w:color="333333"/>
              <w:bottom w:val="single" w:sz="2" w:space="0" w:color="000000"/>
              <w:right w:val="single" w:sz="9" w:space="0" w:color="333333"/>
            </w:tcBorders>
          </w:tcPr>
          <w:p w14:paraId="5034B952" w14:textId="77777777" w:rsidR="001C6501" w:rsidRPr="002C70E8" w:rsidRDefault="001C6501" w:rsidP="002C70E8">
            <w:pPr>
              <w:pStyle w:val="TableParagraph"/>
              <w:spacing w:line="224" w:lineRule="exact"/>
              <w:ind w:right="93"/>
              <w:jc w:val="right"/>
              <w:rPr>
                <w:rFonts w:ascii="Arial" w:eastAsia="Arial" w:hAnsi="Arial" w:cs="Arial"/>
                <w:sz w:val="16"/>
                <w:szCs w:val="16"/>
              </w:rPr>
            </w:pPr>
            <w:r w:rsidRPr="002C70E8">
              <w:rPr>
                <w:rFonts w:ascii="Arial"/>
                <w:sz w:val="16"/>
                <w:szCs w:val="16"/>
              </w:rPr>
              <w:t>41</w:t>
            </w:r>
          </w:p>
        </w:tc>
      </w:tr>
      <w:tr w:rsidR="002C70E8" w14:paraId="532E9E3F" w14:textId="77777777" w:rsidTr="006B1840">
        <w:trPr>
          <w:trHeight w:hRule="exact" w:val="243"/>
        </w:trPr>
        <w:tc>
          <w:tcPr>
            <w:tcW w:w="1062" w:type="dxa"/>
            <w:vMerge/>
            <w:tcBorders>
              <w:left w:val="single" w:sz="9" w:space="0" w:color="333333"/>
              <w:right w:val="single" w:sz="9" w:space="0" w:color="333333"/>
            </w:tcBorders>
          </w:tcPr>
          <w:p w14:paraId="1E97C5F4" w14:textId="77777777" w:rsidR="001C6501" w:rsidRPr="002C70E8" w:rsidRDefault="001C6501" w:rsidP="001C6501">
            <w:pPr>
              <w:rPr>
                <w:sz w:val="16"/>
                <w:szCs w:val="16"/>
              </w:rPr>
            </w:pPr>
          </w:p>
        </w:tc>
        <w:tc>
          <w:tcPr>
            <w:tcW w:w="3119" w:type="dxa"/>
            <w:tcBorders>
              <w:top w:val="single" w:sz="2" w:space="0" w:color="000000"/>
              <w:left w:val="single" w:sz="9" w:space="0" w:color="333333"/>
              <w:bottom w:val="single" w:sz="2" w:space="0" w:color="000000"/>
              <w:right w:val="single" w:sz="9" w:space="0" w:color="000000"/>
            </w:tcBorders>
          </w:tcPr>
          <w:p w14:paraId="3F91D1AC" w14:textId="77777777" w:rsidR="001C6501" w:rsidRPr="002C70E8" w:rsidRDefault="001C6501" w:rsidP="001C6501">
            <w:pPr>
              <w:pStyle w:val="TableParagraph"/>
              <w:spacing w:line="224" w:lineRule="exact"/>
              <w:ind w:left="27"/>
              <w:rPr>
                <w:rFonts w:ascii="Arial" w:eastAsia="Arial" w:hAnsi="Arial" w:cs="Arial"/>
                <w:sz w:val="16"/>
                <w:szCs w:val="16"/>
              </w:rPr>
            </w:pPr>
            <w:r w:rsidRPr="002C70E8">
              <w:rPr>
                <w:rFonts w:ascii="Arial"/>
                <w:sz w:val="16"/>
                <w:szCs w:val="16"/>
              </w:rPr>
              <w:t>Landfills</w:t>
            </w:r>
            <w:r w:rsidRPr="002C70E8">
              <w:rPr>
                <w:rFonts w:ascii="Arial"/>
                <w:spacing w:val="-2"/>
                <w:sz w:val="16"/>
                <w:szCs w:val="16"/>
              </w:rPr>
              <w:t xml:space="preserve"> </w:t>
            </w:r>
            <w:r w:rsidRPr="002C70E8">
              <w:rPr>
                <w:rFonts w:ascii="Arial"/>
                <w:sz w:val="16"/>
                <w:szCs w:val="16"/>
              </w:rPr>
              <w:t>&amp;</w:t>
            </w:r>
            <w:r w:rsidRPr="002C70E8">
              <w:rPr>
                <w:rFonts w:ascii="Arial"/>
                <w:spacing w:val="-1"/>
                <w:sz w:val="16"/>
                <w:szCs w:val="16"/>
              </w:rPr>
              <w:t xml:space="preserve"> </w:t>
            </w:r>
            <w:r w:rsidRPr="002C70E8">
              <w:rPr>
                <w:rFonts w:ascii="Arial"/>
                <w:spacing w:val="2"/>
                <w:sz w:val="16"/>
                <w:szCs w:val="16"/>
              </w:rPr>
              <w:t>Waste</w:t>
            </w:r>
            <w:r w:rsidRPr="002C70E8">
              <w:rPr>
                <w:rFonts w:ascii="Arial"/>
                <w:spacing w:val="-1"/>
                <w:sz w:val="16"/>
                <w:szCs w:val="16"/>
              </w:rPr>
              <w:t xml:space="preserve"> </w:t>
            </w:r>
            <w:r w:rsidRPr="002C70E8">
              <w:rPr>
                <w:rFonts w:ascii="Arial"/>
                <w:sz w:val="16"/>
                <w:szCs w:val="16"/>
              </w:rPr>
              <w:t>-</w:t>
            </w:r>
            <w:r w:rsidRPr="002C70E8">
              <w:rPr>
                <w:rFonts w:ascii="Arial"/>
                <w:spacing w:val="-3"/>
                <w:sz w:val="16"/>
                <w:szCs w:val="16"/>
              </w:rPr>
              <w:t xml:space="preserve"> </w:t>
            </w:r>
            <w:r w:rsidRPr="002C70E8">
              <w:rPr>
                <w:rFonts w:ascii="Arial"/>
                <w:spacing w:val="-1"/>
                <w:sz w:val="16"/>
                <w:szCs w:val="16"/>
              </w:rPr>
              <w:t>Blaxland</w:t>
            </w:r>
          </w:p>
        </w:tc>
        <w:tc>
          <w:tcPr>
            <w:tcW w:w="1417" w:type="dxa"/>
            <w:tcBorders>
              <w:top w:val="single" w:sz="2" w:space="0" w:color="000000"/>
              <w:left w:val="single" w:sz="9" w:space="0" w:color="000000"/>
              <w:bottom w:val="single" w:sz="2" w:space="0" w:color="000000"/>
              <w:right w:val="single" w:sz="9" w:space="0" w:color="C0C0C0"/>
            </w:tcBorders>
          </w:tcPr>
          <w:p w14:paraId="58257785" w14:textId="77777777" w:rsidR="001C6501" w:rsidRPr="002C70E8" w:rsidRDefault="001C6501" w:rsidP="002C70E8">
            <w:pPr>
              <w:pStyle w:val="TableParagraph"/>
              <w:spacing w:line="224" w:lineRule="exact"/>
              <w:ind w:right="93"/>
              <w:jc w:val="right"/>
              <w:rPr>
                <w:rFonts w:ascii="Arial" w:eastAsia="Arial" w:hAnsi="Arial" w:cs="Arial"/>
                <w:sz w:val="16"/>
                <w:szCs w:val="16"/>
              </w:rPr>
            </w:pPr>
            <w:r w:rsidRPr="002C70E8">
              <w:rPr>
                <w:rFonts w:ascii="Arial"/>
                <w:sz w:val="16"/>
                <w:szCs w:val="16"/>
              </w:rPr>
              <w:t>43</w:t>
            </w:r>
          </w:p>
        </w:tc>
        <w:tc>
          <w:tcPr>
            <w:tcW w:w="1417" w:type="dxa"/>
            <w:tcBorders>
              <w:top w:val="single" w:sz="2" w:space="0" w:color="000000"/>
              <w:left w:val="single" w:sz="9" w:space="0" w:color="C0C0C0"/>
              <w:bottom w:val="single" w:sz="2" w:space="0" w:color="000000"/>
              <w:right w:val="single" w:sz="9" w:space="0" w:color="000000"/>
            </w:tcBorders>
          </w:tcPr>
          <w:p w14:paraId="30670076" w14:textId="77777777" w:rsidR="001C6501" w:rsidRPr="002C70E8" w:rsidRDefault="001C6501" w:rsidP="002C70E8">
            <w:pPr>
              <w:pStyle w:val="TableParagraph"/>
              <w:spacing w:line="224" w:lineRule="exact"/>
              <w:ind w:right="93"/>
              <w:jc w:val="right"/>
              <w:rPr>
                <w:rFonts w:ascii="Arial" w:eastAsia="Arial" w:hAnsi="Arial" w:cs="Arial"/>
                <w:sz w:val="16"/>
                <w:szCs w:val="16"/>
              </w:rPr>
            </w:pPr>
            <w:r w:rsidRPr="002C70E8">
              <w:rPr>
                <w:rFonts w:ascii="Arial"/>
                <w:sz w:val="16"/>
                <w:szCs w:val="16"/>
              </w:rPr>
              <w:t>43</w:t>
            </w:r>
          </w:p>
        </w:tc>
        <w:tc>
          <w:tcPr>
            <w:tcW w:w="1418" w:type="dxa"/>
            <w:tcBorders>
              <w:top w:val="single" w:sz="2" w:space="0" w:color="000000"/>
              <w:left w:val="single" w:sz="9" w:space="0" w:color="000000"/>
              <w:bottom w:val="single" w:sz="2" w:space="0" w:color="000000"/>
              <w:right w:val="single" w:sz="9" w:space="0" w:color="333333"/>
            </w:tcBorders>
          </w:tcPr>
          <w:p w14:paraId="7A896BDB" w14:textId="77777777" w:rsidR="001C6501" w:rsidRPr="002C70E8" w:rsidRDefault="001C6501" w:rsidP="002C70E8">
            <w:pPr>
              <w:pStyle w:val="TableParagraph"/>
              <w:spacing w:line="224" w:lineRule="exact"/>
              <w:ind w:left="504"/>
              <w:jc w:val="right"/>
              <w:rPr>
                <w:rFonts w:ascii="Arial" w:eastAsia="Arial" w:hAnsi="Arial" w:cs="Arial"/>
                <w:sz w:val="16"/>
                <w:szCs w:val="16"/>
              </w:rPr>
            </w:pPr>
            <w:r w:rsidRPr="002C70E8">
              <w:rPr>
                <w:rFonts w:ascii="Arial"/>
                <w:spacing w:val="-1"/>
                <w:sz w:val="16"/>
                <w:szCs w:val="16"/>
              </w:rPr>
              <w:t>3,871</w:t>
            </w:r>
          </w:p>
        </w:tc>
        <w:tc>
          <w:tcPr>
            <w:tcW w:w="1276" w:type="dxa"/>
            <w:tcBorders>
              <w:top w:val="single" w:sz="2" w:space="0" w:color="000000"/>
              <w:left w:val="single" w:sz="9" w:space="0" w:color="333333"/>
              <w:bottom w:val="single" w:sz="2" w:space="0" w:color="000000"/>
              <w:right w:val="single" w:sz="9" w:space="0" w:color="333333"/>
            </w:tcBorders>
          </w:tcPr>
          <w:p w14:paraId="04FBAB38" w14:textId="77777777" w:rsidR="001C6501" w:rsidRPr="002C70E8" w:rsidRDefault="001C6501" w:rsidP="002C70E8">
            <w:pPr>
              <w:pStyle w:val="TableParagraph"/>
              <w:spacing w:line="224" w:lineRule="exact"/>
              <w:ind w:left="504"/>
              <w:jc w:val="right"/>
              <w:rPr>
                <w:rFonts w:ascii="Arial" w:eastAsia="Arial" w:hAnsi="Arial" w:cs="Arial"/>
                <w:sz w:val="16"/>
                <w:szCs w:val="16"/>
              </w:rPr>
            </w:pPr>
            <w:r w:rsidRPr="002C70E8">
              <w:rPr>
                <w:rFonts w:ascii="Arial"/>
                <w:spacing w:val="-1"/>
                <w:sz w:val="16"/>
                <w:szCs w:val="16"/>
              </w:rPr>
              <w:t>3,851</w:t>
            </w:r>
          </w:p>
        </w:tc>
        <w:tc>
          <w:tcPr>
            <w:tcW w:w="709" w:type="dxa"/>
            <w:tcBorders>
              <w:top w:val="single" w:sz="2" w:space="0" w:color="000000"/>
              <w:left w:val="single" w:sz="9" w:space="0" w:color="333333"/>
              <w:bottom w:val="single" w:sz="2" w:space="0" w:color="000000"/>
              <w:right w:val="single" w:sz="9" w:space="0" w:color="C0C0C0"/>
            </w:tcBorders>
          </w:tcPr>
          <w:p w14:paraId="45E44428" w14:textId="77777777" w:rsidR="001C6501" w:rsidRPr="002C70E8" w:rsidRDefault="001C6501" w:rsidP="002C70E8">
            <w:pPr>
              <w:pStyle w:val="TableParagraph"/>
              <w:spacing w:before="13"/>
              <w:ind w:left="298"/>
              <w:jc w:val="right"/>
              <w:rPr>
                <w:rFonts w:ascii="Arial" w:eastAsia="Arial" w:hAnsi="Arial" w:cs="Arial"/>
                <w:sz w:val="16"/>
                <w:szCs w:val="16"/>
              </w:rPr>
            </w:pPr>
            <w:r w:rsidRPr="002C70E8">
              <w:rPr>
                <w:rFonts w:ascii="Arial"/>
                <w:spacing w:val="-1"/>
                <w:sz w:val="16"/>
                <w:szCs w:val="16"/>
              </w:rPr>
              <w:t>75%</w:t>
            </w:r>
          </w:p>
        </w:tc>
        <w:tc>
          <w:tcPr>
            <w:tcW w:w="709" w:type="dxa"/>
            <w:tcBorders>
              <w:top w:val="single" w:sz="2" w:space="0" w:color="000000"/>
              <w:left w:val="single" w:sz="9" w:space="0" w:color="C0C0C0"/>
              <w:bottom w:val="single" w:sz="2" w:space="0" w:color="000000"/>
              <w:right w:val="single" w:sz="9" w:space="0" w:color="C0C0C0"/>
            </w:tcBorders>
          </w:tcPr>
          <w:p w14:paraId="611790F0" w14:textId="77777777" w:rsidR="001C6501" w:rsidRPr="002C70E8" w:rsidRDefault="001C6501" w:rsidP="002C70E8">
            <w:pPr>
              <w:pStyle w:val="TableParagraph"/>
              <w:spacing w:before="13"/>
              <w:ind w:left="298"/>
              <w:jc w:val="right"/>
              <w:rPr>
                <w:rFonts w:ascii="Arial" w:eastAsia="Arial" w:hAnsi="Arial" w:cs="Arial"/>
                <w:sz w:val="16"/>
                <w:szCs w:val="16"/>
              </w:rPr>
            </w:pPr>
            <w:r w:rsidRPr="002C70E8">
              <w:rPr>
                <w:rFonts w:ascii="Arial"/>
                <w:spacing w:val="-1"/>
                <w:sz w:val="16"/>
                <w:szCs w:val="16"/>
              </w:rPr>
              <w:t>15%</w:t>
            </w:r>
          </w:p>
        </w:tc>
        <w:tc>
          <w:tcPr>
            <w:tcW w:w="709" w:type="dxa"/>
            <w:tcBorders>
              <w:top w:val="single" w:sz="2" w:space="0" w:color="000000"/>
              <w:left w:val="single" w:sz="9" w:space="0" w:color="C0C0C0"/>
              <w:bottom w:val="single" w:sz="2" w:space="0" w:color="000000"/>
              <w:right w:val="single" w:sz="9" w:space="0" w:color="C0C0C0"/>
            </w:tcBorders>
          </w:tcPr>
          <w:p w14:paraId="6020424B" w14:textId="77777777" w:rsidR="001C6501" w:rsidRPr="002C70E8" w:rsidRDefault="001C6501" w:rsidP="002C70E8">
            <w:pPr>
              <w:pStyle w:val="TableParagraph"/>
              <w:spacing w:before="13"/>
              <w:ind w:left="328"/>
              <w:jc w:val="right"/>
              <w:rPr>
                <w:rFonts w:ascii="Arial" w:eastAsia="Arial" w:hAnsi="Arial" w:cs="Arial"/>
                <w:sz w:val="16"/>
                <w:szCs w:val="16"/>
              </w:rPr>
            </w:pPr>
            <w:r w:rsidRPr="002C70E8">
              <w:rPr>
                <w:rFonts w:ascii="Arial"/>
                <w:spacing w:val="-1"/>
                <w:sz w:val="16"/>
                <w:szCs w:val="16"/>
              </w:rPr>
              <w:t>5%</w:t>
            </w:r>
          </w:p>
        </w:tc>
        <w:tc>
          <w:tcPr>
            <w:tcW w:w="708" w:type="dxa"/>
            <w:tcBorders>
              <w:top w:val="single" w:sz="2" w:space="0" w:color="000000"/>
              <w:left w:val="single" w:sz="9" w:space="0" w:color="C0C0C0"/>
              <w:bottom w:val="single" w:sz="2" w:space="0" w:color="000000"/>
              <w:right w:val="single" w:sz="9" w:space="0" w:color="C0C0C0"/>
            </w:tcBorders>
          </w:tcPr>
          <w:p w14:paraId="509C21CB" w14:textId="77777777" w:rsidR="001C6501" w:rsidRPr="002C70E8" w:rsidRDefault="001C6501" w:rsidP="002C70E8">
            <w:pPr>
              <w:pStyle w:val="TableParagraph"/>
              <w:spacing w:before="13"/>
              <w:ind w:left="328"/>
              <w:jc w:val="right"/>
              <w:rPr>
                <w:rFonts w:ascii="Arial" w:eastAsia="Arial" w:hAnsi="Arial" w:cs="Arial"/>
                <w:sz w:val="16"/>
                <w:szCs w:val="16"/>
              </w:rPr>
            </w:pPr>
            <w:r w:rsidRPr="002C70E8">
              <w:rPr>
                <w:rFonts w:ascii="Arial"/>
                <w:spacing w:val="-1"/>
                <w:sz w:val="16"/>
                <w:szCs w:val="16"/>
              </w:rPr>
              <w:t>5%</w:t>
            </w:r>
          </w:p>
        </w:tc>
        <w:tc>
          <w:tcPr>
            <w:tcW w:w="709" w:type="dxa"/>
            <w:tcBorders>
              <w:top w:val="single" w:sz="2" w:space="0" w:color="000000"/>
              <w:left w:val="single" w:sz="9" w:space="0" w:color="C0C0C0"/>
              <w:bottom w:val="single" w:sz="2" w:space="0" w:color="000000"/>
              <w:right w:val="single" w:sz="9" w:space="0" w:color="333333"/>
            </w:tcBorders>
          </w:tcPr>
          <w:p w14:paraId="10C94DD4" w14:textId="77777777" w:rsidR="001C6501" w:rsidRPr="002C70E8" w:rsidRDefault="001C6501" w:rsidP="002C70E8">
            <w:pPr>
              <w:pStyle w:val="TableParagraph"/>
              <w:spacing w:before="13"/>
              <w:ind w:left="328"/>
              <w:jc w:val="right"/>
              <w:rPr>
                <w:rFonts w:ascii="Arial" w:eastAsia="Arial" w:hAnsi="Arial" w:cs="Arial"/>
                <w:sz w:val="16"/>
                <w:szCs w:val="16"/>
              </w:rPr>
            </w:pPr>
            <w:r w:rsidRPr="002C70E8">
              <w:rPr>
                <w:rFonts w:ascii="Arial"/>
                <w:spacing w:val="-1"/>
                <w:sz w:val="16"/>
                <w:szCs w:val="16"/>
              </w:rPr>
              <w:t>0%</w:t>
            </w:r>
          </w:p>
        </w:tc>
        <w:tc>
          <w:tcPr>
            <w:tcW w:w="1701" w:type="dxa"/>
            <w:tcBorders>
              <w:top w:val="single" w:sz="2" w:space="0" w:color="000000"/>
              <w:left w:val="single" w:sz="9" w:space="0" w:color="333333"/>
              <w:bottom w:val="single" w:sz="2" w:space="0" w:color="000000"/>
              <w:right w:val="single" w:sz="9" w:space="0" w:color="333333"/>
            </w:tcBorders>
          </w:tcPr>
          <w:p w14:paraId="15BB72C5" w14:textId="77777777" w:rsidR="001C6501" w:rsidRPr="002C70E8" w:rsidRDefault="001C6501" w:rsidP="002C70E8">
            <w:pPr>
              <w:pStyle w:val="TableParagraph"/>
              <w:spacing w:line="224" w:lineRule="exact"/>
              <w:ind w:left="670"/>
              <w:jc w:val="right"/>
              <w:rPr>
                <w:rFonts w:ascii="Arial" w:eastAsia="Arial" w:hAnsi="Arial" w:cs="Arial"/>
                <w:sz w:val="16"/>
                <w:szCs w:val="16"/>
              </w:rPr>
            </w:pPr>
            <w:r w:rsidRPr="002C70E8">
              <w:rPr>
                <w:rFonts w:ascii="Arial"/>
                <w:sz w:val="16"/>
                <w:szCs w:val="16"/>
              </w:rPr>
              <w:t>194</w:t>
            </w:r>
          </w:p>
        </w:tc>
      </w:tr>
      <w:tr w:rsidR="002C70E8" w14:paraId="0FCBE2D6" w14:textId="77777777" w:rsidTr="006B1840">
        <w:trPr>
          <w:trHeight w:hRule="exact" w:val="243"/>
        </w:trPr>
        <w:tc>
          <w:tcPr>
            <w:tcW w:w="1062" w:type="dxa"/>
            <w:vMerge/>
            <w:tcBorders>
              <w:left w:val="single" w:sz="9" w:space="0" w:color="333333"/>
              <w:bottom w:val="single" w:sz="9" w:space="0" w:color="808080"/>
              <w:right w:val="single" w:sz="9" w:space="0" w:color="333333"/>
            </w:tcBorders>
          </w:tcPr>
          <w:p w14:paraId="3E79B6F2" w14:textId="77777777" w:rsidR="001C6501" w:rsidRPr="002C70E8" w:rsidRDefault="001C6501" w:rsidP="001C6501">
            <w:pPr>
              <w:rPr>
                <w:sz w:val="16"/>
                <w:szCs w:val="16"/>
              </w:rPr>
            </w:pPr>
          </w:p>
        </w:tc>
        <w:tc>
          <w:tcPr>
            <w:tcW w:w="3119" w:type="dxa"/>
            <w:tcBorders>
              <w:top w:val="single" w:sz="2" w:space="0" w:color="000000"/>
              <w:left w:val="single" w:sz="9" w:space="0" w:color="333333"/>
              <w:bottom w:val="single" w:sz="9" w:space="0" w:color="808080"/>
              <w:right w:val="single" w:sz="9" w:space="0" w:color="000000"/>
            </w:tcBorders>
          </w:tcPr>
          <w:p w14:paraId="5E6C3682" w14:textId="77777777" w:rsidR="001C6501" w:rsidRPr="002C70E8" w:rsidRDefault="001C6501" w:rsidP="001C6501">
            <w:pPr>
              <w:pStyle w:val="TableParagraph"/>
              <w:spacing w:line="224" w:lineRule="exact"/>
              <w:ind w:left="27"/>
              <w:rPr>
                <w:rFonts w:ascii="Arial" w:eastAsia="Arial" w:hAnsi="Arial" w:cs="Arial"/>
                <w:sz w:val="16"/>
                <w:szCs w:val="16"/>
              </w:rPr>
            </w:pPr>
            <w:r w:rsidRPr="002C70E8">
              <w:rPr>
                <w:rFonts w:ascii="Arial"/>
                <w:b/>
                <w:sz w:val="16"/>
                <w:szCs w:val="16"/>
              </w:rPr>
              <w:t>sub</w:t>
            </w:r>
            <w:r w:rsidRPr="002C70E8">
              <w:rPr>
                <w:rFonts w:ascii="Arial"/>
                <w:b/>
                <w:spacing w:val="-1"/>
                <w:sz w:val="16"/>
                <w:szCs w:val="16"/>
              </w:rPr>
              <w:t xml:space="preserve"> total</w:t>
            </w:r>
          </w:p>
        </w:tc>
        <w:tc>
          <w:tcPr>
            <w:tcW w:w="1417" w:type="dxa"/>
            <w:tcBorders>
              <w:top w:val="single" w:sz="2" w:space="0" w:color="000000"/>
              <w:left w:val="single" w:sz="9" w:space="0" w:color="000000"/>
              <w:bottom w:val="single" w:sz="9" w:space="0" w:color="808080"/>
              <w:right w:val="single" w:sz="9" w:space="0" w:color="C0C0C0"/>
            </w:tcBorders>
          </w:tcPr>
          <w:p w14:paraId="7873F5D6" w14:textId="77777777" w:rsidR="001C6501" w:rsidRPr="002C70E8" w:rsidRDefault="001C6501" w:rsidP="002C70E8">
            <w:pPr>
              <w:pStyle w:val="TableParagraph"/>
              <w:spacing w:line="224" w:lineRule="exact"/>
              <w:ind w:left="504"/>
              <w:jc w:val="right"/>
              <w:rPr>
                <w:rFonts w:ascii="Arial" w:eastAsia="Arial" w:hAnsi="Arial" w:cs="Arial"/>
                <w:sz w:val="16"/>
                <w:szCs w:val="16"/>
              </w:rPr>
            </w:pPr>
            <w:r w:rsidRPr="002C70E8">
              <w:rPr>
                <w:rFonts w:ascii="Arial"/>
                <w:b/>
                <w:spacing w:val="-1"/>
                <w:sz w:val="16"/>
                <w:szCs w:val="16"/>
              </w:rPr>
              <w:t>2,174</w:t>
            </w:r>
          </w:p>
        </w:tc>
        <w:tc>
          <w:tcPr>
            <w:tcW w:w="1417" w:type="dxa"/>
            <w:tcBorders>
              <w:top w:val="single" w:sz="2" w:space="0" w:color="000000"/>
              <w:left w:val="single" w:sz="9" w:space="0" w:color="C0C0C0"/>
              <w:bottom w:val="single" w:sz="9" w:space="0" w:color="808080"/>
              <w:right w:val="single" w:sz="9" w:space="0" w:color="000000"/>
            </w:tcBorders>
          </w:tcPr>
          <w:p w14:paraId="13AB0011" w14:textId="77777777" w:rsidR="001C6501" w:rsidRPr="002C70E8" w:rsidRDefault="001C6501" w:rsidP="002C70E8">
            <w:pPr>
              <w:pStyle w:val="TableParagraph"/>
              <w:spacing w:line="224" w:lineRule="exact"/>
              <w:ind w:left="504"/>
              <w:jc w:val="right"/>
              <w:rPr>
                <w:rFonts w:ascii="Arial" w:eastAsia="Arial" w:hAnsi="Arial" w:cs="Arial"/>
                <w:sz w:val="16"/>
                <w:szCs w:val="16"/>
              </w:rPr>
            </w:pPr>
            <w:r w:rsidRPr="002C70E8">
              <w:rPr>
                <w:rFonts w:ascii="Arial"/>
                <w:b/>
                <w:spacing w:val="-1"/>
                <w:sz w:val="16"/>
                <w:szCs w:val="16"/>
              </w:rPr>
              <w:t>2,153</w:t>
            </w:r>
          </w:p>
        </w:tc>
        <w:tc>
          <w:tcPr>
            <w:tcW w:w="1418" w:type="dxa"/>
            <w:tcBorders>
              <w:top w:val="single" w:sz="2" w:space="0" w:color="000000"/>
              <w:left w:val="single" w:sz="9" w:space="0" w:color="000000"/>
              <w:bottom w:val="single" w:sz="9" w:space="0" w:color="808080"/>
              <w:right w:val="single" w:sz="9" w:space="0" w:color="333333"/>
            </w:tcBorders>
          </w:tcPr>
          <w:p w14:paraId="222E4041" w14:textId="77777777" w:rsidR="001C6501" w:rsidRPr="002C70E8" w:rsidRDefault="001C6501" w:rsidP="002C70E8">
            <w:pPr>
              <w:pStyle w:val="TableParagraph"/>
              <w:spacing w:line="224" w:lineRule="exact"/>
              <w:ind w:left="281"/>
              <w:jc w:val="right"/>
              <w:rPr>
                <w:rFonts w:ascii="Arial" w:eastAsia="Arial" w:hAnsi="Arial" w:cs="Arial"/>
                <w:sz w:val="16"/>
                <w:szCs w:val="16"/>
              </w:rPr>
            </w:pPr>
            <w:r w:rsidRPr="002C70E8">
              <w:rPr>
                <w:rFonts w:ascii="Arial"/>
                <w:b/>
                <w:spacing w:val="-1"/>
                <w:sz w:val="16"/>
                <w:szCs w:val="16"/>
              </w:rPr>
              <w:t>120,221</w:t>
            </w:r>
          </w:p>
        </w:tc>
        <w:tc>
          <w:tcPr>
            <w:tcW w:w="1276" w:type="dxa"/>
            <w:tcBorders>
              <w:top w:val="single" w:sz="2" w:space="0" w:color="000000"/>
              <w:left w:val="single" w:sz="9" w:space="0" w:color="333333"/>
              <w:bottom w:val="single" w:sz="9" w:space="0" w:color="808080"/>
              <w:right w:val="single" w:sz="9" w:space="0" w:color="333333"/>
            </w:tcBorders>
          </w:tcPr>
          <w:p w14:paraId="6363BA4E" w14:textId="77777777" w:rsidR="001C6501" w:rsidRPr="002C70E8" w:rsidRDefault="001C6501" w:rsidP="002C70E8">
            <w:pPr>
              <w:pStyle w:val="TableParagraph"/>
              <w:spacing w:line="224" w:lineRule="exact"/>
              <w:ind w:left="393"/>
              <w:jc w:val="right"/>
              <w:rPr>
                <w:rFonts w:ascii="Arial" w:eastAsia="Arial" w:hAnsi="Arial" w:cs="Arial"/>
                <w:sz w:val="16"/>
                <w:szCs w:val="16"/>
              </w:rPr>
            </w:pPr>
            <w:r w:rsidRPr="002C70E8">
              <w:rPr>
                <w:rFonts w:ascii="Arial"/>
                <w:b/>
                <w:spacing w:val="-1"/>
                <w:sz w:val="16"/>
                <w:szCs w:val="16"/>
              </w:rPr>
              <w:t>69,322</w:t>
            </w:r>
          </w:p>
        </w:tc>
        <w:tc>
          <w:tcPr>
            <w:tcW w:w="709" w:type="dxa"/>
            <w:tcBorders>
              <w:top w:val="single" w:sz="2" w:space="0" w:color="000000"/>
              <w:left w:val="single" w:sz="9" w:space="0" w:color="333333"/>
              <w:bottom w:val="single" w:sz="9" w:space="0" w:color="808080"/>
              <w:right w:val="single" w:sz="9" w:space="0" w:color="C0C0C0"/>
            </w:tcBorders>
          </w:tcPr>
          <w:p w14:paraId="03EF2120" w14:textId="77777777" w:rsidR="001C6501" w:rsidRPr="002C70E8" w:rsidRDefault="001C6501" w:rsidP="002C70E8">
            <w:pPr>
              <w:pStyle w:val="TableParagraph"/>
              <w:spacing w:before="13"/>
              <w:ind w:left="273"/>
              <w:jc w:val="right"/>
              <w:rPr>
                <w:rFonts w:ascii="Arial" w:eastAsia="Arial" w:hAnsi="Arial" w:cs="Arial"/>
                <w:sz w:val="16"/>
                <w:szCs w:val="16"/>
              </w:rPr>
            </w:pPr>
            <w:r w:rsidRPr="002C70E8">
              <w:rPr>
                <w:rFonts w:ascii="Arial"/>
                <w:b/>
                <w:sz w:val="16"/>
                <w:szCs w:val="16"/>
              </w:rPr>
              <w:t>7.7%</w:t>
            </w:r>
          </w:p>
        </w:tc>
        <w:tc>
          <w:tcPr>
            <w:tcW w:w="709" w:type="dxa"/>
            <w:tcBorders>
              <w:top w:val="single" w:sz="2" w:space="0" w:color="000000"/>
              <w:left w:val="single" w:sz="9" w:space="0" w:color="C0C0C0"/>
              <w:bottom w:val="single" w:sz="9" w:space="0" w:color="808080"/>
              <w:right w:val="single" w:sz="9" w:space="0" w:color="C0C0C0"/>
            </w:tcBorders>
          </w:tcPr>
          <w:p w14:paraId="07D6737D" w14:textId="77777777" w:rsidR="001C6501" w:rsidRPr="002C70E8" w:rsidRDefault="001C6501" w:rsidP="002C70E8">
            <w:pPr>
              <w:pStyle w:val="TableParagraph"/>
              <w:spacing w:before="13"/>
              <w:ind w:left="224"/>
              <w:jc w:val="right"/>
              <w:rPr>
                <w:rFonts w:ascii="Arial" w:eastAsia="Arial" w:hAnsi="Arial" w:cs="Arial"/>
                <w:sz w:val="16"/>
                <w:szCs w:val="16"/>
              </w:rPr>
            </w:pPr>
            <w:r w:rsidRPr="002C70E8">
              <w:rPr>
                <w:rFonts w:ascii="Arial"/>
                <w:b/>
                <w:sz w:val="16"/>
                <w:szCs w:val="16"/>
              </w:rPr>
              <w:t>15.4%</w:t>
            </w:r>
          </w:p>
        </w:tc>
        <w:tc>
          <w:tcPr>
            <w:tcW w:w="709" w:type="dxa"/>
            <w:tcBorders>
              <w:top w:val="single" w:sz="2" w:space="0" w:color="000000"/>
              <w:left w:val="single" w:sz="9" w:space="0" w:color="C0C0C0"/>
              <w:bottom w:val="single" w:sz="9" w:space="0" w:color="808080"/>
              <w:right w:val="single" w:sz="9" w:space="0" w:color="C0C0C0"/>
            </w:tcBorders>
          </w:tcPr>
          <w:p w14:paraId="491931FD" w14:textId="77777777" w:rsidR="001C6501" w:rsidRPr="002C70E8" w:rsidRDefault="001C6501" w:rsidP="002C70E8">
            <w:pPr>
              <w:pStyle w:val="TableParagraph"/>
              <w:spacing w:before="13"/>
              <w:ind w:left="224"/>
              <w:jc w:val="right"/>
              <w:rPr>
                <w:rFonts w:ascii="Arial" w:eastAsia="Arial" w:hAnsi="Arial" w:cs="Arial"/>
                <w:sz w:val="16"/>
                <w:szCs w:val="16"/>
              </w:rPr>
            </w:pPr>
            <w:r w:rsidRPr="002C70E8">
              <w:rPr>
                <w:rFonts w:ascii="Arial"/>
                <w:b/>
                <w:sz w:val="16"/>
                <w:szCs w:val="16"/>
              </w:rPr>
              <w:t>55.7%</w:t>
            </w:r>
          </w:p>
        </w:tc>
        <w:tc>
          <w:tcPr>
            <w:tcW w:w="708" w:type="dxa"/>
            <w:tcBorders>
              <w:top w:val="single" w:sz="2" w:space="0" w:color="000000"/>
              <w:left w:val="single" w:sz="9" w:space="0" w:color="C0C0C0"/>
              <w:bottom w:val="single" w:sz="9" w:space="0" w:color="808080"/>
              <w:right w:val="single" w:sz="9" w:space="0" w:color="C0C0C0"/>
            </w:tcBorders>
          </w:tcPr>
          <w:p w14:paraId="669F9DDC" w14:textId="77777777" w:rsidR="001C6501" w:rsidRPr="002C70E8" w:rsidRDefault="001C6501" w:rsidP="002C70E8">
            <w:pPr>
              <w:pStyle w:val="TableParagraph"/>
              <w:spacing w:before="13"/>
              <w:ind w:left="224"/>
              <w:jc w:val="right"/>
              <w:rPr>
                <w:rFonts w:ascii="Arial" w:eastAsia="Arial" w:hAnsi="Arial" w:cs="Arial"/>
                <w:sz w:val="16"/>
                <w:szCs w:val="16"/>
              </w:rPr>
            </w:pPr>
            <w:r w:rsidRPr="002C70E8">
              <w:rPr>
                <w:rFonts w:ascii="Arial"/>
                <w:b/>
                <w:sz w:val="16"/>
                <w:szCs w:val="16"/>
              </w:rPr>
              <w:t>16.5%</w:t>
            </w:r>
          </w:p>
        </w:tc>
        <w:tc>
          <w:tcPr>
            <w:tcW w:w="709" w:type="dxa"/>
            <w:tcBorders>
              <w:top w:val="single" w:sz="2" w:space="0" w:color="000000"/>
              <w:left w:val="single" w:sz="9" w:space="0" w:color="C0C0C0"/>
              <w:bottom w:val="single" w:sz="9" w:space="0" w:color="808080"/>
              <w:right w:val="single" w:sz="9" w:space="0" w:color="333333"/>
            </w:tcBorders>
          </w:tcPr>
          <w:p w14:paraId="1477F0CB" w14:textId="77777777" w:rsidR="001C6501" w:rsidRPr="002C70E8" w:rsidRDefault="001C6501" w:rsidP="002C70E8">
            <w:pPr>
              <w:pStyle w:val="TableParagraph"/>
              <w:spacing w:before="13"/>
              <w:ind w:left="273"/>
              <w:jc w:val="right"/>
              <w:rPr>
                <w:rFonts w:ascii="Arial" w:eastAsia="Arial" w:hAnsi="Arial" w:cs="Arial"/>
                <w:sz w:val="16"/>
                <w:szCs w:val="16"/>
              </w:rPr>
            </w:pPr>
            <w:r w:rsidRPr="002C70E8">
              <w:rPr>
                <w:rFonts w:ascii="Arial"/>
                <w:b/>
                <w:sz w:val="16"/>
                <w:szCs w:val="16"/>
              </w:rPr>
              <w:t>4.7%</w:t>
            </w:r>
          </w:p>
        </w:tc>
        <w:tc>
          <w:tcPr>
            <w:tcW w:w="1701" w:type="dxa"/>
            <w:tcBorders>
              <w:top w:val="single" w:sz="2" w:space="0" w:color="000000"/>
              <w:left w:val="single" w:sz="9" w:space="0" w:color="333333"/>
              <w:bottom w:val="single" w:sz="9" w:space="0" w:color="808080"/>
              <w:right w:val="single" w:sz="9" w:space="0" w:color="333333"/>
            </w:tcBorders>
          </w:tcPr>
          <w:p w14:paraId="585D567D" w14:textId="77777777" w:rsidR="001C6501" w:rsidRPr="002C70E8" w:rsidRDefault="001C6501" w:rsidP="002C70E8">
            <w:pPr>
              <w:pStyle w:val="TableParagraph"/>
              <w:spacing w:line="224" w:lineRule="exact"/>
              <w:ind w:left="393"/>
              <w:jc w:val="right"/>
              <w:rPr>
                <w:rFonts w:ascii="Arial" w:eastAsia="Arial" w:hAnsi="Arial" w:cs="Arial"/>
                <w:sz w:val="16"/>
                <w:szCs w:val="16"/>
              </w:rPr>
            </w:pPr>
            <w:r w:rsidRPr="002C70E8">
              <w:rPr>
                <w:rFonts w:ascii="Arial"/>
                <w:b/>
                <w:spacing w:val="-1"/>
                <w:sz w:val="16"/>
                <w:szCs w:val="16"/>
              </w:rPr>
              <w:t>25,557</w:t>
            </w:r>
          </w:p>
        </w:tc>
      </w:tr>
      <w:tr w:rsidR="002C70E8" w14:paraId="28DB7856" w14:textId="77777777" w:rsidTr="006B1840">
        <w:trPr>
          <w:trHeight w:hRule="exact" w:val="109"/>
        </w:trPr>
        <w:tc>
          <w:tcPr>
            <w:tcW w:w="1062" w:type="dxa"/>
            <w:vMerge w:val="restart"/>
            <w:tcBorders>
              <w:top w:val="single" w:sz="9" w:space="0" w:color="808080"/>
              <w:left w:val="single" w:sz="9" w:space="0" w:color="333333"/>
              <w:right w:val="single" w:sz="9" w:space="0" w:color="333333"/>
            </w:tcBorders>
          </w:tcPr>
          <w:p w14:paraId="1BC9F506" w14:textId="77777777" w:rsidR="001C6501" w:rsidRPr="002C70E8" w:rsidRDefault="001C6501" w:rsidP="001C6501">
            <w:pPr>
              <w:pStyle w:val="TableParagraph"/>
              <w:spacing w:before="177"/>
              <w:ind w:left="27"/>
              <w:rPr>
                <w:rFonts w:ascii="Arial" w:eastAsia="Arial" w:hAnsi="Arial" w:cs="Arial"/>
                <w:sz w:val="16"/>
                <w:szCs w:val="16"/>
              </w:rPr>
            </w:pPr>
            <w:r w:rsidRPr="002C70E8">
              <w:rPr>
                <w:rFonts w:ascii="Arial"/>
                <w:b/>
                <w:spacing w:val="-1"/>
                <w:sz w:val="16"/>
                <w:szCs w:val="16"/>
              </w:rPr>
              <w:t>Other</w:t>
            </w:r>
            <w:r w:rsidRPr="002C70E8">
              <w:rPr>
                <w:rFonts w:ascii="Arial"/>
                <w:b/>
                <w:spacing w:val="-2"/>
                <w:sz w:val="16"/>
                <w:szCs w:val="16"/>
              </w:rPr>
              <w:t xml:space="preserve"> </w:t>
            </w:r>
            <w:r w:rsidRPr="002C70E8">
              <w:rPr>
                <w:rFonts w:ascii="Arial"/>
                <w:b/>
                <w:spacing w:val="-1"/>
                <w:sz w:val="16"/>
                <w:szCs w:val="16"/>
              </w:rPr>
              <w:t>Structures</w:t>
            </w:r>
          </w:p>
        </w:tc>
        <w:tc>
          <w:tcPr>
            <w:tcW w:w="3119" w:type="dxa"/>
            <w:tcBorders>
              <w:top w:val="single" w:sz="9" w:space="0" w:color="808080"/>
              <w:left w:val="single" w:sz="9" w:space="0" w:color="333333"/>
              <w:bottom w:val="single" w:sz="2" w:space="0" w:color="000000"/>
              <w:right w:val="single" w:sz="9" w:space="0" w:color="000000"/>
            </w:tcBorders>
          </w:tcPr>
          <w:p w14:paraId="2DC9B362" w14:textId="77777777" w:rsidR="001C6501" w:rsidRPr="002C70E8" w:rsidRDefault="001C6501" w:rsidP="001C6501">
            <w:pPr>
              <w:rPr>
                <w:sz w:val="16"/>
                <w:szCs w:val="16"/>
              </w:rPr>
            </w:pPr>
          </w:p>
        </w:tc>
        <w:tc>
          <w:tcPr>
            <w:tcW w:w="1417" w:type="dxa"/>
            <w:tcBorders>
              <w:top w:val="single" w:sz="9" w:space="0" w:color="808080"/>
              <w:left w:val="single" w:sz="9" w:space="0" w:color="000000"/>
              <w:bottom w:val="single" w:sz="2" w:space="0" w:color="000000"/>
              <w:right w:val="single" w:sz="9" w:space="0" w:color="C0C0C0"/>
            </w:tcBorders>
          </w:tcPr>
          <w:p w14:paraId="2DF38607" w14:textId="77777777" w:rsidR="001C6501" w:rsidRPr="002C70E8" w:rsidRDefault="001C6501" w:rsidP="002C70E8">
            <w:pPr>
              <w:jc w:val="right"/>
              <w:rPr>
                <w:sz w:val="16"/>
                <w:szCs w:val="16"/>
              </w:rPr>
            </w:pPr>
          </w:p>
        </w:tc>
        <w:tc>
          <w:tcPr>
            <w:tcW w:w="1417" w:type="dxa"/>
            <w:tcBorders>
              <w:top w:val="single" w:sz="9" w:space="0" w:color="808080"/>
              <w:left w:val="single" w:sz="9" w:space="0" w:color="C0C0C0"/>
              <w:bottom w:val="single" w:sz="2" w:space="0" w:color="000000"/>
              <w:right w:val="single" w:sz="9" w:space="0" w:color="000000"/>
            </w:tcBorders>
          </w:tcPr>
          <w:p w14:paraId="726982B2" w14:textId="77777777" w:rsidR="001C6501" w:rsidRPr="002C70E8" w:rsidRDefault="001C6501" w:rsidP="002C70E8">
            <w:pPr>
              <w:jc w:val="right"/>
              <w:rPr>
                <w:sz w:val="16"/>
                <w:szCs w:val="16"/>
              </w:rPr>
            </w:pPr>
          </w:p>
        </w:tc>
        <w:tc>
          <w:tcPr>
            <w:tcW w:w="1418" w:type="dxa"/>
            <w:tcBorders>
              <w:top w:val="single" w:sz="9" w:space="0" w:color="808080"/>
              <w:left w:val="single" w:sz="9" w:space="0" w:color="000000"/>
              <w:bottom w:val="single" w:sz="2" w:space="0" w:color="000000"/>
              <w:right w:val="single" w:sz="9" w:space="0" w:color="333333"/>
            </w:tcBorders>
          </w:tcPr>
          <w:p w14:paraId="54C7E3CB" w14:textId="77777777" w:rsidR="001C6501" w:rsidRPr="002C70E8" w:rsidRDefault="001C6501" w:rsidP="002C70E8">
            <w:pPr>
              <w:jc w:val="right"/>
              <w:rPr>
                <w:sz w:val="16"/>
                <w:szCs w:val="16"/>
              </w:rPr>
            </w:pPr>
          </w:p>
        </w:tc>
        <w:tc>
          <w:tcPr>
            <w:tcW w:w="1276" w:type="dxa"/>
            <w:tcBorders>
              <w:top w:val="single" w:sz="9" w:space="0" w:color="808080"/>
              <w:left w:val="single" w:sz="9" w:space="0" w:color="333333"/>
              <w:bottom w:val="single" w:sz="2" w:space="0" w:color="000000"/>
              <w:right w:val="single" w:sz="9" w:space="0" w:color="333333"/>
            </w:tcBorders>
          </w:tcPr>
          <w:p w14:paraId="137AC9A0" w14:textId="77777777" w:rsidR="001C6501" w:rsidRPr="002C70E8" w:rsidRDefault="001C6501" w:rsidP="002C70E8">
            <w:pPr>
              <w:jc w:val="right"/>
              <w:rPr>
                <w:sz w:val="16"/>
                <w:szCs w:val="16"/>
              </w:rPr>
            </w:pPr>
          </w:p>
        </w:tc>
        <w:tc>
          <w:tcPr>
            <w:tcW w:w="709" w:type="dxa"/>
            <w:tcBorders>
              <w:top w:val="single" w:sz="9" w:space="0" w:color="808080"/>
              <w:left w:val="single" w:sz="9" w:space="0" w:color="333333"/>
              <w:bottom w:val="single" w:sz="2" w:space="0" w:color="000000"/>
              <w:right w:val="single" w:sz="9" w:space="0" w:color="C0C0C0"/>
            </w:tcBorders>
          </w:tcPr>
          <w:p w14:paraId="6895C1A9" w14:textId="77777777" w:rsidR="001C6501" w:rsidRPr="002C70E8" w:rsidRDefault="001C6501" w:rsidP="002C70E8">
            <w:pPr>
              <w:jc w:val="right"/>
              <w:rPr>
                <w:sz w:val="16"/>
                <w:szCs w:val="16"/>
              </w:rPr>
            </w:pPr>
          </w:p>
        </w:tc>
        <w:tc>
          <w:tcPr>
            <w:tcW w:w="709" w:type="dxa"/>
            <w:tcBorders>
              <w:top w:val="single" w:sz="9" w:space="0" w:color="808080"/>
              <w:left w:val="single" w:sz="9" w:space="0" w:color="C0C0C0"/>
              <w:bottom w:val="single" w:sz="2" w:space="0" w:color="000000"/>
              <w:right w:val="single" w:sz="9" w:space="0" w:color="C0C0C0"/>
            </w:tcBorders>
          </w:tcPr>
          <w:p w14:paraId="5433559F" w14:textId="77777777" w:rsidR="001C6501" w:rsidRPr="002C70E8" w:rsidRDefault="001C6501" w:rsidP="002C70E8">
            <w:pPr>
              <w:jc w:val="right"/>
              <w:rPr>
                <w:sz w:val="16"/>
                <w:szCs w:val="16"/>
              </w:rPr>
            </w:pPr>
          </w:p>
        </w:tc>
        <w:tc>
          <w:tcPr>
            <w:tcW w:w="709" w:type="dxa"/>
            <w:tcBorders>
              <w:top w:val="single" w:sz="9" w:space="0" w:color="808080"/>
              <w:left w:val="single" w:sz="9" w:space="0" w:color="C0C0C0"/>
              <w:bottom w:val="single" w:sz="2" w:space="0" w:color="000000"/>
              <w:right w:val="single" w:sz="9" w:space="0" w:color="C0C0C0"/>
            </w:tcBorders>
          </w:tcPr>
          <w:p w14:paraId="50689DCF" w14:textId="77777777" w:rsidR="001C6501" w:rsidRPr="002C70E8" w:rsidRDefault="001C6501" w:rsidP="002C70E8">
            <w:pPr>
              <w:jc w:val="right"/>
              <w:rPr>
                <w:sz w:val="16"/>
                <w:szCs w:val="16"/>
              </w:rPr>
            </w:pPr>
          </w:p>
        </w:tc>
        <w:tc>
          <w:tcPr>
            <w:tcW w:w="708" w:type="dxa"/>
            <w:tcBorders>
              <w:top w:val="single" w:sz="9" w:space="0" w:color="808080"/>
              <w:left w:val="single" w:sz="9" w:space="0" w:color="C0C0C0"/>
              <w:bottom w:val="single" w:sz="2" w:space="0" w:color="000000"/>
              <w:right w:val="single" w:sz="9" w:space="0" w:color="C0C0C0"/>
            </w:tcBorders>
          </w:tcPr>
          <w:p w14:paraId="587B015D" w14:textId="77777777" w:rsidR="001C6501" w:rsidRPr="002C70E8" w:rsidRDefault="001C6501" w:rsidP="002C70E8">
            <w:pPr>
              <w:jc w:val="right"/>
              <w:rPr>
                <w:sz w:val="16"/>
                <w:szCs w:val="16"/>
              </w:rPr>
            </w:pPr>
          </w:p>
        </w:tc>
        <w:tc>
          <w:tcPr>
            <w:tcW w:w="709" w:type="dxa"/>
            <w:tcBorders>
              <w:top w:val="single" w:sz="9" w:space="0" w:color="808080"/>
              <w:left w:val="single" w:sz="9" w:space="0" w:color="C0C0C0"/>
              <w:bottom w:val="single" w:sz="2" w:space="0" w:color="000000"/>
              <w:right w:val="single" w:sz="9" w:space="0" w:color="333333"/>
            </w:tcBorders>
          </w:tcPr>
          <w:p w14:paraId="01F02D99" w14:textId="77777777" w:rsidR="001C6501" w:rsidRPr="002C70E8" w:rsidRDefault="001C6501" w:rsidP="002C70E8">
            <w:pPr>
              <w:jc w:val="right"/>
              <w:rPr>
                <w:sz w:val="16"/>
                <w:szCs w:val="16"/>
              </w:rPr>
            </w:pPr>
          </w:p>
        </w:tc>
        <w:tc>
          <w:tcPr>
            <w:tcW w:w="1701" w:type="dxa"/>
            <w:tcBorders>
              <w:top w:val="single" w:sz="9" w:space="0" w:color="808080"/>
              <w:left w:val="single" w:sz="9" w:space="0" w:color="333333"/>
              <w:bottom w:val="single" w:sz="2" w:space="0" w:color="000000"/>
              <w:right w:val="single" w:sz="9" w:space="0" w:color="333333"/>
            </w:tcBorders>
          </w:tcPr>
          <w:p w14:paraId="7611EDC4" w14:textId="77777777" w:rsidR="001C6501" w:rsidRPr="002C70E8" w:rsidRDefault="001C6501" w:rsidP="002C70E8">
            <w:pPr>
              <w:jc w:val="right"/>
              <w:rPr>
                <w:sz w:val="16"/>
                <w:szCs w:val="16"/>
              </w:rPr>
            </w:pPr>
          </w:p>
        </w:tc>
      </w:tr>
      <w:tr w:rsidR="002C70E8" w14:paraId="243018CC" w14:textId="77777777" w:rsidTr="006B1840">
        <w:trPr>
          <w:trHeight w:hRule="exact" w:val="243"/>
        </w:trPr>
        <w:tc>
          <w:tcPr>
            <w:tcW w:w="1062" w:type="dxa"/>
            <w:vMerge/>
            <w:tcBorders>
              <w:left w:val="single" w:sz="9" w:space="0" w:color="333333"/>
              <w:right w:val="single" w:sz="9" w:space="0" w:color="333333"/>
            </w:tcBorders>
          </w:tcPr>
          <w:p w14:paraId="06A43684" w14:textId="77777777" w:rsidR="001C6501" w:rsidRPr="002C70E8" w:rsidRDefault="001C6501" w:rsidP="001C6501">
            <w:pPr>
              <w:rPr>
                <w:sz w:val="16"/>
                <w:szCs w:val="16"/>
              </w:rPr>
            </w:pPr>
          </w:p>
        </w:tc>
        <w:tc>
          <w:tcPr>
            <w:tcW w:w="3119" w:type="dxa"/>
            <w:tcBorders>
              <w:top w:val="single" w:sz="2" w:space="0" w:color="000000"/>
              <w:left w:val="single" w:sz="9" w:space="0" w:color="333333"/>
              <w:bottom w:val="single" w:sz="2" w:space="0" w:color="000000"/>
              <w:right w:val="single" w:sz="9" w:space="0" w:color="000000"/>
            </w:tcBorders>
          </w:tcPr>
          <w:p w14:paraId="64CC0D10" w14:textId="77777777" w:rsidR="001C6501" w:rsidRPr="002C70E8" w:rsidRDefault="001C6501" w:rsidP="001C6501">
            <w:pPr>
              <w:pStyle w:val="TableParagraph"/>
              <w:spacing w:line="224" w:lineRule="exact"/>
              <w:ind w:left="27"/>
              <w:rPr>
                <w:rFonts w:ascii="Arial" w:eastAsia="Arial" w:hAnsi="Arial" w:cs="Arial"/>
                <w:sz w:val="16"/>
                <w:szCs w:val="16"/>
              </w:rPr>
            </w:pPr>
            <w:r w:rsidRPr="002C70E8">
              <w:rPr>
                <w:rFonts w:ascii="Arial"/>
                <w:spacing w:val="-1"/>
                <w:sz w:val="16"/>
                <w:szCs w:val="16"/>
              </w:rPr>
              <w:t>Other</w:t>
            </w:r>
            <w:r w:rsidRPr="002C70E8">
              <w:rPr>
                <w:rFonts w:ascii="Arial"/>
                <w:spacing w:val="-2"/>
                <w:sz w:val="16"/>
                <w:szCs w:val="16"/>
              </w:rPr>
              <w:t xml:space="preserve"> </w:t>
            </w:r>
            <w:r w:rsidRPr="002C70E8">
              <w:rPr>
                <w:rFonts w:ascii="Arial"/>
                <w:spacing w:val="-1"/>
                <w:sz w:val="16"/>
                <w:szCs w:val="16"/>
              </w:rPr>
              <w:t>Structures</w:t>
            </w:r>
          </w:p>
        </w:tc>
        <w:tc>
          <w:tcPr>
            <w:tcW w:w="1417" w:type="dxa"/>
            <w:tcBorders>
              <w:top w:val="single" w:sz="2" w:space="0" w:color="000000"/>
              <w:left w:val="single" w:sz="9" w:space="0" w:color="000000"/>
              <w:bottom w:val="single" w:sz="2" w:space="0" w:color="000000"/>
              <w:right w:val="single" w:sz="9" w:space="0" w:color="C0C0C0"/>
            </w:tcBorders>
          </w:tcPr>
          <w:p w14:paraId="031E17FA" w14:textId="77777777" w:rsidR="001C6501" w:rsidRPr="002C70E8" w:rsidRDefault="001C6501" w:rsidP="002C70E8">
            <w:pPr>
              <w:jc w:val="right"/>
              <w:rPr>
                <w:sz w:val="16"/>
                <w:szCs w:val="16"/>
              </w:rPr>
            </w:pPr>
          </w:p>
        </w:tc>
        <w:tc>
          <w:tcPr>
            <w:tcW w:w="1417" w:type="dxa"/>
            <w:tcBorders>
              <w:top w:val="single" w:sz="2" w:space="0" w:color="000000"/>
              <w:left w:val="single" w:sz="9" w:space="0" w:color="C0C0C0"/>
              <w:bottom w:val="single" w:sz="2" w:space="0" w:color="000000"/>
              <w:right w:val="single" w:sz="9" w:space="0" w:color="000000"/>
            </w:tcBorders>
          </w:tcPr>
          <w:p w14:paraId="348A7A48" w14:textId="77777777" w:rsidR="001C6501" w:rsidRPr="002C70E8" w:rsidRDefault="001C6501" w:rsidP="002C70E8">
            <w:pPr>
              <w:jc w:val="right"/>
              <w:rPr>
                <w:sz w:val="16"/>
                <w:szCs w:val="16"/>
              </w:rPr>
            </w:pPr>
          </w:p>
        </w:tc>
        <w:tc>
          <w:tcPr>
            <w:tcW w:w="1418" w:type="dxa"/>
            <w:tcBorders>
              <w:top w:val="single" w:sz="2" w:space="0" w:color="000000"/>
              <w:left w:val="single" w:sz="9" w:space="0" w:color="000000"/>
              <w:bottom w:val="single" w:sz="2" w:space="0" w:color="000000"/>
              <w:right w:val="single" w:sz="9" w:space="0" w:color="333333"/>
            </w:tcBorders>
          </w:tcPr>
          <w:p w14:paraId="3F81F94B" w14:textId="77777777" w:rsidR="001C6501" w:rsidRPr="002C70E8" w:rsidRDefault="001C6501" w:rsidP="002C70E8">
            <w:pPr>
              <w:pStyle w:val="TableParagraph"/>
              <w:spacing w:line="224" w:lineRule="exact"/>
              <w:ind w:left="504"/>
              <w:jc w:val="right"/>
              <w:rPr>
                <w:rFonts w:ascii="Arial" w:eastAsia="Arial" w:hAnsi="Arial" w:cs="Arial"/>
                <w:sz w:val="16"/>
                <w:szCs w:val="16"/>
              </w:rPr>
            </w:pPr>
            <w:r w:rsidRPr="002C70E8">
              <w:rPr>
                <w:rFonts w:ascii="Arial"/>
                <w:spacing w:val="-1"/>
                <w:sz w:val="16"/>
                <w:szCs w:val="16"/>
              </w:rPr>
              <w:t>9,229</w:t>
            </w:r>
          </w:p>
        </w:tc>
        <w:tc>
          <w:tcPr>
            <w:tcW w:w="1276" w:type="dxa"/>
            <w:tcBorders>
              <w:top w:val="single" w:sz="2" w:space="0" w:color="000000"/>
              <w:left w:val="single" w:sz="9" w:space="0" w:color="333333"/>
              <w:bottom w:val="single" w:sz="2" w:space="0" w:color="000000"/>
              <w:right w:val="single" w:sz="9" w:space="0" w:color="333333"/>
            </w:tcBorders>
          </w:tcPr>
          <w:p w14:paraId="78459A9E" w14:textId="77777777" w:rsidR="001C6501" w:rsidRPr="002C70E8" w:rsidRDefault="001C6501" w:rsidP="002C70E8">
            <w:pPr>
              <w:pStyle w:val="TableParagraph"/>
              <w:spacing w:line="224" w:lineRule="exact"/>
              <w:ind w:left="504"/>
              <w:jc w:val="right"/>
              <w:rPr>
                <w:rFonts w:ascii="Arial" w:eastAsia="Arial" w:hAnsi="Arial" w:cs="Arial"/>
                <w:sz w:val="16"/>
                <w:szCs w:val="16"/>
              </w:rPr>
            </w:pPr>
            <w:r w:rsidRPr="002C70E8">
              <w:rPr>
                <w:rFonts w:ascii="Arial"/>
                <w:spacing w:val="-1"/>
                <w:sz w:val="16"/>
                <w:szCs w:val="16"/>
              </w:rPr>
              <w:t>5,757</w:t>
            </w:r>
          </w:p>
        </w:tc>
        <w:tc>
          <w:tcPr>
            <w:tcW w:w="709" w:type="dxa"/>
            <w:tcBorders>
              <w:top w:val="single" w:sz="2" w:space="0" w:color="000000"/>
              <w:left w:val="single" w:sz="9" w:space="0" w:color="333333"/>
              <w:bottom w:val="single" w:sz="2" w:space="0" w:color="000000"/>
              <w:right w:val="single" w:sz="9" w:space="0" w:color="C0C0C0"/>
            </w:tcBorders>
          </w:tcPr>
          <w:p w14:paraId="2149A094" w14:textId="77777777" w:rsidR="001C6501" w:rsidRPr="002C70E8" w:rsidRDefault="001C6501" w:rsidP="002C70E8">
            <w:pPr>
              <w:pStyle w:val="TableParagraph"/>
              <w:spacing w:before="13"/>
              <w:ind w:left="328"/>
              <w:jc w:val="right"/>
              <w:rPr>
                <w:rFonts w:ascii="Arial" w:eastAsia="Arial" w:hAnsi="Arial" w:cs="Arial"/>
                <w:sz w:val="16"/>
                <w:szCs w:val="16"/>
              </w:rPr>
            </w:pPr>
            <w:r w:rsidRPr="002C70E8">
              <w:rPr>
                <w:rFonts w:ascii="Arial"/>
                <w:spacing w:val="-1"/>
                <w:sz w:val="16"/>
                <w:szCs w:val="16"/>
              </w:rPr>
              <w:t>3%</w:t>
            </w:r>
          </w:p>
        </w:tc>
        <w:tc>
          <w:tcPr>
            <w:tcW w:w="709" w:type="dxa"/>
            <w:tcBorders>
              <w:top w:val="single" w:sz="2" w:space="0" w:color="000000"/>
              <w:left w:val="single" w:sz="9" w:space="0" w:color="C0C0C0"/>
              <w:bottom w:val="single" w:sz="2" w:space="0" w:color="000000"/>
              <w:right w:val="single" w:sz="9" w:space="0" w:color="C0C0C0"/>
            </w:tcBorders>
          </w:tcPr>
          <w:p w14:paraId="20A206F0" w14:textId="77777777" w:rsidR="001C6501" w:rsidRPr="002C70E8" w:rsidRDefault="001C6501" w:rsidP="002C70E8">
            <w:pPr>
              <w:pStyle w:val="TableParagraph"/>
              <w:spacing w:before="13"/>
              <w:ind w:left="327"/>
              <w:jc w:val="right"/>
              <w:rPr>
                <w:rFonts w:ascii="Arial" w:eastAsia="Arial" w:hAnsi="Arial" w:cs="Arial"/>
                <w:sz w:val="16"/>
                <w:szCs w:val="16"/>
              </w:rPr>
            </w:pPr>
            <w:r w:rsidRPr="002C70E8">
              <w:rPr>
                <w:rFonts w:ascii="Arial"/>
                <w:spacing w:val="-1"/>
                <w:sz w:val="16"/>
                <w:szCs w:val="16"/>
              </w:rPr>
              <w:t>9%</w:t>
            </w:r>
          </w:p>
        </w:tc>
        <w:tc>
          <w:tcPr>
            <w:tcW w:w="709" w:type="dxa"/>
            <w:tcBorders>
              <w:top w:val="single" w:sz="2" w:space="0" w:color="000000"/>
              <w:left w:val="single" w:sz="9" w:space="0" w:color="C0C0C0"/>
              <w:bottom w:val="single" w:sz="2" w:space="0" w:color="000000"/>
              <w:right w:val="single" w:sz="9" w:space="0" w:color="C0C0C0"/>
            </w:tcBorders>
          </w:tcPr>
          <w:p w14:paraId="02F0EF5F" w14:textId="77777777" w:rsidR="001C6501" w:rsidRPr="002C70E8" w:rsidRDefault="001C6501" w:rsidP="002C70E8">
            <w:pPr>
              <w:pStyle w:val="TableParagraph"/>
              <w:spacing w:before="13"/>
              <w:ind w:left="298"/>
              <w:jc w:val="right"/>
              <w:rPr>
                <w:rFonts w:ascii="Arial" w:eastAsia="Arial" w:hAnsi="Arial" w:cs="Arial"/>
                <w:sz w:val="16"/>
                <w:szCs w:val="16"/>
              </w:rPr>
            </w:pPr>
            <w:r w:rsidRPr="002C70E8">
              <w:rPr>
                <w:rFonts w:ascii="Arial"/>
                <w:spacing w:val="-1"/>
                <w:sz w:val="16"/>
                <w:szCs w:val="16"/>
              </w:rPr>
              <w:t>68%</w:t>
            </w:r>
          </w:p>
        </w:tc>
        <w:tc>
          <w:tcPr>
            <w:tcW w:w="708" w:type="dxa"/>
            <w:tcBorders>
              <w:top w:val="single" w:sz="2" w:space="0" w:color="000000"/>
              <w:left w:val="single" w:sz="9" w:space="0" w:color="C0C0C0"/>
              <w:bottom w:val="single" w:sz="2" w:space="0" w:color="000000"/>
              <w:right w:val="single" w:sz="9" w:space="0" w:color="C0C0C0"/>
            </w:tcBorders>
          </w:tcPr>
          <w:p w14:paraId="701BBC3E" w14:textId="77777777" w:rsidR="001C6501" w:rsidRPr="002C70E8" w:rsidRDefault="001C6501" w:rsidP="002C70E8">
            <w:pPr>
              <w:pStyle w:val="TableParagraph"/>
              <w:spacing w:before="13"/>
              <w:ind w:left="298"/>
              <w:jc w:val="right"/>
              <w:rPr>
                <w:rFonts w:ascii="Arial" w:eastAsia="Arial" w:hAnsi="Arial" w:cs="Arial"/>
                <w:sz w:val="16"/>
                <w:szCs w:val="16"/>
              </w:rPr>
            </w:pPr>
            <w:r w:rsidRPr="002C70E8">
              <w:rPr>
                <w:rFonts w:ascii="Arial"/>
                <w:spacing w:val="-1"/>
                <w:sz w:val="16"/>
                <w:szCs w:val="16"/>
              </w:rPr>
              <w:t>15%</w:t>
            </w:r>
          </w:p>
        </w:tc>
        <w:tc>
          <w:tcPr>
            <w:tcW w:w="709" w:type="dxa"/>
            <w:tcBorders>
              <w:top w:val="single" w:sz="2" w:space="0" w:color="000000"/>
              <w:left w:val="single" w:sz="9" w:space="0" w:color="C0C0C0"/>
              <w:bottom w:val="single" w:sz="2" w:space="0" w:color="000000"/>
              <w:right w:val="single" w:sz="9" w:space="0" w:color="333333"/>
            </w:tcBorders>
          </w:tcPr>
          <w:p w14:paraId="73118139" w14:textId="77777777" w:rsidR="001C6501" w:rsidRPr="002C70E8" w:rsidRDefault="001C6501" w:rsidP="002C70E8">
            <w:pPr>
              <w:pStyle w:val="TableParagraph"/>
              <w:spacing w:before="13"/>
              <w:ind w:left="328"/>
              <w:jc w:val="right"/>
              <w:rPr>
                <w:rFonts w:ascii="Arial" w:eastAsia="Arial" w:hAnsi="Arial" w:cs="Arial"/>
                <w:sz w:val="16"/>
                <w:szCs w:val="16"/>
              </w:rPr>
            </w:pPr>
            <w:r w:rsidRPr="002C70E8">
              <w:rPr>
                <w:rFonts w:ascii="Arial"/>
                <w:spacing w:val="-1"/>
                <w:sz w:val="16"/>
                <w:szCs w:val="16"/>
              </w:rPr>
              <w:t>5%</w:t>
            </w:r>
          </w:p>
        </w:tc>
        <w:tc>
          <w:tcPr>
            <w:tcW w:w="1701" w:type="dxa"/>
            <w:tcBorders>
              <w:top w:val="single" w:sz="2" w:space="0" w:color="000000"/>
              <w:left w:val="single" w:sz="9" w:space="0" w:color="333333"/>
              <w:bottom w:val="single" w:sz="2" w:space="0" w:color="000000"/>
              <w:right w:val="single" w:sz="9" w:space="0" w:color="333333"/>
            </w:tcBorders>
          </w:tcPr>
          <w:p w14:paraId="01974B4A" w14:textId="77777777" w:rsidR="001C6501" w:rsidRPr="002C70E8" w:rsidRDefault="001C6501" w:rsidP="002C70E8">
            <w:pPr>
              <w:pStyle w:val="TableParagraph"/>
              <w:spacing w:line="224" w:lineRule="exact"/>
              <w:ind w:left="504"/>
              <w:jc w:val="right"/>
              <w:rPr>
                <w:rFonts w:ascii="Arial" w:eastAsia="Arial" w:hAnsi="Arial" w:cs="Arial"/>
                <w:sz w:val="16"/>
                <w:szCs w:val="16"/>
              </w:rPr>
            </w:pPr>
            <w:r w:rsidRPr="002C70E8">
              <w:rPr>
                <w:rFonts w:ascii="Arial"/>
                <w:spacing w:val="-1"/>
                <w:sz w:val="16"/>
                <w:szCs w:val="16"/>
              </w:rPr>
              <w:t>1,846</w:t>
            </w:r>
          </w:p>
        </w:tc>
      </w:tr>
      <w:tr w:rsidR="002C70E8" w14:paraId="30571491" w14:textId="77777777" w:rsidTr="006B1840">
        <w:trPr>
          <w:trHeight w:hRule="exact" w:val="243"/>
        </w:trPr>
        <w:tc>
          <w:tcPr>
            <w:tcW w:w="1062" w:type="dxa"/>
            <w:vMerge/>
            <w:tcBorders>
              <w:left w:val="single" w:sz="9" w:space="0" w:color="333333"/>
              <w:right w:val="single" w:sz="9" w:space="0" w:color="333333"/>
            </w:tcBorders>
          </w:tcPr>
          <w:p w14:paraId="64340574" w14:textId="77777777" w:rsidR="001C6501" w:rsidRPr="002C70E8" w:rsidRDefault="001C6501" w:rsidP="001C6501">
            <w:pPr>
              <w:rPr>
                <w:sz w:val="16"/>
                <w:szCs w:val="16"/>
              </w:rPr>
            </w:pPr>
          </w:p>
        </w:tc>
        <w:tc>
          <w:tcPr>
            <w:tcW w:w="3119" w:type="dxa"/>
            <w:tcBorders>
              <w:top w:val="single" w:sz="2" w:space="0" w:color="000000"/>
              <w:left w:val="single" w:sz="9" w:space="0" w:color="333333"/>
              <w:bottom w:val="single" w:sz="2" w:space="0" w:color="000000"/>
              <w:right w:val="single" w:sz="9" w:space="0" w:color="000000"/>
            </w:tcBorders>
          </w:tcPr>
          <w:p w14:paraId="3AC21316" w14:textId="77777777" w:rsidR="001C6501" w:rsidRPr="002C70E8" w:rsidRDefault="001C6501" w:rsidP="001C6501">
            <w:pPr>
              <w:pStyle w:val="TableParagraph"/>
              <w:spacing w:line="224" w:lineRule="exact"/>
              <w:ind w:left="27"/>
              <w:rPr>
                <w:rFonts w:ascii="Arial" w:eastAsia="Arial" w:hAnsi="Arial" w:cs="Arial"/>
                <w:sz w:val="16"/>
                <w:szCs w:val="16"/>
              </w:rPr>
            </w:pPr>
            <w:r w:rsidRPr="002C70E8">
              <w:rPr>
                <w:rFonts w:ascii="Arial"/>
                <w:spacing w:val="-1"/>
                <w:sz w:val="16"/>
                <w:szCs w:val="16"/>
              </w:rPr>
              <w:t>Cultural</w:t>
            </w:r>
            <w:r w:rsidRPr="002C70E8">
              <w:rPr>
                <w:rFonts w:ascii="Arial"/>
                <w:sz w:val="16"/>
                <w:szCs w:val="16"/>
              </w:rPr>
              <w:t xml:space="preserve"> </w:t>
            </w:r>
            <w:r w:rsidRPr="002C70E8">
              <w:rPr>
                <w:rFonts w:ascii="Arial"/>
                <w:spacing w:val="-1"/>
                <w:sz w:val="16"/>
                <w:szCs w:val="16"/>
              </w:rPr>
              <w:t>Physical</w:t>
            </w:r>
            <w:r w:rsidRPr="002C70E8">
              <w:rPr>
                <w:rFonts w:ascii="Arial"/>
                <w:sz w:val="16"/>
                <w:szCs w:val="16"/>
              </w:rPr>
              <w:t xml:space="preserve"> </w:t>
            </w:r>
            <w:r w:rsidRPr="002C70E8">
              <w:rPr>
                <w:rFonts w:ascii="Arial"/>
                <w:spacing w:val="-1"/>
                <w:sz w:val="16"/>
                <w:szCs w:val="16"/>
              </w:rPr>
              <w:t>Assets</w:t>
            </w:r>
          </w:p>
        </w:tc>
        <w:tc>
          <w:tcPr>
            <w:tcW w:w="1417" w:type="dxa"/>
            <w:tcBorders>
              <w:top w:val="single" w:sz="2" w:space="0" w:color="000000"/>
              <w:left w:val="single" w:sz="9" w:space="0" w:color="000000"/>
              <w:bottom w:val="single" w:sz="2" w:space="0" w:color="000000"/>
              <w:right w:val="single" w:sz="9" w:space="0" w:color="C0C0C0"/>
            </w:tcBorders>
          </w:tcPr>
          <w:p w14:paraId="4263105A" w14:textId="77777777" w:rsidR="001C6501" w:rsidRPr="002C70E8" w:rsidRDefault="001C6501" w:rsidP="002C70E8">
            <w:pPr>
              <w:pStyle w:val="TableParagraph"/>
              <w:spacing w:line="224" w:lineRule="exact"/>
              <w:ind w:right="93"/>
              <w:jc w:val="right"/>
              <w:rPr>
                <w:rFonts w:ascii="Arial" w:eastAsia="Arial" w:hAnsi="Arial" w:cs="Arial"/>
                <w:sz w:val="16"/>
                <w:szCs w:val="16"/>
              </w:rPr>
            </w:pPr>
            <w:r w:rsidRPr="002C70E8">
              <w:rPr>
                <w:rFonts w:ascii="Arial"/>
                <w:sz w:val="16"/>
                <w:szCs w:val="16"/>
              </w:rPr>
              <w:t>59</w:t>
            </w:r>
          </w:p>
        </w:tc>
        <w:tc>
          <w:tcPr>
            <w:tcW w:w="1417" w:type="dxa"/>
            <w:tcBorders>
              <w:top w:val="single" w:sz="2" w:space="0" w:color="000000"/>
              <w:left w:val="single" w:sz="9" w:space="0" w:color="C0C0C0"/>
              <w:bottom w:val="single" w:sz="2" w:space="0" w:color="000000"/>
              <w:right w:val="single" w:sz="9" w:space="0" w:color="000000"/>
            </w:tcBorders>
          </w:tcPr>
          <w:p w14:paraId="6D7732F8" w14:textId="77777777" w:rsidR="001C6501" w:rsidRPr="002C70E8" w:rsidRDefault="001C6501" w:rsidP="002C70E8">
            <w:pPr>
              <w:pStyle w:val="TableParagraph"/>
              <w:spacing w:line="224" w:lineRule="exact"/>
              <w:ind w:right="93"/>
              <w:jc w:val="right"/>
              <w:rPr>
                <w:rFonts w:ascii="Arial" w:eastAsia="Arial" w:hAnsi="Arial" w:cs="Arial"/>
                <w:sz w:val="16"/>
                <w:szCs w:val="16"/>
              </w:rPr>
            </w:pPr>
            <w:r w:rsidRPr="002C70E8">
              <w:rPr>
                <w:rFonts w:ascii="Arial"/>
                <w:sz w:val="16"/>
                <w:szCs w:val="16"/>
              </w:rPr>
              <w:t>59</w:t>
            </w:r>
          </w:p>
        </w:tc>
        <w:tc>
          <w:tcPr>
            <w:tcW w:w="1418" w:type="dxa"/>
            <w:tcBorders>
              <w:top w:val="single" w:sz="2" w:space="0" w:color="000000"/>
              <w:left w:val="single" w:sz="9" w:space="0" w:color="000000"/>
              <w:bottom w:val="single" w:sz="2" w:space="0" w:color="000000"/>
              <w:right w:val="single" w:sz="9" w:space="0" w:color="333333"/>
            </w:tcBorders>
          </w:tcPr>
          <w:p w14:paraId="10EB51FA" w14:textId="77777777" w:rsidR="001C6501" w:rsidRPr="002C70E8" w:rsidRDefault="001C6501" w:rsidP="002C70E8">
            <w:pPr>
              <w:pStyle w:val="TableParagraph"/>
              <w:spacing w:line="224" w:lineRule="exact"/>
              <w:ind w:left="393"/>
              <w:jc w:val="right"/>
              <w:rPr>
                <w:rFonts w:ascii="Arial" w:eastAsia="Arial" w:hAnsi="Arial" w:cs="Arial"/>
                <w:sz w:val="16"/>
                <w:szCs w:val="16"/>
              </w:rPr>
            </w:pPr>
            <w:r w:rsidRPr="002C70E8">
              <w:rPr>
                <w:rFonts w:ascii="Arial"/>
                <w:spacing w:val="-1"/>
                <w:sz w:val="16"/>
                <w:szCs w:val="16"/>
              </w:rPr>
              <w:t>10,685</w:t>
            </w:r>
          </w:p>
        </w:tc>
        <w:tc>
          <w:tcPr>
            <w:tcW w:w="1276" w:type="dxa"/>
            <w:tcBorders>
              <w:top w:val="single" w:sz="2" w:space="0" w:color="000000"/>
              <w:left w:val="single" w:sz="9" w:space="0" w:color="333333"/>
              <w:bottom w:val="single" w:sz="2" w:space="0" w:color="000000"/>
              <w:right w:val="single" w:sz="9" w:space="0" w:color="333333"/>
            </w:tcBorders>
          </w:tcPr>
          <w:p w14:paraId="2EB49D4B" w14:textId="77777777" w:rsidR="001C6501" w:rsidRPr="002C70E8" w:rsidRDefault="001C6501" w:rsidP="002C70E8">
            <w:pPr>
              <w:pStyle w:val="TableParagraph"/>
              <w:spacing w:line="224" w:lineRule="exact"/>
              <w:ind w:left="393"/>
              <w:jc w:val="right"/>
              <w:rPr>
                <w:rFonts w:ascii="Arial" w:eastAsia="Arial" w:hAnsi="Arial" w:cs="Arial"/>
                <w:sz w:val="16"/>
                <w:szCs w:val="16"/>
              </w:rPr>
            </w:pPr>
            <w:r w:rsidRPr="002C70E8">
              <w:rPr>
                <w:rFonts w:ascii="Arial"/>
                <w:spacing w:val="-1"/>
                <w:sz w:val="16"/>
                <w:szCs w:val="16"/>
              </w:rPr>
              <w:t>10,569</w:t>
            </w:r>
          </w:p>
        </w:tc>
        <w:tc>
          <w:tcPr>
            <w:tcW w:w="709" w:type="dxa"/>
            <w:tcBorders>
              <w:top w:val="single" w:sz="2" w:space="0" w:color="000000"/>
              <w:left w:val="single" w:sz="9" w:space="0" w:color="333333"/>
              <w:bottom w:val="single" w:sz="2" w:space="0" w:color="000000"/>
              <w:right w:val="single" w:sz="9" w:space="0" w:color="C0C0C0"/>
            </w:tcBorders>
          </w:tcPr>
          <w:p w14:paraId="620305EF" w14:textId="77777777" w:rsidR="001C6501" w:rsidRPr="002C70E8" w:rsidRDefault="001C6501" w:rsidP="002C70E8">
            <w:pPr>
              <w:pStyle w:val="TableParagraph"/>
              <w:spacing w:before="13"/>
              <w:ind w:left="328"/>
              <w:jc w:val="right"/>
              <w:rPr>
                <w:rFonts w:ascii="Arial" w:eastAsia="Arial" w:hAnsi="Arial" w:cs="Arial"/>
                <w:sz w:val="16"/>
                <w:szCs w:val="16"/>
              </w:rPr>
            </w:pPr>
            <w:r w:rsidRPr="002C70E8">
              <w:rPr>
                <w:rFonts w:ascii="Arial"/>
                <w:spacing w:val="-1"/>
                <w:sz w:val="16"/>
                <w:szCs w:val="16"/>
              </w:rPr>
              <w:t>0%</w:t>
            </w:r>
          </w:p>
        </w:tc>
        <w:tc>
          <w:tcPr>
            <w:tcW w:w="709" w:type="dxa"/>
            <w:tcBorders>
              <w:top w:val="single" w:sz="2" w:space="0" w:color="000000"/>
              <w:left w:val="single" w:sz="9" w:space="0" w:color="C0C0C0"/>
              <w:bottom w:val="single" w:sz="2" w:space="0" w:color="000000"/>
              <w:right w:val="single" w:sz="9" w:space="0" w:color="C0C0C0"/>
            </w:tcBorders>
          </w:tcPr>
          <w:p w14:paraId="29078ACD" w14:textId="77777777" w:rsidR="001C6501" w:rsidRPr="002C70E8" w:rsidRDefault="001C6501" w:rsidP="002C70E8">
            <w:pPr>
              <w:pStyle w:val="TableParagraph"/>
              <w:spacing w:before="13"/>
              <w:ind w:left="298"/>
              <w:jc w:val="right"/>
              <w:rPr>
                <w:rFonts w:ascii="Arial" w:eastAsia="Arial" w:hAnsi="Arial" w:cs="Arial"/>
                <w:sz w:val="16"/>
                <w:szCs w:val="16"/>
              </w:rPr>
            </w:pPr>
            <w:r w:rsidRPr="002C70E8">
              <w:rPr>
                <w:rFonts w:ascii="Arial"/>
                <w:spacing w:val="-1"/>
                <w:sz w:val="16"/>
                <w:szCs w:val="16"/>
              </w:rPr>
              <w:t>47%</w:t>
            </w:r>
          </w:p>
        </w:tc>
        <w:tc>
          <w:tcPr>
            <w:tcW w:w="709" w:type="dxa"/>
            <w:tcBorders>
              <w:top w:val="single" w:sz="2" w:space="0" w:color="000000"/>
              <w:left w:val="single" w:sz="9" w:space="0" w:color="C0C0C0"/>
              <w:bottom w:val="single" w:sz="2" w:space="0" w:color="000000"/>
              <w:right w:val="single" w:sz="9" w:space="0" w:color="C0C0C0"/>
            </w:tcBorders>
          </w:tcPr>
          <w:p w14:paraId="2164A04F" w14:textId="77777777" w:rsidR="001C6501" w:rsidRPr="002C70E8" w:rsidRDefault="001C6501" w:rsidP="002C70E8">
            <w:pPr>
              <w:pStyle w:val="TableParagraph"/>
              <w:spacing w:before="13"/>
              <w:ind w:left="298"/>
              <w:jc w:val="right"/>
              <w:rPr>
                <w:rFonts w:ascii="Arial" w:eastAsia="Arial" w:hAnsi="Arial" w:cs="Arial"/>
                <w:sz w:val="16"/>
                <w:szCs w:val="16"/>
              </w:rPr>
            </w:pPr>
            <w:r w:rsidRPr="002C70E8">
              <w:rPr>
                <w:rFonts w:ascii="Arial"/>
                <w:spacing w:val="-1"/>
                <w:sz w:val="16"/>
                <w:szCs w:val="16"/>
              </w:rPr>
              <w:t>46%</w:t>
            </w:r>
          </w:p>
        </w:tc>
        <w:tc>
          <w:tcPr>
            <w:tcW w:w="708" w:type="dxa"/>
            <w:tcBorders>
              <w:top w:val="single" w:sz="2" w:space="0" w:color="000000"/>
              <w:left w:val="single" w:sz="9" w:space="0" w:color="C0C0C0"/>
              <w:bottom w:val="single" w:sz="2" w:space="0" w:color="000000"/>
              <w:right w:val="single" w:sz="9" w:space="0" w:color="C0C0C0"/>
            </w:tcBorders>
          </w:tcPr>
          <w:p w14:paraId="2C66B544" w14:textId="77777777" w:rsidR="001C6501" w:rsidRPr="002C70E8" w:rsidRDefault="001C6501" w:rsidP="002C70E8">
            <w:pPr>
              <w:pStyle w:val="TableParagraph"/>
              <w:spacing w:before="13"/>
              <w:ind w:left="328"/>
              <w:jc w:val="right"/>
              <w:rPr>
                <w:rFonts w:ascii="Arial" w:eastAsia="Arial" w:hAnsi="Arial" w:cs="Arial"/>
                <w:sz w:val="16"/>
                <w:szCs w:val="16"/>
              </w:rPr>
            </w:pPr>
            <w:r w:rsidRPr="002C70E8">
              <w:rPr>
                <w:rFonts w:ascii="Arial"/>
                <w:spacing w:val="-1"/>
                <w:sz w:val="16"/>
                <w:szCs w:val="16"/>
              </w:rPr>
              <w:t>7%</w:t>
            </w:r>
          </w:p>
        </w:tc>
        <w:tc>
          <w:tcPr>
            <w:tcW w:w="709" w:type="dxa"/>
            <w:tcBorders>
              <w:top w:val="single" w:sz="2" w:space="0" w:color="000000"/>
              <w:left w:val="single" w:sz="9" w:space="0" w:color="C0C0C0"/>
              <w:bottom w:val="single" w:sz="2" w:space="0" w:color="000000"/>
              <w:right w:val="single" w:sz="9" w:space="0" w:color="333333"/>
            </w:tcBorders>
          </w:tcPr>
          <w:p w14:paraId="7B44BEE0" w14:textId="77777777" w:rsidR="001C6501" w:rsidRPr="002C70E8" w:rsidRDefault="001C6501" w:rsidP="002C70E8">
            <w:pPr>
              <w:pStyle w:val="TableParagraph"/>
              <w:spacing w:before="13"/>
              <w:ind w:left="328"/>
              <w:jc w:val="right"/>
              <w:rPr>
                <w:rFonts w:ascii="Arial" w:eastAsia="Arial" w:hAnsi="Arial" w:cs="Arial"/>
                <w:sz w:val="16"/>
                <w:szCs w:val="16"/>
              </w:rPr>
            </w:pPr>
            <w:r w:rsidRPr="002C70E8">
              <w:rPr>
                <w:rFonts w:ascii="Arial"/>
                <w:spacing w:val="-1"/>
                <w:sz w:val="16"/>
                <w:szCs w:val="16"/>
              </w:rPr>
              <w:t>0%</w:t>
            </w:r>
          </w:p>
        </w:tc>
        <w:tc>
          <w:tcPr>
            <w:tcW w:w="1701" w:type="dxa"/>
            <w:tcBorders>
              <w:top w:val="single" w:sz="2" w:space="0" w:color="000000"/>
              <w:left w:val="single" w:sz="9" w:space="0" w:color="333333"/>
              <w:bottom w:val="single" w:sz="2" w:space="0" w:color="000000"/>
              <w:right w:val="single" w:sz="9" w:space="0" w:color="333333"/>
            </w:tcBorders>
          </w:tcPr>
          <w:p w14:paraId="175B9B07" w14:textId="77777777" w:rsidR="001C6501" w:rsidRPr="002C70E8" w:rsidRDefault="001C6501" w:rsidP="002C70E8">
            <w:pPr>
              <w:pStyle w:val="TableParagraph"/>
              <w:spacing w:line="224" w:lineRule="exact"/>
              <w:ind w:left="670"/>
              <w:jc w:val="right"/>
              <w:rPr>
                <w:rFonts w:ascii="Arial" w:eastAsia="Arial" w:hAnsi="Arial" w:cs="Arial"/>
                <w:sz w:val="16"/>
                <w:szCs w:val="16"/>
              </w:rPr>
            </w:pPr>
            <w:r w:rsidRPr="002C70E8">
              <w:rPr>
                <w:rFonts w:ascii="Arial"/>
                <w:sz w:val="16"/>
                <w:szCs w:val="16"/>
              </w:rPr>
              <w:t>748</w:t>
            </w:r>
          </w:p>
        </w:tc>
      </w:tr>
      <w:tr w:rsidR="002C70E8" w14:paraId="19F96990" w14:textId="77777777" w:rsidTr="006B1840">
        <w:trPr>
          <w:trHeight w:hRule="exact" w:val="243"/>
        </w:trPr>
        <w:tc>
          <w:tcPr>
            <w:tcW w:w="1062" w:type="dxa"/>
            <w:vMerge/>
            <w:tcBorders>
              <w:left w:val="single" w:sz="9" w:space="0" w:color="333333"/>
              <w:right w:val="single" w:sz="9" w:space="0" w:color="333333"/>
            </w:tcBorders>
          </w:tcPr>
          <w:p w14:paraId="17BCBAEC" w14:textId="77777777" w:rsidR="001C6501" w:rsidRPr="002C70E8" w:rsidRDefault="001C6501" w:rsidP="001C6501">
            <w:pPr>
              <w:rPr>
                <w:sz w:val="16"/>
                <w:szCs w:val="16"/>
              </w:rPr>
            </w:pPr>
          </w:p>
        </w:tc>
        <w:tc>
          <w:tcPr>
            <w:tcW w:w="3119" w:type="dxa"/>
            <w:tcBorders>
              <w:top w:val="single" w:sz="2" w:space="0" w:color="000000"/>
              <w:left w:val="single" w:sz="9" w:space="0" w:color="333333"/>
              <w:bottom w:val="single" w:sz="2" w:space="0" w:color="000000"/>
              <w:right w:val="single" w:sz="9" w:space="0" w:color="000000"/>
            </w:tcBorders>
          </w:tcPr>
          <w:p w14:paraId="3E5BA4B6" w14:textId="77777777" w:rsidR="001C6501" w:rsidRPr="002C70E8" w:rsidRDefault="001C6501" w:rsidP="001C6501">
            <w:pPr>
              <w:pStyle w:val="TableParagraph"/>
              <w:spacing w:line="224" w:lineRule="exact"/>
              <w:ind w:left="27"/>
              <w:rPr>
                <w:rFonts w:ascii="Arial" w:eastAsia="Arial" w:hAnsi="Arial" w:cs="Arial"/>
                <w:sz w:val="16"/>
                <w:szCs w:val="16"/>
              </w:rPr>
            </w:pPr>
            <w:r w:rsidRPr="002C70E8">
              <w:rPr>
                <w:rFonts w:ascii="Arial"/>
                <w:sz w:val="16"/>
                <w:szCs w:val="16"/>
              </w:rPr>
              <w:t>Fire</w:t>
            </w:r>
            <w:r w:rsidRPr="002C70E8">
              <w:rPr>
                <w:rFonts w:ascii="Arial"/>
                <w:spacing w:val="-1"/>
                <w:sz w:val="16"/>
                <w:szCs w:val="16"/>
              </w:rPr>
              <w:t xml:space="preserve"> </w:t>
            </w:r>
            <w:r w:rsidRPr="002C70E8">
              <w:rPr>
                <w:rFonts w:ascii="Arial"/>
                <w:sz w:val="16"/>
                <w:szCs w:val="16"/>
              </w:rPr>
              <w:t>Trails</w:t>
            </w:r>
          </w:p>
        </w:tc>
        <w:tc>
          <w:tcPr>
            <w:tcW w:w="1417" w:type="dxa"/>
            <w:tcBorders>
              <w:top w:val="single" w:sz="2" w:space="0" w:color="000000"/>
              <w:left w:val="single" w:sz="9" w:space="0" w:color="000000"/>
              <w:bottom w:val="single" w:sz="2" w:space="0" w:color="000000"/>
              <w:right w:val="single" w:sz="9" w:space="0" w:color="C0C0C0"/>
            </w:tcBorders>
          </w:tcPr>
          <w:p w14:paraId="5CCA9DB3" w14:textId="77777777" w:rsidR="001C6501" w:rsidRPr="002C70E8" w:rsidRDefault="001C6501" w:rsidP="002C70E8">
            <w:pPr>
              <w:pStyle w:val="TableParagraph"/>
              <w:spacing w:line="224" w:lineRule="exact"/>
              <w:ind w:right="93"/>
              <w:jc w:val="right"/>
              <w:rPr>
                <w:rFonts w:ascii="Arial" w:eastAsia="Arial" w:hAnsi="Arial" w:cs="Arial"/>
                <w:sz w:val="16"/>
                <w:szCs w:val="16"/>
              </w:rPr>
            </w:pPr>
            <w:r w:rsidRPr="002C70E8">
              <w:rPr>
                <w:rFonts w:ascii="Arial"/>
                <w:sz w:val="16"/>
                <w:szCs w:val="16"/>
              </w:rPr>
              <w:t>57</w:t>
            </w:r>
          </w:p>
        </w:tc>
        <w:tc>
          <w:tcPr>
            <w:tcW w:w="1417" w:type="dxa"/>
            <w:tcBorders>
              <w:top w:val="single" w:sz="2" w:space="0" w:color="000000"/>
              <w:left w:val="single" w:sz="9" w:space="0" w:color="C0C0C0"/>
              <w:bottom w:val="single" w:sz="2" w:space="0" w:color="000000"/>
              <w:right w:val="single" w:sz="9" w:space="0" w:color="000000"/>
            </w:tcBorders>
          </w:tcPr>
          <w:p w14:paraId="6410D615" w14:textId="77777777" w:rsidR="001C6501" w:rsidRPr="002C70E8" w:rsidRDefault="001C6501" w:rsidP="002C70E8">
            <w:pPr>
              <w:pStyle w:val="TableParagraph"/>
              <w:spacing w:line="224" w:lineRule="exact"/>
              <w:ind w:right="93"/>
              <w:jc w:val="right"/>
              <w:rPr>
                <w:rFonts w:ascii="Arial" w:eastAsia="Arial" w:hAnsi="Arial" w:cs="Arial"/>
                <w:sz w:val="16"/>
                <w:szCs w:val="16"/>
              </w:rPr>
            </w:pPr>
            <w:r w:rsidRPr="002C70E8">
              <w:rPr>
                <w:rFonts w:ascii="Arial"/>
                <w:sz w:val="16"/>
                <w:szCs w:val="16"/>
              </w:rPr>
              <w:t>57</w:t>
            </w:r>
          </w:p>
        </w:tc>
        <w:tc>
          <w:tcPr>
            <w:tcW w:w="1418" w:type="dxa"/>
            <w:tcBorders>
              <w:top w:val="single" w:sz="2" w:space="0" w:color="000000"/>
              <w:left w:val="single" w:sz="9" w:space="0" w:color="000000"/>
              <w:bottom w:val="single" w:sz="2" w:space="0" w:color="000000"/>
              <w:right w:val="single" w:sz="9" w:space="0" w:color="333333"/>
            </w:tcBorders>
          </w:tcPr>
          <w:p w14:paraId="74F1DFB5" w14:textId="77777777" w:rsidR="001C6501" w:rsidRPr="002C70E8" w:rsidRDefault="001C6501" w:rsidP="002C70E8">
            <w:pPr>
              <w:pStyle w:val="TableParagraph"/>
              <w:spacing w:line="224" w:lineRule="exact"/>
              <w:ind w:left="393"/>
              <w:jc w:val="right"/>
              <w:rPr>
                <w:rFonts w:ascii="Arial" w:eastAsia="Arial" w:hAnsi="Arial" w:cs="Arial"/>
                <w:sz w:val="16"/>
                <w:szCs w:val="16"/>
              </w:rPr>
            </w:pPr>
            <w:r w:rsidRPr="002C70E8">
              <w:rPr>
                <w:rFonts w:ascii="Arial"/>
                <w:spacing w:val="-1"/>
                <w:sz w:val="16"/>
                <w:szCs w:val="16"/>
              </w:rPr>
              <w:t>15,282</w:t>
            </w:r>
          </w:p>
        </w:tc>
        <w:tc>
          <w:tcPr>
            <w:tcW w:w="1276" w:type="dxa"/>
            <w:tcBorders>
              <w:top w:val="single" w:sz="2" w:space="0" w:color="000000"/>
              <w:left w:val="single" w:sz="9" w:space="0" w:color="333333"/>
              <w:bottom w:val="single" w:sz="2" w:space="0" w:color="000000"/>
              <w:right w:val="single" w:sz="9" w:space="0" w:color="333333"/>
            </w:tcBorders>
          </w:tcPr>
          <w:p w14:paraId="7E201B29" w14:textId="77777777" w:rsidR="001C6501" w:rsidRPr="002C70E8" w:rsidRDefault="001C6501" w:rsidP="002C70E8">
            <w:pPr>
              <w:pStyle w:val="TableParagraph"/>
              <w:spacing w:line="224" w:lineRule="exact"/>
              <w:ind w:left="393"/>
              <w:jc w:val="right"/>
              <w:rPr>
                <w:rFonts w:ascii="Arial" w:eastAsia="Arial" w:hAnsi="Arial" w:cs="Arial"/>
                <w:sz w:val="16"/>
                <w:szCs w:val="16"/>
              </w:rPr>
            </w:pPr>
            <w:r w:rsidRPr="002C70E8">
              <w:rPr>
                <w:rFonts w:ascii="Arial"/>
                <w:spacing w:val="-1"/>
                <w:sz w:val="16"/>
                <w:szCs w:val="16"/>
              </w:rPr>
              <w:t>14,798</w:t>
            </w:r>
          </w:p>
        </w:tc>
        <w:tc>
          <w:tcPr>
            <w:tcW w:w="709" w:type="dxa"/>
            <w:tcBorders>
              <w:top w:val="single" w:sz="2" w:space="0" w:color="000000"/>
              <w:left w:val="single" w:sz="9" w:space="0" w:color="333333"/>
              <w:bottom w:val="single" w:sz="2" w:space="0" w:color="000000"/>
              <w:right w:val="single" w:sz="9" w:space="0" w:color="C0C0C0"/>
            </w:tcBorders>
          </w:tcPr>
          <w:p w14:paraId="30BEF034" w14:textId="77777777" w:rsidR="001C6501" w:rsidRPr="002C70E8" w:rsidRDefault="001C6501" w:rsidP="002C70E8">
            <w:pPr>
              <w:pStyle w:val="TableParagraph"/>
              <w:spacing w:before="13"/>
              <w:ind w:left="328"/>
              <w:jc w:val="right"/>
              <w:rPr>
                <w:rFonts w:ascii="Arial" w:eastAsia="Arial" w:hAnsi="Arial" w:cs="Arial"/>
                <w:sz w:val="16"/>
                <w:szCs w:val="16"/>
              </w:rPr>
            </w:pPr>
            <w:r w:rsidRPr="002C70E8">
              <w:rPr>
                <w:rFonts w:ascii="Arial"/>
                <w:spacing w:val="-1"/>
                <w:sz w:val="16"/>
                <w:szCs w:val="16"/>
              </w:rPr>
              <w:t>0%</w:t>
            </w:r>
          </w:p>
        </w:tc>
        <w:tc>
          <w:tcPr>
            <w:tcW w:w="709" w:type="dxa"/>
            <w:tcBorders>
              <w:top w:val="single" w:sz="2" w:space="0" w:color="000000"/>
              <w:left w:val="single" w:sz="9" w:space="0" w:color="C0C0C0"/>
              <w:bottom w:val="single" w:sz="2" w:space="0" w:color="000000"/>
              <w:right w:val="single" w:sz="9" w:space="0" w:color="C0C0C0"/>
            </w:tcBorders>
          </w:tcPr>
          <w:p w14:paraId="2811BB8E" w14:textId="77777777" w:rsidR="001C6501" w:rsidRPr="002C70E8" w:rsidRDefault="001C6501" w:rsidP="002C70E8">
            <w:pPr>
              <w:pStyle w:val="TableParagraph"/>
              <w:spacing w:before="13"/>
              <w:ind w:left="298"/>
              <w:jc w:val="right"/>
              <w:rPr>
                <w:rFonts w:ascii="Arial" w:eastAsia="Arial" w:hAnsi="Arial" w:cs="Arial"/>
                <w:sz w:val="16"/>
                <w:szCs w:val="16"/>
              </w:rPr>
            </w:pPr>
            <w:r w:rsidRPr="002C70E8">
              <w:rPr>
                <w:rFonts w:ascii="Arial"/>
                <w:spacing w:val="-1"/>
                <w:sz w:val="16"/>
                <w:szCs w:val="16"/>
              </w:rPr>
              <w:t>38%</w:t>
            </w:r>
          </w:p>
        </w:tc>
        <w:tc>
          <w:tcPr>
            <w:tcW w:w="709" w:type="dxa"/>
            <w:tcBorders>
              <w:top w:val="single" w:sz="2" w:space="0" w:color="000000"/>
              <w:left w:val="single" w:sz="9" w:space="0" w:color="C0C0C0"/>
              <w:bottom w:val="single" w:sz="2" w:space="0" w:color="000000"/>
              <w:right w:val="single" w:sz="9" w:space="0" w:color="C0C0C0"/>
            </w:tcBorders>
          </w:tcPr>
          <w:p w14:paraId="4B55070F" w14:textId="77777777" w:rsidR="001C6501" w:rsidRPr="002C70E8" w:rsidRDefault="001C6501" w:rsidP="002C70E8">
            <w:pPr>
              <w:pStyle w:val="TableParagraph"/>
              <w:spacing w:before="13"/>
              <w:ind w:left="298"/>
              <w:jc w:val="right"/>
              <w:rPr>
                <w:rFonts w:ascii="Arial" w:eastAsia="Arial" w:hAnsi="Arial" w:cs="Arial"/>
                <w:sz w:val="16"/>
                <w:szCs w:val="16"/>
              </w:rPr>
            </w:pPr>
            <w:r w:rsidRPr="002C70E8">
              <w:rPr>
                <w:rFonts w:ascii="Arial"/>
                <w:spacing w:val="-1"/>
                <w:sz w:val="16"/>
                <w:szCs w:val="16"/>
              </w:rPr>
              <w:t>24%</w:t>
            </w:r>
          </w:p>
        </w:tc>
        <w:tc>
          <w:tcPr>
            <w:tcW w:w="708" w:type="dxa"/>
            <w:tcBorders>
              <w:top w:val="single" w:sz="2" w:space="0" w:color="000000"/>
              <w:left w:val="single" w:sz="9" w:space="0" w:color="C0C0C0"/>
              <w:bottom w:val="single" w:sz="2" w:space="0" w:color="000000"/>
              <w:right w:val="single" w:sz="9" w:space="0" w:color="C0C0C0"/>
            </w:tcBorders>
          </w:tcPr>
          <w:p w14:paraId="17FCA770" w14:textId="77777777" w:rsidR="001C6501" w:rsidRPr="002C70E8" w:rsidRDefault="001C6501" w:rsidP="002C70E8">
            <w:pPr>
              <w:pStyle w:val="TableParagraph"/>
              <w:spacing w:before="13"/>
              <w:ind w:left="298"/>
              <w:jc w:val="right"/>
              <w:rPr>
                <w:rFonts w:ascii="Arial" w:eastAsia="Arial" w:hAnsi="Arial" w:cs="Arial"/>
                <w:sz w:val="16"/>
                <w:szCs w:val="16"/>
              </w:rPr>
            </w:pPr>
            <w:r w:rsidRPr="002C70E8">
              <w:rPr>
                <w:rFonts w:ascii="Arial"/>
                <w:spacing w:val="-1"/>
                <w:sz w:val="16"/>
                <w:szCs w:val="16"/>
              </w:rPr>
              <w:t>38%</w:t>
            </w:r>
          </w:p>
        </w:tc>
        <w:tc>
          <w:tcPr>
            <w:tcW w:w="709" w:type="dxa"/>
            <w:tcBorders>
              <w:top w:val="single" w:sz="2" w:space="0" w:color="000000"/>
              <w:left w:val="single" w:sz="9" w:space="0" w:color="C0C0C0"/>
              <w:bottom w:val="single" w:sz="2" w:space="0" w:color="000000"/>
              <w:right w:val="single" w:sz="9" w:space="0" w:color="333333"/>
            </w:tcBorders>
          </w:tcPr>
          <w:p w14:paraId="52B0371F" w14:textId="77777777" w:rsidR="001C6501" w:rsidRPr="002C70E8" w:rsidRDefault="001C6501" w:rsidP="002C70E8">
            <w:pPr>
              <w:pStyle w:val="TableParagraph"/>
              <w:spacing w:before="13"/>
              <w:ind w:left="328"/>
              <w:jc w:val="right"/>
              <w:rPr>
                <w:rFonts w:ascii="Arial" w:eastAsia="Arial" w:hAnsi="Arial" w:cs="Arial"/>
                <w:sz w:val="16"/>
                <w:szCs w:val="16"/>
              </w:rPr>
            </w:pPr>
            <w:r w:rsidRPr="002C70E8">
              <w:rPr>
                <w:rFonts w:ascii="Arial"/>
                <w:spacing w:val="-1"/>
                <w:sz w:val="16"/>
                <w:szCs w:val="16"/>
              </w:rPr>
              <w:t>0%</w:t>
            </w:r>
          </w:p>
        </w:tc>
        <w:tc>
          <w:tcPr>
            <w:tcW w:w="1701" w:type="dxa"/>
            <w:tcBorders>
              <w:top w:val="single" w:sz="2" w:space="0" w:color="000000"/>
              <w:left w:val="single" w:sz="9" w:space="0" w:color="333333"/>
              <w:bottom w:val="single" w:sz="2" w:space="0" w:color="000000"/>
              <w:right w:val="single" w:sz="9" w:space="0" w:color="333333"/>
            </w:tcBorders>
          </w:tcPr>
          <w:p w14:paraId="4D3F8C62" w14:textId="77777777" w:rsidR="001C6501" w:rsidRPr="002C70E8" w:rsidRDefault="001C6501" w:rsidP="002C70E8">
            <w:pPr>
              <w:pStyle w:val="TableParagraph"/>
              <w:spacing w:line="224" w:lineRule="exact"/>
              <w:ind w:left="504"/>
              <w:jc w:val="right"/>
              <w:rPr>
                <w:rFonts w:ascii="Arial" w:eastAsia="Arial" w:hAnsi="Arial" w:cs="Arial"/>
                <w:sz w:val="16"/>
                <w:szCs w:val="16"/>
              </w:rPr>
            </w:pPr>
            <w:r w:rsidRPr="002C70E8">
              <w:rPr>
                <w:rFonts w:ascii="Arial"/>
                <w:spacing w:val="-1"/>
                <w:sz w:val="16"/>
                <w:szCs w:val="16"/>
              </w:rPr>
              <w:t>5,807</w:t>
            </w:r>
          </w:p>
        </w:tc>
      </w:tr>
      <w:tr w:rsidR="002C70E8" w14:paraId="2308CDD8" w14:textId="77777777" w:rsidTr="006B1840">
        <w:trPr>
          <w:trHeight w:hRule="exact" w:val="243"/>
        </w:trPr>
        <w:tc>
          <w:tcPr>
            <w:tcW w:w="1062" w:type="dxa"/>
            <w:vMerge/>
            <w:tcBorders>
              <w:left w:val="single" w:sz="9" w:space="0" w:color="333333"/>
              <w:right w:val="single" w:sz="9" w:space="0" w:color="333333"/>
            </w:tcBorders>
          </w:tcPr>
          <w:p w14:paraId="10538A9D" w14:textId="77777777" w:rsidR="001C6501" w:rsidRPr="002C70E8" w:rsidRDefault="001C6501" w:rsidP="001C6501">
            <w:pPr>
              <w:rPr>
                <w:sz w:val="16"/>
                <w:szCs w:val="16"/>
              </w:rPr>
            </w:pPr>
          </w:p>
        </w:tc>
        <w:tc>
          <w:tcPr>
            <w:tcW w:w="3119" w:type="dxa"/>
            <w:tcBorders>
              <w:top w:val="single" w:sz="2" w:space="0" w:color="000000"/>
              <w:left w:val="single" w:sz="9" w:space="0" w:color="333333"/>
              <w:bottom w:val="single" w:sz="2" w:space="0" w:color="000000"/>
              <w:right w:val="single" w:sz="9" w:space="0" w:color="000000"/>
            </w:tcBorders>
          </w:tcPr>
          <w:p w14:paraId="6FF95F95" w14:textId="77777777" w:rsidR="001C6501" w:rsidRPr="002C70E8" w:rsidRDefault="001C6501" w:rsidP="001C6501">
            <w:pPr>
              <w:pStyle w:val="TableParagraph"/>
              <w:spacing w:line="224" w:lineRule="exact"/>
              <w:ind w:left="27"/>
              <w:rPr>
                <w:rFonts w:ascii="Arial" w:eastAsia="Arial" w:hAnsi="Arial" w:cs="Arial"/>
                <w:sz w:val="16"/>
                <w:szCs w:val="16"/>
              </w:rPr>
            </w:pPr>
            <w:r w:rsidRPr="002C70E8">
              <w:rPr>
                <w:rFonts w:ascii="Arial"/>
                <w:sz w:val="16"/>
                <w:szCs w:val="16"/>
              </w:rPr>
              <w:t>Cemeteries</w:t>
            </w:r>
          </w:p>
        </w:tc>
        <w:tc>
          <w:tcPr>
            <w:tcW w:w="1417" w:type="dxa"/>
            <w:tcBorders>
              <w:top w:val="single" w:sz="2" w:space="0" w:color="000000"/>
              <w:left w:val="single" w:sz="9" w:space="0" w:color="000000"/>
              <w:bottom w:val="single" w:sz="2" w:space="0" w:color="000000"/>
              <w:right w:val="single" w:sz="9" w:space="0" w:color="C0C0C0"/>
            </w:tcBorders>
          </w:tcPr>
          <w:p w14:paraId="4CD4B9F5" w14:textId="77777777" w:rsidR="001C6501" w:rsidRPr="002C70E8" w:rsidRDefault="001C6501" w:rsidP="002C70E8">
            <w:pPr>
              <w:pStyle w:val="TableParagraph"/>
              <w:spacing w:line="224" w:lineRule="exact"/>
              <w:ind w:right="93"/>
              <w:jc w:val="right"/>
              <w:rPr>
                <w:rFonts w:ascii="Arial" w:eastAsia="Arial" w:hAnsi="Arial" w:cs="Arial"/>
                <w:sz w:val="16"/>
                <w:szCs w:val="16"/>
              </w:rPr>
            </w:pPr>
            <w:r w:rsidRPr="002C70E8">
              <w:rPr>
                <w:rFonts w:ascii="Arial"/>
                <w:sz w:val="16"/>
                <w:szCs w:val="16"/>
              </w:rPr>
              <w:t>38</w:t>
            </w:r>
          </w:p>
        </w:tc>
        <w:tc>
          <w:tcPr>
            <w:tcW w:w="1417" w:type="dxa"/>
            <w:tcBorders>
              <w:top w:val="single" w:sz="2" w:space="0" w:color="000000"/>
              <w:left w:val="single" w:sz="9" w:space="0" w:color="C0C0C0"/>
              <w:bottom w:val="single" w:sz="2" w:space="0" w:color="000000"/>
              <w:right w:val="single" w:sz="9" w:space="0" w:color="000000"/>
            </w:tcBorders>
          </w:tcPr>
          <w:p w14:paraId="17EEDC53" w14:textId="77777777" w:rsidR="001C6501" w:rsidRPr="002C70E8" w:rsidRDefault="001C6501" w:rsidP="002C70E8">
            <w:pPr>
              <w:pStyle w:val="TableParagraph"/>
              <w:spacing w:line="224" w:lineRule="exact"/>
              <w:ind w:right="93"/>
              <w:jc w:val="right"/>
              <w:rPr>
                <w:rFonts w:ascii="Arial" w:eastAsia="Arial" w:hAnsi="Arial" w:cs="Arial"/>
                <w:sz w:val="16"/>
                <w:szCs w:val="16"/>
              </w:rPr>
            </w:pPr>
            <w:r w:rsidRPr="002C70E8">
              <w:rPr>
                <w:rFonts w:ascii="Arial"/>
                <w:sz w:val="16"/>
                <w:szCs w:val="16"/>
              </w:rPr>
              <w:t>38</w:t>
            </w:r>
          </w:p>
        </w:tc>
        <w:tc>
          <w:tcPr>
            <w:tcW w:w="1418" w:type="dxa"/>
            <w:tcBorders>
              <w:top w:val="single" w:sz="2" w:space="0" w:color="000000"/>
              <w:left w:val="single" w:sz="9" w:space="0" w:color="000000"/>
              <w:bottom w:val="single" w:sz="2" w:space="0" w:color="000000"/>
              <w:right w:val="single" w:sz="9" w:space="0" w:color="333333"/>
            </w:tcBorders>
          </w:tcPr>
          <w:p w14:paraId="41871A58" w14:textId="77777777" w:rsidR="001C6501" w:rsidRPr="002C70E8" w:rsidRDefault="001C6501" w:rsidP="002C70E8">
            <w:pPr>
              <w:pStyle w:val="TableParagraph"/>
              <w:spacing w:line="224" w:lineRule="exact"/>
              <w:ind w:left="670"/>
              <w:jc w:val="right"/>
              <w:rPr>
                <w:rFonts w:ascii="Arial" w:eastAsia="Arial" w:hAnsi="Arial" w:cs="Arial"/>
                <w:sz w:val="16"/>
                <w:szCs w:val="16"/>
              </w:rPr>
            </w:pPr>
            <w:r w:rsidRPr="002C70E8">
              <w:rPr>
                <w:rFonts w:ascii="Arial"/>
                <w:sz w:val="16"/>
                <w:szCs w:val="16"/>
              </w:rPr>
              <w:t>956</w:t>
            </w:r>
          </w:p>
        </w:tc>
        <w:tc>
          <w:tcPr>
            <w:tcW w:w="1276" w:type="dxa"/>
            <w:tcBorders>
              <w:top w:val="single" w:sz="2" w:space="0" w:color="000000"/>
              <w:left w:val="single" w:sz="9" w:space="0" w:color="333333"/>
              <w:bottom w:val="single" w:sz="2" w:space="0" w:color="000000"/>
              <w:right w:val="single" w:sz="9" w:space="0" w:color="333333"/>
            </w:tcBorders>
          </w:tcPr>
          <w:p w14:paraId="770A72AA" w14:textId="77777777" w:rsidR="001C6501" w:rsidRPr="002C70E8" w:rsidRDefault="001C6501" w:rsidP="002C70E8">
            <w:pPr>
              <w:pStyle w:val="TableParagraph"/>
              <w:spacing w:line="224" w:lineRule="exact"/>
              <w:ind w:left="670"/>
              <w:jc w:val="right"/>
              <w:rPr>
                <w:rFonts w:ascii="Arial" w:eastAsia="Arial" w:hAnsi="Arial" w:cs="Arial"/>
                <w:sz w:val="16"/>
                <w:szCs w:val="16"/>
              </w:rPr>
            </w:pPr>
            <w:r w:rsidRPr="002C70E8">
              <w:rPr>
                <w:rFonts w:ascii="Arial"/>
                <w:sz w:val="16"/>
                <w:szCs w:val="16"/>
              </w:rPr>
              <w:t>424</w:t>
            </w:r>
          </w:p>
        </w:tc>
        <w:tc>
          <w:tcPr>
            <w:tcW w:w="709" w:type="dxa"/>
            <w:tcBorders>
              <w:top w:val="single" w:sz="2" w:space="0" w:color="000000"/>
              <w:left w:val="single" w:sz="9" w:space="0" w:color="333333"/>
              <w:bottom w:val="single" w:sz="2" w:space="0" w:color="000000"/>
              <w:right w:val="single" w:sz="9" w:space="0" w:color="C0C0C0"/>
            </w:tcBorders>
          </w:tcPr>
          <w:p w14:paraId="66DDD5A6" w14:textId="77777777" w:rsidR="001C6501" w:rsidRPr="002C70E8" w:rsidRDefault="001C6501" w:rsidP="002C70E8">
            <w:pPr>
              <w:pStyle w:val="TableParagraph"/>
              <w:spacing w:before="13"/>
              <w:ind w:left="328"/>
              <w:jc w:val="right"/>
              <w:rPr>
                <w:rFonts w:ascii="Arial" w:eastAsia="Arial" w:hAnsi="Arial" w:cs="Arial"/>
                <w:sz w:val="16"/>
                <w:szCs w:val="16"/>
              </w:rPr>
            </w:pPr>
            <w:r w:rsidRPr="002C70E8">
              <w:rPr>
                <w:rFonts w:ascii="Arial"/>
                <w:spacing w:val="-1"/>
                <w:sz w:val="16"/>
                <w:szCs w:val="16"/>
              </w:rPr>
              <w:t>0%</w:t>
            </w:r>
          </w:p>
        </w:tc>
        <w:tc>
          <w:tcPr>
            <w:tcW w:w="709" w:type="dxa"/>
            <w:tcBorders>
              <w:top w:val="single" w:sz="2" w:space="0" w:color="000000"/>
              <w:left w:val="single" w:sz="9" w:space="0" w:color="C0C0C0"/>
              <w:bottom w:val="single" w:sz="2" w:space="0" w:color="000000"/>
              <w:right w:val="single" w:sz="9" w:space="0" w:color="C0C0C0"/>
            </w:tcBorders>
          </w:tcPr>
          <w:p w14:paraId="675A1EBD" w14:textId="77777777" w:rsidR="001C6501" w:rsidRPr="002C70E8" w:rsidRDefault="001C6501" w:rsidP="002C70E8">
            <w:pPr>
              <w:pStyle w:val="TableParagraph"/>
              <w:spacing w:before="13"/>
              <w:ind w:left="327"/>
              <w:jc w:val="right"/>
              <w:rPr>
                <w:rFonts w:ascii="Arial" w:eastAsia="Arial" w:hAnsi="Arial" w:cs="Arial"/>
                <w:sz w:val="16"/>
                <w:szCs w:val="16"/>
              </w:rPr>
            </w:pPr>
            <w:r w:rsidRPr="002C70E8">
              <w:rPr>
                <w:rFonts w:ascii="Arial"/>
                <w:spacing w:val="-1"/>
                <w:sz w:val="16"/>
                <w:szCs w:val="16"/>
              </w:rPr>
              <w:t>7%</w:t>
            </w:r>
          </w:p>
        </w:tc>
        <w:tc>
          <w:tcPr>
            <w:tcW w:w="709" w:type="dxa"/>
            <w:tcBorders>
              <w:top w:val="single" w:sz="2" w:space="0" w:color="000000"/>
              <w:left w:val="single" w:sz="9" w:space="0" w:color="C0C0C0"/>
              <w:bottom w:val="single" w:sz="2" w:space="0" w:color="000000"/>
              <w:right w:val="single" w:sz="9" w:space="0" w:color="C0C0C0"/>
            </w:tcBorders>
          </w:tcPr>
          <w:p w14:paraId="075A25E9" w14:textId="77777777" w:rsidR="001C6501" w:rsidRPr="002C70E8" w:rsidRDefault="001C6501" w:rsidP="002C70E8">
            <w:pPr>
              <w:pStyle w:val="TableParagraph"/>
              <w:spacing w:before="13"/>
              <w:ind w:left="298"/>
              <w:jc w:val="right"/>
              <w:rPr>
                <w:rFonts w:ascii="Arial" w:eastAsia="Arial" w:hAnsi="Arial" w:cs="Arial"/>
                <w:sz w:val="16"/>
                <w:szCs w:val="16"/>
              </w:rPr>
            </w:pPr>
            <w:r w:rsidRPr="002C70E8">
              <w:rPr>
                <w:rFonts w:ascii="Arial"/>
                <w:spacing w:val="-1"/>
                <w:sz w:val="16"/>
                <w:szCs w:val="16"/>
              </w:rPr>
              <w:t>79%</w:t>
            </w:r>
          </w:p>
        </w:tc>
        <w:tc>
          <w:tcPr>
            <w:tcW w:w="708" w:type="dxa"/>
            <w:tcBorders>
              <w:top w:val="single" w:sz="2" w:space="0" w:color="000000"/>
              <w:left w:val="single" w:sz="9" w:space="0" w:color="C0C0C0"/>
              <w:bottom w:val="single" w:sz="2" w:space="0" w:color="000000"/>
              <w:right w:val="single" w:sz="9" w:space="0" w:color="C0C0C0"/>
            </w:tcBorders>
          </w:tcPr>
          <w:p w14:paraId="286D08AE" w14:textId="77777777" w:rsidR="001C6501" w:rsidRPr="002C70E8" w:rsidRDefault="001C6501" w:rsidP="002C70E8">
            <w:pPr>
              <w:pStyle w:val="TableParagraph"/>
              <w:spacing w:before="13"/>
              <w:ind w:left="298"/>
              <w:jc w:val="right"/>
              <w:rPr>
                <w:rFonts w:ascii="Arial" w:eastAsia="Arial" w:hAnsi="Arial" w:cs="Arial"/>
                <w:sz w:val="16"/>
                <w:szCs w:val="16"/>
              </w:rPr>
            </w:pPr>
            <w:r w:rsidRPr="002C70E8">
              <w:rPr>
                <w:rFonts w:ascii="Arial"/>
                <w:spacing w:val="-1"/>
                <w:sz w:val="16"/>
                <w:szCs w:val="16"/>
              </w:rPr>
              <w:t>14%</w:t>
            </w:r>
          </w:p>
        </w:tc>
        <w:tc>
          <w:tcPr>
            <w:tcW w:w="709" w:type="dxa"/>
            <w:tcBorders>
              <w:top w:val="single" w:sz="2" w:space="0" w:color="000000"/>
              <w:left w:val="single" w:sz="9" w:space="0" w:color="C0C0C0"/>
              <w:bottom w:val="single" w:sz="2" w:space="0" w:color="000000"/>
              <w:right w:val="single" w:sz="9" w:space="0" w:color="333333"/>
            </w:tcBorders>
          </w:tcPr>
          <w:p w14:paraId="79F2B50D" w14:textId="77777777" w:rsidR="001C6501" w:rsidRPr="002C70E8" w:rsidRDefault="001C6501" w:rsidP="002C70E8">
            <w:pPr>
              <w:pStyle w:val="TableParagraph"/>
              <w:spacing w:before="13"/>
              <w:ind w:left="328"/>
              <w:jc w:val="right"/>
              <w:rPr>
                <w:rFonts w:ascii="Arial" w:eastAsia="Arial" w:hAnsi="Arial" w:cs="Arial"/>
                <w:sz w:val="16"/>
                <w:szCs w:val="16"/>
              </w:rPr>
            </w:pPr>
            <w:r w:rsidRPr="002C70E8">
              <w:rPr>
                <w:rFonts w:ascii="Arial"/>
                <w:spacing w:val="-1"/>
                <w:sz w:val="16"/>
                <w:szCs w:val="16"/>
              </w:rPr>
              <w:t>0%</w:t>
            </w:r>
          </w:p>
        </w:tc>
        <w:tc>
          <w:tcPr>
            <w:tcW w:w="1701" w:type="dxa"/>
            <w:tcBorders>
              <w:top w:val="single" w:sz="2" w:space="0" w:color="000000"/>
              <w:left w:val="single" w:sz="9" w:space="0" w:color="333333"/>
              <w:bottom w:val="single" w:sz="2" w:space="0" w:color="000000"/>
              <w:right w:val="single" w:sz="9" w:space="0" w:color="333333"/>
            </w:tcBorders>
          </w:tcPr>
          <w:p w14:paraId="6F18BC9D" w14:textId="77777777" w:rsidR="001C6501" w:rsidRPr="002C70E8" w:rsidRDefault="001C6501" w:rsidP="002C70E8">
            <w:pPr>
              <w:pStyle w:val="TableParagraph"/>
              <w:spacing w:line="224" w:lineRule="exact"/>
              <w:ind w:left="670"/>
              <w:jc w:val="right"/>
              <w:rPr>
                <w:rFonts w:ascii="Arial" w:eastAsia="Arial" w:hAnsi="Arial" w:cs="Arial"/>
                <w:sz w:val="16"/>
                <w:szCs w:val="16"/>
              </w:rPr>
            </w:pPr>
            <w:r w:rsidRPr="002C70E8">
              <w:rPr>
                <w:rFonts w:ascii="Arial"/>
                <w:sz w:val="16"/>
                <w:szCs w:val="16"/>
              </w:rPr>
              <w:t>134</w:t>
            </w:r>
          </w:p>
        </w:tc>
      </w:tr>
      <w:tr w:rsidR="002C70E8" w14:paraId="29010EE0" w14:textId="77777777" w:rsidTr="006B1840">
        <w:trPr>
          <w:trHeight w:hRule="exact" w:val="243"/>
        </w:trPr>
        <w:tc>
          <w:tcPr>
            <w:tcW w:w="1062" w:type="dxa"/>
            <w:vMerge/>
            <w:tcBorders>
              <w:left w:val="single" w:sz="9" w:space="0" w:color="333333"/>
              <w:right w:val="single" w:sz="9" w:space="0" w:color="333333"/>
            </w:tcBorders>
          </w:tcPr>
          <w:p w14:paraId="23CDA638" w14:textId="77777777" w:rsidR="001C6501" w:rsidRPr="002C70E8" w:rsidRDefault="001C6501" w:rsidP="001C6501">
            <w:pPr>
              <w:rPr>
                <w:sz w:val="16"/>
                <w:szCs w:val="16"/>
              </w:rPr>
            </w:pPr>
          </w:p>
        </w:tc>
        <w:tc>
          <w:tcPr>
            <w:tcW w:w="3119" w:type="dxa"/>
            <w:tcBorders>
              <w:top w:val="single" w:sz="2" w:space="0" w:color="000000"/>
              <w:left w:val="single" w:sz="9" w:space="0" w:color="333333"/>
              <w:bottom w:val="single" w:sz="2" w:space="0" w:color="000000"/>
              <w:right w:val="single" w:sz="9" w:space="0" w:color="000000"/>
            </w:tcBorders>
          </w:tcPr>
          <w:p w14:paraId="236E8883" w14:textId="77777777" w:rsidR="001C6501" w:rsidRPr="002C70E8" w:rsidRDefault="001C6501" w:rsidP="001C6501">
            <w:pPr>
              <w:pStyle w:val="TableParagraph"/>
              <w:spacing w:line="224" w:lineRule="exact"/>
              <w:ind w:left="27"/>
              <w:rPr>
                <w:rFonts w:ascii="Arial" w:eastAsia="Arial" w:hAnsi="Arial" w:cs="Arial"/>
                <w:sz w:val="16"/>
                <w:szCs w:val="16"/>
              </w:rPr>
            </w:pPr>
            <w:r w:rsidRPr="002C70E8">
              <w:rPr>
                <w:rFonts w:ascii="Arial"/>
                <w:sz w:val="16"/>
                <w:szCs w:val="16"/>
              </w:rPr>
              <w:t>Recreation</w:t>
            </w:r>
            <w:r w:rsidRPr="002C70E8">
              <w:rPr>
                <w:rFonts w:ascii="Arial"/>
                <w:spacing w:val="-1"/>
                <w:sz w:val="16"/>
                <w:szCs w:val="16"/>
              </w:rPr>
              <w:t xml:space="preserve"> </w:t>
            </w:r>
            <w:r w:rsidRPr="002C70E8">
              <w:rPr>
                <w:rFonts w:ascii="Arial"/>
                <w:sz w:val="16"/>
                <w:szCs w:val="16"/>
              </w:rPr>
              <w:t>Facilities</w:t>
            </w:r>
          </w:p>
        </w:tc>
        <w:tc>
          <w:tcPr>
            <w:tcW w:w="1417" w:type="dxa"/>
            <w:tcBorders>
              <w:top w:val="single" w:sz="2" w:space="0" w:color="000000"/>
              <w:left w:val="single" w:sz="9" w:space="0" w:color="000000"/>
              <w:bottom w:val="single" w:sz="2" w:space="0" w:color="000000"/>
              <w:right w:val="single" w:sz="9" w:space="0" w:color="C0C0C0"/>
            </w:tcBorders>
          </w:tcPr>
          <w:p w14:paraId="6277DF15" w14:textId="77777777" w:rsidR="001C6501" w:rsidRPr="002C70E8" w:rsidRDefault="001C6501" w:rsidP="002C70E8">
            <w:pPr>
              <w:pStyle w:val="TableParagraph"/>
              <w:spacing w:line="224" w:lineRule="exact"/>
              <w:ind w:left="504"/>
              <w:jc w:val="right"/>
              <w:rPr>
                <w:rFonts w:ascii="Arial" w:eastAsia="Arial" w:hAnsi="Arial" w:cs="Arial"/>
                <w:sz w:val="16"/>
                <w:szCs w:val="16"/>
              </w:rPr>
            </w:pPr>
            <w:r w:rsidRPr="002C70E8">
              <w:rPr>
                <w:rFonts w:ascii="Arial"/>
                <w:spacing w:val="-1"/>
                <w:sz w:val="16"/>
                <w:szCs w:val="16"/>
              </w:rPr>
              <w:t>2,448</w:t>
            </w:r>
          </w:p>
        </w:tc>
        <w:tc>
          <w:tcPr>
            <w:tcW w:w="1417" w:type="dxa"/>
            <w:tcBorders>
              <w:top w:val="single" w:sz="2" w:space="0" w:color="000000"/>
              <w:left w:val="single" w:sz="9" w:space="0" w:color="C0C0C0"/>
              <w:bottom w:val="single" w:sz="2" w:space="0" w:color="000000"/>
              <w:right w:val="single" w:sz="9" w:space="0" w:color="000000"/>
            </w:tcBorders>
          </w:tcPr>
          <w:p w14:paraId="2BB60C23" w14:textId="77777777" w:rsidR="001C6501" w:rsidRPr="002C70E8" w:rsidRDefault="001C6501" w:rsidP="002C70E8">
            <w:pPr>
              <w:pStyle w:val="TableParagraph"/>
              <w:spacing w:line="224" w:lineRule="exact"/>
              <w:ind w:left="504"/>
              <w:jc w:val="right"/>
              <w:rPr>
                <w:rFonts w:ascii="Arial" w:eastAsia="Arial" w:hAnsi="Arial" w:cs="Arial"/>
                <w:sz w:val="16"/>
                <w:szCs w:val="16"/>
              </w:rPr>
            </w:pPr>
            <w:r w:rsidRPr="002C70E8">
              <w:rPr>
                <w:rFonts w:ascii="Arial"/>
                <w:spacing w:val="-1"/>
                <w:sz w:val="16"/>
                <w:szCs w:val="16"/>
              </w:rPr>
              <w:t>2,448</w:t>
            </w:r>
          </w:p>
        </w:tc>
        <w:tc>
          <w:tcPr>
            <w:tcW w:w="1418" w:type="dxa"/>
            <w:tcBorders>
              <w:top w:val="single" w:sz="2" w:space="0" w:color="000000"/>
              <w:left w:val="single" w:sz="9" w:space="0" w:color="000000"/>
              <w:bottom w:val="single" w:sz="2" w:space="0" w:color="000000"/>
              <w:right w:val="single" w:sz="9" w:space="0" w:color="333333"/>
            </w:tcBorders>
          </w:tcPr>
          <w:p w14:paraId="01FC5696" w14:textId="77777777" w:rsidR="001C6501" w:rsidRPr="002C70E8" w:rsidRDefault="001C6501" w:rsidP="002C70E8">
            <w:pPr>
              <w:pStyle w:val="TableParagraph"/>
              <w:spacing w:line="224" w:lineRule="exact"/>
              <w:ind w:left="393"/>
              <w:jc w:val="right"/>
              <w:rPr>
                <w:rFonts w:ascii="Arial" w:eastAsia="Arial" w:hAnsi="Arial" w:cs="Arial"/>
                <w:sz w:val="16"/>
                <w:szCs w:val="16"/>
              </w:rPr>
            </w:pPr>
            <w:r w:rsidRPr="002C70E8">
              <w:rPr>
                <w:rFonts w:ascii="Arial"/>
                <w:spacing w:val="-1"/>
                <w:sz w:val="16"/>
                <w:szCs w:val="16"/>
              </w:rPr>
              <w:t>27,943</w:t>
            </w:r>
          </w:p>
        </w:tc>
        <w:tc>
          <w:tcPr>
            <w:tcW w:w="1276" w:type="dxa"/>
            <w:tcBorders>
              <w:top w:val="single" w:sz="2" w:space="0" w:color="000000"/>
              <w:left w:val="single" w:sz="9" w:space="0" w:color="333333"/>
              <w:bottom w:val="single" w:sz="2" w:space="0" w:color="000000"/>
              <w:right w:val="single" w:sz="9" w:space="0" w:color="333333"/>
            </w:tcBorders>
          </w:tcPr>
          <w:p w14:paraId="489270FD" w14:textId="77777777" w:rsidR="001C6501" w:rsidRPr="002C70E8" w:rsidRDefault="001C6501" w:rsidP="002C70E8">
            <w:pPr>
              <w:pStyle w:val="TableParagraph"/>
              <w:spacing w:line="224" w:lineRule="exact"/>
              <w:ind w:left="393"/>
              <w:jc w:val="right"/>
              <w:rPr>
                <w:rFonts w:ascii="Arial" w:eastAsia="Arial" w:hAnsi="Arial" w:cs="Arial"/>
                <w:sz w:val="16"/>
                <w:szCs w:val="16"/>
              </w:rPr>
            </w:pPr>
            <w:r w:rsidRPr="002C70E8">
              <w:rPr>
                <w:rFonts w:ascii="Arial"/>
                <w:spacing w:val="-1"/>
                <w:sz w:val="16"/>
                <w:szCs w:val="16"/>
              </w:rPr>
              <w:t>10,200</w:t>
            </w:r>
          </w:p>
        </w:tc>
        <w:tc>
          <w:tcPr>
            <w:tcW w:w="709" w:type="dxa"/>
            <w:tcBorders>
              <w:top w:val="single" w:sz="2" w:space="0" w:color="000000"/>
              <w:left w:val="single" w:sz="9" w:space="0" w:color="333333"/>
              <w:bottom w:val="single" w:sz="2" w:space="0" w:color="000000"/>
              <w:right w:val="single" w:sz="9" w:space="0" w:color="C0C0C0"/>
            </w:tcBorders>
          </w:tcPr>
          <w:p w14:paraId="3505721B" w14:textId="77777777" w:rsidR="001C6501" w:rsidRPr="002C70E8" w:rsidRDefault="001C6501" w:rsidP="002C70E8">
            <w:pPr>
              <w:pStyle w:val="TableParagraph"/>
              <w:spacing w:before="13"/>
              <w:ind w:left="328"/>
              <w:jc w:val="right"/>
              <w:rPr>
                <w:rFonts w:ascii="Arial" w:eastAsia="Arial" w:hAnsi="Arial" w:cs="Arial"/>
                <w:sz w:val="16"/>
                <w:szCs w:val="16"/>
              </w:rPr>
            </w:pPr>
            <w:r w:rsidRPr="002C70E8">
              <w:rPr>
                <w:rFonts w:ascii="Arial"/>
                <w:spacing w:val="-1"/>
                <w:sz w:val="16"/>
                <w:szCs w:val="16"/>
              </w:rPr>
              <w:t>1%</w:t>
            </w:r>
          </w:p>
        </w:tc>
        <w:tc>
          <w:tcPr>
            <w:tcW w:w="709" w:type="dxa"/>
            <w:tcBorders>
              <w:top w:val="single" w:sz="2" w:space="0" w:color="000000"/>
              <w:left w:val="single" w:sz="9" w:space="0" w:color="C0C0C0"/>
              <w:bottom w:val="single" w:sz="2" w:space="0" w:color="000000"/>
              <w:right w:val="single" w:sz="9" w:space="0" w:color="C0C0C0"/>
            </w:tcBorders>
          </w:tcPr>
          <w:p w14:paraId="2CF73845" w14:textId="77777777" w:rsidR="001C6501" w:rsidRPr="002C70E8" w:rsidRDefault="001C6501" w:rsidP="002C70E8">
            <w:pPr>
              <w:pStyle w:val="TableParagraph"/>
              <w:spacing w:before="13"/>
              <w:ind w:left="298"/>
              <w:jc w:val="right"/>
              <w:rPr>
                <w:rFonts w:ascii="Arial" w:eastAsia="Arial" w:hAnsi="Arial" w:cs="Arial"/>
                <w:sz w:val="16"/>
                <w:szCs w:val="16"/>
              </w:rPr>
            </w:pPr>
            <w:r w:rsidRPr="002C70E8">
              <w:rPr>
                <w:rFonts w:ascii="Arial"/>
                <w:spacing w:val="-1"/>
                <w:sz w:val="16"/>
                <w:szCs w:val="16"/>
              </w:rPr>
              <w:t>29%</w:t>
            </w:r>
          </w:p>
        </w:tc>
        <w:tc>
          <w:tcPr>
            <w:tcW w:w="709" w:type="dxa"/>
            <w:tcBorders>
              <w:top w:val="single" w:sz="2" w:space="0" w:color="000000"/>
              <w:left w:val="single" w:sz="9" w:space="0" w:color="C0C0C0"/>
              <w:bottom w:val="single" w:sz="2" w:space="0" w:color="000000"/>
              <w:right w:val="single" w:sz="9" w:space="0" w:color="C0C0C0"/>
            </w:tcBorders>
          </w:tcPr>
          <w:p w14:paraId="23368D54" w14:textId="77777777" w:rsidR="001C6501" w:rsidRPr="002C70E8" w:rsidRDefault="001C6501" w:rsidP="002C70E8">
            <w:pPr>
              <w:pStyle w:val="TableParagraph"/>
              <w:spacing w:before="13"/>
              <w:ind w:left="298"/>
              <w:jc w:val="right"/>
              <w:rPr>
                <w:rFonts w:ascii="Arial" w:eastAsia="Arial" w:hAnsi="Arial" w:cs="Arial"/>
                <w:sz w:val="16"/>
                <w:szCs w:val="16"/>
              </w:rPr>
            </w:pPr>
            <w:r w:rsidRPr="002C70E8">
              <w:rPr>
                <w:rFonts w:ascii="Arial"/>
                <w:spacing w:val="-1"/>
                <w:sz w:val="16"/>
                <w:szCs w:val="16"/>
              </w:rPr>
              <w:t>59%</w:t>
            </w:r>
          </w:p>
        </w:tc>
        <w:tc>
          <w:tcPr>
            <w:tcW w:w="708" w:type="dxa"/>
            <w:tcBorders>
              <w:top w:val="single" w:sz="2" w:space="0" w:color="000000"/>
              <w:left w:val="single" w:sz="9" w:space="0" w:color="C0C0C0"/>
              <w:bottom w:val="single" w:sz="2" w:space="0" w:color="000000"/>
              <w:right w:val="single" w:sz="9" w:space="0" w:color="C0C0C0"/>
            </w:tcBorders>
          </w:tcPr>
          <w:p w14:paraId="7ED89652" w14:textId="77777777" w:rsidR="001C6501" w:rsidRPr="002C70E8" w:rsidRDefault="001C6501" w:rsidP="002C70E8">
            <w:pPr>
              <w:pStyle w:val="TableParagraph"/>
              <w:spacing w:before="13"/>
              <w:ind w:left="298"/>
              <w:jc w:val="right"/>
              <w:rPr>
                <w:rFonts w:ascii="Arial" w:eastAsia="Arial" w:hAnsi="Arial" w:cs="Arial"/>
                <w:sz w:val="16"/>
                <w:szCs w:val="16"/>
              </w:rPr>
            </w:pPr>
            <w:r w:rsidRPr="002C70E8">
              <w:rPr>
                <w:rFonts w:ascii="Arial"/>
                <w:spacing w:val="-1"/>
                <w:sz w:val="16"/>
                <w:szCs w:val="16"/>
              </w:rPr>
              <w:t>11%</w:t>
            </w:r>
          </w:p>
        </w:tc>
        <w:tc>
          <w:tcPr>
            <w:tcW w:w="709" w:type="dxa"/>
            <w:tcBorders>
              <w:top w:val="single" w:sz="2" w:space="0" w:color="000000"/>
              <w:left w:val="single" w:sz="9" w:space="0" w:color="C0C0C0"/>
              <w:bottom w:val="single" w:sz="2" w:space="0" w:color="000000"/>
              <w:right w:val="single" w:sz="9" w:space="0" w:color="333333"/>
            </w:tcBorders>
          </w:tcPr>
          <w:p w14:paraId="560BBA94" w14:textId="77777777" w:rsidR="001C6501" w:rsidRPr="002C70E8" w:rsidRDefault="001C6501" w:rsidP="002C70E8">
            <w:pPr>
              <w:pStyle w:val="TableParagraph"/>
              <w:spacing w:before="13"/>
              <w:ind w:left="328"/>
              <w:jc w:val="right"/>
              <w:rPr>
                <w:rFonts w:ascii="Arial" w:eastAsia="Arial" w:hAnsi="Arial" w:cs="Arial"/>
                <w:sz w:val="16"/>
                <w:szCs w:val="16"/>
              </w:rPr>
            </w:pPr>
            <w:r w:rsidRPr="002C70E8">
              <w:rPr>
                <w:rFonts w:ascii="Arial"/>
                <w:spacing w:val="-1"/>
                <w:sz w:val="16"/>
                <w:szCs w:val="16"/>
              </w:rPr>
              <w:t>0%</w:t>
            </w:r>
          </w:p>
        </w:tc>
        <w:tc>
          <w:tcPr>
            <w:tcW w:w="1701" w:type="dxa"/>
            <w:tcBorders>
              <w:top w:val="single" w:sz="2" w:space="0" w:color="000000"/>
              <w:left w:val="single" w:sz="9" w:space="0" w:color="333333"/>
              <w:bottom w:val="single" w:sz="2" w:space="0" w:color="000000"/>
              <w:right w:val="single" w:sz="9" w:space="0" w:color="333333"/>
            </w:tcBorders>
          </w:tcPr>
          <w:p w14:paraId="1B01A419" w14:textId="77777777" w:rsidR="001C6501" w:rsidRPr="002C70E8" w:rsidRDefault="001C6501" w:rsidP="002C70E8">
            <w:pPr>
              <w:pStyle w:val="TableParagraph"/>
              <w:spacing w:line="224" w:lineRule="exact"/>
              <w:ind w:left="504"/>
              <w:jc w:val="right"/>
              <w:rPr>
                <w:rFonts w:ascii="Arial" w:eastAsia="Arial" w:hAnsi="Arial" w:cs="Arial"/>
                <w:sz w:val="16"/>
                <w:szCs w:val="16"/>
              </w:rPr>
            </w:pPr>
            <w:r w:rsidRPr="002C70E8">
              <w:rPr>
                <w:rFonts w:ascii="Arial"/>
                <w:spacing w:val="-1"/>
                <w:sz w:val="16"/>
                <w:szCs w:val="16"/>
              </w:rPr>
              <w:t>3,074</w:t>
            </w:r>
          </w:p>
        </w:tc>
      </w:tr>
      <w:tr w:rsidR="002C70E8" w14:paraId="451EC4E9" w14:textId="77777777" w:rsidTr="006B1840">
        <w:trPr>
          <w:trHeight w:hRule="exact" w:val="243"/>
        </w:trPr>
        <w:tc>
          <w:tcPr>
            <w:tcW w:w="1062" w:type="dxa"/>
            <w:vMerge/>
            <w:tcBorders>
              <w:left w:val="single" w:sz="9" w:space="0" w:color="333333"/>
              <w:right w:val="single" w:sz="9" w:space="0" w:color="333333"/>
            </w:tcBorders>
          </w:tcPr>
          <w:p w14:paraId="28A47F45" w14:textId="77777777" w:rsidR="001C6501" w:rsidRPr="002C70E8" w:rsidRDefault="001C6501" w:rsidP="001C6501">
            <w:pPr>
              <w:rPr>
                <w:sz w:val="16"/>
                <w:szCs w:val="16"/>
              </w:rPr>
            </w:pPr>
          </w:p>
        </w:tc>
        <w:tc>
          <w:tcPr>
            <w:tcW w:w="3119" w:type="dxa"/>
            <w:tcBorders>
              <w:top w:val="single" w:sz="2" w:space="0" w:color="000000"/>
              <w:left w:val="single" w:sz="9" w:space="0" w:color="333333"/>
              <w:bottom w:val="single" w:sz="2" w:space="0" w:color="000000"/>
              <w:right w:val="single" w:sz="9" w:space="0" w:color="000000"/>
            </w:tcBorders>
          </w:tcPr>
          <w:p w14:paraId="49B33004" w14:textId="77777777" w:rsidR="001C6501" w:rsidRPr="002C70E8" w:rsidRDefault="001C6501" w:rsidP="001C6501">
            <w:pPr>
              <w:pStyle w:val="TableParagraph"/>
              <w:spacing w:line="224" w:lineRule="exact"/>
              <w:ind w:left="27"/>
              <w:rPr>
                <w:rFonts w:ascii="Arial" w:eastAsia="Arial" w:hAnsi="Arial" w:cs="Arial"/>
                <w:sz w:val="16"/>
                <w:szCs w:val="16"/>
              </w:rPr>
            </w:pPr>
            <w:r w:rsidRPr="002C70E8">
              <w:rPr>
                <w:rFonts w:ascii="Arial"/>
                <w:spacing w:val="-1"/>
                <w:sz w:val="16"/>
                <w:szCs w:val="16"/>
              </w:rPr>
              <w:t>Natural</w:t>
            </w:r>
            <w:r w:rsidRPr="002C70E8">
              <w:rPr>
                <w:rFonts w:ascii="Arial"/>
                <w:sz w:val="16"/>
                <w:szCs w:val="16"/>
              </w:rPr>
              <w:t xml:space="preserve"> </w:t>
            </w:r>
            <w:r w:rsidRPr="002C70E8">
              <w:rPr>
                <w:rFonts w:ascii="Arial"/>
                <w:spacing w:val="-1"/>
                <w:sz w:val="16"/>
                <w:szCs w:val="16"/>
              </w:rPr>
              <w:t xml:space="preserve">Area </w:t>
            </w:r>
            <w:r w:rsidRPr="002C70E8">
              <w:rPr>
                <w:rFonts w:ascii="Arial"/>
                <w:sz w:val="16"/>
                <w:szCs w:val="16"/>
              </w:rPr>
              <w:t>Visitor</w:t>
            </w:r>
            <w:r w:rsidRPr="002C70E8">
              <w:rPr>
                <w:rFonts w:ascii="Arial"/>
                <w:spacing w:val="-2"/>
                <w:sz w:val="16"/>
                <w:szCs w:val="16"/>
              </w:rPr>
              <w:t xml:space="preserve"> </w:t>
            </w:r>
            <w:r w:rsidRPr="002C70E8">
              <w:rPr>
                <w:rFonts w:ascii="Arial"/>
                <w:sz w:val="16"/>
                <w:szCs w:val="16"/>
              </w:rPr>
              <w:t>Facilities</w:t>
            </w:r>
          </w:p>
        </w:tc>
        <w:tc>
          <w:tcPr>
            <w:tcW w:w="1417" w:type="dxa"/>
            <w:tcBorders>
              <w:top w:val="single" w:sz="2" w:space="0" w:color="000000"/>
              <w:left w:val="single" w:sz="9" w:space="0" w:color="000000"/>
              <w:bottom w:val="single" w:sz="2" w:space="0" w:color="000000"/>
              <w:right w:val="single" w:sz="9" w:space="0" w:color="C0C0C0"/>
            </w:tcBorders>
          </w:tcPr>
          <w:p w14:paraId="7A45DAE6" w14:textId="77777777" w:rsidR="001C6501" w:rsidRPr="002C70E8" w:rsidRDefault="001C6501" w:rsidP="002C70E8">
            <w:pPr>
              <w:pStyle w:val="TableParagraph"/>
              <w:spacing w:line="224" w:lineRule="exact"/>
              <w:ind w:left="670"/>
              <w:jc w:val="right"/>
              <w:rPr>
                <w:rFonts w:ascii="Arial" w:eastAsia="Arial" w:hAnsi="Arial" w:cs="Arial"/>
                <w:sz w:val="16"/>
                <w:szCs w:val="16"/>
              </w:rPr>
            </w:pPr>
            <w:r w:rsidRPr="002C70E8">
              <w:rPr>
                <w:rFonts w:ascii="Arial"/>
                <w:sz w:val="16"/>
                <w:szCs w:val="16"/>
              </w:rPr>
              <w:t>508</w:t>
            </w:r>
          </w:p>
        </w:tc>
        <w:tc>
          <w:tcPr>
            <w:tcW w:w="1417" w:type="dxa"/>
            <w:tcBorders>
              <w:top w:val="single" w:sz="2" w:space="0" w:color="000000"/>
              <w:left w:val="single" w:sz="9" w:space="0" w:color="C0C0C0"/>
              <w:bottom w:val="single" w:sz="2" w:space="0" w:color="000000"/>
              <w:right w:val="single" w:sz="9" w:space="0" w:color="000000"/>
            </w:tcBorders>
          </w:tcPr>
          <w:p w14:paraId="64EB9467" w14:textId="77777777" w:rsidR="001C6501" w:rsidRPr="002C70E8" w:rsidRDefault="001C6501" w:rsidP="002C70E8">
            <w:pPr>
              <w:pStyle w:val="TableParagraph"/>
              <w:spacing w:line="224" w:lineRule="exact"/>
              <w:ind w:left="670"/>
              <w:jc w:val="right"/>
              <w:rPr>
                <w:rFonts w:ascii="Arial" w:eastAsia="Arial" w:hAnsi="Arial" w:cs="Arial"/>
                <w:sz w:val="16"/>
                <w:szCs w:val="16"/>
              </w:rPr>
            </w:pPr>
            <w:r w:rsidRPr="002C70E8">
              <w:rPr>
                <w:rFonts w:ascii="Arial"/>
                <w:sz w:val="16"/>
                <w:szCs w:val="16"/>
              </w:rPr>
              <w:t>205</w:t>
            </w:r>
          </w:p>
        </w:tc>
        <w:tc>
          <w:tcPr>
            <w:tcW w:w="1418" w:type="dxa"/>
            <w:tcBorders>
              <w:top w:val="single" w:sz="2" w:space="0" w:color="000000"/>
              <w:left w:val="single" w:sz="9" w:space="0" w:color="000000"/>
              <w:bottom w:val="single" w:sz="2" w:space="0" w:color="000000"/>
              <w:right w:val="single" w:sz="9" w:space="0" w:color="333333"/>
            </w:tcBorders>
          </w:tcPr>
          <w:p w14:paraId="3CA90E02" w14:textId="77777777" w:rsidR="001C6501" w:rsidRPr="002C70E8" w:rsidRDefault="001C6501" w:rsidP="002C70E8">
            <w:pPr>
              <w:pStyle w:val="TableParagraph"/>
              <w:spacing w:line="224" w:lineRule="exact"/>
              <w:ind w:left="393"/>
              <w:jc w:val="right"/>
              <w:rPr>
                <w:rFonts w:ascii="Arial" w:eastAsia="Arial" w:hAnsi="Arial" w:cs="Arial"/>
                <w:sz w:val="16"/>
                <w:szCs w:val="16"/>
              </w:rPr>
            </w:pPr>
            <w:r w:rsidRPr="002C70E8">
              <w:rPr>
                <w:rFonts w:ascii="Arial"/>
                <w:spacing w:val="-1"/>
                <w:sz w:val="16"/>
                <w:szCs w:val="16"/>
              </w:rPr>
              <w:t>73,780</w:t>
            </w:r>
          </w:p>
        </w:tc>
        <w:tc>
          <w:tcPr>
            <w:tcW w:w="1276" w:type="dxa"/>
            <w:tcBorders>
              <w:top w:val="single" w:sz="2" w:space="0" w:color="000000"/>
              <w:left w:val="single" w:sz="9" w:space="0" w:color="333333"/>
              <w:bottom w:val="single" w:sz="2" w:space="0" w:color="000000"/>
              <w:right w:val="single" w:sz="9" w:space="0" w:color="333333"/>
            </w:tcBorders>
          </w:tcPr>
          <w:p w14:paraId="3C8B2D5B" w14:textId="77777777" w:rsidR="001C6501" w:rsidRPr="002C70E8" w:rsidRDefault="001C6501" w:rsidP="002C70E8">
            <w:pPr>
              <w:pStyle w:val="TableParagraph"/>
              <w:spacing w:line="224" w:lineRule="exact"/>
              <w:ind w:left="393"/>
              <w:jc w:val="right"/>
              <w:rPr>
                <w:rFonts w:ascii="Arial" w:eastAsia="Arial" w:hAnsi="Arial" w:cs="Arial"/>
                <w:sz w:val="16"/>
                <w:szCs w:val="16"/>
              </w:rPr>
            </w:pPr>
            <w:r w:rsidRPr="002C70E8">
              <w:rPr>
                <w:rFonts w:ascii="Arial"/>
                <w:spacing w:val="-1"/>
                <w:sz w:val="16"/>
                <w:szCs w:val="16"/>
              </w:rPr>
              <w:t>44,353</w:t>
            </w:r>
          </w:p>
        </w:tc>
        <w:tc>
          <w:tcPr>
            <w:tcW w:w="709" w:type="dxa"/>
            <w:tcBorders>
              <w:top w:val="single" w:sz="2" w:space="0" w:color="000000"/>
              <w:left w:val="single" w:sz="9" w:space="0" w:color="333333"/>
              <w:bottom w:val="single" w:sz="2" w:space="0" w:color="000000"/>
              <w:right w:val="single" w:sz="9" w:space="0" w:color="C0C0C0"/>
            </w:tcBorders>
          </w:tcPr>
          <w:p w14:paraId="4257D29A" w14:textId="77777777" w:rsidR="001C6501" w:rsidRPr="002C70E8" w:rsidRDefault="001C6501" w:rsidP="002C70E8">
            <w:pPr>
              <w:pStyle w:val="TableParagraph"/>
              <w:spacing w:before="13"/>
              <w:ind w:left="328"/>
              <w:jc w:val="right"/>
              <w:rPr>
                <w:rFonts w:ascii="Arial" w:eastAsia="Arial" w:hAnsi="Arial" w:cs="Arial"/>
                <w:sz w:val="16"/>
                <w:szCs w:val="16"/>
              </w:rPr>
            </w:pPr>
            <w:r w:rsidRPr="002C70E8">
              <w:rPr>
                <w:rFonts w:ascii="Arial"/>
                <w:spacing w:val="-1"/>
                <w:sz w:val="16"/>
                <w:szCs w:val="16"/>
              </w:rPr>
              <w:t>5%</w:t>
            </w:r>
          </w:p>
        </w:tc>
        <w:tc>
          <w:tcPr>
            <w:tcW w:w="709" w:type="dxa"/>
            <w:tcBorders>
              <w:top w:val="single" w:sz="2" w:space="0" w:color="000000"/>
              <w:left w:val="single" w:sz="9" w:space="0" w:color="C0C0C0"/>
              <w:bottom w:val="single" w:sz="2" w:space="0" w:color="000000"/>
              <w:right w:val="single" w:sz="9" w:space="0" w:color="C0C0C0"/>
            </w:tcBorders>
          </w:tcPr>
          <w:p w14:paraId="3E372FEB" w14:textId="77777777" w:rsidR="001C6501" w:rsidRPr="002C70E8" w:rsidRDefault="001C6501" w:rsidP="002C70E8">
            <w:pPr>
              <w:pStyle w:val="TableParagraph"/>
              <w:spacing w:before="13"/>
              <w:ind w:left="298"/>
              <w:jc w:val="right"/>
              <w:rPr>
                <w:rFonts w:ascii="Arial" w:eastAsia="Arial" w:hAnsi="Arial" w:cs="Arial"/>
                <w:sz w:val="16"/>
                <w:szCs w:val="16"/>
              </w:rPr>
            </w:pPr>
            <w:r w:rsidRPr="002C70E8">
              <w:rPr>
                <w:rFonts w:ascii="Arial"/>
                <w:spacing w:val="-1"/>
                <w:sz w:val="16"/>
                <w:szCs w:val="16"/>
              </w:rPr>
              <w:t>16%</w:t>
            </w:r>
          </w:p>
        </w:tc>
        <w:tc>
          <w:tcPr>
            <w:tcW w:w="709" w:type="dxa"/>
            <w:tcBorders>
              <w:top w:val="single" w:sz="2" w:space="0" w:color="000000"/>
              <w:left w:val="single" w:sz="9" w:space="0" w:color="C0C0C0"/>
              <w:bottom w:val="single" w:sz="2" w:space="0" w:color="000000"/>
              <w:right w:val="single" w:sz="9" w:space="0" w:color="C0C0C0"/>
            </w:tcBorders>
          </w:tcPr>
          <w:p w14:paraId="66361945" w14:textId="77777777" w:rsidR="001C6501" w:rsidRPr="002C70E8" w:rsidRDefault="001C6501" w:rsidP="002C70E8">
            <w:pPr>
              <w:pStyle w:val="TableParagraph"/>
              <w:spacing w:before="13"/>
              <w:ind w:left="298"/>
              <w:jc w:val="right"/>
              <w:rPr>
                <w:rFonts w:ascii="Arial" w:eastAsia="Arial" w:hAnsi="Arial" w:cs="Arial"/>
                <w:sz w:val="16"/>
                <w:szCs w:val="16"/>
              </w:rPr>
            </w:pPr>
            <w:r w:rsidRPr="002C70E8">
              <w:rPr>
                <w:rFonts w:ascii="Arial"/>
                <w:spacing w:val="-1"/>
                <w:sz w:val="16"/>
                <w:szCs w:val="16"/>
              </w:rPr>
              <w:t>39%</w:t>
            </w:r>
          </w:p>
        </w:tc>
        <w:tc>
          <w:tcPr>
            <w:tcW w:w="708" w:type="dxa"/>
            <w:tcBorders>
              <w:top w:val="single" w:sz="2" w:space="0" w:color="000000"/>
              <w:left w:val="single" w:sz="9" w:space="0" w:color="C0C0C0"/>
              <w:bottom w:val="single" w:sz="2" w:space="0" w:color="000000"/>
              <w:right w:val="single" w:sz="9" w:space="0" w:color="C0C0C0"/>
            </w:tcBorders>
          </w:tcPr>
          <w:p w14:paraId="4474502C" w14:textId="77777777" w:rsidR="001C6501" w:rsidRPr="002C70E8" w:rsidRDefault="001C6501" w:rsidP="002C70E8">
            <w:pPr>
              <w:pStyle w:val="TableParagraph"/>
              <w:spacing w:before="13"/>
              <w:ind w:left="298"/>
              <w:jc w:val="right"/>
              <w:rPr>
                <w:rFonts w:ascii="Arial" w:eastAsia="Arial" w:hAnsi="Arial" w:cs="Arial"/>
                <w:sz w:val="16"/>
                <w:szCs w:val="16"/>
              </w:rPr>
            </w:pPr>
            <w:r w:rsidRPr="002C70E8">
              <w:rPr>
                <w:rFonts w:ascii="Arial"/>
                <w:spacing w:val="-1"/>
                <w:sz w:val="16"/>
                <w:szCs w:val="16"/>
              </w:rPr>
              <w:t>22%</w:t>
            </w:r>
          </w:p>
        </w:tc>
        <w:tc>
          <w:tcPr>
            <w:tcW w:w="709" w:type="dxa"/>
            <w:tcBorders>
              <w:top w:val="single" w:sz="2" w:space="0" w:color="000000"/>
              <w:left w:val="single" w:sz="9" w:space="0" w:color="C0C0C0"/>
              <w:bottom w:val="single" w:sz="2" w:space="0" w:color="000000"/>
              <w:right w:val="single" w:sz="9" w:space="0" w:color="333333"/>
            </w:tcBorders>
          </w:tcPr>
          <w:p w14:paraId="3D34753C" w14:textId="77777777" w:rsidR="001C6501" w:rsidRPr="002C70E8" w:rsidRDefault="001C6501" w:rsidP="002C70E8">
            <w:pPr>
              <w:pStyle w:val="TableParagraph"/>
              <w:spacing w:before="13"/>
              <w:ind w:left="298"/>
              <w:jc w:val="right"/>
              <w:rPr>
                <w:rFonts w:ascii="Arial" w:eastAsia="Arial" w:hAnsi="Arial" w:cs="Arial"/>
                <w:sz w:val="16"/>
                <w:szCs w:val="16"/>
              </w:rPr>
            </w:pPr>
            <w:r w:rsidRPr="002C70E8">
              <w:rPr>
                <w:rFonts w:ascii="Arial"/>
                <w:spacing w:val="-1"/>
                <w:sz w:val="16"/>
                <w:szCs w:val="16"/>
              </w:rPr>
              <w:t>18%</w:t>
            </w:r>
          </w:p>
        </w:tc>
        <w:tc>
          <w:tcPr>
            <w:tcW w:w="1701" w:type="dxa"/>
            <w:tcBorders>
              <w:top w:val="single" w:sz="2" w:space="0" w:color="000000"/>
              <w:left w:val="single" w:sz="9" w:space="0" w:color="333333"/>
              <w:bottom w:val="single" w:sz="2" w:space="0" w:color="000000"/>
              <w:right w:val="single" w:sz="9" w:space="0" w:color="333333"/>
            </w:tcBorders>
          </w:tcPr>
          <w:p w14:paraId="2082630E" w14:textId="77777777" w:rsidR="001C6501" w:rsidRPr="002C70E8" w:rsidRDefault="001C6501" w:rsidP="002C70E8">
            <w:pPr>
              <w:pStyle w:val="TableParagraph"/>
              <w:spacing w:line="224" w:lineRule="exact"/>
              <w:ind w:left="393"/>
              <w:jc w:val="right"/>
              <w:rPr>
                <w:rFonts w:ascii="Arial" w:eastAsia="Arial" w:hAnsi="Arial" w:cs="Arial"/>
                <w:sz w:val="16"/>
                <w:szCs w:val="16"/>
              </w:rPr>
            </w:pPr>
            <w:r w:rsidRPr="002C70E8">
              <w:rPr>
                <w:rFonts w:ascii="Arial"/>
                <w:spacing w:val="-1"/>
                <w:sz w:val="16"/>
                <w:szCs w:val="16"/>
              </w:rPr>
              <w:t>29,512</w:t>
            </w:r>
          </w:p>
        </w:tc>
      </w:tr>
      <w:tr w:rsidR="002C70E8" w14:paraId="5D2EAD77" w14:textId="77777777" w:rsidTr="006B1840">
        <w:trPr>
          <w:trHeight w:hRule="exact" w:val="243"/>
        </w:trPr>
        <w:tc>
          <w:tcPr>
            <w:tcW w:w="1062" w:type="dxa"/>
            <w:vMerge/>
            <w:tcBorders>
              <w:left w:val="single" w:sz="9" w:space="0" w:color="333333"/>
              <w:right w:val="single" w:sz="9" w:space="0" w:color="333333"/>
            </w:tcBorders>
          </w:tcPr>
          <w:p w14:paraId="4874FAA8" w14:textId="77777777" w:rsidR="001C6501" w:rsidRPr="002C70E8" w:rsidRDefault="001C6501" w:rsidP="001C6501">
            <w:pPr>
              <w:rPr>
                <w:sz w:val="16"/>
                <w:szCs w:val="16"/>
              </w:rPr>
            </w:pPr>
          </w:p>
        </w:tc>
        <w:tc>
          <w:tcPr>
            <w:tcW w:w="3119" w:type="dxa"/>
            <w:tcBorders>
              <w:top w:val="single" w:sz="2" w:space="0" w:color="000000"/>
              <w:left w:val="single" w:sz="9" w:space="0" w:color="333333"/>
              <w:bottom w:val="single" w:sz="2" w:space="0" w:color="000000"/>
              <w:right w:val="single" w:sz="9" w:space="0" w:color="000000"/>
            </w:tcBorders>
          </w:tcPr>
          <w:p w14:paraId="4AC0DAF8" w14:textId="77777777" w:rsidR="001C6501" w:rsidRPr="002C70E8" w:rsidRDefault="001C6501" w:rsidP="001C6501">
            <w:pPr>
              <w:pStyle w:val="TableParagraph"/>
              <w:spacing w:line="224" w:lineRule="exact"/>
              <w:ind w:left="27"/>
              <w:rPr>
                <w:rFonts w:ascii="Arial" w:eastAsia="Arial" w:hAnsi="Arial" w:cs="Arial"/>
                <w:sz w:val="16"/>
                <w:szCs w:val="16"/>
              </w:rPr>
            </w:pPr>
            <w:r w:rsidRPr="002C70E8">
              <w:rPr>
                <w:rFonts w:ascii="Arial"/>
                <w:spacing w:val="-1"/>
                <w:sz w:val="16"/>
                <w:szCs w:val="16"/>
              </w:rPr>
              <w:t>Aquatic</w:t>
            </w:r>
            <w:r w:rsidRPr="002C70E8">
              <w:rPr>
                <w:rFonts w:ascii="Arial"/>
                <w:spacing w:val="-2"/>
                <w:sz w:val="16"/>
                <w:szCs w:val="16"/>
              </w:rPr>
              <w:t xml:space="preserve"> </w:t>
            </w:r>
            <w:r w:rsidRPr="002C70E8">
              <w:rPr>
                <w:rFonts w:ascii="Arial"/>
                <w:sz w:val="16"/>
                <w:szCs w:val="16"/>
              </w:rPr>
              <w:t>&amp;</w:t>
            </w:r>
            <w:r w:rsidRPr="002C70E8">
              <w:rPr>
                <w:rFonts w:ascii="Arial"/>
                <w:spacing w:val="-1"/>
                <w:sz w:val="16"/>
                <w:szCs w:val="16"/>
              </w:rPr>
              <w:t xml:space="preserve"> </w:t>
            </w:r>
            <w:r w:rsidRPr="002C70E8">
              <w:rPr>
                <w:rFonts w:ascii="Arial"/>
                <w:sz w:val="16"/>
                <w:szCs w:val="16"/>
              </w:rPr>
              <w:t>Leisure</w:t>
            </w:r>
            <w:r w:rsidRPr="002C70E8">
              <w:rPr>
                <w:rFonts w:ascii="Arial"/>
                <w:spacing w:val="-1"/>
                <w:sz w:val="16"/>
                <w:szCs w:val="16"/>
              </w:rPr>
              <w:t xml:space="preserve"> Centres</w:t>
            </w:r>
          </w:p>
        </w:tc>
        <w:tc>
          <w:tcPr>
            <w:tcW w:w="1417" w:type="dxa"/>
            <w:tcBorders>
              <w:top w:val="single" w:sz="2" w:space="0" w:color="000000"/>
              <w:left w:val="single" w:sz="9" w:space="0" w:color="000000"/>
              <w:bottom w:val="single" w:sz="2" w:space="0" w:color="000000"/>
              <w:right w:val="single" w:sz="9" w:space="0" w:color="C0C0C0"/>
            </w:tcBorders>
          </w:tcPr>
          <w:p w14:paraId="639D3110" w14:textId="77777777" w:rsidR="001C6501" w:rsidRPr="002C70E8" w:rsidRDefault="001C6501" w:rsidP="002C70E8">
            <w:pPr>
              <w:pStyle w:val="TableParagraph"/>
              <w:spacing w:line="224" w:lineRule="exact"/>
              <w:ind w:left="670"/>
              <w:jc w:val="right"/>
              <w:rPr>
                <w:rFonts w:ascii="Arial" w:eastAsia="Arial" w:hAnsi="Arial" w:cs="Arial"/>
                <w:sz w:val="16"/>
                <w:szCs w:val="16"/>
              </w:rPr>
            </w:pPr>
            <w:r w:rsidRPr="002C70E8">
              <w:rPr>
                <w:rFonts w:ascii="Arial"/>
                <w:sz w:val="16"/>
                <w:szCs w:val="16"/>
              </w:rPr>
              <w:t>693</w:t>
            </w:r>
          </w:p>
        </w:tc>
        <w:tc>
          <w:tcPr>
            <w:tcW w:w="1417" w:type="dxa"/>
            <w:tcBorders>
              <w:top w:val="single" w:sz="2" w:space="0" w:color="000000"/>
              <w:left w:val="single" w:sz="9" w:space="0" w:color="C0C0C0"/>
              <w:bottom w:val="single" w:sz="2" w:space="0" w:color="000000"/>
              <w:right w:val="single" w:sz="9" w:space="0" w:color="000000"/>
            </w:tcBorders>
          </w:tcPr>
          <w:p w14:paraId="20700BE8" w14:textId="77777777" w:rsidR="001C6501" w:rsidRPr="002C70E8" w:rsidRDefault="001C6501" w:rsidP="002C70E8">
            <w:pPr>
              <w:pStyle w:val="TableParagraph"/>
              <w:spacing w:line="224" w:lineRule="exact"/>
              <w:ind w:left="670"/>
              <w:jc w:val="right"/>
              <w:rPr>
                <w:rFonts w:ascii="Arial" w:eastAsia="Arial" w:hAnsi="Arial" w:cs="Arial"/>
                <w:sz w:val="16"/>
                <w:szCs w:val="16"/>
              </w:rPr>
            </w:pPr>
            <w:r w:rsidRPr="002C70E8">
              <w:rPr>
                <w:rFonts w:ascii="Arial"/>
                <w:sz w:val="16"/>
                <w:szCs w:val="16"/>
              </w:rPr>
              <w:t>693</w:t>
            </w:r>
          </w:p>
        </w:tc>
        <w:tc>
          <w:tcPr>
            <w:tcW w:w="1418" w:type="dxa"/>
            <w:tcBorders>
              <w:top w:val="single" w:sz="2" w:space="0" w:color="000000"/>
              <w:left w:val="single" w:sz="9" w:space="0" w:color="000000"/>
              <w:bottom w:val="single" w:sz="2" w:space="0" w:color="000000"/>
              <w:right w:val="single" w:sz="9" w:space="0" w:color="333333"/>
            </w:tcBorders>
          </w:tcPr>
          <w:p w14:paraId="058575A3" w14:textId="77777777" w:rsidR="001C6501" w:rsidRPr="002C70E8" w:rsidRDefault="001C6501" w:rsidP="002C70E8">
            <w:pPr>
              <w:pStyle w:val="TableParagraph"/>
              <w:spacing w:line="224" w:lineRule="exact"/>
              <w:ind w:left="670"/>
              <w:jc w:val="right"/>
              <w:rPr>
                <w:rFonts w:ascii="Arial" w:eastAsia="Arial" w:hAnsi="Arial" w:cs="Arial"/>
                <w:sz w:val="16"/>
                <w:szCs w:val="16"/>
              </w:rPr>
            </w:pPr>
            <w:r w:rsidRPr="002C70E8">
              <w:rPr>
                <w:rFonts w:ascii="Arial"/>
                <w:sz w:val="16"/>
                <w:szCs w:val="16"/>
              </w:rPr>
              <w:t>994</w:t>
            </w:r>
          </w:p>
        </w:tc>
        <w:tc>
          <w:tcPr>
            <w:tcW w:w="1276" w:type="dxa"/>
            <w:tcBorders>
              <w:top w:val="single" w:sz="2" w:space="0" w:color="000000"/>
              <w:left w:val="single" w:sz="9" w:space="0" w:color="333333"/>
              <w:bottom w:val="single" w:sz="2" w:space="0" w:color="000000"/>
              <w:right w:val="single" w:sz="9" w:space="0" w:color="333333"/>
            </w:tcBorders>
          </w:tcPr>
          <w:p w14:paraId="6BFEA416" w14:textId="77777777" w:rsidR="001C6501" w:rsidRPr="002C70E8" w:rsidRDefault="001C6501" w:rsidP="002C70E8">
            <w:pPr>
              <w:pStyle w:val="TableParagraph"/>
              <w:spacing w:line="224" w:lineRule="exact"/>
              <w:ind w:left="670"/>
              <w:jc w:val="right"/>
              <w:rPr>
                <w:rFonts w:ascii="Arial" w:eastAsia="Arial" w:hAnsi="Arial" w:cs="Arial"/>
                <w:sz w:val="16"/>
                <w:szCs w:val="16"/>
              </w:rPr>
            </w:pPr>
            <w:r w:rsidRPr="002C70E8">
              <w:rPr>
                <w:rFonts w:ascii="Arial"/>
                <w:sz w:val="16"/>
                <w:szCs w:val="16"/>
              </w:rPr>
              <w:t>346</w:t>
            </w:r>
          </w:p>
        </w:tc>
        <w:tc>
          <w:tcPr>
            <w:tcW w:w="709" w:type="dxa"/>
            <w:tcBorders>
              <w:top w:val="single" w:sz="2" w:space="0" w:color="000000"/>
              <w:left w:val="single" w:sz="9" w:space="0" w:color="333333"/>
              <w:bottom w:val="single" w:sz="2" w:space="0" w:color="000000"/>
              <w:right w:val="single" w:sz="9" w:space="0" w:color="C0C0C0"/>
            </w:tcBorders>
          </w:tcPr>
          <w:p w14:paraId="22E9D0D6" w14:textId="77777777" w:rsidR="001C6501" w:rsidRPr="002C70E8" w:rsidRDefault="001C6501" w:rsidP="002C70E8">
            <w:pPr>
              <w:pStyle w:val="TableParagraph"/>
              <w:spacing w:before="13"/>
              <w:ind w:left="298"/>
              <w:jc w:val="right"/>
              <w:rPr>
                <w:rFonts w:ascii="Arial" w:eastAsia="Arial" w:hAnsi="Arial" w:cs="Arial"/>
                <w:sz w:val="16"/>
                <w:szCs w:val="16"/>
              </w:rPr>
            </w:pPr>
            <w:r w:rsidRPr="002C70E8">
              <w:rPr>
                <w:rFonts w:ascii="Arial"/>
                <w:spacing w:val="-1"/>
                <w:sz w:val="16"/>
                <w:szCs w:val="16"/>
              </w:rPr>
              <w:t>10%</w:t>
            </w:r>
          </w:p>
        </w:tc>
        <w:tc>
          <w:tcPr>
            <w:tcW w:w="709" w:type="dxa"/>
            <w:tcBorders>
              <w:top w:val="single" w:sz="2" w:space="0" w:color="000000"/>
              <w:left w:val="single" w:sz="9" w:space="0" w:color="C0C0C0"/>
              <w:bottom w:val="single" w:sz="2" w:space="0" w:color="000000"/>
              <w:right w:val="single" w:sz="9" w:space="0" w:color="C0C0C0"/>
            </w:tcBorders>
          </w:tcPr>
          <w:p w14:paraId="7EFD6A58" w14:textId="77777777" w:rsidR="001C6501" w:rsidRPr="002C70E8" w:rsidRDefault="001C6501" w:rsidP="002C70E8">
            <w:pPr>
              <w:pStyle w:val="TableParagraph"/>
              <w:spacing w:before="13"/>
              <w:ind w:left="298"/>
              <w:jc w:val="right"/>
              <w:rPr>
                <w:rFonts w:ascii="Arial" w:eastAsia="Arial" w:hAnsi="Arial" w:cs="Arial"/>
                <w:sz w:val="16"/>
                <w:szCs w:val="16"/>
              </w:rPr>
            </w:pPr>
            <w:r w:rsidRPr="002C70E8">
              <w:rPr>
                <w:rFonts w:ascii="Arial"/>
                <w:spacing w:val="-1"/>
                <w:sz w:val="16"/>
                <w:szCs w:val="16"/>
              </w:rPr>
              <w:t>40%</w:t>
            </w:r>
          </w:p>
        </w:tc>
        <w:tc>
          <w:tcPr>
            <w:tcW w:w="709" w:type="dxa"/>
            <w:tcBorders>
              <w:top w:val="single" w:sz="2" w:space="0" w:color="000000"/>
              <w:left w:val="single" w:sz="9" w:space="0" w:color="C0C0C0"/>
              <w:bottom w:val="single" w:sz="2" w:space="0" w:color="000000"/>
              <w:right w:val="single" w:sz="9" w:space="0" w:color="C0C0C0"/>
            </w:tcBorders>
          </w:tcPr>
          <w:p w14:paraId="5AE5B28B" w14:textId="77777777" w:rsidR="001C6501" w:rsidRPr="002C70E8" w:rsidRDefault="001C6501" w:rsidP="002C70E8">
            <w:pPr>
              <w:pStyle w:val="TableParagraph"/>
              <w:spacing w:before="13"/>
              <w:ind w:left="298"/>
              <w:jc w:val="right"/>
              <w:rPr>
                <w:rFonts w:ascii="Arial" w:eastAsia="Arial" w:hAnsi="Arial" w:cs="Arial"/>
                <w:sz w:val="16"/>
                <w:szCs w:val="16"/>
              </w:rPr>
            </w:pPr>
            <w:r w:rsidRPr="002C70E8">
              <w:rPr>
                <w:rFonts w:ascii="Arial"/>
                <w:spacing w:val="-1"/>
                <w:sz w:val="16"/>
                <w:szCs w:val="16"/>
              </w:rPr>
              <w:t>30%</w:t>
            </w:r>
          </w:p>
        </w:tc>
        <w:tc>
          <w:tcPr>
            <w:tcW w:w="708" w:type="dxa"/>
            <w:tcBorders>
              <w:top w:val="single" w:sz="2" w:space="0" w:color="000000"/>
              <w:left w:val="single" w:sz="9" w:space="0" w:color="C0C0C0"/>
              <w:bottom w:val="single" w:sz="2" w:space="0" w:color="000000"/>
              <w:right w:val="single" w:sz="9" w:space="0" w:color="C0C0C0"/>
            </w:tcBorders>
          </w:tcPr>
          <w:p w14:paraId="38FF7303" w14:textId="77777777" w:rsidR="001C6501" w:rsidRPr="002C70E8" w:rsidRDefault="001C6501" w:rsidP="002C70E8">
            <w:pPr>
              <w:pStyle w:val="TableParagraph"/>
              <w:spacing w:before="13"/>
              <w:ind w:left="298"/>
              <w:jc w:val="right"/>
              <w:rPr>
                <w:rFonts w:ascii="Arial" w:eastAsia="Arial" w:hAnsi="Arial" w:cs="Arial"/>
                <w:sz w:val="16"/>
                <w:szCs w:val="16"/>
              </w:rPr>
            </w:pPr>
            <w:r w:rsidRPr="002C70E8">
              <w:rPr>
                <w:rFonts w:ascii="Arial"/>
                <w:spacing w:val="-1"/>
                <w:sz w:val="16"/>
                <w:szCs w:val="16"/>
              </w:rPr>
              <w:t>10%</w:t>
            </w:r>
          </w:p>
        </w:tc>
        <w:tc>
          <w:tcPr>
            <w:tcW w:w="709" w:type="dxa"/>
            <w:tcBorders>
              <w:top w:val="single" w:sz="2" w:space="0" w:color="000000"/>
              <w:left w:val="single" w:sz="9" w:space="0" w:color="C0C0C0"/>
              <w:bottom w:val="single" w:sz="2" w:space="0" w:color="000000"/>
              <w:right w:val="single" w:sz="9" w:space="0" w:color="333333"/>
            </w:tcBorders>
          </w:tcPr>
          <w:p w14:paraId="3AEBFEE0" w14:textId="77777777" w:rsidR="001C6501" w:rsidRPr="002C70E8" w:rsidRDefault="001C6501" w:rsidP="002C70E8">
            <w:pPr>
              <w:pStyle w:val="TableParagraph"/>
              <w:spacing w:before="13"/>
              <w:ind w:left="298"/>
              <w:jc w:val="right"/>
              <w:rPr>
                <w:rFonts w:ascii="Arial" w:eastAsia="Arial" w:hAnsi="Arial" w:cs="Arial"/>
                <w:sz w:val="16"/>
                <w:szCs w:val="16"/>
              </w:rPr>
            </w:pPr>
            <w:r w:rsidRPr="002C70E8">
              <w:rPr>
                <w:rFonts w:ascii="Arial"/>
                <w:spacing w:val="-1"/>
                <w:sz w:val="16"/>
                <w:szCs w:val="16"/>
              </w:rPr>
              <w:t>10%</w:t>
            </w:r>
          </w:p>
        </w:tc>
        <w:tc>
          <w:tcPr>
            <w:tcW w:w="1701" w:type="dxa"/>
            <w:tcBorders>
              <w:top w:val="single" w:sz="2" w:space="0" w:color="000000"/>
              <w:left w:val="single" w:sz="9" w:space="0" w:color="333333"/>
              <w:bottom w:val="single" w:sz="2" w:space="0" w:color="000000"/>
              <w:right w:val="single" w:sz="9" w:space="0" w:color="333333"/>
            </w:tcBorders>
          </w:tcPr>
          <w:p w14:paraId="0A9DA77A" w14:textId="77777777" w:rsidR="001C6501" w:rsidRPr="002C70E8" w:rsidRDefault="001C6501" w:rsidP="002C70E8">
            <w:pPr>
              <w:pStyle w:val="TableParagraph"/>
              <w:spacing w:line="224" w:lineRule="exact"/>
              <w:ind w:left="670"/>
              <w:jc w:val="right"/>
              <w:rPr>
                <w:rFonts w:ascii="Arial" w:eastAsia="Arial" w:hAnsi="Arial" w:cs="Arial"/>
                <w:sz w:val="16"/>
                <w:szCs w:val="16"/>
              </w:rPr>
            </w:pPr>
            <w:r w:rsidRPr="002C70E8">
              <w:rPr>
                <w:rFonts w:ascii="Arial"/>
                <w:sz w:val="16"/>
                <w:szCs w:val="16"/>
              </w:rPr>
              <w:t>199</w:t>
            </w:r>
          </w:p>
        </w:tc>
      </w:tr>
      <w:tr w:rsidR="002C70E8" w14:paraId="6C7B135C" w14:textId="77777777" w:rsidTr="006B1840">
        <w:trPr>
          <w:trHeight w:hRule="exact" w:val="289"/>
        </w:trPr>
        <w:tc>
          <w:tcPr>
            <w:tcW w:w="1062" w:type="dxa"/>
            <w:vMerge/>
            <w:tcBorders>
              <w:left w:val="single" w:sz="9" w:space="0" w:color="333333"/>
              <w:bottom w:val="single" w:sz="9" w:space="0" w:color="333333"/>
              <w:right w:val="single" w:sz="9" w:space="0" w:color="333333"/>
            </w:tcBorders>
          </w:tcPr>
          <w:p w14:paraId="62C18645" w14:textId="77777777" w:rsidR="001C6501" w:rsidRPr="002C70E8" w:rsidRDefault="001C6501" w:rsidP="001C6501">
            <w:pPr>
              <w:rPr>
                <w:sz w:val="16"/>
                <w:szCs w:val="16"/>
              </w:rPr>
            </w:pPr>
          </w:p>
        </w:tc>
        <w:tc>
          <w:tcPr>
            <w:tcW w:w="3119" w:type="dxa"/>
            <w:tcBorders>
              <w:top w:val="single" w:sz="2" w:space="0" w:color="000000"/>
              <w:left w:val="single" w:sz="9" w:space="0" w:color="333333"/>
              <w:bottom w:val="single" w:sz="9" w:space="0" w:color="333333"/>
              <w:right w:val="single" w:sz="9" w:space="0" w:color="000000"/>
            </w:tcBorders>
          </w:tcPr>
          <w:p w14:paraId="3548EF51" w14:textId="77777777" w:rsidR="001C6501" w:rsidRPr="002C70E8" w:rsidRDefault="001C6501" w:rsidP="001C6501">
            <w:pPr>
              <w:pStyle w:val="TableParagraph"/>
              <w:spacing w:before="40"/>
              <w:ind w:left="27"/>
              <w:rPr>
                <w:rFonts w:ascii="Arial" w:eastAsia="Arial" w:hAnsi="Arial" w:cs="Arial"/>
                <w:sz w:val="16"/>
                <w:szCs w:val="16"/>
              </w:rPr>
            </w:pPr>
            <w:r w:rsidRPr="002C70E8">
              <w:rPr>
                <w:rFonts w:ascii="Arial"/>
                <w:b/>
                <w:sz w:val="16"/>
                <w:szCs w:val="16"/>
              </w:rPr>
              <w:t>sub</w:t>
            </w:r>
            <w:r w:rsidRPr="002C70E8">
              <w:rPr>
                <w:rFonts w:ascii="Arial"/>
                <w:b/>
                <w:spacing w:val="-1"/>
                <w:sz w:val="16"/>
                <w:szCs w:val="16"/>
              </w:rPr>
              <w:t xml:space="preserve"> total</w:t>
            </w:r>
          </w:p>
        </w:tc>
        <w:tc>
          <w:tcPr>
            <w:tcW w:w="1417" w:type="dxa"/>
            <w:tcBorders>
              <w:top w:val="single" w:sz="2" w:space="0" w:color="000000"/>
              <w:left w:val="single" w:sz="9" w:space="0" w:color="000000"/>
              <w:bottom w:val="single" w:sz="9" w:space="0" w:color="333333"/>
              <w:right w:val="single" w:sz="9" w:space="0" w:color="C0C0C0"/>
            </w:tcBorders>
          </w:tcPr>
          <w:p w14:paraId="4A11BFA1" w14:textId="77777777" w:rsidR="001C6501" w:rsidRPr="002C70E8" w:rsidRDefault="001C6501" w:rsidP="002C70E8">
            <w:pPr>
              <w:pStyle w:val="TableParagraph"/>
              <w:spacing w:before="40"/>
              <w:ind w:left="504"/>
              <w:jc w:val="right"/>
              <w:rPr>
                <w:rFonts w:ascii="Arial" w:eastAsia="Arial" w:hAnsi="Arial" w:cs="Arial"/>
                <w:sz w:val="16"/>
                <w:szCs w:val="16"/>
              </w:rPr>
            </w:pPr>
            <w:r w:rsidRPr="002C70E8">
              <w:rPr>
                <w:rFonts w:ascii="Arial"/>
                <w:b/>
                <w:spacing w:val="-1"/>
                <w:sz w:val="16"/>
                <w:szCs w:val="16"/>
              </w:rPr>
              <w:t>3,803</w:t>
            </w:r>
          </w:p>
        </w:tc>
        <w:tc>
          <w:tcPr>
            <w:tcW w:w="1417" w:type="dxa"/>
            <w:tcBorders>
              <w:top w:val="single" w:sz="2" w:space="0" w:color="000000"/>
              <w:left w:val="single" w:sz="9" w:space="0" w:color="C0C0C0"/>
              <w:bottom w:val="single" w:sz="9" w:space="0" w:color="333333"/>
              <w:right w:val="single" w:sz="9" w:space="0" w:color="000000"/>
            </w:tcBorders>
          </w:tcPr>
          <w:p w14:paraId="25F16F16" w14:textId="77777777" w:rsidR="001C6501" w:rsidRPr="002C70E8" w:rsidRDefault="001C6501" w:rsidP="002C70E8">
            <w:pPr>
              <w:pStyle w:val="TableParagraph"/>
              <w:spacing w:before="40"/>
              <w:ind w:left="504"/>
              <w:jc w:val="right"/>
              <w:rPr>
                <w:rFonts w:ascii="Arial" w:eastAsia="Arial" w:hAnsi="Arial" w:cs="Arial"/>
                <w:sz w:val="16"/>
                <w:szCs w:val="16"/>
              </w:rPr>
            </w:pPr>
            <w:r w:rsidRPr="002C70E8">
              <w:rPr>
                <w:rFonts w:ascii="Arial"/>
                <w:b/>
                <w:spacing w:val="-1"/>
                <w:sz w:val="16"/>
                <w:szCs w:val="16"/>
              </w:rPr>
              <w:t>3,500</w:t>
            </w:r>
          </w:p>
        </w:tc>
        <w:tc>
          <w:tcPr>
            <w:tcW w:w="1418" w:type="dxa"/>
            <w:tcBorders>
              <w:top w:val="single" w:sz="2" w:space="0" w:color="000000"/>
              <w:left w:val="single" w:sz="9" w:space="0" w:color="000000"/>
              <w:bottom w:val="single" w:sz="9" w:space="0" w:color="333333"/>
              <w:right w:val="single" w:sz="9" w:space="0" w:color="333333"/>
            </w:tcBorders>
          </w:tcPr>
          <w:p w14:paraId="3A3F728A" w14:textId="77777777" w:rsidR="001C6501" w:rsidRPr="002C70E8" w:rsidRDefault="001C6501" w:rsidP="002C70E8">
            <w:pPr>
              <w:pStyle w:val="TableParagraph"/>
              <w:spacing w:before="40"/>
              <w:ind w:left="281"/>
              <w:jc w:val="right"/>
              <w:rPr>
                <w:rFonts w:ascii="Arial" w:eastAsia="Arial" w:hAnsi="Arial" w:cs="Arial"/>
                <w:sz w:val="16"/>
                <w:szCs w:val="16"/>
              </w:rPr>
            </w:pPr>
            <w:r w:rsidRPr="002C70E8">
              <w:rPr>
                <w:rFonts w:ascii="Arial"/>
                <w:b/>
                <w:spacing w:val="-1"/>
                <w:sz w:val="16"/>
                <w:szCs w:val="16"/>
              </w:rPr>
              <w:t>138,869</w:t>
            </w:r>
          </w:p>
        </w:tc>
        <w:tc>
          <w:tcPr>
            <w:tcW w:w="1276" w:type="dxa"/>
            <w:tcBorders>
              <w:top w:val="single" w:sz="2" w:space="0" w:color="000000"/>
              <w:left w:val="single" w:sz="9" w:space="0" w:color="333333"/>
              <w:bottom w:val="single" w:sz="9" w:space="0" w:color="333333"/>
              <w:right w:val="single" w:sz="9" w:space="0" w:color="333333"/>
            </w:tcBorders>
          </w:tcPr>
          <w:p w14:paraId="2F19DFEA" w14:textId="77777777" w:rsidR="001C6501" w:rsidRPr="002C70E8" w:rsidRDefault="001C6501" w:rsidP="002C70E8">
            <w:pPr>
              <w:pStyle w:val="TableParagraph"/>
              <w:spacing w:before="40"/>
              <w:ind w:left="393"/>
              <w:jc w:val="right"/>
              <w:rPr>
                <w:rFonts w:ascii="Arial" w:eastAsia="Arial" w:hAnsi="Arial" w:cs="Arial"/>
                <w:sz w:val="16"/>
                <w:szCs w:val="16"/>
              </w:rPr>
            </w:pPr>
            <w:r w:rsidRPr="002C70E8">
              <w:rPr>
                <w:rFonts w:ascii="Arial"/>
                <w:b/>
                <w:spacing w:val="-1"/>
                <w:sz w:val="16"/>
                <w:szCs w:val="16"/>
              </w:rPr>
              <w:t>86,447</w:t>
            </w:r>
          </w:p>
        </w:tc>
        <w:tc>
          <w:tcPr>
            <w:tcW w:w="709" w:type="dxa"/>
            <w:tcBorders>
              <w:top w:val="single" w:sz="2" w:space="0" w:color="000000"/>
              <w:left w:val="single" w:sz="9" w:space="0" w:color="333333"/>
              <w:bottom w:val="single" w:sz="9" w:space="0" w:color="808080"/>
              <w:right w:val="single" w:sz="9" w:space="0" w:color="C0C0C0"/>
            </w:tcBorders>
          </w:tcPr>
          <w:p w14:paraId="0EAFEE4D" w14:textId="77777777" w:rsidR="001C6501" w:rsidRPr="002C70E8" w:rsidRDefault="001C6501" w:rsidP="002C70E8">
            <w:pPr>
              <w:pStyle w:val="TableParagraph"/>
              <w:spacing w:before="58"/>
              <w:ind w:left="273"/>
              <w:jc w:val="right"/>
              <w:rPr>
                <w:rFonts w:ascii="Arial" w:eastAsia="Arial" w:hAnsi="Arial" w:cs="Arial"/>
                <w:sz w:val="16"/>
                <w:szCs w:val="16"/>
              </w:rPr>
            </w:pPr>
            <w:r w:rsidRPr="002C70E8">
              <w:rPr>
                <w:rFonts w:ascii="Arial"/>
                <w:b/>
                <w:sz w:val="16"/>
                <w:szCs w:val="16"/>
              </w:rPr>
              <w:t>3.1%</w:t>
            </w:r>
          </w:p>
        </w:tc>
        <w:tc>
          <w:tcPr>
            <w:tcW w:w="709" w:type="dxa"/>
            <w:tcBorders>
              <w:top w:val="single" w:sz="2" w:space="0" w:color="000000"/>
              <w:left w:val="single" w:sz="9" w:space="0" w:color="C0C0C0"/>
              <w:bottom w:val="single" w:sz="9" w:space="0" w:color="808080"/>
              <w:right w:val="single" w:sz="9" w:space="0" w:color="C0C0C0"/>
            </w:tcBorders>
          </w:tcPr>
          <w:p w14:paraId="0E55AEBB" w14:textId="77777777" w:rsidR="001C6501" w:rsidRPr="002C70E8" w:rsidRDefault="001C6501" w:rsidP="002C70E8">
            <w:pPr>
              <w:pStyle w:val="TableParagraph"/>
              <w:spacing w:before="58"/>
              <w:ind w:left="224"/>
              <w:jc w:val="right"/>
              <w:rPr>
                <w:rFonts w:ascii="Arial" w:eastAsia="Arial" w:hAnsi="Arial" w:cs="Arial"/>
                <w:sz w:val="16"/>
                <w:szCs w:val="16"/>
              </w:rPr>
            </w:pPr>
            <w:r w:rsidRPr="002C70E8">
              <w:rPr>
                <w:rFonts w:ascii="Arial"/>
                <w:b/>
                <w:sz w:val="16"/>
                <w:szCs w:val="16"/>
              </w:rPr>
              <w:t>23.1%</w:t>
            </w:r>
          </w:p>
        </w:tc>
        <w:tc>
          <w:tcPr>
            <w:tcW w:w="709" w:type="dxa"/>
            <w:tcBorders>
              <w:top w:val="single" w:sz="2" w:space="0" w:color="000000"/>
              <w:left w:val="single" w:sz="9" w:space="0" w:color="C0C0C0"/>
              <w:bottom w:val="single" w:sz="9" w:space="0" w:color="808080"/>
              <w:right w:val="single" w:sz="9" w:space="0" w:color="C0C0C0"/>
            </w:tcBorders>
          </w:tcPr>
          <w:p w14:paraId="081CFC9A" w14:textId="77777777" w:rsidR="001C6501" w:rsidRPr="002C70E8" w:rsidRDefault="001C6501" w:rsidP="002C70E8">
            <w:pPr>
              <w:pStyle w:val="TableParagraph"/>
              <w:spacing w:before="58"/>
              <w:ind w:left="224"/>
              <w:jc w:val="right"/>
              <w:rPr>
                <w:rFonts w:ascii="Arial" w:eastAsia="Arial" w:hAnsi="Arial" w:cs="Arial"/>
                <w:sz w:val="16"/>
                <w:szCs w:val="16"/>
              </w:rPr>
            </w:pPr>
            <w:r w:rsidRPr="002C70E8">
              <w:rPr>
                <w:rFonts w:ascii="Arial"/>
                <w:b/>
                <w:sz w:val="16"/>
                <w:szCs w:val="16"/>
              </w:rPr>
              <w:t>44.1%</w:t>
            </w:r>
          </w:p>
        </w:tc>
        <w:tc>
          <w:tcPr>
            <w:tcW w:w="708" w:type="dxa"/>
            <w:tcBorders>
              <w:top w:val="single" w:sz="2" w:space="0" w:color="000000"/>
              <w:left w:val="single" w:sz="9" w:space="0" w:color="C0C0C0"/>
              <w:bottom w:val="single" w:sz="9" w:space="0" w:color="808080"/>
              <w:right w:val="single" w:sz="9" w:space="0" w:color="C0C0C0"/>
            </w:tcBorders>
          </w:tcPr>
          <w:p w14:paraId="5B134A0E" w14:textId="77777777" w:rsidR="001C6501" w:rsidRPr="002C70E8" w:rsidRDefault="001C6501" w:rsidP="002C70E8">
            <w:pPr>
              <w:pStyle w:val="TableParagraph"/>
              <w:spacing w:before="58"/>
              <w:ind w:left="224"/>
              <w:jc w:val="right"/>
              <w:rPr>
                <w:rFonts w:ascii="Arial" w:eastAsia="Arial" w:hAnsi="Arial" w:cs="Arial"/>
                <w:sz w:val="16"/>
                <w:szCs w:val="16"/>
              </w:rPr>
            </w:pPr>
            <w:r w:rsidRPr="002C70E8">
              <w:rPr>
                <w:rFonts w:ascii="Arial"/>
                <w:b/>
                <w:sz w:val="16"/>
                <w:szCs w:val="16"/>
              </w:rPr>
              <w:t>19.8%</w:t>
            </w:r>
          </w:p>
        </w:tc>
        <w:tc>
          <w:tcPr>
            <w:tcW w:w="709" w:type="dxa"/>
            <w:tcBorders>
              <w:top w:val="single" w:sz="2" w:space="0" w:color="000000"/>
              <w:left w:val="single" w:sz="9" w:space="0" w:color="C0C0C0"/>
              <w:bottom w:val="single" w:sz="9" w:space="0" w:color="808080"/>
              <w:right w:val="single" w:sz="9" w:space="0" w:color="333333"/>
            </w:tcBorders>
          </w:tcPr>
          <w:p w14:paraId="0E0CD813" w14:textId="77777777" w:rsidR="001C6501" w:rsidRPr="002C70E8" w:rsidRDefault="001C6501" w:rsidP="002C70E8">
            <w:pPr>
              <w:pStyle w:val="TableParagraph"/>
              <w:spacing w:before="58"/>
              <w:ind w:left="224"/>
              <w:jc w:val="right"/>
              <w:rPr>
                <w:rFonts w:ascii="Arial" w:eastAsia="Arial" w:hAnsi="Arial" w:cs="Arial"/>
                <w:sz w:val="16"/>
                <w:szCs w:val="16"/>
              </w:rPr>
            </w:pPr>
            <w:r w:rsidRPr="002C70E8">
              <w:rPr>
                <w:rFonts w:ascii="Arial"/>
                <w:b/>
                <w:sz w:val="16"/>
                <w:szCs w:val="16"/>
              </w:rPr>
              <w:t>10.0%</w:t>
            </w:r>
          </w:p>
        </w:tc>
        <w:tc>
          <w:tcPr>
            <w:tcW w:w="1701" w:type="dxa"/>
            <w:tcBorders>
              <w:top w:val="single" w:sz="2" w:space="0" w:color="000000"/>
              <w:left w:val="single" w:sz="9" w:space="0" w:color="333333"/>
              <w:bottom w:val="single" w:sz="9" w:space="0" w:color="333333"/>
              <w:right w:val="single" w:sz="9" w:space="0" w:color="333333"/>
            </w:tcBorders>
          </w:tcPr>
          <w:p w14:paraId="1DCA1457" w14:textId="77777777" w:rsidR="001C6501" w:rsidRPr="002C70E8" w:rsidRDefault="001C6501" w:rsidP="002C70E8">
            <w:pPr>
              <w:pStyle w:val="TableParagraph"/>
              <w:spacing w:before="40"/>
              <w:ind w:left="393"/>
              <w:jc w:val="right"/>
              <w:rPr>
                <w:rFonts w:ascii="Arial" w:eastAsia="Arial" w:hAnsi="Arial" w:cs="Arial"/>
                <w:sz w:val="16"/>
                <w:szCs w:val="16"/>
              </w:rPr>
            </w:pPr>
            <w:r w:rsidRPr="002C70E8">
              <w:rPr>
                <w:rFonts w:ascii="Arial"/>
                <w:b/>
                <w:spacing w:val="-1"/>
                <w:sz w:val="16"/>
                <w:szCs w:val="16"/>
              </w:rPr>
              <w:t>41,319</w:t>
            </w:r>
          </w:p>
        </w:tc>
      </w:tr>
      <w:tr w:rsidR="002C70E8" w14:paraId="6247C490" w14:textId="77777777" w:rsidTr="006B1840">
        <w:trPr>
          <w:trHeight w:hRule="exact" w:val="109"/>
        </w:trPr>
        <w:tc>
          <w:tcPr>
            <w:tcW w:w="1062" w:type="dxa"/>
            <w:vMerge w:val="restart"/>
            <w:tcBorders>
              <w:top w:val="single" w:sz="9" w:space="0" w:color="333333"/>
              <w:left w:val="single" w:sz="9" w:space="0" w:color="333333"/>
              <w:right w:val="single" w:sz="9" w:space="0" w:color="333333"/>
            </w:tcBorders>
          </w:tcPr>
          <w:p w14:paraId="48A2B4BF" w14:textId="77777777" w:rsidR="001C6501" w:rsidRPr="002C70E8" w:rsidRDefault="001C6501" w:rsidP="001C6501">
            <w:pPr>
              <w:pStyle w:val="TableParagraph"/>
              <w:spacing w:before="177"/>
              <w:ind w:left="27"/>
              <w:rPr>
                <w:rFonts w:ascii="Arial" w:eastAsia="Arial" w:hAnsi="Arial" w:cs="Arial"/>
                <w:sz w:val="16"/>
                <w:szCs w:val="16"/>
              </w:rPr>
            </w:pPr>
            <w:r w:rsidRPr="002C70E8">
              <w:rPr>
                <w:rFonts w:ascii="Arial"/>
                <w:b/>
                <w:sz w:val="16"/>
                <w:szCs w:val="16"/>
              </w:rPr>
              <w:t>Roads</w:t>
            </w:r>
          </w:p>
        </w:tc>
        <w:tc>
          <w:tcPr>
            <w:tcW w:w="3119" w:type="dxa"/>
            <w:tcBorders>
              <w:top w:val="single" w:sz="9" w:space="0" w:color="333333"/>
              <w:left w:val="single" w:sz="9" w:space="0" w:color="333333"/>
              <w:bottom w:val="single" w:sz="2" w:space="0" w:color="000000"/>
              <w:right w:val="single" w:sz="9" w:space="0" w:color="000000"/>
            </w:tcBorders>
          </w:tcPr>
          <w:p w14:paraId="24FCD4B0" w14:textId="77777777" w:rsidR="001C6501" w:rsidRPr="002C70E8" w:rsidRDefault="001C6501" w:rsidP="001C6501">
            <w:pPr>
              <w:rPr>
                <w:sz w:val="16"/>
                <w:szCs w:val="16"/>
              </w:rPr>
            </w:pPr>
          </w:p>
        </w:tc>
        <w:tc>
          <w:tcPr>
            <w:tcW w:w="1417" w:type="dxa"/>
            <w:tcBorders>
              <w:top w:val="single" w:sz="9" w:space="0" w:color="333333"/>
              <w:left w:val="single" w:sz="9" w:space="0" w:color="000000"/>
              <w:bottom w:val="single" w:sz="2" w:space="0" w:color="000000"/>
              <w:right w:val="single" w:sz="9" w:space="0" w:color="C0C0C0"/>
            </w:tcBorders>
          </w:tcPr>
          <w:p w14:paraId="12781A7D" w14:textId="77777777" w:rsidR="001C6501" w:rsidRPr="002C70E8" w:rsidRDefault="001C6501" w:rsidP="002C70E8">
            <w:pPr>
              <w:jc w:val="right"/>
              <w:rPr>
                <w:sz w:val="16"/>
                <w:szCs w:val="16"/>
              </w:rPr>
            </w:pPr>
          </w:p>
        </w:tc>
        <w:tc>
          <w:tcPr>
            <w:tcW w:w="1417" w:type="dxa"/>
            <w:tcBorders>
              <w:top w:val="single" w:sz="9" w:space="0" w:color="333333"/>
              <w:left w:val="single" w:sz="9" w:space="0" w:color="C0C0C0"/>
              <w:bottom w:val="single" w:sz="2" w:space="0" w:color="000000"/>
              <w:right w:val="single" w:sz="9" w:space="0" w:color="000000"/>
            </w:tcBorders>
          </w:tcPr>
          <w:p w14:paraId="249CE9E1" w14:textId="77777777" w:rsidR="001C6501" w:rsidRPr="002C70E8" w:rsidRDefault="001C6501" w:rsidP="002C70E8">
            <w:pPr>
              <w:jc w:val="right"/>
              <w:rPr>
                <w:sz w:val="16"/>
                <w:szCs w:val="16"/>
              </w:rPr>
            </w:pPr>
          </w:p>
        </w:tc>
        <w:tc>
          <w:tcPr>
            <w:tcW w:w="1418" w:type="dxa"/>
            <w:tcBorders>
              <w:top w:val="single" w:sz="9" w:space="0" w:color="333333"/>
              <w:left w:val="single" w:sz="9" w:space="0" w:color="000000"/>
              <w:bottom w:val="single" w:sz="2" w:space="0" w:color="000000"/>
              <w:right w:val="single" w:sz="9" w:space="0" w:color="333333"/>
            </w:tcBorders>
          </w:tcPr>
          <w:p w14:paraId="32C5269E" w14:textId="77777777" w:rsidR="001C6501" w:rsidRPr="002C70E8" w:rsidRDefault="001C6501" w:rsidP="002C70E8">
            <w:pPr>
              <w:jc w:val="right"/>
              <w:rPr>
                <w:sz w:val="16"/>
                <w:szCs w:val="16"/>
              </w:rPr>
            </w:pPr>
          </w:p>
        </w:tc>
        <w:tc>
          <w:tcPr>
            <w:tcW w:w="1276" w:type="dxa"/>
            <w:tcBorders>
              <w:top w:val="single" w:sz="9" w:space="0" w:color="333333"/>
              <w:left w:val="single" w:sz="9" w:space="0" w:color="333333"/>
              <w:bottom w:val="single" w:sz="2" w:space="0" w:color="000000"/>
              <w:right w:val="single" w:sz="9" w:space="0" w:color="333333"/>
            </w:tcBorders>
          </w:tcPr>
          <w:p w14:paraId="506758FC" w14:textId="77777777" w:rsidR="001C6501" w:rsidRPr="002C70E8" w:rsidRDefault="001C6501" w:rsidP="002C70E8">
            <w:pPr>
              <w:jc w:val="right"/>
              <w:rPr>
                <w:sz w:val="16"/>
                <w:szCs w:val="16"/>
              </w:rPr>
            </w:pPr>
          </w:p>
        </w:tc>
        <w:tc>
          <w:tcPr>
            <w:tcW w:w="709" w:type="dxa"/>
            <w:tcBorders>
              <w:top w:val="single" w:sz="9" w:space="0" w:color="808080"/>
              <w:left w:val="single" w:sz="9" w:space="0" w:color="333333"/>
              <w:bottom w:val="single" w:sz="2" w:space="0" w:color="000000"/>
              <w:right w:val="single" w:sz="9" w:space="0" w:color="C0C0C0"/>
            </w:tcBorders>
          </w:tcPr>
          <w:p w14:paraId="27CD905E" w14:textId="77777777" w:rsidR="001C6501" w:rsidRPr="002C70E8" w:rsidRDefault="001C6501" w:rsidP="002C70E8">
            <w:pPr>
              <w:jc w:val="right"/>
              <w:rPr>
                <w:sz w:val="16"/>
                <w:szCs w:val="16"/>
              </w:rPr>
            </w:pPr>
          </w:p>
        </w:tc>
        <w:tc>
          <w:tcPr>
            <w:tcW w:w="709" w:type="dxa"/>
            <w:tcBorders>
              <w:top w:val="single" w:sz="9" w:space="0" w:color="808080"/>
              <w:left w:val="single" w:sz="9" w:space="0" w:color="C0C0C0"/>
              <w:bottom w:val="single" w:sz="2" w:space="0" w:color="000000"/>
              <w:right w:val="single" w:sz="9" w:space="0" w:color="C0C0C0"/>
            </w:tcBorders>
          </w:tcPr>
          <w:p w14:paraId="1428314E" w14:textId="77777777" w:rsidR="001C6501" w:rsidRPr="002C70E8" w:rsidRDefault="001C6501" w:rsidP="002C70E8">
            <w:pPr>
              <w:jc w:val="right"/>
              <w:rPr>
                <w:sz w:val="16"/>
                <w:szCs w:val="16"/>
              </w:rPr>
            </w:pPr>
          </w:p>
        </w:tc>
        <w:tc>
          <w:tcPr>
            <w:tcW w:w="709" w:type="dxa"/>
            <w:tcBorders>
              <w:top w:val="single" w:sz="9" w:space="0" w:color="808080"/>
              <w:left w:val="single" w:sz="9" w:space="0" w:color="C0C0C0"/>
              <w:bottom w:val="single" w:sz="2" w:space="0" w:color="000000"/>
              <w:right w:val="single" w:sz="9" w:space="0" w:color="C0C0C0"/>
            </w:tcBorders>
          </w:tcPr>
          <w:p w14:paraId="64F837EE" w14:textId="77777777" w:rsidR="001C6501" w:rsidRPr="002C70E8" w:rsidRDefault="001C6501" w:rsidP="002C70E8">
            <w:pPr>
              <w:jc w:val="right"/>
              <w:rPr>
                <w:sz w:val="16"/>
                <w:szCs w:val="16"/>
              </w:rPr>
            </w:pPr>
          </w:p>
        </w:tc>
        <w:tc>
          <w:tcPr>
            <w:tcW w:w="708" w:type="dxa"/>
            <w:tcBorders>
              <w:top w:val="single" w:sz="9" w:space="0" w:color="808080"/>
              <w:left w:val="single" w:sz="9" w:space="0" w:color="C0C0C0"/>
              <w:bottom w:val="single" w:sz="2" w:space="0" w:color="000000"/>
              <w:right w:val="single" w:sz="9" w:space="0" w:color="C0C0C0"/>
            </w:tcBorders>
          </w:tcPr>
          <w:p w14:paraId="218680F3" w14:textId="77777777" w:rsidR="001C6501" w:rsidRPr="002C70E8" w:rsidRDefault="001C6501" w:rsidP="002C70E8">
            <w:pPr>
              <w:jc w:val="right"/>
              <w:rPr>
                <w:sz w:val="16"/>
                <w:szCs w:val="16"/>
              </w:rPr>
            </w:pPr>
          </w:p>
        </w:tc>
        <w:tc>
          <w:tcPr>
            <w:tcW w:w="709" w:type="dxa"/>
            <w:tcBorders>
              <w:top w:val="single" w:sz="9" w:space="0" w:color="808080"/>
              <w:left w:val="single" w:sz="9" w:space="0" w:color="C0C0C0"/>
              <w:bottom w:val="single" w:sz="2" w:space="0" w:color="000000"/>
              <w:right w:val="single" w:sz="9" w:space="0" w:color="333333"/>
            </w:tcBorders>
          </w:tcPr>
          <w:p w14:paraId="400DBBCD" w14:textId="77777777" w:rsidR="001C6501" w:rsidRPr="002C70E8" w:rsidRDefault="001C6501" w:rsidP="002C70E8">
            <w:pPr>
              <w:jc w:val="right"/>
              <w:rPr>
                <w:sz w:val="16"/>
                <w:szCs w:val="16"/>
              </w:rPr>
            </w:pPr>
          </w:p>
        </w:tc>
        <w:tc>
          <w:tcPr>
            <w:tcW w:w="1701" w:type="dxa"/>
            <w:tcBorders>
              <w:top w:val="single" w:sz="9" w:space="0" w:color="333333"/>
              <w:left w:val="single" w:sz="9" w:space="0" w:color="333333"/>
              <w:bottom w:val="single" w:sz="2" w:space="0" w:color="000000"/>
              <w:right w:val="single" w:sz="9" w:space="0" w:color="333333"/>
            </w:tcBorders>
          </w:tcPr>
          <w:p w14:paraId="69EA72EC" w14:textId="77777777" w:rsidR="001C6501" w:rsidRPr="002C70E8" w:rsidRDefault="001C6501" w:rsidP="002C70E8">
            <w:pPr>
              <w:jc w:val="right"/>
              <w:rPr>
                <w:sz w:val="16"/>
                <w:szCs w:val="16"/>
              </w:rPr>
            </w:pPr>
          </w:p>
        </w:tc>
      </w:tr>
      <w:tr w:rsidR="002C70E8" w14:paraId="4CD7511D" w14:textId="77777777" w:rsidTr="006B1840">
        <w:trPr>
          <w:trHeight w:hRule="exact" w:val="243"/>
        </w:trPr>
        <w:tc>
          <w:tcPr>
            <w:tcW w:w="1062" w:type="dxa"/>
            <w:vMerge/>
            <w:tcBorders>
              <w:left w:val="single" w:sz="9" w:space="0" w:color="333333"/>
              <w:right w:val="single" w:sz="9" w:space="0" w:color="333333"/>
            </w:tcBorders>
          </w:tcPr>
          <w:p w14:paraId="764CB9AD" w14:textId="77777777" w:rsidR="001C6501" w:rsidRPr="002C70E8" w:rsidRDefault="001C6501" w:rsidP="001C6501">
            <w:pPr>
              <w:rPr>
                <w:sz w:val="16"/>
                <w:szCs w:val="16"/>
              </w:rPr>
            </w:pPr>
          </w:p>
        </w:tc>
        <w:tc>
          <w:tcPr>
            <w:tcW w:w="3119" w:type="dxa"/>
            <w:tcBorders>
              <w:top w:val="single" w:sz="2" w:space="0" w:color="000000"/>
              <w:left w:val="single" w:sz="9" w:space="0" w:color="333333"/>
              <w:bottom w:val="single" w:sz="2" w:space="0" w:color="000000"/>
              <w:right w:val="single" w:sz="9" w:space="0" w:color="000000"/>
            </w:tcBorders>
          </w:tcPr>
          <w:p w14:paraId="787C1B3A" w14:textId="77777777" w:rsidR="001C6501" w:rsidRPr="002C70E8" w:rsidRDefault="001C6501" w:rsidP="001C6501">
            <w:pPr>
              <w:pStyle w:val="TableParagraph"/>
              <w:spacing w:line="225" w:lineRule="exact"/>
              <w:ind w:left="27"/>
              <w:rPr>
                <w:rFonts w:ascii="Arial" w:eastAsia="Arial" w:hAnsi="Arial" w:cs="Arial"/>
                <w:sz w:val="16"/>
                <w:szCs w:val="16"/>
              </w:rPr>
            </w:pPr>
            <w:r w:rsidRPr="002C70E8">
              <w:rPr>
                <w:rFonts w:ascii="Arial"/>
                <w:sz w:val="16"/>
                <w:szCs w:val="16"/>
              </w:rPr>
              <w:t>Sealed</w:t>
            </w:r>
            <w:r w:rsidRPr="002C70E8">
              <w:rPr>
                <w:rFonts w:ascii="Arial"/>
                <w:spacing w:val="-1"/>
                <w:sz w:val="16"/>
                <w:szCs w:val="16"/>
              </w:rPr>
              <w:t xml:space="preserve"> </w:t>
            </w:r>
            <w:r w:rsidRPr="002C70E8">
              <w:rPr>
                <w:rFonts w:ascii="Arial"/>
                <w:sz w:val="16"/>
                <w:szCs w:val="16"/>
              </w:rPr>
              <w:t>Roads</w:t>
            </w:r>
          </w:p>
        </w:tc>
        <w:tc>
          <w:tcPr>
            <w:tcW w:w="1417" w:type="dxa"/>
            <w:tcBorders>
              <w:top w:val="single" w:sz="2" w:space="0" w:color="000000"/>
              <w:left w:val="single" w:sz="9" w:space="0" w:color="000000"/>
              <w:bottom w:val="single" w:sz="2" w:space="0" w:color="000000"/>
              <w:right w:val="single" w:sz="9" w:space="0" w:color="C0C0C0"/>
            </w:tcBorders>
          </w:tcPr>
          <w:p w14:paraId="4C2D8A2A" w14:textId="77777777" w:rsidR="001C6501" w:rsidRPr="002C70E8" w:rsidRDefault="001C6501" w:rsidP="002C70E8">
            <w:pPr>
              <w:pStyle w:val="TableParagraph"/>
              <w:spacing w:line="225" w:lineRule="exact"/>
              <w:ind w:left="670"/>
              <w:jc w:val="right"/>
              <w:rPr>
                <w:rFonts w:ascii="Arial" w:eastAsia="Arial" w:hAnsi="Arial" w:cs="Arial"/>
                <w:sz w:val="16"/>
                <w:szCs w:val="16"/>
              </w:rPr>
            </w:pPr>
            <w:r w:rsidRPr="002C70E8">
              <w:rPr>
                <w:rFonts w:ascii="Arial"/>
                <w:sz w:val="16"/>
                <w:szCs w:val="16"/>
              </w:rPr>
              <w:t>839</w:t>
            </w:r>
          </w:p>
        </w:tc>
        <w:tc>
          <w:tcPr>
            <w:tcW w:w="1417" w:type="dxa"/>
            <w:tcBorders>
              <w:top w:val="single" w:sz="2" w:space="0" w:color="000000"/>
              <w:left w:val="single" w:sz="9" w:space="0" w:color="C0C0C0"/>
              <w:bottom w:val="single" w:sz="2" w:space="0" w:color="000000"/>
              <w:right w:val="single" w:sz="9" w:space="0" w:color="000000"/>
            </w:tcBorders>
          </w:tcPr>
          <w:p w14:paraId="0A1A3E1C" w14:textId="77777777" w:rsidR="001C6501" w:rsidRPr="002C70E8" w:rsidRDefault="001C6501" w:rsidP="002C70E8">
            <w:pPr>
              <w:pStyle w:val="TableParagraph"/>
              <w:spacing w:line="225" w:lineRule="exact"/>
              <w:ind w:left="504"/>
              <w:jc w:val="right"/>
              <w:rPr>
                <w:rFonts w:ascii="Arial" w:eastAsia="Arial" w:hAnsi="Arial" w:cs="Arial"/>
                <w:sz w:val="16"/>
                <w:szCs w:val="16"/>
              </w:rPr>
            </w:pPr>
            <w:r w:rsidRPr="002C70E8">
              <w:rPr>
                <w:rFonts w:ascii="Arial"/>
                <w:spacing w:val="-1"/>
                <w:sz w:val="16"/>
                <w:szCs w:val="16"/>
              </w:rPr>
              <w:t>1,159</w:t>
            </w:r>
          </w:p>
        </w:tc>
        <w:tc>
          <w:tcPr>
            <w:tcW w:w="1418" w:type="dxa"/>
            <w:tcBorders>
              <w:top w:val="single" w:sz="2" w:space="0" w:color="000000"/>
              <w:left w:val="single" w:sz="9" w:space="0" w:color="000000"/>
              <w:bottom w:val="single" w:sz="2" w:space="0" w:color="000000"/>
              <w:right w:val="single" w:sz="9" w:space="0" w:color="333333"/>
            </w:tcBorders>
          </w:tcPr>
          <w:p w14:paraId="2BCD6B46" w14:textId="77777777" w:rsidR="001C6501" w:rsidRPr="002C70E8" w:rsidRDefault="001C6501" w:rsidP="002C70E8">
            <w:pPr>
              <w:pStyle w:val="TableParagraph"/>
              <w:spacing w:line="225" w:lineRule="exact"/>
              <w:ind w:left="281"/>
              <w:jc w:val="right"/>
              <w:rPr>
                <w:rFonts w:ascii="Arial" w:eastAsia="Arial" w:hAnsi="Arial" w:cs="Arial"/>
                <w:sz w:val="16"/>
                <w:szCs w:val="16"/>
              </w:rPr>
            </w:pPr>
            <w:r w:rsidRPr="002C70E8">
              <w:rPr>
                <w:rFonts w:ascii="Arial"/>
                <w:spacing w:val="-1"/>
                <w:sz w:val="16"/>
                <w:szCs w:val="16"/>
              </w:rPr>
              <w:t>395,873</w:t>
            </w:r>
          </w:p>
        </w:tc>
        <w:tc>
          <w:tcPr>
            <w:tcW w:w="1276" w:type="dxa"/>
            <w:tcBorders>
              <w:top w:val="single" w:sz="2" w:space="0" w:color="000000"/>
              <w:left w:val="single" w:sz="9" w:space="0" w:color="333333"/>
              <w:bottom w:val="single" w:sz="2" w:space="0" w:color="000000"/>
              <w:right w:val="single" w:sz="9" w:space="0" w:color="333333"/>
            </w:tcBorders>
          </w:tcPr>
          <w:p w14:paraId="029931A1" w14:textId="77777777" w:rsidR="001C6501" w:rsidRPr="002C70E8" w:rsidRDefault="001C6501" w:rsidP="002C70E8">
            <w:pPr>
              <w:pStyle w:val="TableParagraph"/>
              <w:spacing w:line="225" w:lineRule="exact"/>
              <w:ind w:left="281"/>
              <w:jc w:val="right"/>
              <w:rPr>
                <w:rFonts w:ascii="Arial" w:eastAsia="Arial" w:hAnsi="Arial" w:cs="Arial"/>
                <w:sz w:val="16"/>
                <w:szCs w:val="16"/>
              </w:rPr>
            </w:pPr>
            <w:r w:rsidRPr="002C70E8">
              <w:rPr>
                <w:rFonts w:ascii="Arial"/>
                <w:spacing w:val="-1"/>
                <w:sz w:val="16"/>
                <w:szCs w:val="16"/>
              </w:rPr>
              <w:t>280,904</w:t>
            </w:r>
          </w:p>
        </w:tc>
        <w:tc>
          <w:tcPr>
            <w:tcW w:w="709" w:type="dxa"/>
            <w:tcBorders>
              <w:top w:val="single" w:sz="2" w:space="0" w:color="000000"/>
              <w:left w:val="single" w:sz="9" w:space="0" w:color="333333"/>
              <w:bottom w:val="single" w:sz="2" w:space="0" w:color="000000"/>
              <w:right w:val="single" w:sz="9" w:space="0" w:color="C0C0C0"/>
            </w:tcBorders>
          </w:tcPr>
          <w:p w14:paraId="4A118EC2" w14:textId="77777777" w:rsidR="001C6501" w:rsidRPr="002C70E8" w:rsidRDefault="001C6501" w:rsidP="002C70E8">
            <w:pPr>
              <w:pStyle w:val="TableParagraph"/>
              <w:spacing w:before="13"/>
              <w:ind w:left="328"/>
              <w:jc w:val="right"/>
              <w:rPr>
                <w:rFonts w:ascii="Arial" w:eastAsia="Arial" w:hAnsi="Arial" w:cs="Arial"/>
                <w:sz w:val="16"/>
                <w:szCs w:val="16"/>
              </w:rPr>
            </w:pPr>
            <w:r w:rsidRPr="002C70E8">
              <w:rPr>
                <w:rFonts w:ascii="Arial"/>
                <w:spacing w:val="-1"/>
                <w:sz w:val="16"/>
                <w:szCs w:val="16"/>
              </w:rPr>
              <w:t>1%</w:t>
            </w:r>
          </w:p>
        </w:tc>
        <w:tc>
          <w:tcPr>
            <w:tcW w:w="709" w:type="dxa"/>
            <w:tcBorders>
              <w:top w:val="single" w:sz="2" w:space="0" w:color="000000"/>
              <w:left w:val="single" w:sz="9" w:space="0" w:color="C0C0C0"/>
              <w:bottom w:val="single" w:sz="2" w:space="0" w:color="000000"/>
              <w:right w:val="single" w:sz="9" w:space="0" w:color="C0C0C0"/>
            </w:tcBorders>
          </w:tcPr>
          <w:p w14:paraId="1E9E74D5" w14:textId="77777777" w:rsidR="001C6501" w:rsidRPr="002C70E8" w:rsidRDefault="001C6501" w:rsidP="002C70E8">
            <w:pPr>
              <w:pStyle w:val="TableParagraph"/>
              <w:spacing w:before="13"/>
              <w:ind w:left="298"/>
              <w:jc w:val="right"/>
              <w:rPr>
                <w:rFonts w:ascii="Arial" w:eastAsia="Arial" w:hAnsi="Arial" w:cs="Arial"/>
                <w:sz w:val="16"/>
                <w:szCs w:val="16"/>
              </w:rPr>
            </w:pPr>
            <w:r w:rsidRPr="002C70E8">
              <w:rPr>
                <w:rFonts w:ascii="Arial"/>
                <w:spacing w:val="-1"/>
                <w:sz w:val="16"/>
                <w:szCs w:val="16"/>
              </w:rPr>
              <w:t>22%</w:t>
            </w:r>
          </w:p>
        </w:tc>
        <w:tc>
          <w:tcPr>
            <w:tcW w:w="709" w:type="dxa"/>
            <w:tcBorders>
              <w:top w:val="single" w:sz="2" w:space="0" w:color="000000"/>
              <w:left w:val="single" w:sz="9" w:space="0" w:color="C0C0C0"/>
              <w:bottom w:val="single" w:sz="2" w:space="0" w:color="000000"/>
              <w:right w:val="single" w:sz="9" w:space="0" w:color="C0C0C0"/>
            </w:tcBorders>
          </w:tcPr>
          <w:p w14:paraId="3FF4DD61" w14:textId="77777777" w:rsidR="001C6501" w:rsidRPr="002C70E8" w:rsidRDefault="001C6501" w:rsidP="002C70E8">
            <w:pPr>
              <w:pStyle w:val="TableParagraph"/>
              <w:spacing w:before="13"/>
              <w:ind w:left="298"/>
              <w:jc w:val="right"/>
              <w:rPr>
                <w:rFonts w:ascii="Arial" w:eastAsia="Arial" w:hAnsi="Arial" w:cs="Arial"/>
                <w:sz w:val="16"/>
                <w:szCs w:val="16"/>
              </w:rPr>
            </w:pPr>
            <w:r w:rsidRPr="002C70E8">
              <w:rPr>
                <w:rFonts w:ascii="Arial"/>
                <w:spacing w:val="-1"/>
                <w:sz w:val="16"/>
                <w:szCs w:val="16"/>
              </w:rPr>
              <w:t>59%</w:t>
            </w:r>
          </w:p>
        </w:tc>
        <w:tc>
          <w:tcPr>
            <w:tcW w:w="708" w:type="dxa"/>
            <w:tcBorders>
              <w:top w:val="single" w:sz="2" w:space="0" w:color="000000"/>
              <w:left w:val="single" w:sz="9" w:space="0" w:color="C0C0C0"/>
              <w:bottom w:val="single" w:sz="2" w:space="0" w:color="000000"/>
              <w:right w:val="single" w:sz="9" w:space="0" w:color="C0C0C0"/>
            </w:tcBorders>
          </w:tcPr>
          <w:p w14:paraId="2FDDAF73" w14:textId="77777777" w:rsidR="001C6501" w:rsidRPr="002C70E8" w:rsidRDefault="001C6501" w:rsidP="002C70E8">
            <w:pPr>
              <w:pStyle w:val="TableParagraph"/>
              <w:spacing w:before="13"/>
              <w:ind w:left="298"/>
              <w:jc w:val="right"/>
              <w:rPr>
                <w:rFonts w:ascii="Arial" w:eastAsia="Arial" w:hAnsi="Arial" w:cs="Arial"/>
                <w:sz w:val="16"/>
                <w:szCs w:val="16"/>
              </w:rPr>
            </w:pPr>
            <w:r w:rsidRPr="002C70E8">
              <w:rPr>
                <w:rFonts w:ascii="Arial"/>
                <w:spacing w:val="-1"/>
                <w:sz w:val="16"/>
                <w:szCs w:val="16"/>
              </w:rPr>
              <w:t>18%</w:t>
            </w:r>
          </w:p>
        </w:tc>
        <w:tc>
          <w:tcPr>
            <w:tcW w:w="709" w:type="dxa"/>
            <w:tcBorders>
              <w:top w:val="single" w:sz="2" w:space="0" w:color="000000"/>
              <w:left w:val="single" w:sz="9" w:space="0" w:color="C0C0C0"/>
              <w:bottom w:val="single" w:sz="2" w:space="0" w:color="000000"/>
              <w:right w:val="single" w:sz="9" w:space="0" w:color="333333"/>
            </w:tcBorders>
          </w:tcPr>
          <w:p w14:paraId="66A0A71E" w14:textId="77777777" w:rsidR="001C6501" w:rsidRPr="002C70E8" w:rsidRDefault="001C6501" w:rsidP="002C70E8">
            <w:pPr>
              <w:pStyle w:val="TableParagraph"/>
              <w:spacing w:before="13"/>
              <w:ind w:left="328"/>
              <w:jc w:val="right"/>
              <w:rPr>
                <w:rFonts w:ascii="Arial" w:eastAsia="Arial" w:hAnsi="Arial" w:cs="Arial"/>
                <w:sz w:val="16"/>
                <w:szCs w:val="16"/>
              </w:rPr>
            </w:pPr>
            <w:r w:rsidRPr="002C70E8">
              <w:rPr>
                <w:rFonts w:ascii="Arial"/>
                <w:spacing w:val="-1"/>
                <w:sz w:val="16"/>
                <w:szCs w:val="16"/>
              </w:rPr>
              <w:t>0%</w:t>
            </w:r>
          </w:p>
        </w:tc>
        <w:tc>
          <w:tcPr>
            <w:tcW w:w="1701" w:type="dxa"/>
            <w:tcBorders>
              <w:top w:val="single" w:sz="2" w:space="0" w:color="000000"/>
              <w:left w:val="single" w:sz="9" w:space="0" w:color="333333"/>
              <w:bottom w:val="single" w:sz="2" w:space="0" w:color="000000"/>
              <w:right w:val="single" w:sz="9" w:space="0" w:color="333333"/>
            </w:tcBorders>
          </w:tcPr>
          <w:p w14:paraId="3C3809A8" w14:textId="77777777" w:rsidR="001C6501" w:rsidRPr="002C70E8" w:rsidRDefault="001C6501" w:rsidP="002C70E8">
            <w:pPr>
              <w:pStyle w:val="TableParagraph"/>
              <w:spacing w:line="225" w:lineRule="exact"/>
              <w:ind w:left="393"/>
              <w:jc w:val="right"/>
              <w:rPr>
                <w:rFonts w:ascii="Arial" w:eastAsia="Arial" w:hAnsi="Arial" w:cs="Arial"/>
                <w:sz w:val="16"/>
                <w:szCs w:val="16"/>
              </w:rPr>
            </w:pPr>
            <w:r w:rsidRPr="002C70E8">
              <w:rPr>
                <w:rFonts w:ascii="Arial"/>
                <w:spacing w:val="-1"/>
                <w:sz w:val="16"/>
                <w:szCs w:val="16"/>
              </w:rPr>
              <w:t>71,257</w:t>
            </w:r>
          </w:p>
        </w:tc>
      </w:tr>
      <w:tr w:rsidR="002C70E8" w14:paraId="18E724A5" w14:textId="77777777" w:rsidTr="006B1840">
        <w:trPr>
          <w:trHeight w:hRule="exact" w:val="243"/>
        </w:trPr>
        <w:tc>
          <w:tcPr>
            <w:tcW w:w="1062" w:type="dxa"/>
            <w:vMerge/>
            <w:tcBorders>
              <w:left w:val="single" w:sz="9" w:space="0" w:color="333333"/>
              <w:right w:val="single" w:sz="9" w:space="0" w:color="333333"/>
            </w:tcBorders>
          </w:tcPr>
          <w:p w14:paraId="7B4FB2A1" w14:textId="77777777" w:rsidR="001C6501" w:rsidRPr="002C70E8" w:rsidRDefault="001C6501" w:rsidP="001C6501">
            <w:pPr>
              <w:rPr>
                <w:sz w:val="16"/>
                <w:szCs w:val="16"/>
              </w:rPr>
            </w:pPr>
          </w:p>
        </w:tc>
        <w:tc>
          <w:tcPr>
            <w:tcW w:w="3119" w:type="dxa"/>
            <w:tcBorders>
              <w:top w:val="single" w:sz="2" w:space="0" w:color="000000"/>
              <w:left w:val="single" w:sz="9" w:space="0" w:color="333333"/>
              <w:bottom w:val="single" w:sz="2" w:space="0" w:color="000000"/>
              <w:right w:val="single" w:sz="9" w:space="0" w:color="000000"/>
            </w:tcBorders>
          </w:tcPr>
          <w:p w14:paraId="3B84B650" w14:textId="77777777" w:rsidR="001C6501" w:rsidRPr="002C70E8" w:rsidRDefault="001C6501" w:rsidP="001C6501">
            <w:pPr>
              <w:pStyle w:val="TableParagraph"/>
              <w:spacing w:line="224" w:lineRule="exact"/>
              <w:ind w:left="27"/>
              <w:rPr>
                <w:rFonts w:ascii="Arial" w:eastAsia="Arial" w:hAnsi="Arial" w:cs="Arial"/>
                <w:sz w:val="16"/>
                <w:szCs w:val="16"/>
              </w:rPr>
            </w:pPr>
            <w:r w:rsidRPr="002C70E8">
              <w:rPr>
                <w:rFonts w:ascii="Arial"/>
                <w:sz w:val="16"/>
                <w:szCs w:val="16"/>
              </w:rPr>
              <w:t>Unsealed</w:t>
            </w:r>
            <w:r w:rsidRPr="002C70E8">
              <w:rPr>
                <w:rFonts w:ascii="Arial"/>
                <w:spacing w:val="-1"/>
                <w:sz w:val="16"/>
                <w:szCs w:val="16"/>
              </w:rPr>
              <w:t xml:space="preserve"> </w:t>
            </w:r>
            <w:r w:rsidRPr="002C70E8">
              <w:rPr>
                <w:rFonts w:ascii="Arial"/>
                <w:sz w:val="16"/>
                <w:szCs w:val="16"/>
              </w:rPr>
              <w:t>Roads</w:t>
            </w:r>
          </w:p>
        </w:tc>
        <w:tc>
          <w:tcPr>
            <w:tcW w:w="1417" w:type="dxa"/>
            <w:tcBorders>
              <w:top w:val="single" w:sz="2" w:space="0" w:color="000000"/>
              <w:left w:val="single" w:sz="9" w:space="0" w:color="000000"/>
              <w:bottom w:val="single" w:sz="2" w:space="0" w:color="000000"/>
              <w:right w:val="single" w:sz="9" w:space="0" w:color="C0C0C0"/>
            </w:tcBorders>
          </w:tcPr>
          <w:p w14:paraId="6D52DD39" w14:textId="77777777" w:rsidR="001C6501" w:rsidRPr="002C70E8" w:rsidRDefault="001C6501" w:rsidP="002C70E8">
            <w:pPr>
              <w:pStyle w:val="TableParagraph"/>
              <w:spacing w:line="224" w:lineRule="exact"/>
              <w:ind w:left="670"/>
              <w:jc w:val="right"/>
              <w:rPr>
                <w:rFonts w:ascii="Arial" w:eastAsia="Arial" w:hAnsi="Arial" w:cs="Arial"/>
                <w:sz w:val="16"/>
                <w:szCs w:val="16"/>
              </w:rPr>
            </w:pPr>
            <w:r w:rsidRPr="002C70E8">
              <w:rPr>
                <w:rFonts w:ascii="Arial"/>
                <w:sz w:val="16"/>
                <w:szCs w:val="16"/>
              </w:rPr>
              <w:t>858</w:t>
            </w:r>
          </w:p>
        </w:tc>
        <w:tc>
          <w:tcPr>
            <w:tcW w:w="1417" w:type="dxa"/>
            <w:tcBorders>
              <w:top w:val="single" w:sz="2" w:space="0" w:color="000000"/>
              <w:left w:val="single" w:sz="9" w:space="0" w:color="C0C0C0"/>
              <w:bottom w:val="single" w:sz="2" w:space="0" w:color="000000"/>
              <w:right w:val="single" w:sz="9" w:space="0" w:color="000000"/>
            </w:tcBorders>
          </w:tcPr>
          <w:p w14:paraId="1EFDBC76" w14:textId="77777777" w:rsidR="001C6501" w:rsidRPr="002C70E8" w:rsidRDefault="001C6501" w:rsidP="002C70E8">
            <w:pPr>
              <w:pStyle w:val="TableParagraph"/>
              <w:spacing w:line="224" w:lineRule="exact"/>
              <w:ind w:left="670"/>
              <w:jc w:val="right"/>
              <w:rPr>
                <w:rFonts w:ascii="Arial" w:eastAsia="Arial" w:hAnsi="Arial" w:cs="Arial"/>
                <w:sz w:val="16"/>
                <w:szCs w:val="16"/>
              </w:rPr>
            </w:pPr>
            <w:r w:rsidRPr="002C70E8">
              <w:rPr>
                <w:rFonts w:ascii="Arial"/>
                <w:sz w:val="16"/>
                <w:szCs w:val="16"/>
              </w:rPr>
              <w:t>858</w:t>
            </w:r>
          </w:p>
        </w:tc>
        <w:tc>
          <w:tcPr>
            <w:tcW w:w="1418" w:type="dxa"/>
            <w:tcBorders>
              <w:top w:val="single" w:sz="2" w:space="0" w:color="000000"/>
              <w:left w:val="single" w:sz="9" w:space="0" w:color="000000"/>
              <w:bottom w:val="single" w:sz="2" w:space="0" w:color="000000"/>
              <w:right w:val="single" w:sz="9" w:space="0" w:color="333333"/>
            </w:tcBorders>
          </w:tcPr>
          <w:p w14:paraId="0733ABCD" w14:textId="77777777" w:rsidR="001C6501" w:rsidRPr="002C70E8" w:rsidRDefault="001C6501" w:rsidP="002C70E8">
            <w:pPr>
              <w:pStyle w:val="TableParagraph"/>
              <w:spacing w:line="224" w:lineRule="exact"/>
              <w:ind w:left="393"/>
              <w:jc w:val="right"/>
              <w:rPr>
                <w:rFonts w:ascii="Arial" w:eastAsia="Arial" w:hAnsi="Arial" w:cs="Arial"/>
                <w:sz w:val="16"/>
                <w:szCs w:val="16"/>
              </w:rPr>
            </w:pPr>
            <w:r w:rsidRPr="002C70E8">
              <w:rPr>
                <w:rFonts w:ascii="Arial"/>
                <w:spacing w:val="-1"/>
                <w:sz w:val="16"/>
                <w:szCs w:val="16"/>
              </w:rPr>
              <w:t>28,649</w:t>
            </w:r>
          </w:p>
        </w:tc>
        <w:tc>
          <w:tcPr>
            <w:tcW w:w="1276" w:type="dxa"/>
            <w:tcBorders>
              <w:top w:val="single" w:sz="2" w:space="0" w:color="000000"/>
              <w:left w:val="single" w:sz="9" w:space="0" w:color="333333"/>
              <w:bottom w:val="single" w:sz="2" w:space="0" w:color="000000"/>
              <w:right w:val="single" w:sz="9" w:space="0" w:color="333333"/>
            </w:tcBorders>
          </w:tcPr>
          <w:p w14:paraId="64527C09" w14:textId="77777777" w:rsidR="001C6501" w:rsidRPr="002C70E8" w:rsidRDefault="001C6501" w:rsidP="002C70E8">
            <w:pPr>
              <w:pStyle w:val="TableParagraph"/>
              <w:spacing w:line="224" w:lineRule="exact"/>
              <w:ind w:left="393"/>
              <w:jc w:val="right"/>
              <w:rPr>
                <w:rFonts w:ascii="Arial" w:eastAsia="Arial" w:hAnsi="Arial" w:cs="Arial"/>
                <w:sz w:val="16"/>
                <w:szCs w:val="16"/>
              </w:rPr>
            </w:pPr>
            <w:r w:rsidRPr="002C70E8">
              <w:rPr>
                <w:rFonts w:ascii="Arial"/>
                <w:spacing w:val="-1"/>
                <w:sz w:val="16"/>
                <w:szCs w:val="16"/>
              </w:rPr>
              <w:t>23,902</w:t>
            </w:r>
          </w:p>
        </w:tc>
        <w:tc>
          <w:tcPr>
            <w:tcW w:w="709" w:type="dxa"/>
            <w:tcBorders>
              <w:top w:val="single" w:sz="2" w:space="0" w:color="000000"/>
              <w:left w:val="single" w:sz="9" w:space="0" w:color="333333"/>
              <w:bottom w:val="single" w:sz="2" w:space="0" w:color="000000"/>
              <w:right w:val="single" w:sz="9" w:space="0" w:color="C0C0C0"/>
            </w:tcBorders>
          </w:tcPr>
          <w:p w14:paraId="4B6D57AF" w14:textId="77777777" w:rsidR="001C6501" w:rsidRPr="002C70E8" w:rsidRDefault="001C6501" w:rsidP="002C70E8">
            <w:pPr>
              <w:pStyle w:val="TableParagraph"/>
              <w:spacing w:before="13"/>
              <w:ind w:left="328"/>
              <w:jc w:val="right"/>
              <w:rPr>
                <w:rFonts w:ascii="Arial" w:eastAsia="Arial" w:hAnsi="Arial" w:cs="Arial"/>
                <w:sz w:val="16"/>
                <w:szCs w:val="16"/>
              </w:rPr>
            </w:pPr>
            <w:r w:rsidRPr="002C70E8">
              <w:rPr>
                <w:rFonts w:ascii="Arial"/>
                <w:spacing w:val="-1"/>
                <w:sz w:val="16"/>
                <w:szCs w:val="16"/>
              </w:rPr>
              <w:t>0%</w:t>
            </w:r>
          </w:p>
        </w:tc>
        <w:tc>
          <w:tcPr>
            <w:tcW w:w="709" w:type="dxa"/>
            <w:tcBorders>
              <w:top w:val="single" w:sz="2" w:space="0" w:color="000000"/>
              <w:left w:val="single" w:sz="9" w:space="0" w:color="C0C0C0"/>
              <w:bottom w:val="single" w:sz="2" w:space="0" w:color="000000"/>
              <w:right w:val="single" w:sz="9" w:space="0" w:color="C0C0C0"/>
            </w:tcBorders>
          </w:tcPr>
          <w:p w14:paraId="3CC9BC6D" w14:textId="77777777" w:rsidR="001C6501" w:rsidRPr="002C70E8" w:rsidRDefault="001C6501" w:rsidP="002C70E8">
            <w:pPr>
              <w:pStyle w:val="TableParagraph"/>
              <w:spacing w:before="13"/>
              <w:ind w:left="327"/>
              <w:jc w:val="right"/>
              <w:rPr>
                <w:rFonts w:ascii="Arial" w:eastAsia="Arial" w:hAnsi="Arial" w:cs="Arial"/>
                <w:sz w:val="16"/>
                <w:szCs w:val="16"/>
              </w:rPr>
            </w:pPr>
            <w:r w:rsidRPr="002C70E8">
              <w:rPr>
                <w:rFonts w:ascii="Arial"/>
                <w:spacing w:val="-1"/>
                <w:sz w:val="16"/>
                <w:szCs w:val="16"/>
              </w:rPr>
              <w:t>0%</w:t>
            </w:r>
          </w:p>
        </w:tc>
        <w:tc>
          <w:tcPr>
            <w:tcW w:w="709" w:type="dxa"/>
            <w:tcBorders>
              <w:top w:val="single" w:sz="2" w:space="0" w:color="000000"/>
              <w:left w:val="single" w:sz="9" w:space="0" w:color="C0C0C0"/>
              <w:bottom w:val="single" w:sz="2" w:space="0" w:color="000000"/>
              <w:right w:val="single" w:sz="9" w:space="0" w:color="C0C0C0"/>
            </w:tcBorders>
          </w:tcPr>
          <w:p w14:paraId="224E71FF" w14:textId="77777777" w:rsidR="001C6501" w:rsidRPr="002C70E8" w:rsidRDefault="001C6501" w:rsidP="002C70E8">
            <w:pPr>
              <w:pStyle w:val="TableParagraph"/>
              <w:spacing w:before="13"/>
              <w:ind w:left="247"/>
              <w:jc w:val="right"/>
              <w:rPr>
                <w:rFonts w:ascii="Arial" w:eastAsia="Arial" w:hAnsi="Arial" w:cs="Arial"/>
                <w:sz w:val="16"/>
                <w:szCs w:val="16"/>
              </w:rPr>
            </w:pPr>
            <w:r w:rsidRPr="002C70E8">
              <w:rPr>
                <w:rFonts w:ascii="Arial"/>
                <w:spacing w:val="-1"/>
                <w:sz w:val="16"/>
                <w:szCs w:val="16"/>
              </w:rPr>
              <w:t>100%</w:t>
            </w:r>
          </w:p>
        </w:tc>
        <w:tc>
          <w:tcPr>
            <w:tcW w:w="708" w:type="dxa"/>
            <w:tcBorders>
              <w:top w:val="single" w:sz="2" w:space="0" w:color="000000"/>
              <w:left w:val="single" w:sz="9" w:space="0" w:color="C0C0C0"/>
              <w:bottom w:val="single" w:sz="2" w:space="0" w:color="000000"/>
              <w:right w:val="single" w:sz="9" w:space="0" w:color="C0C0C0"/>
            </w:tcBorders>
          </w:tcPr>
          <w:p w14:paraId="367819A8" w14:textId="77777777" w:rsidR="001C6501" w:rsidRPr="002C70E8" w:rsidRDefault="001C6501" w:rsidP="002C70E8">
            <w:pPr>
              <w:pStyle w:val="TableParagraph"/>
              <w:spacing w:before="13"/>
              <w:ind w:left="328"/>
              <w:jc w:val="right"/>
              <w:rPr>
                <w:rFonts w:ascii="Arial" w:eastAsia="Arial" w:hAnsi="Arial" w:cs="Arial"/>
                <w:sz w:val="16"/>
                <w:szCs w:val="16"/>
              </w:rPr>
            </w:pPr>
            <w:r w:rsidRPr="002C70E8">
              <w:rPr>
                <w:rFonts w:ascii="Arial"/>
                <w:spacing w:val="-1"/>
                <w:sz w:val="16"/>
                <w:szCs w:val="16"/>
              </w:rPr>
              <w:t>0%</w:t>
            </w:r>
          </w:p>
        </w:tc>
        <w:tc>
          <w:tcPr>
            <w:tcW w:w="709" w:type="dxa"/>
            <w:tcBorders>
              <w:top w:val="single" w:sz="2" w:space="0" w:color="000000"/>
              <w:left w:val="single" w:sz="9" w:space="0" w:color="C0C0C0"/>
              <w:bottom w:val="single" w:sz="2" w:space="0" w:color="000000"/>
              <w:right w:val="single" w:sz="9" w:space="0" w:color="333333"/>
            </w:tcBorders>
          </w:tcPr>
          <w:p w14:paraId="387D0997" w14:textId="77777777" w:rsidR="001C6501" w:rsidRPr="002C70E8" w:rsidRDefault="001C6501" w:rsidP="002C70E8">
            <w:pPr>
              <w:pStyle w:val="TableParagraph"/>
              <w:spacing w:before="13"/>
              <w:ind w:left="328"/>
              <w:jc w:val="right"/>
              <w:rPr>
                <w:rFonts w:ascii="Arial" w:eastAsia="Arial" w:hAnsi="Arial" w:cs="Arial"/>
                <w:sz w:val="16"/>
                <w:szCs w:val="16"/>
              </w:rPr>
            </w:pPr>
            <w:r w:rsidRPr="002C70E8">
              <w:rPr>
                <w:rFonts w:ascii="Arial"/>
                <w:spacing w:val="-1"/>
                <w:sz w:val="16"/>
                <w:szCs w:val="16"/>
              </w:rPr>
              <w:t>0%</w:t>
            </w:r>
          </w:p>
        </w:tc>
        <w:tc>
          <w:tcPr>
            <w:tcW w:w="1701" w:type="dxa"/>
            <w:tcBorders>
              <w:top w:val="single" w:sz="2" w:space="0" w:color="000000"/>
              <w:left w:val="single" w:sz="9" w:space="0" w:color="333333"/>
              <w:bottom w:val="single" w:sz="2" w:space="0" w:color="000000"/>
              <w:right w:val="single" w:sz="9" w:space="0" w:color="333333"/>
            </w:tcBorders>
          </w:tcPr>
          <w:p w14:paraId="2FE5AB3E" w14:textId="77777777" w:rsidR="001C6501" w:rsidRPr="002C70E8" w:rsidRDefault="001C6501" w:rsidP="002C70E8">
            <w:pPr>
              <w:pStyle w:val="TableParagraph"/>
              <w:spacing w:line="224" w:lineRule="exact"/>
              <w:ind w:left="716"/>
              <w:jc w:val="right"/>
              <w:rPr>
                <w:rFonts w:ascii="Arial" w:eastAsia="Arial" w:hAnsi="Arial" w:cs="Arial"/>
                <w:sz w:val="16"/>
                <w:szCs w:val="16"/>
              </w:rPr>
            </w:pPr>
            <w:r w:rsidRPr="002C70E8">
              <w:rPr>
                <w:rFonts w:ascii="Arial"/>
                <w:sz w:val="16"/>
                <w:szCs w:val="16"/>
              </w:rPr>
              <w:t>-</w:t>
            </w:r>
          </w:p>
        </w:tc>
      </w:tr>
      <w:tr w:rsidR="002C70E8" w14:paraId="26C3E3E3" w14:textId="77777777" w:rsidTr="006B1840">
        <w:trPr>
          <w:trHeight w:hRule="exact" w:val="243"/>
        </w:trPr>
        <w:tc>
          <w:tcPr>
            <w:tcW w:w="1062" w:type="dxa"/>
            <w:vMerge/>
            <w:tcBorders>
              <w:left w:val="single" w:sz="9" w:space="0" w:color="333333"/>
              <w:right w:val="single" w:sz="9" w:space="0" w:color="333333"/>
            </w:tcBorders>
          </w:tcPr>
          <w:p w14:paraId="76758D7A" w14:textId="77777777" w:rsidR="001C6501" w:rsidRPr="002C70E8" w:rsidRDefault="001C6501" w:rsidP="001C6501">
            <w:pPr>
              <w:rPr>
                <w:sz w:val="16"/>
                <w:szCs w:val="16"/>
              </w:rPr>
            </w:pPr>
          </w:p>
        </w:tc>
        <w:tc>
          <w:tcPr>
            <w:tcW w:w="3119" w:type="dxa"/>
            <w:tcBorders>
              <w:top w:val="single" w:sz="2" w:space="0" w:color="000000"/>
              <w:left w:val="single" w:sz="9" w:space="0" w:color="333333"/>
              <w:bottom w:val="single" w:sz="2" w:space="0" w:color="000000"/>
              <w:right w:val="single" w:sz="9" w:space="0" w:color="000000"/>
            </w:tcBorders>
          </w:tcPr>
          <w:p w14:paraId="16C182B9" w14:textId="77777777" w:rsidR="001C6501" w:rsidRPr="002C70E8" w:rsidRDefault="001C6501" w:rsidP="001C6501">
            <w:pPr>
              <w:pStyle w:val="TableParagraph"/>
              <w:spacing w:line="224" w:lineRule="exact"/>
              <w:ind w:left="27"/>
              <w:rPr>
                <w:rFonts w:ascii="Arial" w:eastAsia="Arial" w:hAnsi="Arial" w:cs="Arial"/>
                <w:sz w:val="16"/>
                <w:szCs w:val="16"/>
              </w:rPr>
            </w:pPr>
            <w:r w:rsidRPr="002C70E8">
              <w:rPr>
                <w:rFonts w:ascii="Arial"/>
                <w:sz w:val="16"/>
                <w:szCs w:val="16"/>
              </w:rPr>
              <w:t>Bridges</w:t>
            </w:r>
          </w:p>
        </w:tc>
        <w:tc>
          <w:tcPr>
            <w:tcW w:w="1417" w:type="dxa"/>
            <w:tcBorders>
              <w:top w:val="single" w:sz="2" w:space="0" w:color="000000"/>
              <w:left w:val="single" w:sz="9" w:space="0" w:color="000000"/>
              <w:bottom w:val="single" w:sz="2" w:space="0" w:color="000000"/>
              <w:right w:val="single" w:sz="9" w:space="0" w:color="C0C0C0"/>
            </w:tcBorders>
          </w:tcPr>
          <w:p w14:paraId="18C0C15C" w14:textId="77777777" w:rsidR="001C6501" w:rsidRPr="002C70E8" w:rsidRDefault="001C6501" w:rsidP="002C70E8">
            <w:pPr>
              <w:pStyle w:val="TableParagraph"/>
              <w:spacing w:line="224" w:lineRule="exact"/>
              <w:ind w:right="92"/>
              <w:jc w:val="right"/>
              <w:rPr>
                <w:rFonts w:ascii="Arial" w:eastAsia="Arial" w:hAnsi="Arial" w:cs="Arial"/>
                <w:sz w:val="16"/>
                <w:szCs w:val="16"/>
              </w:rPr>
            </w:pPr>
            <w:r w:rsidRPr="002C70E8">
              <w:rPr>
                <w:rFonts w:ascii="Arial"/>
                <w:w w:val="95"/>
                <w:sz w:val="16"/>
                <w:szCs w:val="16"/>
              </w:rPr>
              <w:t>-</w:t>
            </w:r>
          </w:p>
        </w:tc>
        <w:tc>
          <w:tcPr>
            <w:tcW w:w="1417" w:type="dxa"/>
            <w:tcBorders>
              <w:top w:val="single" w:sz="2" w:space="0" w:color="000000"/>
              <w:left w:val="single" w:sz="9" w:space="0" w:color="C0C0C0"/>
              <w:bottom w:val="single" w:sz="2" w:space="0" w:color="000000"/>
              <w:right w:val="single" w:sz="9" w:space="0" w:color="000000"/>
            </w:tcBorders>
          </w:tcPr>
          <w:p w14:paraId="35C6AB35" w14:textId="77777777" w:rsidR="001C6501" w:rsidRPr="002C70E8" w:rsidRDefault="001C6501" w:rsidP="002C70E8">
            <w:pPr>
              <w:pStyle w:val="TableParagraph"/>
              <w:spacing w:line="224" w:lineRule="exact"/>
              <w:ind w:right="92"/>
              <w:jc w:val="right"/>
              <w:rPr>
                <w:rFonts w:ascii="Arial" w:eastAsia="Arial" w:hAnsi="Arial" w:cs="Arial"/>
                <w:sz w:val="16"/>
                <w:szCs w:val="16"/>
              </w:rPr>
            </w:pPr>
            <w:r w:rsidRPr="002C70E8">
              <w:rPr>
                <w:rFonts w:ascii="Arial"/>
                <w:w w:val="95"/>
                <w:sz w:val="16"/>
                <w:szCs w:val="16"/>
              </w:rPr>
              <w:t>-</w:t>
            </w:r>
          </w:p>
        </w:tc>
        <w:tc>
          <w:tcPr>
            <w:tcW w:w="1418" w:type="dxa"/>
            <w:tcBorders>
              <w:top w:val="single" w:sz="2" w:space="0" w:color="000000"/>
              <w:left w:val="single" w:sz="9" w:space="0" w:color="000000"/>
              <w:bottom w:val="single" w:sz="2" w:space="0" w:color="000000"/>
              <w:right w:val="single" w:sz="9" w:space="0" w:color="333333"/>
            </w:tcBorders>
          </w:tcPr>
          <w:p w14:paraId="21A2E05B" w14:textId="77777777" w:rsidR="001C6501" w:rsidRPr="002C70E8" w:rsidRDefault="001C6501" w:rsidP="002C70E8">
            <w:pPr>
              <w:pStyle w:val="TableParagraph"/>
              <w:spacing w:line="224" w:lineRule="exact"/>
              <w:ind w:left="504"/>
              <w:jc w:val="right"/>
              <w:rPr>
                <w:rFonts w:ascii="Arial" w:eastAsia="Arial" w:hAnsi="Arial" w:cs="Arial"/>
                <w:sz w:val="16"/>
                <w:szCs w:val="16"/>
              </w:rPr>
            </w:pPr>
            <w:r w:rsidRPr="002C70E8">
              <w:rPr>
                <w:rFonts w:ascii="Arial"/>
                <w:spacing w:val="-1"/>
                <w:sz w:val="16"/>
                <w:szCs w:val="16"/>
              </w:rPr>
              <w:t>8,034</w:t>
            </w:r>
          </w:p>
        </w:tc>
        <w:tc>
          <w:tcPr>
            <w:tcW w:w="1276" w:type="dxa"/>
            <w:tcBorders>
              <w:top w:val="single" w:sz="2" w:space="0" w:color="000000"/>
              <w:left w:val="single" w:sz="9" w:space="0" w:color="333333"/>
              <w:bottom w:val="single" w:sz="2" w:space="0" w:color="000000"/>
              <w:right w:val="single" w:sz="9" w:space="0" w:color="333333"/>
            </w:tcBorders>
          </w:tcPr>
          <w:p w14:paraId="0085BD35" w14:textId="77777777" w:rsidR="001C6501" w:rsidRPr="002C70E8" w:rsidRDefault="001C6501" w:rsidP="002C70E8">
            <w:pPr>
              <w:pStyle w:val="TableParagraph"/>
              <w:spacing w:line="224" w:lineRule="exact"/>
              <w:ind w:left="504"/>
              <w:jc w:val="right"/>
              <w:rPr>
                <w:rFonts w:ascii="Arial" w:eastAsia="Arial" w:hAnsi="Arial" w:cs="Arial"/>
                <w:sz w:val="16"/>
                <w:szCs w:val="16"/>
              </w:rPr>
            </w:pPr>
            <w:r w:rsidRPr="002C70E8">
              <w:rPr>
                <w:rFonts w:ascii="Arial"/>
                <w:spacing w:val="-1"/>
                <w:sz w:val="16"/>
                <w:szCs w:val="16"/>
              </w:rPr>
              <w:t>1,315</w:t>
            </w:r>
          </w:p>
        </w:tc>
        <w:tc>
          <w:tcPr>
            <w:tcW w:w="709" w:type="dxa"/>
            <w:tcBorders>
              <w:top w:val="single" w:sz="2" w:space="0" w:color="000000"/>
              <w:left w:val="single" w:sz="9" w:space="0" w:color="333333"/>
              <w:bottom w:val="single" w:sz="2" w:space="0" w:color="000000"/>
              <w:right w:val="single" w:sz="9" w:space="0" w:color="C0C0C0"/>
            </w:tcBorders>
          </w:tcPr>
          <w:p w14:paraId="25B84BEF" w14:textId="77777777" w:rsidR="001C6501" w:rsidRPr="002C70E8" w:rsidRDefault="001C6501" w:rsidP="002C70E8">
            <w:pPr>
              <w:pStyle w:val="TableParagraph"/>
              <w:spacing w:before="13"/>
              <w:ind w:left="328"/>
              <w:jc w:val="right"/>
              <w:rPr>
                <w:rFonts w:ascii="Arial" w:eastAsia="Arial" w:hAnsi="Arial" w:cs="Arial"/>
                <w:sz w:val="16"/>
                <w:szCs w:val="16"/>
              </w:rPr>
            </w:pPr>
            <w:r w:rsidRPr="002C70E8">
              <w:rPr>
                <w:rFonts w:ascii="Arial"/>
                <w:spacing w:val="-1"/>
                <w:sz w:val="16"/>
                <w:szCs w:val="16"/>
              </w:rPr>
              <w:t>7%</w:t>
            </w:r>
          </w:p>
        </w:tc>
        <w:tc>
          <w:tcPr>
            <w:tcW w:w="709" w:type="dxa"/>
            <w:tcBorders>
              <w:top w:val="single" w:sz="2" w:space="0" w:color="000000"/>
              <w:left w:val="single" w:sz="9" w:space="0" w:color="C0C0C0"/>
              <w:bottom w:val="single" w:sz="2" w:space="0" w:color="000000"/>
              <w:right w:val="single" w:sz="9" w:space="0" w:color="C0C0C0"/>
            </w:tcBorders>
          </w:tcPr>
          <w:p w14:paraId="2A45D3B6" w14:textId="77777777" w:rsidR="001C6501" w:rsidRPr="002C70E8" w:rsidRDefault="001C6501" w:rsidP="002C70E8">
            <w:pPr>
              <w:pStyle w:val="TableParagraph"/>
              <w:spacing w:before="13"/>
              <w:ind w:left="298"/>
              <w:jc w:val="right"/>
              <w:rPr>
                <w:rFonts w:ascii="Arial" w:eastAsia="Arial" w:hAnsi="Arial" w:cs="Arial"/>
                <w:sz w:val="16"/>
                <w:szCs w:val="16"/>
              </w:rPr>
            </w:pPr>
            <w:r w:rsidRPr="002C70E8">
              <w:rPr>
                <w:rFonts w:ascii="Arial"/>
                <w:spacing w:val="-1"/>
                <w:sz w:val="16"/>
                <w:szCs w:val="16"/>
              </w:rPr>
              <w:t>12%</w:t>
            </w:r>
          </w:p>
        </w:tc>
        <w:tc>
          <w:tcPr>
            <w:tcW w:w="709" w:type="dxa"/>
            <w:tcBorders>
              <w:top w:val="single" w:sz="2" w:space="0" w:color="000000"/>
              <w:left w:val="single" w:sz="9" w:space="0" w:color="C0C0C0"/>
              <w:bottom w:val="single" w:sz="2" w:space="0" w:color="000000"/>
              <w:right w:val="single" w:sz="9" w:space="0" w:color="C0C0C0"/>
            </w:tcBorders>
          </w:tcPr>
          <w:p w14:paraId="53D7C1D3" w14:textId="77777777" w:rsidR="001C6501" w:rsidRPr="002C70E8" w:rsidRDefault="001C6501" w:rsidP="002C70E8">
            <w:pPr>
              <w:pStyle w:val="TableParagraph"/>
              <w:spacing w:before="13"/>
              <w:ind w:left="298"/>
              <w:jc w:val="right"/>
              <w:rPr>
                <w:rFonts w:ascii="Arial" w:eastAsia="Arial" w:hAnsi="Arial" w:cs="Arial"/>
                <w:sz w:val="16"/>
                <w:szCs w:val="16"/>
              </w:rPr>
            </w:pPr>
            <w:r w:rsidRPr="002C70E8">
              <w:rPr>
                <w:rFonts w:ascii="Arial"/>
                <w:spacing w:val="-1"/>
                <w:sz w:val="16"/>
                <w:szCs w:val="16"/>
              </w:rPr>
              <w:t>72%</w:t>
            </w:r>
          </w:p>
        </w:tc>
        <w:tc>
          <w:tcPr>
            <w:tcW w:w="708" w:type="dxa"/>
            <w:tcBorders>
              <w:top w:val="single" w:sz="2" w:space="0" w:color="000000"/>
              <w:left w:val="single" w:sz="9" w:space="0" w:color="C0C0C0"/>
              <w:bottom w:val="single" w:sz="2" w:space="0" w:color="000000"/>
              <w:right w:val="single" w:sz="9" w:space="0" w:color="C0C0C0"/>
            </w:tcBorders>
          </w:tcPr>
          <w:p w14:paraId="17338F8A" w14:textId="77777777" w:rsidR="001C6501" w:rsidRPr="002C70E8" w:rsidRDefault="001C6501" w:rsidP="002C70E8">
            <w:pPr>
              <w:pStyle w:val="TableParagraph"/>
              <w:spacing w:before="13"/>
              <w:ind w:left="328"/>
              <w:jc w:val="right"/>
              <w:rPr>
                <w:rFonts w:ascii="Arial" w:eastAsia="Arial" w:hAnsi="Arial" w:cs="Arial"/>
                <w:sz w:val="16"/>
                <w:szCs w:val="16"/>
              </w:rPr>
            </w:pPr>
            <w:r w:rsidRPr="002C70E8">
              <w:rPr>
                <w:rFonts w:ascii="Arial"/>
                <w:spacing w:val="-1"/>
                <w:sz w:val="16"/>
                <w:szCs w:val="16"/>
              </w:rPr>
              <w:t>6%</w:t>
            </w:r>
          </w:p>
        </w:tc>
        <w:tc>
          <w:tcPr>
            <w:tcW w:w="709" w:type="dxa"/>
            <w:tcBorders>
              <w:top w:val="single" w:sz="2" w:space="0" w:color="000000"/>
              <w:left w:val="single" w:sz="9" w:space="0" w:color="C0C0C0"/>
              <w:bottom w:val="single" w:sz="2" w:space="0" w:color="000000"/>
              <w:right w:val="single" w:sz="9" w:space="0" w:color="333333"/>
            </w:tcBorders>
          </w:tcPr>
          <w:p w14:paraId="30164EC4" w14:textId="77777777" w:rsidR="001C6501" w:rsidRPr="002C70E8" w:rsidRDefault="001C6501" w:rsidP="002C70E8">
            <w:pPr>
              <w:pStyle w:val="TableParagraph"/>
              <w:spacing w:before="13"/>
              <w:ind w:left="328"/>
              <w:jc w:val="right"/>
              <w:rPr>
                <w:rFonts w:ascii="Arial" w:eastAsia="Arial" w:hAnsi="Arial" w:cs="Arial"/>
                <w:sz w:val="16"/>
                <w:szCs w:val="16"/>
              </w:rPr>
            </w:pPr>
            <w:r w:rsidRPr="002C70E8">
              <w:rPr>
                <w:rFonts w:ascii="Arial"/>
                <w:spacing w:val="-1"/>
                <w:sz w:val="16"/>
                <w:szCs w:val="16"/>
              </w:rPr>
              <w:t>3%</w:t>
            </w:r>
          </w:p>
        </w:tc>
        <w:tc>
          <w:tcPr>
            <w:tcW w:w="1701" w:type="dxa"/>
            <w:tcBorders>
              <w:top w:val="single" w:sz="2" w:space="0" w:color="000000"/>
              <w:left w:val="single" w:sz="9" w:space="0" w:color="333333"/>
              <w:bottom w:val="single" w:sz="2" w:space="0" w:color="000000"/>
              <w:right w:val="single" w:sz="9" w:space="0" w:color="333333"/>
            </w:tcBorders>
          </w:tcPr>
          <w:p w14:paraId="62D8806E" w14:textId="77777777" w:rsidR="001C6501" w:rsidRPr="002C70E8" w:rsidRDefault="001C6501" w:rsidP="002C70E8">
            <w:pPr>
              <w:pStyle w:val="TableParagraph"/>
              <w:spacing w:line="224" w:lineRule="exact"/>
              <w:ind w:left="670"/>
              <w:jc w:val="right"/>
              <w:rPr>
                <w:rFonts w:ascii="Arial" w:eastAsia="Arial" w:hAnsi="Arial" w:cs="Arial"/>
                <w:sz w:val="16"/>
                <w:szCs w:val="16"/>
              </w:rPr>
            </w:pPr>
            <w:r w:rsidRPr="002C70E8">
              <w:rPr>
                <w:rFonts w:ascii="Arial"/>
                <w:sz w:val="16"/>
                <w:szCs w:val="16"/>
              </w:rPr>
              <w:t>723</w:t>
            </w:r>
          </w:p>
        </w:tc>
      </w:tr>
      <w:tr w:rsidR="002C70E8" w14:paraId="64E702E3" w14:textId="77777777" w:rsidTr="006B1840">
        <w:trPr>
          <w:trHeight w:hRule="exact" w:val="243"/>
        </w:trPr>
        <w:tc>
          <w:tcPr>
            <w:tcW w:w="1062" w:type="dxa"/>
            <w:vMerge/>
            <w:tcBorders>
              <w:left w:val="single" w:sz="9" w:space="0" w:color="333333"/>
              <w:right w:val="single" w:sz="9" w:space="0" w:color="333333"/>
            </w:tcBorders>
          </w:tcPr>
          <w:p w14:paraId="440A52D5" w14:textId="77777777" w:rsidR="001C6501" w:rsidRPr="002C70E8" w:rsidRDefault="001C6501" w:rsidP="001C6501">
            <w:pPr>
              <w:rPr>
                <w:sz w:val="16"/>
                <w:szCs w:val="16"/>
              </w:rPr>
            </w:pPr>
          </w:p>
        </w:tc>
        <w:tc>
          <w:tcPr>
            <w:tcW w:w="3119" w:type="dxa"/>
            <w:tcBorders>
              <w:top w:val="single" w:sz="2" w:space="0" w:color="000000"/>
              <w:left w:val="single" w:sz="9" w:space="0" w:color="333333"/>
              <w:bottom w:val="single" w:sz="2" w:space="0" w:color="000000"/>
              <w:right w:val="single" w:sz="9" w:space="0" w:color="000000"/>
            </w:tcBorders>
          </w:tcPr>
          <w:p w14:paraId="5B188746" w14:textId="77777777" w:rsidR="001C6501" w:rsidRPr="002C70E8" w:rsidRDefault="001C6501" w:rsidP="001C6501">
            <w:pPr>
              <w:pStyle w:val="TableParagraph"/>
              <w:spacing w:line="224" w:lineRule="exact"/>
              <w:ind w:left="27"/>
              <w:rPr>
                <w:rFonts w:ascii="Arial" w:eastAsia="Arial" w:hAnsi="Arial" w:cs="Arial"/>
                <w:sz w:val="16"/>
                <w:szCs w:val="16"/>
              </w:rPr>
            </w:pPr>
            <w:r w:rsidRPr="002C70E8">
              <w:rPr>
                <w:rFonts w:ascii="Arial"/>
                <w:spacing w:val="-1"/>
                <w:sz w:val="16"/>
                <w:szCs w:val="16"/>
              </w:rPr>
              <w:t>Footpaths</w:t>
            </w:r>
          </w:p>
        </w:tc>
        <w:tc>
          <w:tcPr>
            <w:tcW w:w="1417" w:type="dxa"/>
            <w:tcBorders>
              <w:top w:val="single" w:sz="2" w:space="0" w:color="000000"/>
              <w:left w:val="single" w:sz="9" w:space="0" w:color="000000"/>
              <w:bottom w:val="single" w:sz="2" w:space="0" w:color="000000"/>
              <w:right w:val="single" w:sz="9" w:space="0" w:color="C0C0C0"/>
            </w:tcBorders>
          </w:tcPr>
          <w:p w14:paraId="570A76B9" w14:textId="77777777" w:rsidR="001C6501" w:rsidRPr="002C70E8" w:rsidRDefault="001C6501" w:rsidP="002C70E8">
            <w:pPr>
              <w:pStyle w:val="TableParagraph"/>
              <w:spacing w:line="224" w:lineRule="exact"/>
              <w:ind w:left="670"/>
              <w:jc w:val="right"/>
              <w:rPr>
                <w:rFonts w:ascii="Arial" w:eastAsia="Arial" w:hAnsi="Arial" w:cs="Arial"/>
                <w:sz w:val="16"/>
                <w:szCs w:val="16"/>
              </w:rPr>
            </w:pPr>
            <w:r w:rsidRPr="002C70E8">
              <w:rPr>
                <w:rFonts w:ascii="Arial"/>
                <w:sz w:val="16"/>
                <w:szCs w:val="16"/>
              </w:rPr>
              <w:t>625</w:t>
            </w:r>
          </w:p>
        </w:tc>
        <w:tc>
          <w:tcPr>
            <w:tcW w:w="1417" w:type="dxa"/>
            <w:tcBorders>
              <w:top w:val="single" w:sz="2" w:space="0" w:color="000000"/>
              <w:left w:val="single" w:sz="9" w:space="0" w:color="C0C0C0"/>
              <w:bottom w:val="single" w:sz="2" w:space="0" w:color="000000"/>
              <w:right w:val="single" w:sz="9" w:space="0" w:color="000000"/>
            </w:tcBorders>
          </w:tcPr>
          <w:p w14:paraId="47797F6F" w14:textId="77777777" w:rsidR="001C6501" w:rsidRPr="002C70E8" w:rsidRDefault="001C6501" w:rsidP="002C70E8">
            <w:pPr>
              <w:pStyle w:val="TableParagraph"/>
              <w:spacing w:line="224" w:lineRule="exact"/>
              <w:ind w:left="670"/>
              <w:jc w:val="right"/>
              <w:rPr>
                <w:rFonts w:ascii="Arial" w:eastAsia="Arial" w:hAnsi="Arial" w:cs="Arial"/>
                <w:sz w:val="16"/>
                <w:szCs w:val="16"/>
              </w:rPr>
            </w:pPr>
            <w:r w:rsidRPr="002C70E8">
              <w:rPr>
                <w:rFonts w:ascii="Arial"/>
                <w:sz w:val="16"/>
                <w:szCs w:val="16"/>
              </w:rPr>
              <w:t>625</w:t>
            </w:r>
          </w:p>
        </w:tc>
        <w:tc>
          <w:tcPr>
            <w:tcW w:w="1418" w:type="dxa"/>
            <w:tcBorders>
              <w:top w:val="single" w:sz="2" w:space="0" w:color="000000"/>
              <w:left w:val="single" w:sz="9" w:space="0" w:color="000000"/>
              <w:bottom w:val="single" w:sz="2" w:space="0" w:color="000000"/>
              <w:right w:val="single" w:sz="9" w:space="0" w:color="333333"/>
            </w:tcBorders>
          </w:tcPr>
          <w:p w14:paraId="1B1A9234" w14:textId="77777777" w:rsidR="001C6501" w:rsidRPr="002C70E8" w:rsidRDefault="001C6501" w:rsidP="002C70E8">
            <w:pPr>
              <w:pStyle w:val="TableParagraph"/>
              <w:spacing w:line="224" w:lineRule="exact"/>
              <w:ind w:left="393"/>
              <w:jc w:val="right"/>
              <w:rPr>
                <w:rFonts w:ascii="Arial" w:eastAsia="Arial" w:hAnsi="Arial" w:cs="Arial"/>
                <w:sz w:val="16"/>
                <w:szCs w:val="16"/>
              </w:rPr>
            </w:pPr>
            <w:r w:rsidRPr="002C70E8">
              <w:rPr>
                <w:rFonts w:ascii="Arial"/>
                <w:spacing w:val="-1"/>
                <w:sz w:val="16"/>
                <w:szCs w:val="16"/>
              </w:rPr>
              <w:t>38,400</w:t>
            </w:r>
          </w:p>
        </w:tc>
        <w:tc>
          <w:tcPr>
            <w:tcW w:w="1276" w:type="dxa"/>
            <w:tcBorders>
              <w:top w:val="single" w:sz="2" w:space="0" w:color="000000"/>
              <w:left w:val="single" w:sz="9" w:space="0" w:color="333333"/>
              <w:bottom w:val="single" w:sz="2" w:space="0" w:color="000000"/>
              <w:right w:val="single" w:sz="9" w:space="0" w:color="333333"/>
            </w:tcBorders>
          </w:tcPr>
          <w:p w14:paraId="6567964D" w14:textId="77777777" w:rsidR="001C6501" w:rsidRPr="002C70E8" w:rsidRDefault="001C6501" w:rsidP="002C70E8">
            <w:pPr>
              <w:pStyle w:val="TableParagraph"/>
              <w:spacing w:line="224" w:lineRule="exact"/>
              <w:ind w:left="393"/>
              <w:jc w:val="right"/>
              <w:rPr>
                <w:rFonts w:ascii="Arial" w:eastAsia="Arial" w:hAnsi="Arial" w:cs="Arial"/>
                <w:sz w:val="16"/>
                <w:szCs w:val="16"/>
              </w:rPr>
            </w:pPr>
            <w:r w:rsidRPr="002C70E8">
              <w:rPr>
                <w:rFonts w:ascii="Arial"/>
                <w:spacing w:val="-1"/>
                <w:sz w:val="16"/>
                <w:szCs w:val="16"/>
              </w:rPr>
              <w:t>20,420</w:t>
            </w:r>
          </w:p>
        </w:tc>
        <w:tc>
          <w:tcPr>
            <w:tcW w:w="709" w:type="dxa"/>
            <w:tcBorders>
              <w:top w:val="single" w:sz="2" w:space="0" w:color="000000"/>
              <w:left w:val="single" w:sz="9" w:space="0" w:color="333333"/>
              <w:bottom w:val="single" w:sz="2" w:space="0" w:color="000000"/>
              <w:right w:val="single" w:sz="9" w:space="0" w:color="C0C0C0"/>
            </w:tcBorders>
          </w:tcPr>
          <w:p w14:paraId="51FDF7C4" w14:textId="77777777" w:rsidR="001C6501" w:rsidRPr="002C70E8" w:rsidRDefault="001C6501" w:rsidP="002C70E8">
            <w:pPr>
              <w:pStyle w:val="TableParagraph"/>
              <w:spacing w:before="13"/>
              <w:ind w:left="328"/>
              <w:jc w:val="right"/>
              <w:rPr>
                <w:rFonts w:ascii="Arial" w:eastAsia="Arial" w:hAnsi="Arial" w:cs="Arial"/>
                <w:sz w:val="16"/>
                <w:szCs w:val="16"/>
              </w:rPr>
            </w:pPr>
            <w:r w:rsidRPr="002C70E8">
              <w:rPr>
                <w:rFonts w:ascii="Arial"/>
                <w:spacing w:val="-1"/>
                <w:sz w:val="16"/>
                <w:szCs w:val="16"/>
              </w:rPr>
              <w:t>6%</w:t>
            </w:r>
          </w:p>
        </w:tc>
        <w:tc>
          <w:tcPr>
            <w:tcW w:w="709" w:type="dxa"/>
            <w:tcBorders>
              <w:top w:val="single" w:sz="2" w:space="0" w:color="000000"/>
              <w:left w:val="single" w:sz="9" w:space="0" w:color="C0C0C0"/>
              <w:bottom w:val="single" w:sz="2" w:space="0" w:color="000000"/>
              <w:right w:val="single" w:sz="9" w:space="0" w:color="C0C0C0"/>
            </w:tcBorders>
          </w:tcPr>
          <w:p w14:paraId="1716F458" w14:textId="77777777" w:rsidR="001C6501" w:rsidRPr="002C70E8" w:rsidRDefault="001C6501" w:rsidP="002C70E8">
            <w:pPr>
              <w:pStyle w:val="TableParagraph"/>
              <w:spacing w:before="13"/>
              <w:ind w:left="298"/>
              <w:jc w:val="right"/>
              <w:rPr>
                <w:rFonts w:ascii="Arial" w:eastAsia="Arial" w:hAnsi="Arial" w:cs="Arial"/>
                <w:sz w:val="16"/>
                <w:szCs w:val="16"/>
              </w:rPr>
            </w:pPr>
            <w:r w:rsidRPr="002C70E8">
              <w:rPr>
                <w:rFonts w:ascii="Arial"/>
                <w:spacing w:val="-1"/>
                <w:sz w:val="16"/>
                <w:szCs w:val="16"/>
              </w:rPr>
              <w:t>10%</w:t>
            </w:r>
          </w:p>
        </w:tc>
        <w:tc>
          <w:tcPr>
            <w:tcW w:w="709" w:type="dxa"/>
            <w:tcBorders>
              <w:top w:val="single" w:sz="2" w:space="0" w:color="000000"/>
              <w:left w:val="single" w:sz="9" w:space="0" w:color="C0C0C0"/>
              <w:bottom w:val="single" w:sz="2" w:space="0" w:color="000000"/>
              <w:right w:val="single" w:sz="9" w:space="0" w:color="C0C0C0"/>
            </w:tcBorders>
          </w:tcPr>
          <w:p w14:paraId="66A89B26" w14:textId="77777777" w:rsidR="001C6501" w:rsidRPr="002C70E8" w:rsidRDefault="001C6501" w:rsidP="002C70E8">
            <w:pPr>
              <w:pStyle w:val="TableParagraph"/>
              <w:spacing w:before="13"/>
              <w:ind w:left="298"/>
              <w:jc w:val="right"/>
              <w:rPr>
                <w:rFonts w:ascii="Arial" w:eastAsia="Arial" w:hAnsi="Arial" w:cs="Arial"/>
                <w:sz w:val="16"/>
                <w:szCs w:val="16"/>
              </w:rPr>
            </w:pPr>
            <w:r w:rsidRPr="002C70E8">
              <w:rPr>
                <w:rFonts w:ascii="Arial"/>
                <w:spacing w:val="-1"/>
                <w:sz w:val="16"/>
                <w:szCs w:val="16"/>
              </w:rPr>
              <w:t>33%</w:t>
            </w:r>
          </w:p>
        </w:tc>
        <w:tc>
          <w:tcPr>
            <w:tcW w:w="708" w:type="dxa"/>
            <w:tcBorders>
              <w:top w:val="single" w:sz="2" w:space="0" w:color="000000"/>
              <w:left w:val="single" w:sz="9" w:space="0" w:color="C0C0C0"/>
              <w:bottom w:val="single" w:sz="2" w:space="0" w:color="000000"/>
              <w:right w:val="single" w:sz="9" w:space="0" w:color="C0C0C0"/>
            </w:tcBorders>
          </w:tcPr>
          <w:p w14:paraId="6D54F012" w14:textId="77777777" w:rsidR="001C6501" w:rsidRPr="002C70E8" w:rsidRDefault="001C6501" w:rsidP="002C70E8">
            <w:pPr>
              <w:pStyle w:val="TableParagraph"/>
              <w:spacing w:before="13"/>
              <w:ind w:left="298"/>
              <w:jc w:val="right"/>
              <w:rPr>
                <w:rFonts w:ascii="Arial" w:eastAsia="Arial" w:hAnsi="Arial" w:cs="Arial"/>
                <w:sz w:val="16"/>
                <w:szCs w:val="16"/>
              </w:rPr>
            </w:pPr>
            <w:r w:rsidRPr="002C70E8">
              <w:rPr>
                <w:rFonts w:ascii="Arial"/>
                <w:spacing w:val="-1"/>
                <w:sz w:val="16"/>
                <w:szCs w:val="16"/>
              </w:rPr>
              <w:t>36%</w:t>
            </w:r>
          </w:p>
        </w:tc>
        <w:tc>
          <w:tcPr>
            <w:tcW w:w="709" w:type="dxa"/>
            <w:tcBorders>
              <w:top w:val="single" w:sz="2" w:space="0" w:color="000000"/>
              <w:left w:val="single" w:sz="9" w:space="0" w:color="C0C0C0"/>
              <w:bottom w:val="single" w:sz="2" w:space="0" w:color="000000"/>
              <w:right w:val="single" w:sz="9" w:space="0" w:color="333333"/>
            </w:tcBorders>
          </w:tcPr>
          <w:p w14:paraId="6E8AD8A0" w14:textId="77777777" w:rsidR="001C6501" w:rsidRPr="002C70E8" w:rsidRDefault="001C6501" w:rsidP="002C70E8">
            <w:pPr>
              <w:pStyle w:val="TableParagraph"/>
              <w:spacing w:before="13"/>
              <w:ind w:left="298"/>
              <w:jc w:val="right"/>
              <w:rPr>
                <w:rFonts w:ascii="Arial" w:eastAsia="Arial" w:hAnsi="Arial" w:cs="Arial"/>
                <w:sz w:val="16"/>
                <w:szCs w:val="16"/>
              </w:rPr>
            </w:pPr>
            <w:r w:rsidRPr="002C70E8">
              <w:rPr>
                <w:rFonts w:ascii="Arial"/>
                <w:spacing w:val="-1"/>
                <w:sz w:val="16"/>
                <w:szCs w:val="16"/>
              </w:rPr>
              <w:t>15%</w:t>
            </w:r>
          </w:p>
        </w:tc>
        <w:tc>
          <w:tcPr>
            <w:tcW w:w="1701" w:type="dxa"/>
            <w:tcBorders>
              <w:top w:val="single" w:sz="2" w:space="0" w:color="000000"/>
              <w:left w:val="single" w:sz="9" w:space="0" w:color="333333"/>
              <w:bottom w:val="single" w:sz="2" w:space="0" w:color="000000"/>
              <w:right w:val="single" w:sz="9" w:space="0" w:color="333333"/>
            </w:tcBorders>
          </w:tcPr>
          <w:p w14:paraId="5FA55627" w14:textId="77777777" w:rsidR="001C6501" w:rsidRPr="002C70E8" w:rsidRDefault="001C6501" w:rsidP="002C70E8">
            <w:pPr>
              <w:pStyle w:val="TableParagraph"/>
              <w:spacing w:line="224" w:lineRule="exact"/>
              <w:ind w:left="393"/>
              <w:jc w:val="right"/>
              <w:rPr>
                <w:rFonts w:ascii="Arial" w:eastAsia="Arial" w:hAnsi="Arial" w:cs="Arial"/>
                <w:sz w:val="16"/>
                <w:szCs w:val="16"/>
              </w:rPr>
            </w:pPr>
            <w:r w:rsidRPr="002C70E8">
              <w:rPr>
                <w:rFonts w:ascii="Arial"/>
                <w:spacing w:val="-1"/>
                <w:sz w:val="16"/>
                <w:szCs w:val="16"/>
              </w:rPr>
              <w:t>19,584</w:t>
            </w:r>
          </w:p>
        </w:tc>
      </w:tr>
      <w:tr w:rsidR="002C70E8" w14:paraId="22D5B379" w14:textId="77777777" w:rsidTr="006B1840">
        <w:trPr>
          <w:trHeight w:hRule="exact" w:val="289"/>
        </w:trPr>
        <w:tc>
          <w:tcPr>
            <w:tcW w:w="1062" w:type="dxa"/>
            <w:vMerge/>
            <w:tcBorders>
              <w:left w:val="single" w:sz="9" w:space="0" w:color="333333"/>
              <w:right w:val="single" w:sz="9" w:space="0" w:color="333333"/>
            </w:tcBorders>
          </w:tcPr>
          <w:p w14:paraId="0D66ADD0" w14:textId="77777777" w:rsidR="001C6501" w:rsidRPr="002C70E8" w:rsidRDefault="001C6501" w:rsidP="001C6501">
            <w:pPr>
              <w:rPr>
                <w:sz w:val="16"/>
                <w:szCs w:val="16"/>
              </w:rPr>
            </w:pPr>
          </w:p>
        </w:tc>
        <w:tc>
          <w:tcPr>
            <w:tcW w:w="3119" w:type="dxa"/>
            <w:tcBorders>
              <w:top w:val="single" w:sz="2" w:space="0" w:color="000000"/>
              <w:left w:val="single" w:sz="9" w:space="0" w:color="333333"/>
              <w:bottom w:val="single" w:sz="2" w:space="0" w:color="000000"/>
              <w:right w:val="single" w:sz="9" w:space="0" w:color="000000"/>
            </w:tcBorders>
          </w:tcPr>
          <w:p w14:paraId="3726B4E4" w14:textId="77777777" w:rsidR="001C6501" w:rsidRPr="002C70E8" w:rsidRDefault="001C6501" w:rsidP="001C6501">
            <w:pPr>
              <w:pStyle w:val="TableParagraph"/>
              <w:spacing w:before="40"/>
              <w:ind w:left="27"/>
              <w:rPr>
                <w:rFonts w:ascii="Arial" w:eastAsia="Arial" w:hAnsi="Arial" w:cs="Arial"/>
                <w:sz w:val="16"/>
                <w:szCs w:val="16"/>
              </w:rPr>
            </w:pPr>
            <w:r w:rsidRPr="002C70E8">
              <w:rPr>
                <w:rFonts w:ascii="Arial"/>
                <w:spacing w:val="-1"/>
                <w:sz w:val="16"/>
                <w:szCs w:val="16"/>
              </w:rPr>
              <w:t xml:space="preserve">Kerb </w:t>
            </w:r>
            <w:r w:rsidRPr="002C70E8">
              <w:rPr>
                <w:rFonts w:ascii="Arial"/>
                <w:sz w:val="16"/>
                <w:szCs w:val="16"/>
              </w:rPr>
              <w:t>and</w:t>
            </w:r>
            <w:r w:rsidRPr="002C70E8">
              <w:rPr>
                <w:rFonts w:ascii="Arial"/>
                <w:spacing w:val="-1"/>
                <w:sz w:val="16"/>
                <w:szCs w:val="16"/>
              </w:rPr>
              <w:t xml:space="preserve"> Gutter</w:t>
            </w:r>
          </w:p>
        </w:tc>
        <w:tc>
          <w:tcPr>
            <w:tcW w:w="1417" w:type="dxa"/>
            <w:tcBorders>
              <w:top w:val="single" w:sz="2" w:space="0" w:color="000000"/>
              <w:left w:val="single" w:sz="9" w:space="0" w:color="000000"/>
              <w:bottom w:val="single" w:sz="2" w:space="0" w:color="000000"/>
              <w:right w:val="single" w:sz="9" w:space="0" w:color="C0C0C0"/>
            </w:tcBorders>
          </w:tcPr>
          <w:p w14:paraId="62F66EBC" w14:textId="77777777" w:rsidR="001C6501" w:rsidRPr="002C70E8" w:rsidRDefault="001C6501" w:rsidP="002C70E8">
            <w:pPr>
              <w:pStyle w:val="TableParagraph"/>
              <w:spacing w:before="40"/>
              <w:ind w:right="92"/>
              <w:jc w:val="right"/>
              <w:rPr>
                <w:rFonts w:ascii="Arial" w:eastAsia="Arial" w:hAnsi="Arial" w:cs="Arial"/>
                <w:sz w:val="16"/>
                <w:szCs w:val="16"/>
              </w:rPr>
            </w:pPr>
            <w:r w:rsidRPr="002C70E8">
              <w:rPr>
                <w:rFonts w:ascii="Arial"/>
                <w:w w:val="95"/>
                <w:sz w:val="16"/>
                <w:szCs w:val="16"/>
              </w:rPr>
              <w:t>-</w:t>
            </w:r>
          </w:p>
        </w:tc>
        <w:tc>
          <w:tcPr>
            <w:tcW w:w="1417" w:type="dxa"/>
            <w:tcBorders>
              <w:top w:val="single" w:sz="2" w:space="0" w:color="000000"/>
              <w:left w:val="single" w:sz="9" w:space="0" w:color="C0C0C0"/>
              <w:bottom w:val="single" w:sz="2" w:space="0" w:color="000000"/>
              <w:right w:val="single" w:sz="9" w:space="0" w:color="000000"/>
            </w:tcBorders>
          </w:tcPr>
          <w:p w14:paraId="23030F52" w14:textId="77777777" w:rsidR="001C6501" w:rsidRPr="002C70E8" w:rsidRDefault="001C6501" w:rsidP="002C70E8">
            <w:pPr>
              <w:pStyle w:val="TableParagraph"/>
              <w:spacing w:before="40"/>
              <w:ind w:left="670"/>
              <w:jc w:val="right"/>
              <w:rPr>
                <w:rFonts w:ascii="Arial" w:eastAsia="Arial" w:hAnsi="Arial" w:cs="Arial"/>
                <w:sz w:val="16"/>
                <w:szCs w:val="16"/>
              </w:rPr>
            </w:pPr>
            <w:r w:rsidRPr="002C70E8">
              <w:rPr>
                <w:rFonts w:ascii="Arial"/>
                <w:sz w:val="16"/>
                <w:szCs w:val="16"/>
              </w:rPr>
              <w:t>254</w:t>
            </w:r>
          </w:p>
        </w:tc>
        <w:tc>
          <w:tcPr>
            <w:tcW w:w="1418" w:type="dxa"/>
            <w:tcBorders>
              <w:top w:val="single" w:sz="2" w:space="0" w:color="000000"/>
              <w:left w:val="single" w:sz="9" w:space="0" w:color="000000"/>
              <w:bottom w:val="single" w:sz="2" w:space="0" w:color="000000"/>
              <w:right w:val="single" w:sz="9" w:space="0" w:color="333333"/>
            </w:tcBorders>
          </w:tcPr>
          <w:p w14:paraId="476F7B47" w14:textId="77777777" w:rsidR="001C6501" w:rsidRPr="002C70E8" w:rsidRDefault="001C6501" w:rsidP="002C70E8">
            <w:pPr>
              <w:pStyle w:val="TableParagraph"/>
              <w:spacing w:before="40"/>
              <w:ind w:left="393"/>
              <w:jc w:val="right"/>
              <w:rPr>
                <w:rFonts w:ascii="Arial" w:eastAsia="Arial" w:hAnsi="Arial" w:cs="Arial"/>
                <w:sz w:val="16"/>
                <w:szCs w:val="16"/>
              </w:rPr>
            </w:pPr>
            <w:r w:rsidRPr="002C70E8">
              <w:rPr>
                <w:rFonts w:ascii="Arial"/>
                <w:spacing w:val="-1"/>
                <w:sz w:val="16"/>
                <w:szCs w:val="16"/>
              </w:rPr>
              <w:t>96,005</w:t>
            </w:r>
          </w:p>
        </w:tc>
        <w:tc>
          <w:tcPr>
            <w:tcW w:w="1276" w:type="dxa"/>
            <w:tcBorders>
              <w:top w:val="single" w:sz="2" w:space="0" w:color="000000"/>
              <w:left w:val="single" w:sz="9" w:space="0" w:color="333333"/>
              <w:bottom w:val="single" w:sz="2" w:space="0" w:color="000000"/>
              <w:right w:val="single" w:sz="9" w:space="0" w:color="333333"/>
            </w:tcBorders>
          </w:tcPr>
          <w:p w14:paraId="1AD93F5E" w14:textId="77777777" w:rsidR="001C6501" w:rsidRPr="002C70E8" w:rsidRDefault="001C6501" w:rsidP="002C70E8">
            <w:pPr>
              <w:pStyle w:val="TableParagraph"/>
              <w:spacing w:before="40"/>
              <w:ind w:left="393"/>
              <w:jc w:val="right"/>
              <w:rPr>
                <w:rFonts w:ascii="Arial" w:eastAsia="Arial" w:hAnsi="Arial" w:cs="Arial"/>
                <w:sz w:val="16"/>
                <w:szCs w:val="16"/>
              </w:rPr>
            </w:pPr>
            <w:r w:rsidRPr="002C70E8">
              <w:rPr>
                <w:rFonts w:ascii="Arial"/>
                <w:spacing w:val="-1"/>
                <w:sz w:val="16"/>
                <w:szCs w:val="16"/>
              </w:rPr>
              <w:t>33,447</w:t>
            </w:r>
          </w:p>
        </w:tc>
        <w:tc>
          <w:tcPr>
            <w:tcW w:w="709" w:type="dxa"/>
            <w:tcBorders>
              <w:top w:val="single" w:sz="2" w:space="0" w:color="000000"/>
              <w:left w:val="single" w:sz="9" w:space="0" w:color="333333"/>
              <w:bottom w:val="single" w:sz="2" w:space="0" w:color="000000"/>
              <w:right w:val="single" w:sz="9" w:space="0" w:color="C0C0C0"/>
            </w:tcBorders>
          </w:tcPr>
          <w:p w14:paraId="1B60B432" w14:textId="77777777" w:rsidR="001C6501" w:rsidRPr="002C70E8" w:rsidRDefault="001C6501" w:rsidP="002C70E8">
            <w:pPr>
              <w:pStyle w:val="TableParagraph"/>
              <w:spacing w:before="58"/>
              <w:ind w:left="328"/>
              <w:jc w:val="right"/>
              <w:rPr>
                <w:rFonts w:ascii="Arial" w:eastAsia="Arial" w:hAnsi="Arial" w:cs="Arial"/>
                <w:sz w:val="16"/>
                <w:szCs w:val="16"/>
              </w:rPr>
            </w:pPr>
            <w:r w:rsidRPr="002C70E8">
              <w:rPr>
                <w:rFonts w:ascii="Arial"/>
                <w:spacing w:val="-1"/>
                <w:sz w:val="16"/>
                <w:szCs w:val="16"/>
              </w:rPr>
              <w:t>1%</w:t>
            </w:r>
          </w:p>
        </w:tc>
        <w:tc>
          <w:tcPr>
            <w:tcW w:w="709" w:type="dxa"/>
            <w:tcBorders>
              <w:top w:val="single" w:sz="2" w:space="0" w:color="000000"/>
              <w:left w:val="single" w:sz="9" w:space="0" w:color="C0C0C0"/>
              <w:bottom w:val="single" w:sz="2" w:space="0" w:color="000000"/>
              <w:right w:val="single" w:sz="9" w:space="0" w:color="C0C0C0"/>
            </w:tcBorders>
          </w:tcPr>
          <w:p w14:paraId="67ED9ABC" w14:textId="77777777" w:rsidR="001C6501" w:rsidRPr="002C70E8" w:rsidRDefault="001C6501" w:rsidP="002C70E8">
            <w:pPr>
              <w:pStyle w:val="TableParagraph"/>
              <w:spacing w:before="58"/>
              <w:ind w:left="298"/>
              <w:jc w:val="right"/>
              <w:rPr>
                <w:rFonts w:ascii="Arial" w:eastAsia="Arial" w:hAnsi="Arial" w:cs="Arial"/>
                <w:sz w:val="16"/>
                <w:szCs w:val="16"/>
              </w:rPr>
            </w:pPr>
            <w:r w:rsidRPr="002C70E8">
              <w:rPr>
                <w:rFonts w:ascii="Arial"/>
                <w:spacing w:val="-1"/>
                <w:sz w:val="16"/>
                <w:szCs w:val="16"/>
              </w:rPr>
              <w:t>22%</w:t>
            </w:r>
          </w:p>
        </w:tc>
        <w:tc>
          <w:tcPr>
            <w:tcW w:w="709" w:type="dxa"/>
            <w:tcBorders>
              <w:top w:val="single" w:sz="2" w:space="0" w:color="000000"/>
              <w:left w:val="single" w:sz="9" w:space="0" w:color="C0C0C0"/>
              <w:bottom w:val="single" w:sz="2" w:space="0" w:color="000000"/>
              <w:right w:val="single" w:sz="9" w:space="0" w:color="C0C0C0"/>
            </w:tcBorders>
          </w:tcPr>
          <w:p w14:paraId="2155FD75" w14:textId="77777777" w:rsidR="001C6501" w:rsidRPr="002C70E8" w:rsidRDefault="001C6501" w:rsidP="002C70E8">
            <w:pPr>
              <w:pStyle w:val="TableParagraph"/>
              <w:spacing w:before="58"/>
              <w:ind w:left="298"/>
              <w:jc w:val="right"/>
              <w:rPr>
                <w:rFonts w:ascii="Arial" w:eastAsia="Arial" w:hAnsi="Arial" w:cs="Arial"/>
                <w:sz w:val="16"/>
                <w:szCs w:val="16"/>
              </w:rPr>
            </w:pPr>
            <w:r w:rsidRPr="002C70E8">
              <w:rPr>
                <w:rFonts w:ascii="Arial"/>
                <w:spacing w:val="-1"/>
                <w:sz w:val="16"/>
                <w:szCs w:val="16"/>
              </w:rPr>
              <w:t>59%</w:t>
            </w:r>
          </w:p>
        </w:tc>
        <w:tc>
          <w:tcPr>
            <w:tcW w:w="708" w:type="dxa"/>
            <w:tcBorders>
              <w:top w:val="single" w:sz="2" w:space="0" w:color="000000"/>
              <w:left w:val="single" w:sz="9" w:space="0" w:color="C0C0C0"/>
              <w:bottom w:val="single" w:sz="2" w:space="0" w:color="000000"/>
              <w:right w:val="single" w:sz="9" w:space="0" w:color="C0C0C0"/>
            </w:tcBorders>
          </w:tcPr>
          <w:p w14:paraId="7AE93F34" w14:textId="77777777" w:rsidR="001C6501" w:rsidRPr="002C70E8" w:rsidRDefault="001C6501" w:rsidP="002C70E8">
            <w:pPr>
              <w:pStyle w:val="TableParagraph"/>
              <w:spacing w:before="58"/>
              <w:ind w:left="298"/>
              <w:jc w:val="right"/>
              <w:rPr>
                <w:rFonts w:ascii="Arial" w:eastAsia="Arial" w:hAnsi="Arial" w:cs="Arial"/>
                <w:sz w:val="16"/>
                <w:szCs w:val="16"/>
              </w:rPr>
            </w:pPr>
            <w:r w:rsidRPr="002C70E8">
              <w:rPr>
                <w:rFonts w:ascii="Arial"/>
                <w:spacing w:val="-1"/>
                <w:sz w:val="16"/>
                <w:szCs w:val="16"/>
              </w:rPr>
              <w:t>18%</w:t>
            </w:r>
          </w:p>
        </w:tc>
        <w:tc>
          <w:tcPr>
            <w:tcW w:w="709" w:type="dxa"/>
            <w:tcBorders>
              <w:top w:val="single" w:sz="2" w:space="0" w:color="000000"/>
              <w:left w:val="single" w:sz="9" w:space="0" w:color="C0C0C0"/>
              <w:bottom w:val="single" w:sz="2" w:space="0" w:color="000000"/>
              <w:right w:val="single" w:sz="9" w:space="0" w:color="333333"/>
            </w:tcBorders>
          </w:tcPr>
          <w:p w14:paraId="612A9597" w14:textId="77777777" w:rsidR="001C6501" w:rsidRPr="002C70E8" w:rsidRDefault="001C6501" w:rsidP="002C70E8">
            <w:pPr>
              <w:pStyle w:val="TableParagraph"/>
              <w:spacing w:before="58"/>
              <w:ind w:left="328"/>
              <w:jc w:val="right"/>
              <w:rPr>
                <w:rFonts w:ascii="Arial" w:eastAsia="Arial" w:hAnsi="Arial" w:cs="Arial"/>
                <w:sz w:val="16"/>
                <w:szCs w:val="16"/>
              </w:rPr>
            </w:pPr>
            <w:r w:rsidRPr="002C70E8">
              <w:rPr>
                <w:rFonts w:ascii="Arial"/>
                <w:spacing w:val="-1"/>
                <w:sz w:val="16"/>
                <w:szCs w:val="16"/>
              </w:rPr>
              <w:t>0%</w:t>
            </w:r>
          </w:p>
        </w:tc>
        <w:tc>
          <w:tcPr>
            <w:tcW w:w="1701" w:type="dxa"/>
            <w:tcBorders>
              <w:top w:val="single" w:sz="2" w:space="0" w:color="000000"/>
              <w:left w:val="single" w:sz="9" w:space="0" w:color="333333"/>
              <w:bottom w:val="single" w:sz="2" w:space="0" w:color="000000"/>
              <w:right w:val="single" w:sz="9" w:space="0" w:color="333333"/>
            </w:tcBorders>
          </w:tcPr>
          <w:p w14:paraId="39B9AAAE" w14:textId="77777777" w:rsidR="001C6501" w:rsidRPr="002C70E8" w:rsidRDefault="001C6501" w:rsidP="002C70E8">
            <w:pPr>
              <w:pStyle w:val="TableParagraph"/>
              <w:spacing w:before="40"/>
              <w:ind w:left="393"/>
              <w:jc w:val="right"/>
              <w:rPr>
                <w:rFonts w:ascii="Arial" w:eastAsia="Arial" w:hAnsi="Arial" w:cs="Arial"/>
                <w:sz w:val="16"/>
                <w:szCs w:val="16"/>
              </w:rPr>
            </w:pPr>
            <w:r w:rsidRPr="002C70E8">
              <w:rPr>
                <w:rFonts w:ascii="Arial"/>
                <w:spacing w:val="-1"/>
                <w:sz w:val="16"/>
                <w:szCs w:val="16"/>
              </w:rPr>
              <w:t>17,281</w:t>
            </w:r>
          </w:p>
        </w:tc>
      </w:tr>
      <w:tr w:rsidR="002C70E8" w14:paraId="75F112D5" w14:textId="77777777" w:rsidTr="006B1840">
        <w:trPr>
          <w:trHeight w:hRule="exact" w:val="243"/>
        </w:trPr>
        <w:tc>
          <w:tcPr>
            <w:tcW w:w="1062" w:type="dxa"/>
            <w:vMerge/>
            <w:tcBorders>
              <w:left w:val="single" w:sz="9" w:space="0" w:color="333333"/>
              <w:right w:val="single" w:sz="9" w:space="0" w:color="333333"/>
            </w:tcBorders>
          </w:tcPr>
          <w:p w14:paraId="7B52EFC3" w14:textId="77777777" w:rsidR="001C6501" w:rsidRPr="002C70E8" w:rsidRDefault="001C6501" w:rsidP="001C6501">
            <w:pPr>
              <w:rPr>
                <w:sz w:val="16"/>
                <w:szCs w:val="16"/>
              </w:rPr>
            </w:pPr>
          </w:p>
        </w:tc>
        <w:tc>
          <w:tcPr>
            <w:tcW w:w="3119" w:type="dxa"/>
            <w:tcBorders>
              <w:top w:val="single" w:sz="2" w:space="0" w:color="000000"/>
              <w:left w:val="single" w:sz="9" w:space="0" w:color="333333"/>
              <w:bottom w:val="single" w:sz="2" w:space="0" w:color="000000"/>
              <w:right w:val="single" w:sz="9" w:space="0" w:color="000000"/>
            </w:tcBorders>
          </w:tcPr>
          <w:p w14:paraId="37C4FEA1" w14:textId="77777777" w:rsidR="001C6501" w:rsidRPr="002C70E8" w:rsidRDefault="001C6501" w:rsidP="001C6501">
            <w:pPr>
              <w:pStyle w:val="TableParagraph"/>
              <w:spacing w:line="224" w:lineRule="exact"/>
              <w:ind w:left="27"/>
              <w:rPr>
                <w:rFonts w:ascii="Arial" w:eastAsia="Arial" w:hAnsi="Arial" w:cs="Arial"/>
                <w:sz w:val="16"/>
                <w:szCs w:val="16"/>
              </w:rPr>
            </w:pPr>
            <w:r w:rsidRPr="002C70E8">
              <w:rPr>
                <w:rFonts w:ascii="Arial"/>
                <w:spacing w:val="-1"/>
                <w:sz w:val="16"/>
                <w:szCs w:val="16"/>
              </w:rPr>
              <w:t>Other</w:t>
            </w:r>
            <w:r w:rsidRPr="002C70E8">
              <w:rPr>
                <w:rFonts w:ascii="Arial"/>
                <w:spacing w:val="-2"/>
                <w:sz w:val="16"/>
                <w:szCs w:val="16"/>
              </w:rPr>
              <w:t xml:space="preserve"> </w:t>
            </w:r>
            <w:r w:rsidRPr="002C70E8">
              <w:rPr>
                <w:rFonts w:ascii="Arial"/>
                <w:sz w:val="16"/>
                <w:szCs w:val="16"/>
              </w:rPr>
              <w:t>Road</w:t>
            </w:r>
            <w:r w:rsidRPr="002C70E8">
              <w:rPr>
                <w:rFonts w:ascii="Arial"/>
                <w:spacing w:val="-1"/>
                <w:sz w:val="16"/>
                <w:szCs w:val="16"/>
              </w:rPr>
              <w:t xml:space="preserve"> Assets</w:t>
            </w:r>
          </w:p>
        </w:tc>
        <w:tc>
          <w:tcPr>
            <w:tcW w:w="1417" w:type="dxa"/>
            <w:tcBorders>
              <w:top w:val="single" w:sz="2" w:space="0" w:color="000000"/>
              <w:left w:val="single" w:sz="9" w:space="0" w:color="000000"/>
              <w:bottom w:val="single" w:sz="2" w:space="0" w:color="000000"/>
              <w:right w:val="single" w:sz="9" w:space="0" w:color="C0C0C0"/>
            </w:tcBorders>
          </w:tcPr>
          <w:p w14:paraId="1B694AD2" w14:textId="77777777" w:rsidR="001C6501" w:rsidRPr="002C70E8" w:rsidRDefault="001C6501" w:rsidP="002C70E8">
            <w:pPr>
              <w:pStyle w:val="TableParagraph"/>
              <w:spacing w:line="224" w:lineRule="exact"/>
              <w:ind w:right="92"/>
              <w:jc w:val="right"/>
              <w:rPr>
                <w:rFonts w:ascii="Arial" w:eastAsia="Arial" w:hAnsi="Arial" w:cs="Arial"/>
                <w:sz w:val="16"/>
                <w:szCs w:val="16"/>
              </w:rPr>
            </w:pPr>
            <w:r w:rsidRPr="002C70E8">
              <w:rPr>
                <w:rFonts w:ascii="Arial"/>
                <w:w w:val="95"/>
                <w:sz w:val="16"/>
                <w:szCs w:val="16"/>
              </w:rPr>
              <w:t>-</w:t>
            </w:r>
          </w:p>
        </w:tc>
        <w:tc>
          <w:tcPr>
            <w:tcW w:w="1417" w:type="dxa"/>
            <w:tcBorders>
              <w:top w:val="single" w:sz="2" w:space="0" w:color="000000"/>
              <w:left w:val="single" w:sz="9" w:space="0" w:color="C0C0C0"/>
              <w:bottom w:val="single" w:sz="2" w:space="0" w:color="000000"/>
              <w:right w:val="single" w:sz="9" w:space="0" w:color="000000"/>
            </w:tcBorders>
          </w:tcPr>
          <w:p w14:paraId="31681615" w14:textId="77777777" w:rsidR="001C6501" w:rsidRPr="002C70E8" w:rsidRDefault="001C6501" w:rsidP="002C70E8">
            <w:pPr>
              <w:pStyle w:val="TableParagraph"/>
              <w:spacing w:line="224" w:lineRule="exact"/>
              <w:ind w:right="92"/>
              <w:jc w:val="right"/>
              <w:rPr>
                <w:rFonts w:ascii="Arial" w:eastAsia="Arial" w:hAnsi="Arial" w:cs="Arial"/>
                <w:sz w:val="16"/>
                <w:szCs w:val="16"/>
              </w:rPr>
            </w:pPr>
            <w:r w:rsidRPr="002C70E8">
              <w:rPr>
                <w:rFonts w:ascii="Arial"/>
                <w:w w:val="95"/>
                <w:sz w:val="16"/>
                <w:szCs w:val="16"/>
              </w:rPr>
              <w:t>-</w:t>
            </w:r>
          </w:p>
        </w:tc>
        <w:tc>
          <w:tcPr>
            <w:tcW w:w="1418" w:type="dxa"/>
            <w:tcBorders>
              <w:top w:val="single" w:sz="2" w:space="0" w:color="000000"/>
              <w:left w:val="single" w:sz="9" w:space="0" w:color="000000"/>
              <w:bottom w:val="single" w:sz="2" w:space="0" w:color="000000"/>
              <w:right w:val="single" w:sz="9" w:space="0" w:color="333333"/>
            </w:tcBorders>
          </w:tcPr>
          <w:p w14:paraId="0123FB86" w14:textId="77777777" w:rsidR="001C6501" w:rsidRPr="002C70E8" w:rsidRDefault="001C6501" w:rsidP="002C70E8">
            <w:pPr>
              <w:pStyle w:val="TableParagraph"/>
              <w:spacing w:line="224" w:lineRule="exact"/>
              <w:ind w:left="393"/>
              <w:jc w:val="right"/>
              <w:rPr>
                <w:rFonts w:ascii="Arial" w:eastAsia="Arial" w:hAnsi="Arial" w:cs="Arial"/>
                <w:sz w:val="16"/>
                <w:szCs w:val="16"/>
              </w:rPr>
            </w:pPr>
            <w:r w:rsidRPr="002C70E8">
              <w:rPr>
                <w:rFonts w:ascii="Arial"/>
                <w:spacing w:val="-1"/>
                <w:sz w:val="16"/>
                <w:szCs w:val="16"/>
              </w:rPr>
              <w:t>28,260</w:t>
            </w:r>
          </w:p>
        </w:tc>
        <w:tc>
          <w:tcPr>
            <w:tcW w:w="1276" w:type="dxa"/>
            <w:tcBorders>
              <w:top w:val="single" w:sz="2" w:space="0" w:color="000000"/>
              <w:left w:val="single" w:sz="9" w:space="0" w:color="333333"/>
              <w:bottom w:val="single" w:sz="2" w:space="0" w:color="000000"/>
              <w:right w:val="single" w:sz="9" w:space="0" w:color="333333"/>
            </w:tcBorders>
          </w:tcPr>
          <w:p w14:paraId="5C74F9A0" w14:textId="77777777" w:rsidR="001C6501" w:rsidRPr="002C70E8" w:rsidRDefault="001C6501" w:rsidP="002C70E8">
            <w:pPr>
              <w:pStyle w:val="TableParagraph"/>
              <w:spacing w:line="224" w:lineRule="exact"/>
              <w:ind w:left="393"/>
              <w:jc w:val="right"/>
              <w:rPr>
                <w:rFonts w:ascii="Arial" w:eastAsia="Arial" w:hAnsi="Arial" w:cs="Arial"/>
                <w:sz w:val="16"/>
                <w:szCs w:val="16"/>
              </w:rPr>
            </w:pPr>
            <w:r w:rsidRPr="002C70E8">
              <w:rPr>
                <w:rFonts w:ascii="Arial"/>
                <w:spacing w:val="-1"/>
                <w:sz w:val="16"/>
                <w:szCs w:val="16"/>
              </w:rPr>
              <w:t>11,740</w:t>
            </w:r>
          </w:p>
        </w:tc>
        <w:tc>
          <w:tcPr>
            <w:tcW w:w="709" w:type="dxa"/>
            <w:tcBorders>
              <w:top w:val="single" w:sz="2" w:space="0" w:color="000000"/>
              <w:left w:val="single" w:sz="9" w:space="0" w:color="333333"/>
              <w:bottom w:val="single" w:sz="2" w:space="0" w:color="000000"/>
              <w:right w:val="single" w:sz="9" w:space="0" w:color="C0C0C0"/>
            </w:tcBorders>
          </w:tcPr>
          <w:p w14:paraId="0E9966F1" w14:textId="77777777" w:rsidR="001C6501" w:rsidRPr="002C70E8" w:rsidRDefault="001C6501" w:rsidP="002C70E8">
            <w:pPr>
              <w:pStyle w:val="TableParagraph"/>
              <w:spacing w:before="13"/>
              <w:ind w:left="328"/>
              <w:jc w:val="right"/>
              <w:rPr>
                <w:rFonts w:ascii="Arial" w:eastAsia="Arial" w:hAnsi="Arial" w:cs="Arial"/>
                <w:sz w:val="16"/>
                <w:szCs w:val="16"/>
              </w:rPr>
            </w:pPr>
            <w:r w:rsidRPr="002C70E8">
              <w:rPr>
                <w:rFonts w:ascii="Arial"/>
                <w:spacing w:val="-1"/>
                <w:sz w:val="16"/>
                <w:szCs w:val="16"/>
              </w:rPr>
              <w:t>1%</w:t>
            </w:r>
          </w:p>
        </w:tc>
        <w:tc>
          <w:tcPr>
            <w:tcW w:w="709" w:type="dxa"/>
            <w:tcBorders>
              <w:top w:val="single" w:sz="2" w:space="0" w:color="000000"/>
              <w:left w:val="single" w:sz="9" w:space="0" w:color="C0C0C0"/>
              <w:bottom w:val="single" w:sz="2" w:space="0" w:color="000000"/>
              <w:right w:val="single" w:sz="9" w:space="0" w:color="C0C0C0"/>
            </w:tcBorders>
          </w:tcPr>
          <w:p w14:paraId="2E0ED523" w14:textId="77777777" w:rsidR="001C6501" w:rsidRPr="002C70E8" w:rsidRDefault="001C6501" w:rsidP="002C70E8">
            <w:pPr>
              <w:pStyle w:val="TableParagraph"/>
              <w:spacing w:before="13"/>
              <w:ind w:left="298"/>
              <w:jc w:val="right"/>
              <w:rPr>
                <w:rFonts w:ascii="Arial" w:eastAsia="Arial" w:hAnsi="Arial" w:cs="Arial"/>
                <w:sz w:val="16"/>
                <w:szCs w:val="16"/>
              </w:rPr>
            </w:pPr>
            <w:r w:rsidRPr="002C70E8">
              <w:rPr>
                <w:rFonts w:ascii="Arial"/>
                <w:spacing w:val="-1"/>
                <w:sz w:val="16"/>
                <w:szCs w:val="16"/>
              </w:rPr>
              <w:t>22%</w:t>
            </w:r>
          </w:p>
        </w:tc>
        <w:tc>
          <w:tcPr>
            <w:tcW w:w="709" w:type="dxa"/>
            <w:tcBorders>
              <w:top w:val="single" w:sz="2" w:space="0" w:color="000000"/>
              <w:left w:val="single" w:sz="9" w:space="0" w:color="C0C0C0"/>
              <w:bottom w:val="single" w:sz="2" w:space="0" w:color="000000"/>
              <w:right w:val="single" w:sz="9" w:space="0" w:color="C0C0C0"/>
            </w:tcBorders>
          </w:tcPr>
          <w:p w14:paraId="0A13724A" w14:textId="77777777" w:rsidR="001C6501" w:rsidRPr="002C70E8" w:rsidRDefault="001C6501" w:rsidP="002C70E8">
            <w:pPr>
              <w:pStyle w:val="TableParagraph"/>
              <w:spacing w:before="13"/>
              <w:ind w:left="298"/>
              <w:jc w:val="right"/>
              <w:rPr>
                <w:rFonts w:ascii="Arial" w:eastAsia="Arial" w:hAnsi="Arial" w:cs="Arial"/>
                <w:sz w:val="16"/>
                <w:szCs w:val="16"/>
              </w:rPr>
            </w:pPr>
            <w:r w:rsidRPr="002C70E8">
              <w:rPr>
                <w:rFonts w:ascii="Arial"/>
                <w:spacing w:val="-1"/>
                <w:sz w:val="16"/>
                <w:szCs w:val="16"/>
              </w:rPr>
              <w:t>59%</w:t>
            </w:r>
          </w:p>
        </w:tc>
        <w:tc>
          <w:tcPr>
            <w:tcW w:w="708" w:type="dxa"/>
            <w:tcBorders>
              <w:top w:val="single" w:sz="2" w:space="0" w:color="000000"/>
              <w:left w:val="single" w:sz="9" w:space="0" w:color="C0C0C0"/>
              <w:bottom w:val="single" w:sz="2" w:space="0" w:color="000000"/>
              <w:right w:val="single" w:sz="9" w:space="0" w:color="C0C0C0"/>
            </w:tcBorders>
          </w:tcPr>
          <w:p w14:paraId="27143ACE" w14:textId="77777777" w:rsidR="001C6501" w:rsidRPr="002C70E8" w:rsidRDefault="001C6501" w:rsidP="002C70E8">
            <w:pPr>
              <w:pStyle w:val="TableParagraph"/>
              <w:spacing w:before="13"/>
              <w:ind w:left="298"/>
              <w:jc w:val="right"/>
              <w:rPr>
                <w:rFonts w:ascii="Arial" w:eastAsia="Arial" w:hAnsi="Arial" w:cs="Arial"/>
                <w:sz w:val="16"/>
                <w:szCs w:val="16"/>
              </w:rPr>
            </w:pPr>
            <w:r w:rsidRPr="002C70E8">
              <w:rPr>
                <w:rFonts w:ascii="Arial"/>
                <w:spacing w:val="-1"/>
                <w:sz w:val="16"/>
                <w:szCs w:val="16"/>
              </w:rPr>
              <w:t>18%</w:t>
            </w:r>
          </w:p>
        </w:tc>
        <w:tc>
          <w:tcPr>
            <w:tcW w:w="709" w:type="dxa"/>
            <w:tcBorders>
              <w:top w:val="single" w:sz="2" w:space="0" w:color="000000"/>
              <w:left w:val="single" w:sz="9" w:space="0" w:color="C0C0C0"/>
              <w:bottom w:val="single" w:sz="2" w:space="0" w:color="000000"/>
              <w:right w:val="single" w:sz="9" w:space="0" w:color="333333"/>
            </w:tcBorders>
          </w:tcPr>
          <w:p w14:paraId="4E20B3F9" w14:textId="77777777" w:rsidR="001C6501" w:rsidRPr="002C70E8" w:rsidRDefault="001C6501" w:rsidP="002C70E8">
            <w:pPr>
              <w:pStyle w:val="TableParagraph"/>
              <w:spacing w:before="13"/>
              <w:ind w:left="328"/>
              <w:jc w:val="right"/>
              <w:rPr>
                <w:rFonts w:ascii="Arial" w:eastAsia="Arial" w:hAnsi="Arial" w:cs="Arial"/>
                <w:sz w:val="16"/>
                <w:szCs w:val="16"/>
              </w:rPr>
            </w:pPr>
            <w:r w:rsidRPr="002C70E8">
              <w:rPr>
                <w:rFonts w:ascii="Arial"/>
                <w:spacing w:val="-1"/>
                <w:sz w:val="16"/>
                <w:szCs w:val="16"/>
              </w:rPr>
              <w:t>0%</w:t>
            </w:r>
          </w:p>
        </w:tc>
        <w:tc>
          <w:tcPr>
            <w:tcW w:w="1701" w:type="dxa"/>
            <w:tcBorders>
              <w:top w:val="single" w:sz="2" w:space="0" w:color="000000"/>
              <w:left w:val="single" w:sz="9" w:space="0" w:color="333333"/>
              <w:bottom w:val="single" w:sz="2" w:space="0" w:color="000000"/>
              <w:right w:val="single" w:sz="9" w:space="0" w:color="333333"/>
            </w:tcBorders>
          </w:tcPr>
          <w:p w14:paraId="57A527B4" w14:textId="77777777" w:rsidR="001C6501" w:rsidRPr="002C70E8" w:rsidRDefault="001C6501" w:rsidP="002C70E8">
            <w:pPr>
              <w:pStyle w:val="TableParagraph"/>
              <w:spacing w:line="224" w:lineRule="exact"/>
              <w:ind w:left="504"/>
              <w:jc w:val="right"/>
              <w:rPr>
                <w:rFonts w:ascii="Arial" w:eastAsia="Arial" w:hAnsi="Arial" w:cs="Arial"/>
                <w:sz w:val="16"/>
                <w:szCs w:val="16"/>
              </w:rPr>
            </w:pPr>
            <w:r w:rsidRPr="002C70E8">
              <w:rPr>
                <w:rFonts w:ascii="Arial"/>
                <w:spacing w:val="-1"/>
                <w:sz w:val="16"/>
                <w:szCs w:val="16"/>
              </w:rPr>
              <w:t>5,087</w:t>
            </w:r>
          </w:p>
        </w:tc>
      </w:tr>
      <w:tr w:rsidR="002C70E8" w14:paraId="7DAF2F4F" w14:textId="77777777" w:rsidTr="006B1840">
        <w:trPr>
          <w:trHeight w:hRule="exact" w:val="243"/>
        </w:trPr>
        <w:tc>
          <w:tcPr>
            <w:tcW w:w="1062" w:type="dxa"/>
            <w:vMerge/>
            <w:tcBorders>
              <w:left w:val="single" w:sz="9" w:space="0" w:color="333333"/>
              <w:bottom w:val="single" w:sz="9" w:space="0" w:color="333333"/>
              <w:right w:val="single" w:sz="9" w:space="0" w:color="333333"/>
            </w:tcBorders>
          </w:tcPr>
          <w:p w14:paraId="3C6C6B8B" w14:textId="77777777" w:rsidR="001C6501" w:rsidRPr="002C70E8" w:rsidRDefault="001C6501" w:rsidP="001C6501">
            <w:pPr>
              <w:rPr>
                <w:sz w:val="16"/>
                <w:szCs w:val="16"/>
              </w:rPr>
            </w:pPr>
          </w:p>
        </w:tc>
        <w:tc>
          <w:tcPr>
            <w:tcW w:w="3119" w:type="dxa"/>
            <w:tcBorders>
              <w:top w:val="single" w:sz="2" w:space="0" w:color="000000"/>
              <w:left w:val="single" w:sz="9" w:space="0" w:color="333333"/>
              <w:bottom w:val="single" w:sz="9" w:space="0" w:color="333333"/>
              <w:right w:val="single" w:sz="9" w:space="0" w:color="000000"/>
            </w:tcBorders>
          </w:tcPr>
          <w:p w14:paraId="26667835" w14:textId="77777777" w:rsidR="001C6501" w:rsidRPr="002C70E8" w:rsidRDefault="001C6501" w:rsidP="001C6501">
            <w:pPr>
              <w:pStyle w:val="TableParagraph"/>
              <w:spacing w:line="224" w:lineRule="exact"/>
              <w:ind w:left="27"/>
              <w:rPr>
                <w:rFonts w:ascii="Arial" w:eastAsia="Arial" w:hAnsi="Arial" w:cs="Arial"/>
                <w:sz w:val="16"/>
                <w:szCs w:val="16"/>
              </w:rPr>
            </w:pPr>
            <w:r w:rsidRPr="002C70E8">
              <w:rPr>
                <w:rFonts w:ascii="Arial"/>
                <w:b/>
                <w:sz w:val="16"/>
                <w:szCs w:val="16"/>
              </w:rPr>
              <w:t>sub</w:t>
            </w:r>
            <w:r w:rsidRPr="002C70E8">
              <w:rPr>
                <w:rFonts w:ascii="Arial"/>
                <w:b/>
                <w:spacing w:val="-1"/>
                <w:sz w:val="16"/>
                <w:szCs w:val="16"/>
              </w:rPr>
              <w:t xml:space="preserve"> total</w:t>
            </w:r>
          </w:p>
        </w:tc>
        <w:tc>
          <w:tcPr>
            <w:tcW w:w="1417" w:type="dxa"/>
            <w:tcBorders>
              <w:top w:val="single" w:sz="2" w:space="0" w:color="000000"/>
              <w:left w:val="single" w:sz="9" w:space="0" w:color="000000"/>
              <w:bottom w:val="single" w:sz="9" w:space="0" w:color="333333"/>
              <w:right w:val="single" w:sz="9" w:space="0" w:color="C0C0C0"/>
            </w:tcBorders>
          </w:tcPr>
          <w:p w14:paraId="441E5262" w14:textId="77777777" w:rsidR="001C6501" w:rsidRPr="002C70E8" w:rsidRDefault="001C6501" w:rsidP="002C70E8">
            <w:pPr>
              <w:pStyle w:val="TableParagraph"/>
              <w:spacing w:line="224" w:lineRule="exact"/>
              <w:ind w:left="504"/>
              <w:jc w:val="right"/>
              <w:rPr>
                <w:rFonts w:ascii="Arial" w:eastAsia="Arial" w:hAnsi="Arial" w:cs="Arial"/>
                <w:sz w:val="16"/>
                <w:szCs w:val="16"/>
              </w:rPr>
            </w:pPr>
            <w:r w:rsidRPr="002C70E8">
              <w:rPr>
                <w:rFonts w:ascii="Arial"/>
                <w:b/>
                <w:spacing w:val="-1"/>
                <w:sz w:val="16"/>
                <w:szCs w:val="16"/>
              </w:rPr>
              <w:t>2,322</w:t>
            </w:r>
          </w:p>
        </w:tc>
        <w:tc>
          <w:tcPr>
            <w:tcW w:w="1417" w:type="dxa"/>
            <w:tcBorders>
              <w:top w:val="single" w:sz="2" w:space="0" w:color="000000"/>
              <w:left w:val="single" w:sz="9" w:space="0" w:color="C0C0C0"/>
              <w:bottom w:val="single" w:sz="9" w:space="0" w:color="333333"/>
              <w:right w:val="single" w:sz="9" w:space="0" w:color="000000"/>
            </w:tcBorders>
          </w:tcPr>
          <w:p w14:paraId="5A4B5E3B" w14:textId="77777777" w:rsidR="001C6501" w:rsidRPr="002C70E8" w:rsidRDefault="001C6501" w:rsidP="002C70E8">
            <w:pPr>
              <w:pStyle w:val="TableParagraph"/>
              <w:spacing w:line="224" w:lineRule="exact"/>
              <w:ind w:left="504"/>
              <w:jc w:val="right"/>
              <w:rPr>
                <w:rFonts w:ascii="Arial" w:eastAsia="Arial" w:hAnsi="Arial" w:cs="Arial"/>
                <w:sz w:val="16"/>
                <w:szCs w:val="16"/>
              </w:rPr>
            </w:pPr>
            <w:r w:rsidRPr="002C70E8">
              <w:rPr>
                <w:rFonts w:ascii="Arial"/>
                <w:b/>
                <w:spacing w:val="-1"/>
                <w:sz w:val="16"/>
                <w:szCs w:val="16"/>
              </w:rPr>
              <w:t>2,896</w:t>
            </w:r>
          </w:p>
        </w:tc>
        <w:tc>
          <w:tcPr>
            <w:tcW w:w="1418" w:type="dxa"/>
            <w:tcBorders>
              <w:top w:val="single" w:sz="2" w:space="0" w:color="000000"/>
              <w:left w:val="single" w:sz="9" w:space="0" w:color="000000"/>
              <w:bottom w:val="single" w:sz="9" w:space="0" w:color="333333"/>
              <w:right w:val="single" w:sz="9" w:space="0" w:color="333333"/>
            </w:tcBorders>
          </w:tcPr>
          <w:p w14:paraId="186AD51A" w14:textId="77777777" w:rsidR="001C6501" w:rsidRPr="002C70E8" w:rsidRDefault="001C6501" w:rsidP="002C70E8">
            <w:pPr>
              <w:pStyle w:val="TableParagraph"/>
              <w:spacing w:line="224" w:lineRule="exact"/>
              <w:ind w:left="281"/>
              <w:jc w:val="right"/>
              <w:rPr>
                <w:rFonts w:ascii="Arial" w:eastAsia="Arial" w:hAnsi="Arial" w:cs="Arial"/>
                <w:sz w:val="16"/>
                <w:szCs w:val="16"/>
              </w:rPr>
            </w:pPr>
            <w:r w:rsidRPr="002C70E8">
              <w:rPr>
                <w:rFonts w:ascii="Arial"/>
                <w:b/>
                <w:spacing w:val="-1"/>
                <w:sz w:val="16"/>
                <w:szCs w:val="16"/>
              </w:rPr>
              <w:t>595,221</w:t>
            </w:r>
          </w:p>
        </w:tc>
        <w:tc>
          <w:tcPr>
            <w:tcW w:w="1276" w:type="dxa"/>
            <w:tcBorders>
              <w:top w:val="single" w:sz="2" w:space="0" w:color="000000"/>
              <w:left w:val="single" w:sz="9" w:space="0" w:color="333333"/>
              <w:bottom w:val="single" w:sz="9" w:space="0" w:color="333333"/>
              <w:right w:val="single" w:sz="9" w:space="0" w:color="333333"/>
            </w:tcBorders>
          </w:tcPr>
          <w:p w14:paraId="557E0DDA" w14:textId="77777777" w:rsidR="001C6501" w:rsidRPr="002C70E8" w:rsidRDefault="001C6501" w:rsidP="002C70E8">
            <w:pPr>
              <w:pStyle w:val="TableParagraph"/>
              <w:spacing w:line="224" w:lineRule="exact"/>
              <w:ind w:left="281"/>
              <w:jc w:val="right"/>
              <w:rPr>
                <w:rFonts w:ascii="Arial" w:eastAsia="Arial" w:hAnsi="Arial" w:cs="Arial"/>
                <w:sz w:val="16"/>
                <w:szCs w:val="16"/>
              </w:rPr>
            </w:pPr>
            <w:r w:rsidRPr="002C70E8">
              <w:rPr>
                <w:rFonts w:ascii="Arial"/>
                <w:b/>
                <w:spacing w:val="-1"/>
                <w:sz w:val="16"/>
                <w:szCs w:val="16"/>
              </w:rPr>
              <w:t>371,728</w:t>
            </w:r>
          </w:p>
        </w:tc>
        <w:tc>
          <w:tcPr>
            <w:tcW w:w="709" w:type="dxa"/>
            <w:tcBorders>
              <w:top w:val="single" w:sz="2" w:space="0" w:color="000000"/>
              <w:left w:val="single" w:sz="9" w:space="0" w:color="333333"/>
              <w:bottom w:val="single" w:sz="9" w:space="0" w:color="333333"/>
              <w:right w:val="single" w:sz="9" w:space="0" w:color="C0C0C0"/>
            </w:tcBorders>
          </w:tcPr>
          <w:p w14:paraId="5FE64201" w14:textId="77777777" w:rsidR="001C6501" w:rsidRPr="002C70E8" w:rsidRDefault="001C6501" w:rsidP="002C70E8">
            <w:pPr>
              <w:pStyle w:val="TableParagraph"/>
              <w:spacing w:before="13"/>
              <w:ind w:left="273"/>
              <w:jc w:val="right"/>
              <w:rPr>
                <w:rFonts w:ascii="Arial" w:eastAsia="Arial" w:hAnsi="Arial" w:cs="Arial"/>
                <w:sz w:val="16"/>
                <w:szCs w:val="16"/>
              </w:rPr>
            </w:pPr>
            <w:r w:rsidRPr="002C70E8">
              <w:rPr>
                <w:rFonts w:ascii="Arial"/>
                <w:b/>
                <w:sz w:val="16"/>
                <w:szCs w:val="16"/>
              </w:rPr>
              <w:t>1.4%</w:t>
            </w:r>
          </w:p>
        </w:tc>
        <w:tc>
          <w:tcPr>
            <w:tcW w:w="709" w:type="dxa"/>
            <w:tcBorders>
              <w:top w:val="single" w:sz="2" w:space="0" w:color="000000"/>
              <w:left w:val="single" w:sz="9" w:space="0" w:color="C0C0C0"/>
              <w:bottom w:val="single" w:sz="9" w:space="0" w:color="333333"/>
              <w:right w:val="single" w:sz="9" w:space="0" w:color="C0C0C0"/>
            </w:tcBorders>
          </w:tcPr>
          <w:p w14:paraId="1F7F0A17" w14:textId="77777777" w:rsidR="001C6501" w:rsidRPr="002C70E8" w:rsidRDefault="001C6501" w:rsidP="002C70E8">
            <w:pPr>
              <w:pStyle w:val="TableParagraph"/>
              <w:spacing w:before="13"/>
              <w:ind w:left="224"/>
              <w:jc w:val="right"/>
              <w:rPr>
                <w:rFonts w:ascii="Arial" w:eastAsia="Arial" w:hAnsi="Arial" w:cs="Arial"/>
                <w:sz w:val="16"/>
                <w:szCs w:val="16"/>
              </w:rPr>
            </w:pPr>
            <w:r w:rsidRPr="002C70E8">
              <w:rPr>
                <w:rFonts w:ascii="Arial"/>
                <w:b/>
                <w:sz w:val="16"/>
                <w:szCs w:val="16"/>
              </w:rPr>
              <w:t>20.0%</w:t>
            </w:r>
          </w:p>
        </w:tc>
        <w:tc>
          <w:tcPr>
            <w:tcW w:w="709" w:type="dxa"/>
            <w:tcBorders>
              <w:top w:val="single" w:sz="2" w:space="0" w:color="000000"/>
              <w:left w:val="single" w:sz="9" w:space="0" w:color="C0C0C0"/>
              <w:bottom w:val="single" w:sz="9" w:space="0" w:color="333333"/>
              <w:right w:val="single" w:sz="9" w:space="0" w:color="C0C0C0"/>
            </w:tcBorders>
          </w:tcPr>
          <w:p w14:paraId="67B2D325" w14:textId="77777777" w:rsidR="001C6501" w:rsidRPr="002C70E8" w:rsidRDefault="001C6501" w:rsidP="002C70E8">
            <w:pPr>
              <w:pStyle w:val="TableParagraph"/>
              <w:spacing w:before="13"/>
              <w:ind w:left="224"/>
              <w:jc w:val="right"/>
              <w:rPr>
                <w:rFonts w:ascii="Arial" w:eastAsia="Arial" w:hAnsi="Arial" w:cs="Arial"/>
                <w:sz w:val="16"/>
                <w:szCs w:val="16"/>
              </w:rPr>
            </w:pPr>
            <w:r w:rsidRPr="002C70E8">
              <w:rPr>
                <w:rFonts w:ascii="Arial"/>
                <w:b/>
                <w:sz w:val="16"/>
                <w:szCs w:val="16"/>
              </w:rPr>
              <w:t>59.5%</w:t>
            </w:r>
          </w:p>
        </w:tc>
        <w:tc>
          <w:tcPr>
            <w:tcW w:w="708" w:type="dxa"/>
            <w:tcBorders>
              <w:top w:val="single" w:sz="2" w:space="0" w:color="000000"/>
              <w:left w:val="single" w:sz="9" w:space="0" w:color="C0C0C0"/>
              <w:bottom w:val="single" w:sz="9" w:space="0" w:color="333333"/>
              <w:right w:val="single" w:sz="9" w:space="0" w:color="C0C0C0"/>
            </w:tcBorders>
          </w:tcPr>
          <w:p w14:paraId="525B1486" w14:textId="77777777" w:rsidR="001C6501" w:rsidRPr="002C70E8" w:rsidRDefault="001C6501" w:rsidP="002C70E8">
            <w:pPr>
              <w:pStyle w:val="TableParagraph"/>
              <w:spacing w:before="13"/>
              <w:ind w:left="224"/>
              <w:jc w:val="right"/>
              <w:rPr>
                <w:rFonts w:ascii="Arial" w:eastAsia="Arial" w:hAnsi="Arial" w:cs="Arial"/>
                <w:sz w:val="16"/>
                <w:szCs w:val="16"/>
              </w:rPr>
            </w:pPr>
            <w:r w:rsidRPr="002C70E8">
              <w:rPr>
                <w:rFonts w:ascii="Arial"/>
                <w:b/>
                <w:sz w:val="16"/>
                <w:szCs w:val="16"/>
              </w:rPr>
              <w:t>18.1%</w:t>
            </w:r>
          </w:p>
        </w:tc>
        <w:tc>
          <w:tcPr>
            <w:tcW w:w="709" w:type="dxa"/>
            <w:tcBorders>
              <w:top w:val="single" w:sz="2" w:space="0" w:color="000000"/>
              <w:left w:val="single" w:sz="9" w:space="0" w:color="C0C0C0"/>
              <w:bottom w:val="single" w:sz="9" w:space="0" w:color="333333"/>
              <w:right w:val="single" w:sz="9" w:space="0" w:color="333333"/>
            </w:tcBorders>
          </w:tcPr>
          <w:p w14:paraId="0B2F299B" w14:textId="77777777" w:rsidR="001C6501" w:rsidRPr="002C70E8" w:rsidRDefault="001C6501" w:rsidP="002C70E8">
            <w:pPr>
              <w:pStyle w:val="TableParagraph"/>
              <w:spacing w:before="13"/>
              <w:ind w:left="273"/>
              <w:jc w:val="right"/>
              <w:rPr>
                <w:rFonts w:ascii="Arial" w:eastAsia="Arial" w:hAnsi="Arial" w:cs="Arial"/>
                <w:sz w:val="16"/>
                <w:szCs w:val="16"/>
              </w:rPr>
            </w:pPr>
            <w:r w:rsidRPr="002C70E8">
              <w:rPr>
                <w:rFonts w:ascii="Arial"/>
                <w:b/>
                <w:sz w:val="16"/>
                <w:szCs w:val="16"/>
              </w:rPr>
              <w:t>1.0%</w:t>
            </w:r>
          </w:p>
        </w:tc>
        <w:tc>
          <w:tcPr>
            <w:tcW w:w="1701" w:type="dxa"/>
            <w:tcBorders>
              <w:top w:val="single" w:sz="2" w:space="0" w:color="000000"/>
              <w:left w:val="single" w:sz="9" w:space="0" w:color="333333"/>
              <w:bottom w:val="single" w:sz="9" w:space="0" w:color="333333"/>
              <w:right w:val="single" w:sz="9" w:space="0" w:color="333333"/>
            </w:tcBorders>
          </w:tcPr>
          <w:p w14:paraId="2B5BD961" w14:textId="77777777" w:rsidR="001C6501" w:rsidRPr="002C70E8" w:rsidRDefault="001C6501" w:rsidP="002C70E8">
            <w:pPr>
              <w:pStyle w:val="TableParagraph"/>
              <w:spacing w:line="224" w:lineRule="exact"/>
              <w:ind w:left="281"/>
              <w:jc w:val="right"/>
              <w:rPr>
                <w:rFonts w:ascii="Arial" w:eastAsia="Arial" w:hAnsi="Arial" w:cs="Arial"/>
                <w:sz w:val="16"/>
                <w:szCs w:val="16"/>
              </w:rPr>
            </w:pPr>
            <w:r w:rsidRPr="002C70E8">
              <w:rPr>
                <w:rFonts w:ascii="Arial"/>
                <w:b/>
                <w:spacing w:val="-1"/>
                <w:sz w:val="16"/>
                <w:szCs w:val="16"/>
              </w:rPr>
              <w:t>113,932</w:t>
            </w:r>
          </w:p>
        </w:tc>
      </w:tr>
      <w:tr w:rsidR="002C70E8" w14:paraId="6A7BCC6C" w14:textId="77777777" w:rsidTr="006B1840">
        <w:trPr>
          <w:trHeight w:hRule="exact" w:val="129"/>
        </w:trPr>
        <w:tc>
          <w:tcPr>
            <w:tcW w:w="1062" w:type="dxa"/>
            <w:vMerge w:val="restart"/>
            <w:tcBorders>
              <w:top w:val="single" w:sz="17" w:space="0" w:color="333333"/>
              <w:left w:val="single" w:sz="9" w:space="0" w:color="333333"/>
              <w:right w:val="single" w:sz="9" w:space="0" w:color="333333"/>
            </w:tcBorders>
          </w:tcPr>
          <w:p w14:paraId="6D24F164" w14:textId="77777777" w:rsidR="001C6501" w:rsidRPr="002C70E8" w:rsidRDefault="001C6501" w:rsidP="001C6501">
            <w:pPr>
              <w:pStyle w:val="TableParagraph"/>
              <w:spacing w:line="200" w:lineRule="exact"/>
              <w:rPr>
                <w:sz w:val="16"/>
                <w:szCs w:val="16"/>
              </w:rPr>
            </w:pPr>
          </w:p>
          <w:p w14:paraId="3D4D7932" w14:textId="77777777" w:rsidR="001C6501" w:rsidRPr="002C70E8" w:rsidRDefault="001C6501" w:rsidP="001C6501">
            <w:pPr>
              <w:pStyle w:val="TableParagraph"/>
              <w:spacing w:before="14" w:line="200" w:lineRule="exact"/>
              <w:rPr>
                <w:sz w:val="16"/>
                <w:szCs w:val="16"/>
              </w:rPr>
            </w:pPr>
          </w:p>
          <w:p w14:paraId="602F5458" w14:textId="77777777" w:rsidR="001C6501" w:rsidRPr="002C70E8" w:rsidRDefault="001C6501" w:rsidP="0005187B">
            <w:pPr>
              <w:pStyle w:val="TableParagraph"/>
              <w:spacing w:line="253" w:lineRule="auto"/>
              <w:ind w:left="29"/>
              <w:rPr>
                <w:rFonts w:ascii="Arial" w:eastAsia="Arial" w:hAnsi="Arial" w:cs="Arial"/>
                <w:sz w:val="16"/>
                <w:szCs w:val="16"/>
              </w:rPr>
            </w:pPr>
            <w:r w:rsidRPr="002C70E8">
              <w:rPr>
                <w:rFonts w:ascii="Arial"/>
                <w:b/>
                <w:spacing w:val="-1"/>
                <w:sz w:val="16"/>
                <w:szCs w:val="16"/>
              </w:rPr>
              <w:t>Stormwater</w:t>
            </w:r>
            <w:r w:rsidRPr="002C70E8">
              <w:rPr>
                <w:rFonts w:ascii="Arial"/>
                <w:b/>
                <w:spacing w:val="27"/>
                <w:sz w:val="16"/>
                <w:szCs w:val="16"/>
              </w:rPr>
              <w:t xml:space="preserve"> </w:t>
            </w:r>
            <w:r w:rsidRPr="002C70E8">
              <w:rPr>
                <w:rFonts w:ascii="Arial"/>
                <w:b/>
                <w:spacing w:val="-1"/>
                <w:sz w:val="16"/>
                <w:szCs w:val="16"/>
              </w:rPr>
              <w:t>Drainage</w:t>
            </w:r>
          </w:p>
        </w:tc>
        <w:tc>
          <w:tcPr>
            <w:tcW w:w="5953" w:type="dxa"/>
            <w:gridSpan w:val="3"/>
            <w:tcBorders>
              <w:top w:val="single" w:sz="17" w:space="0" w:color="333333"/>
              <w:left w:val="single" w:sz="9" w:space="0" w:color="333333"/>
              <w:bottom w:val="single" w:sz="2" w:space="0" w:color="000000"/>
              <w:right w:val="single" w:sz="9" w:space="0" w:color="333333"/>
            </w:tcBorders>
          </w:tcPr>
          <w:p w14:paraId="12C3A45D" w14:textId="77777777" w:rsidR="001C6501" w:rsidRPr="002C70E8" w:rsidRDefault="001C6501" w:rsidP="002C70E8">
            <w:pPr>
              <w:jc w:val="right"/>
              <w:rPr>
                <w:sz w:val="16"/>
                <w:szCs w:val="16"/>
              </w:rPr>
            </w:pPr>
          </w:p>
        </w:tc>
        <w:tc>
          <w:tcPr>
            <w:tcW w:w="1418" w:type="dxa"/>
            <w:tcBorders>
              <w:top w:val="single" w:sz="17" w:space="0" w:color="333333"/>
              <w:left w:val="single" w:sz="9" w:space="0" w:color="333333"/>
              <w:bottom w:val="single" w:sz="2" w:space="0" w:color="000000"/>
              <w:right w:val="single" w:sz="9" w:space="0" w:color="333333"/>
            </w:tcBorders>
          </w:tcPr>
          <w:p w14:paraId="768548F1" w14:textId="77777777" w:rsidR="001C6501" w:rsidRPr="002C70E8" w:rsidRDefault="001C6501" w:rsidP="002C70E8">
            <w:pPr>
              <w:jc w:val="right"/>
              <w:rPr>
                <w:sz w:val="16"/>
                <w:szCs w:val="16"/>
              </w:rPr>
            </w:pPr>
          </w:p>
        </w:tc>
        <w:tc>
          <w:tcPr>
            <w:tcW w:w="1276" w:type="dxa"/>
            <w:tcBorders>
              <w:top w:val="single" w:sz="17" w:space="0" w:color="333333"/>
              <w:left w:val="single" w:sz="9" w:space="0" w:color="333333"/>
              <w:bottom w:val="single" w:sz="2" w:space="0" w:color="000000"/>
              <w:right w:val="single" w:sz="9" w:space="0" w:color="333333"/>
            </w:tcBorders>
          </w:tcPr>
          <w:p w14:paraId="724C387D" w14:textId="77777777" w:rsidR="001C6501" w:rsidRPr="002C70E8" w:rsidRDefault="001C6501" w:rsidP="002C70E8">
            <w:pPr>
              <w:jc w:val="right"/>
              <w:rPr>
                <w:sz w:val="16"/>
                <w:szCs w:val="16"/>
              </w:rPr>
            </w:pPr>
          </w:p>
        </w:tc>
        <w:tc>
          <w:tcPr>
            <w:tcW w:w="3544" w:type="dxa"/>
            <w:gridSpan w:val="5"/>
            <w:tcBorders>
              <w:top w:val="single" w:sz="17" w:space="0" w:color="333333"/>
              <w:left w:val="single" w:sz="9" w:space="0" w:color="333333"/>
              <w:bottom w:val="single" w:sz="2" w:space="0" w:color="000000"/>
              <w:right w:val="single" w:sz="9" w:space="0" w:color="333333"/>
            </w:tcBorders>
          </w:tcPr>
          <w:p w14:paraId="712005AC" w14:textId="77777777" w:rsidR="001C6501" w:rsidRPr="002C70E8" w:rsidRDefault="001C6501" w:rsidP="002C70E8">
            <w:pPr>
              <w:jc w:val="right"/>
              <w:rPr>
                <w:sz w:val="16"/>
                <w:szCs w:val="16"/>
              </w:rPr>
            </w:pPr>
          </w:p>
        </w:tc>
        <w:tc>
          <w:tcPr>
            <w:tcW w:w="1701" w:type="dxa"/>
            <w:tcBorders>
              <w:top w:val="single" w:sz="17" w:space="0" w:color="333333"/>
              <w:left w:val="single" w:sz="9" w:space="0" w:color="333333"/>
              <w:bottom w:val="single" w:sz="2" w:space="0" w:color="000000"/>
              <w:right w:val="single" w:sz="9" w:space="0" w:color="333333"/>
            </w:tcBorders>
          </w:tcPr>
          <w:p w14:paraId="748697D5" w14:textId="77777777" w:rsidR="001C6501" w:rsidRPr="002C70E8" w:rsidRDefault="001C6501" w:rsidP="002C70E8">
            <w:pPr>
              <w:jc w:val="right"/>
              <w:rPr>
                <w:sz w:val="16"/>
                <w:szCs w:val="16"/>
              </w:rPr>
            </w:pPr>
          </w:p>
        </w:tc>
      </w:tr>
      <w:tr w:rsidR="002C70E8" w14:paraId="11E16F25" w14:textId="77777777" w:rsidTr="006B1840">
        <w:trPr>
          <w:trHeight w:hRule="exact" w:val="216"/>
        </w:trPr>
        <w:tc>
          <w:tcPr>
            <w:tcW w:w="1062" w:type="dxa"/>
            <w:vMerge/>
            <w:tcBorders>
              <w:left w:val="single" w:sz="9" w:space="0" w:color="333333"/>
              <w:right w:val="single" w:sz="9" w:space="0" w:color="333333"/>
            </w:tcBorders>
          </w:tcPr>
          <w:p w14:paraId="2A5E49CA" w14:textId="77777777" w:rsidR="001C6501" w:rsidRPr="002C70E8" w:rsidRDefault="001C6501" w:rsidP="001C6501">
            <w:pPr>
              <w:rPr>
                <w:sz w:val="16"/>
                <w:szCs w:val="16"/>
              </w:rPr>
            </w:pPr>
          </w:p>
        </w:tc>
        <w:tc>
          <w:tcPr>
            <w:tcW w:w="3119" w:type="dxa"/>
            <w:tcBorders>
              <w:top w:val="single" w:sz="2" w:space="0" w:color="000000"/>
              <w:left w:val="single" w:sz="9" w:space="0" w:color="333333"/>
              <w:bottom w:val="single" w:sz="2" w:space="0" w:color="000000"/>
              <w:right w:val="single" w:sz="9" w:space="0" w:color="333333"/>
            </w:tcBorders>
            <w:vAlign w:val="center"/>
          </w:tcPr>
          <w:p w14:paraId="7E419C33" w14:textId="77777777" w:rsidR="001C6501" w:rsidRPr="002C70E8" w:rsidRDefault="001C6501" w:rsidP="002C70E8">
            <w:pPr>
              <w:pStyle w:val="TableParagraph"/>
              <w:spacing w:line="262" w:lineRule="auto"/>
              <w:ind w:left="27"/>
              <w:rPr>
                <w:rFonts w:ascii="Arial" w:eastAsia="Arial" w:hAnsi="Arial" w:cs="Arial"/>
                <w:sz w:val="16"/>
                <w:szCs w:val="16"/>
              </w:rPr>
            </w:pPr>
            <w:r w:rsidRPr="002C70E8">
              <w:rPr>
                <w:rFonts w:ascii="Arial"/>
                <w:spacing w:val="-1"/>
                <w:sz w:val="16"/>
                <w:szCs w:val="16"/>
              </w:rPr>
              <w:t>Stormwater</w:t>
            </w:r>
            <w:r w:rsidRPr="002C70E8">
              <w:rPr>
                <w:rFonts w:ascii="Arial"/>
                <w:spacing w:val="-2"/>
                <w:sz w:val="16"/>
                <w:szCs w:val="16"/>
              </w:rPr>
              <w:t xml:space="preserve"> </w:t>
            </w:r>
            <w:r w:rsidRPr="002C70E8">
              <w:rPr>
                <w:rFonts w:ascii="Arial"/>
                <w:sz w:val="16"/>
                <w:szCs w:val="16"/>
              </w:rPr>
              <w:t>Conduits</w:t>
            </w:r>
            <w:r w:rsidRPr="002C70E8">
              <w:rPr>
                <w:rFonts w:ascii="Arial"/>
                <w:spacing w:val="-2"/>
                <w:sz w:val="16"/>
                <w:szCs w:val="16"/>
              </w:rPr>
              <w:t xml:space="preserve"> </w:t>
            </w:r>
            <w:r w:rsidRPr="002C70E8">
              <w:rPr>
                <w:rFonts w:ascii="Arial"/>
                <w:sz w:val="16"/>
                <w:szCs w:val="16"/>
              </w:rPr>
              <w:t>(pipes</w:t>
            </w:r>
            <w:r w:rsidRPr="002C70E8">
              <w:rPr>
                <w:rFonts w:ascii="Arial"/>
                <w:spacing w:val="-1"/>
                <w:sz w:val="16"/>
                <w:szCs w:val="16"/>
              </w:rPr>
              <w:t xml:space="preserve"> </w:t>
            </w:r>
            <w:r w:rsidRPr="002C70E8">
              <w:rPr>
                <w:rFonts w:ascii="Arial"/>
                <w:sz w:val="16"/>
                <w:szCs w:val="16"/>
              </w:rPr>
              <w:t>&amp;</w:t>
            </w:r>
            <w:r w:rsidRPr="002C70E8">
              <w:rPr>
                <w:rFonts w:ascii="Arial"/>
                <w:spacing w:val="22"/>
                <w:sz w:val="16"/>
                <w:szCs w:val="16"/>
              </w:rPr>
              <w:t xml:space="preserve"> </w:t>
            </w:r>
            <w:r w:rsidRPr="002C70E8">
              <w:rPr>
                <w:rFonts w:ascii="Arial"/>
                <w:sz w:val="16"/>
                <w:szCs w:val="16"/>
              </w:rPr>
              <w:t>channels)</w:t>
            </w:r>
          </w:p>
        </w:tc>
        <w:tc>
          <w:tcPr>
            <w:tcW w:w="1417" w:type="dxa"/>
            <w:tcBorders>
              <w:top w:val="single" w:sz="2" w:space="0" w:color="000000"/>
              <w:left w:val="single" w:sz="9" w:space="0" w:color="333333"/>
              <w:bottom w:val="single" w:sz="2" w:space="0" w:color="000000"/>
              <w:right w:val="single" w:sz="9" w:space="0" w:color="C0C0C0"/>
            </w:tcBorders>
          </w:tcPr>
          <w:p w14:paraId="36125E38" w14:textId="77777777" w:rsidR="001C6501" w:rsidRPr="002C70E8" w:rsidRDefault="001C6501" w:rsidP="002C70E8">
            <w:pPr>
              <w:pStyle w:val="TableParagraph"/>
              <w:spacing w:line="240" w:lineRule="exact"/>
              <w:jc w:val="right"/>
              <w:rPr>
                <w:sz w:val="16"/>
                <w:szCs w:val="16"/>
              </w:rPr>
            </w:pPr>
          </w:p>
          <w:p w14:paraId="79B55066" w14:textId="77777777" w:rsidR="001C6501" w:rsidRPr="002C70E8" w:rsidRDefault="001C6501" w:rsidP="002C70E8">
            <w:pPr>
              <w:pStyle w:val="TableParagraph"/>
              <w:ind w:left="670"/>
              <w:jc w:val="right"/>
              <w:rPr>
                <w:rFonts w:ascii="Arial" w:eastAsia="Arial" w:hAnsi="Arial" w:cs="Arial"/>
                <w:sz w:val="16"/>
                <w:szCs w:val="16"/>
              </w:rPr>
            </w:pPr>
            <w:r w:rsidRPr="002C70E8">
              <w:rPr>
                <w:rFonts w:ascii="Arial"/>
                <w:sz w:val="16"/>
                <w:szCs w:val="16"/>
              </w:rPr>
              <w:t>494</w:t>
            </w:r>
          </w:p>
        </w:tc>
        <w:tc>
          <w:tcPr>
            <w:tcW w:w="1417" w:type="dxa"/>
            <w:tcBorders>
              <w:top w:val="single" w:sz="2" w:space="0" w:color="000000"/>
              <w:left w:val="single" w:sz="9" w:space="0" w:color="C0C0C0"/>
              <w:bottom w:val="single" w:sz="2" w:space="0" w:color="000000"/>
              <w:right w:val="single" w:sz="9" w:space="0" w:color="333333"/>
            </w:tcBorders>
          </w:tcPr>
          <w:p w14:paraId="3BDA52E3" w14:textId="77777777" w:rsidR="001C6501" w:rsidRPr="002C70E8" w:rsidRDefault="001C6501" w:rsidP="002C70E8">
            <w:pPr>
              <w:pStyle w:val="TableParagraph"/>
              <w:spacing w:line="240" w:lineRule="exact"/>
              <w:jc w:val="right"/>
              <w:rPr>
                <w:sz w:val="16"/>
                <w:szCs w:val="16"/>
              </w:rPr>
            </w:pPr>
          </w:p>
          <w:p w14:paraId="41AAB5A4" w14:textId="77777777" w:rsidR="001C6501" w:rsidRPr="002C70E8" w:rsidRDefault="001C6501" w:rsidP="002C70E8">
            <w:pPr>
              <w:pStyle w:val="TableParagraph"/>
              <w:ind w:left="670"/>
              <w:jc w:val="right"/>
              <w:rPr>
                <w:rFonts w:ascii="Arial" w:eastAsia="Arial" w:hAnsi="Arial" w:cs="Arial"/>
                <w:sz w:val="16"/>
                <w:szCs w:val="16"/>
              </w:rPr>
            </w:pPr>
            <w:r w:rsidRPr="002C70E8">
              <w:rPr>
                <w:rFonts w:ascii="Arial"/>
                <w:sz w:val="16"/>
                <w:szCs w:val="16"/>
              </w:rPr>
              <w:t>494</w:t>
            </w:r>
          </w:p>
        </w:tc>
        <w:tc>
          <w:tcPr>
            <w:tcW w:w="1418" w:type="dxa"/>
            <w:tcBorders>
              <w:top w:val="single" w:sz="2" w:space="0" w:color="000000"/>
              <w:left w:val="single" w:sz="9" w:space="0" w:color="333333"/>
              <w:bottom w:val="single" w:sz="2" w:space="0" w:color="000000"/>
              <w:right w:val="single" w:sz="9" w:space="0" w:color="333333"/>
            </w:tcBorders>
          </w:tcPr>
          <w:p w14:paraId="4D0732FD" w14:textId="77777777" w:rsidR="001C6501" w:rsidRPr="002C70E8" w:rsidRDefault="001C6501" w:rsidP="002C70E8">
            <w:pPr>
              <w:pStyle w:val="TableParagraph"/>
              <w:spacing w:line="240" w:lineRule="exact"/>
              <w:jc w:val="right"/>
              <w:rPr>
                <w:sz w:val="16"/>
                <w:szCs w:val="16"/>
              </w:rPr>
            </w:pPr>
          </w:p>
          <w:p w14:paraId="283BE8A8" w14:textId="77777777" w:rsidR="001C6501" w:rsidRPr="002C70E8" w:rsidRDefault="001C6501" w:rsidP="002C70E8">
            <w:pPr>
              <w:pStyle w:val="TableParagraph"/>
              <w:ind w:left="393"/>
              <w:jc w:val="right"/>
              <w:rPr>
                <w:rFonts w:ascii="Arial" w:eastAsia="Arial" w:hAnsi="Arial" w:cs="Arial"/>
                <w:sz w:val="16"/>
                <w:szCs w:val="16"/>
              </w:rPr>
            </w:pPr>
            <w:r w:rsidRPr="002C70E8">
              <w:rPr>
                <w:rFonts w:ascii="Arial"/>
                <w:spacing w:val="-1"/>
                <w:sz w:val="16"/>
                <w:szCs w:val="16"/>
              </w:rPr>
              <w:t>81,637</w:t>
            </w:r>
          </w:p>
        </w:tc>
        <w:tc>
          <w:tcPr>
            <w:tcW w:w="1276" w:type="dxa"/>
            <w:tcBorders>
              <w:top w:val="single" w:sz="2" w:space="0" w:color="000000"/>
              <w:left w:val="single" w:sz="9" w:space="0" w:color="333333"/>
              <w:bottom w:val="single" w:sz="2" w:space="0" w:color="000000"/>
              <w:right w:val="single" w:sz="9" w:space="0" w:color="333333"/>
            </w:tcBorders>
          </w:tcPr>
          <w:p w14:paraId="1D593938" w14:textId="77777777" w:rsidR="001C6501" w:rsidRPr="002C70E8" w:rsidRDefault="001C6501" w:rsidP="002C70E8">
            <w:pPr>
              <w:pStyle w:val="TableParagraph"/>
              <w:spacing w:line="240" w:lineRule="exact"/>
              <w:jc w:val="right"/>
              <w:rPr>
                <w:sz w:val="16"/>
                <w:szCs w:val="16"/>
              </w:rPr>
            </w:pPr>
          </w:p>
          <w:p w14:paraId="02F4D810" w14:textId="77777777" w:rsidR="001C6501" w:rsidRPr="002C70E8" w:rsidRDefault="001C6501" w:rsidP="002C70E8">
            <w:pPr>
              <w:pStyle w:val="TableParagraph"/>
              <w:ind w:left="393"/>
              <w:jc w:val="right"/>
              <w:rPr>
                <w:rFonts w:ascii="Arial" w:eastAsia="Arial" w:hAnsi="Arial" w:cs="Arial"/>
                <w:sz w:val="16"/>
                <w:szCs w:val="16"/>
              </w:rPr>
            </w:pPr>
            <w:r w:rsidRPr="002C70E8">
              <w:rPr>
                <w:rFonts w:ascii="Arial"/>
                <w:spacing w:val="-1"/>
                <w:sz w:val="16"/>
                <w:szCs w:val="16"/>
              </w:rPr>
              <w:t>60,809</w:t>
            </w:r>
          </w:p>
        </w:tc>
        <w:tc>
          <w:tcPr>
            <w:tcW w:w="709" w:type="dxa"/>
            <w:tcBorders>
              <w:top w:val="single" w:sz="2" w:space="0" w:color="000000"/>
              <w:left w:val="single" w:sz="9" w:space="0" w:color="333333"/>
              <w:bottom w:val="single" w:sz="2" w:space="0" w:color="000000"/>
              <w:right w:val="single" w:sz="9" w:space="0" w:color="C0C0C0"/>
            </w:tcBorders>
          </w:tcPr>
          <w:p w14:paraId="06119291" w14:textId="77777777" w:rsidR="001C6501" w:rsidRPr="002C70E8" w:rsidRDefault="001C6501" w:rsidP="002C70E8">
            <w:pPr>
              <w:pStyle w:val="TableParagraph"/>
              <w:spacing w:before="19" w:line="240" w:lineRule="exact"/>
              <w:jc w:val="right"/>
              <w:rPr>
                <w:sz w:val="16"/>
                <w:szCs w:val="16"/>
              </w:rPr>
            </w:pPr>
          </w:p>
          <w:p w14:paraId="6B30735B" w14:textId="77777777" w:rsidR="001C6501" w:rsidRPr="002C70E8" w:rsidRDefault="001C6501" w:rsidP="002C70E8">
            <w:pPr>
              <w:pStyle w:val="TableParagraph"/>
              <w:ind w:left="298"/>
              <w:jc w:val="right"/>
              <w:rPr>
                <w:rFonts w:ascii="Arial" w:eastAsia="Arial" w:hAnsi="Arial" w:cs="Arial"/>
                <w:sz w:val="16"/>
                <w:szCs w:val="16"/>
              </w:rPr>
            </w:pPr>
            <w:r w:rsidRPr="002C70E8">
              <w:rPr>
                <w:rFonts w:ascii="Arial"/>
                <w:spacing w:val="-1"/>
                <w:sz w:val="16"/>
                <w:szCs w:val="16"/>
              </w:rPr>
              <w:t>67%</w:t>
            </w:r>
          </w:p>
        </w:tc>
        <w:tc>
          <w:tcPr>
            <w:tcW w:w="709" w:type="dxa"/>
            <w:tcBorders>
              <w:top w:val="single" w:sz="2" w:space="0" w:color="000000"/>
              <w:left w:val="single" w:sz="9" w:space="0" w:color="C0C0C0"/>
              <w:bottom w:val="single" w:sz="2" w:space="0" w:color="000000"/>
              <w:right w:val="single" w:sz="9" w:space="0" w:color="C0C0C0"/>
            </w:tcBorders>
          </w:tcPr>
          <w:p w14:paraId="3CC6611E" w14:textId="77777777" w:rsidR="001C6501" w:rsidRPr="002C70E8" w:rsidRDefault="001C6501" w:rsidP="002C70E8">
            <w:pPr>
              <w:pStyle w:val="TableParagraph"/>
              <w:spacing w:before="19" w:line="240" w:lineRule="exact"/>
              <w:jc w:val="right"/>
              <w:rPr>
                <w:sz w:val="16"/>
                <w:szCs w:val="16"/>
              </w:rPr>
            </w:pPr>
          </w:p>
          <w:p w14:paraId="21887FDC" w14:textId="77777777" w:rsidR="001C6501" w:rsidRPr="002C70E8" w:rsidRDefault="001C6501" w:rsidP="002C70E8">
            <w:pPr>
              <w:pStyle w:val="TableParagraph"/>
              <w:ind w:left="298"/>
              <w:jc w:val="right"/>
              <w:rPr>
                <w:rFonts w:ascii="Arial" w:eastAsia="Arial" w:hAnsi="Arial" w:cs="Arial"/>
                <w:sz w:val="16"/>
                <w:szCs w:val="16"/>
              </w:rPr>
            </w:pPr>
            <w:r w:rsidRPr="002C70E8">
              <w:rPr>
                <w:rFonts w:ascii="Arial"/>
                <w:spacing w:val="-1"/>
                <w:sz w:val="16"/>
                <w:szCs w:val="16"/>
              </w:rPr>
              <w:t>24%</w:t>
            </w:r>
          </w:p>
        </w:tc>
        <w:tc>
          <w:tcPr>
            <w:tcW w:w="709" w:type="dxa"/>
            <w:tcBorders>
              <w:top w:val="single" w:sz="2" w:space="0" w:color="000000"/>
              <w:left w:val="single" w:sz="9" w:space="0" w:color="C0C0C0"/>
              <w:bottom w:val="single" w:sz="2" w:space="0" w:color="000000"/>
              <w:right w:val="single" w:sz="9" w:space="0" w:color="C0C0C0"/>
            </w:tcBorders>
          </w:tcPr>
          <w:p w14:paraId="0C9DEB19" w14:textId="77777777" w:rsidR="001C6501" w:rsidRPr="002C70E8" w:rsidRDefault="001C6501" w:rsidP="002C70E8">
            <w:pPr>
              <w:pStyle w:val="TableParagraph"/>
              <w:spacing w:before="19" w:line="240" w:lineRule="exact"/>
              <w:jc w:val="right"/>
              <w:rPr>
                <w:sz w:val="16"/>
                <w:szCs w:val="16"/>
              </w:rPr>
            </w:pPr>
          </w:p>
          <w:p w14:paraId="2150DF32" w14:textId="77777777" w:rsidR="001C6501" w:rsidRPr="002C70E8" w:rsidRDefault="001C6501" w:rsidP="002C70E8">
            <w:pPr>
              <w:pStyle w:val="TableParagraph"/>
              <w:ind w:left="328"/>
              <w:jc w:val="right"/>
              <w:rPr>
                <w:rFonts w:ascii="Arial" w:eastAsia="Arial" w:hAnsi="Arial" w:cs="Arial"/>
                <w:sz w:val="16"/>
                <w:szCs w:val="16"/>
              </w:rPr>
            </w:pPr>
            <w:r w:rsidRPr="002C70E8">
              <w:rPr>
                <w:rFonts w:ascii="Arial"/>
                <w:spacing w:val="-1"/>
                <w:sz w:val="16"/>
                <w:szCs w:val="16"/>
              </w:rPr>
              <w:t>7%</w:t>
            </w:r>
          </w:p>
        </w:tc>
        <w:tc>
          <w:tcPr>
            <w:tcW w:w="708" w:type="dxa"/>
            <w:tcBorders>
              <w:top w:val="single" w:sz="2" w:space="0" w:color="000000"/>
              <w:left w:val="single" w:sz="9" w:space="0" w:color="C0C0C0"/>
              <w:bottom w:val="single" w:sz="2" w:space="0" w:color="000000"/>
              <w:right w:val="single" w:sz="9" w:space="0" w:color="C0C0C0"/>
            </w:tcBorders>
          </w:tcPr>
          <w:p w14:paraId="368F5516" w14:textId="77777777" w:rsidR="001C6501" w:rsidRPr="002C70E8" w:rsidRDefault="001C6501" w:rsidP="002C70E8">
            <w:pPr>
              <w:pStyle w:val="TableParagraph"/>
              <w:spacing w:before="19" w:line="240" w:lineRule="exact"/>
              <w:jc w:val="right"/>
              <w:rPr>
                <w:sz w:val="16"/>
                <w:szCs w:val="16"/>
              </w:rPr>
            </w:pPr>
          </w:p>
          <w:p w14:paraId="33BFF141" w14:textId="77777777" w:rsidR="001C6501" w:rsidRPr="002C70E8" w:rsidRDefault="001C6501" w:rsidP="002C70E8">
            <w:pPr>
              <w:pStyle w:val="TableParagraph"/>
              <w:ind w:left="328"/>
              <w:jc w:val="right"/>
              <w:rPr>
                <w:rFonts w:ascii="Arial" w:eastAsia="Arial" w:hAnsi="Arial" w:cs="Arial"/>
                <w:sz w:val="16"/>
                <w:szCs w:val="16"/>
              </w:rPr>
            </w:pPr>
            <w:r w:rsidRPr="002C70E8">
              <w:rPr>
                <w:rFonts w:ascii="Arial"/>
                <w:spacing w:val="-1"/>
                <w:sz w:val="16"/>
                <w:szCs w:val="16"/>
              </w:rPr>
              <w:t>1%</w:t>
            </w:r>
          </w:p>
        </w:tc>
        <w:tc>
          <w:tcPr>
            <w:tcW w:w="709" w:type="dxa"/>
            <w:tcBorders>
              <w:top w:val="single" w:sz="2" w:space="0" w:color="000000"/>
              <w:left w:val="single" w:sz="9" w:space="0" w:color="C0C0C0"/>
              <w:bottom w:val="single" w:sz="2" w:space="0" w:color="000000"/>
              <w:right w:val="single" w:sz="9" w:space="0" w:color="333333"/>
            </w:tcBorders>
          </w:tcPr>
          <w:p w14:paraId="6597104B" w14:textId="77777777" w:rsidR="001C6501" w:rsidRPr="002C70E8" w:rsidRDefault="001C6501" w:rsidP="002C70E8">
            <w:pPr>
              <w:pStyle w:val="TableParagraph"/>
              <w:spacing w:before="19" w:line="240" w:lineRule="exact"/>
              <w:jc w:val="right"/>
              <w:rPr>
                <w:sz w:val="16"/>
                <w:szCs w:val="16"/>
              </w:rPr>
            </w:pPr>
          </w:p>
          <w:p w14:paraId="6F590A99" w14:textId="77777777" w:rsidR="001C6501" w:rsidRPr="002C70E8" w:rsidRDefault="001C6501" w:rsidP="002C70E8">
            <w:pPr>
              <w:pStyle w:val="TableParagraph"/>
              <w:ind w:left="328"/>
              <w:jc w:val="right"/>
              <w:rPr>
                <w:rFonts w:ascii="Arial" w:eastAsia="Arial" w:hAnsi="Arial" w:cs="Arial"/>
                <w:sz w:val="16"/>
                <w:szCs w:val="16"/>
              </w:rPr>
            </w:pPr>
            <w:r w:rsidRPr="002C70E8">
              <w:rPr>
                <w:rFonts w:ascii="Arial"/>
                <w:spacing w:val="-1"/>
                <w:sz w:val="16"/>
                <w:szCs w:val="16"/>
              </w:rPr>
              <w:t>1%</w:t>
            </w:r>
          </w:p>
        </w:tc>
        <w:tc>
          <w:tcPr>
            <w:tcW w:w="1701" w:type="dxa"/>
            <w:tcBorders>
              <w:top w:val="single" w:sz="2" w:space="0" w:color="000000"/>
              <w:left w:val="single" w:sz="9" w:space="0" w:color="333333"/>
              <w:bottom w:val="single" w:sz="2" w:space="0" w:color="000000"/>
              <w:right w:val="single" w:sz="9" w:space="0" w:color="333333"/>
            </w:tcBorders>
          </w:tcPr>
          <w:p w14:paraId="45F88B5D" w14:textId="77777777" w:rsidR="001C6501" w:rsidRPr="002C70E8" w:rsidRDefault="001C6501" w:rsidP="002C70E8">
            <w:pPr>
              <w:pStyle w:val="TableParagraph"/>
              <w:spacing w:line="240" w:lineRule="exact"/>
              <w:jc w:val="right"/>
              <w:rPr>
                <w:sz w:val="16"/>
                <w:szCs w:val="16"/>
              </w:rPr>
            </w:pPr>
          </w:p>
          <w:p w14:paraId="6B074B52" w14:textId="77777777" w:rsidR="001C6501" w:rsidRPr="002C70E8" w:rsidRDefault="001C6501" w:rsidP="002C70E8">
            <w:pPr>
              <w:pStyle w:val="TableParagraph"/>
              <w:ind w:left="506"/>
              <w:jc w:val="right"/>
              <w:rPr>
                <w:rFonts w:ascii="Arial" w:eastAsia="Arial" w:hAnsi="Arial" w:cs="Arial"/>
                <w:sz w:val="16"/>
                <w:szCs w:val="16"/>
              </w:rPr>
            </w:pPr>
            <w:r w:rsidRPr="002C70E8">
              <w:rPr>
                <w:rFonts w:ascii="Arial"/>
                <w:spacing w:val="-1"/>
                <w:sz w:val="16"/>
                <w:szCs w:val="16"/>
              </w:rPr>
              <w:t>1,633</w:t>
            </w:r>
          </w:p>
        </w:tc>
      </w:tr>
      <w:tr w:rsidR="002C70E8" w14:paraId="3F0C3EC4" w14:textId="77777777" w:rsidTr="006B1840">
        <w:trPr>
          <w:trHeight w:hRule="exact" w:val="243"/>
        </w:trPr>
        <w:tc>
          <w:tcPr>
            <w:tcW w:w="1062" w:type="dxa"/>
            <w:vMerge/>
            <w:tcBorders>
              <w:left w:val="single" w:sz="9" w:space="0" w:color="333333"/>
              <w:right w:val="single" w:sz="9" w:space="0" w:color="333333"/>
            </w:tcBorders>
          </w:tcPr>
          <w:p w14:paraId="10719691" w14:textId="77777777" w:rsidR="001C6501" w:rsidRPr="002C70E8" w:rsidRDefault="001C6501" w:rsidP="001C6501">
            <w:pPr>
              <w:rPr>
                <w:sz w:val="16"/>
                <w:szCs w:val="16"/>
              </w:rPr>
            </w:pPr>
          </w:p>
        </w:tc>
        <w:tc>
          <w:tcPr>
            <w:tcW w:w="3119" w:type="dxa"/>
            <w:tcBorders>
              <w:top w:val="single" w:sz="2" w:space="0" w:color="000000"/>
              <w:left w:val="single" w:sz="9" w:space="0" w:color="333333"/>
              <w:bottom w:val="single" w:sz="2" w:space="0" w:color="000000"/>
              <w:right w:val="single" w:sz="9" w:space="0" w:color="C0C0C0"/>
            </w:tcBorders>
          </w:tcPr>
          <w:p w14:paraId="70A9EE06" w14:textId="77777777" w:rsidR="001C6501" w:rsidRPr="002C70E8" w:rsidRDefault="001C6501" w:rsidP="001C6501">
            <w:pPr>
              <w:pStyle w:val="TableParagraph"/>
              <w:spacing w:line="224" w:lineRule="exact"/>
              <w:ind w:left="27"/>
              <w:rPr>
                <w:rFonts w:ascii="Arial" w:eastAsia="Arial" w:hAnsi="Arial" w:cs="Arial"/>
                <w:sz w:val="16"/>
                <w:szCs w:val="16"/>
              </w:rPr>
            </w:pPr>
            <w:r w:rsidRPr="002C70E8">
              <w:rPr>
                <w:rFonts w:ascii="Arial"/>
                <w:spacing w:val="-1"/>
                <w:sz w:val="16"/>
                <w:szCs w:val="16"/>
              </w:rPr>
              <w:t>Inlet</w:t>
            </w:r>
            <w:r w:rsidRPr="002C70E8">
              <w:rPr>
                <w:rFonts w:ascii="Arial"/>
                <w:spacing w:val="-3"/>
                <w:sz w:val="16"/>
                <w:szCs w:val="16"/>
              </w:rPr>
              <w:t xml:space="preserve"> </w:t>
            </w:r>
            <w:r w:rsidRPr="002C70E8">
              <w:rPr>
                <w:rFonts w:ascii="Arial"/>
                <w:sz w:val="16"/>
                <w:szCs w:val="16"/>
              </w:rPr>
              <w:t>&amp;</w:t>
            </w:r>
            <w:r w:rsidRPr="002C70E8">
              <w:rPr>
                <w:rFonts w:ascii="Arial"/>
                <w:spacing w:val="-1"/>
                <w:sz w:val="16"/>
                <w:szCs w:val="16"/>
              </w:rPr>
              <w:t xml:space="preserve"> </w:t>
            </w:r>
            <w:r w:rsidRPr="002C70E8">
              <w:rPr>
                <w:rFonts w:ascii="Arial"/>
                <w:sz w:val="16"/>
                <w:szCs w:val="16"/>
              </w:rPr>
              <w:t>Junction</w:t>
            </w:r>
            <w:r w:rsidRPr="002C70E8">
              <w:rPr>
                <w:rFonts w:ascii="Arial"/>
                <w:spacing w:val="-1"/>
                <w:sz w:val="16"/>
                <w:szCs w:val="16"/>
              </w:rPr>
              <w:t xml:space="preserve"> Pits</w:t>
            </w:r>
          </w:p>
        </w:tc>
        <w:tc>
          <w:tcPr>
            <w:tcW w:w="1417" w:type="dxa"/>
            <w:tcBorders>
              <w:top w:val="single" w:sz="2" w:space="0" w:color="000000"/>
              <w:left w:val="single" w:sz="9" w:space="0" w:color="C0C0C0"/>
              <w:bottom w:val="single" w:sz="2" w:space="0" w:color="000000"/>
              <w:right w:val="single" w:sz="9" w:space="0" w:color="C0C0C0"/>
            </w:tcBorders>
          </w:tcPr>
          <w:p w14:paraId="421D429B" w14:textId="77777777" w:rsidR="001C6501" w:rsidRPr="002C70E8" w:rsidRDefault="001C6501" w:rsidP="002C70E8">
            <w:pPr>
              <w:pStyle w:val="TableParagraph"/>
              <w:spacing w:line="224" w:lineRule="exact"/>
              <w:ind w:left="670"/>
              <w:jc w:val="right"/>
              <w:rPr>
                <w:rFonts w:ascii="Arial" w:eastAsia="Arial" w:hAnsi="Arial" w:cs="Arial"/>
                <w:sz w:val="16"/>
                <w:szCs w:val="16"/>
              </w:rPr>
            </w:pPr>
            <w:r w:rsidRPr="002C70E8">
              <w:rPr>
                <w:rFonts w:ascii="Arial"/>
                <w:sz w:val="16"/>
                <w:szCs w:val="16"/>
              </w:rPr>
              <w:t>497</w:t>
            </w:r>
          </w:p>
        </w:tc>
        <w:tc>
          <w:tcPr>
            <w:tcW w:w="1417" w:type="dxa"/>
            <w:tcBorders>
              <w:top w:val="single" w:sz="2" w:space="0" w:color="000000"/>
              <w:left w:val="single" w:sz="9" w:space="0" w:color="C0C0C0"/>
              <w:bottom w:val="single" w:sz="2" w:space="0" w:color="000000"/>
              <w:right w:val="single" w:sz="9" w:space="0" w:color="333333"/>
            </w:tcBorders>
          </w:tcPr>
          <w:p w14:paraId="779119D5" w14:textId="77777777" w:rsidR="001C6501" w:rsidRPr="002C70E8" w:rsidRDefault="001C6501" w:rsidP="002C70E8">
            <w:pPr>
              <w:pStyle w:val="TableParagraph"/>
              <w:spacing w:line="224" w:lineRule="exact"/>
              <w:ind w:left="670"/>
              <w:jc w:val="right"/>
              <w:rPr>
                <w:rFonts w:ascii="Arial" w:eastAsia="Arial" w:hAnsi="Arial" w:cs="Arial"/>
                <w:sz w:val="16"/>
                <w:szCs w:val="16"/>
              </w:rPr>
            </w:pPr>
            <w:r w:rsidRPr="002C70E8">
              <w:rPr>
                <w:rFonts w:ascii="Arial"/>
                <w:sz w:val="16"/>
                <w:szCs w:val="16"/>
              </w:rPr>
              <w:t>497</w:t>
            </w:r>
          </w:p>
        </w:tc>
        <w:tc>
          <w:tcPr>
            <w:tcW w:w="1418" w:type="dxa"/>
            <w:tcBorders>
              <w:top w:val="single" w:sz="2" w:space="0" w:color="000000"/>
              <w:left w:val="single" w:sz="9" w:space="0" w:color="333333"/>
              <w:bottom w:val="single" w:sz="2" w:space="0" w:color="000000"/>
              <w:right w:val="single" w:sz="9" w:space="0" w:color="333333"/>
            </w:tcBorders>
          </w:tcPr>
          <w:p w14:paraId="1499054E" w14:textId="77777777" w:rsidR="001C6501" w:rsidRPr="002C70E8" w:rsidRDefault="001C6501" w:rsidP="002C70E8">
            <w:pPr>
              <w:pStyle w:val="TableParagraph"/>
              <w:spacing w:line="224" w:lineRule="exact"/>
              <w:ind w:left="393"/>
              <w:jc w:val="right"/>
              <w:rPr>
                <w:rFonts w:ascii="Arial" w:eastAsia="Arial" w:hAnsi="Arial" w:cs="Arial"/>
                <w:sz w:val="16"/>
                <w:szCs w:val="16"/>
              </w:rPr>
            </w:pPr>
            <w:r w:rsidRPr="002C70E8">
              <w:rPr>
                <w:rFonts w:ascii="Arial"/>
                <w:spacing w:val="-1"/>
                <w:sz w:val="16"/>
                <w:szCs w:val="16"/>
              </w:rPr>
              <w:t>16,773</w:t>
            </w:r>
          </w:p>
        </w:tc>
        <w:tc>
          <w:tcPr>
            <w:tcW w:w="1276" w:type="dxa"/>
            <w:tcBorders>
              <w:top w:val="single" w:sz="2" w:space="0" w:color="000000"/>
              <w:left w:val="single" w:sz="9" w:space="0" w:color="333333"/>
              <w:bottom w:val="single" w:sz="2" w:space="0" w:color="000000"/>
              <w:right w:val="single" w:sz="9" w:space="0" w:color="333333"/>
            </w:tcBorders>
          </w:tcPr>
          <w:p w14:paraId="4D6D3DA7" w14:textId="77777777" w:rsidR="001C6501" w:rsidRPr="002C70E8" w:rsidRDefault="001C6501" w:rsidP="002C70E8">
            <w:pPr>
              <w:pStyle w:val="TableParagraph"/>
              <w:spacing w:line="224" w:lineRule="exact"/>
              <w:ind w:left="393"/>
              <w:jc w:val="right"/>
              <w:rPr>
                <w:rFonts w:ascii="Arial" w:eastAsia="Arial" w:hAnsi="Arial" w:cs="Arial"/>
                <w:sz w:val="16"/>
                <w:szCs w:val="16"/>
              </w:rPr>
            </w:pPr>
            <w:r w:rsidRPr="002C70E8">
              <w:rPr>
                <w:rFonts w:ascii="Arial"/>
                <w:spacing w:val="-1"/>
                <w:sz w:val="16"/>
                <w:szCs w:val="16"/>
              </w:rPr>
              <w:t>11,929</w:t>
            </w:r>
          </w:p>
        </w:tc>
        <w:tc>
          <w:tcPr>
            <w:tcW w:w="709" w:type="dxa"/>
            <w:tcBorders>
              <w:top w:val="single" w:sz="2" w:space="0" w:color="000000"/>
              <w:left w:val="single" w:sz="9" w:space="0" w:color="333333"/>
              <w:bottom w:val="single" w:sz="2" w:space="0" w:color="000000"/>
              <w:right w:val="single" w:sz="9" w:space="0" w:color="C0C0C0"/>
            </w:tcBorders>
          </w:tcPr>
          <w:p w14:paraId="72E311F9" w14:textId="77777777" w:rsidR="001C6501" w:rsidRPr="002C70E8" w:rsidRDefault="001C6501" w:rsidP="002C70E8">
            <w:pPr>
              <w:pStyle w:val="TableParagraph"/>
              <w:spacing w:before="13"/>
              <w:ind w:left="298"/>
              <w:jc w:val="right"/>
              <w:rPr>
                <w:rFonts w:ascii="Arial" w:eastAsia="Arial" w:hAnsi="Arial" w:cs="Arial"/>
                <w:sz w:val="16"/>
                <w:szCs w:val="16"/>
              </w:rPr>
            </w:pPr>
            <w:r w:rsidRPr="002C70E8">
              <w:rPr>
                <w:rFonts w:ascii="Arial"/>
                <w:spacing w:val="-1"/>
                <w:sz w:val="16"/>
                <w:szCs w:val="16"/>
              </w:rPr>
              <w:t>77%</w:t>
            </w:r>
          </w:p>
        </w:tc>
        <w:tc>
          <w:tcPr>
            <w:tcW w:w="709" w:type="dxa"/>
            <w:tcBorders>
              <w:top w:val="single" w:sz="2" w:space="0" w:color="000000"/>
              <w:left w:val="single" w:sz="9" w:space="0" w:color="C0C0C0"/>
              <w:bottom w:val="single" w:sz="2" w:space="0" w:color="000000"/>
              <w:right w:val="single" w:sz="9" w:space="0" w:color="C0C0C0"/>
            </w:tcBorders>
          </w:tcPr>
          <w:p w14:paraId="0C35634A" w14:textId="77777777" w:rsidR="001C6501" w:rsidRPr="002C70E8" w:rsidRDefault="001C6501" w:rsidP="002C70E8">
            <w:pPr>
              <w:pStyle w:val="TableParagraph"/>
              <w:spacing w:before="13"/>
              <w:ind w:left="298"/>
              <w:jc w:val="right"/>
              <w:rPr>
                <w:rFonts w:ascii="Arial" w:eastAsia="Arial" w:hAnsi="Arial" w:cs="Arial"/>
                <w:sz w:val="16"/>
                <w:szCs w:val="16"/>
              </w:rPr>
            </w:pPr>
            <w:r w:rsidRPr="002C70E8">
              <w:rPr>
                <w:rFonts w:ascii="Arial"/>
                <w:spacing w:val="-1"/>
                <w:sz w:val="16"/>
                <w:szCs w:val="16"/>
              </w:rPr>
              <w:t>16%</w:t>
            </w:r>
          </w:p>
        </w:tc>
        <w:tc>
          <w:tcPr>
            <w:tcW w:w="709" w:type="dxa"/>
            <w:tcBorders>
              <w:top w:val="single" w:sz="2" w:space="0" w:color="000000"/>
              <w:left w:val="single" w:sz="9" w:space="0" w:color="C0C0C0"/>
              <w:bottom w:val="single" w:sz="2" w:space="0" w:color="000000"/>
              <w:right w:val="single" w:sz="9" w:space="0" w:color="C0C0C0"/>
            </w:tcBorders>
          </w:tcPr>
          <w:p w14:paraId="772EBBA9" w14:textId="77777777" w:rsidR="001C6501" w:rsidRPr="002C70E8" w:rsidRDefault="001C6501" w:rsidP="002C70E8">
            <w:pPr>
              <w:pStyle w:val="TableParagraph"/>
              <w:spacing w:before="13"/>
              <w:ind w:left="328"/>
              <w:jc w:val="right"/>
              <w:rPr>
                <w:rFonts w:ascii="Arial" w:eastAsia="Arial" w:hAnsi="Arial" w:cs="Arial"/>
                <w:sz w:val="16"/>
                <w:szCs w:val="16"/>
              </w:rPr>
            </w:pPr>
            <w:r w:rsidRPr="002C70E8">
              <w:rPr>
                <w:rFonts w:ascii="Arial"/>
                <w:spacing w:val="-1"/>
                <w:sz w:val="16"/>
                <w:szCs w:val="16"/>
              </w:rPr>
              <w:t>3%</w:t>
            </w:r>
          </w:p>
        </w:tc>
        <w:tc>
          <w:tcPr>
            <w:tcW w:w="708" w:type="dxa"/>
            <w:tcBorders>
              <w:top w:val="single" w:sz="2" w:space="0" w:color="000000"/>
              <w:left w:val="single" w:sz="9" w:space="0" w:color="C0C0C0"/>
              <w:bottom w:val="single" w:sz="2" w:space="0" w:color="000000"/>
              <w:right w:val="single" w:sz="9" w:space="0" w:color="C0C0C0"/>
            </w:tcBorders>
          </w:tcPr>
          <w:p w14:paraId="56E241EC" w14:textId="77777777" w:rsidR="001C6501" w:rsidRPr="002C70E8" w:rsidRDefault="001C6501" w:rsidP="002C70E8">
            <w:pPr>
              <w:pStyle w:val="TableParagraph"/>
              <w:spacing w:before="13"/>
              <w:ind w:left="328"/>
              <w:jc w:val="right"/>
              <w:rPr>
                <w:rFonts w:ascii="Arial" w:eastAsia="Arial" w:hAnsi="Arial" w:cs="Arial"/>
                <w:sz w:val="16"/>
                <w:szCs w:val="16"/>
              </w:rPr>
            </w:pPr>
            <w:r w:rsidRPr="002C70E8">
              <w:rPr>
                <w:rFonts w:ascii="Arial"/>
                <w:spacing w:val="-1"/>
                <w:sz w:val="16"/>
                <w:szCs w:val="16"/>
              </w:rPr>
              <w:t>3%</w:t>
            </w:r>
          </w:p>
        </w:tc>
        <w:tc>
          <w:tcPr>
            <w:tcW w:w="709" w:type="dxa"/>
            <w:tcBorders>
              <w:top w:val="single" w:sz="2" w:space="0" w:color="000000"/>
              <w:left w:val="single" w:sz="9" w:space="0" w:color="C0C0C0"/>
              <w:bottom w:val="single" w:sz="2" w:space="0" w:color="000000"/>
              <w:right w:val="single" w:sz="9" w:space="0" w:color="333333"/>
            </w:tcBorders>
          </w:tcPr>
          <w:p w14:paraId="4107DA6B" w14:textId="77777777" w:rsidR="001C6501" w:rsidRPr="002C70E8" w:rsidRDefault="001C6501" w:rsidP="002C70E8">
            <w:pPr>
              <w:pStyle w:val="TableParagraph"/>
              <w:spacing w:before="13"/>
              <w:ind w:left="328"/>
              <w:jc w:val="right"/>
              <w:rPr>
                <w:rFonts w:ascii="Arial" w:eastAsia="Arial" w:hAnsi="Arial" w:cs="Arial"/>
                <w:sz w:val="16"/>
                <w:szCs w:val="16"/>
              </w:rPr>
            </w:pPr>
            <w:r w:rsidRPr="002C70E8">
              <w:rPr>
                <w:rFonts w:ascii="Arial"/>
                <w:spacing w:val="-1"/>
                <w:sz w:val="16"/>
                <w:szCs w:val="16"/>
              </w:rPr>
              <w:t>1%</w:t>
            </w:r>
          </w:p>
        </w:tc>
        <w:tc>
          <w:tcPr>
            <w:tcW w:w="1701" w:type="dxa"/>
            <w:tcBorders>
              <w:top w:val="single" w:sz="2" w:space="0" w:color="000000"/>
              <w:left w:val="single" w:sz="9" w:space="0" w:color="333333"/>
              <w:bottom w:val="single" w:sz="2" w:space="0" w:color="000000"/>
              <w:right w:val="single" w:sz="9" w:space="0" w:color="333333"/>
            </w:tcBorders>
          </w:tcPr>
          <w:p w14:paraId="655312FC" w14:textId="77777777" w:rsidR="001C6501" w:rsidRPr="002C70E8" w:rsidRDefault="001C6501" w:rsidP="002C70E8">
            <w:pPr>
              <w:pStyle w:val="TableParagraph"/>
              <w:spacing w:line="224" w:lineRule="exact"/>
              <w:ind w:left="672"/>
              <w:jc w:val="right"/>
              <w:rPr>
                <w:rFonts w:ascii="Arial" w:eastAsia="Arial" w:hAnsi="Arial" w:cs="Arial"/>
                <w:sz w:val="16"/>
                <w:szCs w:val="16"/>
              </w:rPr>
            </w:pPr>
            <w:r w:rsidRPr="002C70E8">
              <w:rPr>
                <w:rFonts w:ascii="Arial"/>
                <w:sz w:val="16"/>
                <w:szCs w:val="16"/>
              </w:rPr>
              <w:t>671</w:t>
            </w:r>
          </w:p>
        </w:tc>
      </w:tr>
      <w:tr w:rsidR="002C70E8" w14:paraId="75648F6C" w14:textId="77777777" w:rsidTr="006B1840">
        <w:trPr>
          <w:trHeight w:hRule="exact" w:val="243"/>
        </w:trPr>
        <w:tc>
          <w:tcPr>
            <w:tcW w:w="1062" w:type="dxa"/>
            <w:vMerge/>
            <w:tcBorders>
              <w:left w:val="single" w:sz="9" w:space="0" w:color="333333"/>
              <w:right w:val="single" w:sz="9" w:space="0" w:color="333333"/>
            </w:tcBorders>
          </w:tcPr>
          <w:p w14:paraId="53D0AA49" w14:textId="77777777" w:rsidR="001C6501" w:rsidRPr="002C70E8" w:rsidRDefault="001C6501" w:rsidP="001C6501">
            <w:pPr>
              <w:rPr>
                <w:sz w:val="16"/>
                <w:szCs w:val="16"/>
              </w:rPr>
            </w:pPr>
          </w:p>
        </w:tc>
        <w:tc>
          <w:tcPr>
            <w:tcW w:w="3119" w:type="dxa"/>
            <w:tcBorders>
              <w:top w:val="single" w:sz="2" w:space="0" w:color="000000"/>
              <w:left w:val="single" w:sz="9" w:space="0" w:color="333333"/>
              <w:bottom w:val="single" w:sz="2" w:space="0" w:color="000000"/>
              <w:right w:val="single" w:sz="9" w:space="0" w:color="C0C0C0"/>
            </w:tcBorders>
          </w:tcPr>
          <w:p w14:paraId="07219E7F" w14:textId="77777777" w:rsidR="001C6501" w:rsidRPr="002C70E8" w:rsidRDefault="001C6501" w:rsidP="001C6501">
            <w:pPr>
              <w:pStyle w:val="TableParagraph"/>
              <w:spacing w:line="224" w:lineRule="exact"/>
              <w:ind w:left="27"/>
              <w:rPr>
                <w:rFonts w:ascii="Arial" w:eastAsia="Arial" w:hAnsi="Arial" w:cs="Arial"/>
                <w:sz w:val="16"/>
                <w:szCs w:val="16"/>
              </w:rPr>
            </w:pPr>
            <w:r w:rsidRPr="002C70E8">
              <w:rPr>
                <w:rFonts w:ascii="Arial"/>
                <w:sz w:val="16"/>
                <w:szCs w:val="16"/>
              </w:rPr>
              <w:t>Head</w:t>
            </w:r>
            <w:r w:rsidRPr="002C70E8">
              <w:rPr>
                <w:rFonts w:ascii="Arial"/>
                <w:spacing w:val="-1"/>
                <w:sz w:val="16"/>
                <w:szCs w:val="16"/>
              </w:rPr>
              <w:t xml:space="preserve"> </w:t>
            </w:r>
            <w:r w:rsidRPr="002C70E8">
              <w:rPr>
                <w:rFonts w:ascii="Arial"/>
                <w:spacing w:val="2"/>
                <w:sz w:val="16"/>
                <w:szCs w:val="16"/>
              </w:rPr>
              <w:t>Walls</w:t>
            </w:r>
          </w:p>
        </w:tc>
        <w:tc>
          <w:tcPr>
            <w:tcW w:w="1417" w:type="dxa"/>
            <w:tcBorders>
              <w:top w:val="single" w:sz="2" w:space="0" w:color="000000"/>
              <w:left w:val="single" w:sz="9" w:space="0" w:color="C0C0C0"/>
              <w:bottom w:val="single" w:sz="2" w:space="0" w:color="000000"/>
              <w:right w:val="single" w:sz="9" w:space="0" w:color="C0C0C0"/>
            </w:tcBorders>
          </w:tcPr>
          <w:p w14:paraId="2FCA17CC" w14:textId="77777777" w:rsidR="001C6501" w:rsidRPr="002C70E8" w:rsidRDefault="001C6501" w:rsidP="002C70E8">
            <w:pPr>
              <w:pStyle w:val="TableParagraph"/>
              <w:spacing w:line="224" w:lineRule="exact"/>
              <w:ind w:right="93"/>
              <w:jc w:val="right"/>
              <w:rPr>
                <w:rFonts w:ascii="Arial" w:eastAsia="Arial" w:hAnsi="Arial" w:cs="Arial"/>
                <w:sz w:val="16"/>
                <w:szCs w:val="16"/>
              </w:rPr>
            </w:pPr>
            <w:r w:rsidRPr="002C70E8">
              <w:rPr>
                <w:rFonts w:ascii="Arial"/>
                <w:sz w:val="16"/>
                <w:szCs w:val="16"/>
              </w:rPr>
              <w:t>85</w:t>
            </w:r>
          </w:p>
        </w:tc>
        <w:tc>
          <w:tcPr>
            <w:tcW w:w="1417" w:type="dxa"/>
            <w:tcBorders>
              <w:top w:val="single" w:sz="2" w:space="0" w:color="000000"/>
              <w:left w:val="single" w:sz="9" w:space="0" w:color="C0C0C0"/>
              <w:bottom w:val="single" w:sz="2" w:space="0" w:color="000000"/>
              <w:right w:val="single" w:sz="9" w:space="0" w:color="333333"/>
            </w:tcBorders>
          </w:tcPr>
          <w:p w14:paraId="76FFC6A5" w14:textId="77777777" w:rsidR="001C6501" w:rsidRPr="002C70E8" w:rsidRDefault="001C6501" w:rsidP="002C70E8">
            <w:pPr>
              <w:pStyle w:val="TableParagraph"/>
              <w:spacing w:line="224" w:lineRule="exact"/>
              <w:ind w:right="93"/>
              <w:jc w:val="right"/>
              <w:rPr>
                <w:rFonts w:ascii="Arial" w:eastAsia="Arial" w:hAnsi="Arial" w:cs="Arial"/>
                <w:sz w:val="16"/>
                <w:szCs w:val="16"/>
              </w:rPr>
            </w:pPr>
            <w:r w:rsidRPr="002C70E8">
              <w:rPr>
                <w:rFonts w:ascii="Arial"/>
                <w:sz w:val="16"/>
                <w:szCs w:val="16"/>
              </w:rPr>
              <w:t>85</w:t>
            </w:r>
          </w:p>
        </w:tc>
        <w:tc>
          <w:tcPr>
            <w:tcW w:w="1418" w:type="dxa"/>
            <w:tcBorders>
              <w:top w:val="single" w:sz="2" w:space="0" w:color="000000"/>
              <w:left w:val="single" w:sz="9" w:space="0" w:color="333333"/>
              <w:bottom w:val="single" w:sz="2" w:space="0" w:color="000000"/>
              <w:right w:val="single" w:sz="9" w:space="0" w:color="333333"/>
            </w:tcBorders>
          </w:tcPr>
          <w:p w14:paraId="4D74AA77" w14:textId="77777777" w:rsidR="001C6501" w:rsidRPr="002C70E8" w:rsidRDefault="001C6501" w:rsidP="002C70E8">
            <w:pPr>
              <w:pStyle w:val="TableParagraph"/>
              <w:spacing w:line="224" w:lineRule="exact"/>
              <w:ind w:left="504"/>
              <w:jc w:val="right"/>
              <w:rPr>
                <w:rFonts w:ascii="Arial" w:eastAsia="Arial" w:hAnsi="Arial" w:cs="Arial"/>
                <w:sz w:val="16"/>
                <w:szCs w:val="16"/>
              </w:rPr>
            </w:pPr>
            <w:r w:rsidRPr="002C70E8">
              <w:rPr>
                <w:rFonts w:ascii="Arial"/>
                <w:spacing w:val="-1"/>
                <w:sz w:val="16"/>
                <w:szCs w:val="16"/>
              </w:rPr>
              <w:t>1,650</w:t>
            </w:r>
          </w:p>
        </w:tc>
        <w:tc>
          <w:tcPr>
            <w:tcW w:w="1276" w:type="dxa"/>
            <w:tcBorders>
              <w:top w:val="single" w:sz="2" w:space="0" w:color="000000"/>
              <w:left w:val="single" w:sz="9" w:space="0" w:color="333333"/>
              <w:bottom w:val="single" w:sz="2" w:space="0" w:color="000000"/>
              <w:right w:val="single" w:sz="9" w:space="0" w:color="333333"/>
            </w:tcBorders>
          </w:tcPr>
          <w:p w14:paraId="0FBC811B" w14:textId="77777777" w:rsidR="001C6501" w:rsidRPr="002C70E8" w:rsidRDefault="001C6501" w:rsidP="002C70E8">
            <w:pPr>
              <w:pStyle w:val="TableParagraph"/>
              <w:spacing w:line="224" w:lineRule="exact"/>
              <w:ind w:left="670"/>
              <w:jc w:val="right"/>
              <w:rPr>
                <w:rFonts w:ascii="Arial" w:eastAsia="Arial" w:hAnsi="Arial" w:cs="Arial"/>
                <w:sz w:val="16"/>
                <w:szCs w:val="16"/>
              </w:rPr>
            </w:pPr>
            <w:r w:rsidRPr="002C70E8">
              <w:rPr>
                <w:rFonts w:ascii="Arial"/>
                <w:sz w:val="16"/>
                <w:szCs w:val="16"/>
              </w:rPr>
              <w:t>967</w:t>
            </w:r>
          </w:p>
        </w:tc>
        <w:tc>
          <w:tcPr>
            <w:tcW w:w="709" w:type="dxa"/>
            <w:tcBorders>
              <w:top w:val="single" w:sz="2" w:space="0" w:color="000000"/>
              <w:left w:val="single" w:sz="9" w:space="0" w:color="333333"/>
              <w:bottom w:val="single" w:sz="2" w:space="0" w:color="000000"/>
              <w:right w:val="single" w:sz="9" w:space="0" w:color="C0C0C0"/>
            </w:tcBorders>
          </w:tcPr>
          <w:p w14:paraId="4DB1B589" w14:textId="77777777" w:rsidR="001C6501" w:rsidRPr="002C70E8" w:rsidRDefault="001C6501" w:rsidP="002C70E8">
            <w:pPr>
              <w:pStyle w:val="TableParagraph"/>
              <w:spacing w:before="13"/>
              <w:ind w:left="298"/>
              <w:jc w:val="right"/>
              <w:rPr>
                <w:rFonts w:ascii="Arial" w:eastAsia="Arial" w:hAnsi="Arial" w:cs="Arial"/>
                <w:sz w:val="16"/>
                <w:szCs w:val="16"/>
              </w:rPr>
            </w:pPr>
            <w:r w:rsidRPr="002C70E8">
              <w:rPr>
                <w:rFonts w:ascii="Arial"/>
                <w:spacing w:val="-1"/>
                <w:sz w:val="16"/>
                <w:szCs w:val="16"/>
              </w:rPr>
              <w:t>77%</w:t>
            </w:r>
          </w:p>
        </w:tc>
        <w:tc>
          <w:tcPr>
            <w:tcW w:w="709" w:type="dxa"/>
            <w:tcBorders>
              <w:top w:val="single" w:sz="2" w:space="0" w:color="000000"/>
              <w:left w:val="single" w:sz="9" w:space="0" w:color="C0C0C0"/>
              <w:bottom w:val="single" w:sz="2" w:space="0" w:color="000000"/>
              <w:right w:val="single" w:sz="9" w:space="0" w:color="C0C0C0"/>
            </w:tcBorders>
          </w:tcPr>
          <w:p w14:paraId="358E229C" w14:textId="77777777" w:rsidR="001C6501" w:rsidRPr="002C70E8" w:rsidRDefault="001C6501" w:rsidP="002C70E8">
            <w:pPr>
              <w:pStyle w:val="TableParagraph"/>
              <w:spacing w:before="13"/>
              <w:ind w:left="298"/>
              <w:jc w:val="right"/>
              <w:rPr>
                <w:rFonts w:ascii="Arial" w:eastAsia="Arial" w:hAnsi="Arial" w:cs="Arial"/>
                <w:sz w:val="16"/>
                <w:szCs w:val="16"/>
              </w:rPr>
            </w:pPr>
            <w:r w:rsidRPr="002C70E8">
              <w:rPr>
                <w:rFonts w:ascii="Arial"/>
                <w:spacing w:val="-1"/>
                <w:sz w:val="16"/>
                <w:szCs w:val="16"/>
              </w:rPr>
              <w:t>16%</w:t>
            </w:r>
          </w:p>
        </w:tc>
        <w:tc>
          <w:tcPr>
            <w:tcW w:w="709" w:type="dxa"/>
            <w:tcBorders>
              <w:top w:val="single" w:sz="2" w:space="0" w:color="000000"/>
              <w:left w:val="single" w:sz="9" w:space="0" w:color="C0C0C0"/>
              <w:bottom w:val="single" w:sz="2" w:space="0" w:color="000000"/>
              <w:right w:val="single" w:sz="9" w:space="0" w:color="C0C0C0"/>
            </w:tcBorders>
          </w:tcPr>
          <w:p w14:paraId="28D28C58" w14:textId="77777777" w:rsidR="001C6501" w:rsidRPr="002C70E8" w:rsidRDefault="001C6501" w:rsidP="002C70E8">
            <w:pPr>
              <w:pStyle w:val="TableParagraph"/>
              <w:spacing w:before="13"/>
              <w:ind w:left="328"/>
              <w:jc w:val="right"/>
              <w:rPr>
                <w:rFonts w:ascii="Arial" w:eastAsia="Arial" w:hAnsi="Arial" w:cs="Arial"/>
                <w:sz w:val="16"/>
                <w:szCs w:val="16"/>
              </w:rPr>
            </w:pPr>
            <w:r w:rsidRPr="002C70E8">
              <w:rPr>
                <w:rFonts w:ascii="Arial"/>
                <w:spacing w:val="-1"/>
                <w:sz w:val="16"/>
                <w:szCs w:val="16"/>
              </w:rPr>
              <w:t>3%</w:t>
            </w:r>
          </w:p>
        </w:tc>
        <w:tc>
          <w:tcPr>
            <w:tcW w:w="708" w:type="dxa"/>
            <w:tcBorders>
              <w:top w:val="single" w:sz="2" w:space="0" w:color="000000"/>
              <w:left w:val="single" w:sz="9" w:space="0" w:color="C0C0C0"/>
              <w:bottom w:val="single" w:sz="2" w:space="0" w:color="000000"/>
              <w:right w:val="single" w:sz="9" w:space="0" w:color="C0C0C0"/>
            </w:tcBorders>
          </w:tcPr>
          <w:p w14:paraId="305EE55C" w14:textId="77777777" w:rsidR="001C6501" w:rsidRPr="002C70E8" w:rsidRDefault="001C6501" w:rsidP="002C70E8">
            <w:pPr>
              <w:pStyle w:val="TableParagraph"/>
              <w:spacing w:before="13"/>
              <w:ind w:left="328"/>
              <w:jc w:val="right"/>
              <w:rPr>
                <w:rFonts w:ascii="Arial" w:eastAsia="Arial" w:hAnsi="Arial" w:cs="Arial"/>
                <w:sz w:val="16"/>
                <w:szCs w:val="16"/>
              </w:rPr>
            </w:pPr>
            <w:r w:rsidRPr="002C70E8">
              <w:rPr>
                <w:rFonts w:ascii="Arial"/>
                <w:spacing w:val="-1"/>
                <w:sz w:val="16"/>
                <w:szCs w:val="16"/>
              </w:rPr>
              <w:t>3%</w:t>
            </w:r>
          </w:p>
        </w:tc>
        <w:tc>
          <w:tcPr>
            <w:tcW w:w="709" w:type="dxa"/>
            <w:tcBorders>
              <w:top w:val="single" w:sz="2" w:space="0" w:color="000000"/>
              <w:left w:val="single" w:sz="9" w:space="0" w:color="C0C0C0"/>
              <w:bottom w:val="single" w:sz="2" w:space="0" w:color="000000"/>
              <w:right w:val="single" w:sz="9" w:space="0" w:color="333333"/>
            </w:tcBorders>
          </w:tcPr>
          <w:p w14:paraId="4391C8A6" w14:textId="77777777" w:rsidR="001C6501" w:rsidRPr="002C70E8" w:rsidRDefault="001C6501" w:rsidP="002C70E8">
            <w:pPr>
              <w:pStyle w:val="TableParagraph"/>
              <w:spacing w:before="13"/>
              <w:ind w:left="328"/>
              <w:jc w:val="right"/>
              <w:rPr>
                <w:rFonts w:ascii="Arial" w:eastAsia="Arial" w:hAnsi="Arial" w:cs="Arial"/>
                <w:sz w:val="16"/>
                <w:szCs w:val="16"/>
              </w:rPr>
            </w:pPr>
            <w:r w:rsidRPr="002C70E8">
              <w:rPr>
                <w:rFonts w:ascii="Arial"/>
                <w:spacing w:val="-1"/>
                <w:sz w:val="16"/>
                <w:szCs w:val="16"/>
              </w:rPr>
              <w:t>1%</w:t>
            </w:r>
          </w:p>
        </w:tc>
        <w:tc>
          <w:tcPr>
            <w:tcW w:w="1701" w:type="dxa"/>
            <w:tcBorders>
              <w:top w:val="single" w:sz="2" w:space="0" w:color="000000"/>
              <w:left w:val="single" w:sz="9" w:space="0" w:color="333333"/>
              <w:bottom w:val="single" w:sz="2" w:space="0" w:color="000000"/>
              <w:right w:val="single" w:sz="9" w:space="0" w:color="333333"/>
            </w:tcBorders>
          </w:tcPr>
          <w:p w14:paraId="4ACB540F" w14:textId="77777777" w:rsidR="001C6501" w:rsidRPr="002C70E8" w:rsidRDefault="001C6501" w:rsidP="002C70E8">
            <w:pPr>
              <w:pStyle w:val="TableParagraph"/>
              <w:spacing w:line="224" w:lineRule="exact"/>
              <w:ind w:right="91"/>
              <w:jc w:val="right"/>
              <w:rPr>
                <w:rFonts w:ascii="Arial" w:eastAsia="Arial" w:hAnsi="Arial" w:cs="Arial"/>
                <w:sz w:val="16"/>
                <w:szCs w:val="16"/>
              </w:rPr>
            </w:pPr>
            <w:r w:rsidRPr="002C70E8">
              <w:rPr>
                <w:rFonts w:ascii="Arial"/>
                <w:sz w:val="16"/>
                <w:szCs w:val="16"/>
              </w:rPr>
              <w:t>66</w:t>
            </w:r>
          </w:p>
        </w:tc>
      </w:tr>
      <w:tr w:rsidR="002C70E8" w14:paraId="3740234F" w14:textId="77777777" w:rsidTr="006B1840">
        <w:trPr>
          <w:trHeight w:hRule="exact" w:val="243"/>
        </w:trPr>
        <w:tc>
          <w:tcPr>
            <w:tcW w:w="1062" w:type="dxa"/>
            <w:vMerge/>
            <w:tcBorders>
              <w:left w:val="single" w:sz="9" w:space="0" w:color="333333"/>
              <w:bottom w:val="single" w:sz="9" w:space="0" w:color="808080"/>
              <w:right w:val="single" w:sz="9" w:space="0" w:color="333333"/>
            </w:tcBorders>
          </w:tcPr>
          <w:p w14:paraId="2DDF297B" w14:textId="77777777" w:rsidR="001C6501" w:rsidRPr="002C70E8" w:rsidRDefault="001C6501" w:rsidP="001C6501">
            <w:pPr>
              <w:rPr>
                <w:sz w:val="16"/>
                <w:szCs w:val="16"/>
              </w:rPr>
            </w:pPr>
          </w:p>
        </w:tc>
        <w:tc>
          <w:tcPr>
            <w:tcW w:w="3119" w:type="dxa"/>
            <w:tcBorders>
              <w:top w:val="single" w:sz="2" w:space="0" w:color="000000"/>
              <w:left w:val="single" w:sz="9" w:space="0" w:color="333333"/>
              <w:bottom w:val="single" w:sz="9" w:space="0" w:color="000000"/>
              <w:right w:val="single" w:sz="9" w:space="0" w:color="C0C0C0"/>
            </w:tcBorders>
          </w:tcPr>
          <w:p w14:paraId="65472847" w14:textId="77777777" w:rsidR="001C6501" w:rsidRPr="002C70E8" w:rsidRDefault="001C6501" w:rsidP="001C6501">
            <w:pPr>
              <w:pStyle w:val="TableParagraph"/>
              <w:spacing w:line="224" w:lineRule="exact"/>
              <w:ind w:left="27"/>
              <w:rPr>
                <w:rFonts w:ascii="Arial" w:eastAsia="Arial" w:hAnsi="Arial" w:cs="Arial"/>
                <w:sz w:val="16"/>
                <w:szCs w:val="16"/>
              </w:rPr>
            </w:pPr>
            <w:r w:rsidRPr="002C70E8">
              <w:rPr>
                <w:rFonts w:ascii="Arial"/>
                <w:b/>
                <w:sz w:val="16"/>
                <w:szCs w:val="16"/>
              </w:rPr>
              <w:t>sub</w:t>
            </w:r>
            <w:r w:rsidRPr="002C70E8">
              <w:rPr>
                <w:rFonts w:ascii="Arial"/>
                <w:b/>
                <w:spacing w:val="-1"/>
                <w:sz w:val="16"/>
                <w:szCs w:val="16"/>
              </w:rPr>
              <w:t xml:space="preserve"> total</w:t>
            </w:r>
          </w:p>
        </w:tc>
        <w:tc>
          <w:tcPr>
            <w:tcW w:w="1417" w:type="dxa"/>
            <w:tcBorders>
              <w:top w:val="single" w:sz="2" w:space="0" w:color="000000"/>
              <w:left w:val="single" w:sz="9" w:space="0" w:color="C0C0C0"/>
              <w:bottom w:val="single" w:sz="9" w:space="0" w:color="808080"/>
              <w:right w:val="single" w:sz="9" w:space="0" w:color="C0C0C0"/>
            </w:tcBorders>
          </w:tcPr>
          <w:p w14:paraId="75E10867" w14:textId="77777777" w:rsidR="001C6501" w:rsidRPr="002C70E8" w:rsidRDefault="001C6501" w:rsidP="002C70E8">
            <w:pPr>
              <w:pStyle w:val="TableParagraph"/>
              <w:spacing w:line="224" w:lineRule="exact"/>
              <w:ind w:left="504"/>
              <w:jc w:val="right"/>
              <w:rPr>
                <w:rFonts w:ascii="Arial" w:eastAsia="Arial" w:hAnsi="Arial" w:cs="Arial"/>
                <w:sz w:val="16"/>
                <w:szCs w:val="16"/>
              </w:rPr>
            </w:pPr>
            <w:r w:rsidRPr="002C70E8">
              <w:rPr>
                <w:rFonts w:ascii="Arial"/>
                <w:b/>
                <w:spacing w:val="-1"/>
                <w:sz w:val="16"/>
                <w:szCs w:val="16"/>
              </w:rPr>
              <w:t>1,076</w:t>
            </w:r>
          </w:p>
        </w:tc>
        <w:tc>
          <w:tcPr>
            <w:tcW w:w="1417" w:type="dxa"/>
            <w:tcBorders>
              <w:top w:val="single" w:sz="2" w:space="0" w:color="000000"/>
              <w:left w:val="single" w:sz="9" w:space="0" w:color="C0C0C0"/>
              <w:bottom w:val="single" w:sz="9" w:space="0" w:color="808080"/>
              <w:right w:val="single" w:sz="9" w:space="0" w:color="333333"/>
            </w:tcBorders>
          </w:tcPr>
          <w:p w14:paraId="550C44BD" w14:textId="77777777" w:rsidR="001C6501" w:rsidRPr="002C70E8" w:rsidRDefault="001C6501" w:rsidP="002C70E8">
            <w:pPr>
              <w:pStyle w:val="TableParagraph"/>
              <w:spacing w:line="224" w:lineRule="exact"/>
              <w:ind w:left="504"/>
              <w:jc w:val="right"/>
              <w:rPr>
                <w:rFonts w:ascii="Arial" w:eastAsia="Arial" w:hAnsi="Arial" w:cs="Arial"/>
                <w:sz w:val="16"/>
                <w:szCs w:val="16"/>
              </w:rPr>
            </w:pPr>
            <w:r w:rsidRPr="002C70E8">
              <w:rPr>
                <w:rFonts w:ascii="Arial"/>
                <w:b/>
                <w:spacing w:val="-1"/>
                <w:sz w:val="16"/>
                <w:szCs w:val="16"/>
              </w:rPr>
              <w:t>1,076</w:t>
            </w:r>
          </w:p>
        </w:tc>
        <w:tc>
          <w:tcPr>
            <w:tcW w:w="1418" w:type="dxa"/>
            <w:tcBorders>
              <w:top w:val="single" w:sz="2" w:space="0" w:color="000000"/>
              <w:left w:val="single" w:sz="9" w:space="0" w:color="333333"/>
              <w:bottom w:val="single" w:sz="9" w:space="0" w:color="808080"/>
              <w:right w:val="single" w:sz="9" w:space="0" w:color="333333"/>
            </w:tcBorders>
          </w:tcPr>
          <w:p w14:paraId="52B5E119" w14:textId="77777777" w:rsidR="001C6501" w:rsidRPr="002C70E8" w:rsidRDefault="001C6501" w:rsidP="002C70E8">
            <w:pPr>
              <w:pStyle w:val="TableParagraph"/>
              <w:spacing w:line="224" w:lineRule="exact"/>
              <w:ind w:left="281"/>
              <w:jc w:val="right"/>
              <w:rPr>
                <w:rFonts w:ascii="Arial" w:eastAsia="Arial" w:hAnsi="Arial" w:cs="Arial"/>
                <w:sz w:val="16"/>
                <w:szCs w:val="16"/>
              </w:rPr>
            </w:pPr>
            <w:r w:rsidRPr="002C70E8">
              <w:rPr>
                <w:rFonts w:ascii="Arial"/>
                <w:b/>
                <w:spacing w:val="-1"/>
                <w:sz w:val="16"/>
                <w:szCs w:val="16"/>
              </w:rPr>
              <w:t>100,060</w:t>
            </w:r>
          </w:p>
        </w:tc>
        <w:tc>
          <w:tcPr>
            <w:tcW w:w="1276" w:type="dxa"/>
            <w:tcBorders>
              <w:top w:val="single" w:sz="2" w:space="0" w:color="000000"/>
              <w:left w:val="single" w:sz="9" w:space="0" w:color="333333"/>
              <w:bottom w:val="single" w:sz="9" w:space="0" w:color="808080"/>
              <w:right w:val="single" w:sz="9" w:space="0" w:color="333333"/>
            </w:tcBorders>
          </w:tcPr>
          <w:p w14:paraId="26895F24" w14:textId="77777777" w:rsidR="001C6501" w:rsidRPr="002C70E8" w:rsidRDefault="001C6501" w:rsidP="002C70E8">
            <w:pPr>
              <w:pStyle w:val="TableParagraph"/>
              <w:spacing w:line="224" w:lineRule="exact"/>
              <w:ind w:left="393"/>
              <w:jc w:val="right"/>
              <w:rPr>
                <w:rFonts w:ascii="Arial" w:eastAsia="Arial" w:hAnsi="Arial" w:cs="Arial"/>
                <w:sz w:val="16"/>
                <w:szCs w:val="16"/>
              </w:rPr>
            </w:pPr>
            <w:r w:rsidRPr="002C70E8">
              <w:rPr>
                <w:rFonts w:ascii="Arial"/>
                <w:b/>
                <w:spacing w:val="-1"/>
                <w:sz w:val="16"/>
                <w:szCs w:val="16"/>
              </w:rPr>
              <w:t>73,705</w:t>
            </w:r>
          </w:p>
        </w:tc>
        <w:tc>
          <w:tcPr>
            <w:tcW w:w="709" w:type="dxa"/>
            <w:tcBorders>
              <w:top w:val="single" w:sz="2" w:space="0" w:color="000000"/>
              <w:left w:val="single" w:sz="9" w:space="0" w:color="333333"/>
              <w:bottom w:val="single" w:sz="9" w:space="0" w:color="808080"/>
              <w:right w:val="single" w:sz="9" w:space="0" w:color="C0C0C0"/>
            </w:tcBorders>
          </w:tcPr>
          <w:p w14:paraId="7F13A07F" w14:textId="77777777" w:rsidR="001C6501" w:rsidRPr="002C70E8" w:rsidRDefault="001C6501" w:rsidP="002C70E8">
            <w:pPr>
              <w:pStyle w:val="TableParagraph"/>
              <w:spacing w:before="13"/>
              <w:ind w:left="224"/>
              <w:jc w:val="right"/>
              <w:rPr>
                <w:rFonts w:ascii="Arial" w:eastAsia="Arial" w:hAnsi="Arial" w:cs="Arial"/>
                <w:sz w:val="16"/>
                <w:szCs w:val="16"/>
              </w:rPr>
            </w:pPr>
            <w:r w:rsidRPr="002C70E8">
              <w:rPr>
                <w:rFonts w:ascii="Arial"/>
                <w:b/>
                <w:sz w:val="16"/>
                <w:szCs w:val="16"/>
              </w:rPr>
              <w:t>68.8%</w:t>
            </w:r>
          </w:p>
        </w:tc>
        <w:tc>
          <w:tcPr>
            <w:tcW w:w="709" w:type="dxa"/>
            <w:tcBorders>
              <w:top w:val="single" w:sz="2" w:space="0" w:color="000000"/>
              <w:left w:val="single" w:sz="9" w:space="0" w:color="C0C0C0"/>
              <w:bottom w:val="single" w:sz="9" w:space="0" w:color="808080"/>
              <w:right w:val="single" w:sz="9" w:space="0" w:color="C0C0C0"/>
            </w:tcBorders>
          </w:tcPr>
          <w:p w14:paraId="2F011FB9" w14:textId="77777777" w:rsidR="001C6501" w:rsidRPr="002C70E8" w:rsidRDefault="001C6501" w:rsidP="002C70E8">
            <w:pPr>
              <w:pStyle w:val="TableParagraph"/>
              <w:spacing w:before="13"/>
              <w:ind w:left="224"/>
              <w:jc w:val="right"/>
              <w:rPr>
                <w:rFonts w:ascii="Arial" w:eastAsia="Arial" w:hAnsi="Arial" w:cs="Arial"/>
                <w:sz w:val="16"/>
                <w:szCs w:val="16"/>
              </w:rPr>
            </w:pPr>
            <w:r w:rsidRPr="002C70E8">
              <w:rPr>
                <w:rFonts w:ascii="Arial"/>
                <w:b/>
                <w:sz w:val="16"/>
                <w:szCs w:val="16"/>
              </w:rPr>
              <w:t>22.5%</w:t>
            </w:r>
          </w:p>
        </w:tc>
        <w:tc>
          <w:tcPr>
            <w:tcW w:w="709" w:type="dxa"/>
            <w:tcBorders>
              <w:top w:val="single" w:sz="2" w:space="0" w:color="000000"/>
              <w:left w:val="single" w:sz="9" w:space="0" w:color="C0C0C0"/>
              <w:bottom w:val="single" w:sz="9" w:space="0" w:color="808080"/>
              <w:right w:val="single" w:sz="9" w:space="0" w:color="C0C0C0"/>
            </w:tcBorders>
          </w:tcPr>
          <w:p w14:paraId="592AD226" w14:textId="77777777" w:rsidR="001C6501" w:rsidRPr="002C70E8" w:rsidRDefault="001C6501" w:rsidP="002C70E8">
            <w:pPr>
              <w:pStyle w:val="TableParagraph"/>
              <w:spacing w:before="13"/>
              <w:ind w:left="273"/>
              <w:jc w:val="right"/>
              <w:rPr>
                <w:rFonts w:ascii="Arial" w:eastAsia="Arial" w:hAnsi="Arial" w:cs="Arial"/>
                <w:sz w:val="16"/>
                <w:szCs w:val="16"/>
              </w:rPr>
            </w:pPr>
            <w:r w:rsidRPr="002C70E8">
              <w:rPr>
                <w:rFonts w:ascii="Arial"/>
                <w:b/>
                <w:sz w:val="16"/>
                <w:szCs w:val="16"/>
              </w:rPr>
              <w:t>6.3%</w:t>
            </w:r>
          </w:p>
        </w:tc>
        <w:tc>
          <w:tcPr>
            <w:tcW w:w="708" w:type="dxa"/>
            <w:tcBorders>
              <w:top w:val="single" w:sz="2" w:space="0" w:color="000000"/>
              <w:left w:val="single" w:sz="9" w:space="0" w:color="C0C0C0"/>
              <w:bottom w:val="single" w:sz="9" w:space="0" w:color="808080"/>
              <w:right w:val="single" w:sz="9" w:space="0" w:color="C0C0C0"/>
            </w:tcBorders>
          </w:tcPr>
          <w:p w14:paraId="5ACCE2C1" w14:textId="77777777" w:rsidR="001C6501" w:rsidRPr="002C70E8" w:rsidRDefault="001C6501" w:rsidP="002C70E8">
            <w:pPr>
              <w:pStyle w:val="TableParagraph"/>
              <w:spacing w:before="13"/>
              <w:ind w:left="273"/>
              <w:jc w:val="right"/>
              <w:rPr>
                <w:rFonts w:ascii="Arial" w:eastAsia="Arial" w:hAnsi="Arial" w:cs="Arial"/>
                <w:sz w:val="16"/>
                <w:szCs w:val="16"/>
              </w:rPr>
            </w:pPr>
            <w:r w:rsidRPr="002C70E8">
              <w:rPr>
                <w:rFonts w:ascii="Arial"/>
                <w:b/>
                <w:sz w:val="16"/>
                <w:szCs w:val="16"/>
              </w:rPr>
              <w:t>1.4%</w:t>
            </w:r>
          </w:p>
        </w:tc>
        <w:tc>
          <w:tcPr>
            <w:tcW w:w="709" w:type="dxa"/>
            <w:tcBorders>
              <w:top w:val="single" w:sz="2" w:space="0" w:color="000000"/>
              <w:left w:val="single" w:sz="9" w:space="0" w:color="C0C0C0"/>
              <w:bottom w:val="single" w:sz="9" w:space="0" w:color="808080"/>
              <w:right w:val="single" w:sz="9" w:space="0" w:color="333333"/>
            </w:tcBorders>
          </w:tcPr>
          <w:p w14:paraId="0123F5FC" w14:textId="77777777" w:rsidR="001C6501" w:rsidRPr="002C70E8" w:rsidRDefault="001C6501" w:rsidP="002C70E8">
            <w:pPr>
              <w:pStyle w:val="TableParagraph"/>
              <w:spacing w:before="13"/>
              <w:ind w:left="273"/>
              <w:jc w:val="right"/>
              <w:rPr>
                <w:rFonts w:ascii="Arial" w:eastAsia="Arial" w:hAnsi="Arial" w:cs="Arial"/>
                <w:sz w:val="16"/>
                <w:szCs w:val="16"/>
              </w:rPr>
            </w:pPr>
            <w:r w:rsidRPr="002C70E8">
              <w:rPr>
                <w:rFonts w:ascii="Arial"/>
                <w:b/>
                <w:sz w:val="16"/>
                <w:szCs w:val="16"/>
              </w:rPr>
              <w:t>1.0%</w:t>
            </w:r>
          </w:p>
        </w:tc>
        <w:tc>
          <w:tcPr>
            <w:tcW w:w="1701" w:type="dxa"/>
            <w:tcBorders>
              <w:top w:val="single" w:sz="2" w:space="0" w:color="000000"/>
              <w:left w:val="single" w:sz="9" w:space="0" w:color="333333"/>
              <w:bottom w:val="single" w:sz="9" w:space="0" w:color="808080"/>
              <w:right w:val="single" w:sz="9" w:space="0" w:color="333333"/>
            </w:tcBorders>
          </w:tcPr>
          <w:p w14:paraId="5BA07F4A" w14:textId="77777777" w:rsidR="001C6501" w:rsidRPr="002C70E8" w:rsidRDefault="001C6501" w:rsidP="002C70E8">
            <w:pPr>
              <w:pStyle w:val="TableParagraph"/>
              <w:spacing w:line="224" w:lineRule="exact"/>
              <w:ind w:left="506"/>
              <w:jc w:val="right"/>
              <w:rPr>
                <w:rFonts w:ascii="Arial" w:eastAsia="Arial" w:hAnsi="Arial" w:cs="Arial"/>
                <w:sz w:val="16"/>
                <w:szCs w:val="16"/>
              </w:rPr>
            </w:pPr>
            <w:r w:rsidRPr="002C70E8">
              <w:rPr>
                <w:rFonts w:ascii="Arial"/>
                <w:b/>
                <w:spacing w:val="-1"/>
                <w:sz w:val="16"/>
                <w:szCs w:val="16"/>
              </w:rPr>
              <w:t>2,370</w:t>
            </w:r>
          </w:p>
        </w:tc>
      </w:tr>
      <w:tr w:rsidR="002C70E8" w14:paraId="09F36DBE" w14:textId="77777777" w:rsidTr="006B1840">
        <w:trPr>
          <w:trHeight w:hRule="exact" w:val="243"/>
        </w:trPr>
        <w:tc>
          <w:tcPr>
            <w:tcW w:w="1062" w:type="dxa"/>
            <w:tcBorders>
              <w:top w:val="single" w:sz="9" w:space="0" w:color="808080"/>
              <w:left w:val="nil"/>
              <w:bottom w:val="nil"/>
              <w:right w:val="single" w:sz="9" w:space="0" w:color="000000"/>
            </w:tcBorders>
          </w:tcPr>
          <w:p w14:paraId="32976272" w14:textId="77777777" w:rsidR="001C6501" w:rsidRPr="002C70E8" w:rsidRDefault="001C6501" w:rsidP="001C6501">
            <w:pPr>
              <w:rPr>
                <w:sz w:val="16"/>
                <w:szCs w:val="16"/>
              </w:rPr>
            </w:pPr>
          </w:p>
        </w:tc>
        <w:tc>
          <w:tcPr>
            <w:tcW w:w="3119" w:type="dxa"/>
            <w:tcBorders>
              <w:top w:val="single" w:sz="9" w:space="0" w:color="000000"/>
              <w:left w:val="single" w:sz="9" w:space="0" w:color="000000"/>
              <w:bottom w:val="single" w:sz="9" w:space="0" w:color="000000"/>
              <w:right w:val="single" w:sz="9" w:space="0" w:color="000000"/>
            </w:tcBorders>
          </w:tcPr>
          <w:p w14:paraId="74A87399" w14:textId="77777777" w:rsidR="001C6501" w:rsidRPr="002C70E8" w:rsidRDefault="001C6501" w:rsidP="001C6501">
            <w:pPr>
              <w:pStyle w:val="TableParagraph"/>
              <w:spacing w:line="216" w:lineRule="exact"/>
              <w:ind w:left="27"/>
              <w:rPr>
                <w:rFonts w:ascii="Arial" w:eastAsia="Arial" w:hAnsi="Arial" w:cs="Arial"/>
                <w:sz w:val="16"/>
                <w:szCs w:val="16"/>
              </w:rPr>
            </w:pPr>
            <w:r w:rsidRPr="002C70E8">
              <w:rPr>
                <w:rFonts w:ascii="Arial"/>
                <w:b/>
                <w:spacing w:val="-1"/>
                <w:sz w:val="16"/>
                <w:szCs w:val="16"/>
              </w:rPr>
              <w:t xml:space="preserve">Grand </w:t>
            </w:r>
            <w:r w:rsidRPr="002C70E8">
              <w:rPr>
                <w:rFonts w:ascii="Arial"/>
                <w:b/>
                <w:sz w:val="16"/>
                <w:szCs w:val="16"/>
              </w:rPr>
              <w:t>Total</w:t>
            </w:r>
          </w:p>
        </w:tc>
        <w:tc>
          <w:tcPr>
            <w:tcW w:w="1417" w:type="dxa"/>
            <w:tcBorders>
              <w:top w:val="single" w:sz="9" w:space="0" w:color="808080"/>
              <w:left w:val="single" w:sz="9" w:space="0" w:color="000000"/>
              <w:bottom w:val="single" w:sz="9" w:space="0" w:color="808080"/>
              <w:right w:val="single" w:sz="9" w:space="0" w:color="333333"/>
            </w:tcBorders>
          </w:tcPr>
          <w:p w14:paraId="7D6799A8" w14:textId="77777777" w:rsidR="001C6501" w:rsidRPr="002C70E8" w:rsidRDefault="001C6501" w:rsidP="002C70E8">
            <w:pPr>
              <w:pStyle w:val="TableParagraph"/>
              <w:spacing w:line="216" w:lineRule="exact"/>
              <w:ind w:left="504"/>
              <w:jc w:val="right"/>
              <w:rPr>
                <w:rFonts w:ascii="Arial" w:eastAsia="Arial" w:hAnsi="Arial" w:cs="Arial"/>
                <w:sz w:val="16"/>
                <w:szCs w:val="16"/>
              </w:rPr>
            </w:pPr>
            <w:r w:rsidRPr="002C70E8">
              <w:rPr>
                <w:rFonts w:ascii="Arial"/>
                <w:b/>
                <w:spacing w:val="-1"/>
                <w:sz w:val="16"/>
                <w:szCs w:val="16"/>
              </w:rPr>
              <w:t>9,375</w:t>
            </w:r>
          </w:p>
        </w:tc>
        <w:tc>
          <w:tcPr>
            <w:tcW w:w="1417" w:type="dxa"/>
            <w:tcBorders>
              <w:top w:val="single" w:sz="9" w:space="0" w:color="808080"/>
              <w:left w:val="single" w:sz="9" w:space="0" w:color="333333"/>
              <w:bottom w:val="single" w:sz="9" w:space="0" w:color="808080"/>
              <w:right w:val="single" w:sz="9" w:space="0" w:color="333333"/>
            </w:tcBorders>
          </w:tcPr>
          <w:p w14:paraId="0A7EC396" w14:textId="77777777" w:rsidR="001C6501" w:rsidRPr="002C70E8" w:rsidRDefault="001C6501" w:rsidP="002C70E8">
            <w:pPr>
              <w:pStyle w:val="TableParagraph"/>
              <w:spacing w:line="216" w:lineRule="exact"/>
              <w:ind w:left="504"/>
              <w:jc w:val="right"/>
              <w:rPr>
                <w:rFonts w:ascii="Arial" w:eastAsia="Arial" w:hAnsi="Arial" w:cs="Arial"/>
                <w:sz w:val="16"/>
                <w:szCs w:val="16"/>
              </w:rPr>
            </w:pPr>
            <w:r w:rsidRPr="002C70E8">
              <w:rPr>
                <w:rFonts w:ascii="Arial"/>
                <w:b/>
                <w:spacing w:val="-1"/>
                <w:sz w:val="16"/>
                <w:szCs w:val="16"/>
              </w:rPr>
              <w:t>9,625</w:t>
            </w:r>
          </w:p>
        </w:tc>
        <w:tc>
          <w:tcPr>
            <w:tcW w:w="1418" w:type="dxa"/>
            <w:tcBorders>
              <w:top w:val="single" w:sz="9" w:space="0" w:color="808080"/>
              <w:left w:val="single" w:sz="9" w:space="0" w:color="333333"/>
              <w:bottom w:val="single" w:sz="9" w:space="0" w:color="808080"/>
              <w:right w:val="single" w:sz="9" w:space="0" w:color="333333"/>
            </w:tcBorders>
          </w:tcPr>
          <w:p w14:paraId="3C220737" w14:textId="77777777" w:rsidR="001C6501" w:rsidRPr="002C70E8" w:rsidRDefault="001C6501" w:rsidP="002C70E8">
            <w:pPr>
              <w:pStyle w:val="TableParagraph"/>
              <w:spacing w:line="216" w:lineRule="exact"/>
              <w:ind w:left="281"/>
              <w:jc w:val="right"/>
              <w:rPr>
                <w:rFonts w:ascii="Arial" w:eastAsia="Arial" w:hAnsi="Arial" w:cs="Arial"/>
                <w:sz w:val="16"/>
                <w:szCs w:val="16"/>
              </w:rPr>
            </w:pPr>
            <w:r w:rsidRPr="002C70E8">
              <w:rPr>
                <w:rFonts w:ascii="Arial"/>
                <w:b/>
                <w:spacing w:val="-1"/>
                <w:sz w:val="16"/>
                <w:szCs w:val="16"/>
              </w:rPr>
              <w:t>954,371</w:t>
            </w:r>
          </w:p>
        </w:tc>
        <w:tc>
          <w:tcPr>
            <w:tcW w:w="1276" w:type="dxa"/>
            <w:tcBorders>
              <w:top w:val="single" w:sz="9" w:space="0" w:color="808080"/>
              <w:left w:val="single" w:sz="9" w:space="0" w:color="333333"/>
              <w:bottom w:val="single" w:sz="9" w:space="0" w:color="808080"/>
              <w:right w:val="single" w:sz="9" w:space="0" w:color="C0C0C0"/>
            </w:tcBorders>
          </w:tcPr>
          <w:p w14:paraId="007BABE4" w14:textId="77777777" w:rsidR="001C6501" w:rsidRPr="002C70E8" w:rsidRDefault="001C6501" w:rsidP="002C70E8">
            <w:pPr>
              <w:pStyle w:val="TableParagraph"/>
              <w:spacing w:line="216" w:lineRule="exact"/>
              <w:ind w:left="281"/>
              <w:jc w:val="right"/>
              <w:rPr>
                <w:rFonts w:ascii="Arial" w:eastAsia="Arial" w:hAnsi="Arial" w:cs="Arial"/>
                <w:sz w:val="16"/>
                <w:szCs w:val="16"/>
              </w:rPr>
            </w:pPr>
            <w:r w:rsidRPr="002C70E8">
              <w:rPr>
                <w:rFonts w:ascii="Arial"/>
                <w:b/>
                <w:spacing w:val="-1"/>
                <w:sz w:val="16"/>
                <w:szCs w:val="16"/>
              </w:rPr>
              <w:t>601,202</w:t>
            </w:r>
          </w:p>
        </w:tc>
        <w:tc>
          <w:tcPr>
            <w:tcW w:w="3544" w:type="dxa"/>
            <w:gridSpan w:val="5"/>
            <w:tcBorders>
              <w:top w:val="single" w:sz="9" w:space="0" w:color="808080"/>
              <w:left w:val="single" w:sz="9" w:space="0" w:color="C0C0C0"/>
              <w:bottom w:val="nil"/>
              <w:right w:val="single" w:sz="9" w:space="0" w:color="333333"/>
            </w:tcBorders>
          </w:tcPr>
          <w:p w14:paraId="237DF451" w14:textId="77777777" w:rsidR="001C6501" w:rsidRPr="002C70E8" w:rsidRDefault="001C6501" w:rsidP="002C70E8">
            <w:pPr>
              <w:jc w:val="right"/>
              <w:rPr>
                <w:sz w:val="16"/>
                <w:szCs w:val="16"/>
              </w:rPr>
            </w:pPr>
          </w:p>
        </w:tc>
        <w:tc>
          <w:tcPr>
            <w:tcW w:w="1701" w:type="dxa"/>
            <w:tcBorders>
              <w:top w:val="single" w:sz="9" w:space="0" w:color="808080"/>
              <w:left w:val="single" w:sz="9" w:space="0" w:color="333333"/>
              <w:bottom w:val="single" w:sz="9" w:space="0" w:color="808080"/>
              <w:right w:val="single" w:sz="9" w:space="0" w:color="C0C0C0"/>
            </w:tcBorders>
          </w:tcPr>
          <w:p w14:paraId="32127A87" w14:textId="77777777" w:rsidR="001C6501" w:rsidRPr="002C70E8" w:rsidRDefault="001C6501" w:rsidP="002C70E8">
            <w:pPr>
              <w:pStyle w:val="TableParagraph"/>
              <w:spacing w:line="216" w:lineRule="exact"/>
              <w:ind w:left="283"/>
              <w:jc w:val="right"/>
              <w:rPr>
                <w:rFonts w:ascii="Arial" w:eastAsia="Arial" w:hAnsi="Arial" w:cs="Arial"/>
                <w:sz w:val="16"/>
                <w:szCs w:val="16"/>
              </w:rPr>
            </w:pPr>
            <w:r w:rsidRPr="002C70E8">
              <w:rPr>
                <w:rFonts w:ascii="Arial"/>
                <w:b/>
                <w:spacing w:val="-1"/>
                <w:sz w:val="16"/>
                <w:szCs w:val="16"/>
              </w:rPr>
              <w:t>183,178</w:t>
            </w:r>
          </w:p>
        </w:tc>
      </w:tr>
    </w:tbl>
    <w:p w14:paraId="3A8C4B1E" w14:textId="593B2663" w:rsidR="001C6501" w:rsidRPr="0005187B" w:rsidRDefault="0005187B" w:rsidP="0005187B">
      <w:pPr>
        <w:pStyle w:val="Heading3"/>
        <w:numPr>
          <w:ilvl w:val="0"/>
          <w:numId w:val="0"/>
        </w:numPr>
        <w:spacing w:before="0" w:line="276" w:lineRule="auto"/>
        <w:ind w:left="1135" w:hanging="709"/>
        <w:rPr>
          <w:b w:val="0"/>
          <w:bCs/>
          <w:sz w:val="16"/>
          <w:szCs w:val="16"/>
        </w:rPr>
      </w:pPr>
      <w:r>
        <w:rPr>
          <w:color w:val="333333"/>
          <w:spacing w:val="-1"/>
          <w:sz w:val="16"/>
          <w:szCs w:val="16"/>
        </w:rPr>
        <w:t>N</w:t>
      </w:r>
      <w:r w:rsidR="001C6501" w:rsidRPr="0005187B">
        <w:rPr>
          <w:color w:val="333333"/>
          <w:spacing w:val="-1"/>
          <w:sz w:val="16"/>
          <w:szCs w:val="16"/>
        </w:rPr>
        <w:t>otes:</w:t>
      </w:r>
    </w:p>
    <w:p w14:paraId="332AA18B" w14:textId="77777777" w:rsidR="001C6501" w:rsidRPr="0005187B" w:rsidRDefault="001C6501" w:rsidP="0005187B">
      <w:pPr>
        <w:pStyle w:val="BodyText"/>
        <w:tabs>
          <w:tab w:val="left" w:pos="628"/>
        </w:tabs>
        <w:spacing w:before="54" w:line="276" w:lineRule="auto"/>
        <w:ind w:left="149"/>
        <w:rPr>
          <w:sz w:val="16"/>
          <w:szCs w:val="16"/>
        </w:rPr>
      </w:pPr>
      <w:r w:rsidRPr="0005187B">
        <w:rPr>
          <w:b/>
          <w:color w:val="333333"/>
          <w:sz w:val="16"/>
          <w:szCs w:val="16"/>
        </w:rPr>
        <w:t>(1).</w:t>
      </w:r>
      <w:r w:rsidRPr="0005187B">
        <w:rPr>
          <w:b/>
          <w:color w:val="333333"/>
          <w:sz w:val="16"/>
          <w:szCs w:val="16"/>
        </w:rPr>
        <w:tab/>
      </w:r>
      <w:r w:rsidRPr="0005187B">
        <w:rPr>
          <w:color w:val="333333"/>
          <w:spacing w:val="-1"/>
          <w:sz w:val="16"/>
          <w:szCs w:val="16"/>
        </w:rPr>
        <w:t>Percent</w:t>
      </w:r>
      <w:r w:rsidRPr="0005187B">
        <w:rPr>
          <w:color w:val="333333"/>
          <w:spacing w:val="2"/>
          <w:sz w:val="16"/>
          <w:szCs w:val="16"/>
        </w:rPr>
        <w:t xml:space="preserve"> </w:t>
      </w:r>
      <w:r w:rsidRPr="0005187B">
        <w:rPr>
          <w:color w:val="333333"/>
          <w:sz w:val="16"/>
          <w:szCs w:val="16"/>
        </w:rPr>
        <w:t xml:space="preserve">in </w:t>
      </w:r>
      <w:r w:rsidRPr="0005187B">
        <w:rPr>
          <w:color w:val="333333"/>
          <w:spacing w:val="-1"/>
          <w:sz w:val="16"/>
          <w:szCs w:val="16"/>
        </w:rPr>
        <w:t>poor</w:t>
      </w:r>
      <w:r w:rsidRPr="0005187B">
        <w:rPr>
          <w:color w:val="333333"/>
          <w:spacing w:val="1"/>
          <w:sz w:val="16"/>
          <w:szCs w:val="16"/>
        </w:rPr>
        <w:t xml:space="preserve"> </w:t>
      </w:r>
      <w:r w:rsidRPr="0005187B">
        <w:rPr>
          <w:color w:val="333333"/>
          <w:sz w:val="16"/>
          <w:szCs w:val="16"/>
        </w:rPr>
        <w:t>condition (condition 4 &amp; 5 combined)</w:t>
      </w:r>
      <w:r w:rsidRPr="0005187B">
        <w:rPr>
          <w:color w:val="333333"/>
          <w:spacing w:val="1"/>
          <w:sz w:val="16"/>
          <w:szCs w:val="16"/>
        </w:rPr>
        <w:t xml:space="preserve"> </w:t>
      </w:r>
      <w:r w:rsidRPr="0005187B">
        <w:rPr>
          <w:color w:val="333333"/>
          <w:spacing w:val="-1"/>
          <w:sz w:val="16"/>
          <w:szCs w:val="16"/>
        </w:rPr>
        <w:t>agreed</w:t>
      </w:r>
      <w:r w:rsidRPr="0005187B">
        <w:rPr>
          <w:color w:val="333333"/>
          <w:sz w:val="16"/>
          <w:szCs w:val="16"/>
        </w:rPr>
        <w:t xml:space="preserve"> </w:t>
      </w:r>
      <w:r w:rsidRPr="0005187B">
        <w:rPr>
          <w:color w:val="333333"/>
          <w:spacing w:val="-1"/>
          <w:sz w:val="16"/>
          <w:szCs w:val="16"/>
        </w:rPr>
        <w:t>with</w:t>
      </w:r>
      <w:r w:rsidRPr="0005187B">
        <w:rPr>
          <w:color w:val="333333"/>
          <w:sz w:val="16"/>
          <w:szCs w:val="16"/>
        </w:rPr>
        <w:t xml:space="preserve"> the community</w:t>
      </w:r>
      <w:r w:rsidRPr="0005187B">
        <w:rPr>
          <w:color w:val="333333"/>
          <w:spacing w:val="-2"/>
          <w:sz w:val="16"/>
          <w:szCs w:val="16"/>
        </w:rPr>
        <w:t xml:space="preserve"> </w:t>
      </w:r>
      <w:r w:rsidRPr="0005187B">
        <w:rPr>
          <w:color w:val="333333"/>
          <w:sz w:val="16"/>
          <w:szCs w:val="16"/>
        </w:rPr>
        <w:t xml:space="preserve">in </w:t>
      </w:r>
      <w:r w:rsidRPr="0005187B">
        <w:rPr>
          <w:color w:val="333333"/>
          <w:spacing w:val="-1"/>
          <w:sz w:val="16"/>
          <w:szCs w:val="16"/>
        </w:rPr>
        <w:t>2012.</w:t>
      </w:r>
    </w:p>
    <w:p w14:paraId="05843262" w14:textId="77777777" w:rsidR="001C6501" w:rsidRPr="0005187B" w:rsidRDefault="001C6501" w:rsidP="0005187B">
      <w:pPr>
        <w:pStyle w:val="BodyText"/>
        <w:tabs>
          <w:tab w:val="left" w:pos="628"/>
        </w:tabs>
        <w:spacing w:before="59" w:line="276" w:lineRule="auto"/>
        <w:ind w:left="149"/>
        <w:rPr>
          <w:rFonts w:cs="Arial"/>
          <w:sz w:val="16"/>
          <w:szCs w:val="16"/>
        </w:rPr>
      </w:pPr>
      <w:r w:rsidRPr="0005187B">
        <w:rPr>
          <w:rFonts w:cs="Arial"/>
          <w:b/>
          <w:bCs/>
          <w:color w:val="333333"/>
          <w:sz w:val="16"/>
          <w:szCs w:val="16"/>
        </w:rPr>
        <w:t>(2).</w:t>
      </w:r>
      <w:r w:rsidRPr="0005187B">
        <w:rPr>
          <w:rFonts w:cs="Arial"/>
          <w:b/>
          <w:bCs/>
          <w:color w:val="333333"/>
          <w:sz w:val="16"/>
          <w:szCs w:val="16"/>
        </w:rPr>
        <w:tab/>
      </w:r>
      <w:r w:rsidRPr="0005187B">
        <w:rPr>
          <w:rFonts w:cs="Arial"/>
          <w:color w:val="333333"/>
          <w:sz w:val="16"/>
          <w:szCs w:val="16"/>
        </w:rPr>
        <w:t>Satisfactory</w:t>
      </w:r>
      <w:r w:rsidRPr="0005187B">
        <w:rPr>
          <w:rFonts w:cs="Arial"/>
          <w:color w:val="333333"/>
          <w:spacing w:val="-2"/>
          <w:sz w:val="16"/>
          <w:szCs w:val="16"/>
        </w:rPr>
        <w:t xml:space="preserve"> </w:t>
      </w:r>
      <w:r w:rsidRPr="0005187B">
        <w:rPr>
          <w:rFonts w:cs="Arial"/>
          <w:color w:val="333333"/>
          <w:sz w:val="16"/>
          <w:szCs w:val="16"/>
        </w:rPr>
        <w:t>is</w:t>
      </w:r>
      <w:r w:rsidRPr="0005187B">
        <w:rPr>
          <w:rFonts w:cs="Arial"/>
          <w:color w:val="333333"/>
          <w:spacing w:val="1"/>
          <w:sz w:val="16"/>
          <w:szCs w:val="16"/>
        </w:rPr>
        <w:t xml:space="preserve"> </w:t>
      </w:r>
      <w:r w:rsidRPr="0005187B">
        <w:rPr>
          <w:rFonts w:cs="Arial"/>
          <w:color w:val="333333"/>
          <w:sz w:val="16"/>
          <w:szCs w:val="16"/>
        </w:rPr>
        <w:t xml:space="preserve">defined as “satisfying </w:t>
      </w:r>
      <w:r w:rsidRPr="0005187B">
        <w:rPr>
          <w:rFonts w:cs="Arial"/>
          <w:color w:val="333333"/>
          <w:spacing w:val="-1"/>
          <w:sz w:val="16"/>
          <w:szCs w:val="16"/>
        </w:rPr>
        <w:t>expectations</w:t>
      </w:r>
      <w:r w:rsidRPr="0005187B">
        <w:rPr>
          <w:rFonts w:cs="Arial"/>
          <w:color w:val="333333"/>
          <w:spacing w:val="1"/>
          <w:sz w:val="16"/>
          <w:szCs w:val="16"/>
        </w:rPr>
        <w:t xml:space="preserve"> </w:t>
      </w:r>
      <w:r w:rsidRPr="0005187B">
        <w:rPr>
          <w:rFonts w:cs="Arial"/>
          <w:color w:val="333333"/>
          <w:sz w:val="16"/>
          <w:szCs w:val="16"/>
        </w:rPr>
        <w:t>or</w:t>
      </w:r>
      <w:r w:rsidRPr="0005187B">
        <w:rPr>
          <w:rFonts w:cs="Arial"/>
          <w:color w:val="333333"/>
          <w:spacing w:val="1"/>
          <w:sz w:val="16"/>
          <w:szCs w:val="16"/>
        </w:rPr>
        <w:t xml:space="preserve"> </w:t>
      </w:r>
      <w:r w:rsidRPr="0005187B">
        <w:rPr>
          <w:rFonts w:cs="Arial"/>
          <w:color w:val="333333"/>
          <w:spacing w:val="-1"/>
          <w:sz w:val="16"/>
          <w:szCs w:val="16"/>
        </w:rPr>
        <w:t>needs,</w:t>
      </w:r>
      <w:r w:rsidRPr="0005187B">
        <w:rPr>
          <w:rFonts w:cs="Arial"/>
          <w:color w:val="333333"/>
          <w:spacing w:val="2"/>
          <w:sz w:val="16"/>
          <w:szCs w:val="16"/>
        </w:rPr>
        <w:t xml:space="preserve"> </w:t>
      </w:r>
      <w:r w:rsidRPr="0005187B">
        <w:rPr>
          <w:rFonts w:cs="Arial"/>
          <w:color w:val="333333"/>
          <w:spacing w:val="-1"/>
          <w:sz w:val="16"/>
          <w:szCs w:val="16"/>
        </w:rPr>
        <w:t>leaving</w:t>
      </w:r>
      <w:r w:rsidRPr="0005187B">
        <w:rPr>
          <w:rFonts w:cs="Arial"/>
          <w:color w:val="333333"/>
          <w:sz w:val="16"/>
          <w:szCs w:val="16"/>
        </w:rPr>
        <w:t xml:space="preserve"> no </w:t>
      </w:r>
      <w:r w:rsidRPr="0005187B">
        <w:rPr>
          <w:rFonts w:cs="Arial"/>
          <w:color w:val="333333"/>
          <w:spacing w:val="-1"/>
          <w:sz w:val="16"/>
          <w:szCs w:val="16"/>
        </w:rPr>
        <w:t>room</w:t>
      </w:r>
      <w:r w:rsidRPr="0005187B">
        <w:rPr>
          <w:rFonts w:cs="Arial"/>
          <w:color w:val="333333"/>
          <w:spacing w:val="1"/>
          <w:sz w:val="16"/>
          <w:szCs w:val="16"/>
        </w:rPr>
        <w:t xml:space="preserve"> </w:t>
      </w:r>
      <w:r w:rsidRPr="0005187B">
        <w:rPr>
          <w:rFonts w:cs="Arial"/>
          <w:color w:val="333333"/>
          <w:sz w:val="16"/>
          <w:szCs w:val="16"/>
        </w:rPr>
        <w:t>for</w:t>
      </w:r>
      <w:r w:rsidRPr="0005187B">
        <w:rPr>
          <w:rFonts w:cs="Arial"/>
          <w:color w:val="333333"/>
          <w:spacing w:val="1"/>
          <w:sz w:val="16"/>
          <w:szCs w:val="16"/>
        </w:rPr>
        <w:t xml:space="preserve"> </w:t>
      </w:r>
      <w:r w:rsidRPr="0005187B">
        <w:rPr>
          <w:rFonts w:cs="Arial"/>
          <w:color w:val="333333"/>
          <w:spacing w:val="-1"/>
          <w:sz w:val="16"/>
          <w:szCs w:val="16"/>
        </w:rPr>
        <w:t>complaint,</w:t>
      </w:r>
      <w:r w:rsidRPr="0005187B">
        <w:rPr>
          <w:rFonts w:cs="Arial"/>
          <w:color w:val="333333"/>
          <w:spacing w:val="2"/>
          <w:sz w:val="16"/>
          <w:szCs w:val="16"/>
        </w:rPr>
        <w:t xml:space="preserve"> </w:t>
      </w:r>
      <w:r w:rsidRPr="0005187B">
        <w:rPr>
          <w:rFonts w:cs="Arial"/>
          <w:color w:val="333333"/>
          <w:sz w:val="16"/>
          <w:szCs w:val="16"/>
        </w:rPr>
        <w:t>causing satisfaction,</w:t>
      </w:r>
      <w:r w:rsidRPr="0005187B">
        <w:rPr>
          <w:rFonts w:cs="Arial"/>
          <w:color w:val="333333"/>
          <w:spacing w:val="2"/>
          <w:sz w:val="16"/>
          <w:szCs w:val="16"/>
        </w:rPr>
        <w:t xml:space="preserve"> </w:t>
      </w:r>
      <w:r w:rsidRPr="0005187B">
        <w:rPr>
          <w:rFonts w:cs="Arial"/>
          <w:color w:val="333333"/>
          <w:spacing w:val="-1"/>
          <w:sz w:val="16"/>
          <w:szCs w:val="16"/>
        </w:rPr>
        <w:t>adequate”.</w:t>
      </w:r>
    </w:p>
    <w:p w14:paraId="3B8D87C2" w14:textId="77777777" w:rsidR="001C6501" w:rsidRPr="0005187B" w:rsidRDefault="001C6501" w:rsidP="0005187B">
      <w:pPr>
        <w:pStyle w:val="BodyText"/>
        <w:spacing w:before="59" w:line="276" w:lineRule="auto"/>
        <w:ind w:left="629" w:right="3188"/>
        <w:rPr>
          <w:sz w:val="16"/>
          <w:szCs w:val="16"/>
        </w:rPr>
      </w:pPr>
      <w:r w:rsidRPr="0005187B">
        <w:rPr>
          <w:color w:val="333333"/>
          <w:sz w:val="16"/>
          <w:szCs w:val="16"/>
        </w:rPr>
        <w:t>The estimated cost</w:t>
      </w:r>
      <w:r w:rsidRPr="0005187B">
        <w:rPr>
          <w:color w:val="333333"/>
          <w:spacing w:val="1"/>
          <w:sz w:val="16"/>
          <w:szCs w:val="16"/>
        </w:rPr>
        <w:t xml:space="preserve"> </w:t>
      </w:r>
      <w:r w:rsidRPr="0005187B">
        <w:rPr>
          <w:color w:val="333333"/>
          <w:sz w:val="16"/>
          <w:szCs w:val="16"/>
        </w:rPr>
        <w:t>to bring assets</w:t>
      </w:r>
      <w:r w:rsidRPr="0005187B">
        <w:rPr>
          <w:color w:val="333333"/>
          <w:spacing w:val="1"/>
          <w:sz w:val="16"/>
          <w:szCs w:val="16"/>
        </w:rPr>
        <w:t xml:space="preserve"> </w:t>
      </w:r>
      <w:r w:rsidRPr="0005187B">
        <w:rPr>
          <w:color w:val="333333"/>
          <w:sz w:val="16"/>
          <w:szCs w:val="16"/>
        </w:rPr>
        <w:t>to a satisfactory</w:t>
      </w:r>
      <w:r w:rsidRPr="0005187B">
        <w:rPr>
          <w:color w:val="333333"/>
          <w:spacing w:val="-2"/>
          <w:sz w:val="16"/>
          <w:szCs w:val="16"/>
        </w:rPr>
        <w:t xml:space="preserve"> </w:t>
      </w:r>
      <w:r w:rsidRPr="0005187B">
        <w:rPr>
          <w:color w:val="333333"/>
          <w:spacing w:val="-1"/>
          <w:sz w:val="16"/>
          <w:szCs w:val="16"/>
        </w:rPr>
        <w:t>standard</w:t>
      </w:r>
      <w:r w:rsidRPr="0005187B">
        <w:rPr>
          <w:color w:val="333333"/>
          <w:sz w:val="16"/>
          <w:szCs w:val="16"/>
        </w:rPr>
        <w:t xml:space="preserve"> is</w:t>
      </w:r>
      <w:r w:rsidRPr="0005187B">
        <w:rPr>
          <w:color w:val="333333"/>
          <w:spacing w:val="1"/>
          <w:sz w:val="16"/>
          <w:szCs w:val="16"/>
        </w:rPr>
        <w:t xml:space="preserve"> </w:t>
      </w:r>
      <w:r w:rsidRPr="0005187B">
        <w:rPr>
          <w:color w:val="333333"/>
          <w:sz w:val="16"/>
          <w:szCs w:val="16"/>
        </w:rPr>
        <w:t xml:space="preserve">the </w:t>
      </w:r>
      <w:r w:rsidRPr="0005187B">
        <w:rPr>
          <w:color w:val="333333"/>
          <w:spacing w:val="-1"/>
          <w:sz w:val="16"/>
          <w:szCs w:val="16"/>
        </w:rPr>
        <w:t>amount</w:t>
      </w:r>
      <w:r w:rsidRPr="0005187B">
        <w:rPr>
          <w:color w:val="333333"/>
          <w:spacing w:val="1"/>
          <w:sz w:val="16"/>
          <w:szCs w:val="16"/>
        </w:rPr>
        <w:t xml:space="preserve"> </w:t>
      </w:r>
      <w:r w:rsidRPr="0005187B">
        <w:rPr>
          <w:color w:val="333333"/>
          <w:sz w:val="16"/>
          <w:szCs w:val="16"/>
        </w:rPr>
        <w:t>of</w:t>
      </w:r>
      <w:r w:rsidRPr="0005187B">
        <w:rPr>
          <w:color w:val="333333"/>
          <w:spacing w:val="1"/>
          <w:sz w:val="16"/>
          <w:szCs w:val="16"/>
        </w:rPr>
        <w:t xml:space="preserve"> </w:t>
      </w:r>
      <w:r w:rsidRPr="0005187B">
        <w:rPr>
          <w:color w:val="333333"/>
          <w:spacing w:val="-1"/>
          <w:sz w:val="16"/>
          <w:szCs w:val="16"/>
        </w:rPr>
        <w:t>money</w:t>
      </w:r>
      <w:r w:rsidRPr="0005187B">
        <w:rPr>
          <w:color w:val="333333"/>
          <w:spacing w:val="-3"/>
          <w:sz w:val="16"/>
          <w:szCs w:val="16"/>
        </w:rPr>
        <w:t xml:space="preserve"> </w:t>
      </w:r>
      <w:r w:rsidRPr="0005187B">
        <w:rPr>
          <w:color w:val="333333"/>
          <w:sz w:val="16"/>
          <w:szCs w:val="16"/>
        </w:rPr>
        <w:t>that</w:t>
      </w:r>
      <w:r w:rsidRPr="0005187B">
        <w:rPr>
          <w:color w:val="333333"/>
          <w:spacing w:val="2"/>
          <w:sz w:val="16"/>
          <w:szCs w:val="16"/>
        </w:rPr>
        <w:t xml:space="preserve"> </w:t>
      </w:r>
      <w:r w:rsidRPr="0005187B">
        <w:rPr>
          <w:color w:val="333333"/>
          <w:sz w:val="16"/>
          <w:szCs w:val="16"/>
        </w:rPr>
        <w:t>is</w:t>
      </w:r>
      <w:r w:rsidRPr="0005187B">
        <w:rPr>
          <w:color w:val="333333"/>
          <w:spacing w:val="1"/>
          <w:sz w:val="16"/>
          <w:szCs w:val="16"/>
        </w:rPr>
        <w:t xml:space="preserve"> </w:t>
      </w:r>
      <w:r w:rsidRPr="0005187B">
        <w:rPr>
          <w:color w:val="333333"/>
          <w:sz w:val="16"/>
          <w:szCs w:val="16"/>
        </w:rPr>
        <w:t xml:space="preserve">required to be </w:t>
      </w:r>
      <w:r w:rsidRPr="0005187B">
        <w:rPr>
          <w:color w:val="333333"/>
          <w:spacing w:val="-1"/>
          <w:sz w:val="16"/>
          <w:szCs w:val="16"/>
        </w:rPr>
        <w:t>spent</w:t>
      </w:r>
      <w:r w:rsidRPr="0005187B">
        <w:rPr>
          <w:color w:val="333333"/>
          <w:spacing w:val="1"/>
          <w:sz w:val="16"/>
          <w:szCs w:val="16"/>
        </w:rPr>
        <w:t xml:space="preserve"> </w:t>
      </w:r>
      <w:r w:rsidRPr="0005187B">
        <w:rPr>
          <w:color w:val="333333"/>
          <w:sz w:val="16"/>
          <w:szCs w:val="16"/>
        </w:rPr>
        <w:t xml:space="preserve">on an </w:t>
      </w:r>
      <w:r w:rsidRPr="0005187B">
        <w:rPr>
          <w:color w:val="333333"/>
          <w:spacing w:val="-1"/>
          <w:sz w:val="16"/>
          <w:szCs w:val="16"/>
        </w:rPr>
        <w:t>asset</w:t>
      </w:r>
      <w:r w:rsidRPr="0005187B">
        <w:rPr>
          <w:color w:val="333333"/>
          <w:spacing w:val="2"/>
          <w:sz w:val="16"/>
          <w:szCs w:val="16"/>
        </w:rPr>
        <w:t xml:space="preserve"> </w:t>
      </w:r>
      <w:r w:rsidRPr="0005187B">
        <w:rPr>
          <w:color w:val="333333"/>
          <w:sz w:val="16"/>
          <w:szCs w:val="16"/>
        </w:rPr>
        <w:t xml:space="preserve">to </w:t>
      </w:r>
      <w:r w:rsidRPr="0005187B">
        <w:rPr>
          <w:color w:val="333333"/>
          <w:spacing w:val="-1"/>
          <w:sz w:val="16"/>
          <w:szCs w:val="16"/>
        </w:rPr>
        <w:t>ensure</w:t>
      </w:r>
      <w:r w:rsidRPr="0005187B">
        <w:rPr>
          <w:color w:val="333333"/>
          <w:sz w:val="16"/>
          <w:szCs w:val="16"/>
        </w:rPr>
        <w:t xml:space="preserve"> that</w:t>
      </w:r>
      <w:r w:rsidRPr="0005187B">
        <w:rPr>
          <w:color w:val="333333"/>
          <w:spacing w:val="2"/>
          <w:sz w:val="16"/>
          <w:szCs w:val="16"/>
        </w:rPr>
        <w:t xml:space="preserve"> </w:t>
      </w:r>
      <w:r w:rsidRPr="0005187B">
        <w:rPr>
          <w:color w:val="333333"/>
          <w:sz w:val="16"/>
          <w:szCs w:val="16"/>
        </w:rPr>
        <w:t>it</w:t>
      </w:r>
      <w:r w:rsidRPr="0005187B">
        <w:rPr>
          <w:color w:val="333333"/>
          <w:spacing w:val="2"/>
          <w:sz w:val="16"/>
          <w:szCs w:val="16"/>
        </w:rPr>
        <w:t xml:space="preserve"> </w:t>
      </w:r>
      <w:r w:rsidRPr="0005187B">
        <w:rPr>
          <w:color w:val="333333"/>
          <w:sz w:val="16"/>
          <w:szCs w:val="16"/>
        </w:rPr>
        <w:t>is</w:t>
      </w:r>
      <w:r w:rsidRPr="0005187B">
        <w:rPr>
          <w:color w:val="333333"/>
          <w:spacing w:val="1"/>
          <w:sz w:val="16"/>
          <w:szCs w:val="16"/>
        </w:rPr>
        <w:t xml:space="preserve"> </w:t>
      </w:r>
      <w:r w:rsidRPr="0005187B">
        <w:rPr>
          <w:color w:val="333333"/>
          <w:sz w:val="16"/>
          <w:szCs w:val="16"/>
        </w:rPr>
        <w:t>in a satisfactory</w:t>
      </w:r>
      <w:r w:rsidRPr="0005187B">
        <w:rPr>
          <w:color w:val="333333"/>
          <w:spacing w:val="-2"/>
          <w:sz w:val="16"/>
          <w:szCs w:val="16"/>
        </w:rPr>
        <w:t xml:space="preserve"> </w:t>
      </w:r>
      <w:r w:rsidRPr="0005187B">
        <w:rPr>
          <w:color w:val="333333"/>
          <w:spacing w:val="-1"/>
          <w:sz w:val="16"/>
          <w:szCs w:val="16"/>
        </w:rPr>
        <w:t>standard.</w:t>
      </w:r>
      <w:r w:rsidRPr="0005187B">
        <w:rPr>
          <w:color w:val="333333"/>
          <w:spacing w:val="110"/>
          <w:sz w:val="16"/>
          <w:szCs w:val="16"/>
        </w:rPr>
        <w:t xml:space="preserve"> </w:t>
      </w:r>
      <w:r w:rsidRPr="0005187B">
        <w:rPr>
          <w:color w:val="333333"/>
          <w:sz w:val="16"/>
          <w:szCs w:val="16"/>
        </w:rPr>
        <w:t>This</w:t>
      </w:r>
      <w:r w:rsidRPr="0005187B">
        <w:rPr>
          <w:color w:val="333333"/>
          <w:spacing w:val="1"/>
          <w:sz w:val="16"/>
          <w:szCs w:val="16"/>
        </w:rPr>
        <w:t xml:space="preserve"> </w:t>
      </w:r>
      <w:r w:rsidRPr="0005187B">
        <w:rPr>
          <w:color w:val="333333"/>
          <w:sz w:val="16"/>
          <w:szCs w:val="16"/>
        </w:rPr>
        <w:t>estimated cost</w:t>
      </w:r>
      <w:r w:rsidRPr="0005187B">
        <w:rPr>
          <w:color w:val="333333"/>
          <w:spacing w:val="1"/>
          <w:sz w:val="16"/>
          <w:szCs w:val="16"/>
        </w:rPr>
        <w:t xml:space="preserve"> </w:t>
      </w:r>
      <w:r w:rsidRPr="0005187B">
        <w:rPr>
          <w:color w:val="333333"/>
          <w:spacing w:val="-1"/>
          <w:sz w:val="16"/>
          <w:szCs w:val="16"/>
        </w:rPr>
        <w:t>should</w:t>
      </w:r>
      <w:r w:rsidRPr="0005187B">
        <w:rPr>
          <w:color w:val="333333"/>
          <w:sz w:val="16"/>
          <w:szCs w:val="16"/>
        </w:rPr>
        <w:t xml:space="preserve"> </w:t>
      </w:r>
      <w:r w:rsidRPr="0005187B">
        <w:rPr>
          <w:color w:val="333333"/>
          <w:spacing w:val="-1"/>
          <w:sz w:val="16"/>
          <w:szCs w:val="16"/>
        </w:rPr>
        <w:t>not</w:t>
      </w:r>
      <w:r w:rsidRPr="0005187B">
        <w:rPr>
          <w:color w:val="333333"/>
          <w:spacing w:val="2"/>
          <w:sz w:val="16"/>
          <w:szCs w:val="16"/>
        </w:rPr>
        <w:t xml:space="preserve"> </w:t>
      </w:r>
      <w:r w:rsidRPr="0005187B">
        <w:rPr>
          <w:color w:val="333333"/>
          <w:spacing w:val="-1"/>
          <w:sz w:val="16"/>
          <w:szCs w:val="16"/>
        </w:rPr>
        <w:t>include</w:t>
      </w:r>
      <w:r w:rsidRPr="0005187B">
        <w:rPr>
          <w:color w:val="333333"/>
          <w:sz w:val="16"/>
          <w:szCs w:val="16"/>
        </w:rPr>
        <w:t xml:space="preserve"> </w:t>
      </w:r>
      <w:r w:rsidRPr="0005187B">
        <w:rPr>
          <w:color w:val="333333"/>
          <w:spacing w:val="-1"/>
          <w:sz w:val="16"/>
          <w:szCs w:val="16"/>
        </w:rPr>
        <w:t>any</w:t>
      </w:r>
      <w:r w:rsidRPr="0005187B">
        <w:rPr>
          <w:color w:val="333333"/>
          <w:spacing w:val="-2"/>
          <w:sz w:val="16"/>
          <w:szCs w:val="16"/>
        </w:rPr>
        <w:t xml:space="preserve"> </w:t>
      </w:r>
      <w:r w:rsidRPr="0005187B">
        <w:rPr>
          <w:color w:val="333333"/>
          <w:spacing w:val="-1"/>
          <w:sz w:val="16"/>
          <w:szCs w:val="16"/>
        </w:rPr>
        <w:t>planned</w:t>
      </w:r>
      <w:r w:rsidRPr="0005187B">
        <w:rPr>
          <w:color w:val="333333"/>
          <w:sz w:val="16"/>
          <w:szCs w:val="16"/>
        </w:rPr>
        <w:t xml:space="preserve"> </w:t>
      </w:r>
      <w:r w:rsidRPr="0005187B">
        <w:rPr>
          <w:color w:val="333333"/>
          <w:spacing w:val="-1"/>
          <w:sz w:val="16"/>
          <w:szCs w:val="16"/>
        </w:rPr>
        <w:t>enhancements</w:t>
      </w:r>
      <w:r w:rsidRPr="0005187B">
        <w:rPr>
          <w:color w:val="333333"/>
          <w:spacing w:val="1"/>
          <w:sz w:val="16"/>
          <w:szCs w:val="16"/>
        </w:rPr>
        <w:t xml:space="preserve"> </w:t>
      </w:r>
      <w:r w:rsidRPr="0005187B">
        <w:rPr>
          <w:color w:val="333333"/>
          <w:sz w:val="16"/>
          <w:szCs w:val="16"/>
        </w:rPr>
        <w:t xml:space="preserve">(ie.to </w:t>
      </w:r>
      <w:r w:rsidRPr="0005187B">
        <w:rPr>
          <w:color w:val="333333"/>
          <w:spacing w:val="-1"/>
          <w:sz w:val="16"/>
          <w:szCs w:val="16"/>
        </w:rPr>
        <w:t>heighten,</w:t>
      </w:r>
      <w:r w:rsidRPr="0005187B">
        <w:rPr>
          <w:color w:val="333333"/>
          <w:spacing w:val="2"/>
          <w:sz w:val="16"/>
          <w:szCs w:val="16"/>
        </w:rPr>
        <w:t xml:space="preserve"> </w:t>
      </w:r>
      <w:r w:rsidRPr="0005187B">
        <w:rPr>
          <w:color w:val="333333"/>
          <w:sz w:val="16"/>
          <w:szCs w:val="16"/>
        </w:rPr>
        <w:t>intensify</w:t>
      </w:r>
      <w:r w:rsidRPr="0005187B">
        <w:rPr>
          <w:color w:val="333333"/>
          <w:spacing w:val="-2"/>
          <w:sz w:val="16"/>
          <w:szCs w:val="16"/>
        </w:rPr>
        <w:t xml:space="preserve"> </w:t>
      </w:r>
      <w:r w:rsidRPr="0005187B">
        <w:rPr>
          <w:color w:val="333333"/>
          <w:sz w:val="16"/>
          <w:szCs w:val="16"/>
        </w:rPr>
        <w:t>or</w:t>
      </w:r>
      <w:r w:rsidRPr="0005187B">
        <w:rPr>
          <w:color w:val="333333"/>
          <w:spacing w:val="1"/>
          <w:sz w:val="16"/>
          <w:szCs w:val="16"/>
        </w:rPr>
        <w:t xml:space="preserve"> </w:t>
      </w:r>
      <w:r w:rsidRPr="0005187B">
        <w:rPr>
          <w:color w:val="333333"/>
          <w:sz w:val="16"/>
          <w:szCs w:val="16"/>
        </w:rPr>
        <w:t>improve the facilities).</w:t>
      </w:r>
    </w:p>
    <w:p w14:paraId="3F9DF31F" w14:textId="77777777" w:rsidR="001C6501" w:rsidRPr="0005187B" w:rsidRDefault="001C6501" w:rsidP="0005187B">
      <w:pPr>
        <w:pStyle w:val="BodyText"/>
        <w:spacing w:before="2" w:line="276" w:lineRule="auto"/>
        <w:ind w:left="629"/>
        <w:rPr>
          <w:sz w:val="16"/>
          <w:szCs w:val="16"/>
        </w:rPr>
      </w:pPr>
      <w:r w:rsidRPr="0005187B">
        <w:rPr>
          <w:color w:val="333333"/>
          <w:sz w:val="16"/>
          <w:szCs w:val="16"/>
        </w:rPr>
        <w:t xml:space="preserve">The estimated </w:t>
      </w:r>
      <w:r w:rsidRPr="0005187B">
        <w:rPr>
          <w:color w:val="333333"/>
          <w:spacing w:val="-1"/>
          <w:sz w:val="16"/>
          <w:szCs w:val="16"/>
        </w:rPr>
        <w:t>Cost</w:t>
      </w:r>
      <w:r w:rsidRPr="0005187B">
        <w:rPr>
          <w:color w:val="333333"/>
          <w:spacing w:val="1"/>
          <w:sz w:val="16"/>
          <w:szCs w:val="16"/>
        </w:rPr>
        <w:t xml:space="preserve"> </w:t>
      </w:r>
      <w:r w:rsidRPr="0005187B">
        <w:rPr>
          <w:color w:val="333333"/>
          <w:sz w:val="16"/>
          <w:szCs w:val="16"/>
        </w:rPr>
        <w:t>to Bring to Satisfactory</w:t>
      </w:r>
      <w:r w:rsidRPr="0005187B">
        <w:rPr>
          <w:color w:val="333333"/>
          <w:spacing w:val="-2"/>
          <w:sz w:val="16"/>
          <w:szCs w:val="16"/>
        </w:rPr>
        <w:t xml:space="preserve"> </w:t>
      </w:r>
      <w:r w:rsidRPr="0005187B">
        <w:rPr>
          <w:color w:val="333333"/>
          <w:sz w:val="16"/>
          <w:szCs w:val="16"/>
        </w:rPr>
        <w:t>is</w:t>
      </w:r>
      <w:r w:rsidRPr="0005187B">
        <w:rPr>
          <w:color w:val="333333"/>
          <w:spacing w:val="1"/>
          <w:sz w:val="16"/>
          <w:szCs w:val="16"/>
        </w:rPr>
        <w:t xml:space="preserve"> </w:t>
      </w:r>
      <w:r w:rsidRPr="0005187B">
        <w:rPr>
          <w:color w:val="333333"/>
          <w:spacing w:val="-1"/>
          <w:sz w:val="16"/>
          <w:szCs w:val="16"/>
        </w:rPr>
        <w:t>calculated</w:t>
      </w:r>
      <w:r w:rsidRPr="0005187B">
        <w:rPr>
          <w:color w:val="333333"/>
          <w:sz w:val="16"/>
          <w:szCs w:val="16"/>
        </w:rPr>
        <w:t xml:space="preserve"> as the %</w:t>
      </w:r>
      <w:r w:rsidRPr="0005187B">
        <w:rPr>
          <w:color w:val="333333"/>
          <w:spacing w:val="1"/>
          <w:sz w:val="16"/>
          <w:szCs w:val="16"/>
        </w:rPr>
        <w:t xml:space="preserve"> </w:t>
      </w:r>
      <w:r w:rsidRPr="0005187B">
        <w:rPr>
          <w:color w:val="333333"/>
          <w:sz w:val="16"/>
          <w:szCs w:val="16"/>
        </w:rPr>
        <w:t>of</w:t>
      </w:r>
      <w:r w:rsidRPr="0005187B">
        <w:rPr>
          <w:color w:val="333333"/>
          <w:spacing w:val="1"/>
          <w:sz w:val="16"/>
          <w:szCs w:val="16"/>
        </w:rPr>
        <w:t xml:space="preserve"> </w:t>
      </w:r>
      <w:r w:rsidRPr="0005187B">
        <w:rPr>
          <w:color w:val="333333"/>
          <w:sz w:val="16"/>
          <w:szCs w:val="16"/>
        </w:rPr>
        <w:t>assets</w:t>
      </w:r>
      <w:r w:rsidRPr="0005187B">
        <w:rPr>
          <w:color w:val="333333"/>
          <w:spacing w:val="1"/>
          <w:sz w:val="16"/>
          <w:szCs w:val="16"/>
        </w:rPr>
        <w:t xml:space="preserve"> </w:t>
      </w:r>
      <w:r w:rsidRPr="0005187B">
        <w:rPr>
          <w:color w:val="333333"/>
          <w:sz w:val="16"/>
          <w:szCs w:val="16"/>
        </w:rPr>
        <w:t xml:space="preserve">in condition 4 </w:t>
      </w:r>
      <w:r w:rsidRPr="0005187B">
        <w:rPr>
          <w:color w:val="333333"/>
          <w:spacing w:val="-1"/>
          <w:sz w:val="16"/>
          <w:szCs w:val="16"/>
        </w:rPr>
        <w:t>and</w:t>
      </w:r>
      <w:r w:rsidRPr="0005187B">
        <w:rPr>
          <w:color w:val="333333"/>
          <w:sz w:val="16"/>
          <w:szCs w:val="16"/>
        </w:rPr>
        <w:t xml:space="preserve"> 5 </w:t>
      </w:r>
      <w:r w:rsidRPr="0005187B">
        <w:rPr>
          <w:color w:val="333333"/>
          <w:spacing w:val="-1"/>
          <w:sz w:val="16"/>
          <w:szCs w:val="16"/>
        </w:rPr>
        <w:t>multiplied</w:t>
      </w:r>
      <w:r w:rsidRPr="0005187B">
        <w:rPr>
          <w:color w:val="333333"/>
          <w:sz w:val="16"/>
          <w:szCs w:val="16"/>
        </w:rPr>
        <w:t xml:space="preserve"> by</w:t>
      </w:r>
      <w:r w:rsidRPr="0005187B">
        <w:rPr>
          <w:color w:val="333333"/>
          <w:spacing w:val="-3"/>
          <w:sz w:val="16"/>
          <w:szCs w:val="16"/>
        </w:rPr>
        <w:t xml:space="preserve"> </w:t>
      </w:r>
      <w:r w:rsidRPr="0005187B">
        <w:rPr>
          <w:color w:val="333333"/>
          <w:sz w:val="16"/>
          <w:szCs w:val="16"/>
        </w:rPr>
        <w:t xml:space="preserve">the </w:t>
      </w:r>
      <w:r w:rsidRPr="0005187B">
        <w:rPr>
          <w:color w:val="333333"/>
          <w:spacing w:val="-1"/>
          <w:sz w:val="16"/>
          <w:szCs w:val="16"/>
        </w:rPr>
        <w:t>Current</w:t>
      </w:r>
      <w:r w:rsidRPr="0005187B">
        <w:rPr>
          <w:color w:val="333333"/>
          <w:spacing w:val="2"/>
          <w:sz w:val="16"/>
          <w:szCs w:val="16"/>
        </w:rPr>
        <w:t xml:space="preserve"> </w:t>
      </w:r>
      <w:r w:rsidRPr="0005187B">
        <w:rPr>
          <w:color w:val="333333"/>
          <w:spacing w:val="-1"/>
          <w:sz w:val="16"/>
          <w:szCs w:val="16"/>
        </w:rPr>
        <w:t>Replacement</w:t>
      </w:r>
      <w:r w:rsidRPr="0005187B">
        <w:rPr>
          <w:color w:val="333333"/>
          <w:spacing w:val="2"/>
          <w:sz w:val="16"/>
          <w:szCs w:val="16"/>
        </w:rPr>
        <w:t xml:space="preserve"> </w:t>
      </w:r>
      <w:r w:rsidRPr="0005187B">
        <w:rPr>
          <w:color w:val="333333"/>
          <w:spacing w:val="-1"/>
          <w:sz w:val="16"/>
          <w:szCs w:val="16"/>
        </w:rPr>
        <w:t>Cost.</w:t>
      </w:r>
    </w:p>
    <w:p w14:paraId="2984B757" w14:textId="77777777" w:rsidR="001C6501" w:rsidRPr="0005187B" w:rsidRDefault="001C6501" w:rsidP="0005187B">
      <w:pPr>
        <w:pStyle w:val="BodyText"/>
        <w:tabs>
          <w:tab w:val="left" w:pos="628"/>
        </w:tabs>
        <w:spacing w:before="59" w:line="276" w:lineRule="auto"/>
        <w:ind w:left="149"/>
        <w:rPr>
          <w:rFonts w:cs="Arial"/>
          <w:sz w:val="16"/>
          <w:szCs w:val="16"/>
        </w:rPr>
      </w:pPr>
      <w:r w:rsidRPr="0005187B">
        <w:rPr>
          <w:rFonts w:cs="Arial"/>
          <w:b/>
          <w:bCs/>
          <w:color w:val="333333"/>
          <w:sz w:val="16"/>
          <w:szCs w:val="16"/>
        </w:rPr>
        <w:t>(3).</w:t>
      </w:r>
      <w:r w:rsidRPr="0005187B">
        <w:rPr>
          <w:rFonts w:cs="Arial"/>
          <w:b/>
          <w:bCs/>
          <w:color w:val="333333"/>
          <w:sz w:val="16"/>
          <w:szCs w:val="16"/>
        </w:rPr>
        <w:tab/>
      </w:r>
      <w:r w:rsidRPr="0005187B">
        <w:rPr>
          <w:rFonts w:cs="Arial"/>
          <w:color w:val="333333"/>
          <w:spacing w:val="-1"/>
          <w:sz w:val="16"/>
          <w:szCs w:val="16"/>
        </w:rPr>
        <w:t>Required</w:t>
      </w:r>
      <w:r w:rsidRPr="0005187B">
        <w:rPr>
          <w:rFonts w:cs="Arial"/>
          <w:color w:val="333333"/>
          <w:sz w:val="16"/>
          <w:szCs w:val="16"/>
        </w:rPr>
        <w:t xml:space="preserve"> </w:t>
      </w:r>
      <w:r w:rsidRPr="0005187B">
        <w:rPr>
          <w:rFonts w:cs="Arial"/>
          <w:color w:val="333333"/>
          <w:spacing w:val="-1"/>
          <w:sz w:val="16"/>
          <w:szCs w:val="16"/>
        </w:rPr>
        <w:t>Annual</w:t>
      </w:r>
      <w:r w:rsidRPr="0005187B">
        <w:rPr>
          <w:rFonts w:cs="Arial"/>
          <w:color w:val="333333"/>
          <w:spacing w:val="-4"/>
          <w:sz w:val="16"/>
          <w:szCs w:val="16"/>
        </w:rPr>
        <w:t xml:space="preserve"> </w:t>
      </w:r>
      <w:r w:rsidRPr="0005187B">
        <w:rPr>
          <w:rFonts w:cs="Arial"/>
          <w:color w:val="333333"/>
          <w:spacing w:val="-1"/>
          <w:sz w:val="16"/>
          <w:szCs w:val="16"/>
        </w:rPr>
        <w:t>Maintenance</w:t>
      </w:r>
      <w:r w:rsidRPr="0005187B">
        <w:rPr>
          <w:rFonts w:cs="Arial"/>
          <w:color w:val="333333"/>
          <w:sz w:val="16"/>
          <w:szCs w:val="16"/>
        </w:rPr>
        <w:t xml:space="preserve"> is</w:t>
      </w:r>
      <w:r w:rsidRPr="0005187B">
        <w:rPr>
          <w:rFonts w:cs="Arial"/>
          <w:color w:val="333333"/>
          <w:spacing w:val="1"/>
          <w:sz w:val="16"/>
          <w:szCs w:val="16"/>
        </w:rPr>
        <w:t xml:space="preserve"> </w:t>
      </w:r>
      <w:r w:rsidRPr="0005187B">
        <w:rPr>
          <w:rFonts w:cs="Arial"/>
          <w:color w:val="333333"/>
          <w:spacing w:val="-2"/>
          <w:sz w:val="16"/>
          <w:szCs w:val="16"/>
        </w:rPr>
        <w:t>“what</w:t>
      </w:r>
      <w:r w:rsidRPr="0005187B">
        <w:rPr>
          <w:rFonts w:cs="Arial"/>
          <w:color w:val="333333"/>
          <w:spacing w:val="2"/>
          <w:sz w:val="16"/>
          <w:szCs w:val="16"/>
        </w:rPr>
        <w:t xml:space="preserve"> </w:t>
      </w:r>
      <w:r w:rsidRPr="0005187B">
        <w:rPr>
          <w:rFonts w:cs="Arial"/>
          <w:color w:val="333333"/>
          <w:spacing w:val="-1"/>
          <w:sz w:val="16"/>
          <w:szCs w:val="16"/>
        </w:rPr>
        <w:t>should</w:t>
      </w:r>
      <w:r w:rsidRPr="0005187B">
        <w:rPr>
          <w:rFonts w:cs="Arial"/>
          <w:color w:val="333333"/>
          <w:sz w:val="16"/>
          <w:szCs w:val="16"/>
        </w:rPr>
        <w:t xml:space="preserve"> be </w:t>
      </w:r>
      <w:r w:rsidRPr="0005187B">
        <w:rPr>
          <w:rFonts w:cs="Arial"/>
          <w:color w:val="333333"/>
          <w:spacing w:val="-1"/>
          <w:sz w:val="16"/>
          <w:szCs w:val="16"/>
        </w:rPr>
        <w:t>spent</w:t>
      </w:r>
      <w:r w:rsidRPr="0005187B">
        <w:rPr>
          <w:rFonts w:cs="Arial"/>
          <w:color w:val="333333"/>
          <w:spacing w:val="1"/>
          <w:sz w:val="16"/>
          <w:szCs w:val="16"/>
        </w:rPr>
        <w:t xml:space="preserve"> </w:t>
      </w:r>
      <w:r w:rsidRPr="0005187B">
        <w:rPr>
          <w:rFonts w:cs="Arial"/>
          <w:color w:val="333333"/>
          <w:sz w:val="16"/>
          <w:szCs w:val="16"/>
        </w:rPr>
        <w:t>to maintain assets</w:t>
      </w:r>
      <w:r w:rsidRPr="0005187B">
        <w:rPr>
          <w:rFonts w:cs="Arial"/>
          <w:color w:val="333333"/>
          <w:spacing w:val="1"/>
          <w:sz w:val="16"/>
          <w:szCs w:val="16"/>
        </w:rPr>
        <w:t xml:space="preserve"> </w:t>
      </w:r>
      <w:r w:rsidRPr="0005187B">
        <w:rPr>
          <w:rFonts w:cs="Arial"/>
          <w:color w:val="333333"/>
          <w:sz w:val="16"/>
          <w:szCs w:val="16"/>
        </w:rPr>
        <w:t>in a satisfactory</w:t>
      </w:r>
      <w:r w:rsidRPr="0005187B">
        <w:rPr>
          <w:rFonts w:cs="Arial"/>
          <w:color w:val="333333"/>
          <w:spacing w:val="-2"/>
          <w:sz w:val="16"/>
          <w:szCs w:val="16"/>
        </w:rPr>
        <w:t xml:space="preserve"> </w:t>
      </w:r>
      <w:r w:rsidRPr="0005187B">
        <w:rPr>
          <w:rFonts w:cs="Arial"/>
          <w:color w:val="333333"/>
          <w:spacing w:val="-1"/>
          <w:sz w:val="16"/>
          <w:szCs w:val="16"/>
        </w:rPr>
        <w:t>standard.</w:t>
      </w:r>
    </w:p>
    <w:p w14:paraId="637A5E98" w14:textId="77777777" w:rsidR="001C6501" w:rsidRPr="0005187B" w:rsidRDefault="001C6501" w:rsidP="0005187B">
      <w:pPr>
        <w:pStyle w:val="BodyText"/>
        <w:tabs>
          <w:tab w:val="left" w:pos="628"/>
        </w:tabs>
        <w:spacing w:before="59" w:line="276" w:lineRule="auto"/>
        <w:ind w:left="149"/>
        <w:rPr>
          <w:sz w:val="16"/>
          <w:szCs w:val="16"/>
        </w:rPr>
      </w:pPr>
      <w:r w:rsidRPr="0005187B">
        <w:rPr>
          <w:b/>
          <w:color w:val="333333"/>
          <w:sz w:val="16"/>
          <w:szCs w:val="16"/>
        </w:rPr>
        <w:t>(4).</w:t>
      </w:r>
      <w:r w:rsidRPr="0005187B">
        <w:rPr>
          <w:b/>
          <w:color w:val="333333"/>
          <w:sz w:val="16"/>
          <w:szCs w:val="16"/>
        </w:rPr>
        <w:tab/>
      </w:r>
      <w:r w:rsidRPr="0005187B">
        <w:rPr>
          <w:color w:val="333333"/>
          <w:spacing w:val="-1"/>
          <w:sz w:val="16"/>
          <w:szCs w:val="16"/>
        </w:rPr>
        <w:t>Actual</w:t>
      </w:r>
      <w:r w:rsidRPr="0005187B">
        <w:rPr>
          <w:color w:val="333333"/>
          <w:spacing w:val="-4"/>
          <w:sz w:val="16"/>
          <w:szCs w:val="16"/>
        </w:rPr>
        <w:t xml:space="preserve"> </w:t>
      </w:r>
      <w:r w:rsidRPr="0005187B">
        <w:rPr>
          <w:color w:val="333333"/>
          <w:spacing w:val="-1"/>
          <w:sz w:val="16"/>
          <w:szCs w:val="16"/>
        </w:rPr>
        <w:t>Maintenance</w:t>
      </w:r>
      <w:r w:rsidRPr="0005187B">
        <w:rPr>
          <w:color w:val="333333"/>
          <w:sz w:val="16"/>
          <w:szCs w:val="16"/>
        </w:rPr>
        <w:t xml:space="preserve"> is</w:t>
      </w:r>
      <w:r w:rsidRPr="0005187B">
        <w:rPr>
          <w:color w:val="333333"/>
          <w:spacing w:val="1"/>
          <w:sz w:val="16"/>
          <w:szCs w:val="16"/>
        </w:rPr>
        <w:t xml:space="preserve"> </w:t>
      </w:r>
      <w:r w:rsidRPr="0005187B">
        <w:rPr>
          <w:color w:val="333333"/>
          <w:spacing w:val="-2"/>
          <w:sz w:val="16"/>
          <w:szCs w:val="16"/>
        </w:rPr>
        <w:t>what</w:t>
      </w:r>
      <w:r w:rsidRPr="0005187B">
        <w:rPr>
          <w:color w:val="333333"/>
          <w:spacing w:val="2"/>
          <w:sz w:val="16"/>
          <w:szCs w:val="16"/>
        </w:rPr>
        <w:t xml:space="preserve"> </w:t>
      </w:r>
      <w:r w:rsidRPr="0005187B">
        <w:rPr>
          <w:color w:val="333333"/>
          <w:spacing w:val="-1"/>
          <w:sz w:val="16"/>
          <w:szCs w:val="16"/>
        </w:rPr>
        <w:t>has</w:t>
      </w:r>
      <w:r w:rsidRPr="0005187B">
        <w:rPr>
          <w:color w:val="333333"/>
          <w:spacing w:val="1"/>
          <w:sz w:val="16"/>
          <w:szCs w:val="16"/>
        </w:rPr>
        <w:t xml:space="preserve"> </w:t>
      </w:r>
      <w:r w:rsidRPr="0005187B">
        <w:rPr>
          <w:color w:val="333333"/>
          <w:spacing w:val="-1"/>
          <w:sz w:val="16"/>
          <w:szCs w:val="16"/>
        </w:rPr>
        <w:t>been</w:t>
      </w:r>
      <w:r w:rsidRPr="0005187B">
        <w:rPr>
          <w:color w:val="333333"/>
          <w:sz w:val="16"/>
          <w:szCs w:val="16"/>
        </w:rPr>
        <w:t xml:space="preserve"> </w:t>
      </w:r>
      <w:r w:rsidRPr="0005187B">
        <w:rPr>
          <w:color w:val="333333"/>
          <w:spacing w:val="-1"/>
          <w:sz w:val="16"/>
          <w:szCs w:val="16"/>
        </w:rPr>
        <w:t>spent</w:t>
      </w:r>
      <w:r w:rsidRPr="0005187B">
        <w:rPr>
          <w:color w:val="333333"/>
          <w:spacing w:val="1"/>
          <w:sz w:val="16"/>
          <w:szCs w:val="16"/>
        </w:rPr>
        <w:t xml:space="preserve"> </w:t>
      </w:r>
      <w:r w:rsidRPr="0005187B">
        <w:rPr>
          <w:color w:val="333333"/>
          <w:sz w:val="16"/>
          <w:szCs w:val="16"/>
        </w:rPr>
        <w:t xml:space="preserve">in the </w:t>
      </w:r>
      <w:r w:rsidRPr="0005187B">
        <w:rPr>
          <w:color w:val="333333"/>
          <w:spacing w:val="-1"/>
          <w:sz w:val="16"/>
          <w:szCs w:val="16"/>
        </w:rPr>
        <w:t>current</w:t>
      </w:r>
      <w:r w:rsidRPr="0005187B">
        <w:rPr>
          <w:color w:val="333333"/>
          <w:spacing w:val="2"/>
          <w:sz w:val="16"/>
          <w:szCs w:val="16"/>
        </w:rPr>
        <w:t xml:space="preserve"> </w:t>
      </w:r>
      <w:r w:rsidRPr="0005187B">
        <w:rPr>
          <w:color w:val="333333"/>
          <w:spacing w:val="-1"/>
          <w:sz w:val="16"/>
          <w:szCs w:val="16"/>
        </w:rPr>
        <w:t>year</w:t>
      </w:r>
      <w:r w:rsidRPr="0005187B">
        <w:rPr>
          <w:color w:val="333333"/>
          <w:spacing w:val="1"/>
          <w:sz w:val="16"/>
          <w:szCs w:val="16"/>
        </w:rPr>
        <w:t xml:space="preserve"> </w:t>
      </w:r>
      <w:r w:rsidRPr="0005187B">
        <w:rPr>
          <w:color w:val="333333"/>
          <w:sz w:val="16"/>
          <w:szCs w:val="16"/>
        </w:rPr>
        <w:t>to maintain the assets.</w:t>
      </w:r>
    </w:p>
    <w:p w14:paraId="688BCCD3" w14:textId="77777777" w:rsidR="001C6501" w:rsidRPr="0005187B" w:rsidRDefault="001C6501" w:rsidP="0005187B">
      <w:pPr>
        <w:pStyle w:val="BodyText"/>
        <w:spacing w:before="59" w:line="276" w:lineRule="auto"/>
        <w:ind w:left="629"/>
        <w:rPr>
          <w:sz w:val="16"/>
          <w:szCs w:val="16"/>
        </w:rPr>
      </w:pPr>
      <w:r w:rsidRPr="0005187B">
        <w:rPr>
          <w:color w:val="333333"/>
          <w:spacing w:val="-1"/>
          <w:sz w:val="16"/>
          <w:szCs w:val="16"/>
        </w:rPr>
        <w:t>Actual</w:t>
      </w:r>
      <w:r w:rsidRPr="0005187B">
        <w:rPr>
          <w:color w:val="333333"/>
          <w:spacing w:val="-4"/>
          <w:sz w:val="16"/>
          <w:szCs w:val="16"/>
        </w:rPr>
        <w:t xml:space="preserve"> </w:t>
      </w:r>
      <w:r w:rsidRPr="0005187B">
        <w:rPr>
          <w:color w:val="333333"/>
          <w:spacing w:val="-1"/>
          <w:sz w:val="16"/>
          <w:szCs w:val="16"/>
        </w:rPr>
        <w:t>Maintenance</w:t>
      </w:r>
      <w:r w:rsidRPr="0005187B">
        <w:rPr>
          <w:color w:val="333333"/>
          <w:sz w:val="16"/>
          <w:szCs w:val="16"/>
        </w:rPr>
        <w:t xml:space="preserve"> may</w:t>
      </w:r>
      <w:r w:rsidRPr="0005187B">
        <w:rPr>
          <w:color w:val="333333"/>
          <w:spacing w:val="-3"/>
          <w:sz w:val="16"/>
          <w:szCs w:val="16"/>
        </w:rPr>
        <w:t xml:space="preserve"> </w:t>
      </w:r>
      <w:r w:rsidRPr="0005187B">
        <w:rPr>
          <w:color w:val="333333"/>
          <w:sz w:val="16"/>
          <w:szCs w:val="16"/>
        </w:rPr>
        <w:t>be higher</w:t>
      </w:r>
      <w:r w:rsidRPr="0005187B">
        <w:rPr>
          <w:color w:val="333333"/>
          <w:spacing w:val="1"/>
          <w:sz w:val="16"/>
          <w:szCs w:val="16"/>
        </w:rPr>
        <w:t xml:space="preserve"> </w:t>
      </w:r>
      <w:r w:rsidRPr="0005187B">
        <w:rPr>
          <w:color w:val="333333"/>
          <w:sz w:val="16"/>
          <w:szCs w:val="16"/>
        </w:rPr>
        <w:t>or</w:t>
      </w:r>
      <w:r w:rsidRPr="0005187B">
        <w:rPr>
          <w:color w:val="333333"/>
          <w:spacing w:val="1"/>
          <w:sz w:val="16"/>
          <w:szCs w:val="16"/>
        </w:rPr>
        <w:t xml:space="preserve"> </w:t>
      </w:r>
      <w:r w:rsidRPr="0005187B">
        <w:rPr>
          <w:color w:val="333333"/>
          <w:spacing w:val="-2"/>
          <w:sz w:val="16"/>
          <w:szCs w:val="16"/>
        </w:rPr>
        <w:t>lower</w:t>
      </w:r>
      <w:r w:rsidRPr="0005187B">
        <w:rPr>
          <w:color w:val="333333"/>
          <w:spacing w:val="1"/>
          <w:sz w:val="16"/>
          <w:szCs w:val="16"/>
        </w:rPr>
        <w:t xml:space="preserve"> </w:t>
      </w:r>
      <w:r w:rsidRPr="0005187B">
        <w:rPr>
          <w:color w:val="333333"/>
          <w:sz w:val="16"/>
          <w:szCs w:val="16"/>
        </w:rPr>
        <w:t xml:space="preserve">than the required </w:t>
      </w:r>
      <w:r w:rsidRPr="0005187B">
        <w:rPr>
          <w:color w:val="333333"/>
          <w:spacing w:val="-1"/>
          <w:sz w:val="16"/>
          <w:szCs w:val="16"/>
        </w:rPr>
        <w:t>annual</w:t>
      </w:r>
      <w:r w:rsidRPr="0005187B">
        <w:rPr>
          <w:color w:val="333333"/>
          <w:spacing w:val="-4"/>
          <w:sz w:val="16"/>
          <w:szCs w:val="16"/>
        </w:rPr>
        <w:t xml:space="preserve"> </w:t>
      </w:r>
      <w:r w:rsidRPr="0005187B">
        <w:rPr>
          <w:color w:val="333333"/>
          <w:spacing w:val="-1"/>
          <w:sz w:val="16"/>
          <w:szCs w:val="16"/>
        </w:rPr>
        <w:t>maintenance</w:t>
      </w:r>
      <w:r w:rsidRPr="0005187B">
        <w:rPr>
          <w:color w:val="333333"/>
          <w:sz w:val="16"/>
          <w:szCs w:val="16"/>
        </w:rPr>
        <w:t xml:space="preserve"> </w:t>
      </w:r>
      <w:r w:rsidRPr="0005187B">
        <w:rPr>
          <w:color w:val="333333"/>
          <w:spacing w:val="-1"/>
          <w:sz w:val="16"/>
          <w:szCs w:val="16"/>
        </w:rPr>
        <w:t>due</w:t>
      </w:r>
      <w:r w:rsidRPr="0005187B">
        <w:rPr>
          <w:color w:val="333333"/>
          <w:sz w:val="16"/>
          <w:szCs w:val="16"/>
        </w:rPr>
        <w:t xml:space="preserve"> to the timing of</w:t>
      </w:r>
      <w:r w:rsidRPr="0005187B">
        <w:rPr>
          <w:color w:val="333333"/>
          <w:spacing w:val="1"/>
          <w:sz w:val="16"/>
          <w:szCs w:val="16"/>
        </w:rPr>
        <w:t xml:space="preserve"> </w:t>
      </w:r>
      <w:r w:rsidRPr="0005187B">
        <w:rPr>
          <w:color w:val="333333"/>
          <w:spacing w:val="-2"/>
          <w:sz w:val="16"/>
          <w:szCs w:val="16"/>
        </w:rPr>
        <w:t>when</w:t>
      </w:r>
      <w:r w:rsidRPr="0005187B">
        <w:rPr>
          <w:color w:val="333333"/>
          <w:sz w:val="16"/>
          <w:szCs w:val="16"/>
        </w:rPr>
        <w:t xml:space="preserve"> the </w:t>
      </w:r>
      <w:r w:rsidRPr="0005187B">
        <w:rPr>
          <w:color w:val="333333"/>
          <w:spacing w:val="-1"/>
          <w:sz w:val="16"/>
          <w:szCs w:val="16"/>
        </w:rPr>
        <w:t>maintenance</w:t>
      </w:r>
      <w:r w:rsidRPr="0005187B">
        <w:rPr>
          <w:color w:val="333333"/>
          <w:sz w:val="16"/>
          <w:szCs w:val="16"/>
        </w:rPr>
        <w:t xml:space="preserve"> </w:t>
      </w:r>
      <w:r w:rsidRPr="0005187B">
        <w:rPr>
          <w:color w:val="333333"/>
          <w:spacing w:val="-2"/>
          <w:sz w:val="16"/>
          <w:szCs w:val="16"/>
        </w:rPr>
        <w:t xml:space="preserve">actually </w:t>
      </w:r>
      <w:r w:rsidRPr="0005187B">
        <w:rPr>
          <w:color w:val="333333"/>
          <w:spacing w:val="-1"/>
          <w:sz w:val="16"/>
          <w:szCs w:val="16"/>
        </w:rPr>
        <w:t>occurs.</w:t>
      </w:r>
    </w:p>
    <w:p w14:paraId="563DB229" w14:textId="77777777" w:rsidR="001C6501" w:rsidRPr="0005187B" w:rsidRDefault="001C6501" w:rsidP="0005187B">
      <w:pPr>
        <w:pStyle w:val="BodyText"/>
        <w:tabs>
          <w:tab w:val="left" w:pos="628"/>
        </w:tabs>
        <w:spacing w:before="59" w:line="276" w:lineRule="auto"/>
        <w:ind w:left="149"/>
        <w:rPr>
          <w:sz w:val="16"/>
          <w:szCs w:val="16"/>
        </w:rPr>
      </w:pPr>
      <w:r w:rsidRPr="0005187B">
        <w:rPr>
          <w:b/>
          <w:color w:val="333333"/>
          <w:sz w:val="16"/>
          <w:szCs w:val="16"/>
        </w:rPr>
        <w:t>(5).</w:t>
      </w:r>
      <w:r w:rsidRPr="0005187B">
        <w:rPr>
          <w:b/>
          <w:color w:val="333333"/>
          <w:sz w:val="16"/>
          <w:szCs w:val="16"/>
        </w:rPr>
        <w:tab/>
      </w:r>
      <w:r w:rsidRPr="0005187B">
        <w:rPr>
          <w:color w:val="333333"/>
          <w:spacing w:val="-1"/>
          <w:sz w:val="16"/>
          <w:szCs w:val="16"/>
        </w:rPr>
        <w:t>Current</w:t>
      </w:r>
      <w:r w:rsidRPr="0005187B">
        <w:rPr>
          <w:color w:val="333333"/>
          <w:spacing w:val="2"/>
          <w:sz w:val="16"/>
          <w:szCs w:val="16"/>
        </w:rPr>
        <w:t xml:space="preserve"> </w:t>
      </w:r>
      <w:r w:rsidRPr="0005187B">
        <w:rPr>
          <w:color w:val="333333"/>
          <w:spacing w:val="-1"/>
          <w:sz w:val="16"/>
          <w:szCs w:val="16"/>
        </w:rPr>
        <w:t>Replacement</w:t>
      </w:r>
      <w:r w:rsidRPr="0005187B">
        <w:rPr>
          <w:color w:val="333333"/>
          <w:spacing w:val="2"/>
          <w:sz w:val="16"/>
          <w:szCs w:val="16"/>
        </w:rPr>
        <w:t xml:space="preserve"> </w:t>
      </w:r>
      <w:r w:rsidRPr="0005187B">
        <w:rPr>
          <w:color w:val="333333"/>
          <w:spacing w:val="-1"/>
          <w:sz w:val="16"/>
          <w:szCs w:val="16"/>
        </w:rPr>
        <w:t>Cost</w:t>
      </w:r>
      <w:r w:rsidRPr="0005187B">
        <w:rPr>
          <w:color w:val="333333"/>
          <w:spacing w:val="1"/>
          <w:sz w:val="16"/>
          <w:szCs w:val="16"/>
        </w:rPr>
        <w:t xml:space="preserve"> </w:t>
      </w:r>
      <w:r w:rsidRPr="0005187B">
        <w:rPr>
          <w:color w:val="333333"/>
          <w:sz w:val="16"/>
          <w:szCs w:val="16"/>
        </w:rPr>
        <w:t>is</w:t>
      </w:r>
      <w:r w:rsidRPr="0005187B">
        <w:rPr>
          <w:color w:val="333333"/>
          <w:spacing w:val="1"/>
          <w:sz w:val="16"/>
          <w:szCs w:val="16"/>
        </w:rPr>
        <w:t xml:space="preserve"> </w:t>
      </w:r>
      <w:r w:rsidRPr="0005187B">
        <w:rPr>
          <w:color w:val="333333"/>
          <w:sz w:val="16"/>
          <w:szCs w:val="16"/>
        </w:rPr>
        <w:t>the cost</w:t>
      </w:r>
      <w:r w:rsidRPr="0005187B">
        <w:rPr>
          <w:color w:val="333333"/>
          <w:spacing w:val="1"/>
          <w:sz w:val="16"/>
          <w:szCs w:val="16"/>
        </w:rPr>
        <w:t xml:space="preserve"> </w:t>
      </w:r>
      <w:r w:rsidRPr="0005187B">
        <w:rPr>
          <w:color w:val="333333"/>
          <w:sz w:val="16"/>
          <w:szCs w:val="16"/>
        </w:rPr>
        <w:t xml:space="preserve">to </w:t>
      </w:r>
      <w:r w:rsidRPr="0005187B">
        <w:rPr>
          <w:color w:val="333333"/>
          <w:spacing w:val="-1"/>
          <w:sz w:val="16"/>
          <w:szCs w:val="16"/>
        </w:rPr>
        <w:t>replace</w:t>
      </w:r>
      <w:r w:rsidRPr="0005187B">
        <w:rPr>
          <w:color w:val="333333"/>
          <w:sz w:val="16"/>
          <w:szCs w:val="16"/>
        </w:rPr>
        <w:t xml:space="preserve"> the </w:t>
      </w:r>
      <w:r w:rsidRPr="0005187B">
        <w:rPr>
          <w:color w:val="333333"/>
          <w:spacing w:val="-1"/>
          <w:sz w:val="16"/>
          <w:szCs w:val="16"/>
        </w:rPr>
        <w:t>asset</w:t>
      </w:r>
      <w:r w:rsidRPr="0005187B">
        <w:rPr>
          <w:color w:val="333333"/>
          <w:spacing w:val="2"/>
          <w:sz w:val="16"/>
          <w:szCs w:val="16"/>
        </w:rPr>
        <w:t xml:space="preserve"> </w:t>
      </w:r>
      <w:r w:rsidRPr="0005187B">
        <w:rPr>
          <w:color w:val="333333"/>
          <w:sz w:val="16"/>
          <w:szCs w:val="16"/>
        </w:rPr>
        <w:t>at</w:t>
      </w:r>
      <w:r w:rsidRPr="0005187B">
        <w:rPr>
          <w:color w:val="333333"/>
          <w:spacing w:val="1"/>
          <w:sz w:val="16"/>
          <w:szCs w:val="16"/>
        </w:rPr>
        <w:t xml:space="preserve"> </w:t>
      </w:r>
      <w:r w:rsidRPr="0005187B">
        <w:rPr>
          <w:color w:val="333333"/>
          <w:sz w:val="16"/>
          <w:szCs w:val="16"/>
        </w:rPr>
        <w:t xml:space="preserve">30 </w:t>
      </w:r>
      <w:r w:rsidRPr="0005187B">
        <w:rPr>
          <w:color w:val="333333"/>
          <w:spacing w:val="-1"/>
          <w:sz w:val="16"/>
          <w:szCs w:val="16"/>
        </w:rPr>
        <w:t>June</w:t>
      </w:r>
      <w:r w:rsidRPr="0005187B">
        <w:rPr>
          <w:color w:val="333333"/>
          <w:sz w:val="16"/>
          <w:szCs w:val="16"/>
        </w:rPr>
        <w:t xml:space="preserve"> </w:t>
      </w:r>
      <w:r w:rsidRPr="0005187B">
        <w:rPr>
          <w:color w:val="333333"/>
          <w:spacing w:val="-1"/>
          <w:sz w:val="16"/>
          <w:szCs w:val="16"/>
        </w:rPr>
        <w:t>2014.</w:t>
      </w:r>
    </w:p>
    <w:p w14:paraId="2644D64B" w14:textId="77777777" w:rsidR="0005187B" w:rsidRDefault="001C6501" w:rsidP="0005187B">
      <w:pPr>
        <w:pStyle w:val="BodyText"/>
        <w:tabs>
          <w:tab w:val="left" w:pos="628"/>
        </w:tabs>
        <w:spacing w:before="59" w:line="276" w:lineRule="auto"/>
        <w:ind w:left="149"/>
        <w:rPr>
          <w:color w:val="333333"/>
          <w:sz w:val="16"/>
          <w:szCs w:val="16"/>
        </w:rPr>
      </w:pPr>
      <w:r w:rsidRPr="0005187B">
        <w:rPr>
          <w:b/>
          <w:color w:val="333333"/>
          <w:sz w:val="16"/>
          <w:szCs w:val="16"/>
        </w:rPr>
        <w:t>(6).</w:t>
      </w:r>
      <w:r w:rsidRPr="0005187B">
        <w:rPr>
          <w:b/>
          <w:color w:val="333333"/>
          <w:sz w:val="16"/>
          <w:szCs w:val="16"/>
        </w:rPr>
        <w:tab/>
      </w:r>
      <w:r w:rsidRPr="0005187B">
        <w:rPr>
          <w:color w:val="333333"/>
          <w:spacing w:val="1"/>
          <w:sz w:val="16"/>
          <w:szCs w:val="16"/>
        </w:rPr>
        <w:t>Written</w:t>
      </w:r>
      <w:r w:rsidRPr="0005187B">
        <w:rPr>
          <w:color w:val="333333"/>
          <w:sz w:val="16"/>
          <w:szCs w:val="16"/>
        </w:rPr>
        <w:t xml:space="preserve"> </w:t>
      </w:r>
      <w:r w:rsidRPr="0005187B">
        <w:rPr>
          <w:color w:val="333333"/>
          <w:spacing w:val="-2"/>
          <w:sz w:val="16"/>
          <w:szCs w:val="16"/>
        </w:rPr>
        <w:t>Down</w:t>
      </w:r>
      <w:r w:rsidRPr="0005187B">
        <w:rPr>
          <w:color w:val="333333"/>
          <w:sz w:val="16"/>
          <w:szCs w:val="16"/>
        </w:rPr>
        <w:t xml:space="preserve"> </w:t>
      </w:r>
      <w:r w:rsidRPr="0005187B">
        <w:rPr>
          <w:color w:val="333333"/>
          <w:spacing w:val="-2"/>
          <w:sz w:val="16"/>
          <w:szCs w:val="16"/>
        </w:rPr>
        <w:t>Value</w:t>
      </w:r>
      <w:r w:rsidRPr="0005187B">
        <w:rPr>
          <w:color w:val="333333"/>
          <w:sz w:val="16"/>
          <w:szCs w:val="16"/>
        </w:rPr>
        <w:t xml:space="preserve"> is</w:t>
      </w:r>
      <w:r w:rsidRPr="0005187B">
        <w:rPr>
          <w:color w:val="333333"/>
          <w:spacing w:val="1"/>
          <w:sz w:val="16"/>
          <w:szCs w:val="16"/>
        </w:rPr>
        <w:t xml:space="preserve"> </w:t>
      </w:r>
      <w:r w:rsidRPr="0005187B">
        <w:rPr>
          <w:color w:val="333333"/>
          <w:sz w:val="16"/>
          <w:szCs w:val="16"/>
        </w:rPr>
        <w:t xml:space="preserve">in </w:t>
      </w:r>
      <w:r w:rsidRPr="0005187B">
        <w:rPr>
          <w:color w:val="333333"/>
          <w:spacing w:val="-1"/>
          <w:sz w:val="16"/>
          <w:szCs w:val="16"/>
        </w:rPr>
        <w:t>accordance</w:t>
      </w:r>
      <w:r w:rsidRPr="0005187B">
        <w:rPr>
          <w:color w:val="333333"/>
          <w:sz w:val="16"/>
          <w:szCs w:val="16"/>
        </w:rPr>
        <w:t xml:space="preserve"> </w:t>
      </w:r>
      <w:r w:rsidRPr="0005187B">
        <w:rPr>
          <w:color w:val="333333"/>
          <w:spacing w:val="-1"/>
          <w:sz w:val="16"/>
          <w:szCs w:val="16"/>
        </w:rPr>
        <w:t>with</w:t>
      </w:r>
      <w:r w:rsidRPr="0005187B">
        <w:rPr>
          <w:color w:val="333333"/>
          <w:sz w:val="16"/>
          <w:szCs w:val="16"/>
        </w:rPr>
        <w:t xml:space="preserve"> </w:t>
      </w:r>
      <w:r w:rsidRPr="0005187B">
        <w:rPr>
          <w:color w:val="333333"/>
          <w:spacing w:val="-1"/>
          <w:sz w:val="16"/>
          <w:szCs w:val="16"/>
        </w:rPr>
        <w:t>Note</w:t>
      </w:r>
      <w:r w:rsidRPr="0005187B">
        <w:rPr>
          <w:color w:val="333333"/>
          <w:sz w:val="16"/>
          <w:szCs w:val="16"/>
        </w:rPr>
        <w:t xml:space="preserve"> 9 of</w:t>
      </w:r>
      <w:r w:rsidRPr="0005187B">
        <w:rPr>
          <w:color w:val="333333"/>
          <w:spacing w:val="1"/>
          <w:sz w:val="16"/>
          <w:szCs w:val="16"/>
        </w:rPr>
        <w:t xml:space="preserve"> </w:t>
      </w:r>
      <w:r w:rsidRPr="0005187B">
        <w:rPr>
          <w:color w:val="333333"/>
          <w:spacing w:val="-1"/>
          <w:sz w:val="16"/>
          <w:szCs w:val="16"/>
        </w:rPr>
        <w:t>Council's</w:t>
      </w:r>
      <w:r w:rsidRPr="0005187B">
        <w:rPr>
          <w:color w:val="333333"/>
          <w:spacing w:val="1"/>
          <w:sz w:val="16"/>
          <w:szCs w:val="16"/>
        </w:rPr>
        <w:t xml:space="preserve"> </w:t>
      </w:r>
      <w:r w:rsidRPr="0005187B">
        <w:rPr>
          <w:color w:val="333333"/>
          <w:sz w:val="16"/>
          <w:szCs w:val="16"/>
        </w:rPr>
        <w:t>General</w:t>
      </w:r>
      <w:r w:rsidRPr="0005187B">
        <w:rPr>
          <w:color w:val="333333"/>
          <w:spacing w:val="-4"/>
          <w:sz w:val="16"/>
          <w:szCs w:val="16"/>
        </w:rPr>
        <w:t xml:space="preserve"> </w:t>
      </w:r>
      <w:r w:rsidRPr="0005187B">
        <w:rPr>
          <w:color w:val="333333"/>
          <w:spacing w:val="-1"/>
          <w:sz w:val="16"/>
          <w:szCs w:val="16"/>
        </w:rPr>
        <w:t>Purpose</w:t>
      </w:r>
      <w:r w:rsidRPr="0005187B">
        <w:rPr>
          <w:color w:val="333333"/>
          <w:sz w:val="16"/>
          <w:szCs w:val="16"/>
        </w:rPr>
        <w:t xml:space="preserve"> Financial</w:t>
      </w:r>
      <w:r w:rsidRPr="0005187B">
        <w:rPr>
          <w:color w:val="333333"/>
          <w:spacing w:val="-4"/>
          <w:sz w:val="16"/>
          <w:szCs w:val="16"/>
        </w:rPr>
        <w:t xml:space="preserve"> </w:t>
      </w:r>
      <w:r w:rsidRPr="0005187B">
        <w:rPr>
          <w:color w:val="333333"/>
          <w:sz w:val="16"/>
          <w:szCs w:val="16"/>
        </w:rPr>
        <w:t>Statements.</w:t>
      </w:r>
    </w:p>
    <w:p w14:paraId="2EE661B0" w14:textId="39DDC0B5" w:rsidR="001C6501" w:rsidRPr="0005187B" w:rsidRDefault="001C6501" w:rsidP="0005187B">
      <w:pPr>
        <w:pStyle w:val="BodyText"/>
        <w:tabs>
          <w:tab w:val="left" w:pos="628"/>
        </w:tabs>
        <w:spacing w:before="59" w:line="276" w:lineRule="auto"/>
        <w:ind w:left="149"/>
        <w:rPr>
          <w:color w:val="333333"/>
          <w:spacing w:val="-1"/>
          <w:sz w:val="16"/>
          <w:szCs w:val="16"/>
        </w:rPr>
      </w:pPr>
      <w:r w:rsidRPr="0005187B">
        <w:rPr>
          <w:color w:val="333333"/>
          <w:sz w:val="16"/>
          <w:szCs w:val="16"/>
        </w:rPr>
        <w:t>(8).</w:t>
      </w:r>
      <w:r w:rsidRPr="0005187B">
        <w:rPr>
          <w:color w:val="333333"/>
          <w:sz w:val="16"/>
          <w:szCs w:val="16"/>
        </w:rPr>
        <w:tab/>
      </w:r>
      <w:r w:rsidRPr="0005187B">
        <w:rPr>
          <w:color w:val="333333"/>
          <w:spacing w:val="-1"/>
          <w:sz w:val="16"/>
          <w:szCs w:val="16"/>
        </w:rPr>
        <w:t>Infrastructure Asset Condition Assessment "Key"</w:t>
      </w:r>
    </w:p>
    <w:p w14:paraId="573E749A" w14:textId="1462DD0F" w:rsidR="001C6501" w:rsidRDefault="00C625DC" w:rsidP="001C6501">
      <w:pPr>
        <w:spacing w:line="260" w:lineRule="exact"/>
        <w:rPr>
          <w:sz w:val="16"/>
          <w:szCs w:val="16"/>
        </w:rPr>
      </w:pPr>
      <w:r>
        <w:rPr>
          <w:noProof/>
        </w:rPr>
        <w:drawing>
          <wp:anchor distT="0" distB="0" distL="114300" distR="114300" simplePos="0" relativeHeight="251845632" behindDoc="0" locked="0" layoutInCell="1" allowOverlap="1" wp14:anchorId="7FF8DC67" wp14:editId="2FC743F2">
            <wp:simplePos x="0" y="0"/>
            <wp:positionH relativeFrom="margin">
              <wp:posOffset>104775</wp:posOffset>
            </wp:positionH>
            <wp:positionV relativeFrom="margin">
              <wp:posOffset>2552700</wp:posOffset>
            </wp:positionV>
            <wp:extent cx="5929630" cy="141351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email">
                      <a:extLst>
                        <a:ext uri="{28A0092B-C50C-407E-A947-70E740481C1C}">
                          <a14:useLocalDpi xmlns:a14="http://schemas.microsoft.com/office/drawing/2010/main"/>
                        </a:ext>
                      </a:extLst>
                    </a:blip>
                    <a:stretch>
                      <a:fillRect/>
                    </a:stretch>
                  </pic:blipFill>
                  <pic:spPr>
                    <a:xfrm>
                      <a:off x="0" y="0"/>
                      <a:ext cx="5929630" cy="1413510"/>
                    </a:xfrm>
                    <a:prstGeom prst="rect">
                      <a:avLst/>
                    </a:prstGeom>
                  </pic:spPr>
                </pic:pic>
              </a:graphicData>
            </a:graphic>
          </wp:anchor>
        </w:drawing>
      </w:r>
    </w:p>
    <w:p w14:paraId="38CE2EE4" w14:textId="33D1D847" w:rsidR="00C625DC" w:rsidRDefault="00C625DC" w:rsidP="001C6501">
      <w:pPr>
        <w:spacing w:line="260" w:lineRule="exact"/>
        <w:rPr>
          <w:sz w:val="16"/>
          <w:szCs w:val="16"/>
        </w:rPr>
      </w:pPr>
    </w:p>
    <w:p w14:paraId="58E9AC21" w14:textId="77777777" w:rsidR="00C625DC" w:rsidRDefault="00C625DC" w:rsidP="001C6501">
      <w:pPr>
        <w:spacing w:line="260" w:lineRule="exact"/>
        <w:rPr>
          <w:sz w:val="16"/>
          <w:szCs w:val="16"/>
        </w:rPr>
      </w:pPr>
    </w:p>
    <w:p w14:paraId="177D5CE3" w14:textId="77777777" w:rsidR="00C625DC" w:rsidRDefault="00C625DC" w:rsidP="001C6501">
      <w:pPr>
        <w:spacing w:line="260" w:lineRule="exact"/>
        <w:rPr>
          <w:sz w:val="16"/>
          <w:szCs w:val="16"/>
        </w:rPr>
      </w:pPr>
    </w:p>
    <w:p w14:paraId="3F611D59" w14:textId="77777777" w:rsidR="00C625DC" w:rsidRDefault="00C625DC" w:rsidP="001C6501">
      <w:pPr>
        <w:spacing w:line="260" w:lineRule="exact"/>
        <w:rPr>
          <w:sz w:val="16"/>
          <w:szCs w:val="16"/>
        </w:rPr>
      </w:pPr>
    </w:p>
    <w:p w14:paraId="0BAFB19B" w14:textId="77777777" w:rsidR="00C625DC" w:rsidRPr="0005187B" w:rsidRDefault="00C625DC" w:rsidP="001C6501">
      <w:pPr>
        <w:spacing w:line="260" w:lineRule="exact"/>
        <w:rPr>
          <w:sz w:val="16"/>
          <w:szCs w:val="16"/>
        </w:rPr>
      </w:pPr>
    </w:p>
    <w:p w14:paraId="600A63BA" w14:textId="77777777" w:rsidR="000C0E35" w:rsidRDefault="000C0E35" w:rsidP="008A6D6D">
      <w:pPr>
        <w:spacing w:after="60" w:line="360" w:lineRule="auto"/>
        <w:jc w:val="both"/>
        <w:rPr>
          <w:sz w:val="16"/>
          <w:szCs w:val="16"/>
        </w:rPr>
      </w:pPr>
    </w:p>
    <w:p w14:paraId="4E85E51B" w14:textId="77777777" w:rsidR="00C625DC" w:rsidRDefault="00C625DC" w:rsidP="008A6D6D">
      <w:pPr>
        <w:spacing w:after="60" w:line="360" w:lineRule="auto"/>
        <w:jc w:val="both"/>
        <w:rPr>
          <w:sz w:val="16"/>
          <w:szCs w:val="16"/>
        </w:rPr>
      </w:pPr>
    </w:p>
    <w:p w14:paraId="01B30E1C" w14:textId="77777777" w:rsidR="00C625DC" w:rsidRPr="00E34476" w:rsidRDefault="00C625DC" w:rsidP="008A6D6D">
      <w:pPr>
        <w:spacing w:after="60" w:line="360" w:lineRule="auto"/>
        <w:jc w:val="both"/>
        <w:rPr>
          <w:rFonts w:ascii="Arial" w:hAnsi="Arial" w:cs="Arial"/>
          <w:color w:val="000000" w:themeColor="text1"/>
          <w:sz w:val="20"/>
          <w:szCs w:val="20"/>
        </w:rPr>
      </w:pPr>
    </w:p>
    <w:p w14:paraId="5EC1D541" w14:textId="77777777" w:rsidR="00C625DC" w:rsidRDefault="00C625DC">
      <w:pPr>
        <w:rPr>
          <w:rFonts w:ascii="Arial" w:hAnsi="Arial" w:cs="Arial"/>
          <w:sz w:val="20"/>
          <w:szCs w:val="20"/>
        </w:rPr>
        <w:sectPr w:rsidR="00C625DC" w:rsidSect="00CA3E52">
          <w:pgSz w:w="16840" w:h="11907" w:orient="landscape" w:code="9"/>
          <w:pgMar w:top="993" w:right="426" w:bottom="1701" w:left="1276" w:header="1134" w:footer="284" w:gutter="0"/>
          <w:cols w:space="708"/>
          <w:docGrid w:linePitch="360"/>
        </w:sectPr>
      </w:pPr>
    </w:p>
    <w:p w14:paraId="18D704BE" w14:textId="77777777" w:rsidR="004B58E6" w:rsidRDefault="004B58E6" w:rsidP="00261E25">
      <w:pPr>
        <w:pStyle w:val="Heading2"/>
      </w:pPr>
      <w:bookmarkStart w:id="86" w:name="_Toc412798920"/>
      <w:r>
        <w:t>Contribution plan costs above the cap</w:t>
      </w:r>
      <w:bookmarkEnd w:id="86"/>
    </w:p>
    <w:p w14:paraId="2B0668F8" w14:textId="77777777" w:rsidR="00371ACD" w:rsidRPr="00371ACD" w:rsidRDefault="00371ACD" w:rsidP="00371ACD">
      <w:pPr>
        <w:pStyle w:val="BodyText"/>
        <w:rPr>
          <w:color w:val="548DD4" w:themeColor="text2" w:themeTint="99"/>
        </w:rPr>
      </w:pPr>
      <w:r w:rsidRPr="00371ACD">
        <w:rPr>
          <w:color w:val="548DD4" w:themeColor="text2" w:themeTint="99"/>
        </w:rPr>
        <w:t>You should complete this section if the special variation seeks funding for contributions plan costs above the development contributions cap. Otherwise, leave this section blank.</w:t>
      </w:r>
    </w:p>
    <w:p w14:paraId="2FF5B54E" w14:textId="77777777" w:rsidR="00371ACD" w:rsidRPr="00371ACD" w:rsidRDefault="00371ACD" w:rsidP="00371ACD">
      <w:pPr>
        <w:pStyle w:val="BodyText"/>
        <w:rPr>
          <w:color w:val="548DD4" w:themeColor="text2" w:themeTint="99"/>
        </w:rPr>
      </w:pPr>
      <w:r w:rsidRPr="00371ACD">
        <w:rPr>
          <w:color w:val="548DD4" w:themeColor="text2" w:themeTint="99"/>
        </w:rPr>
        <w:t>Please explain how the council has established the need for a special variation to meet the shortfall in development contributions.</w:t>
      </w:r>
    </w:p>
    <w:p w14:paraId="0039488F" w14:textId="77777777" w:rsidR="00371ACD" w:rsidRPr="00371ACD" w:rsidRDefault="00371ACD" w:rsidP="00371ACD">
      <w:pPr>
        <w:pStyle w:val="BoxText"/>
        <w:rPr>
          <w:bCs/>
          <w:color w:val="548DD4" w:themeColor="text2" w:themeTint="99"/>
        </w:rPr>
      </w:pPr>
      <w:r w:rsidRPr="00371ACD">
        <w:rPr>
          <w:rStyle w:val="BodyTextChar"/>
          <w:color w:val="548DD4" w:themeColor="text2" w:themeTint="99"/>
        </w:rPr>
        <w:t>For costs above the cap in contributions plans, a council must provide:</w:t>
      </w:r>
      <w:r w:rsidRPr="00371ACD">
        <w:rPr>
          <w:rStyle w:val="FootnoteReference"/>
          <w:color w:val="548DD4" w:themeColor="text2" w:themeTint="99"/>
        </w:rPr>
        <w:footnoteReference w:id="5"/>
      </w:r>
    </w:p>
    <w:p w14:paraId="30A1338C" w14:textId="77777777" w:rsidR="00371ACD" w:rsidRPr="00371ACD" w:rsidRDefault="00371ACD" w:rsidP="00371ACD">
      <w:pPr>
        <w:pStyle w:val="ListBullet"/>
        <w:rPr>
          <w:color w:val="548DD4" w:themeColor="text2" w:themeTint="99"/>
        </w:rPr>
      </w:pPr>
      <w:r w:rsidRPr="00371ACD">
        <w:rPr>
          <w:color w:val="548DD4" w:themeColor="text2" w:themeTint="99"/>
        </w:rPr>
        <w:t>a copy of the council’s section 94 contributions plan</w:t>
      </w:r>
    </w:p>
    <w:p w14:paraId="33435209" w14:textId="77777777" w:rsidR="00371ACD" w:rsidRPr="00371ACD" w:rsidRDefault="00371ACD" w:rsidP="00371ACD">
      <w:pPr>
        <w:pStyle w:val="ListBullet"/>
        <w:rPr>
          <w:color w:val="548DD4" w:themeColor="text2" w:themeTint="99"/>
        </w:rPr>
      </w:pPr>
      <w:r w:rsidRPr="00371ACD">
        <w:rPr>
          <w:color w:val="548DD4" w:themeColor="text2" w:themeTint="99"/>
        </w:rPr>
        <w:t>a copy of the Minister for Planning’s response to IPART’s review and details of how the council has subsequently amended the contributions plan</w:t>
      </w:r>
    </w:p>
    <w:p w14:paraId="38AEF2C5" w14:textId="77777777" w:rsidR="00371ACD" w:rsidRPr="00371ACD" w:rsidRDefault="00371ACD" w:rsidP="00371ACD">
      <w:pPr>
        <w:pStyle w:val="ListBullet"/>
        <w:rPr>
          <w:color w:val="548DD4" w:themeColor="text2" w:themeTint="99"/>
        </w:rPr>
      </w:pPr>
      <w:r w:rsidRPr="00371ACD">
        <w:rPr>
          <w:color w:val="548DD4" w:themeColor="text2" w:themeTint="99"/>
        </w:rPr>
        <w:t>details of any other funding sources that the council is proposing to use</w:t>
      </w:r>
    </w:p>
    <w:p w14:paraId="2AA43EB1" w14:textId="600CD668" w:rsidR="00371ACD" w:rsidRPr="00371ACD" w:rsidRDefault="00371ACD" w:rsidP="00371ACD">
      <w:pPr>
        <w:pStyle w:val="ListBullet"/>
        <w:rPr>
          <w:color w:val="548DD4" w:themeColor="text2" w:themeTint="99"/>
        </w:rPr>
      </w:pPr>
      <w:r w:rsidRPr="00371ACD">
        <w:rPr>
          <w:color w:val="548DD4" w:themeColor="text2" w:themeTint="99"/>
        </w:rPr>
        <w:t>any reference to the proposed contributions (which were previously to be funded by developers) in the council’s planning documents (</w:t>
      </w:r>
      <w:r w:rsidR="00165AB2" w:rsidRPr="00371ACD">
        <w:rPr>
          <w:color w:val="548DD4" w:themeColor="text2" w:themeTint="99"/>
        </w:rPr>
        <w:t>e.g.</w:t>
      </w:r>
      <w:r w:rsidRPr="00371ACD">
        <w:rPr>
          <w:color w:val="548DD4" w:themeColor="text2" w:themeTint="99"/>
        </w:rPr>
        <w:t>, LTFP and Asset Management Plan (AMP).</w:t>
      </w:r>
    </w:p>
    <w:p w14:paraId="3CBCEC73" w14:textId="77777777" w:rsidR="00371ACD" w:rsidRDefault="00371ACD" w:rsidP="00177D45">
      <w:pPr>
        <w:pStyle w:val="Default"/>
        <w:jc w:val="both"/>
        <w:rPr>
          <w:sz w:val="20"/>
          <w:szCs w:val="20"/>
        </w:rPr>
      </w:pPr>
    </w:p>
    <w:p w14:paraId="36C7D36A" w14:textId="77777777" w:rsidR="00371ACD" w:rsidRDefault="00371ACD" w:rsidP="00177D45">
      <w:pPr>
        <w:pStyle w:val="Default"/>
        <w:jc w:val="both"/>
        <w:rPr>
          <w:sz w:val="20"/>
          <w:szCs w:val="20"/>
        </w:rPr>
      </w:pPr>
    </w:p>
    <w:p w14:paraId="5660C36D" w14:textId="3AF629A8" w:rsidR="00177D45" w:rsidRDefault="00371ACD" w:rsidP="00177D45">
      <w:pPr>
        <w:pStyle w:val="Default"/>
        <w:jc w:val="both"/>
        <w:rPr>
          <w:sz w:val="20"/>
          <w:szCs w:val="20"/>
        </w:rPr>
      </w:pPr>
      <w:r>
        <w:rPr>
          <w:sz w:val="20"/>
          <w:szCs w:val="20"/>
        </w:rPr>
        <w:t xml:space="preserve">The Council is not seeking funding for contributions plan costs above the development contributions cap. </w:t>
      </w:r>
    </w:p>
    <w:p w14:paraId="5A5E3640" w14:textId="77777777" w:rsidR="00D14322" w:rsidRDefault="00D14322" w:rsidP="00177D45">
      <w:pPr>
        <w:pStyle w:val="Default"/>
        <w:jc w:val="both"/>
        <w:rPr>
          <w:sz w:val="20"/>
          <w:szCs w:val="20"/>
        </w:rPr>
      </w:pPr>
    </w:p>
    <w:p w14:paraId="149FA257" w14:textId="5A6258CB" w:rsidR="00D14322" w:rsidRPr="006C00C0" w:rsidRDefault="00FA0E8D" w:rsidP="00D14322">
      <w:pPr>
        <w:pStyle w:val="BodyText"/>
        <w:rPr>
          <w:rFonts w:ascii="Arial" w:hAnsi="Arial" w:cs="Arial"/>
          <w:b/>
          <w:sz w:val="18"/>
          <w:szCs w:val="18"/>
        </w:rPr>
      </w:pPr>
      <w:r w:rsidRPr="006C00C0">
        <w:rPr>
          <w:rFonts w:ascii="Arial" w:hAnsi="Arial" w:cs="Arial"/>
          <w:b/>
          <w:sz w:val="18"/>
          <w:szCs w:val="18"/>
        </w:rPr>
        <w:t>Table 3.20</w:t>
      </w:r>
      <w:r w:rsidR="00D14322" w:rsidRPr="006C00C0">
        <w:rPr>
          <w:rFonts w:ascii="Arial" w:hAnsi="Arial" w:cs="Arial"/>
          <w:b/>
          <w:sz w:val="18"/>
          <w:szCs w:val="18"/>
        </w:rPr>
        <w:t>:</w:t>
      </w:r>
      <w:r w:rsidR="006C00C0">
        <w:rPr>
          <w:rFonts w:ascii="Arial" w:hAnsi="Arial" w:cs="Arial"/>
          <w:b/>
          <w:sz w:val="18"/>
          <w:szCs w:val="18"/>
        </w:rPr>
        <w:t xml:space="preserve"> </w:t>
      </w:r>
      <w:r w:rsidR="00D14322" w:rsidRPr="006C00C0">
        <w:rPr>
          <w:rFonts w:ascii="Arial" w:hAnsi="Arial" w:cs="Arial"/>
          <w:b/>
          <w:sz w:val="18"/>
          <w:szCs w:val="18"/>
        </w:rPr>
        <w:t xml:space="preserve"> Document Reference for Section 3</w:t>
      </w:r>
    </w:p>
    <w:tbl>
      <w:tblPr>
        <w:tblStyle w:val="TableGrid"/>
        <w:tblW w:w="0" w:type="auto"/>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418"/>
        <w:gridCol w:w="7087"/>
      </w:tblGrid>
      <w:tr w:rsidR="00D14322" w:rsidRPr="006C00C0" w14:paraId="4CED7C84" w14:textId="77777777" w:rsidTr="004A2652">
        <w:trPr>
          <w:trHeight w:val="454"/>
        </w:trPr>
        <w:tc>
          <w:tcPr>
            <w:tcW w:w="1418" w:type="dxa"/>
            <w:shd w:val="clear" w:color="auto" w:fill="365F91" w:themeFill="accent1" w:themeFillShade="BF"/>
            <w:vAlign w:val="center"/>
          </w:tcPr>
          <w:p w14:paraId="4B238F70" w14:textId="77777777" w:rsidR="00D14322" w:rsidRPr="006C00C0" w:rsidRDefault="00D14322" w:rsidP="004A2652">
            <w:pPr>
              <w:pStyle w:val="Default"/>
              <w:spacing w:before="40" w:after="40"/>
              <w:jc w:val="center"/>
              <w:rPr>
                <w:b/>
                <w:color w:val="FFFFFF" w:themeColor="background1"/>
                <w:sz w:val="20"/>
                <w:szCs w:val="20"/>
              </w:rPr>
            </w:pPr>
            <w:r w:rsidRPr="006C00C0">
              <w:rPr>
                <w:b/>
                <w:color w:val="FFFFFF" w:themeColor="background1"/>
                <w:sz w:val="20"/>
                <w:szCs w:val="20"/>
              </w:rPr>
              <w:t>Attachment No.</w:t>
            </w:r>
          </w:p>
        </w:tc>
        <w:tc>
          <w:tcPr>
            <w:tcW w:w="7087" w:type="dxa"/>
            <w:shd w:val="clear" w:color="auto" w:fill="365F91" w:themeFill="accent1" w:themeFillShade="BF"/>
            <w:vAlign w:val="center"/>
          </w:tcPr>
          <w:p w14:paraId="2E429F7E" w14:textId="77777777" w:rsidR="00D14322" w:rsidRPr="006C00C0" w:rsidRDefault="00D14322" w:rsidP="004A2652">
            <w:pPr>
              <w:pStyle w:val="Default"/>
              <w:spacing w:before="40" w:after="40"/>
              <w:jc w:val="center"/>
              <w:rPr>
                <w:b/>
                <w:color w:val="FFFFFF" w:themeColor="background1"/>
                <w:sz w:val="20"/>
                <w:szCs w:val="20"/>
              </w:rPr>
            </w:pPr>
            <w:r w:rsidRPr="006C00C0">
              <w:rPr>
                <w:b/>
                <w:color w:val="FFFFFF" w:themeColor="background1"/>
                <w:sz w:val="20"/>
                <w:szCs w:val="20"/>
              </w:rPr>
              <w:t>Document</w:t>
            </w:r>
          </w:p>
        </w:tc>
      </w:tr>
      <w:tr w:rsidR="00EB0003" w:rsidRPr="006C00C0" w14:paraId="30BE4ED3" w14:textId="77777777" w:rsidTr="004A2652">
        <w:tc>
          <w:tcPr>
            <w:tcW w:w="1418" w:type="dxa"/>
            <w:shd w:val="clear" w:color="auto" w:fill="DBE5F1" w:themeFill="accent1" w:themeFillTint="33"/>
            <w:vAlign w:val="center"/>
          </w:tcPr>
          <w:p w14:paraId="684CCDEC" w14:textId="0DD77CF7" w:rsidR="00EB0003" w:rsidRPr="006C00C0" w:rsidRDefault="00EB0003" w:rsidP="004A2652">
            <w:pPr>
              <w:pStyle w:val="Default"/>
              <w:spacing w:before="40" w:after="40"/>
              <w:jc w:val="center"/>
              <w:rPr>
                <w:sz w:val="20"/>
                <w:szCs w:val="20"/>
              </w:rPr>
            </w:pPr>
            <w:r w:rsidRPr="006C00C0">
              <w:rPr>
                <w:sz w:val="20"/>
                <w:szCs w:val="20"/>
              </w:rPr>
              <w:t>1</w:t>
            </w:r>
          </w:p>
        </w:tc>
        <w:tc>
          <w:tcPr>
            <w:tcW w:w="7087" w:type="dxa"/>
            <w:shd w:val="clear" w:color="auto" w:fill="DBE5F1" w:themeFill="accent1" w:themeFillTint="33"/>
            <w:vAlign w:val="center"/>
          </w:tcPr>
          <w:p w14:paraId="6584BFC8" w14:textId="43B40F1E" w:rsidR="00EB0003" w:rsidRPr="006C00C0" w:rsidRDefault="00EB0003" w:rsidP="004A2652">
            <w:pPr>
              <w:pStyle w:val="Default"/>
              <w:spacing w:before="40" w:after="40"/>
              <w:rPr>
                <w:sz w:val="20"/>
                <w:szCs w:val="20"/>
              </w:rPr>
            </w:pPr>
            <w:r w:rsidRPr="006C00C0">
              <w:rPr>
                <w:sz w:val="20"/>
                <w:szCs w:val="20"/>
              </w:rPr>
              <w:t>Relevant extracts from Community Strategic Plan</w:t>
            </w:r>
          </w:p>
        </w:tc>
      </w:tr>
      <w:tr w:rsidR="00EB0003" w:rsidRPr="006C00C0" w14:paraId="4A1E639E" w14:textId="77777777" w:rsidTr="004A2652">
        <w:tc>
          <w:tcPr>
            <w:tcW w:w="1418" w:type="dxa"/>
            <w:shd w:val="clear" w:color="auto" w:fill="DBE5F1" w:themeFill="accent1" w:themeFillTint="33"/>
            <w:vAlign w:val="center"/>
          </w:tcPr>
          <w:p w14:paraId="0FE2AF1A" w14:textId="5204665A" w:rsidR="00EB0003" w:rsidRPr="006C00C0" w:rsidRDefault="00EB0003" w:rsidP="004A2652">
            <w:pPr>
              <w:pStyle w:val="Default"/>
              <w:spacing w:before="40" w:after="40"/>
              <w:jc w:val="center"/>
              <w:rPr>
                <w:sz w:val="20"/>
                <w:szCs w:val="20"/>
              </w:rPr>
            </w:pPr>
            <w:r w:rsidRPr="006C00C0">
              <w:rPr>
                <w:sz w:val="20"/>
                <w:szCs w:val="20"/>
              </w:rPr>
              <w:t>3</w:t>
            </w:r>
          </w:p>
        </w:tc>
        <w:tc>
          <w:tcPr>
            <w:tcW w:w="7087" w:type="dxa"/>
            <w:shd w:val="clear" w:color="auto" w:fill="DBE5F1" w:themeFill="accent1" w:themeFillTint="33"/>
            <w:vAlign w:val="center"/>
          </w:tcPr>
          <w:p w14:paraId="06641FA3" w14:textId="4D22D84C" w:rsidR="00EB0003" w:rsidRPr="006C00C0" w:rsidRDefault="00EB0003" w:rsidP="004A2652">
            <w:pPr>
              <w:pStyle w:val="Default"/>
              <w:spacing w:before="40" w:after="40"/>
              <w:rPr>
                <w:sz w:val="20"/>
                <w:szCs w:val="20"/>
              </w:rPr>
            </w:pPr>
            <w:r w:rsidRPr="006C00C0">
              <w:rPr>
                <w:sz w:val="20"/>
                <w:szCs w:val="20"/>
              </w:rPr>
              <w:t>Long Term Financial Plan 2014-2024</w:t>
            </w:r>
          </w:p>
        </w:tc>
      </w:tr>
      <w:tr w:rsidR="00520202" w:rsidRPr="006C00C0" w14:paraId="4EB4064D" w14:textId="77777777" w:rsidTr="004A2652">
        <w:tc>
          <w:tcPr>
            <w:tcW w:w="1418" w:type="dxa"/>
            <w:shd w:val="clear" w:color="auto" w:fill="DBE5F1" w:themeFill="accent1" w:themeFillTint="33"/>
            <w:vAlign w:val="center"/>
          </w:tcPr>
          <w:p w14:paraId="2AB0A208" w14:textId="6B6291F6" w:rsidR="00520202" w:rsidRPr="006C00C0" w:rsidRDefault="00520202" w:rsidP="004A2652">
            <w:pPr>
              <w:pStyle w:val="Default"/>
              <w:spacing w:before="40" w:after="40"/>
              <w:jc w:val="center"/>
              <w:rPr>
                <w:sz w:val="20"/>
                <w:szCs w:val="20"/>
              </w:rPr>
            </w:pPr>
            <w:r w:rsidRPr="006C00C0">
              <w:rPr>
                <w:sz w:val="20"/>
                <w:szCs w:val="20"/>
              </w:rPr>
              <w:t>4</w:t>
            </w:r>
          </w:p>
        </w:tc>
        <w:tc>
          <w:tcPr>
            <w:tcW w:w="7087" w:type="dxa"/>
            <w:shd w:val="clear" w:color="auto" w:fill="DBE5F1" w:themeFill="accent1" w:themeFillTint="33"/>
            <w:vAlign w:val="center"/>
          </w:tcPr>
          <w:p w14:paraId="5544E28C" w14:textId="26DE3862" w:rsidR="00520202" w:rsidRPr="006C00C0" w:rsidRDefault="00520202" w:rsidP="004A2652">
            <w:pPr>
              <w:pStyle w:val="Default"/>
              <w:spacing w:before="40" w:after="40"/>
              <w:rPr>
                <w:sz w:val="20"/>
                <w:szCs w:val="20"/>
              </w:rPr>
            </w:pPr>
            <w:r w:rsidRPr="006C00C0">
              <w:rPr>
                <w:sz w:val="20"/>
                <w:szCs w:val="20"/>
              </w:rPr>
              <w:t>TCorp Financial Assessment Report on BMCC</w:t>
            </w:r>
          </w:p>
        </w:tc>
      </w:tr>
      <w:tr w:rsidR="00EB0003" w:rsidRPr="006C00C0" w14:paraId="7A3E25DA" w14:textId="77777777" w:rsidTr="004A2652">
        <w:tc>
          <w:tcPr>
            <w:tcW w:w="1418" w:type="dxa"/>
            <w:shd w:val="clear" w:color="auto" w:fill="DBE5F1" w:themeFill="accent1" w:themeFillTint="33"/>
            <w:vAlign w:val="center"/>
          </w:tcPr>
          <w:p w14:paraId="0AE06F1B" w14:textId="0A24EA09" w:rsidR="00EB0003" w:rsidRPr="006C00C0" w:rsidRDefault="00EB0003" w:rsidP="004A2652">
            <w:pPr>
              <w:pStyle w:val="Default"/>
              <w:spacing w:before="40" w:after="40"/>
              <w:jc w:val="center"/>
              <w:rPr>
                <w:sz w:val="20"/>
                <w:szCs w:val="20"/>
              </w:rPr>
            </w:pPr>
            <w:r w:rsidRPr="006C00C0">
              <w:rPr>
                <w:sz w:val="20"/>
                <w:szCs w:val="20"/>
              </w:rPr>
              <w:t>5b</w:t>
            </w:r>
          </w:p>
        </w:tc>
        <w:tc>
          <w:tcPr>
            <w:tcW w:w="7087" w:type="dxa"/>
            <w:shd w:val="clear" w:color="auto" w:fill="DBE5F1" w:themeFill="accent1" w:themeFillTint="33"/>
            <w:vAlign w:val="center"/>
          </w:tcPr>
          <w:p w14:paraId="5F1315F4" w14:textId="45330395" w:rsidR="00EB0003" w:rsidRPr="006C00C0" w:rsidRDefault="00EB0003" w:rsidP="004A2652">
            <w:pPr>
              <w:pStyle w:val="Default"/>
              <w:spacing w:before="40" w:after="40"/>
              <w:rPr>
                <w:sz w:val="20"/>
                <w:szCs w:val="20"/>
              </w:rPr>
            </w:pPr>
            <w:r w:rsidRPr="006C00C0">
              <w:rPr>
                <w:sz w:val="20"/>
                <w:szCs w:val="20"/>
              </w:rPr>
              <w:t>Community Engagement Materials</w:t>
            </w:r>
          </w:p>
        </w:tc>
      </w:tr>
      <w:tr w:rsidR="00585452" w:rsidRPr="006C00C0" w14:paraId="08D9F937" w14:textId="77777777" w:rsidTr="004A2652">
        <w:tc>
          <w:tcPr>
            <w:tcW w:w="1418" w:type="dxa"/>
            <w:shd w:val="clear" w:color="auto" w:fill="DBE5F1" w:themeFill="accent1" w:themeFillTint="33"/>
            <w:vAlign w:val="center"/>
          </w:tcPr>
          <w:p w14:paraId="68D50C75" w14:textId="2D3A76B8" w:rsidR="00585452" w:rsidRPr="006C00C0" w:rsidRDefault="00585452" w:rsidP="004A2652">
            <w:pPr>
              <w:pStyle w:val="Default"/>
              <w:spacing w:before="40" w:after="40"/>
              <w:jc w:val="center"/>
              <w:rPr>
                <w:sz w:val="20"/>
                <w:szCs w:val="20"/>
              </w:rPr>
            </w:pPr>
            <w:r>
              <w:rPr>
                <w:sz w:val="20"/>
                <w:szCs w:val="20"/>
              </w:rPr>
              <w:t>5c</w:t>
            </w:r>
          </w:p>
        </w:tc>
        <w:tc>
          <w:tcPr>
            <w:tcW w:w="7087" w:type="dxa"/>
            <w:shd w:val="clear" w:color="auto" w:fill="DBE5F1" w:themeFill="accent1" w:themeFillTint="33"/>
            <w:vAlign w:val="center"/>
          </w:tcPr>
          <w:p w14:paraId="504BD93E" w14:textId="380EC3F5" w:rsidR="00585452" w:rsidRPr="006C00C0" w:rsidRDefault="00B368C8" w:rsidP="004A2652">
            <w:pPr>
              <w:pStyle w:val="Default"/>
              <w:spacing w:before="40" w:after="40"/>
              <w:rPr>
                <w:sz w:val="20"/>
                <w:szCs w:val="20"/>
              </w:rPr>
            </w:pPr>
            <w:r>
              <w:rPr>
                <w:sz w:val="20"/>
                <w:szCs w:val="20"/>
              </w:rPr>
              <w:t>Community Workshop Presentation</w:t>
            </w:r>
          </w:p>
        </w:tc>
      </w:tr>
      <w:tr w:rsidR="00EB0003" w:rsidRPr="006C00C0" w14:paraId="75AAD460" w14:textId="77777777" w:rsidTr="004A2652">
        <w:tc>
          <w:tcPr>
            <w:tcW w:w="1418" w:type="dxa"/>
            <w:shd w:val="clear" w:color="auto" w:fill="DBE5F1" w:themeFill="accent1" w:themeFillTint="33"/>
            <w:vAlign w:val="center"/>
          </w:tcPr>
          <w:p w14:paraId="3D3F11D5" w14:textId="751BF3E2" w:rsidR="00EB0003" w:rsidRPr="006C00C0" w:rsidRDefault="00EB0003" w:rsidP="004A2652">
            <w:pPr>
              <w:pStyle w:val="Default"/>
              <w:spacing w:before="40" w:after="40"/>
              <w:jc w:val="center"/>
              <w:rPr>
                <w:sz w:val="20"/>
                <w:szCs w:val="20"/>
              </w:rPr>
            </w:pPr>
            <w:r w:rsidRPr="006C00C0">
              <w:rPr>
                <w:sz w:val="20"/>
                <w:szCs w:val="20"/>
              </w:rPr>
              <w:t>6a</w:t>
            </w:r>
          </w:p>
        </w:tc>
        <w:tc>
          <w:tcPr>
            <w:tcW w:w="7087" w:type="dxa"/>
            <w:shd w:val="clear" w:color="auto" w:fill="DBE5F1" w:themeFill="accent1" w:themeFillTint="33"/>
            <w:vAlign w:val="center"/>
          </w:tcPr>
          <w:p w14:paraId="379BF8F6" w14:textId="4C681B57" w:rsidR="00EB0003" w:rsidRPr="006C00C0" w:rsidRDefault="00EB0003" w:rsidP="004A2652">
            <w:pPr>
              <w:pStyle w:val="Default"/>
              <w:spacing w:before="40" w:after="40"/>
              <w:rPr>
                <w:sz w:val="20"/>
                <w:szCs w:val="20"/>
              </w:rPr>
            </w:pPr>
            <w:r w:rsidRPr="006C00C0">
              <w:rPr>
                <w:sz w:val="20"/>
                <w:szCs w:val="20"/>
              </w:rPr>
              <w:t xml:space="preserve">Outcomes of Resourcing Our Future Community Consultation </w:t>
            </w:r>
          </w:p>
        </w:tc>
      </w:tr>
      <w:tr w:rsidR="00EB0003" w:rsidRPr="006C00C0" w14:paraId="3CA82D7F" w14:textId="77777777" w:rsidTr="004A2652">
        <w:tc>
          <w:tcPr>
            <w:tcW w:w="1418" w:type="dxa"/>
            <w:shd w:val="clear" w:color="auto" w:fill="DBE5F1" w:themeFill="accent1" w:themeFillTint="33"/>
            <w:vAlign w:val="center"/>
          </w:tcPr>
          <w:p w14:paraId="35A24D01" w14:textId="50EDA435" w:rsidR="00EB0003" w:rsidRPr="006C00C0" w:rsidRDefault="00EB0003" w:rsidP="004A2652">
            <w:pPr>
              <w:pStyle w:val="Default"/>
              <w:spacing w:before="40" w:after="40"/>
              <w:jc w:val="center"/>
              <w:rPr>
                <w:sz w:val="20"/>
                <w:szCs w:val="20"/>
              </w:rPr>
            </w:pPr>
            <w:r w:rsidRPr="006C00C0">
              <w:rPr>
                <w:sz w:val="20"/>
                <w:szCs w:val="20"/>
              </w:rPr>
              <w:t>6b</w:t>
            </w:r>
          </w:p>
        </w:tc>
        <w:tc>
          <w:tcPr>
            <w:tcW w:w="7087" w:type="dxa"/>
            <w:shd w:val="clear" w:color="auto" w:fill="DBE5F1" w:themeFill="accent1" w:themeFillTint="33"/>
            <w:vAlign w:val="center"/>
          </w:tcPr>
          <w:p w14:paraId="2E70E905" w14:textId="47C169A8" w:rsidR="00EB0003" w:rsidRPr="006C00C0" w:rsidRDefault="00EB0003" w:rsidP="004A2652">
            <w:pPr>
              <w:pStyle w:val="Default"/>
              <w:spacing w:before="40" w:after="40"/>
              <w:rPr>
                <w:sz w:val="20"/>
                <w:szCs w:val="20"/>
              </w:rPr>
            </w:pPr>
            <w:r w:rsidRPr="006C00C0">
              <w:rPr>
                <w:sz w:val="20"/>
                <w:szCs w:val="20"/>
              </w:rPr>
              <w:t>Report on Resourcing our Future Telephone survey</w:t>
            </w:r>
          </w:p>
        </w:tc>
      </w:tr>
      <w:tr w:rsidR="00EB0003" w:rsidRPr="006C00C0" w14:paraId="079DF674" w14:textId="77777777" w:rsidTr="004A2652">
        <w:tc>
          <w:tcPr>
            <w:tcW w:w="1418" w:type="dxa"/>
            <w:shd w:val="clear" w:color="auto" w:fill="DBE5F1" w:themeFill="accent1" w:themeFillTint="33"/>
            <w:vAlign w:val="center"/>
          </w:tcPr>
          <w:p w14:paraId="1AE64252" w14:textId="61FF3B27" w:rsidR="00EB0003" w:rsidRPr="006C00C0" w:rsidRDefault="00EB0003" w:rsidP="004A2652">
            <w:pPr>
              <w:pStyle w:val="Default"/>
              <w:spacing w:before="40" w:after="40"/>
              <w:jc w:val="center"/>
              <w:rPr>
                <w:sz w:val="20"/>
                <w:szCs w:val="20"/>
              </w:rPr>
            </w:pPr>
            <w:r w:rsidRPr="006C00C0">
              <w:rPr>
                <w:sz w:val="20"/>
                <w:szCs w:val="20"/>
              </w:rPr>
              <w:t>6c</w:t>
            </w:r>
          </w:p>
        </w:tc>
        <w:tc>
          <w:tcPr>
            <w:tcW w:w="7087" w:type="dxa"/>
            <w:shd w:val="clear" w:color="auto" w:fill="DBE5F1" w:themeFill="accent1" w:themeFillTint="33"/>
            <w:vAlign w:val="center"/>
          </w:tcPr>
          <w:p w14:paraId="0E8B0DD2" w14:textId="178D414E" w:rsidR="00EB0003" w:rsidRPr="006C00C0" w:rsidRDefault="00EB0003" w:rsidP="004A2652">
            <w:pPr>
              <w:pStyle w:val="Default"/>
              <w:spacing w:before="40" w:after="40"/>
              <w:rPr>
                <w:sz w:val="20"/>
                <w:szCs w:val="20"/>
              </w:rPr>
            </w:pPr>
            <w:r w:rsidRPr="006C00C0">
              <w:rPr>
                <w:sz w:val="20"/>
                <w:szCs w:val="20"/>
              </w:rPr>
              <w:t xml:space="preserve">Report on Resourcing Our Future Area Community Workshops </w:t>
            </w:r>
          </w:p>
        </w:tc>
      </w:tr>
      <w:tr w:rsidR="00EB0003" w:rsidRPr="006C00C0" w14:paraId="0ADAFE73" w14:textId="77777777" w:rsidTr="004A2652">
        <w:tc>
          <w:tcPr>
            <w:tcW w:w="1418" w:type="dxa"/>
            <w:shd w:val="clear" w:color="auto" w:fill="DBE5F1" w:themeFill="accent1" w:themeFillTint="33"/>
            <w:vAlign w:val="center"/>
          </w:tcPr>
          <w:p w14:paraId="07924603" w14:textId="77777777" w:rsidR="00EB0003" w:rsidRPr="006C00C0" w:rsidRDefault="00EB0003" w:rsidP="004A2652">
            <w:pPr>
              <w:pStyle w:val="Default"/>
              <w:spacing w:before="40" w:after="40"/>
              <w:jc w:val="center"/>
              <w:rPr>
                <w:sz w:val="20"/>
                <w:szCs w:val="20"/>
              </w:rPr>
            </w:pPr>
            <w:r w:rsidRPr="006C00C0">
              <w:rPr>
                <w:sz w:val="20"/>
                <w:szCs w:val="20"/>
              </w:rPr>
              <w:t>10</w:t>
            </w:r>
          </w:p>
        </w:tc>
        <w:tc>
          <w:tcPr>
            <w:tcW w:w="7087" w:type="dxa"/>
            <w:shd w:val="clear" w:color="auto" w:fill="DBE5F1" w:themeFill="accent1" w:themeFillTint="33"/>
            <w:vAlign w:val="center"/>
          </w:tcPr>
          <w:p w14:paraId="11948C67" w14:textId="77777777" w:rsidR="00EB0003" w:rsidRPr="006C00C0" w:rsidRDefault="00EB0003" w:rsidP="004A2652">
            <w:pPr>
              <w:pStyle w:val="Default"/>
              <w:spacing w:before="40" w:after="40"/>
              <w:rPr>
                <w:sz w:val="20"/>
                <w:szCs w:val="20"/>
              </w:rPr>
            </w:pPr>
            <w:r w:rsidRPr="006C00C0">
              <w:rPr>
                <w:bCs/>
                <w:sz w:val="20"/>
                <w:szCs w:val="20"/>
              </w:rPr>
              <w:t xml:space="preserve">Service Dashboards: Summary Service &amp; Asset Plans </w:t>
            </w:r>
          </w:p>
        </w:tc>
      </w:tr>
      <w:tr w:rsidR="00EB0003" w:rsidRPr="006C00C0" w14:paraId="628C3CDB" w14:textId="77777777" w:rsidTr="004A2652">
        <w:tc>
          <w:tcPr>
            <w:tcW w:w="1418" w:type="dxa"/>
            <w:shd w:val="clear" w:color="auto" w:fill="DBE5F1" w:themeFill="accent1" w:themeFillTint="33"/>
            <w:vAlign w:val="center"/>
          </w:tcPr>
          <w:p w14:paraId="0E6029A4" w14:textId="77777777" w:rsidR="00EB0003" w:rsidRPr="006C00C0" w:rsidRDefault="00EB0003" w:rsidP="004A2652">
            <w:pPr>
              <w:pStyle w:val="Default"/>
              <w:spacing w:before="40" w:after="40"/>
              <w:jc w:val="center"/>
              <w:rPr>
                <w:sz w:val="20"/>
                <w:szCs w:val="20"/>
              </w:rPr>
            </w:pPr>
            <w:r w:rsidRPr="006C00C0">
              <w:rPr>
                <w:sz w:val="20"/>
                <w:szCs w:val="20"/>
              </w:rPr>
              <w:t>13</w:t>
            </w:r>
          </w:p>
        </w:tc>
        <w:tc>
          <w:tcPr>
            <w:tcW w:w="7087" w:type="dxa"/>
            <w:shd w:val="clear" w:color="auto" w:fill="DBE5F1" w:themeFill="accent1" w:themeFillTint="33"/>
            <w:vAlign w:val="center"/>
          </w:tcPr>
          <w:p w14:paraId="1A2A4455" w14:textId="77777777" w:rsidR="00EB0003" w:rsidRPr="006C00C0" w:rsidRDefault="00EB0003" w:rsidP="004A2652">
            <w:pPr>
              <w:pStyle w:val="Default"/>
              <w:spacing w:before="40" w:after="40"/>
              <w:rPr>
                <w:sz w:val="20"/>
                <w:szCs w:val="20"/>
              </w:rPr>
            </w:pPr>
            <w:r w:rsidRPr="006C00C0">
              <w:rPr>
                <w:sz w:val="20"/>
                <w:szCs w:val="20"/>
              </w:rPr>
              <w:t>Resourcing Strategy 2014-2024</w:t>
            </w:r>
          </w:p>
        </w:tc>
      </w:tr>
      <w:tr w:rsidR="00EB0003" w:rsidRPr="006C00C0" w14:paraId="30CC7BAF" w14:textId="77777777" w:rsidTr="004A2652">
        <w:tc>
          <w:tcPr>
            <w:tcW w:w="1418" w:type="dxa"/>
            <w:shd w:val="clear" w:color="auto" w:fill="DBE5F1" w:themeFill="accent1" w:themeFillTint="33"/>
            <w:vAlign w:val="center"/>
          </w:tcPr>
          <w:p w14:paraId="39077E71" w14:textId="77777777" w:rsidR="00EB0003" w:rsidRPr="006C00C0" w:rsidRDefault="00EB0003" w:rsidP="004A2652">
            <w:pPr>
              <w:pStyle w:val="Default"/>
              <w:spacing w:before="40" w:after="40"/>
              <w:jc w:val="center"/>
              <w:rPr>
                <w:sz w:val="20"/>
                <w:szCs w:val="20"/>
              </w:rPr>
            </w:pPr>
            <w:r w:rsidRPr="006C00C0">
              <w:rPr>
                <w:sz w:val="20"/>
                <w:szCs w:val="20"/>
              </w:rPr>
              <w:t>15</w:t>
            </w:r>
          </w:p>
        </w:tc>
        <w:tc>
          <w:tcPr>
            <w:tcW w:w="7087" w:type="dxa"/>
            <w:shd w:val="clear" w:color="auto" w:fill="DBE5F1" w:themeFill="accent1" w:themeFillTint="33"/>
            <w:vAlign w:val="center"/>
          </w:tcPr>
          <w:p w14:paraId="6F8A8991" w14:textId="77777777" w:rsidR="00EB0003" w:rsidRPr="006C00C0" w:rsidRDefault="00EB0003" w:rsidP="004A2652">
            <w:pPr>
              <w:pStyle w:val="Default"/>
              <w:spacing w:before="40" w:after="40"/>
              <w:rPr>
                <w:sz w:val="20"/>
                <w:szCs w:val="20"/>
              </w:rPr>
            </w:pPr>
            <w:r w:rsidRPr="006C00C0">
              <w:rPr>
                <w:sz w:val="20"/>
                <w:szCs w:val="20"/>
              </w:rPr>
              <w:t>Community survey Results 2009-2014</w:t>
            </w:r>
          </w:p>
        </w:tc>
      </w:tr>
      <w:tr w:rsidR="00B368C8" w:rsidRPr="006C00C0" w14:paraId="23FED2E9" w14:textId="77777777" w:rsidTr="004A2652">
        <w:tc>
          <w:tcPr>
            <w:tcW w:w="1418" w:type="dxa"/>
            <w:shd w:val="clear" w:color="auto" w:fill="DBE5F1" w:themeFill="accent1" w:themeFillTint="33"/>
            <w:vAlign w:val="center"/>
          </w:tcPr>
          <w:p w14:paraId="6C92687F" w14:textId="01EDF4A3" w:rsidR="00B368C8" w:rsidRPr="006C00C0" w:rsidRDefault="00B368C8" w:rsidP="004A2652">
            <w:pPr>
              <w:pStyle w:val="Default"/>
              <w:spacing w:before="40" w:after="40"/>
              <w:jc w:val="center"/>
              <w:rPr>
                <w:sz w:val="20"/>
                <w:szCs w:val="20"/>
              </w:rPr>
            </w:pPr>
            <w:r>
              <w:rPr>
                <w:sz w:val="20"/>
                <w:szCs w:val="20"/>
              </w:rPr>
              <w:t>Part A</w:t>
            </w:r>
          </w:p>
        </w:tc>
        <w:tc>
          <w:tcPr>
            <w:tcW w:w="7087" w:type="dxa"/>
            <w:shd w:val="clear" w:color="auto" w:fill="DBE5F1" w:themeFill="accent1" w:themeFillTint="33"/>
            <w:vAlign w:val="center"/>
          </w:tcPr>
          <w:p w14:paraId="47BFCBEB" w14:textId="20CEC957" w:rsidR="00B368C8" w:rsidRPr="006C00C0" w:rsidRDefault="00B368C8" w:rsidP="004A2652">
            <w:pPr>
              <w:pStyle w:val="Default"/>
              <w:spacing w:before="40" w:after="40"/>
              <w:rPr>
                <w:sz w:val="20"/>
                <w:szCs w:val="20"/>
              </w:rPr>
            </w:pPr>
            <w:r>
              <w:rPr>
                <w:sz w:val="20"/>
                <w:szCs w:val="20"/>
              </w:rPr>
              <w:t>Worksheet 5 and 7</w:t>
            </w:r>
          </w:p>
        </w:tc>
      </w:tr>
    </w:tbl>
    <w:p w14:paraId="2FB1B3BB" w14:textId="77777777" w:rsidR="00D14322" w:rsidRDefault="00D14322" w:rsidP="00D14322">
      <w:pPr>
        <w:rPr>
          <w:rFonts w:ascii="Arial" w:hAnsi="Arial" w:cs="Arial"/>
          <w:bCs/>
          <w:sz w:val="20"/>
          <w:szCs w:val="20"/>
        </w:rPr>
      </w:pPr>
    </w:p>
    <w:p w14:paraId="4F48C787" w14:textId="77777777" w:rsidR="00D14322" w:rsidRDefault="00D14322" w:rsidP="00D14322">
      <w:pPr>
        <w:rPr>
          <w:rFonts w:ascii="Arial" w:hAnsi="Arial" w:cs="Arial"/>
          <w:bCs/>
          <w:sz w:val="20"/>
          <w:szCs w:val="20"/>
        </w:rPr>
      </w:pPr>
    </w:p>
    <w:p w14:paraId="6B541B13" w14:textId="77777777" w:rsidR="00D14322" w:rsidRPr="00177D45" w:rsidRDefault="00D14322" w:rsidP="00177D45">
      <w:pPr>
        <w:pStyle w:val="Default"/>
        <w:jc w:val="both"/>
        <w:rPr>
          <w:sz w:val="20"/>
          <w:szCs w:val="20"/>
        </w:rPr>
      </w:pPr>
    </w:p>
    <w:p w14:paraId="18D704C9" w14:textId="77777777" w:rsidR="000F359C" w:rsidRDefault="000F359C" w:rsidP="006607B9">
      <w:pPr>
        <w:pStyle w:val="Heading1"/>
      </w:pPr>
      <w:bookmarkStart w:id="87" w:name="_Toc412798921"/>
      <w:r>
        <w:t>Assessment criterion 2: Community awareness and engagement</w:t>
      </w:r>
      <w:bookmarkEnd w:id="87"/>
    </w:p>
    <w:p w14:paraId="18D704CA" w14:textId="77777777" w:rsidR="00D60EA5" w:rsidRPr="00B27C78" w:rsidRDefault="00235528" w:rsidP="00D60EA5">
      <w:pPr>
        <w:pStyle w:val="BodyText"/>
        <w:spacing w:after="240"/>
        <w:rPr>
          <w:color w:val="548DD4" w:themeColor="text2" w:themeTint="99"/>
        </w:rPr>
      </w:pPr>
      <w:r w:rsidRPr="00B27C78">
        <w:rPr>
          <w:color w:val="548DD4" w:themeColor="text2" w:themeTint="99"/>
        </w:rPr>
        <w:t xml:space="preserve">Criterion 2 within </w:t>
      </w:r>
      <w:r w:rsidR="00D60EA5" w:rsidRPr="00B27C78">
        <w:rPr>
          <w:color w:val="548DD4" w:themeColor="text2" w:themeTint="99"/>
        </w:rPr>
        <w:t xml:space="preserve">the </w:t>
      </w:r>
      <w:r w:rsidR="00540000" w:rsidRPr="00B27C78">
        <w:rPr>
          <w:color w:val="548DD4" w:themeColor="text2" w:themeTint="99"/>
        </w:rPr>
        <w:t>O</w:t>
      </w:r>
      <w:r w:rsidR="00D60EA5" w:rsidRPr="00B27C78">
        <w:rPr>
          <w:color w:val="548DD4" w:themeColor="text2" w:themeTint="99"/>
        </w:rPr>
        <w:t>LG Guidelines is:</w:t>
      </w:r>
    </w:p>
    <w:p w14:paraId="18D704CB" w14:textId="77777777" w:rsidR="00D60EA5" w:rsidRPr="00B27C78" w:rsidRDefault="00D60EA5" w:rsidP="00B84AA8">
      <w:pPr>
        <w:pStyle w:val="Quote"/>
        <w:rPr>
          <w:rFonts w:ascii="Arial" w:hAnsi="Arial"/>
          <w:i/>
          <w:color w:val="548DD4" w:themeColor="text2" w:themeTint="99"/>
        </w:rPr>
      </w:pPr>
      <w:r w:rsidRPr="00B27C78">
        <w:rPr>
          <w:rFonts w:ascii="Arial" w:hAnsi="Arial"/>
          <w:i/>
          <w:color w:val="548DD4" w:themeColor="text2" w:themeTint="99"/>
        </w:rPr>
        <w:t xml:space="preserve">Evidence that the community is aware of the need for and extent of a rate rise.  </w:t>
      </w:r>
      <w:r w:rsidR="00D93423" w:rsidRPr="00B27C78">
        <w:rPr>
          <w:rFonts w:ascii="Arial" w:hAnsi="Arial"/>
          <w:i/>
          <w:color w:val="548DD4" w:themeColor="text2" w:themeTint="99"/>
        </w:rPr>
        <w:t>The</w:t>
      </w:r>
      <w:r w:rsidRPr="00B27C78">
        <w:rPr>
          <w:rFonts w:ascii="Arial" w:hAnsi="Arial"/>
          <w:i/>
          <w:color w:val="548DD4" w:themeColor="text2" w:themeTint="99"/>
        </w:rPr>
        <w:t xml:space="preserve"> IP&amp;R documentation </w:t>
      </w:r>
      <w:r w:rsidR="00D93423" w:rsidRPr="00B27C78">
        <w:rPr>
          <w:rFonts w:ascii="Arial" w:hAnsi="Arial"/>
          <w:i/>
          <w:color w:val="548DD4" w:themeColor="text2" w:themeTint="99"/>
        </w:rPr>
        <w:t xml:space="preserve">should clearly set out the extent of the General Fund rate rise under the special variation.  </w:t>
      </w:r>
      <w:r w:rsidR="00F029E1" w:rsidRPr="00B27C78">
        <w:rPr>
          <w:rFonts w:ascii="Arial" w:hAnsi="Arial"/>
          <w:i/>
          <w:color w:val="548DD4" w:themeColor="text2" w:themeTint="99"/>
        </w:rPr>
        <w:t>The council’s community engagement strategy for the special variation must demonstrate an appropriate variety of engagement methods to ensure an opportunity for community awareness and input to occur.</w:t>
      </w:r>
    </w:p>
    <w:p w14:paraId="29802C2C" w14:textId="77777777" w:rsidR="00BF5A29" w:rsidRDefault="004F1E3F" w:rsidP="00BF5A29">
      <w:pPr>
        <w:pStyle w:val="BodyText"/>
        <w:rPr>
          <w:color w:val="548DD4" w:themeColor="text2" w:themeTint="99"/>
        </w:rPr>
      </w:pPr>
      <w:r w:rsidRPr="00B27C78">
        <w:rPr>
          <w:color w:val="548DD4" w:themeColor="text2" w:themeTint="99"/>
        </w:rPr>
        <w:t>In responding to</w:t>
      </w:r>
      <w:r w:rsidR="00D60EA5" w:rsidRPr="00B27C78">
        <w:rPr>
          <w:color w:val="548DD4" w:themeColor="text2" w:themeTint="99"/>
        </w:rPr>
        <w:t xml:space="preserve"> this criterion, </w:t>
      </w:r>
      <w:r w:rsidR="00BF47D1" w:rsidRPr="00B27C78">
        <w:rPr>
          <w:color w:val="548DD4" w:themeColor="text2" w:themeTint="99"/>
        </w:rPr>
        <w:t xml:space="preserve">the </w:t>
      </w:r>
      <w:r w:rsidR="00D60EA5" w:rsidRPr="00B27C78">
        <w:rPr>
          <w:color w:val="548DD4" w:themeColor="text2" w:themeTint="99"/>
        </w:rPr>
        <w:t xml:space="preserve">council must provide evidence </w:t>
      </w:r>
      <w:r w:rsidR="00755A85" w:rsidRPr="00B27C78">
        <w:rPr>
          <w:color w:val="548DD4" w:themeColor="text2" w:themeTint="99"/>
        </w:rPr>
        <w:t>that</w:t>
      </w:r>
      <w:r w:rsidR="00D60EA5" w:rsidRPr="00B27C78">
        <w:rPr>
          <w:color w:val="548DD4" w:themeColor="text2" w:themeTint="99"/>
        </w:rPr>
        <w:t>:</w:t>
      </w:r>
      <w:r w:rsidR="0046776A" w:rsidRPr="00B27C78">
        <w:rPr>
          <w:rStyle w:val="FootnoteReference"/>
          <w:color w:val="548DD4" w:themeColor="text2" w:themeTint="99"/>
        </w:rPr>
        <w:t xml:space="preserve"> </w:t>
      </w:r>
    </w:p>
    <w:p w14:paraId="23134FC1" w14:textId="77777777" w:rsidR="00BF5A29" w:rsidRDefault="00755A85" w:rsidP="00A61A70">
      <w:pPr>
        <w:pStyle w:val="BodyText"/>
        <w:numPr>
          <w:ilvl w:val="0"/>
          <w:numId w:val="65"/>
        </w:numPr>
        <w:rPr>
          <w:color w:val="548DD4" w:themeColor="text2" w:themeTint="99"/>
        </w:rPr>
      </w:pPr>
      <w:r w:rsidRPr="00B27C78">
        <w:rPr>
          <w:color w:val="548DD4" w:themeColor="text2" w:themeTint="99"/>
        </w:rPr>
        <w:t xml:space="preserve">it has </w:t>
      </w:r>
      <w:r w:rsidR="00B84AA8" w:rsidRPr="00B27C78">
        <w:rPr>
          <w:color w:val="548DD4" w:themeColor="text2" w:themeTint="99"/>
        </w:rPr>
        <w:t>c</w:t>
      </w:r>
      <w:r w:rsidR="00D60EA5" w:rsidRPr="00B27C78">
        <w:rPr>
          <w:color w:val="548DD4" w:themeColor="text2" w:themeTint="99"/>
        </w:rPr>
        <w:t>onsulted and engaged the community about the special variation using a variety of engagement methods and that the community is aware of the need for, and extent of, the requested rate increases</w:t>
      </w:r>
    </w:p>
    <w:p w14:paraId="5622E17E" w14:textId="77777777" w:rsidR="00BF5A29" w:rsidRDefault="00755A85" w:rsidP="00A61A70">
      <w:pPr>
        <w:pStyle w:val="BodyText"/>
        <w:numPr>
          <w:ilvl w:val="0"/>
          <w:numId w:val="65"/>
        </w:numPr>
        <w:rPr>
          <w:color w:val="548DD4" w:themeColor="text2" w:themeTint="99"/>
        </w:rPr>
      </w:pPr>
      <w:r w:rsidRPr="00B27C78">
        <w:rPr>
          <w:color w:val="548DD4" w:themeColor="text2" w:themeTint="99"/>
        </w:rPr>
        <w:t xml:space="preserve">it </w:t>
      </w:r>
      <w:r w:rsidR="00B84AA8" w:rsidRPr="00B27C78">
        <w:rPr>
          <w:color w:val="548DD4" w:themeColor="text2" w:themeTint="99"/>
        </w:rPr>
        <w:t>p</w:t>
      </w:r>
      <w:r w:rsidR="00D60EA5" w:rsidRPr="00B27C78">
        <w:rPr>
          <w:color w:val="548DD4" w:themeColor="text2" w:themeTint="99"/>
        </w:rPr>
        <w:t>rovided opportunities for input and gathered input/feedback from the community about the proposal</w:t>
      </w:r>
    </w:p>
    <w:p w14:paraId="18D704CF" w14:textId="133193E4" w:rsidR="00D60EA5" w:rsidRPr="00B27C78" w:rsidRDefault="009E7E19" w:rsidP="00A61A70">
      <w:pPr>
        <w:pStyle w:val="BodyText"/>
        <w:numPr>
          <w:ilvl w:val="0"/>
          <w:numId w:val="65"/>
        </w:numPr>
        <w:rPr>
          <w:color w:val="548DD4" w:themeColor="text2" w:themeTint="99"/>
        </w:rPr>
      </w:pPr>
      <w:r w:rsidRPr="00B27C78">
        <w:rPr>
          <w:color w:val="548DD4" w:themeColor="text2" w:themeTint="99"/>
        </w:rPr>
        <w:t>the IP&amp;R documents clearly set out the extent of the requested rate increases</w:t>
      </w:r>
      <w:r w:rsidR="0065063C" w:rsidRPr="00B27C78">
        <w:rPr>
          <w:color w:val="548DD4" w:themeColor="text2" w:themeTint="99"/>
        </w:rPr>
        <w:t>.</w:t>
      </w:r>
    </w:p>
    <w:p w14:paraId="7DFDEE89" w14:textId="77777777" w:rsidR="00BF5A29" w:rsidRDefault="00D60EA5" w:rsidP="00BF5A29">
      <w:pPr>
        <w:pStyle w:val="BodyText"/>
        <w:rPr>
          <w:color w:val="548DD4" w:themeColor="text2" w:themeTint="99"/>
        </w:rPr>
      </w:pPr>
      <w:r w:rsidRPr="00B27C78">
        <w:rPr>
          <w:color w:val="548DD4" w:themeColor="text2" w:themeTint="99"/>
        </w:rPr>
        <w:t>In assessing the evidence, we will consider how transparent the engagement with the community has been, especially in relation to explaining:</w:t>
      </w:r>
      <w:r w:rsidR="00216DCF" w:rsidRPr="00B27C78">
        <w:rPr>
          <w:color w:val="548DD4" w:themeColor="text2" w:themeTint="99"/>
        </w:rPr>
        <w:t xml:space="preserve"> </w:t>
      </w:r>
    </w:p>
    <w:p w14:paraId="5B72BD8D" w14:textId="77777777" w:rsidR="00BF5A29" w:rsidRDefault="00D60EA5" w:rsidP="00A61A70">
      <w:pPr>
        <w:pStyle w:val="BodyText"/>
        <w:numPr>
          <w:ilvl w:val="0"/>
          <w:numId w:val="66"/>
        </w:numPr>
        <w:spacing w:line="240" w:lineRule="auto"/>
        <w:rPr>
          <w:color w:val="548DD4" w:themeColor="text2" w:themeTint="99"/>
        </w:rPr>
      </w:pPr>
      <w:r w:rsidRPr="00B27C78">
        <w:rPr>
          <w:color w:val="548DD4" w:themeColor="text2" w:themeTint="99"/>
        </w:rPr>
        <w:t xml:space="preserve">the proposed cumulative </w:t>
      </w:r>
      <w:r w:rsidR="000A58C7" w:rsidRPr="00B27C78">
        <w:rPr>
          <w:color w:val="548DD4" w:themeColor="text2" w:themeTint="99"/>
        </w:rPr>
        <w:t xml:space="preserve">special variation </w:t>
      </w:r>
      <w:r w:rsidRPr="00B27C78">
        <w:rPr>
          <w:color w:val="548DD4" w:themeColor="text2" w:themeTint="99"/>
        </w:rPr>
        <w:t xml:space="preserve">rate increases including the rate peg </w:t>
      </w:r>
      <w:r w:rsidR="00901623" w:rsidRPr="00B27C78">
        <w:rPr>
          <w:color w:val="548DD4" w:themeColor="text2" w:themeTint="99"/>
        </w:rPr>
        <w:t xml:space="preserve">for each rating category </w:t>
      </w:r>
      <w:r w:rsidRPr="00B27C78">
        <w:rPr>
          <w:color w:val="548DD4" w:themeColor="text2" w:themeTint="99"/>
        </w:rPr>
        <w:t>(in both percentage and dollar terms)</w:t>
      </w:r>
    </w:p>
    <w:p w14:paraId="0437D044" w14:textId="77777777" w:rsidR="00BF5A29" w:rsidRDefault="00D60EA5" w:rsidP="00A61A70">
      <w:pPr>
        <w:pStyle w:val="BodyText"/>
        <w:numPr>
          <w:ilvl w:val="0"/>
          <w:numId w:val="66"/>
        </w:numPr>
        <w:spacing w:line="240" w:lineRule="auto"/>
        <w:rPr>
          <w:color w:val="548DD4" w:themeColor="text2" w:themeTint="99"/>
        </w:rPr>
      </w:pPr>
      <w:r w:rsidRPr="00B27C78">
        <w:rPr>
          <w:color w:val="548DD4" w:themeColor="text2" w:themeTint="99"/>
        </w:rPr>
        <w:t>the annual increase in rates that will result if the special variation is approved in full (and not just the increase in daily or weekly terms)</w:t>
      </w:r>
    </w:p>
    <w:p w14:paraId="25A67415" w14:textId="77777777" w:rsidR="00BF5A29" w:rsidRDefault="00D60EA5" w:rsidP="00A61A70">
      <w:pPr>
        <w:pStyle w:val="BodyText"/>
        <w:numPr>
          <w:ilvl w:val="0"/>
          <w:numId w:val="66"/>
        </w:numPr>
        <w:spacing w:line="240" w:lineRule="auto"/>
        <w:rPr>
          <w:color w:val="548DD4" w:themeColor="text2" w:themeTint="99"/>
        </w:rPr>
      </w:pPr>
      <w:r w:rsidRPr="00B27C78">
        <w:rPr>
          <w:color w:val="548DD4" w:themeColor="text2" w:themeTint="99"/>
        </w:rPr>
        <w:t xml:space="preserve">the size </w:t>
      </w:r>
      <w:r w:rsidR="00BD468D" w:rsidRPr="00B27C78">
        <w:rPr>
          <w:color w:val="548DD4" w:themeColor="text2" w:themeTint="99"/>
        </w:rPr>
        <w:t xml:space="preserve">and impact </w:t>
      </w:r>
      <w:r w:rsidRPr="00B27C78">
        <w:rPr>
          <w:color w:val="548DD4" w:themeColor="text2" w:themeTint="99"/>
        </w:rPr>
        <w:t>of any expiring special variation (see Box 4.1 below</w:t>
      </w:r>
      <w:r w:rsidR="000A58C7" w:rsidRPr="00B27C78">
        <w:rPr>
          <w:color w:val="548DD4" w:themeColor="text2" w:themeTint="99"/>
        </w:rPr>
        <w:t xml:space="preserve"> for </w:t>
      </w:r>
      <w:r w:rsidR="00445306" w:rsidRPr="00B27C78">
        <w:rPr>
          <w:color w:val="548DD4" w:themeColor="text2" w:themeTint="99"/>
        </w:rPr>
        <w:t>further</w:t>
      </w:r>
      <w:r w:rsidR="000A58C7" w:rsidRPr="00B27C78">
        <w:rPr>
          <w:color w:val="548DD4" w:themeColor="text2" w:themeTint="99"/>
        </w:rPr>
        <w:t xml:space="preserve"> detail</w:t>
      </w:r>
      <w:r w:rsidRPr="00B27C78">
        <w:rPr>
          <w:color w:val="548DD4" w:themeColor="text2" w:themeTint="99"/>
        </w:rPr>
        <w:t>)</w:t>
      </w:r>
    </w:p>
    <w:p w14:paraId="49531405" w14:textId="77777777" w:rsidR="002B5332" w:rsidRDefault="00445306" w:rsidP="00A61A70">
      <w:pPr>
        <w:pStyle w:val="BodyText"/>
        <w:numPr>
          <w:ilvl w:val="0"/>
          <w:numId w:val="66"/>
        </w:numPr>
        <w:spacing w:line="240" w:lineRule="auto"/>
        <w:rPr>
          <w:color w:val="548DD4" w:themeColor="text2" w:themeTint="99"/>
        </w:rPr>
      </w:pPr>
      <w:r w:rsidRPr="00B27C78">
        <w:rPr>
          <w:color w:val="548DD4" w:themeColor="text2" w:themeTint="99"/>
        </w:rPr>
        <w:t>the</w:t>
      </w:r>
      <w:r w:rsidR="00D60EA5" w:rsidRPr="00B27C78">
        <w:rPr>
          <w:color w:val="548DD4" w:themeColor="text2" w:themeTint="99"/>
        </w:rPr>
        <w:t xml:space="preserve"> rate levels that would apply without the special variation</w:t>
      </w:r>
    </w:p>
    <w:p w14:paraId="18D704D5" w14:textId="1FDE57C5" w:rsidR="00D60EA5" w:rsidRPr="00B27C78" w:rsidRDefault="00D60EA5" w:rsidP="00A61A70">
      <w:pPr>
        <w:pStyle w:val="BodyText"/>
        <w:numPr>
          <w:ilvl w:val="0"/>
          <w:numId w:val="66"/>
        </w:numPr>
        <w:spacing w:line="240" w:lineRule="auto"/>
        <w:rPr>
          <w:color w:val="548DD4" w:themeColor="text2" w:themeTint="99"/>
        </w:rPr>
      </w:pPr>
      <w:r w:rsidRPr="00B27C78">
        <w:rPr>
          <w:color w:val="548DD4" w:themeColor="text2" w:themeTint="99"/>
        </w:rPr>
        <w:t>proposed increases in any other council charges (</w:t>
      </w:r>
      <w:r w:rsidR="00165AB2" w:rsidRPr="00B27C78">
        <w:rPr>
          <w:color w:val="548DD4" w:themeColor="text2" w:themeTint="99"/>
        </w:rPr>
        <w:t>e.g.</w:t>
      </w:r>
      <w:r w:rsidRPr="00B27C78">
        <w:rPr>
          <w:color w:val="548DD4" w:themeColor="text2" w:themeTint="99"/>
        </w:rPr>
        <w:t>, waste management, water and sewer), especially if these are likely to exceed the increase in the CPI.</w:t>
      </w:r>
    </w:p>
    <w:p w14:paraId="18D704D6" w14:textId="77777777" w:rsidR="007C25F0" w:rsidRPr="00B27C78" w:rsidRDefault="007C25F0" w:rsidP="00464B32">
      <w:pPr>
        <w:pStyle w:val="BodyText"/>
        <w:rPr>
          <w:color w:val="548DD4" w:themeColor="text2" w:themeTint="99"/>
        </w:rPr>
      </w:pPr>
      <w:r w:rsidRPr="00B27C78">
        <w:rPr>
          <w:color w:val="548DD4" w:themeColor="text2" w:themeTint="99"/>
        </w:rPr>
        <w:t xml:space="preserve">More information about how the council may engage the community is to be found in the OLG </w:t>
      </w:r>
      <w:r w:rsidRPr="00B27C78">
        <w:rPr>
          <w:i/>
          <w:color w:val="548DD4" w:themeColor="text2" w:themeTint="99"/>
        </w:rPr>
        <w:t>Guidelines</w:t>
      </w:r>
      <w:r w:rsidRPr="00B27C78">
        <w:rPr>
          <w:color w:val="548DD4" w:themeColor="text2" w:themeTint="99"/>
        </w:rPr>
        <w:t xml:space="preserve">, the IP&amp;R manual, and IPART’s Fact Sheet </w:t>
      </w:r>
      <w:r w:rsidRPr="00B27C78">
        <w:rPr>
          <w:i/>
          <w:color w:val="548DD4" w:themeColor="text2" w:themeTint="99"/>
        </w:rPr>
        <w:t>Community Awareness and Engagement</w:t>
      </w:r>
      <w:r w:rsidR="001F1E22" w:rsidRPr="00B27C78">
        <w:rPr>
          <w:i/>
          <w:color w:val="548DD4" w:themeColor="text2" w:themeTint="99"/>
        </w:rPr>
        <w:t xml:space="preserve"> for special variation applications</w:t>
      </w:r>
      <w:r w:rsidRPr="00B27C78">
        <w:rPr>
          <w:color w:val="548DD4" w:themeColor="text2" w:themeTint="99"/>
        </w:rPr>
        <w:t>, October 2014.</w:t>
      </w:r>
    </w:p>
    <w:p w14:paraId="18D704D7" w14:textId="77777777" w:rsidR="00D60EA5" w:rsidRPr="00B27C78" w:rsidRDefault="00D60EA5" w:rsidP="00B84AA8">
      <w:pPr>
        <w:pStyle w:val="BodyText"/>
        <w:rPr>
          <w:color w:val="548DD4" w:themeColor="text2" w:themeTint="99"/>
        </w:rPr>
      </w:pPr>
    </w:p>
    <w:tbl>
      <w:tblPr>
        <w:tblW w:w="8464" w:type="dxa"/>
        <w:tblLayout w:type="fixed"/>
        <w:tblCellMar>
          <w:left w:w="28" w:type="dxa"/>
          <w:right w:w="28" w:type="dxa"/>
        </w:tblCellMar>
        <w:tblLook w:val="0000" w:firstRow="0" w:lastRow="0" w:firstColumn="0" w:lastColumn="0" w:noHBand="0" w:noVBand="0"/>
      </w:tblPr>
      <w:tblGrid>
        <w:gridCol w:w="8464"/>
      </w:tblGrid>
      <w:tr w:rsidR="00D60EA5" w:rsidRPr="00B27C78" w14:paraId="18D704D9" w14:textId="77777777" w:rsidTr="003C43CC">
        <w:trPr>
          <w:cantSplit/>
          <w:trHeight w:val="721"/>
        </w:trPr>
        <w:tc>
          <w:tcPr>
            <w:tcW w:w="8464" w:type="dxa"/>
            <w:tcBorders>
              <w:top w:val="single" w:sz="24" w:space="0" w:color="7C7C7C"/>
            </w:tcBorders>
            <w:shd w:val="clear" w:color="auto" w:fill="auto"/>
            <w:tcMar>
              <w:left w:w="0" w:type="dxa"/>
              <w:right w:w="0" w:type="dxa"/>
            </w:tcMar>
          </w:tcPr>
          <w:p w14:paraId="18D704D8" w14:textId="77777777" w:rsidR="00D60EA5" w:rsidRPr="00B27C78" w:rsidRDefault="00D60EA5" w:rsidP="00B84AA8">
            <w:pPr>
              <w:pStyle w:val="BoxTitle"/>
              <w:rPr>
                <w:color w:val="548DD4" w:themeColor="text2" w:themeTint="99"/>
              </w:rPr>
            </w:pPr>
            <w:r w:rsidRPr="00B27C78">
              <w:rPr>
                <w:color w:val="548DD4" w:themeColor="text2" w:themeTint="99"/>
              </w:rPr>
              <w:fldChar w:fldCharType="begin"/>
            </w:r>
            <w:r w:rsidRPr="00B27C78">
              <w:rPr>
                <w:color w:val="548DD4" w:themeColor="text2" w:themeTint="99"/>
              </w:rPr>
              <w:instrText xml:space="preserve"> IF 1 = 1 "Box </w:instrText>
            </w:r>
            <w:r w:rsidRPr="00B27C78">
              <w:rPr>
                <w:color w:val="548DD4" w:themeColor="text2" w:themeTint="99"/>
              </w:rPr>
              <w:fldChar w:fldCharType="begin"/>
            </w:r>
            <w:r w:rsidRPr="00B27C78">
              <w:rPr>
                <w:color w:val="548DD4" w:themeColor="text2" w:themeTint="99"/>
              </w:rPr>
              <w:instrText xml:space="preserve"> IF </w:instrText>
            </w:r>
            <w:r w:rsidR="00F2470E" w:rsidRPr="00B27C78">
              <w:rPr>
                <w:color w:val="548DD4" w:themeColor="text2" w:themeTint="99"/>
              </w:rPr>
              <w:fldChar w:fldCharType="begin"/>
            </w:r>
            <w:r w:rsidR="00F2470E" w:rsidRPr="00B27C78">
              <w:rPr>
                <w:color w:val="548DD4" w:themeColor="text2" w:themeTint="99"/>
              </w:rPr>
              <w:instrText xml:space="preserve"> STYLEREF "Heading 6" \l \n </w:instrText>
            </w:r>
            <w:r w:rsidR="00F2470E" w:rsidRPr="00B27C78">
              <w:rPr>
                <w:color w:val="548DD4" w:themeColor="text2" w:themeTint="99"/>
              </w:rPr>
              <w:fldChar w:fldCharType="separate"/>
            </w:r>
            <w:r w:rsidR="00EA74FD">
              <w:rPr>
                <w:noProof/>
                <w:color w:val="548DD4" w:themeColor="text2" w:themeTint="99"/>
              </w:rPr>
              <w:instrText>0</w:instrText>
            </w:r>
            <w:r w:rsidR="00F2470E" w:rsidRPr="00B27C78">
              <w:rPr>
                <w:noProof/>
                <w:color w:val="548DD4" w:themeColor="text2" w:themeTint="99"/>
              </w:rPr>
              <w:fldChar w:fldCharType="end"/>
            </w:r>
            <w:r w:rsidRPr="00B27C78">
              <w:rPr>
                <w:color w:val="548DD4" w:themeColor="text2" w:themeTint="99"/>
              </w:rPr>
              <w:instrText xml:space="preserve"> = 0 "</w:instrText>
            </w:r>
            <w:r w:rsidRPr="00B27C78">
              <w:rPr>
                <w:color w:val="548DD4" w:themeColor="text2" w:themeTint="99"/>
              </w:rPr>
              <w:fldChar w:fldCharType="begin"/>
            </w:r>
            <w:r w:rsidRPr="00B27C78">
              <w:rPr>
                <w:color w:val="548DD4" w:themeColor="text2" w:themeTint="99"/>
              </w:rPr>
              <w:instrText xml:space="preserve"> IF </w:instrText>
            </w:r>
            <w:r w:rsidR="00F2470E" w:rsidRPr="00B27C78">
              <w:rPr>
                <w:color w:val="548DD4" w:themeColor="text2" w:themeTint="99"/>
              </w:rPr>
              <w:fldChar w:fldCharType="begin"/>
            </w:r>
            <w:r w:rsidR="00F2470E" w:rsidRPr="00B27C78">
              <w:rPr>
                <w:color w:val="548DD4" w:themeColor="text2" w:themeTint="99"/>
              </w:rPr>
              <w:instrText xml:space="preserve"> STYLEREF "Heading 1" \l \n </w:instrText>
            </w:r>
            <w:r w:rsidR="00F2470E" w:rsidRPr="00B27C78">
              <w:rPr>
                <w:color w:val="548DD4" w:themeColor="text2" w:themeTint="99"/>
              </w:rPr>
              <w:fldChar w:fldCharType="separate"/>
            </w:r>
            <w:r w:rsidR="00EA74FD">
              <w:rPr>
                <w:noProof/>
                <w:color w:val="548DD4" w:themeColor="text2" w:themeTint="99"/>
              </w:rPr>
              <w:instrText>4</w:instrText>
            </w:r>
            <w:r w:rsidR="00F2470E" w:rsidRPr="00B27C78">
              <w:rPr>
                <w:noProof/>
                <w:color w:val="548DD4" w:themeColor="text2" w:themeTint="99"/>
              </w:rPr>
              <w:fldChar w:fldCharType="end"/>
            </w:r>
            <w:r w:rsidRPr="00B27C78">
              <w:rPr>
                <w:color w:val="548DD4" w:themeColor="text2" w:themeTint="99"/>
              </w:rPr>
              <w:instrText xml:space="preserve"> = 0 "" "</w:instrText>
            </w:r>
            <w:r w:rsidR="00F2470E" w:rsidRPr="00B27C78">
              <w:rPr>
                <w:color w:val="548DD4" w:themeColor="text2" w:themeTint="99"/>
              </w:rPr>
              <w:fldChar w:fldCharType="begin"/>
            </w:r>
            <w:r w:rsidR="00F2470E" w:rsidRPr="00B27C78">
              <w:rPr>
                <w:color w:val="548DD4" w:themeColor="text2" w:themeTint="99"/>
              </w:rPr>
              <w:instrText xml:space="preserve"> STYLEREF "Heading 1" \l \n </w:instrText>
            </w:r>
            <w:r w:rsidR="00F2470E" w:rsidRPr="00B27C78">
              <w:rPr>
                <w:color w:val="548DD4" w:themeColor="text2" w:themeTint="99"/>
              </w:rPr>
              <w:fldChar w:fldCharType="separate"/>
            </w:r>
            <w:r w:rsidR="00EA74FD">
              <w:rPr>
                <w:noProof/>
                <w:color w:val="548DD4" w:themeColor="text2" w:themeTint="99"/>
              </w:rPr>
              <w:instrText>4</w:instrText>
            </w:r>
            <w:r w:rsidR="00F2470E" w:rsidRPr="00B27C78">
              <w:rPr>
                <w:noProof/>
                <w:color w:val="548DD4" w:themeColor="text2" w:themeTint="99"/>
              </w:rPr>
              <w:fldChar w:fldCharType="end"/>
            </w:r>
            <w:r w:rsidRPr="00B27C78">
              <w:rPr>
                <w:color w:val="548DD4" w:themeColor="text2" w:themeTint="99"/>
              </w:rPr>
              <w:instrText xml:space="preserve">." </w:instrText>
            </w:r>
            <w:r w:rsidRPr="00B27C78">
              <w:rPr>
                <w:color w:val="548DD4" w:themeColor="text2" w:themeTint="99"/>
              </w:rPr>
              <w:fldChar w:fldCharType="separate"/>
            </w:r>
            <w:r w:rsidR="00EA74FD">
              <w:rPr>
                <w:noProof/>
                <w:color w:val="548DD4" w:themeColor="text2" w:themeTint="99"/>
              </w:rPr>
              <w:instrText>4</w:instrText>
            </w:r>
            <w:r w:rsidR="00EA74FD" w:rsidRPr="00B27C78">
              <w:rPr>
                <w:noProof/>
                <w:color w:val="548DD4" w:themeColor="text2" w:themeTint="99"/>
              </w:rPr>
              <w:instrText>.</w:instrText>
            </w:r>
            <w:r w:rsidRPr="00B27C78">
              <w:rPr>
                <w:color w:val="548DD4" w:themeColor="text2" w:themeTint="99"/>
              </w:rPr>
              <w:fldChar w:fldCharType="end"/>
            </w:r>
            <w:r w:rsidRPr="00B27C78">
              <w:rPr>
                <w:color w:val="548DD4" w:themeColor="text2" w:themeTint="99"/>
              </w:rPr>
              <w:instrText>" "</w:instrText>
            </w:r>
            <w:r w:rsidRPr="00B27C78">
              <w:rPr>
                <w:color w:val="548DD4" w:themeColor="text2" w:themeTint="99"/>
              </w:rPr>
              <w:fldChar w:fldCharType="begin"/>
            </w:r>
            <w:r w:rsidRPr="00B27C78">
              <w:rPr>
                <w:color w:val="548DD4" w:themeColor="text2" w:themeTint="99"/>
              </w:rPr>
              <w:instrText xml:space="preserve"> STYLEREF "Heading 6" \l \n </w:instrText>
            </w:r>
            <w:r w:rsidRPr="00B27C78">
              <w:rPr>
                <w:color w:val="548DD4" w:themeColor="text2" w:themeTint="99"/>
              </w:rPr>
              <w:fldChar w:fldCharType="separate"/>
            </w:r>
            <w:r w:rsidRPr="00B27C78">
              <w:rPr>
                <w:b w:val="0"/>
                <w:bCs/>
                <w:noProof/>
                <w:color w:val="548DD4" w:themeColor="text2" w:themeTint="99"/>
                <w:lang w:val="en-US"/>
              </w:rPr>
              <w:instrText>Error! No text of specified style in document.</w:instrText>
            </w:r>
            <w:r w:rsidRPr="00B27C78">
              <w:rPr>
                <w:color w:val="548DD4" w:themeColor="text2" w:themeTint="99"/>
              </w:rPr>
              <w:fldChar w:fldCharType="end"/>
            </w:r>
            <w:r w:rsidRPr="00B27C78">
              <w:rPr>
                <w:color w:val="548DD4" w:themeColor="text2" w:themeTint="99"/>
              </w:rPr>
              <w:instrText xml:space="preserve">." </w:instrText>
            </w:r>
            <w:r w:rsidRPr="00B27C78">
              <w:rPr>
                <w:color w:val="548DD4" w:themeColor="text2" w:themeTint="99"/>
              </w:rPr>
              <w:fldChar w:fldCharType="separate"/>
            </w:r>
            <w:r w:rsidR="00EA74FD">
              <w:rPr>
                <w:noProof/>
                <w:color w:val="548DD4" w:themeColor="text2" w:themeTint="99"/>
              </w:rPr>
              <w:instrText>4</w:instrText>
            </w:r>
            <w:r w:rsidR="00EA74FD" w:rsidRPr="00B27C78">
              <w:rPr>
                <w:noProof/>
                <w:color w:val="548DD4" w:themeColor="text2" w:themeTint="99"/>
              </w:rPr>
              <w:instrText>.</w:instrText>
            </w:r>
            <w:r w:rsidRPr="00B27C78">
              <w:rPr>
                <w:color w:val="548DD4" w:themeColor="text2" w:themeTint="99"/>
              </w:rPr>
              <w:fldChar w:fldCharType="end"/>
            </w:r>
            <w:r w:rsidRPr="00B27C78">
              <w:rPr>
                <w:color w:val="548DD4" w:themeColor="text2" w:themeTint="99"/>
              </w:rPr>
              <w:fldChar w:fldCharType="begin"/>
            </w:r>
            <w:r w:rsidRPr="00B27C78">
              <w:rPr>
                <w:color w:val="548DD4" w:themeColor="text2" w:themeTint="99"/>
              </w:rPr>
              <w:instrText xml:space="preserve"> SEQ Box \* ARABIC \s </w:instrText>
            </w:r>
            <w:r w:rsidRPr="00B27C78">
              <w:rPr>
                <w:color w:val="548DD4" w:themeColor="text2" w:themeTint="99"/>
              </w:rPr>
              <w:fldChar w:fldCharType="begin"/>
            </w:r>
            <w:r w:rsidRPr="00B27C78">
              <w:rPr>
                <w:color w:val="548DD4" w:themeColor="text2" w:themeTint="99"/>
              </w:rPr>
              <w:instrText xml:space="preserve"> IF </w:instrText>
            </w:r>
            <w:r w:rsidR="00F2470E" w:rsidRPr="00B27C78">
              <w:rPr>
                <w:color w:val="548DD4" w:themeColor="text2" w:themeTint="99"/>
              </w:rPr>
              <w:fldChar w:fldCharType="begin"/>
            </w:r>
            <w:r w:rsidR="00F2470E" w:rsidRPr="00B27C78">
              <w:rPr>
                <w:color w:val="548DD4" w:themeColor="text2" w:themeTint="99"/>
              </w:rPr>
              <w:instrText xml:space="preserve"> STYLEREF "Heading 6" \l \n </w:instrText>
            </w:r>
            <w:r w:rsidR="00F2470E" w:rsidRPr="00B27C78">
              <w:rPr>
                <w:color w:val="548DD4" w:themeColor="text2" w:themeTint="99"/>
              </w:rPr>
              <w:fldChar w:fldCharType="separate"/>
            </w:r>
            <w:r w:rsidR="00EA74FD">
              <w:rPr>
                <w:noProof/>
                <w:color w:val="548DD4" w:themeColor="text2" w:themeTint="99"/>
              </w:rPr>
              <w:instrText>0</w:instrText>
            </w:r>
            <w:r w:rsidR="00F2470E" w:rsidRPr="00B27C78">
              <w:rPr>
                <w:noProof/>
                <w:color w:val="548DD4" w:themeColor="text2" w:themeTint="99"/>
              </w:rPr>
              <w:fldChar w:fldCharType="end"/>
            </w:r>
            <w:r w:rsidRPr="00B27C78">
              <w:rPr>
                <w:color w:val="548DD4" w:themeColor="text2" w:themeTint="99"/>
              </w:rPr>
              <w:instrText xml:space="preserve"> = 0 "</w:instrText>
            </w:r>
            <w:r w:rsidRPr="00B27C78">
              <w:rPr>
                <w:color w:val="548DD4" w:themeColor="text2" w:themeTint="99"/>
              </w:rPr>
              <w:fldChar w:fldCharType="begin"/>
            </w:r>
            <w:r w:rsidRPr="00B27C78">
              <w:rPr>
                <w:color w:val="548DD4" w:themeColor="text2" w:themeTint="99"/>
              </w:rPr>
              <w:instrText xml:space="preserve"> IF </w:instrText>
            </w:r>
            <w:r w:rsidR="00F2470E" w:rsidRPr="00B27C78">
              <w:rPr>
                <w:color w:val="548DD4" w:themeColor="text2" w:themeTint="99"/>
              </w:rPr>
              <w:fldChar w:fldCharType="begin"/>
            </w:r>
            <w:r w:rsidR="00F2470E" w:rsidRPr="00B27C78">
              <w:rPr>
                <w:color w:val="548DD4" w:themeColor="text2" w:themeTint="99"/>
              </w:rPr>
              <w:instrText xml:space="preserve"> STYLEREF "Heading 1" \l \n </w:instrText>
            </w:r>
            <w:r w:rsidR="00F2470E" w:rsidRPr="00B27C78">
              <w:rPr>
                <w:color w:val="548DD4" w:themeColor="text2" w:themeTint="99"/>
              </w:rPr>
              <w:fldChar w:fldCharType="separate"/>
            </w:r>
            <w:r w:rsidR="00EA74FD">
              <w:rPr>
                <w:noProof/>
                <w:color w:val="548DD4" w:themeColor="text2" w:themeTint="99"/>
              </w:rPr>
              <w:instrText>4</w:instrText>
            </w:r>
            <w:r w:rsidR="00F2470E" w:rsidRPr="00B27C78">
              <w:rPr>
                <w:noProof/>
                <w:color w:val="548DD4" w:themeColor="text2" w:themeTint="99"/>
              </w:rPr>
              <w:fldChar w:fldCharType="end"/>
            </w:r>
            <w:r w:rsidRPr="00B27C78">
              <w:rPr>
                <w:color w:val="548DD4" w:themeColor="text2" w:themeTint="99"/>
              </w:rPr>
              <w:instrText xml:space="preserve"> = 0 "" "1" </w:instrText>
            </w:r>
            <w:r w:rsidRPr="00B27C78">
              <w:rPr>
                <w:color w:val="548DD4" w:themeColor="text2" w:themeTint="99"/>
              </w:rPr>
              <w:fldChar w:fldCharType="separate"/>
            </w:r>
            <w:r w:rsidR="00EA74FD" w:rsidRPr="00B27C78">
              <w:rPr>
                <w:noProof/>
                <w:color w:val="548DD4" w:themeColor="text2" w:themeTint="99"/>
              </w:rPr>
              <w:instrText>1</w:instrText>
            </w:r>
            <w:r w:rsidRPr="00B27C78">
              <w:rPr>
                <w:color w:val="548DD4" w:themeColor="text2" w:themeTint="99"/>
              </w:rPr>
              <w:fldChar w:fldCharType="end"/>
            </w:r>
            <w:r w:rsidRPr="00B27C78">
              <w:rPr>
                <w:color w:val="548DD4" w:themeColor="text2" w:themeTint="99"/>
              </w:rPr>
              <w:instrText xml:space="preserve">" "6" </w:instrText>
            </w:r>
            <w:r w:rsidRPr="00B27C78">
              <w:rPr>
                <w:color w:val="548DD4" w:themeColor="text2" w:themeTint="99"/>
              </w:rPr>
              <w:fldChar w:fldCharType="separate"/>
            </w:r>
            <w:r w:rsidR="00EA74FD" w:rsidRPr="00B27C78">
              <w:rPr>
                <w:noProof/>
                <w:color w:val="548DD4" w:themeColor="text2" w:themeTint="99"/>
              </w:rPr>
              <w:instrText>1</w:instrText>
            </w:r>
            <w:r w:rsidRPr="00B27C78">
              <w:rPr>
                <w:color w:val="548DD4" w:themeColor="text2" w:themeTint="99"/>
              </w:rPr>
              <w:fldChar w:fldCharType="end"/>
            </w:r>
            <w:r w:rsidRPr="00B27C78">
              <w:rPr>
                <w:color w:val="548DD4" w:themeColor="text2" w:themeTint="99"/>
              </w:rPr>
              <w:instrText xml:space="preserve"> </w:instrText>
            </w:r>
            <w:r w:rsidRPr="00B27C78">
              <w:rPr>
                <w:color w:val="548DD4" w:themeColor="text2" w:themeTint="99"/>
              </w:rPr>
              <w:fldChar w:fldCharType="separate"/>
            </w:r>
            <w:r w:rsidR="00EA74FD">
              <w:rPr>
                <w:noProof/>
                <w:color w:val="548DD4" w:themeColor="text2" w:themeTint="99"/>
              </w:rPr>
              <w:instrText>1</w:instrText>
            </w:r>
            <w:r w:rsidRPr="00B27C78">
              <w:rPr>
                <w:color w:val="548DD4" w:themeColor="text2" w:themeTint="99"/>
              </w:rPr>
              <w:fldChar w:fldCharType="end"/>
            </w:r>
            <w:r w:rsidRPr="00B27C78">
              <w:rPr>
                <w:color w:val="548DD4" w:themeColor="text2" w:themeTint="99"/>
              </w:rPr>
              <w:instrText xml:space="preserve">" "" </w:instrText>
            </w:r>
            <w:r w:rsidRPr="00B27C78">
              <w:rPr>
                <w:color w:val="548DD4" w:themeColor="text2" w:themeTint="99"/>
              </w:rPr>
              <w:fldChar w:fldCharType="separate"/>
            </w:r>
            <w:bookmarkStart w:id="88" w:name="_Box6820"/>
            <w:r w:rsidR="00EA74FD" w:rsidRPr="00B27C78">
              <w:rPr>
                <w:noProof/>
                <w:color w:val="548DD4" w:themeColor="text2" w:themeTint="99"/>
              </w:rPr>
              <w:t xml:space="preserve">Box </w:t>
            </w:r>
            <w:r w:rsidR="00EA74FD">
              <w:rPr>
                <w:noProof/>
                <w:color w:val="548DD4" w:themeColor="text2" w:themeTint="99"/>
              </w:rPr>
              <w:t>4</w:t>
            </w:r>
            <w:r w:rsidR="00EA74FD" w:rsidRPr="00B27C78">
              <w:rPr>
                <w:noProof/>
                <w:color w:val="548DD4" w:themeColor="text2" w:themeTint="99"/>
              </w:rPr>
              <w:t>.</w:t>
            </w:r>
            <w:r w:rsidR="00EA74FD">
              <w:rPr>
                <w:noProof/>
                <w:color w:val="548DD4" w:themeColor="text2" w:themeTint="99"/>
              </w:rPr>
              <w:t>1</w:t>
            </w:r>
            <w:bookmarkEnd w:id="88"/>
            <w:r w:rsidRPr="00B27C78">
              <w:rPr>
                <w:color w:val="548DD4" w:themeColor="text2" w:themeTint="99"/>
              </w:rPr>
              <w:fldChar w:fldCharType="end"/>
            </w:r>
            <w:r w:rsidRPr="00B27C78">
              <w:rPr>
                <w:color w:val="548DD4" w:themeColor="text2" w:themeTint="99"/>
              </w:rPr>
              <w:tab/>
              <w:t>Where a council is renewing or replacing an expiring special variation</w:t>
            </w:r>
          </w:p>
        </w:tc>
      </w:tr>
      <w:tr w:rsidR="00D60EA5" w:rsidRPr="00B27C78" w14:paraId="18D704E1" w14:textId="77777777" w:rsidTr="003C43CC">
        <w:trPr>
          <w:cantSplit/>
          <w:trHeight w:val="4736"/>
        </w:trPr>
        <w:tc>
          <w:tcPr>
            <w:tcW w:w="8464" w:type="dxa"/>
            <w:shd w:val="clear" w:color="auto" w:fill="auto"/>
            <w:tcMar>
              <w:left w:w="0" w:type="dxa"/>
              <w:right w:w="0" w:type="dxa"/>
            </w:tcMar>
          </w:tcPr>
          <w:p w14:paraId="18D704DA" w14:textId="77777777" w:rsidR="00D60EA5" w:rsidRPr="00B27C78" w:rsidRDefault="00D60EA5" w:rsidP="006607B9">
            <w:pPr>
              <w:pStyle w:val="BoxText"/>
              <w:rPr>
                <w:color w:val="548DD4" w:themeColor="text2" w:themeTint="99"/>
              </w:rPr>
            </w:pPr>
            <w:r w:rsidRPr="00B27C78">
              <w:rPr>
                <w:color w:val="548DD4" w:themeColor="text2" w:themeTint="99"/>
              </w:rPr>
              <w:t>The council</w:t>
            </w:r>
            <w:r w:rsidR="00122DB2" w:rsidRPr="00B27C78">
              <w:rPr>
                <w:color w:val="548DD4" w:themeColor="text2" w:themeTint="99"/>
              </w:rPr>
              <w:t>’s application</w:t>
            </w:r>
            <w:r w:rsidRPr="00B27C78">
              <w:rPr>
                <w:color w:val="548DD4" w:themeColor="text2" w:themeTint="99"/>
              </w:rPr>
              <w:t xml:space="preserve"> should </w:t>
            </w:r>
            <w:r w:rsidR="00122DB2" w:rsidRPr="00B27C78">
              <w:rPr>
                <w:color w:val="548DD4" w:themeColor="text2" w:themeTint="99"/>
              </w:rPr>
              <w:t xml:space="preserve">show how you have </w:t>
            </w:r>
            <w:r w:rsidRPr="00B27C78">
              <w:rPr>
                <w:color w:val="548DD4" w:themeColor="text2" w:themeTint="99"/>
              </w:rPr>
              <w:t>explain</w:t>
            </w:r>
            <w:r w:rsidR="00122DB2" w:rsidRPr="00B27C78">
              <w:rPr>
                <w:color w:val="548DD4" w:themeColor="text2" w:themeTint="99"/>
              </w:rPr>
              <w:t>ed</w:t>
            </w:r>
            <w:r w:rsidRPr="00B27C78">
              <w:rPr>
                <w:color w:val="548DD4" w:themeColor="text2" w:themeTint="99"/>
              </w:rPr>
              <w:t xml:space="preserve"> to its community:</w:t>
            </w:r>
          </w:p>
          <w:p w14:paraId="18D704DB" w14:textId="77777777" w:rsidR="00D60EA5" w:rsidRPr="00B37BAF" w:rsidRDefault="000A58C7" w:rsidP="00A61A70">
            <w:pPr>
              <w:pStyle w:val="BodyText"/>
              <w:numPr>
                <w:ilvl w:val="0"/>
                <w:numId w:val="67"/>
              </w:numPr>
              <w:rPr>
                <w:color w:val="548DD4" w:themeColor="text2" w:themeTint="99"/>
              </w:rPr>
            </w:pPr>
            <w:r w:rsidRPr="00B37BAF">
              <w:rPr>
                <w:color w:val="548DD4" w:themeColor="text2" w:themeTint="99"/>
              </w:rPr>
              <w:t>T</w:t>
            </w:r>
            <w:r w:rsidR="00D60EA5" w:rsidRPr="00B37BAF">
              <w:rPr>
                <w:color w:val="548DD4" w:themeColor="text2" w:themeTint="99"/>
              </w:rPr>
              <w:t>here is a special variation due to expire at the end of th</w:t>
            </w:r>
            <w:r w:rsidR="00D06665" w:rsidRPr="00B37BAF">
              <w:rPr>
                <w:color w:val="548DD4" w:themeColor="text2" w:themeTint="99"/>
              </w:rPr>
              <w:t xml:space="preserve">e current </w:t>
            </w:r>
            <w:r w:rsidR="00D60EA5" w:rsidRPr="00B37BAF">
              <w:rPr>
                <w:color w:val="548DD4" w:themeColor="text2" w:themeTint="99"/>
              </w:rPr>
              <w:t>financial year or during the period covered by the proposed special variation</w:t>
            </w:r>
            <w:r w:rsidRPr="00B37BAF">
              <w:rPr>
                <w:color w:val="548DD4" w:themeColor="text2" w:themeTint="99"/>
              </w:rPr>
              <w:t xml:space="preserve">.  This needs to </w:t>
            </w:r>
            <w:r w:rsidR="00C94A16" w:rsidRPr="00B37BAF">
              <w:rPr>
                <w:color w:val="548DD4" w:themeColor="text2" w:themeTint="99"/>
              </w:rPr>
              <w:t xml:space="preserve">include when </w:t>
            </w:r>
            <w:r w:rsidR="007730A7" w:rsidRPr="00B37BAF">
              <w:rPr>
                <w:color w:val="548DD4" w:themeColor="text2" w:themeTint="99"/>
              </w:rPr>
              <w:t xml:space="preserve">the expiring special variation was originally </w:t>
            </w:r>
            <w:r w:rsidR="00C94A16" w:rsidRPr="00B37BAF">
              <w:rPr>
                <w:color w:val="548DD4" w:themeColor="text2" w:themeTint="99"/>
              </w:rPr>
              <w:t xml:space="preserve">approved, for what purpose and the </w:t>
            </w:r>
            <w:r w:rsidR="00A041EB" w:rsidRPr="00B37BAF">
              <w:rPr>
                <w:color w:val="548DD4" w:themeColor="text2" w:themeTint="99"/>
              </w:rPr>
              <w:t xml:space="preserve">percentage </w:t>
            </w:r>
            <w:r w:rsidRPr="00B37BAF">
              <w:rPr>
                <w:color w:val="548DD4" w:themeColor="text2" w:themeTint="99"/>
              </w:rPr>
              <w:t xml:space="preserve">of </w:t>
            </w:r>
            <w:r w:rsidR="00270E9D" w:rsidRPr="00B37BAF">
              <w:rPr>
                <w:color w:val="548DD4" w:themeColor="text2" w:themeTint="99"/>
              </w:rPr>
              <w:t xml:space="preserve">(General Fund) </w:t>
            </w:r>
            <w:r w:rsidRPr="00B37BAF">
              <w:rPr>
                <w:color w:val="548DD4" w:themeColor="text2" w:themeTint="99"/>
              </w:rPr>
              <w:t>general income originally approved</w:t>
            </w:r>
            <w:r w:rsidR="009D36D4" w:rsidRPr="00B37BAF">
              <w:rPr>
                <w:color w:val="548DD4" w:themeColor="text2" w:themeTint="99"/>
              </w:rPr>
              <w:t>.</w:t>
            </w:r>
          </w:p>
          <w:p w14:paraId="18D704DC" w14:textId="77777777" w:rsidR="00EF1DCA" w:rsidRPr="00B37BAF" w:rsidRDefault="00EF1DCA" w:rsidP="00A61A70">
            <w:pPr>
              <w:pStyle w:val="BodyText"/>
              <w:numPr>
                <w:ilvl w:val="0"/>
                <w:numId w:val="67"/>
              </w:numPr>
              <w:rPr>
                <w:color w:val="548DD4" w:themeColor="text2" w:themeTint="99"/>
              </w:rPr>
            </w:pPr>
            <w:r w:rsidRPr="00B37BAF">
              <w:rPr>
                <w:color w:val="548DD4" w:themeColor="text2" w:themeTint="99"/>
              </w:rPr>
              <w:t>The corresponding percentage of general income that the expiring special variation represents for the relevant year.</w:t>
            </w:r>
          </w:p>
          <w:p w14:paraId="18D704DD" w14:textId="77777777" w:rsidR="00B97221" w:rsidRPr="00B37BAF" w:rsidRDefault="00B97221" w:rsidP="00A61A70">
            <w:pPr>
              <w:pStyle w:val="BodyText"/>
              <w:numPr>
                <w:ilvl w:val="0"/>
                <w:numId w:val="67"/>
              </w:numPr>
              <w:rPr>
                <w:color w:val="548DD4" w:themeColor="text2" w:themeTint="99"/>
              </w:rPr>
            </w:pPr>
            <w:r w:rsidRPr="00B37BAF">
              <w:rPr>
                <w:color w:val="548DD4" w:themeColor="text2" w:themeTint="99"/>
              </w:rPr>
              <w:t>Whether the temporary expiring special variation is being replaced with a</w:t>
            </w:r>
            <w:r w:rsidR="00EF1DCA" w:rsidRPr="00B37BAF">
              <w:rPr>
                <w:color w:val="548DD4" w:themeColor="text2" w:themeTint="99"/>
              </w:rPr>
              <w:t>nother</w:t>
            </w:r>
            <w:r w:rsidRPr="00B37BAF">
              <w:rPr>
                <w:color w:val="548DD4" w:themeColor="text2" w:themeTint="99"/>
              </w:rPr>
              <w:t xml:space="preserve"> temporary or </w:t>
            </w:r>
            <w:r w:rsidR="00EF1DCA" w:rsidRPr="00B37BAF">
              <w:rPr>
                <w:color w:val="548DD4" w:themeColor="text2" w:themeTint="99"/>
              </w:rPr>
              <w:t xml:space="preserve">a </w:t>
            </w:r>
            <w:r w:rsidRPr="00B37BAF">
              <w:rPr>
                <w:color w:val="548DD4" w:themeColor="text2" w:themeTint="99"/>
              </w:rPr>
              <w:t>permanent increase to the rate base</w:t>
            </w:r>
            <w:r w:rsidR="00DF7DA8" w:rsidRPr="00B37BAF">
              <w:rPr>
                <w:color w:val="548DD4" w:themeColor="text2" w:themeTint="99"/>
              </w:rPr>
              <w:t>.</w:t>
            </w:r>
          </w:p>
          <w:p w14:paraId="18D704DE" w14:textId="77777777" w:rsidR="00EF1DCA" w:rsidRPr="00B37BAF" w:rsidRDefault="00EF1DCA" w:rsidP="00A61A70">
            <w:pPr>
              <w:pStyle w:val="BodyText"/>
              <w:numPr>
                <w:ilvl w:val="0"/>
                <w:numId w:val="67"/>
              </w:numPr>
              <w:rPr>
                <w:color w:val="548DD4" w:themeColor="text2" w:themeTint="99"/>
              </w:rPr>
            </w:pPr>
            <w:r w:rsidRPr="00B37BAF">
              <w:rPr>
                <w:color w:val="548DD4" w:themeColor="text2" w:themeTint="99"/>
              </w:rPr>
              <w:t>The percentage value of any additional variation amount, above the rate peg, for which the council is applying for through a special variation.</w:t>
            </w:r>
          </w:p>
          <w:p w14:paraId="18D704DF" w14:textId="025631B8" w:rsidR="00D60EA5" w:rsidRPr="00B37BAF" w:rsidRDefault="00A01F5A" w:rsidP="00A61A70">
            <w:pPr>
              <w:pStyle w:val="BodyText"/>
              <w:numPr>
                <w:ilvl w:val="0"/>
                <w:numId w:val="67"/>
              </w:numPr>
              <w:rPr>
                <w:color w:val="548DD4" w:themeColor="text2" w:themeTint="99"/>
              </w:rPr>
            </w:pPr>
            <w:r w:rsidRPr="00B37BAF">
              <w:rPr>
                <w:color w:val="548DD4" w:themeColor="text2" w:themeTint="99"/>
              </w:rPr>
              <w:t>I</w:t>
            </w:r>
            <w:r w:rsidR="00D60EA5" w:rsidRPr="00B37BAF">
              <w:rPr>
                <w:color w:val="548DD4" w:themeColor="text2" w:themeTint="99"/>
              </w:rPr>
              <w:t xml:space="preserve">f the </w:t>
            </w:r>
            <w:r w:rsidR="00270E9D" w:rsidRPr="00B37BAF">
              <w:rPr>
                <w:color w:val="548DD4" w:themeColor="text2" w:themeTint="99"/>
              </w:rPr>
              <w:t xml:space="preserve">proposed </w:t>
            </w:r>
            <w:r w:rsidR="00D60EA5" w:rsidRPr="00B37BAF">
              <w:rPr>
                <w:color w:val="548DD4" w:themeColor="text2" w:themeTint="99"/>
              </w:rPr>
              <w:t xml:space="preserve">special variation </w:t>
            </w:r>
            <w:r w:rsidR="00345C90" w:rsidRPr="00B37BAF">
              <w:rPr>
                <w:color w:val="548DD4" w:themeColor="text2" w:themeTint="99"/>
              </w:rPr>
              <w:t xml:space="preserve">was </w:t>
            </w:r>
            <w:r w:rsidR="00D60EA5" w:rsidRPr="00B37BAF">
              <w:rPr>
                <w:color w:val="548DD4" w:themeColor="text2" w:themeTint="99"/>
              </w:rPr>
              <w:t xml:space="preserve">not approved </w:t>
            </w:r>
            <w:r w:rsidR="00165AB2" w:rsidRPr="00B37BAF">
              <w:rPr>
                <w:color w:val="548DD4" w:themeColor="text2" w:themeTint="99"/>
              </w:rPr>
              <w:t>i.e.</w:t>
            </w:r>
            <w:r w:rsidR="00270E9D" w:rsidRPr="00B37BAF">
              <w:rPr>
                <w:color w:val="548DD4" w:themeColor="text2" w:themeTint="99"/>
              </w:rPr>
              <w:t xml:space="preserve">, </w:t>
            </w:r>
            <w:r w:rsidR="00D60EA5" w:rsidRPr="00B37BAF">
              <w:rPr>
                <w:color w:val="548DD4" w:themeColor="text2" w:themeTint="99"/>
              </w:rPr>
              <w:t>only the rate peg applie</w:t>
            </w:r>
            <w:r w:rsidR="00270E9D" w:rsidRPr="00B37BAF">
              <w:rPr>
                <w:color w:val="548DD4" w:themeColor="text2" w:themeTint="99"/>
              </w:rPr>
              <w:t>s</w:t>
            </w:r>
            <w:r w:rsidR="00D60EA5" w:rsidRPr="00B37BAF">
              <w:rPr>
                <w:color w:val="548DD4" w:themeColor="text2" w:themeTint="99"/>
              </w:rPr>
              <w:t>, the year-on-year change in rates would be lower, or that rates may fall</w:t>
            </w:r>
            <w:r w:rsidR="009D36D4" w:rsidRPr="00B37BAF">
              <w:rPr>
                <w:color w:val="548DD4" w:themeColor="text2" w:themeTint="99"/>
              </w:rPr>
              <w:t>.</w:t>
            </w:r>
          </w:p>
          <w:p w14:paraId="18D704E0" w14:textId="77777777" w:rsidR="00C94A16" w:rsidRPr="00B27C78" w:rsidRDefault="00C94A16" w:rsidP="00B230DF">
            <w:pPr>
              <w:pStyle w:val="BoxText"/>
              <w:rPr>
                <w:color w:val="548DD4" w:themeColor="text2" w:themeTint="99"/>
              </w:rPr>
            </w:pPr>
            <w:r w:rsidRPr="00B27C78">
              <w:rPr>
                <w:color w:val="548DD4" w:themeColor="text2" w:themeTint="99"/>
              </w:rPr>
              <w:t xml:space="preserve">The council </w:t>
            </w:r>
            <w:r w:rsidR="00B230DF" w:rsidRPr="00B27C78">
              <w:rPr>
                <w:color w:val="548DD4" w:themeColor="text2" w:themeTint="99"/>
              </w:rPr>
              <w:t xml:space="preserve">also </w:t>
            </w:r>
            <w:r w:rsidRPr="00B27C78">
              <w:rPr>
                <w:color w:val="548DD4" w:themeColor="text2" w:themeTint="99"/>
              </w:rPr>
              <w:t>must attach</w:t>
            </w:r>
            <w:r w:rsidR="00B230DF" w:rsidRPr="00B27C78">
              <w:rPr>
                <w:color w:val="548DD4" w:themeColor="text2" w:themeTint="99"/>
              </w:rPr>
              <w:t>, to its application to IPART,</w:t>
            </w:r>
            <w:r w:rsidRPr="00B27C78">
              <w:rPr>
                <w:color w:val="548DD4" w:themeColor="text2" w:themeTint="99"/>
              </w:rPr>
              <w:t xml:space="preserve"> a copy of the Instrument of Approval that has been signed by </w:t>
            </w:r>
            <w:r w:rsidR="00B230DF" w:rsidRPr="00B27C78">
              <w:rPr>
                <w:color w:val="548DD4" w:themeColor="text2" w:themeTint="99"/>
              </w:rPr>
              <w:t>the Minister or IPART Chairman.</w:t>
            </w:r>
          </w:p>
        </w:tc>
      </w:tr>
      <w:tr w:rsidR="00D60EA5" w:rsidRPr="00B27C78" w14:paraId="18D704E3" w14:textId="77777777" w:rsidTr="003C43CC">
        <w:trPr>
          <w:cantSplit/>
          <w:trHeight w:hRule="exact" w:val="198"/>
        </w:trPr>
        <w:tc>
          <w:tcPr>
            <w:tcW w:w="8464" w:type="dxa"/>
            <w:tcBorders>
              <w:bottom w:val="single" w:sz="24" w:space="0" w:color="7C7C7C"/>
            </w:tcBorders>
            <w:shd w:val="clear" w:color="auto" w:fill="auto"/>
            <w:tcMar>
              <w:left w:w="0" w:type="dxa"/>
              <w:right w:w="0" w:type="dxa"/>
            </w:tcMar>
          </w:tcPr>
          <w:p w14:paraId="18D704E2" w14:textId="77777777" w:rsidR="00D60EA5" w:rsidRPr="00B27C78" w:rsidRDefault="00D60EA5" w:rsidP="006607B9">
            <w:pPr>
              <w:pStyle w:val="Source"/>
              <w:keepNext/>
              <w:ind w:left="-57"/>
              <w:rPr>
                <w:color w:val="548DD4" w:themeColor="text2" w:themeTint="99"/>
              </w:rPr>
            </w:pPr>
          </w:p>
        </w:tc>
      </w:tr>
    </w:tbl>
    <w:p w14:paraId="18D704E6" w14:textId="77777777" w:rsidR="00D60EA5" w:rsidRPr="00B17EC1" w:rsidRDefault="00D60EA5" w:rsidP="00D60EA5">
      <w:pPr>
        <w:pStyle w:val="Heading2"/>
        <w:ind w:right="-141"/>
        <w:rPr>
          <w:bCs/>
        </w:rPr>
      </w:pPr>
      <w:bookmarkStart w:id="89" w:name="_Toc366160411"/>
      <w:bookmarkStart w:id="90" w:name="_Toc412798922"/>
      <w:r w:rsidRPr="00B17EC1">
        <w:rPr>
          <w:bCs/>
        </w:rPr>
        <w:t>The consultation strategy</w:t>
      </w:r>
      <w:bookmarkEnd w:id="89"/>
      <w:bookmarkEnd w:id="90"/>
    </w:p>
    <w:p w14:paraId="18D704E7" w14:textId="77777777" w:rsidR="00D60EA5" w:rsidRPr="0031650A" w:rsidRDefault="003D55F5" w:rsidP="00D60EA5">
      <w:pPr>
        <w:pStyle w:val="BodyText"/>
        <w:rPr>
          <w:color w:val="0070C0"/>
        </w:rPr>
      </w:pPr>
      <w:r w:rsidRPr="0031650A">
        <w:rPr>
          <w:color w:val="0070C0"/>
        </w:rPr>
        <w:t>The council is required to p</w:t>
      </w:r>
      <w:r w:rsidR="00D60EA5" w:rsidRPr="0031650A">
        <w:rPr>
          <w:color w:val="0070C0"/>
        </w:rPr>
        <w:t xml:space="preserve">rovide details of the consultation strategy undertaken, including the range of methods used to inform </w:t>
      </w:r>
      <w:r w:rsidR="00D47243" w:rsidRPr="0031650A">
        <w:rPr>
          <w:color w:val="0070C0"/>
        </w:rPr>
        <w:t xml:space="preserve">and engage with </w:t>
      </w:r>
      <w:r w:rsidR="00D60EA5" w:rsidRPr="0031650A">
        <w:rPr>
          <w:color w:val="0070C0"/>
        </w:rPr>
        <w:t>the community about the proposed special variation</w:t>
      </w:r>
      <w:r w:rsidR="00D47243" w:rsidRPr="0031650A">
        <w:rPr>
          <w:color w:val="0070C0"/>
        </w:rPr>
        <w:t xml:space="preserve"> and </w:t>
      </w:r>
      <w:r w:rsidR="00D60EA5" w:rsidRPr="0031650A">
        <w:rPr>
          <w:color w:val="0070C0"/>
        </w:rPr>
        <w:t xml:space="preserve">to obtain </w:t>
      </w:r>
      <w:r w:rsidR="00D47243" w:rsidRPr="0031650A">
        <w:rPr>
          <w:color w:val="0070C0"/>
        </w:rPr>
        <w:t xml:space="preserve">community </w:t>
      </w:r>
      <w:r w:rsidR="00D60EA5" w:rsidRPr="0031650A">
        <w:rPr>
          <w:color w:val="0070C0"/>
        </w:rPr>
        <w:t xml:space="preserve">input and feedback.  The </w:t>
      </w:r>
      <w:r w:rsidR="00D47243" w:rsidRPr="0031650A">
        <w:rPr>
          <w:color w:val="0070C0"/>
        </w:rPr>
        <w:t>e</w:t>
      </w:r>
      <w:r w:rsidR="00D60EA5" w:rsidRPr="0031650A">
        <w:rPr>
          <w:color w:val="0070C0"/>
        </w:rPr>
        <w:t>ngagement activities could include media releases, mail outs, focus groups,</w:t>
      </w:r>
      <w:r w:rsidR="00445306" w:rsidRPr="0031650A">
        <w:rPr>
          <w:color w:val="0070C0"/>
        </w:rPr>
        <w:t xml:space="preserve"> statistically valid</w:t>
      </w:r>
      <w:r w:rsidR="00D60EA5" w:rsidRPr="0031650A">
        <w:rPr>
          <w:color w:val="0070C0"/>
        </w:rPr>
        <w:t xml:space="preserve"> random or opt-in surveys, online discussions, public meetings, newspaper advertisements and public exhibition of documents.</w:t>
      </w:r>
    </w:p>
    <w:p w14:paraId="18D704E8" w14:textId="77777777" w:rsidR="00D60EA5" w:rsidRDefault="00A76397" w:rsidP="00D60EA5">
      <w:pPr>
        <w:pStyle w:val="BodyText"/>
        <w:rPr>
          <w:color w:val="0070C0"/>
        </w:rPr>
      </w:pPr>
      <w:r w:rsidRPr="0031650A">
        <w:rPr>
          <w:color w:val="0070C0"/>
        </w:rPr>
        <w:t>The council is to p</w:t>
      </w:r>
      <w:r w:rsidR="00D60EA5" w:rsidRPr="0031650A">
        <w:rPr>
          <w:color w:val="0070C0"/>
        </w:rPr>
        <w:t xml:space="preserve">rovide relevant extracts of the IP&amp;R documents that explain the </w:t>
      </w:r>
      <w:r w:rsidR="00D47243" w:rsidRPr="0031650A">
        <w:rPr>
          <w:color w:val="0070C0"/>
        </w:rPr>
        <w:t xml:space="preserve">proposed rate rises under the special variation </w:t>
      </w:r>
      <w:r w:rsidR="00D60EA5" w:rsidRPr="0031650A">
        <w:rPr>
          <w:color w:val="0070C0"/>
        </w:rPr>
        <w:t>and attach relevant samples of the council’s consultation material.</w:t>
      </w:r>
    </w:p>
    <w:p w14:paraId="45B5BDF6" w14:textId="77777777" w:rsidR="00CE3BFE" w:rsidRDefault="00CE3BFE" w:rsidP="00833E36">
      <w:pPr>
        <w:pStyle w:val="Default"/>
        <w:spacing w:line="276" w:lineRule="auto"/>
        <w:jc w:val="both"/>
        <w:rPr>
          <w:sz w:val="20"/>
          <w:szCs w:val="20"/>
        </w:rPr>
      </w:pPr>
    </w:p>
    <w:p w14:paraId="3A8B279D" w14:textId="53A0B830" w:rsidR="0031650A" w:rsidRDefault="0031650A" w:rsidP="007D715E">
      <w:pPr>
        <w:pStyle w:val="Default"/>
        <w:spacing w:line="276" w:lineRule="auto"/>
        <w:jc w:val="both"/>
        <w:rPr>
          <w:sz w:val="20"/>
          <w:szCs w:val="20"/>
        </w:rPr>
      </w:pPr>
      <w:r w:rsidRPr="006671F8">
        <w:rPr>
          <w:sz w:val="20"/>
          <w:szCs w:val="20"/>
        </w:rPr>
        <w:t xml:space="preserve">This section outlines how the Council undertook its community engagement on the proposed options for </w:t>
      </w:r>
      <w:r w:rsidRPr="006671F8">
        <w:rPr>
          <w:i/>
          <w:sz w:val="20"/>
          <w:szCs w:val="20"/>
        </w:rPr>
        <w:t>Resourcing Our Future</w:t>
      </w:r>
      <w:r w:rsidRPr="006671F8">
        <w:rPr>
          <w:sz w:val="20"/>
          <w:szCs w:val="20"/>
        </w:rPr>
        <w:t>, including the methods the Council used to inform, consult and involve the community.</w:t>
      </w:r>
    </w:p>
    <w:p w14:paraId="1A419B1F" w14:textId="77777777" w:rsidR="00DD2B87" w:rsidRDefault="00DD2B87" w:rsidP="007D715E">
      <w:pPr>
        <w:pStyle w:val="Default"/>
        <w:spacing w:line="276" w:lineRule="auto"/>
        <w:jc w:val="both"/>
        <w:rPr>
          <w:sz w:val="20"/>
          <w:szCs w:val="20"/>
        </w:rPr>
      </w:pPr>
    </w:p>
    <w:p w14:paraId="603FBD41" w14:textId="77777777" w:rsidR="00FB3EDB" w:rsidRDefault="00DD2B87" w:rsidP="007D715E">
      <w:pPr>
        <w:pStyle w:val="Default"/>
        <w:spacing w:line="276" w:lineRule="auto"/>
        <w:jc w:val="both"/>
        <w:rPr>
          <w:sz w:val="20"/>
          <w:szCs w:val="20"/>
        </w:rPr>
      </w:pPr>
      <w:r>
        <w:rPr>
          <w:sz w:val="20"/>
          <w:szCs w:val="20"/>
        </w:rPr>
        <w:t xml:space="preserve">This </w:t>
      </w:r>
      <w:r w:rsidR="00810A0A">
        <w:rPr>
          <w:sz w:val="20"/>
          <w:szCs w:val="20"/>
        </w:rPr>
        <w:t xml:space="preserve">engagement </w:t>
      </w:r>
      <w:r>
        <w:rPr>
          <w:sz w:val="20"/>
          <w:szCs w:val="20"/>
        </w:rPr>
        <w:t>was part of a longer-term dialogue with the community on how best to achieve affordable and acceptable levels of service</w:t>
      </w:r>
      <w:r w:rsidR="00FB3EDB">
        <w:rPr>
          <w:sz w:val="20"/>
          <w:szCs w:val="20"/>
        </w:rPr>
        <w:t xml:space="preserve">. </w:t>
      </w:r>
    </w:p>
    <w:p w14:paraId="749002ED" w14:textId="77777777" w:rsidR="00FB3EDB" w:rsidRDefault="00FB3EDB" w:rsidP="007D715E">
      <w:pPr>
        <w:pStyle w:val="Default"/>
        <w:spacing w:line="276" w:lineRule="auto"/>
        <w:jc w:val="both"/>
        <w:rPr>
          <w:sz w:val="20"/>
          <w:szCs w:val="20"/>
        </w:rPr>
      </w:pPr>
    </w:p>
    <w:p w14:paraId="6747EA68" w14:textId="7ADB83F9" w:rsidR="00810A0A" w:rsidRDefault="00FB3EDB" w:rsidP="00833E36">
      <w:pPr>
        <w:pStyle w:val="Default"/>
        <w:spacing w:line="276" w:lineRule="auto"/>
        <w:jc w:val="both"/>
        <w:rPr>
          <w:sz w:val="20"/>
          <w:szCs w:val="20"/>
        </w:rPr>
      </w:pPr>
      <w:r w:rsidRPr="00FB3EDB">
        <w:rPr>
          <w:b/>
          <w:sz w:val="20"/>
          <w:szCs w:val="20"/>
        </w:rPr>
        <w:t xml:space="preserve">In 2010 </w:t>
      </w:r>
      <w:r>
        <w:rPr>
          <w:sz w:val="20"/>
          <w:szCs w:val="20"/>
        </w:rPr>
        <w:t>the Council engaged the community on affordable service levels as part of a comprehensive community consultation on the Council’s</w:t>
      </w:r>
      <w:r w:rsidR="00810A0A">
        <w:rPr>
          <w:sz w:val="20"/>
          <w:szCs w:val="20"/>
        </w:rPr>
        <w:t xml:space="preserve"> first 10 year Resourcing Strategy and the update of the Council’s </w:t>
      </w:r>
      <w:r>
        <w:rPr>
          <w:sz w:val="20"/>
          <w:szCs w:val="20"/>
        </w:rPr>
        <w:t xml:space="preserve">City Strategy/ </w:t>
      </w:r>
      <w:r w:rsidR="00810A0A">
        <w:rPr>
          <w:sz w:val="20"/>
          <w:szCs w:val="20"/>
        </w:rPr>
        <w:t>Community Strategic Plan</w:t>
      </w:r>
      <w:r w:rsidR="00DD2B87">
        <w:rPr>
          <w:sz w:val="20"/>
          <w:szCs w:val="20"/>
        </w:rPr>
        <w:t xml:space="preserve">. </w:t>
      </w:r>
    </w:p>
    <w:p w14:paraId="741FDBEE" w14:textId="77777777" w:rsidR="00810A0A" w:rsidRDefault="00810A0A" w:rsidP="00833E36">
      <w:pPr>
        <w:pStyle w:val="Default"/>
        <w:spacing w:line="276" w:lineRule="auto"/>
        <w:jc w:val="both"/>
        <w:rPr>
          <w:sz w:val="20"/>
          <w:szCs w:val="20"/>
        </w:rPr>
      </w:pPr>
    </w:p>
    <w:p w14:paraId="36524581" w14:textId="4CF87EA8" w:rsidR="00DD2B87" w:rsidRPr="006671F8" w:rsidRDefault="00DD2B87" w:rsidP="00833E36">
      <w:pPr>
        <w:pStyle w:val="Default"/>
        <w:spacing w:line="276" w:lineRule="auto"/>
        <w:jc w:val="both"/>
        <w:rPr>
          <w:sz w:val="20"/>
          <w:szCs w:val="20"/>
        </w:rPr>
      </w:pPr>
      <w:r w:rsidRPr="00FB3EDB">
        <w:rPr>
          <w:b/>
          <w:sz w:val="20"/>
          <w:szCs w:val="20"/>
        </w:rPr>
        <w:t>In 2012 and 2013</w:t>
      </w:r>
      <w:r>
        <w:rPr>
          <w:sz w:val="20"/>
          <w:szCs w:val="20"/>
        </w:rPr>
        <w:t xml:space="preserve"> the community was informed, consulted and engaged through a range of initiatives on the review and update of the Community Strategic Plan. This included discussion around whether residents would be prepared to pay increased rates in order to maintain and improve service levels. </w:t>
      </w:r>
    </w:p>
    <w:p w14:paraId="0845AD00" w14:textId="77777777" w:rsidR="004C13C1" w:rsidRPr="006671F8" w:rsidRDefault="004C13C1" w:rsidP="00833E36">
      <w:pPr>
        <w:pStyle w:val="Default"/>
        <w:spacing w:line="276" w:lineRule="auto"/>
        <w:jc w:val="both"/>
        <w:rPr>
          <w:sz w:val="20"/>
          <w:szCs w:val="20"/>
        </w:rPr>
      </w:pPr>
    </w:p>
    <w:p w14:paraId="78DE2B91" w14:textId="71FC881C" w:rsidR="0031650A" w:rsidRDefault="00FB3EDB" w:rsidP="00833E36">
      <w:pPr>
        <w:pStyle w:val="Default"/>
        <w:spacing w:line="276" w:lineRule="auto"/>
        <w:jc w:val="both"/>
        <w:rPr>
          <w:sz w:val="20"/>
          <w:szCs w:val="20"/>
        </w:rPr>
      </w:pPr>
      <w:r>
        <w:rPr>
          <w:b/>
          <w:sz w:val="20"/>
          <w:szCs w:val="20"/>
        </w:rPr>
        <w:t>In mid-2014</w:t>
      </w:r>
      <w:r w:rsidR="0031650A" w:rsidRPr="006671F8">
        <w:rPr>
          <w:sz w:val="20"/>
          <w:szCs w:val="20"/>
        </w:rPr>
        <w:t xml:space="preserve"> the Council </w:t>
      </w:r>
      <w:r w:rsidR="00DB552C" w:rsidRPr="006671F8">
        <w:rPr>
          <w:sz w:val="20"/>
          <w:szCs w:val="20"/>
        </w:rPr>
        <w:t xml:space="preserve">adopted the </w:t>
      </w:r>
      <w:r w:rsidR="00DB552C" w:rsidRPr="004C13C1">
        <w:rPr>
          <w:sz w:val="20"/>
          <w:szCs w:val="20"/>
        </w:rPr>
        <w:t>R</w:t>
      </w:r>
      <w:r w:rsidR="00DB552C" w:rsidRPr="008B4DC8">
        <w:rPr>
          <w:i/>
          <w:sz w:val="20"/>
          <w:szCs w:val="20"/>
        </w:rPr>
        <w:t>esourcing Our Future: Community Engagement Strategy</w:t>
      </w:r>
      <w:r w:rsidR="0031650A" w:rsidRPr="006671F8">
        <w:rPr>
          <w:sz w:val="20"/>
          <w:szCs w:val="20"/>
        </w:rPr>
        <w:t xml:space="preserve"> </w:t>
      </w:r>
      <w:r w:rsidR="00DB552C" w:rsidRPr="006671F8">
        <w:rPr>
          <w:sz w:val="20"/>
          <w:szCs w:val="20"/>
        </w:rPr>
        <w:t>for impl</w:t>
      </w:r>
      <w:r w:rsidR="00737E01" w:rsidRPr="006671F8">
        <w:rPr>
          <w:sz w:val="20"/>
          <w:szCs w:val="20"/>
        </w:rPr>
        <w:t xml:space="preserve">ementation </w:t>
      </w:r>
      <w:r w:rsidR="0031650A" w:rsidRPr="006671F8">
        <w:rPr>
          <w:sz w:val="20"/>
          <w:szCs w:val="20"/>
        </w:rPr>
        <w:t xml:space="preserve">(see Attachment </w:t>
      </w:r>
      <w:r w:rsidR="00026104">
        <w:rPr>
          <w:sz w:val="20"/>
          <w:szCs w:val="20"/>
        </w:rPr>
        <w:t>5</w:t>
      </w:r>
      <w:r w:rsidR="008B4DC8">
        <w:rPr>
          <w:sz w:val="20"/>
          <w:szCs w:val="20"/>
        </w:rPr>
        <w:t>a</w:t>
      </w:r>
      <w:r w:rsidR="0031650A" w:rsidRPr="006671F8">
        <w:rPr>
          <w:sz w:val="20"/>
          <w:szCs w:val="20"/>
        </w:rPr>
        <w:t xml:space="preserve">). The engagement process subsequently implemented was </w:t>
      </w:r>
      <w:r w:rsidR="00737E01" w:rsidRPr="006671F8">
        <w:rPr>
          <w:sz w:val="20"/>
          <w:szCs w:val="20"/>
        </w:rPr>
        <w:t xml:space="preserve">comprehensive, and included a number of different engagement methods, as detailed </w:t>
      </w:r>
      <w:r w:rsidR="003A7EAD">
        <w:rPr>
          <w:sz w:val="20"/>
          <w:szCs w:val="20"/>
        </w:rPr>
        <w:t>in the flow charts and t</w:t>
      </w:r>
      <w:r w:rsidR="008B4DC8">
        <w:rPr>
          <w:sz w:val="20"/>
          <w:szCs w:val="20"/>
        </w:rPr>
        <w:t>ables</w:t>
      </w:r>
      <w:r w:rsidR="003A7EAD">
        <w:rPr>
          <w:sz w:val="20"/>
          <w:szCs w:val="20"/>
        </w:rPr>
        <w:t xml:space="preserve"> that follow</w:t>
      </w:r>
      <w:r w:rsidR="0031650A" w:rsidRPr="006671F8">
        <w:rPr>
          <w:sz w:val="20"/>
          <w:szCs w:val="20"/>
        </w:rPr>
        <w:t>.</w:t>
      </w:r>
    </w:p>
    <w:p w14:paraId="45D63088" w14:textId="7A8EC6F3" w:rsidR="004C13C1" w:rsidRDefault="00BA7C84" w:rsidP="00833E36">
      <w:pPr>
        <w:pStyle w:val="BodyText"/>
        <w:spacing w:after="120" w:line="276" w:lineRule="auto"/>
        <w:rPr>
          <w:rFonts w:ascii="Arial" w:hAnsi="Arial" w:cs="Arial"/>
          <w:b/>
          <w:sz w:val="20"/>
          <w:szCs w:val="20"/>
        </w:rPr>
      </w:pPr>
      <w:r w:rsidRPr="006671F8">
        <w:rPr>
          <w:rFonts w:ascii="Arial" w:hAnsi="Arial" w:cs="Arial"/>
          <w:b/>
          <w:sz w:val="20"/>
          <w:szCs w:val="20"/>
        </w:rPr>
        <w:t>Methods of Engagement</w:t>
      </w:r>
      <w:r w:rsidR="00507508">
        <w:rPr>
          <w:rFonts w:ascii="Arial" w:hAnsi="Arial" w:cs="Arial"/>
          <w:b/>
          <w:sz w:val="20"/>
          <w:szCs w:val="20"/>
        </w:rPr>
        <w:t xml:space="preserve"> in 2014</w:t>
      </w:r>
    </w:p>
    <w:p w14:paraId="3B8059D0" w14:textId="5223E0C8" w:rsidR="008B4DC8" w:rsidRDefault="004C13C1" w:rsidP="00833E36">
      <w:pPr>
        <w:pStyle w:val="Default"/>
        <w:spacing w:line="276" w:lineRule="auto"/>
        <w:jc w:val="both"/>
        <w:rPr>
          <w:sz w:val="20"/>
          <w:szCs w:val="20"/>
        </w:rPr>
      </w:pPr>
      <w:r>
        <w:rPr>
          <w:sz w:val="20"/>
          <w:szCs w:val="20"/>
        </w:rPr>
        <w:t>T</w:t>
      </w:r>
      <w:r w:rsidR="00BA7C84" w:rsidRPr="006671F8">
        <w:rPr>
          <w:sz w:val="20"/>
          <w:szCs w:val="20"/>
        </w:rPr>
        <w:t>he methods used by the Council to inform its community and obtain feedback are detailed in the Outcome of Community C</w:t>
      </w:r>
      <w:r w:rsidR="0024275D">
        <w:rPr>
          <w:sz w:val="20"/>
          <w:szCs w:val="20"/>
        </w:rPr>
        <w:t>on</w:t>
      </w:r>
      <w:r w:rsidR="00CC63B0">
        <w:rPr>
          <w:sz w:val="20"/>
          <w:szCs w:val="20"/>
        </w:rPr>
        <w:t>sultation Report (</w:t>
      </w:r>
      <w:r w:rsidR="00CC63B0" w:rsidRPr="00507508">
        <w:rPr>
          <w:b/>
          <w:sz w:val="20"/>
          <w:szCs w:val="20"/>
        </w:rPr>
        <w:t>Attachment 6a</w:t>
      </w:r>
      <w:r w:rsidR="00BA7C84" w:rsidRPr="006671F8">
        <w:rPr>
          <w:sz w:val="20"/>
          <w:szCs w:val="20"/>
        </w:rPr>
        <w:t>)</w:t>
      </w:r>
      <w:r w:rsidR="003A7EAD">
        <w:rPr>
          <w:sz w:val="20"/>
          <w:szCs w:val="20"/>
        </w:rPr>
        <w:t xml:space="preserve"> and summarised in the f</w:t>
      </w:r>
      <w:r w:rsidR="008B4DC8">
        <w:rPr>
          <w:sz w:val="20"/>
          <w:szCs w:val="20"/>
        </w:rPr>
        <w:t>lowcharts and table below.</w:t>
      </w:r>
    </w:p>
    <w:p w14:paraId="460265F1" w14:textId="77777777" w:rsidR="008B4DC8" w:rsidRDefault="008B4DC8" w:rsidP="00833E36">
      <w:pPr>
        <w:pStyle w:val="Default"/>
        <w:spacing w:line="276" w:lineRule="auto"/>
        <w:jc w:val="both"/>
        <w:rPr>
          <w:sz w:val="20"/>
          <w:szCs w:val="20"/>
        </w:rPr>
      </w:pPr>
    </w:p>
    <w:p w14:paraId="4C1EE168" w14:textId="77777777" w:rsidR="008B4DC8" w:rsidRDefault="008B4DC8" w:rsidP="00833E36">
      <w:pPr>
        <w:pStyle w:val="Default"/>
        <w:spacing w:line="276" w:lineRule="auto"/>
        <w:jc w:val="both"/>
        <w:rPr>
          <w:rFonts w:eastAsiaTheme="minorEastAsia"/>
          <w:sz w:val="20"/>
          <w:szCs w:val="20"/>
          <w:lang w:val="en-US" w:eastAsia="en-US"/>
        </w:rPr>
      </w:pPr>
      <w:r w:rsidRPr="001232CE">
        <w:rPr>
          <w:rFonts w:eastAsiaTheme="minorEastAsia"/>
          <w:sz w:val="20"/>
          <w:szCs w:val="20"/>
          <w:lang w:val="en-US" w:eastAsia="en-US"/>
        </w:rPr>
        <w:t>To support</w:t>
      </w:r>
      <w:r>
        <w:rPr>
          <w:rFonts w:eastAsiaTheme="minorEastAsia"/>
          <w:sz w:val="20"/>
          <w:szCs w:val="20"/>
          <w:lang w:val="en-US" w:eastAsia="en-US"/>
        </w:rPr>
        <w:t xml:space="preserve"> the community </w:t>
      </w:r>
      <w:r w:rsidRPr="001232CE">
        <w:rPr>
          <w:rFonts w:eastAsiaTheme="minorEastAsia"/>
          <w:sz w:val="20"/>
          <w:szCs w:val="20"/>
          <w:lang w:val="en-US" w:eastAsia="en-US"/>
        </w:rPr>
        <w:t xml:space="preserve">engagement process, a comprehensive package of information was provided on the </w:t>
      </w:r>
      <w:r>
        <w:rPr>
          <w:rFonts w:eastAsiaTheme="minorEastAsia"/>
          <w:sz w:val="20"/>
          <w:szCs w:val="20"/>
          <w:lang w:val="en-US" w:eastAsia="en-US"/>
        </w:rPr>
        <w:t xml:space="preserve">Council’s </w:t>
      </w:r>
      <w:r w:rsidRPr="001232CE">
        <w:rPr>
          <w:rFonts w:eastAsiaTheme="minorEastAsia"/>
          <w:sz w:val="20"/>
          <w:szCs w:val="20"/>
          <w:lang w:val="en-US" w:eastAsia="en-US"/>
        </w:rPr>
        <w:t xml:space="preserve">website, with hard copies of key documents available for viewing at libraries and the Council’s Katoomba office. </w:t>
      </w:r>
      <w:r>
        <w:rPr>
          <w:rFonts w:eastAsiaTheme="minorEastAsia"/>
          <w:sz w:val="20"/>
          <w:szCs w:val="20"/>
          <w:lang w:val="en-US" w:eastAsia="en-US"/>
        </w:rPr>
        <w:t xml:space="preserve">As detailed in </w:t>
      </w:r>
      <w:r w:rsidRPr="00507508">
        <w:rPr>
          <w:rFonts w:eastAsiaTheme="minorEastAsia"/>
          <w:b/>
          <w:sz w:val="20"/>
          <w:szCs w:val="20"/>
          <w:lang w:val="en-US" w:eastAsia="en-US"/>
        </w:rPr>
        <w:t>Attachment 5b</w:t>
      </w:r>
      <w:r>
        <w:rPr>
          <w:rFonts w:eastAsiaTheme="minorEastAsia"/>
          <w:sz w:val="20"/>
          <w:szCs w:val="20"/>
          <w:lang w:val="en-US" w:eastAsia="en-US"/>
        </w:rPr>
        <w:t>, the consultation and engagement process included:</w:t>
      </w:r>
    </w:p>
    <w:p w14:paraId="57BA3D2E" w14:textId="77777777" w:rsidR="008B4DC8" w:rsidRDefault="008B4DC8" w:rsidP="00833E36">
      <w:pPr>
        <w:pStyle w:val="Default"/>
        <w:spacing w:line="276" w:lineRule="auto"/>
        <w:jc w:val="both"/>
        <w:rPr>
          <w:rFonts w:eastAsiaTheme="minorEastAsia"/>
          <w:sz w:val="20"/>
          <w:szCs w:val="20"/>
          <w:lang w:val="en-US" w:eastAsia="en-US"/>
        </w:rPr>
      </w:pPr>
    </w:p>
    <w:p w14:paraId="325BAAE3" w14:textId="2CD446EB" w:rsidR="00833E36" w:rsidRDefault="008B4DC8" w:rsidP="00833E36">
      <w:pPr>
        <w:pStyle w:val="Default"/>
        <w:numPr>
          <w:ilvl w:val="0"/>
          <w:numId w:val="47"/>
        </w:numPr>
        <w:spacing w:line="276" w:lineRule="auto"/>
        <w:jc w:val="both"/>
        <w:rPr>
          <w:rFonts w:eastAsiaTheme="minorEastAsia"/>
          <w:color w:val="auto"/>
          <w:sz w:val="20"/>
          <w:szCs w:val="20"/>
          <w:lang w:val="en-US" w:eastAsia="en-US"/>
        </w:rPr>
      </w:pPr>
      <w:r w:rsidRPr="00D41770">
        <w:rPr>
          <w:rFonts w:eastAsiaTheme="minorEastAsia"/>
          <w:color w:val="auto"/>
          <w:sz w:val="20"/>
          <w:szCs w:val="20"/>
          <w:lang w:val="en-US" w:eastAsia="en-US"/>
        </w:rPr>
        <w:t>Public exhibition of updated Integrated Plans</w:t>
      </w:r>
      <w:r w:rsidR="00BE1C92">
        <w:rPr>
          <w:rFonts w:eastAsiaTheme="minorEastAsia"/>
          <w:color w:val="auto"/>
          <w:sz w:val="20"/>
          <w:szCs w:val="20"/>
          <w:lang w:val="en-US" w:eastAsia="en-US"/>
        </w:rPr>
        <w:t xml:space="preserve"> over an extended 43 day period, </w:t>
      </w:r>
      <w:r w:rsidR="00775E8F" w:rsidRPr="00D41770">
        <w:rPr>
          <w:rFonts w:eastAsiaTheme="minorEastAsia"/>
          <w:color w:val="auto"/>
          <w:sz w:val="20"/>
          <w:szCs w:val="20"/>
          <w:lang w:val="en-US" w:eastAsia="en-US"/>
        </w:rPr>
        <w:t xml:space="preserve">including the draft updated </w:t>
      </w:r>
      <w:r w:rsidR="00775E8F" w:rsidRPr="00D41770">
        <w:rPr>
          <w:rFonts w:eastAsiaTheme="minorEastAsia"/>
          <w:i/>
          <w:color w:val="auto"/>
          <w:sz w:val="20"/>
          <w:szCs w:val="20"/>
          <w:lang w:val="en-US" w:eastAsia="en-US"/>
        </w:rPr>
        <w:t>Resourcing Strategy 2014-2024</w:t>
      </w:r>
      <w:r w:rsidR="00775E8F" w:rsidRPr="00D41770">
        <w:rPr>
          <w:rFonts w:eastAsiaTheme="minorEastAsia"/>
          <w:color w:val="auto"/>
          <w:sz w:val="20"/>
          <w:szCs w:val="20"/>
          <w:lang w:val="en-US" w:eastAsia="en-US"/>
        </w:rPr>
        <w:t xml:space="preserve">, </w:t>
      </w:r>
      <w:r w:rsidR="00775E8F" w:rsidRPr="00D41770">
        <w:rPr>
          <w:rFonts w:eastAsiaTheme="minorEastAsia"/>
          <w:i/>
          <w:color w:val="auto"/>
          <w:sz w:val="20"/>
          <w:szCs w:val="20"/>
          <w:lang w:val="en-US" w:eastAsia="en-US"/>
        </w:rPr>
        <w:t>Service Dashboards: Summary Service and Asset Plans</w:t>
      </w:r>
      <w:r w:rsidR="00775E8F" w:rsidRPr="00D41770">
        <w:rPr>
          <w:rFonts w:eastAsiaTheme="minorEastAsia"/>
          <w:color w:val="auto"/>
          <w:sz w:val="20"/>
          <w:szCs w:val="20"/>
          <w:lang w:val="en-US" w:eastAsia="en-US"/>
        </w:rPr>
        <w:t xml:space="preserve"> and a </w:t>
      </w:r>
      <w:r w:rsidR="00775E8F" w:rsidRPr="00BE1C92">
        <w:rPr>
          <w:rFonts w:eastAsiaTheme="minorEastAsia"/>
          <w:i/>
          <w:color w:val="auto"/>
          <w:sz w:val="20"/>
          <w:szCs w:val="20"/>
          <w:lang w:val="en-US" w:eastAsia="en-US"/>
        </w:rPr>
        <w:t>Supplementary Delivery Program</w:t>
      </w:r>
      <w:r w:rsidR="00775E8F" w:rsidRPr="00D41770">
        <w:rPr>
          <w:rFonts w:eastAsiaTheme="minorEastAsia"/>
          <w:color w:val="auto"/>
          <w:sz w:val="20"/>
          <w:szCs w:val="20"/>
          <w:lang w:val="en-US" w:eastAsia="en-US"/>
        </w:rPr>
        <w:t xml:space="preserve"> (covering the period of the proposed special variation 2015/16 to 2018/19) – with all of these documents </w:t>
      </w:r>
      <w:r w:rsidR="00BE1C92">
        <w:rPr>
          <w:rFonts w:eastAsiaTheme="minorEastAsia"/>
          <w:color w:val="auto"/>
          <w:sz w:val="20"/>
          <w:szCs w:val="20"/>
          <w:lang w:val="en-US" w:eastAsia="en-US"/>
        </w:rPr>
        <w:t xml:space="preserve">detailing the impact of the </w:t>
      </w:r>
      <w:r w:rsidR="00775E8F" w:rsidRPr="00D41770">
        <w:rPr>
          <w:rFonts w:eastAsiaTheme="minorEastAsia"/>
          <w:color w:val="auto"/>
          <w:sz w:val="20"/>
          <w:szCs w:val="20"/>
          <w:lang w:val="en-US" w:eastAsia="en-US"/>
        </w:rPr>
        <w:t xml:space="preserve">three alternative funding options </w:t>
      </w:r>
      <w:r w:rsidR="00D41770" w:rsidRPr="00D41770">
        <w:rPr>
          <w:rFonts w:eastAsiaTheme="minorEastAsia"/>
          <w:color w:val="auto"/>
          <w:sz w:val="20"/>
          <w:szCs w:val="20"/>
          <w:lang w:val="en-US" w:eastAsia="en-US"/>
        </w:rPr>
        <w:t>/</w:t>
      </w:r>
      <w:r w:rsidR="00775E8F" w:rsidRPr="00D41770">
        <w:rPr>
          <w:rFonts w:eastAsiaTheme="minorEastAsia"/>
          <w:color w:val="auto"/>
          <w:sz w:val="20"/>
          <w:szCs w:val="20"/>
          <w:lang w:val="en-US" w:eastAsia="en-US"/>
        </w:rPr>
        <w:t xml:space="preserve"> financial scenarios for Resourcing Our Future</w:t>
      </w:r>
      <w:r w:rsidR="00507508">
        <w:rPr>
          <w:rFonts w:eastAsiaTheme="minorEastAsia"/>
          <w:color w:val="auto"/>
          <w:sz w:val="20"/>
          <w:szCs w:val="20"/>
          <w:lang w:val="en-US" w:eastAsia="en-US"/>
        </w:rPr>
        <w:t xml:space="preserve"> on service levels</w:t>
      </w:r>
      <w:r w:rsidR="00D41770">
        <w:rPr>
          <w:rFonts w:eastAsiaTheme="minorEastAsia"/>
          <w:color w:val="auto"/>
          <w:sz w:val="20"/>
          <w:szCs w:val="20"/>
          <w:lang w:val="en-US" w:eastAsia="en-US"/>
        </w:rPr>
        <w:t>.</w:t>
      </w:r>
    </w:p>
    <w:p w14:paraId="0F54482F" w14:textId="77777777" w:rsidR="00D41770" w:rsidRPr="00D41770" w:rsidRDefault="00D41770" w:rsidP="00D41770">
      <w:pPr>
        <w:pStyle w:val="Default"/>
        <w:spacing w:line="276" w:lineRule="auto"/>
        <w:ind w:left="720"/>
        <w:jc w:val="both"/>
        <w:rPr>
          <w:rFonts w:eastAsiaTheme="minorEastAsia"/>
          <w:color w:val="auto"/>
          <w:sz w:val="20"/>
          <w:szCs w:val="20"/>
          <w:lang w:val="en-US" w:eastAsia="en-US"/>
        </w:rPr>
      </w:pPr>
    </w:p>
    <w:p w14:paraId="425D628D" w14:textId="61B60149" w:rsidR="008B4DC8" w:rsidRDefault="008B4DC8" w:rsidP="00833E36">
      <w:pPr>
        <w:pStyle w:val="Default"/>
        <w:numPr>
          <w:ilvl w:val="0"/>
          <w:numId w:val="47"/>
        </w:numPr>
        <w:spacing w:line="276" w:lineRule="auto"/>
        <w:jc w:val="both"/>
        <w:rPr>
          <w:rFonts w:eastAsiaTheme="minorEastAsia"/>
          <w:color w:val="auto"/>
          <w:sz w:val="20"/>
          <w:szCs w:val="20"/>
          <w:lang w:val="en-US" w:eastAsia="en-US"/>
        </w:rPr>
      </w:pPr>
      <w:r w:rsidRPr="005818E3">
        <w:rPr>
          <w:rFonts w:eastAsiaTheme="minorEastAsia"/>
          <w:color w:val="auto"/>
          <w:sz w:val="20"/>
          <w:szCs w:val="20"/>
          <w:lang w:val="en-US" w:eastAsia="en-US"/>
        </w:rPr>
        <w:t>A letter and four-page brochure with cut-off submission strip and reply-paid envelope sent to</w:t>
      </w:r>
      <w:r>
        <w:rPr>
          <w:rFonts w:eastAsiaTheme="minorEastAsia"/>
          <w:color w:val="auto"/>
          <w:sz w:val="20"/>
          <w:szCs w:val="20"/>
          <w:lang w:val="en-US" w:eastAsia="en-US"/>
        </w:rPr>
        <w:t xml:space="preserve"> </w:t>
      </w:r>
      <w:r w:rsidR="00507508">
        <w:rPr>
          <w:rFonts w:eastAsiaTheme="minorEastAsia"/>
          <w:color w:val="auto"/>
          <w:sz w:val="20"/>
          <w:szCs w:val="20"/>
          <w:lang w:val="en-US" w:eastAsia="en-US"/>
        </w:rPr>
        <w:t xml:space="preserve">32, 531 </w:t>
      </w:r>
      <w:r>
        <w:rPr>
          <w:rFonts w:eastAsiaTheme="minorEastAsia"/>
          <w:color w:val="auto"/>
          <w:sz w:val="20"/>
          <w:szCs w:val="20"/>
          <w:lang w:val="en-US" w:eastAsia="en-US"/>
        </w:rPr>
        <w:t>ratepayer</w:t>
      </w:r>
      <w:r w:rsidR="00507508">
        <w:rPr>
          <w:rFonts w:eastAsiaTheme="minorEastAsia"/>
          <w:color w:val="auto"/>
          <w:sz w:val="20"/>
          <w:szCs w:val="20"/>
          <w:lang w:val="en-US" w:eastAsia="en-US"/>
        </w:rPr>
        <w:t>s</w:t>
      </w:r>
      <w:r>
        <w:rPr>
          <w:rFonts w:eastAsiaTheme="minorEastAsia"/>
          <w:color w:val="auto"/>
          <w:sz w:val="20"/>
          <w:szCs w:val="20"/>
          <w:lang w:val="en-US" w:eastAsia="en-US"/>
        </w:rPr>
        <w:t xml:space="preserve"> from the Mayor</w:t>
      </w:r>
      <w:r w:rsidR="00BE1C92">
        <w:rPr>
          <w:rFonts w:eastAsiaTheme="minorEastAsia"/>
          <w:color w:val="auto"/>
          <w:sz w:val="20"/>
          <w:szCs w:val="20"/>
          <w:lang w:val="en-US" w:eastAsia="en-US"/>
        </w:rPr>
        <w:t>, early in the exhibition period.</w:t>
      </w:r>
    </w:p>
    <w:p w14:paraId="7B5A0FD8" w14:textId="77777777" w:rsidR="00833E36" w:rsidRDefault="00833E36" w:rsidP="00833E36">
      <w:pPr>
        <w:pStyle w:val="ListParagraph"/>
        <w:rPr>
          <w:rFonts w:eastAsiaTheme="minorEastAsia"/>
          <w:sz w:val="20"/>
          <w:szCs w:val="20"/>
          <w:lang w:val="en-US"/>
        </w:rPr>
      </w:pPr>
    </w:p>
    <w:p w14:paraId="139A8F85" w14:textId="371516E5" w:rsidR="008B4DC8" w:rsidRDefault="008B4DC8" w:rsidP="00833E36">
      <w:pPr>
        <w:pStyle w:val="Default"/>
        <w:numPr>
          <w:ilvl w:val="0"/>
          <w:numId w:val="47"/>
        </w:numPr>
        <w:spacing w:line="276" w:lineRule="auto"/>
        <w:jc w:val="both"/>
        <w:rPr>
          <w:rFonts w:eastAsiaTheme="minorEastAsia"/>
          <w:color w:val="auto"/>
          <w:sz w:val="20"/>
          <w:szCs w:val="20"/>
          <w:lang w:val="en-US" w:eastAsia="en-US"/>
        </w:rPr>
      </w:pPr>
      <w:r w:rsidRPr="005818E3">
        <w:rPr>
          <w:rFonts w:eastAsiaTheme="minorEastAsia"/>
          <w:color w:val="auto"/>
          <w:sz w:val="20"/>
          <w:szCs w:val="20"/>
          <w:lang w:val="en-US" w:eastAsia="en-US"/>
        </w:rPr>
        <w:t xml:space="preserve">A rating calculator provided on the </w:t>
      </w:r>
      <w:r w:rsidRPr="00BE1C92">
        <w:rPr>
          <w:rFonts w:eastAsiaTheme="minorEastAsia"/>
          <w:i/>
          <w:color w:val="auto"/>
          <w:sz w:val="20"/>
          <w:szCs w:val="20"/>
          <w:lang w:val="en-US" w:eastAsia="en-US"/>
        </w:rPr>
        <w:t xml:space="preserve">Have Your Say </w:t>
      </w:r>
      <w:r w:rsidR="00BE1C92" w:rsidRPr="00BE1C92">
        <w:rPr>
          <w:rFonts w:eastAsiaTheme="minorEastAsia"/>
          <w:i/>
          <w:color w:val="auto"/>
          <w:sz w:val="20"/>
          <w:szCs w:val="20"/>
          <w:lang w:val="en-US" w:eastAsia="en-US"/>
        </w:rPr>
        <w:t>- Resourcing Our Future</w:t>
      </w:r>
      <w:r w:rsidR="00BE1C92">
        <w:rPr>
          <w:rFonts w:eastAsiaTheme="minorEastAsia"/>
          <w:color w:val="auto"/>
          <w:sz w:val="20"/>
          <w:szCs w:val="20"/>
          <w:lang w:val="en-US" w:eastAsia="en-US"/>
        </w:rPr>
        <w:t xml:space="preserve"> </w:t>
      </w:r>
      <w:r>
        <w:rPr>
          <w:rFonts w:eastAsiaTheme="minorEastAsia"/>
          <w:color w:val="auto"/>
          <w:sz w:val="20"/>
          <w:szCs w:val="20"/>
          <w:lang w:val="en-US" w:eastAsia="en-US"/>
        </w:rPr>
        <w:t xml:space="preserve">website – allowing residential, business </w:t>
      </w:r>
      <w:r w:rsidR="00FF3257">
        <w:rPr>
          <w:rFonts w:eastAsiaTheme="minorEastAsia"/>
          <w:color w:val="auto"/>
          <w:sz w:val="20"/>
          <w:szCs w:val="20"/>
          <w:lang w:val="en-US" w:eastAsia="en-US"/>
        </w:rPr>
        <w:t xml:space="preserve">and </w:t>
      </w:r>
      <w:r>
        <w:rPr>
          <w:rFonts w:eastAsiaTheme="minorEastAsia"/>
          <w:color w:val="auto"/>
          <w:sz w:val="20"/>
          <w:szCs w:val="20"/>
          <w:lang w:val="en-US" w:eastAsia="en-US"/>
        </w:rPr>
        <w:t xml:space="preserve">farmland ratepayers to </w:t>
      </w:r>
      <w:r w:rsidR="00FF3257">
        <w:rPr>
          <w:rFonts w:eastAsiaTheme="minorEastAsia"/>
          <w:color w:val="auto"/>
          <w:sz w:val="20"/>
          <w:szCs w:val="20"/>
          <w:lang w:val="en-US" w:eastAsia="en-US"/>
        </w:rPr>
        <w:t>d</w:t>
      </w:r>
      <w:r>
        <w:rPr>
          <w:rFonts w:eastAsiaTheme="minorEastAsia"/>
          <w:color w:val="auto"/>
          <w:sz w:val="20"/>
          <w:szCs w:val="20"/>
          <w:lang w:val="en-US" w:eastAsia="en-US"/>
        </w:rPr>
        <w:t xml:space="preserve">etermine the actual impact of each funding option on their rates </w:t>
      </w:r>
      <w:r w:rsidR="00FF3257">
        <w:rPr>
          <w:rFonts w:eastAsiaTheme="minorEastAsia"/>
          <w:color w:val="auto"/>
          <w:sz w:val="20"/>
          <w:szCs w:val="20"/>
          <w:lang w:val="en-US" w:eastAsia="en-US"/>
        </w:rPr>
        <w:t xml:space="preserve">themselves </w:t>
      </w:r>
      <w:r>
        <w:rPr>
          <w:rFonts w:eastAsiaTheme="minorEastAsia"/>
          <w:color w:val="auto"/>
          <w:sz w:val="20"/>
          <w:szCs w:val="20"/>
          <w:lang w:val="en-US" w:eastAsia="en-US"/>
        </w:rPr>
        <w:t>or have Council staff do it in their behalf</w:t>
      </w:r>
      <w:r w:rsidR="00313A95">
        <w:rPr>
          <w:rFonts w:eastAsiaTheme="minorEastAsia"/>
          <w:color w:val="auto"/>
          <w:sz w:val="20"/>
          <w:szCs w:val="20"/>
          <w:lang w:val="en-US" w:eastAsia="en-US"/>
        </w:rPr>
        <w:t>.</w:t>
      </w:r>
    </w:p>
    <w:p w14:paraId="3B64DE5B" w14:textId="77777777" w:rsidR="00833E36" w:rsidRDefault="00833E36" w:rsidP="00833E36">
      <w:pPr>
        <w:pStyle w:val="ListParagraph"/>
        <w:rPr>
          <w:rFonts w:eastAsiaTheme="minorEastAsia"/>
          <w:sz w:val="20"/>
          <w:szCs w:val="20"/>
          <w:lang w:val="en-US"/>
        </w:rPr>
      </w:pPr>
    </w:p>
    <w:p w14:paraId="2B80A20E" w14:textId="0DBE07A8" w:rsidR="008B4DC8" w:rsidRDefault="00313A95" w:rsidP="00833E36">
      <w:pPr>
        <w:pStyle w:val="Default"/>
        <w:numPr>
          <w:ilvl w:val="0"/>
          <w:numId w:val="47"/>
        </w:numPr>
        <w:spacing w:line="276" w:lineRule="auto"/>
        <w:jc w:val="both"/>
        <w:rPr>
          <w:rFonts w:eastAsiaTheme="minorEastAsia"/>
          <w:color w:val="auto"/>
          <w:sz w:val="20"/>
          <w:szCs w:val="20"/>
          <w:lang w:val="en-US" w:eastAsia="en-US"/>
        </w:rPr>
      </w:pPr>
      <w:r>
        <w:rPr>
          <w:rFonts w:eastAsiaTheme="minorEastAsia"/>
          <w:color w:val="auto"/>
          <w:sz w:val="20"/>
          <w:szCs w:val="20"/>
          <w:lang w:val="en-US" w:eastAsia="en-US"/>
        </w:rPr>
        <w:t xml:space="preserve">Comprehensive </w:t>
      </w:r>
      <w:r w:rsidR="008B4DC8" w:rsidRPr="005818E3">
        <w:rPr>
          <w:rFonts w:eastAsiaTheme="minorEastAsia"/>
          <w:color w:val="auto"/>
          <w:sz w:val="20"/>
          <w:szCs w:val="20"/>
          <w:lang w:val="en-US" w:eastAsia="en-US"/>
        </w:rPr>
        <w:t>Information sheets were available online, at Council’s h</w:t>
      </w:r>
      <w:r w:rsidR="008B4DC8">
        <w:rPr>
          <w:rFonts w:eastAsiaTheme="minorEastAsia"/>
          <w:color w:val="auto"/>
          <w:sz w:val="20"/>
          <w:szCs w:val="20"/>
          <w:lang w:val="en-US" w:eastAsia="en-US"/>
        </w:rPr>
        <w:t xml:space="preserve">ead office and branch libraries </w:t>
      </w:r>
      <w:r>
        <w:rPr>
          <w:rFonts w:eastAsiaTheme="minorEastAsia"/>
          <w:color w:val="auto"/>
          <w:sz w:val="20"/>
          <w:szCs w:val="20"/>
          <w:lang w:val="en-US" w:eastAsia="en-US"/>
        </w:rPr>
        <w:t xml:space="preserve">at Blackheath, Katoomba, Lawson and Blaxland </w:t>
      </w:r>
      <w:r w:rsidR="008B4DC8">
        <w:rPr>
          <w:rFonts w:eastAsiaTheme="minorEastAsia"/>
          <w:color w:val="auto"/>
          <w:sz w:val="20"/>
          <w:szCs w:val="20"/>
          <w:lang w:val="en-US" w:eastAsia="en-US"/>
        </w:rPr>
        <w:t xml:space="preserve">– with </w:t>
      </w:r>
      <w:r w:rsidR="008B4DC8" w:rsidRPr="00313A95">
        <w:rPr>
          <w:rFonts w:eastAsiaTheme="minorEastAsia"/>
          <w:i/>
          <w:color w:val="auto"/>
          <w:sz w:val="20"/>
          <w:szCs w:val="20"/>
          <w:lang w:val="en-US" w:eastAsia="en-US"/>
        </w:rPr>
        <w:t>Information Sheet 1</w:t>
      </w:r>
      <w:r w:rsidRPr="00313A95">
        <w:rPr>
          <w:rFonts w:eastAsiaTheme="minorEastAsia"/>
          <w:i/>
          <w:color w:val="auto"/>
          <w:sz w:val="20"/>
          <w:szCs w:val="20"/>
          <w:lang w:val="en-US" w:eastAsia="en-US"/>
        </w:rPr>
        <w:t>: A Better Blue Mountains</w:t>
      </w:r>
      <w:r>
        <w:rPr>
          <w:rFonts w:eastAsiaTheme="minorEastAsia"/>
          <w:color w:val="auto"/>
          <w:sz w:val="20"/>
          <w:szCs w:val="20"/>
          <w:lang w:val="en-US" w:eastAsia="en-US"/>
        </w:rPr>
        <w:t xml:space="preserve"> </w:t>
      </w:r>
      <w:r w:rsidR="008B4DC8">
        <w:rPr>
          <w:rFonts w:eastAsiaTheme="minorEastAsia"/>
          <w:color w:val="auto"/>
          <w:sz w:val="20"/>
          <w:szCs w:val="20"/>
          <w:lang w:val="en-US" w:eastAsia="en-US"/>
        </w:rPr>
        <w:t xml:space="preserve"> including rates calculat</w:t>
      </w:r>
      <w:r>
        <w:rPr>
          <w:rFonts w:eastAsiaTheme="minorEastAsia"/>
          <w:color w:val="auto"/>
          <w:sz w:val="20"/>
          <w:szCs w:val="20"/>
          <w:lang w:val="en-US" w:eastAsia="en-US"/>
        </w:rPr>
        <w:t xml:space="preserve">ion tables </w:t>
      </w:r>
      <w:r w:rsidR="008B4DC8">
        <w:rPr>
          <w:rFonts w:eastAsiaTheme="minorEastAsia"/>
          <w:color w:val="auto"/>
          <w:sz w:val="20"/>
          <w:szCs w:val="20"/>
          <w:lang w:val="en-US" w:eastAsia="en-US"/>
        </w:rPr>
        <w:t>by land value ranges for Residential, Business and Farmland properties</w:t>
      </w:r>
    </w:p>
    <w:p w14:paraId="1E8540C6" w14:textId="77777777" w:rsidR="00833E36" w:rsidRDefault="00833E36" w:rsidP="00833E36">
      <w:pPr>
        <w:pStyle w:val="ListParagraph"/>
        <w:rPr>
          <w:rFonts w:eastAsiaTheme="minorEastAsia"/>
          <w:sz w:val="20"/>
          <w:szCs w:val="20"/>
          <w:lang w:val="en-US"/>
        </w:rPr>
      </w:pPr>
    </w:p>
    <w:p w14:paraId="00D5CA88" w14:textId="77777777" w:rsidR="008B4DC8" w:rsidRDefault="008B4DC8" w:rsidP="00833E36">
      <w:pPr>
        <w:pStyle w:val="Default"/>
        <w:numPr>
          <w:ilvl w:val="0"/>
          <w:numId w:val="47"/>
        </w:numPr>
        <w:spacing w:line="276" w:lineRule="auto"/>
        <w:jc w:val="both"/>
        <w:rPr>
          <w:rFonts w:eastAsiaTheme="minorEastAsia"/>
          <w:color w:val="auto"/>
          <w:sz w:val="20"/>
          <w:szCs w:val="20"/>
          <w:lang w:val="en-US" w:eastAsia="en-US"/>
        </w:rPr>
      </w:pPr>
      <w:r w:rsidRPr="005818E3">
        <w:rPr>
          <w:rFonts w:eastAsiaTheme="minorEastAsia"/>
          <w:color w:val="auto"/>
          <w:sz w:val="20"/>
          <w:szCs w:val="20"/>
          <w:lang w:val="en-US" w:eastAsia="en-US"/>
        </w:rPr>
        <w:t>Three half-page display ads and four public notice</w:t>
      </w:r>
      <w:r>
        <w:rPr>
          <w:rFonts w:eastAsiaTheme="minorEastAsia"/>
          <w:color w:val="auto"/>
          <w:sz w:val="20"/>
          <w:szCs w:val="20"/>
          <w:lang w:val="en-US" w:eastAsia="en-US"/>
        </w:rPr>
        <w:t>s in the Blue Mountains Gazette</w:t>
      </w:r>
    </w:p>
    <w:p w14:paraId="5A2C8DF2" w14:textId="77777777" w:rsidR="00833E36" w:rsidRDefault="00833E36" w:rsidP="00833E36">
      <w:pPr>
        <w:pStyle w:val="ListParagraph"/>
        <w:rPr>
          <w:rFonts w:eastAsiaTheme="minorEastAsia"/>
          <w:sz w:val="20"/>
          <w:szCs w:val="20"/>
          <w:lang w:val="en-US"/>
        </w:rPr>
      </w:pPr>
    </w:p>
    <w:p w14:paraId="24C775E9" w14:textId="77777777" w:rsidR="008B4DC8" w:rsidRDefault="008B4DC8" w:rsidP="00833E36">
      <w:pPr>
        <w:pStyle w:val="Default"/>
        <w:numPr>
          <w:ilvl w:val="0"/>
          <w:numId w:val="47"/>
        </w:numPr>
        <w:spacing w:line="276" w:lineRule="auto"/>
        <w:jc w:val="both"/>
        <w:rPr>
          <w:rFonts w:eastAsiaTheme="minorEastAsia"/>
          <w:color w:val="auto"/>
          <w:sz w:val="20"/>
          <w:szCs w:val="20"/>
          <w:lang w:val="en-US" w:eastAsia="en-US"/>
        </w:rPr>
      </w:pPr>
      <w:r w:rsidRPr="005818E3">
        <w:rPr>
          <w:rFonts w:eastAsiaTheme="minorEastAsia"/>
          <w:color w:val="auto"/>
          <w:sz w:val="20"/>
          <w:szCs w:val="20"/>
          <w:lang w:val="en-US" w:eastAsia="en-US"/>
        </w:rPr>
        <w:t xml:space="preserve">Business cards with details on how to find more information were provided to Councillors to hand </w:t>
      </w:r>
      <w:r>
        <w:rPr>
          <w:rFonts w:eastAsiaTheme="minorEastAsia"/>
          <w:color w:val="auto"/>
          <w:sz w:val="20"/>
          <w:szCs w:val="20"/>
          <w:lang w:val="en-US" w:eastAsia="en-US"/>
        </w:rPr>
        <w:t>out to members of the community</w:t>
      </w:r>
      <w:r w:rsidRPr="005818E3">
        <w:rPr>
          <w:rFonts w:eastAsiaTheme="minorEastAsia"/>
          <w:color w:val="auto"/>
          <w:sz w:val="20"/>
          <w:szCs w:val="20"/>
          <w:lang w:val="en-US" w:eastAsia="en-US"/>
        </w:rPr>
        <w:t xml:space="preserve"> </w:t>
      </w:r>
    </w:p>
    <w:p w14:paraId="29C20307" w14:textId="77777777" w:rsidR="00833E36" w:rsidRDefault="00833E36" w:rsidP="00833E36">
      <w:pPr>
        <w:pStyle w:val="ListParagraph"/>
        <w:rPr>
          <w:rFonts w:eastAsiaTheme="minorEastAsia"/>
          <w:sz w:val="20"/>
          <w:szCs w:val="20"/>
          <w:lang w:val="en-US"/>
        </w:rPr>
      </w:pPr>
    </w:p>
    <w:p w14:paraId="13032F75" w14:textId="77777777" w:rsidR="008B4DC8" w:rsidRPr="005818E3" w:rsidRDefault="008B4DC8" w:rsidP="00833E36">
      <w:pPr>
        <w:pStyle w:val="Default"/>
        <w:numPr>
          <w:ilvl w:val="0"/>
          <w:numId w:val="47"/>
        </w:numPr>
        <w:spacing w:line="276" w:lineRule="auto"/>
        <w:jc w:val="both"/>
        <w:rPr>
          <w:rFonts w:eastAsiaTheme="minorEastAsia"/>
          <w:color w:val="auto"/>
          <w:sz w:val="20"/>
          <w:szCs w:val="20"/>
          <w:lang w:val="en-US" w:eastAsia="en-US"/>
        </w:rPr>
      </w:pPr>
      <w:r w:rsidRPr="005818E3">
        <w:rPr>
          <w:rFonts w:eastAsiaTheme="minorEastAsia"/>
          <w:color w:val="auto"/>
          <w:sz w:val="20"/>
          <w:szCs w:val="20"/>
          <w:lang w:val="en-US" w:eastAsia="en-US"/>
        </w:rPr>
        <w:t xml:space="preserve">An independent firm, IRIS Research, </w:t>
      </w:r>
      <w:r>
        <w:rPr>
          <w:rFonts w:eastAsiaTheme="minorEastAsia"/>
          <w:color w:val="auto"/>
          <w:sz w:val="20"/>
          <w:szCs w:val="20"/>
          <w:lang w:val="en-US" w:eastAsia="en-US"/>
        </w:rPr>
        <w:t xml:space="preserve">being </w:t>
      </w:r>
      <w:r w:rsidRPr="005818E3">
        <w:rPr>
          <w:rFonts w:eastAsiaTheme="minorEastAsia"/>
          <w:color w:val="auto"/>
          <w:sz w:val="20"/>
          <w:szCs w:val="20"/>
          <w:lang w:val="en-US" w:eastAsia="en-US"/>
        </w:rPr>
        <w:t>engaged to implement:</w:t>
      </w:r>
    </w:p>
    <w:p w14:paraId="7C40693D" w14:textId="77777777" w:rsidR="008B4DC8" w:rsidRPr="005818E3" w:rsidRDefault="008B4DC8" w:rsidP="00833E36">
      <w:pPr>
        <w:pStyle w:val="Default"/>
        <w:numPr>
          <w:ilvl w:val="0"/>
          <w:numId w:val="48"/>
        </w:numPr>
        <w:spacing w:line="276" w:lineRule="auto"/>
        <w:jc w:val="both"/>
        <w:rPr>
          <w:rFonts w:eastAsiaTheme="minorEastAsia"/>
          <w:color w:val="auto"/>
          <w:sz w:val="20"/>
          <w:szCs w:val="20"/>
          <w:lang w:val="en-US" w:eastAsia="en-US"/>
        </w:rPr>
      </w:pPr>
      <w:r w:rsidRPr="005818E3">
        <w:rPr>
          <w:rFonts w:eastAsiaTheme="minorEastAsia"/>
          <w:color w:val="auto"/>
          <w:sz w:val="20"/>
          <w:szCs w:val="20"/>
          <w:lang w:val="en-US" w:eastAsia="en-US"/>
        </w:rPr>
        <w:t>A telephone survey of a statistically representative sample of ratepayers</w:t>
      </w:r>
      <w:r>
        <w:rPr>
          <w:rFonts w:eastAsiaTheme="minorEastAsia"/>
          <w:color w:val="auto"/>
          <w:sz w:val="20"/>
          <w:szCs w:val="20"/>
          <w:lang w:val="en-US" w:eastAsia="en-US"/>
        </w:rPr>
        <w:t xml:space="preserve">; and </w:t>
      </w:r>
    </w:p>
    <w:p w14:paraId="4E124787" w14:textId="1E5C3213" w:rsidR="008B4DC8" w:rsidRPr="005818E3" w:rsidRDefault="00313A95" w:rsidP="00833E36">
      <w:pPr>
        <w:pStyle w:val="Default"/>
        <w:numPr>
          <w:ilvl w:val="0"/>
          <w:numId w:val="48"/>
        </w:numPr>
        <w:spacing w:line="276" w:lineRule="auto"/>
        <w:jc w:val="both"/>
        <w:rPr>
          <w:rFonts w:eastAsiaTheme="minorEastAsia"/>
          <w:color w:val="auto"/>
          <w:sz w:val="20"/>
          <w:szCs w:val="20"/>
          <w:lang w:val="en-US" w:eastAsia="en-US"/>
        </w:rPr>
      </w:pPr>
      <w:r>
        <w:rPr>
          <w:rFonts w:eastAsiaTheme="minorEastAsia"/>
          <w:color w:val="auto"/>
          <w:sz w:val="20"/>
          <w:szCs w:val="20"/>
          <w:lang w:val="en-US" w:eastAsia="en-US"/>
        </w:rPr>
        <w:t>F</w:t>
      </w:r>
      <w:r w:rsidR="008B4DC8" w:rsidRPr="005818E3">
        <w:rPr>
          <w:rFonts w:eastAsiaTheme="minorEastAsia"/>
          <w:color w:val="auto"/>
          <w:sz w:val="20"/>
          <w:szCs w:val="20"/>
          <w:lang w:val="en-US" w:eastAsia="en-US"/>
        </w:rPr>
        <w:t xml:space="preserve">ive </w:t>
      </w:r>
      <w:r w:rsidR="008B4DC8">
        <w:rPr>
          <w:rFonts w:eastAsiaTheme="minorEastAsia"/>
          <w:color w:val="auto"/>
          <w:sz w:val="20"/>
          <w:szCs w:val="20"/>
          <w:lang w:val="en-US" w:eastAsia="en-US"/>
        </w:rPr>
        <w:t>three hour Area Community Workshops</w:t>
      </w:r>
      <w:r w:rsidR="008B4DC8" w:rsidRPr="005818E3">
        <w:rPr>
          <w:rFonts w:eastAsiaTheme="minorEastAsia"/>
          <w:color w:val="auto"/>
          <w:sz w:val="20"/>
          <w:szCs w:val="20"/>
          <w:lang w:val="en-US" w:eastAsia="en-US"/>
        </w:rPr>
        <w:t xml:space="preserve"> with a cross-section of the community</w:t>
      </w:r>
      <w:r w:rsidR="008B4DC8">
        <w:rPr>
          <w:rFonts w:eastAsiaTheme="minorEastAsia"/>
          <w:color w:val="auto"/>
          <w:sz w:val="20"/>
          <w:szCs w:val="20"/>
          <w:lang w:val="en-US" w:eastAsia="en-US"/>
        </w:rPr>
        <w:t>. Attachment 5c shows the presentation delivered by IRIS and Council staff at these workshops to explain the impact of the three options on servi</w:t>
      </w:r>
      <w:r w:rsidR="004C59FF">
        <w:rPr>
          <w:rFonts w:eastAsiaTheme="minorEastAsia"/>
          <w:color w:val="auto"/>
          <w:sz w:val="20"/>
          <w:szCs w:val="20"/>
          <w:lang w:val="en-US" w:eastAsia="en-US"/>
        </w:rPr>
        <w:t>c</w:t>
      </w:r>
      <w:r w:rsidR="008B4DC8">
        <w:rPr>
          <w:rFonts w:eastAsiaTheme="minorEastAsia"/>
          <w:color w:val="auto"/>
          <w:sz w:val="20"/>
          <w:szCs w:val="20"/>
          <w:lang w:val="en-US" w:eastAsia="en-US"/>
        </w:rPr>
        <w:t xml:space="preserve">e levels and obtain feedback from participants on their preferred level of service provision for each service </w:t>
      </w:r>
      <w:r>
        <w:rPr>
          <w:rFonts w:eastAsiaTheme="minorEastAsia"/>
          <w:color w:val="auto"/>
          <w:sz w:val="20"/>
          <w:szCs w:val="20"/>
          <w:lang w:val="en-US" w:eastAsia="en-US"/>
        </w:rPr>
        <w:t xml:space="preserve">activity </w:t>
      </w:r>
      <w:r w:rsidR="008B4DC8">
        <w:rPr>
          <w:rFonts w:eastAsiaTheme="minorEastAsia"/>
          <w:color w:val="auto"/>
          <w:sz w:val="20"/>
          <w:szCs w:val="20"/>
          <w:lang w:val="en-US" w:eastAsia="en-US"/>
        </w:rPr>
        <w:t>area of the Council</w:t>
      </w:r>
      <w:r w:rsidR="008B4DC8" w:rsidRPr="005818E3">
        <w:rPr>
          <w:rFonts w:eastAsiaTheme="minorEastAsia"/>
          <w:color w:val="auto"/>
          <w:sz w:val="20"/>
          <w:szCs w:val="20"/>
          <w:lang w:val="en-US" w:eastAsia="en-US"/>
        </w:rPr>
        <w:t>.</w:t>
      </w:r>
      <w:r>
        <w:rPr>
          <w:rFonts w:eastAsiaTheme="minorEastAsia"/>
          <w:color w:val="auto"/>
          <w:sz w:val="20"/>
          <w:szCs w:val="20"/>
          <w:lang w:val="en-US" w:eastAsia="en-US"/>
        </w:rPr>
        <w:t xml:space="preserve"> The detailed results of these Workshops are presented in </w:t>
      </w:r>
      <w:r w:rsidRPr="00507508">
        <w:rPr>
          <w:rFonts w:eastAsiaTheme="minorEastAsia"/>
          <w:b/>
          <w:color w:val="auto"/>
          <w:sz w:val="20"/>
          <w:szCs w:val="20"/>
          <w:lang w:val="en-US" w:eastAsia="en-US"/>
        </w:rPr>
        <w:t xml:space="preserve">Attachment </w:t>
      </w:r>
      <w:r w:rsidR="00507508" w:rsidRPr="00507508">
        <w:rPr>
          <w:rFonts w:eastAsiaTheme="minorEastAsia"/>
          <w:b/>
          <w:color w:val="auto"/>
          <w:sz w:val="20"/>
          <w:szCs w:val="20"/>
          <w:lang w:val="en-US" w:eastAsia="en-US"/>
        </w:rPr>
        <w:t>6c</w:t>
      </w:r>
      <w:r w:rsidR="00507508">
        <w:rPr>
          <w:rFonts w:eastAsiaTheme="minorEastAsia"/>
          <w:color w:val="auto"/>
          <w:sz w:val="20"/>
          <w:szCs w:val="20"/>
          <w:lang w:val="en-US" w:eastAsia="en-US"/>
        </w:rPr>
        <w:t>.</w:t>
      </w:r>
    </w:p>
    <w:p w14:paraId="2E4ED997" w14:textId="77777777" w:rsidR="008B4DC8" w:rsidRPr="005818E3" w:rsidRDefault="008B4DC8" w:rsidP="00833E36">
      <w:pPr>
        <w:pStyle w:val="Default"/>
        <w:spacing w:line="276" w:lineRule="auto"/>
        <w:jc w:val="both"/>
        <w:rPr>
          <w:rFonts w:eastAsiaTheme="minorEastAsia"/>
          <w:color w:val="auto"/>
          <w:sz w:val="20"/>
          <w:szCs w:val="20"/>
          <w:lang w:val="en-US" w:eastAsia="en-US"/>
        </w:rPr>
      </w:pPr>
    </w:p>
    <w:p w14:paraId="21FE3DA4" w14:textId="77777777" w:rsidR="008B4DC8" w:rsidRDefault="008B4DC8" w:rsidP="00833E36">
      <w:pPr>
        <w:pStyle w:val="Default"/>
        <w:spacing w:line="276" w:lineRule="auto"/>
        <w:jc w:val="both"/>
        <w:rPr>
          <w:sz w:val="20"/>
          <w:szCs w:val="20"/>
        </w:rPr>
      </w:pPr>
    </w:p>
    <w:p w14:paraId="074DB7D5" w14:textId="77777777" w:rsidR="008B4DC8" w:rsidRDefault="008B4DC8" w:rsidP="008B4DC8">
      <w:pPr>
        <w:spacing w:after="200" w:line="360" w:lineRule="auto"/>
        <w:rPr>
          <w:rFonts w:ascii="Arial" w:eastAsiaTheme="minorEastAsia" w:hAnsi="Arial" w:cs="Arial"/>
          <w:sz w:val="20"/>
          <w:szCs w:val="20"/>
          <w:lang w:eastAsia="en-US"/>
        </w:rPr>
      </w:pPr>
      <w:r>
        <w:rPr>
          <w:rFonts w:ascii="Arial" w:eastAsiaTheme="minorEastAsia" w:hAnsi="Arial" w:cs="Arial"/>
          <w:noProof/>
          <w:sz w:val="20"/>
          <w:szCs w:val="20"/>
        </w:rPr>
        <w:drawing>
          <wp:inline distT="0" distB="0" distL="0" distR="0" wp14:anchorId="7DFE4F21" wp14:editId="0291E9A7">
            <wp:extent cx="6019800" cy="7083422"/>
            <wp:effectExtent l="0" t="0" r="0" b="381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6039510" cy="7106615"/>
                    </a:xfrm>
                    <a:prstGeom prst="rect">
                      <a:avLst/>
                    </a:prstGeom>
                    <a:noFill/>
                    <a:ln>
                      <a:noFill/>
                    </a:ln>
                  </pic:spPr>
                </pic:pic>
              </a:graphicData>
            </a:graphic>
          </wp:inline>
        </w:drawing>
      </w:r>
    </w:p>
    <w:p w14:paraId="51F9D399" w14:textId="77777777" w:rsidR="00507508" w:rsidRDefault="008B4DC8" w:rsidP="008B4DC8">
      <w:pPr>
        <w:rPr>
          <w:rFonts w:eastAsiaTheme="minorEastAsia"/>
          <w:sz w:val="20"/>
          <w:szCs w:val="20"/>
          <w:lang w:val="en-US" w:eastAsia="en-US"/>
        </w:rPr>
      </w:pPr>
      <w:r>
        <w:rPr>
          <w:rFonts w:eastAsiaTheme="minorEastAsia"/>
          <w:noProof/>
          <w:sz w:val="20"/>
          <w:szCs w:val="20"/>
        </w:rPr>
        <w:drawing>
          <wp:inline distT="0" distB="0" distL="0" distR="0" wp14:anchorId="3522E167" wp14:editId="162DEC42">
            <wp:extent cx="5733370" cy="8391525"/>
            <wp:effectExtent l="0" t="0" r="1270" b="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5731510" cy="8388803"/>
                    </a:xfrm>
                    <a:prstGeom prst="rect">
                      <a:avLst/>
                    </a:prstGeom>
                    <a:noFill/>
                    <a:ln>
                      <a:noFill/>
                    </a:ln>
                  </pic:spPr>
                </pic:pic>
              </a:graphicData>
            </a:graphic>
          </wp:inline>
        </w:drawing>
      </w:r>
    </w:p>
    <w:p w14:paraId="3A9DA77D" w14:textId="77777777" w:rsidR="00507508" w:rsidRDefault="00507508" w:rsidP="008B4DC8">
      <w:pPr>
        <w:rPr>
          <w:rFonts w:ascii="Arial" w:eastAsiaTheme="minorEastAsia" w:hAnsi="Arial" w:cs="Arial"/>
          <w:sz w:val="20"/>
          <w:szCs w:val="20"/>
          <w:lang w:val="en-US" w:eastAsia="en-US"/>
        </w:rPr>
      </w:pPr>
    </w:p>
    <w:p w14:paraId="5615A203" w14:textId="668EDFE6" w:rsidR="002738B7" w:rsidRDefault="002738B7">
      <w:pPr>
        <w:rPr>
          <w:rFonts w:asciiTheme="minorHAnsi" w:eastAsiaTheme="minorHAnsi" w:hAnsiTheme="minorHAnsi" w:cstheme="minorBidi"/>
          <w:b/>
          <w:szCs w:val="22"/>
          <w:lang w:eastAsia="en-US"/>
        </w:rPr>
      </w:pPr>
    </w:p>
    <w:p w14:paraId="169EAD4E" w14:textId="7528519F" w:rsidR="00DB482D" w:rsidRPr="00DB482D" w:rsidRDefault="00507508" w:rsidP="00DB482D">
      <w:pPr>
        <w:pStyle w:val="BodyText"/>
        <w:spacing w:after="120"/>
        <w:rPr>
          <w:rFonts w:ascii="Arial" w:eastAsiaTheme="minorEastAsia" w:hAnsi="Arial" w:cs="Arial"/>
          <w:b/>
          <w:sz w:val="20"/>
          <w:szCs w:val="20"/>
          <w:lang w:val="en-US" w:eastAsia="en-US"/>
        </w:rPr>
      </w:pPr>
      <w:r w:rsidRPr="00507508">
        <w:rPr>
          <w:rFonts w:ascii="Arial" w:eastAsiaTheme="minorEastAsia" w:hAnsi="Arial" w:cs="Arial"/>
          <w:sz w:val="20"/>
          <w:szCs w:val="20"/>
          <w:lang w:val="en-US" w:eastAsia="en-US"/>
        </w:rPr>
        <w:t xml:space="preserve">The Table below </w:t>
      </w:r>
      <w:r>
        <w:rPr>
          <w:rFonts w:ascii="Arial" w:eastAsiaTheme="minorEastAsia" w:hAnsi="Arial" w:cs="Arial"/>
          <w:sz w:val="20"/>
          <w:szCs w:val="20"/>
          <w:lang w:val="en-US" w:eastAsia="en-US"/>
        </w:rPr>
        <w:t xml:space="preserve">provides an overview of </w:t>
      </w:r>
      <w:r w:rsidR="006C0275" w:rsidRPr="006C0275">
        <w:rPr>
          <w:rFonts w:ascii="Arial" w:eastAsiaTheme="minorEastAsia" w:hAnsi="Arial" w:cs="Arial"/>
          <w:i/>
          <w:sz w:val="20"/>
          <w:szCs w:val="20"/>
          <w:lang w:val="en-US" w:eastAsia="en-US"/>
        </w:rPr>
        <w:t>Resourcing Our Future</w:t>
      </w:r>
      <w:r w:rsidR="006C0275">
        <w:rPr>
          <w:rFonts w:ascii="Arial" w:eastAsiaTheme="minorEastAsia" w:hAnsi="Arial" w:cs="Arial"/>
          <w:sz w:val="20"/>
          <w:szCs w:val="20"/>
          <w:lang w:val="en-US" w:eastAsia="en-US"/>
        </w:rPr>
        <w:t xml:space="preserve"> </w:t>
      </w:r>
      <w:r>
        <w:rPr>
          <w:rFonts w:ascii="Arial" w:eastAsiaTheme="minorEastAsia" w:hAnsi="Arial" w:cs="Arial"/>
          <w:sz w:val="20"/>
          <w:szCs w:val="20"/>
          <w:lang w:val="en-US" w:eastAsia="en-US"/>
        </w:rPr>
        <w:t>community consultation and engagement activities.</w:t>
      </w:r>
      <w:r w:rsidR="00DB482D" w:rsidRPr="00DB482D">
        <w:rPr>
          <w:rFonts w:ascii="Arial" w:hAnsi="Arial" w:cs="Arial"/>
          <w:b/>
          <w:sz w:val="20"/>
          <w:szCs w:val="20"/>
        </w:rPr>
        <w:t xml:space="preserve"> </w:t>
      </w:r>
      <w:r w:rsidR="00DB482D" w:rsidRPr="00DB482D">
        <w:rPr>
          <w:rFonts w:ascii="Arial" w:eastAsiaTheme="minorEastAsia" w:hAnsi="Arial" w:cs="Arial"/>
          <w:sz w:val="20"/>
          <w:szCs w:val="20"/>
          <w:lang w:val="en-US" w:eastAsia="en-US"/>
        </w:rPr>
        <w:t xml:space="preserve">Samples of the consultation materials used by the Council as part of the Resourcing Our Future community engagement process are included in </w:t>
      </w:r>
      <w:r w:rsidR="00DB482D" w:rsidRPr="00DB482D">
        <w:rPr>
          <w:rFonts w:ascii="Arial" w:eastAsiaTheme="minorEastAsia" w:hAnsi="Arial" w:cs="Arial"/>
          <w:b/>
          <w:sz w:val="20"/>
          <w:szCs w:val="20"/>
          <w:lang w:val="en-US" w:eastAsia="en-US"/>
        </w:rPr>
        <w:t>Attachment 5b.</w:t>
      </w:r>
    </w:p>
    <w:p w14:paraId="2CDF4615" w14:textId="2B1A87D7" w:rsidR="00F2470E" w:rsidRPr="009E115F" w:rsidRDefault="00FA0E8D" w:rsidP="00085131">
      <w:pPr>
        <w:pStyle w:val="BodyText"/>
        <w:rPr>
          <w:rFonts w:ascii="Arial" w:hAnsi="Arial" w:cs="Arial"/>
          <w:b/>
          <w:sz w:val="18"/>
          <w:szCs w:val="18"/>
        </w:rPr>
      </w:pPr>
      <w:r w:rsidRPr="009E115F">
        <w:rPr>
          <w:rFonts w:ascii="Arial" w:hAnsi="Arial" w:cs="Arial"/>
          <w:b/>
          <w:sz w:val="18"/>
          <w:szCs w:val="18"/>
        </w:rPr>
        <w:t>Table 4.1</w:t>
      </w:r>
      <w:r w:rsidR="009E115F">
        <w:rPr>
          <w:rFonts w:ascii="Arial" w:hAnsi="Arial" w:cs="Arial"/>
          <w:b/>
          <w:sz w:val="18"/>
          <w:szCs w:val="18"/>
        </w:rPr>
        <w:t>:</w:t>
      </w:r>
      <w:r w:rsidR="003D3558" w:rsidRPr="009E115F">
        <w:rPr>
          <w:rFonts w:ascii="Arial" w:hAnsi="Arial" w:cs="Arial"/>
          <w:b/>
          <w:sz w:val="18"/>
          <w:szCs w:val="18"/>
        </w:rPr>
        <w:t xml:space="preserve"> Overview of Community Engagement</w:t>
      </w:r>
      <w:r w:rsidR="00810DCF" w:rsidRPr="009E115F">
        <w:rPr>
          <w:rFonts w:ascii="Arial" w:hAnsi="Arial" w:cs="Arial"/>
          <w:b/>
          <w:sz w:val="18"/>
          <w:szCs w:val="18"/>
        </w:rPr>
        <w:t xml:space="preserve"> for Resourcing Our Future</w:t>
      </w:r>
    </w:p>
    <w:tbl>
      <w:tblPr>
        <w:tblStyle w:val="TableGrid"/>
        <w:tblW w:w="8931" w:type="dxa"/>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2835"/>
        <w:gridCol w:w="2268"/>
        <w:gridCol w:w="1418"/>
        <w:gridCol w:w="1134"/>
        <w:gridCol w:w="1276"/>
      </w:tblGrid>
      <w:tr w:rsidR="00C355E9" w14:paraId="7C9D4373" w14:textId="77777777" w:rsidTr="008035D0">
        <w:trPr>
          <w:cantSplit/>
          <w:tblHeader/>
        </w:trPr>
        <w:tc>
          <w:tcPr>
            <w:tcW w:w="2835" w:type="dxa"/>
            <w:shd w:val="clear" w:color="auto" w:fill="365F91" w:themeFill="accent1" w:themeFillShade="BF"/>
            <w:vAlign w:val="center"/>
          </w:tcPr>
          <w:p w14:paraId="24AE0C44" w14:textId="04EFD000" w:rsidR="00F2470E" w:rsidRPr="008035D0" w:rsidRDefault="00F2470E" w:rsidP="00F2470E">
            <w:pPr>
              <w:pStyle w:val="BodyText"/>
              <w:spacing w:before="0" w:after="40" w:line="240" w:lineRule="auto"/>
              <w:jc w:val="center"/>
              <w:rPr>
                <w:rFonts w:asciiTheme="minorHAnsi" w:hAnsiTheme="minorHAnsi" w:cs="Arial"/>
                <w:b/>
                <w:color w:val="FFFFFF" w:themeColor="background1"/>
                <w:sz w:val="18"/>
                <w:szCs w:val="18"/>
              </w:rPr>
            </w:pPr>
            <w:r w:rsidRPr="008035D0">
              <w:rPr>
                <w:rFonts w:asciiTheme="minorHAnsi" w:hAnsiTheme="minorHAnsi" w:cs="Arial"/>
                <w:b/>
                <w:color w:val="FFFFFF" w:themeColor="background1"/>
                <w:sz w:val="18"/>
                <w:szCs w:val="18"/>
              </w:rPr>
              <w:t>Communication Activity &amp; Aims</w:t>
            </w:r>
          </w:p>
        </w:tc>
        <w:tc>
          <w:tcPr>
            <w:tcW w:w="2268" w:type="dxa"/>
            <w:shd w:val="clear" w:color="auto" w:fill="365F91" w:themeFill="accent1" w:themeFillShade="BF"/>
            <w:vAlign w:val="center"/>
          </w:tcPr>
          <w:p w14:paraId="44195383" w14:textId="7F0B49D7" w:rsidR="00F2470E" w:rsidRPr="008035D0" w:rsidRDefault="00F2470E" w:rsidP="00F2470E">
            <w:pPr>
              <w:pStyle w:val="BodyText"/>
              <w:spacing w:before="0" w:after="40" w:line="240" w:lineRule="auto"/>
              <w:jc w:val="center"/>
              <w:rPr>
                <w:rFonts w:asciiTheme="minorHAnsi" w:hAnsiTheme="minorHAnsi" w:cs="Arial"/>
                <w:b/>
                <w:color w:val="FFFFFF" w:themeColor="background1"/>
                <w:sz w:val="18"/>
                <w:szCs w:val="18"/>
              </w:rPr>
            </w:pPr>
            <w:r w:rsidRPr="008035D0">
              <w:rPr>
                <w:rFonts w:asciiTheme="minorHAnsi" w:hAnsiTheme="minorHAnsi" w:cs="Arial"/>
                <w:b/>
                <w:color w:val="FFFFFF" w:themeColor="background1"/>
                <w:sz w:val="18"/>
                <w:szCs w:val="18"/>
              </w:rPr>
              <w:t>Communication Channels</w:t>
            </w:r>
          </w:p>
        </w:tc>
        <w:tc>
          <w:tcPr>
            <w:tcW w:w="1418" w:type="dxa"/>
            <w:shd w:val="clear" w:color="auto" w:fill="365F91" w:themeFill="accent1" w:themeFillShade="BF"/>
            <w:vAlign w:val="center"/>
          </w:tcPr>
          <w:p w14:paraId="1AA59505" w14:textId="6F1CC5FF" w:rsidR="00F2470E" w:rsidRPr="008035D0" w:rsidRDefault="00F2470E" w:rsidP="00F2470E">
            <w:pPr>
              <w:pStyle w:val="BodyText"/>
              <w:spacing w:before="0" w:after="40" w:line="240" w:lineRule="auto"/>
              <w:jc w:val="center"/>
              <w:rPr>
                <w:rFonts w:asciiTheme="minorHAnsi" w:hAnsiTheme="minorHAnsi" w:cs="Arial"/>
                <w:b/>
                <w:color w:val="FFFFFF" w:themeColor="background1"/>
                <w:sz w:val="18"/>
                <w:szCs w:val="18"/>
              </w:rPr>
            </w:pPr>
            <w:r w:rsidRPr="008035D0">
              <w:rPr>
                <w:rFonts w:asciiTheme="minorHAnsi" w:hAnsiTheme="minorHAnsi" w:cs="Arial"/>
                <w:b/>
                <w:color w:val="FFFFFF" w:themeColor="background1"/>
                <w:sz w:val="18"/>
                <w:szCs w:val="18"/>
              </w:rPr>
              <w:t>Target Group</w:t>
            </w:r>
          </w:p>
        </w:tc>
        <w:tc>
          <w:tcPr>
            <w:tcW w:w="1134" w:type="dxa"/>
            <w:shd w:val="clear" w:color="auto" w:fill="365F91" w:themeFill="accent1" w:themeFillShade="BF"/>
            <w:vAlign w:val="center"/>
          </w:tcPr>
          <w:p w14:paraId="5D529EC8" w14:textId="3DE4C272" w:rsidR="00F2470E" w:rsidRPr="008035D0" w:rsidRDefault="00F2470E" w:rsidP="00F2470E">
            <w:pPr>
              <w:pStyle w:val="BodyText"/>
              <w:spacing w:before="0" w:after="40" w:line="240" w:lineRule="auto"/>
              <w:jc w:val="center"/>
              <w:rPr>
                <w:rFonts w:asciiTheme="minorHAnsi" w:hAnsiTheme="minorHAnsi" w:cs="Arial"/>
                <w:b/>
                <w:color w:val="FFFFFF" w:themeColor="background1"/>
                <w:sz w:val="18"/>
                <w:szCs w:val="18"/>
              </w:rPr>
            </w:pPr>
            <w:r w:rsidRPr="008035D0">
              <w:rPr>
                <w:rFonts w:asciiTheme="minorHAnsi" w:hAnsiTheme="minorHAnsi" w:cs="Arial"/>
                <w:b/>
                <w:color w:val="FFFFFF" w:themeColor="background1"/>
                <w:sz w:val="18"/>
                <w:szCs w:val="18"/>
              </w:rPr>
              <w:t>Time Period</w:t>
            </w:r>
          </w:p>
        </w:tc>
        <w:tc>
          <w:tcPr>
            <w:tcW w:w="1276" w:type="dxa"/>
            <w:shd w:val="clear" w:color="auto" w:fill="365F91" w:themeFill="accent1" w:themeFillShade="BF"/>
            <w:vAlign w:val="center"/>
          </w:tcPr>
          <w:p w14:paraId="45A240D0" w14:textId="0C045E2B" w:rsidR="00F2470E" w:rsidRPr="008035D0" w:rsidRDefault="00F2470E" w:rsidP="00F2470E">
            <w:pPr>
              <w:pStyle w:val="BodyText"/>
              <w:spacing w:before="0" w:after="40" w:line="240" w:lineRule="auto"/>
              <w:jc w:val="center"/>
              <w:rPr>
                <w:rFonts w:asciiTheme="minorHAnsi" w:hAnsiTheme="minorHAnsi" w:cs="Arial"/>
                <w:b/>
                <w:color w:val="FFFFFF" w:themeColor="background1"/>
                <w:sz w:val="18"/>
                <w:szCs w:val="18"/>
              </w:rPr>
            </w:pPr>
            <w:r w:rsidRPr="008035D0">
              <w:rPr>
                <w:rFonts w:asciiTheme="minorHAnsi" w:hAnsiTheme="minorHAnsi" w:cs="Arial"/>
                <w:b/>
                <w:color w:val="FFFFFF" w:themeColor="background1"/>
                <w:sz w:val="18"/>
                <w:szCs w:val="18"/>
              </w:rPr>
              <w:t>Level of Engagement</w:t>
            </w:r>
          </w:p>
        </w:tc>
      </w:tr>
      <w:tr w:rsidR="00C355E9" w14:paraId="41F9FB4A" w14:textId="77777777" w:rsidTr="008035D0">
        <w:trPr>
          <w:cantSplit/>
        </w:trPr>
        <w:tc>
          <w:tcPr>
            <w:tcW w:w="2835" w:type="dxa"/>
            <w:shd w:val="clear" w:color="auto" w:fill="DBE5F1" w:themeFill="accent1" w:themeFillTint="33"/>
          </w:tcPr>
          <w:p w14:paraId="6ACC7406" w14:textId="48E9F951" w:rsidR="00F2470E" w:rsidRPr="008035D0" w:rsidRDefault="006534BE" w:rsidP="003D3558">
            <w:pPr>
              <w:pStyle w:val="BodyText"/>
              <w:spacing w:before="0" w:line="240" w:lineRule="auto"/>
              <w:jc w:val="left"/>
              <w:rPr>
                <w:rFonts w:asciiTheme="minorHAnsi" w:hAnsiTheme="minorHAnsi" w:cs="Arial"/>
                <w:b/>
                <w:sz w:val="18"/>
                <w:szCs w:val="18"/>
              </w:rPr>
            </w:pPr>
            <w:r w:rsidRPr="008035D0">
              <w:rPr>
                <w:rFonts w:asciiTheme="minorHAnsi" w:hAnsiTheme="minorHAnsi" w:cs="Arial"/>
                <w:b/>
                <w:sz w:val="18"/>
                <w:szCs w:val="18"/>
              </w:rPr>
              <w:t>Public e</w:t>
            </w:r>
            <w:r w:rsidR="00F2470E" w:rsidRPr="008035D0">
              <w:rPr>
                <w:rFonts w:asciiTheme="minorHAnsi" w:hAnsiTheme="minorHAnsi" w:cs="Arial"/>
                <w:b/>
                <w:sz w:val="18"/>
                <w:szCs w:val="18"/>
              </w:rPr>
              <w:t>xhibition</w:t>
            </w:r>
            <w:r w:rsidR="003C4E65" w:rsidRPr="008035D0">
              <w:rPr>
                <w:rFonts w:asciiTheme="minorHAnsi" w:hAnsiTheme="minorHAnsi" w:cs="Arial"/>
                <w:b/>
                <w:sz w:val="18"/>
                <w:szCs w:val="18"/>
              </w:rPr>
              <w:t xml:space="preserve"> and call for submissions</w:t>
            </w:r>
          </w:p>
          <w:p w14:paraId="3AF770B0" w14:textId="77777777" w:rsidR="00F2470E" w:rsidRPr="008035D0" w:rsidRDefault="00F2470E" w:rsidP="00922DA1">
            <w:pPr>
              <w:pStyle w:val="BodyText"/>
              <w:numPr>
                <w:ilvl w:val="0"/>
                <w:numId w:val="27"/>
              </w:numPr>
              <w:spacing w:before="0" w:line="240" w:lineRule="auto"/>
              <w:ind w:left="284" w:hanging="284"/>
              <w:jc w:val="left"/>
              <w:rPr>
                <w:rFonts w:asciiTheme="minorHAnsi" w:hAnsiTheme="minorHAnsi" w:cs="Arial"/>
                <w:sz w:val="18"/>
                <w:szCs w:val="18"/>
              </w:rPr>
            </w:pPr>
            <w:r w:rsidRPr="008035D0">
              <w:rPr>
                <w:rFonts w:asciiTheme="minorHAnsi" w:hAnsiTheme="minorHAnsi" w:cs="Arial"/>
                <w:sz w:val="18"/>
                <w:szCs w:val="18"/>
              </w:rPr>
              <w:t xml:space="preserve">To exhibit the updated </w:t>
            </w:r>
            <w:r w:rsidRPr="008035D0">
              <w:rPr>
                <w:rFonts w:asciiTheme="minorHAnsi" w:hAnsiTheme="minorHAnsi" w:cs="Arial"/>
                <w:i/>
                <w:sz w:val="18"/>
                <w:szCs w:val="18"/>
              </w:rPr>
              <w:t>Resourcing Strategy</w:t>
            </w:r>
            <w:r w:rsidR="00BC4C8E" w:rsidRPr="008035D0">
              <w:rPr>
                <w:rFonts w:asciiTheme="minorHAnsi" w:hAnsiTheme="minorHAnsi" w:cs="Arial"/>
                <w:sz w:val="18"/>
                <w:szCs w:val="18"/>
              </w:rPr>
              <w:t xml:space="preserve">, </w:t>
            </w:r>
            <w:r w:rsidR="00BC4C8E" w:rsidRPr="008035D0">
              <w:rPr>
                <w:rFonts w:asciiTheme="minorHAnsi" w:hAnsiTheme="minorHAnsi" w:cs="Arial"/>
                <w:i/>
                <w:sz w:val="18"/>
                <w:szCs w:val="18"/>
              </w:rPr>
              <w:t>Service Dashboards</w:t>
            </w:r>
            <w:r w:rsidR="00BC4C8E" w:rsidRPr="008035D0">
              <w:rPr>
                <w:rFonts w:asciiTheme="minorHAnsi" w:hAnsiTheme="minorHAnsi" w:cs="Arial"/>
                <w:sz w:val="18"/>
                <w:szCs w:val="18"/>
              </w:rPr>
              <w:t xml:space="preserve"> and </w:t>
            </w:r>
            <w:r w:rsidR="00BC4C8E" w:rsidRPr="008035D0">
              <w:rPr>
                <w:rFonts w:asciiTheme="minorHAnsi" w:hAnsiTheme="minorHAnsi" w:cs="Arial"/>
                <w:i/>
                <w:sz w:val="18"/>
                <w:szCs w:val="18"/>
              </w:rPr>
              <w:t>Supplementary Delivery Program</w:t>
            </w:r>
            <w:r w:rsidR="00BC4C8E" w:rsidRPr="008035D0">
              <w:rPr>
                <w:rFonts w:asciiTheme="minorHAnsi" w:hAnsiTheme="minorHAnsi" w:cs="Arial"/>
                <w:sz w:val="18"/>
                <w:szCs w:val="18"/>
              </w:rPr>
              <w:t>, which include the three options for Resourcing our Future – two of which propose a special variation and the continuation of the existing Environment Levy</w:t>
            </w:r>
          </w:p>
          <w:p w14:paraId="415E028F" w14:textId="77777777" w:rsidR="00BC4C8E" w:rsidRPr="008035D0" w:rsidRDefault="00BC4C8E" w:rsidP="00922DA1">
            <w:pPr>
              <w:pStyle w:val="BodyText"/>
              <w:numPr>
                <w:ilvl w:val="0"/>
                <w:numId w:val="27"/>
              </w:numPr>
              <w:spacing w:before="0" w:line="240" w:lineRule="auto"/>
              <w:ind w:left="284" w:hanging="284"/>
              <w:jc w:val="left"/>
              <w:rPr>
                <w:rFonts w:asciiTheme="minorHAnsi" w:hAnsiTheme="minorHAnsi" w:cs="Arial"/>
                <w:sz w:val="18"/>
                <w:szCs w:val="18"/>
              </w:rPr>
            </w:pPr>
            <w:r w:rsidRPr="008035D0">
              <w:rPr>
                <w:rFonts w:asciiTheme="minorHAnsi" w:hAnsiTheme="minorHAnsi" w:cs="Arial"/>
                <w:sz w:val="18"/>
                <w:szCs w:val="18"/>
              </w:rPr>
              <w:t>To obtain community feedback and consultation on the documents and the three resourcing options through seeking  formal submissions from the community</w:t>
            </w:r>
          </w:p>
          <w:p w14:paraId="244F8B9B" w14:textId="77777777" w:rsidR="00BC4C8E" w:rsidRPr="008035D0" w:rsidRDefault="00BC4C8E" w:rsidP="00922DA1">
            <w:pPr>
              <w:pStyle w:val="BodyText"/>
              <w:numPr>
                <w:ilvl w:val="0"/>
                <w:numId w:val="27"/>
              </w:numPr>
              <w:spacing w:before="0" w:line="240" w:lineRule="auto"/>
              <w:ind w:left="284" w:hanging="284"/>
              <w:jc w:val="left"/>
              <w:rPr>
                <w:rFonts w:asciiTheme="minorHAnsi" w:hAnsiTheme="minorHAnsi" w:cs="Arial"/>
                <w:sz w:val="18"/>
                <w:szCs w:val="18"/>
              </w:rPr>
            </w:pPr>
            <w:r w:rsidRPr="008035D0">
              <w:rPr>
                <w:rFonts w:asciiTheme="minorHAnsi" w:hAnsiTheme="minorHAnsi" w:cs="Arial"/>
                <w:sz w:val="18"/>
                <w:szCs w:val="18"/>
              </w:rPr>
              <w:t>To inform community that the Council is considering whether or not to apply for a special rate variation – with this decision being informed by results of the exhibition and engagement</w:t>
            </w:r>
          </w:p>
          <w:p w14:paraId="38319574" w14:textId="570635EC" w:rsidR="00BC4C8E" w:rsidRPr="008035D0" w:rsidRDefault="00BC4C8E" w:rsidP="003D3558">
            <w:pPr>
              <w:pStyle w:val="BodyText"/>
              <w:spacing w:before="0" w:line="240" w:lineRule="auto"/>
              <w:ind w:left="284"/>
              <w:jc w:val="left"/>
              <w:rPr>
                <w:rFonts w:asciiTheme="minorHAnsi" w:hAnsiTheme="minorHAnsi" w:cs="Arial"/>
                <w:sz w:val="18"/>
                <w:szCs w:val="18"/>
              </w:rPr>
            </w:pPr>
          </w:p>
        </w:tc>
        <w:tc>
          <w:tcPr>
            <w:tcW w:w="2268" w:type="dxa"/>
            <w:shd w:val="clear" w:color="auto" w:fill="DBE5F1" w:themeFill="accent1" w:themeFillTint="33"/>
          </w:tcPr>
          <w:p w14:paraId="52626207" w14:textId="77777777" w:rsidR="0057377F" w:rsidRPr="008035D0" w:rsidRDefault="0057377F" w:rsidP="0057377F">
            <w:pPr>
              <w:pStyle w:val="BodyText"/>
              <w:spacing w:before="0" w:line="240" w:lineRule="auto"/>
              <w:ind w:left="317"/>
              <w:jc w:val="left"/>
              <w:rPr>
                <w:rFonts w:asciiTheme="minorHAnsi" w:hAnsiTheme="minorHAnsi" w:cs="Arial"/>
                <w:sz w:val="18"/>
                <w:szCs w:val="18"/>
              </w:rPr>
            </w:pPr>
          </w:p>
          <w:p w14:paraId="7A8549C8" w14:textId="77777777" w:rsidR="000F0DA7" w:rsidRPr="008035D0" w:rsidRDefault="000F0DA7" w:rsidP="000F0DA7">
            <w:pPr>
              <w:pStyle w:val="BodyText"/>
              <w:spacing w:before="0" w:line="240" w:lineRule="auto"/>
              <w:ind w:left="317"/>
              <w:jc w:val="left"/>
              <w:rPr>
                <w:rFonts w:asciiTheme="minorHAnsi" w:hAnsiTheme="minorHAnsi" w:cs="Arial"/>
                <w:sz w:val="18"/>
                <w:szCs w:val="18"/>
              </w:rPr>
            </w:pPr>
          </w:p>
          <w:p w14:paraId="4607CD92" w14:textId="77777777" w:rsidR="00F2470E" w:rsidRPr="008035D0" w:rsidRDefault="00BC4C8E" w:rsidP="00922DA1">
            <w:pPr>
              <w:pStyle w:val="BodyText"/>
              <w:numPr>
                <w:ilvl w:val="0"/>
                <w:numId w:val="27"/>
              </w:numPr>
              <w:spacing w:before="0" w:line="240" w:lineRule="auto"/>
              <w:ind w:left="317" w:hanging="317"/>
              <w:jc w:val="left"/>
              <w:rPr>
                <w:rFonts w:asciiTheme="minorHAnsi" w:hAnsiTheme="minorHAnsi" w:cs="Arial"/>
                <w:sz w:val="18"/>
                <w:szCs w:val="18"/>
              </w:rPr>
            </w:pPr>
            <w:r w:rsidRPr="008035D0">
              <w:rPr>
                <w:rFonts w:asciiTheme="minorHAnsi" w:hAnsiTheme="minorHAnsi" w:cs="Arial"/>
                <w:sz w:val="18"/>
                <w:szCs w:val="18"/>
              </w:rPr>
              <w:t>Display of key documents in libraries and at Katoomba council office</w:t>
            </w:r>
          </w:p>
          <w:p w14:paraId="2374461D" w14:textId="77777777" w:rsidR="00BC4C8E" w:rsidRPr="008035D0" w:rsidRDefault="00BC4C8E" w:rsidP="00922DA1">
            <w:pPr>
              <w:pStyle w:val="BodyText"/>
              <w:numPr>
                <w:ilvl w:val="0"/>
                <w:numId w:val="27"/>
              </w:numPr>
              <w:spacing w:before="0" w:line="240" w:lineRule="auto"/>
              <w:ind w:left="317" w:hanging="317"/>
              <w:jc w:val="left"/>
              <w:rPr>
                <w:rFonts w:asciiTheme="minorHAnsi" w:hAnsiTheme="minorHAnsi" w:cs="Arial"/>
                <w:sz w:val="18"/>
                <w:szCs w:val="18"/>
              </w:rPr>
            </w:pPr>
            <w:r w:rsidRPr="008035D0">
              <w:rPr>
                <w:rFonts w:asciiTheme="minorHAnsi" w:hAnsiTheme="minorHAnsi" w:cs="Arial"/>
                <w:sz w:val="18"/>
                <w:szCs w:val="18"/>
              </w:rPr>
              <w:t xml:space="preserve">Council website and </w:t>
            </w:r>
            <w:r w:rsidRPr="008035D0">
              <w:rPr>
                <w:rFonts w:asciiTheme="minorHAnsi" w:hAnsiTheme="minorHAnsi" w:cs="Arial"/>
                <w:i/>
                <w:sz w:val="18"/>
                <w:szCs w:val="18"/>
              </w:rPr>
              <w:t>Have Your Say</w:t>
            </w:r>
            <w:r w:rsidRPr="008035D0">
              <w:rPr>
                <w:rFonts w:asciiTheme="minorHAnsi" w:hAnsiTheme="minorHAnsi" w:cs="Arial"/>
                <w:sz w:val="18"/>
                <w:szCs w:val="18"/>
              </w:rPr>
              <w:t xml:space="preserve"> site – including online submission form and rates calculator, links to supporting documents such as Information Sheets and FAQs</w:t>
            </w:r>
          </w:p>
          <w:p w14:paraId="3EB28853" w14:textId="77777777" w:rsidR="00BC4C8E" w:rsidRPr="008035D0" w:rsidRDefault="00BC4C8E" w:rsidP="00922DA1">
            <w:pPr>
              <w:pStyle w:val="BodyText"/>
              <w:numPr>
                <w:ilvl w:val="0"/>
                <w:numId w:val="27"/>
              </w:numPr>
              <w:spacing w:before="0" w:line="240" w:lineRule="auto"/>
              <w:ind w:left="317" w:hanging="317"/>
              <w:jc w:val="left"/>
              <w:rPr>
                <w:rFonts w:asciiTheme="minorHAnsi" w:hAnsiTheme="minorHAnsi" w:cs="Arial"/>
                <w:sz w:val="18"/>
                <w:szCs w:val="18"/>
              </w:rPr>
            </w:pPr>
            <w:r w:rsidRPr="008035D0">
              <w:rPr>
                <w:rFonts w:asciiTheme="minorHAnsi" w:hAnsiTheme="minorHAnsi" w:cs="Arial"/>
                <w:sz w:val="18"/>
                <w:szCs w:val="18"/>
              </w:rPr>
              <w:t>Media releases</w:t>
            </w:r>
          </w:p>
          <w:p w14:paraId="31D09159" w14:textId="77777777" w:rsidR="00BC4C8E" w:rsidRPr="008035D0" w:rsidRDefault="00BC4C8E" w:rsidP="00922DA1">
            <w:pPr>
              <w:pStyle w:val="BodyText"/>
              <w:numPr>
                <w:ilvl w:val="0"/>
                <w:numId w:val="27"/>
              </w:numPr>
              <w:spacing w:before="0" w:line="240" w:lineRule="auto"/>
              <w:ind w:left="317" w:hanging="317"/>
              <w:jc w:val="left"/>
              <w:rPr>
                <w:rFonts w:asciiTheme="minorHAnsi" w:hAnsiTheme="minorHAnsi" w:cs="Arial"/>
                <w:sz w:val="18"/>
                <w:szCs w:val="18"/>
              </w:rPr>
            </w:pPr>
            <w:r w:rsidRPr="008035D0">
              <w:rPr>
                <w:rFonts w:asciiTheme="minorHAnsi" w:hAnsiTheme="minorHAnsi" w:cs="Arial"/>
                <w:sz w:val="18"/>
                <w:szCs w:val="18"/>
              </w:rPr>
              <w:t>Display ads and communicator column in Blue Mountains Gazette</w:t>
            </w:r>
          </w:p>
          <w:p w14:paraId="613F5496" w14:textId="2F8708EA" w:rsidR="00BC4C8E" w:rsidRPr="008035D0" w:rsidRDefault="00BC4C8E" w:rsidP="00922DA1">
            <w:pPr>
              <w:pStyle w:val="BodyText"/>
              <w:numPr>
                <w:ilvl w:val="0"/>
                <w:numId w:val="27"/>
              </w:numPr>
              <w:spacing w:before="0" w:line="240" w:lineRule="auto"/>
              <w:ind w:left="317" w:hanging="317"/>
              <w:jc w:val="left"/>
              <w:rPr>
                <w:rFonts w:asciiTheme="minorHAnsi" w:hAnsiTheme="minorHAnsi" w:cs="Arial"/>
                <w:sz w:val="18"/>
                <w:szCs w:val="18"/>
              </w:rPr>
            </w:pPr>
            <w:r w:rsidRPr="008035D0">
              <w:rPr>
                <w:rFonts w:asciiTheme="minorHAnsi" w:hAnsiTheme="minorHAnsi" w:cs="Arial"/>
                <w:sz w:val="18"/>
                <w:szCs w:val="18"/>
              </w:rPr>
              <w:t>Information toolkit for Councillors and Council staff</w:t>
            </w:r>
          </w:p>
        </w:tc>
        <w:tc>
          <w:tcPr>
            <w:tcW w:w="1418" w:type="dxa"/>
            <w:shd w:val="clear" w:color="auto" w:fill="DBE5F1" w:themeFill="accent1" w:themeFillTint="33"/>
          </w:tcPr>
          <w:p w14:paraId="666C6F65" w14:textId="77777777" w:rsidR="000F0DA7" w:rsidRPr="008035D0" w:rsidRDefault="000F0DA7" w:rsidP="003D3558">
            <w:pPr>
              <w:pStyle w:val="BodyText"/>
              <w:spacing w:before="0" w:line="240" w:lineRule="auto"/>
              <w:jc w:val="left"/>
              <w:rPr>
                <w:rFonts w:asciiTheme="minorHAnsi" w:hAnsiTheme="minorHAnsi" w:cs="Arial"/>
                <w:sz w:val="18"/>
                <w:szCs w:val="18"/>
              </w:rPr>
            </w:pPr>
          </w:p>
          <w:p w14:paraId="68FA6B8D" w14:textId="77777777" w:rsidR="000F0DA7" w:rsidRPr="008035D0" w:rsidRDefault="000F0DA7" w:rsidP="003D3558">
            <w:pPr>
              <w:pStyle w:val="BodyText"/>
              <w:spacing w:before="0" w:line="240" w:lineRule="auto"/>
              <w:jc w:val="left"/>
              <w:rPr>
                <w:rFonts w:asciiTheme="minorHAnsi" w:hAnsiTheme="minorHAnsi" w:cs="Arial"/>
                <w:sz w:val="18"/>
                <w:szCs w:val="18"/>
              </w:rPr>
            </w:pPr>
          </w:p>
          <w:p w14:paraId="28C35264" w14:textId="77777777" w:rsidR="00F2470E" w:rsidRPr="008035D0" w:rsidRDefault="00F2470E" w:rsidP="003D3558">
            <w:pPr>
              <w:pStyle w:val="BodyText"/>
              <w:spacing w:before="0" w:line="240" w:lineRule="auto"/>
              <w:jc w:val="left"/>
              <w:rPr>
                <w:rFonts w:asciiTheme="minorHAnsi" w:hAnsiTheme="minorHAnsi" w:cs="Arial"/>
                <w:sz w:val="18"/>
                <w:szCs w:val="18"/>
              </w:rPr>
            </w:pPr>
            <w:r w:rsidRPr="008035D0">
              <w:rPr>
                <w:rFonts w:asciiTheme="minorHAnsi" w:hAnsiTheme="minorHAnsi" w:cs="Arial"/>
                <w:sz w:val="18"/>
                <w:szCs w:val="18"/>
              </w:rPr>
              <w:t>General community</w:t>
            </w:r>
          </w:p>
          <w:p w14:paraId="6A6DC00A" w14:textId="77777777" w:rsidR="00BC4C8E" w:rsidRPr="008035D0" w:rsidRDefault="00BC4C8E" w:rsidP="003D3558">
            <w:pPr>
              <w:pStyle w:val="BodyText"/>
              <w:spacing w:before="0" w:line="240" w:lineRule="auto"/>
              <w:jc w:val="left"/>
              <w:rPr>
                <w:rFonts w:asciiTheme="minorHAnsi" w:hAnsiTheme="minorHAnsi" w:cs="Arial"/>
                <w:sz w:val="18"/>
                <w:szCs w:val="18"/>
              </w:rPr>
            </w:pPr>
          </w:p>
          <w:p w14:paraId="75E8452C" w14:textId="77777777" w:rsidR="00BC4C8E" w:rsidRPr="008035D0" w:rsidRDefault="00BC4C8E" w:rsidP="003D3558">
            <w:pPr>
              <w:pStyle w:val="BodyText"/>
              <w:spacing w:before="0" w:line="240" w:lineRule="auto"/>
              <w:jc w:val="left"/>
              <w:rPr>
                <w:rFonts w:asciiTheme="minorHAnsi" w:hAnsiTheme="minorHAnsi" w:cs="Arial"/>
                <w:sz w:val="18"/>
                <w:szCs w:val="18"/>
              </w:rPr>
            </w:pPr>
            <w:r w:rsidRPr="008035D0">
              <w:rPr>
                <w:rFonts w:asciiTheme="minorHAnsi" w:hAnsiTheme="minorHAnsi" w:cs="Arial"/>
                <w:sz w:val="18"/>
                <w:szCs w:val="18"/>
              </w:rPr>
              <w:t>Local organisations</w:t>
            </w:r>
          </w:p>
          <w:p w14:paraId="0F6D20F8" w14:textId="77777777" w:rsidR="00BC4C8E" w:rsidRPr="008035D0" w:rsidRDefault="00BC4C8E" w:rsidP="003D3558">
            <w:pPr>
              <w:pStyle w:val="BodyText"/>
              <w:spacing w:before="0" w:line="240" w:lineRule="auto"/>
              <w:jc w:val="left"/>
              <w:rPr>
                <w:rFonts w:asciiTheme="minorHAnsi" w:hAnsiTheme="minorHAnsi" w:cs="Arial"/>
                <w:sz w:val="18"/>
                <w:szCs w:val="18"/>
              </w:rPr>
            </w:pPr>
          </w:p>
          <w:p w14:paraId="559CE957" w14:textId="6AB2AE48" w:rsidR="00BC4C8E" w:rsidRPr="008035D0" w:rsidRDefault="00BC4C8E" w:rsidP="003D3558">
            <w:pPr>
              <w:pStyle w:val="BodyText"/>
              <w:spacing w:before="0" w:line="240" w:lineRule="auto"/>
              <w:jc w:val="left"/>
              <w:rPr>
                <w:rFonts w:asciiTheme="minorHAnsi" w:hAnsiTheme="minorHAnsi" w:cs="Arial"/>
                <w:sz w:val="18"/>
                <w:szCs w:val="18"/>
              </w:rPr>
            </w:pPr>
            <w:r w:rsidRPr="008035D0">
              <w:rPr>
                <w:rFonts w:asciiTheme="minorHAnsi" w:hAnsiTheme="minorHAnsi" w:cs="Arial"/>
                <w:sz w:val="18"/>
                <w:szCs w:val="18"/>
              </w:rPr>
              <w:t>Ratepayers (residential, farmland, business)</w:t>
            </w:r>
          </w:p>
        </w:tc>
        <w:tc>
          <w:tcPr>
            <w:tcW w:w="1134" w:type="dxa"/>
            <w:shd w:val="clear" w:color="auto" w:fill="DBE5F1" w:themeFill="accent1" w:themeFillTint="33"/>
          </w:tcPr>
          <w:p w14:paraId="728E171C" w14:textId="77777777" w:rsidR="0057377F" w:rsidRPr="008035D0" w:rsidRDefault="0057377F" w:rsidP="003D3558">
            <w:pPr>
              <w:pStyle w:val="BodyText"/>
              <w:spacing w:before="0" w:line="240" w:lineRule="auto"/>
              <w:jc w:val="left"/>
              <w:rPr>
                <w:rFonts w:asciiTheme="minorHAnsi" w:hAnsiTheme="minorHAnsi" w:cs="Arial"/>
                <w:sz w:val="18"/>
                <w:szCs w:val="18"/>
              </w:rPr>
            </w:pPr>
          </w:p>
          <w:p w14:paraId="69FCF5B5" w14:textId="77777777" w:rsidR="000F0DA7" w:rsidRPr="008035D0" w:rsidRDefault="000F0DA7" w:rsidP="003D3558">
            <w:pPr>
              <w:pStyle w:val="BodyText"/>
              <w:spacing w:before="0" w:line="240" w:lineRule="auto"/>
              <w:jc w:val="left"/>
              <w:rPr>
                <w:rFonts w:asciiTheme="minorHAnsi" w:hAnsiTheme="minorHAnsi" w:cs="Arial"/>
                <w:sz w:val="18"/>
                <w:szCs w:val="18"/>
              </w:rPr>
            </w:pPr>
          </w:p>
          <w:p w14:paraId="7FB08931" w14:textId="5272F0E2" w:rsidR="00F2470E" w:rsidRPr="008035D0" w:rsidRDefault="00C355E9" w:rsidP="003D3558">
            <w:pPr>
              <w:pStyle w:val="BodyText"/>
              <w:spacing w:before="0" w:line="240" w:lineRule="auto"/>
              <w:jc w:val="left"/>
              <w:rPr>
                <w:rFonts w:asciiTheme="minorHAnsi" w:hAnsiTheme="minorHAnsi" w:cs="Arial"/>
                <w:sz w:val="18"/>
                <w:szCs w:val="18"/>
              </w:rPr>
            </w:pPr>
            <w:r w:rsidRPr="008035D0">
              <w:rPr>
                <w:rFonts w:asciiTheme="minorHAnsi" w:hAnsiTheme="minorHAnsi" w:cs="Arial"/>
                <w:sz w:val="18"/>
                <w:szCs w:val="18"/>
              </w:rPr>
              <w:t>4 Aug –</w:t>
            </w:r>
            <w:r w:rsidRPr="008035D0">
              <w:rPr>
                <w:rFonts w:asciiTheme="minorHAnsi" w:hAnsiTheme="minorHAnsi" w:cs="Arial"/>
                <w:sz w:val="18"/>
                <w:szCs w:val="18"/>
              </w:rPr>
              <w:br/>
              <w:t xml:space="preserve">15 Sep </w:t>
            </w:r>
            <w:r w:rsidR="00BC4C8E" w:rsidRPr="008035D0">
              <w:rPr>
                <w:rFonts w:asciiTheme="minorHAnsi" w:hAnsiTheme="minorHAnsi" w:cs="Arial"/>
                <w:sz w:val="18"/>
                <w:szCs w:val="18"/>
              </w:rPr>
              <w:t>2014</w:t>
            </w:r>
          </w:p>
        </w:tc>
        <w:tc>
          <w:tcPr>
            <w:tcW w:w="1276" w:type="dxa"/>
            <w:shd w:val="clear" w:color="auto" w:fill="DBE5F1" w:themeFill="accent1" w:themeFillTint="33"/>
          </w:tcPr>
          <w:p w14:paraId="50198C2D" w14:textId="77777777" w:rsidR="0057377F" w:rsidRPr="008035D0" w:rsidRDefault="0057377F" w:rsidP="003D3558">
            <w:pPr>
              <w:pStyle w:val="BodyText"/>
              <w:spacing w:before="0" w:line="240" w:lineRule="auto"/>
              <w:jc w:val="left"/>
              <w:rPr>
                <w:rFonts w:asciiTheme="minorHAnsi" w:hAnsiTheme="minorHAnsi" w:cs="Arial"/>
                <w:sz w:val="18"/>
                <w:szCs w:val="18"/>
              </w:rPr>
            </w:pPr>
          </w:p>
          <w:p w14:paraId="286B19C4" w14:textId="77777777" w:rsidR="000F0DA7" w:rsidRPr="008035D0" w:rsidRDefault="000F0DA7" w:rsidP="003D3558">
            <w:pPr>
              <w:pStyle w:val="BodyText"/>
              <w:spacing w:before="0" w:line="240" w:lineRule="auto"/>
              <w:jc w:val="left"/>
              <w:rPr>
                <w:rFonts w:asciiTheme="minorHAnsi" w:hAnsiTheme="minorHAnsi" w:cs="Arial"/>
                <w:sz w:val="18"/>
                <w:szCs w:val="18"/>
              </w:rPr>
            </w:pPr>
          </w:p>
          <w:p w14:paraId="328C0DCB" w14:textId="526F284F" w:rsidR="00F2470E" w:rsidRPr="008035D0" w:rsidRDefault="00BC4C8E" w:rsidP="003D3558">
            <w:pPr>
              <w:pStyle w:val="BodyText"/>
              <w:spacing w:before="0" w:line="240" w:lineRule="auto"/>
              <w:jc w:val="left"/>
              <w:rPr>
                <w:rFonts w:asciiTheme="minorHAnsi" w:hAnsiTheme="minorHAnsi" w:cs="Arial"/>
                <w:sz w:val="18"/>
                <w:szCs w:val="18"/>
              </w:rPr>
            </w:pPr>
            <w:r w:rsidRPr="008035D0">
              <w:rPr>
                <w:rFonts w:asciiTheme="minorHAnsi" w:hAnsiTheme="minorHAnsi" w:cs="Arial"/>
                <w:sz w:val="18"/>
                <w:szCs w:val="18"/>
              </w:rPr>
              <w:t>Inform, involve and consult</w:t>
            </w:r>
          </w:p>
        </w:tc>
      </w:tr>
      <w:tr w:rsidR="00C355E9" w14:paraId="6073BE19" w14:textId="77777777" w:rsidTr="008035D0">
        <w:trPr>
          <w:cantSplit/>
        </w:trPr>
        <w:tc>
          <w:tcPr>
            <w:tcW w:w="2835" w:type="dxa"/>
            <w:shd w:val="clear" w:color="auto" w:fill="DBE5F1" w:themeFill="accent1" w:themeFillTint="33"/>
          </w:tcPr>
          <w:p w14:paraId="332E366B" w14:textId="4476002C" w:rsidR="00F2470E" w:rsidRPr="008035D0" w:rsidRDefault="003D3558" w:rsidP="003D3558">
            <w:pPr>
              <w:pStyle w:val="BodyText"/>
              <w:spacing w:before="0" w:line="240" w:lineRule="auto"/>
              <w:jc w:val="left"/>
              <w:rPr>
                <w:rFonts w:asciiTheme="minorHAnsi" w:hAnsiTheme="minorHAnsi" w:cs="Arial"/>
                <w:b/>
                <w:sz w:val="18"/>
                <w:szCs w:val="18"/>
              </w:rPr>
            </w:pPr>
            <w:r w:rsidRPr="008035D0">
              <w:rPr>
                <w:rFonts w:asciiTheme="minorHAnsi" w:hAnsiTheme="minorHAnsi" w:cs="Arial"/>
                <w:b/>
                <w:sz w:val="18"/>
                <w:szCs w:val="18"/>
              </w:rPr>
              <w:t>Mail out to ratepayers</w:t>
            </w:r>
          </w:p>
          <w:p w14:paraId="06E2C396" w14:textId="77777777" w:rsidR="003D3558" w:rsidRPr="008035D0" w:rsidRDefault="003D3558" w:rsidP="00922DA1">
            <w:pPr>
              <w:pStyle w:val="BodyText"/>
              <w:numPr>
                <w:ilvl w:val="0"/>
                <w:numId w:val="28"/>
              </w:numPr>
              <w:spacing w:before="0" w:line="240" w:lineRule="auto"/>
              <w:ind w:left="317" w:hanging="317"/>
              <w:jc w:val="left"/>
              <w:rPr>
                <w:rFonts w:asciiTheme="minorHAnsi" w:hAnsiTheme="minorHAnsi" w:cs="Arial"/>
                <w:sz w:val="18"/>
                <w:szCs w:val="18"/>
              </w:rPr>
            </w:pPr>
            <w:r w:rsidRPr="008035D0">
              <w:rPr>
                <w:rFonts w:asciiTheme="minorHAnsi" w:hAnsiTheme="minorHAnsi" w:cs="Arial"/>
                <w:sz w:val="18"/>
                <w:szCs w:val="18"/>
              </w:rPr>
              <w:t xml:space="preserve">To promote the public exhibition period of the updated </w:t>
            </w:r>
            <w:r w:rsidRPr="008035D0">
              <w:rPr>
                <w:rFonts w:asciiTheme="minorHAnsi" w:hAnsiTheme="minorHAnsi" w:cs="Arial"/>
                <w:i/>
                <w:sz w:val="18"/>
                <w:szCs w:val="18"/>
              </w:rPr>
              <w:t>Resourcing Strategy</w:t>
            </w:r>
            <w:r w:rsidRPr="008035D0">
              <w:rPr>
                <w:rFonts w:asciiTheme="minorHAnsi" w:hAnsiTheme="minorHAnsi" w:cs="Arial"/>
                <w:sz w:val="18"/>
                <w:szCs w:val="18"/>
              </w:rPr>
              <w:t xml:space="preserve">, </w:t>
            </w:r>
            <w:r w:rsidRPr="008035D0">
              <w:rPr>
                <w:rFonts w:asciiTheme="minorHAnsi" w:hAnsiTheme="minorHAnsi" w:cs="Arial"/>
                <w:i/>
                <w:sz w:val="18"/>
                <w:szCs w:val="18"/>
              </w:rPr>
              <w:t>Service Dashboards</w:t>
            </w:r>
            <w:r w:rsidRPr="008035D0">
              <w:rPr>
                <w:rFonts w:asciiTheme="minorHAnsi" w:hAnsiTheme="minorHAnsi" w:cs="Arial"/>
                <w:sz w:val="18"/>
                <w:szCs w:val="18"/>
              </w:rPr>
              <w:t xml:space="preserve"> and </w:t>
            </w:r>
            <w:r w:rsidRPr="008035D0">
              <w:rPr>
                <w:rFonts w:asciiTheme="minorHAnsi" w:hAnsiTheme="minorHAnsi" w:cs="Arial"/>
                <w:i/>
                <w:sz w:val="18"/>
                <w:szCs w:val="18"/>
              </w:rPr>
              <w:t>Supplementary Delivery Program</w:t>
            </w:r>
          </w:p>
          <w:p w14:paraId="6FB91B02" w14:textId="4DE12C04" w:rsidR="0057377F" w:rsidRPr="008035D0" w:rsidRDefault="0057377F" w:rsidP="00922DA1">
            <w:pPr>
              <w:pStyle w:val="BodyText"/>
              <w:numPr>
                <w:ilvl w:val="0"/>
                <w:numId w:val="28"/>
              </w:numPr>
              <w:spacing w:before="0" w:line="240" w:lineRule="auto"/>
              <w:ind w:left="317" w:hanging="317"/>
              <w:jc w:val="left"/>
              <w:rPr>
                <w:rFonts w:asciiTheme="minorHAnsi" w:hAnsiTheme="minorHAnsi" w:cs="Arial"/>
                <w:sz w:val="18"/>
                <w:szCs w:val="18"/>
              </w:rPr>
            </w:pPr>
            <w:r w:rsidRPr="008035D0">
              <w:rPr>
                <w:rFonts w:asciiTheme="minorHAnsi" w:hAnsiTheme="minorHAnsi" w:cs="Arial"/>
                <w:sz w:val="18"/>
                <w:szCs w:val="18"/>
              </w:rPr>
              <w:t xml:space="preserve">To invite feedback on the three options for </w:t>
            </w:r>
            <w:r w:rsidRPr="008035D0">
              <w:rPr>
                <w:rFonts w:asciiTheme="minorHAnsi" w:hAnsiTheme="minorHAnsi" w:cs="Arial"/>
                <w:i/>
                <w:sz w:val="18"/>
                <w:szCs w:val="18"/>
              </w:rPr>
              <w:t>Resourcing our Future</w:t>
            </w:r>
          </w:p>
          <w:p w14:paraId="2E2A17DB" w14:textId="2964CC64" w:rsidR="003D3558" w:rsidRPr="008035D0" w:rsidRDefault="003D3558" w:rsidP="00922DA1">
            <w:pPr>
              <w:pStyle w:val="BodyText"/>
              <w:numPr>
                <w:ilvl w:val="0"/>
                <w:numId w:val="28"/>
              </w:numPr>
              <w:spacing w:before="0" w:line="240" w:lineRule="auto"/>
              <w:ind w:left="317" w:hanging="992"/>
              <w:jc w:val="left"/>
              <w:rPr>
                <w:rFonts w:asciiTheme="minorHAnsi" w:hAnsiTheme="minorHAnsi" w:cs="Arial"/>
                <w:sz w:val="18"/>
                <w:szCs w:val="18"/>
              </w:rPr>
            </w:pPr>
          </w:p>
        </w:tc>
        <w:tc>
          <w:tcPr>
            <w:tcW w:w="2268" w:type="dxa"/>
            <w:shd w:val="clear" w:color="auto" w:fill="DBE5F1" w:themeFill="accent1" w:themeFillTint="33"/>
          </w:tcPr>
          <w:p w14:paraId="7F236FB0" w14:textId="77777777" w:rsidR="00F2470E" w:rsidRPr="008035D0" w:rsidRDefault="00F2470E" w:rsidP="003D3558">
            <w:pPr>
              <w:pStyle w:val="BodyText"/>
              <w:spacing w:before="0" w:line="240" w:lineRule="auto"/>
              <w:jc w:val="left"/>
              <w:rPr>
                <w:rFonts w:asciiTheme="minorHAnsi" w:hAnsiTheme="minorHAnsi" w:cs="Arial"/>
                <w:sz w:val="18"/>
                <w:szCs w:val="18"/>
              </w:rPr>
            </w:pPr>
          </w:p>
          <w:p w14:paraId="4052FFBF" w14:textId="2FAAA5C9" w:rsidR="0057377F" w:rsidRPr="008035D0" w:rsidRDefault="0057377F" w:rsidP="00922DA1">
            <w:pPr>
              <w:pStyle w:val="BodyText"/>
              <w:numPr>
                <w:ilvl w:val="0"/>
                <w:numId w:val="28"/>
              </w:numPr>
              <w:spacing w:before="0" w:line="240" w:lineRule="auto"/>
              <w:ind w:left="317" w:hanging="283"/>
              <w:jc w:val="left"/>
              <w:rPr>
                <w:rFonts w:asciiTheme="minorHAnsi" w:hAnsiTheme="minorHAnsi" w:cs="Arial"/>
                <w:sz w:val="18"/>
                <w:szCs w:val="18"/>
              </w:rPr>
            </w:pPr>
            <w:r w:rsidRPr="008035D0">
              <w:rPr>
                <w:rFonts w:asciiTheme="minorHAnsi" w:hAnsiTheme="minorHAnsi" w:cs="Arial"/>
                <w:sz w:val="18"/>
                <w:szCs w:val="18"/>
              </w:rPr>
              <w:t xml:space="preserve">Letter from Mayor with summary 4-page brochure </w:t>
            </w:r>
            <w:r w:rsidR="00A23146" w:rsidRPr="008035D0">
              <w:rPr>
                <w:rFonts w:asciiTheme="minorHAnsi" w:hAnsiTheme="minorHAnsi" w:cs="Arial"/>
                <w:sz w:val="18"/>
                <w:szCs w:val="18"/>
              </w:rPr>
              <w:t>(</w:t>
            </w:r>
            <w:r w:rsidR="00A23146" w:rsidRPr="008035D0">
              <w:rPr>
                <w:rFonts w:asciiTheme="minorHAnsi" w:hAnsiTheme="minorHAnsi" w:cs="Arial"/>
                <w:i/>
                <w:sz w:val="18"/>
                <w:szCs w:val="18"/>
              </w:rPr>
              <w:t>Resourcing Our Future: Have your say on options for achieving a better Blue Mountains</w:t>
            </w:r>
            <w:r w:rsidR="00A23146" w:rsidRPr="008035D0">
              <w:rPr>
                <w:rFonts w:asciiTheme="minorHAnsi" w:hAnsiTheme="minorHAnsi" w:cs="Arial"/>
                <w:sz w:val="18"/>
                <w:szCs w:val="18"/>
              </w:rPr>
              <w:t xml:space="preserve">) </w:t>
            </w:r>
            <w:r w:rsidRPr="008035D0">
              <w:rPr>
                <w:rFonts w:asciiTheme="minorHAnsi" w:hAnsiTheme="minorHAnsi" w:cs="Arial"/>
                <w:sz w:val="18"/>
                <w:szCs w:val="18"/>
              </w:rPr>
              <w:t xml:space="preserve">mailed to </w:t>
            </w:r>
            <w:r w:rsidR="003F6163">
              <w:rPr>
                <w:rFonts w:asciiTheme="minorHAnsi" w:hAnsiTheme="minorHAnsi" w:cs="Arial"/>
                <w:sz w:val="18"/>
                <w:szCs w:val="18"/>
              </w:rPr>
              <w:t>32,531</w:t>
            </w:r>
            <w:r w:rsidRPr="008035D0">
              <w:rPr>
                <w:rFonts w:asciiTheme="minorHAnsi" w:hAnsiTheme="minorHAnsi" w:cs="Arial"/>
                <w:sz w:val="18"/>
                <w:szCs w:val="18"/>
              </w:rPr>
              <w:t xml:space="preserve"> ratepayers</w:t>
            </w:r>
          </w:p>
          <w:p w14:paraId="6906FDF4" w14:textId="77777777" w:rsidR="0057377F" w:rsidRPr="008035D0" w:rsidRDefault="0057377F" w:rsidP="00922DA1">
            <w:pPr>
              <w:pStyle w:val="BodyText"/>
              <w:numPr>
                <w:ilvl w:val="0"/>
                <w:numId w:val="28"/>
              </w:numPr>
              <w:spacing w:before="0" w:line="240" w:lineRule="auto"/>
              <w:ind w:left="317" w:hanging="283"/>
              <w:jc w:val="left"/>
              <w:rPr>
                <w:rFonts w:asciiTheme="minorHAnsi" w:hAnsiTheme="minorHAnsi" w:cs="Arial"/>
                <w:sz w:val="18"/>
                <w:szCs w:val="18"/>
              </w:rPr>
            </w:pPr>
            <w:r w:rsidRPr="008035D0">
              <w:rPr>
                <w:rFonts w:asciiTheme="minorHAnsi" w:hAnsiTheme="minorHAnsi" w:cs="Arial"/>
                <w:sz w:val="18"/>
                <w:szCs w:val="18"/>
              </w:rPr>
              <w:t>Brochure contains tear-off slip and reply-paid envelope for ratepayers to make submission on their preferred resourcing option</w:t>
            </w:r>
          </w:p>
          <w:p w14:paraId="0ABFF59F" w14:textId="20E43761" w:rsidR="0057377F" w:rsidRPr="008035D0" w:rsidRDefault="0057377F" w:rsidP="00922DA1">
            <w:pPr>
              <w:pStyle w:val="BodyText"/>
              <w:numPr>
                <w:ilvl w:val="0"/>
                <w:numId w:val="28"/>
              </w:numPr>
              <w:spacing w:before="0" w:line="240" w:lineRule="auto"/>
              <w:ind w:left="317" w:hanging="283"/>
              <w:jc w:val="left"/>
              <w:rPr>
                <w:rFonts w:asciiTheme="minorHAnsi" w:hAnsiTheme="minorHAnsi" w:cs="Arial"/>
                <w:sz w:val="18"/>
                <w:szCs w:val="18"/>
              </w:rPr>
            </w:pPr>
            <w:r w:rsidRPr="008035D0">
              <w:rPr>
                <w:rFonts w:asciiTheme="minorHAnsi" w:hAnsiTheme="minorHAnsi" w:cs="Arial"/>
                <w:sz w:val="18"/>
                <w:szCs w:val="18"/>
              </w:rPr>
              <w:t xml:space="preserve">URL for </w:t>
            </w:r>
            <w:r w:rsidRPr="008035D0">
              <w:rPr>
                <w:rFonts w:asciiTheme="minorHAnsi" w:hAnsiTheme="minorHAnsi" w:cs="Arial"/>
                <w:i/>
                <w:sz w:val="18"/>
                <w:szCs w:val="18"/>
              </w:rPr>
              <w:t>Have Your Say</w:t>
            </w:r>
            <w:r w:rsidRPr="008035D0">
              <w:rPr>
                <w:rFonts w:asciiTheme="minorHAnsi" w:hAnsiTheme="minorHAnsi" w:cs="Arial"/>
                <w:sz w:val="18"/>
                <w:szCs w:val="18"/>
              </w:rPr>
              <w:t xml:space="preserve"> website with additional information including </w:t>
            </w:r>
            <w:r w:rsidR="003F6163">
              <w:rPr>
                <w:rFonts w:asciiTheme="minorHAnsi" w:hAnsiTheme="minorHAnsi" w:cs="Arial"/>
                <w:sz w:val="18"/>
                <w:szCs w:val="18"/>
              </w:rPr>
              <w:t xml:space="preserve">three </w:t>
            </w:r>
            <w:r w:rsidRPr="008035D0">
              <w:rPr>
                <w:rFonts w:asciiTheme="minorHAnsi" w:hAnsiTheme="minorHAnsi" w:cs="Arial"/>
                <w:sz w:val="18"/>
                <w:szCs w:val="18"/>
              </w:rPr>
              <w:t xml:space="preserve">Information Fact Sheets on </w:t>
            </w:r>
            <w:r w:rsidR="003F6163">
              <w:rPr>
                <w:rFonts w:asciiTheme="minorHAnsi" w:hAnsiTheme="minorHAnsi" w:cs="Arial"/>
                <w:sz w:val="18"/>
                <w:szCs w:val="18"/>
              </w:rPr>
              <w:t xml:space="preserve">A better Blue Mountains, Your </w:t>
            </w:r>
            <w:r w:rsidRPr="008035D0">
              <w:rPr>
                <w:rFonts w:asciiTheme="minorHAnsi" w:hAnsiTheme="minorHAnsi" w:cs="Arial"/>
                <w:sz w:val="18"/>
                <w:szCs w:val="18"/>
              </w:rPr>
              <w:t xml:space="preserve">Environment Levy, Council’s cost savings, efficiencies and revenue </w:t>
            </w:r>
            <w:r w:rsidR="003F6163">
              <w:rPr>
                <w:rFonts w:asciiTheme="minorHAnsi" w:hAnsiTheme="minorHAnsi" w:cs="Arial"/>
                <w:sz w:val="18"/>
                <w:szCs w:val="18"/>
              </w:rPr>
              <w:t>initiatives</w:t>
            </w:r>
            <w:r w:rsidRPr="008035D0">
              <w:rPr>
                <w:rFonts w:asciiTheme="minorHAnsi" w:hAnsiTheme="minorHAnsi" w:cs="Arial"/>
                <w:sz w:val="18"/>
                <w:szCs w:val="18"/>
              </w:rPr>
              <w:t xml:space="preserve"> and Frequently Asked Questions</w:t>
            </w:r>
            <w:r w:rsidR="003F6163">
              <w:rPr>
                <w:rFonts w:asciiTheme="minorHAnsi" w:hAnsiTheme="minorHAnsi" w:cs="Arial"/>
                <w:sz w:val="18"/>
                <w:szCs w:val="18"/>
              </w:rPr>
              <w:t xml:space="preserve"> (FAQ)</w:t>
            </w:r>
          </w:p>
          <w:p w14:paraId="1FE1FB76" w14:textId="2EE0C879" w:rsidR="006534BE" w:rsidRPr="008035D0" w:rsidRDefault="006534BE" w:rsidP="006534BE">
            <w:pPr>
              <w:pStyle w:val="BodyText"/>
              <w:spacing w:before="0" w:line="240" w:lineRule="auto"/>
              <w:ind w:left="317"/>
              <w:jc w:val="left"/>
              <w:rPr>
                <w:rFonts w:asciiTheme="minorHAnsi" w:hAnsiTheme="minorHAnsi" w:cs="Arial"/>
                <w:sz w:val="18"/>
                <w:szCs w:val="18"/>
              </w:rPr>
            </w:pPr>
          </w:p>
        </w:tc>
        <w:tc>
          <w:tcPr>
            <w:tcW w:w="1418" w:type="dxa"/>
            <w:shd w:val="clear" w:color="auto" w:fill="DBE5F1" w:themeFill="accent1" w:themeFillTint="33"/>
          </w:tcPr>
          <w:p w14:paraId="007784EE" w14:textId="77777777" w:rsidR="00F2470E" w:rsidRPr="008035D0" w:rsidRDefault="00F2470E" w:rsidP="003D3558">
            <w:pPr>
              <w:pStyle w:val="BodyText"/>
              <w:spacing w:before="0" w:line="240" w:lineRule="auto"/>
              <w:jc w:val="left"/>
              <w:rPr>
                <w:rFonts w:asciiTheme="minorHAnsi" w:hAnsiTheme="minorHAnsi" w:cs="Arial"/>
                <w:sz w:val="18"/>
                <w:szCs w:val="18"/>
              </w:rPr>
            </w:pPr>
          </w:p>
          <w:p w14:paraId="3B789B9C" w14:textId="627D06FF" w:rsidR="0057377F" w:rsidRPr="008035D0" w:rsidRDefault="0030304B" w:rsidP="003D3558">
            <w:pPr>
              <w:pStyle w:val="BodyText"/>
              <w:spacing w:before="0" w:line="240" w:lineRule="auto"/>
              <w:jc w:val="left"/>
              <w:rPr>
                <w:rFonts w:asciiTheme="minorHAnsi" w:hAnsiTheme="minorHAnsi" w:cs="Arial"/>
                <w:sz w:val="18"/>
                <w:szCs w:val="18"/>
              </w:rPr>
            </w:pPr>
            <w:r>
              <w:rPr>
                <w:rFonts w:asciiTheme="minorHAnsi" w:hAnsiTheme="minorHAnsi" w:cs="Arial"/>
                <w:sz w:val="18"/>
                <w:szCs w:val="18"/>
              </w:rPr>
              <w:t xml:space="preserve">32,531 </w:t>
            </w:r>
            <w:r w:rsidR="0057377F" w:rsidRPr="008035D0">
              <w:rPr>
                <w:rFonts w:asciiTheme="minorHAnsi" w:hAnsiTheme="minorHAnsi" w:cs="Arial"/>
                <w:sz w:val="18"/>
                <w:szCs w:val="18"/>
              </w:rPr>
              <w:t>Ratepayers (residential, farmland, business)</w:t>
            </w:r>
          </w:p>
        </w:tc>
        <w:tc>
          <w:tcPr>
            <w:tcW w:w="1134" w:type="dxa"/>
            <w:shd w:val="clear" w:color="auto" w:fill="DBE5F1" w:themeFill="accent1" w:themeFillTint="33"/>
          </w:tcPr>
          <w:p w14:paraId="3F935918" w14:textId="77777777" w:rsidR="00F2470E" w:rsidRPr="008035D0" w:rsidRDefault="00F2470E" w:rsidP="003D3558">
            <w:pPr>
              <w:pStyle w:val="BodyText"/>
              <w:spacing w:before="0" w:line="240" w:lineRule="auto"/>
              <w:jc w:val="left"/>
              <w:rPr>
                <w:rFonts w:asciiTheme="minorHAnsi" w:hAnsiTheme="minorHAnsi" w:cs="Arial"/>
                <w:sz w:val="18"/>
                <w:szCs w:val="18"/>
              </w:rPr>
            </w:pPr>
          </w:p>
          <w:p w14:paraId="1CF67CED" w14:textId="4C029A80" w:rsidR="0057377F" w:rsidRPr="008035D0" w:rsidRDefault="00C355E9" w:rsidP="003D3558">
            <w:pPr>
              <w:pStyle w:val="BodyText"/>
              <w:spacing w:before="0" w:line="240" w:lineRule="auto"/>
              <w:jc w:val="left"/>
              <w:rPr>
                <w:rFonts w:asciiTheme="minorHAnsi" w:hAnsiTheme="minorHAnsi" w:cs="Arial"/>
                <w:sz w:val="18"/>
                <w:szCs w:val="18"/>
              </w:rPr>
            </w:pPr>
            <w:r w:rsidRPr="008035D0">
              <w:rPr>
                <w:rFonts w:asciiTheme="minorHAnsi" w:hAnsiTheme="minorHAnsi" w:cs="Arial"/>
                <w:sz w:val="18"/>
                <w:szCs w:val="18"/>
              </w:rPr>
              <w:t xml:space="preserve">11 Aug </w:t>
            </w:r>
            <w:r w:rsidR="0057377F" w:rsidRPr="008035D0">
              <w:rPr>
                <w:rFonts w:asciiTheme="minorHAnsi" w:hAnsiTheme="minorHAnsi" w:cs="Arial"/>
                <w:sz w:val="18"/>
                <w:szCs w:val="18"/>
              </w:rPr>
              <w:t>2014</w:t>
            </w:r>
          </w:p>
        </w:tc>
        <w:tc>
          <w:tcPr>
            <w:tcW w:w="1276" w:type="dxa"/>
            <w:shd w:val="clear" w:color="auto" w:fill="DBE5F1" w:themeFill="accent1" w:themeFillTint="33"/>
          </w:tcPr>
          <w:p w14:paraId="7B46BC67" w14:textId="77777777" w:rsidR="00F2470E" w:rsidRPr="008035D0" w:rsidRDefault="00F2470E" w:rsidP="003D3558">
            <w:pPr>
              <w:pStyle w:val="BodyText"/>
              <w:spacing w:before="0" w:line="240" w:lineRule="auto"/>
              <w:jc w:val="left"/>
              <w:rPr>
                <w:rFonts w:asciiTheme="minorHAnsi" w:hAnsiTheme="minorHAnsi" w:cs="Arial"/>
                <w:sz w:val="18"/>
                <w:szCs w:val="18"/>
              </w:rPr>
            </w:pPr>
          </w:p>
          <w:p w14:paraId="37234DFD" w14:textId="63B6A990" w:rsidR="0057377F" w:rsidRPr="008035D0" w:rsidRDefault="0057377F" w:rsidP="003D3558">
            <w:pPr>
              <w:pStyle w:val="BodyText"/>
              <w:spacing w:before="0" w:line="240" w:lineRule="auto"/>
              <w:jc w:val="left"/>
              <w:rPr>
                <w:rFonts w:asciiTheme="minorHAnsi" w:hAnsiTheme="minorHAnsi" w:cs="Arial"/>
                <w:sz w:val="18"/>
                <w:szCs w:val="18"/>
              </w:rPr>
            </w:pPr>
            <w:r w:rsidRPr="008035D0">
              <w:rPr>
                <w:rFonts w:asciiTheme="minorHAnsi" w:hAnsiTheme="minorHAnsi" w:cs="Arial"/>
                <w:sz w:val="18"/>
                <w:szCs w:val="18"/>
              </w:rPr>
              <w:t>Inform, involve and consult</w:t>
            </w:r>
          </w:p>
        </w:tc>
      </w:tr>
      <w:tr w:rsidR="00C355E9" w14:paraId="57B4D9A5" w14:textId="77777777" w:rsidTr="008035D0">
        <w:trPr>
          <w:cantSplit/>
        </w:trPr>
        <w:tc>
          <w:tcPr>
            <w:tcW w:w="2835" w:type="dxa"/>
            <w:shd w:val="clear" w:color="auto" w:fill="DBE5F1" w:themeFill="accent1" w:themeFillTint="33"/>
          </w:tcPr>
          <w:p w14:paraId="013E9308" w14:textId="589B4B35" w:rsidR="00F2470E" w:rsidRPr="008035D0" w:rsidRDefault="006534BE" w:rsidP="003D3558">
            <w:pPr>
              <w:pStyle w:val="BodyText"/>
              <w:spacing w:before="0" w:line="240" w:lineRule="auto"/>
              <w:jc w:val="left"/>
              <w:rPr>
                <w:rFonts w:asciiTheme="minorHAnsi" w:hAnsiTheme="minorHAnsi" w:cs="Arial"/>
                <w:b/>
                <w:sz w:val="18"/>
                <w:szCs w:val="18"/>
              </w:rPr>
            </w:pPr>
            <w:r w:rsidRPr="008035D0">
              <w:rPr>
                <w:rFonts w:asciiTheme="minorHAnsi" w:hAnsiTheme="minorHAnsi" w:cs="Arial"/>
                <w:b/>
                <w:sz w:val="18"/>
                <w:szCs w:val="18"/>
              </w:rPr>
              <w:t>Telephone survey of a representative cross-section of ratepayers</w:t>
            </w:r>
          </w:p>
          <w:p w14:paraId="25FCB3C7" w14:textId="77777777" w:rsidR="006534BE" w:rsidRPr="008035D0" w:rsidRDefault="006534BE" w:rsidP="00922DA1">
            <w:pPr>
              <w:pStyle w:val="BodyText"/>
              <w:numPr>
                <w:ilvl w:val="0"/>
                <w:numId w:val="29"/>
              </w:numPr>
              <w:spacing w:before="0" w:line="240" w:lineRule="auto"/>
              <w:ind w:left="317" w:hanging="284"/>
              <w:jc w:val="left"/>
              <w:rPr>
                <w:rFonts w:asciiTheme="minorHAnsi" w:hAnsiTheme="minorHAnsi" w:cs="Arial"/>
                <w:sz w:val="18"/>
                <w:szCs w:val="18"/>
              </w:rPr>
            </w:pPr>
            <w:r w:rsidRPr="008035D0">
              <w:rPr>
                <w:rFonts w:asciiTheme="minorHAnsi" w:hAnsiTheme="minorHAnsi" w:cs="Arial"/>
                <w:sz w:val="18"/>
                <w:szCs w:val="18"/>
              </w:rPr>
              <w:t xml:space="preserve">To engage a representative cross-section of ratepayers to obtain their views on the three options for </w:t>
            </w:r>
            <w:r w:rsidRPr="008035D0">
              <w:rPr>
                <w:rFonts w:asciiTheme="minorHAnsi" w:hAnsiTheme="minorHAnsi" w:cs="Arial"/>
                <w:i/>
                <w:sz w:val="18"/>
                <w:szCs w:val="18"/>
              </w:rPr>
              <w:t>Resourcing our Future</w:t>
            </w:r>
          </w:p>
          <w:p w14:paraId="5350A118" w14:textId="3198EB78" w:rsidR="006534BE" w:rsidRPr="008035D0" w:rsidRDefault="006534BE" w:rsidP="006534BE">
            <w:pPr>
              <w:pStyle w:val="BodyText"/>
              <w:spacing w:before="0" w:line="240" w:lineRule="auto"/>
              <w:ind w:left="317"/>
              <w:jc w:val="left"/>
              <w:rPr>
                <w:rFonts w:asciiTheme="minorHAnsi" w:hAnsiTheme="minorHAnsi" w:cs="Arial"/>
                <w:sz w:val="18"/>
                <w:szCs w:val="18"/>
              </w:rPr>
            </w:pPr>
          </w:p>
        </w:tc>
        <w:tc>
          <w:tcPr>
            <w:tcW w:w="2268" w:type="dxa"/>
            <w:shd w:val="clear" w:color="auto" w:fill="DBE5F1" w:themeFill="accent1" w:themeFillTint="33"/>
          </w:tcPr>
          <w:p w14:paraId="3032F4EB" w14:textId="77777777" w:rsidR="00C355E9" w:rsidRPr="008035D0" w:rsidRDefault="00C355E9" w:rsidP="00C355E9">
            <w:pPr>
              <w:pStyle w:val="BodyText"/>
              <w:spacing w:before="0" w:line="240" w:lineRule="auto"/>
              <w:jc w:val="left"/>
              <w:rPr>
                <w:rFonts w:asciiTheme="minorHAnsi" w:hAnsiTheme="minorHAnsi" w:cs="Arial"/>
                <w:sz w:val="18"/>
                <w:szCs w:val="18"/>
              </w:rPr>
            </w:pPr>
          </w:p>
          <w:p w14:paraId="5740F1A8" w14:textId="3F5FAC47" w:rsidR="00F2470E" w:rsidRPr="008035D0" w:rsidRDefault="007E5506" w:rsidP="007E5506">
            <w:pPr>
              <w:pStyle w:val="BodyText"/>
              <w:numPr>
                <w:ilvl w:val="0"/>
                <w:numId w:val="29"/>
              </w:numPr>
              <w:spacing w:before="0" w:line="240" w:lineRule="auto"/>
              <w:ind w:left="317" w:hanging="317"/>
              <w:jc w:val="left"/>
              <w:rPr>
                <w:rFonts w:asciiTheme="minorHAnsi" w:hAnsiTheme="minorHAnsi" w:cs="Arial"/>
                <w:sz w:val="18"/>
                <w:szCs w:val="18"/>
              </w:rPr>
            </w:pPr>
            <w:r w:rsidRPr="008035D0">
              <w:rPr>
                <w:rFonts w:asciiTheme="minorHAnsi" w:hAnsiTheme="minorHAnsi" w:cs="Arial"/>
                <w:sz w:val="18"/>
                <w:szCs w:val="18"/>
              </w:rPr>
              <w:t>Survey of a statistically representative sample of 504 ratepayers who had</w:t>
            </w:r>
            <w:r w:rsidR="006534BE" w:rsidRPr="008035D0">
              <w:rPr>
                <w:rFonts w:asciiTheme="minorHAnsi" w:hAnsiTheme="minorHAnsi" w:cs="Arial"/>
                <w:sz w:val="18"/>
                <w:szCs w:val="18"/>
              </w:rPr>
              <w:t xml:space="preserve"> read the </w:t>
            </w:r>
            <w:r w:rsidRPr="008035D0">
              <w:rPr>
                <w:rFonts w:asciiTheme="minorHAnsi" w:hAnsiTheme="minorHAnsi" w:cs="Arial"/>
                <w:i/>
                <w:sz w:val="18"/>
                <w:szCs w:val="18"/>
              </w:rPr>
              <w:t>Resourcing our Future</w:t>
            </w:r>
            <w:r w:rsidRPr="008035D0">
              <w:rPr>
                <w:rFonts w:asciiTheme="minorHAnsi" w:hAnsiTheme="minorHAnsi" w:cs="Arial"/>
                <w:sz w:val="18"/>
                <w:szCs w:val="18"/>
              </w:rPr>
              <w:t xml:space="preserve"> brochure</w:t>
            </w:r>
          </w:p>
        </w:tc>
        <w:tc>
          <w:tcPr>
            <w:tcW w:w="1418" w:type="dxa"/>
            <w:shd w:val="clear" w:color="auto" w:fill="DBE5F1" w:themeFill="accent1" w:themeFillTint="33"/>
          </w:tcPr>
          <w:p w14:paraId="3DAE4FEC" w14:textId="77777777" w:rsidR="00F2470E" w:rsidRPr="008035D0" w:rsidRDefault="00F2470E" w:rsidP="003D3558">
            <w:pPr>
              <w:pStyle w:val="BodyText"/>
              <w:spacing w:before="0" w:line="240" w:lineRule="auto"/>
              <w:jc w:val="left"/>
              <w:rPr>
                <w:rFonts w:asciiTheme="minorHAnsi" w:hAnsiTheme="minorHAnsi" w:cs="Arial"/>
                <w:sz w:val="18"/>
                <w:szCs w:val="18"/>
              </w:rPr>
            </w:pPr>
          </w:p>
          <w:p w14:paraId="69A3C383" w14:textId="77777777" w:rsidR="006534BE" w:rsidRPr="008035D0" w:rsidRDefault="006534BE" w:rsidP="003D3558">
            <w:pPr>
              <w:pStyle w:val="BodyText"/>
              <w:spacing w:before="0" w:line="240" w:lineRule="auto"/>
              <w:jc w:val="left"/>
              <w:rPr>
                <w:rFonts w:asciiTheme="minorHAnsi" w:hAnsiTheme="minorHAnsi" w:cs="Arial"/>
                <w:sz w:val="18"/>
                <w:szCs w:val="18"/>
              </w:rPr>
            </w:pPr>
            <w:r w:rsidRPr="008035D0">
              <w:rPr>
                <w:rFonts w:asciiTheme="minorHAnsi" w:hAnsiTheme="minorHAnsi" w:cs="Arial"/>
                <w:sz w:val="18"/>
                <w:szCs w:val="18"/>
              </w:rPr>
              <w:t>Ratepayers</w:t>
            </w:r>
          </w:p>
          <w:p w14:paraId="71838EFF" w14:textId="4A907652" w:rsidR="005F1D2F" w:rsidRPr="008035D0" w:rsidRDefault="005F1D2F" w:rsidP="003D3558">
            <w:pPr>
              <w:pStyle w:val="BodyText"/>
              <w:spacing w:before="0" w:line="240" w:lineRule="auto"/>
              <w:jc w:val="left"/>
              <w:rPr>
                <w:rFonts w:asciiTheme="minorHAnsi" w:hAnsiTheme="minorHAnsi" w:cs="Arial"/>
                <w:sz w:val="18"/>
                <w:szCs w:val="18"/>
              </w:rPr>
            </w:pPr>
            <w:r w:rsidRPr="008035D0">
              <w:rPr>
                <w:rFonts w:asciiTheme="minorHAnsi" w:hAnsiTheme="minorHAnsi" w:cs="Arial"/>
                <w:sz w:val="18"/>
                <w:szCs w:val="18"/>
              </w:rPr>
              <w:t>(cross-section by location, age and sex)</w:t>
            </w:r>
          </w:p>
        </w:tc>
        <w:tc>
          <w:tcPr>
            <w:tcW w:w="1134" w:type="dxa"/>
            <w:shd w:val="clear" w:color="auto" w:fill="DBE5F1" w:themeFill="accent1" w:themeFillTint="33"/>
          </w:tcPr>
          <w:p w14:paraId="3278C127" w14:textId="77777777" w:rsidR="00F2470E" w:rsidRPr="008035D0" w:rsidRDefault="00F2470E" w:rsidP="003D3558">
            <w:pPr>
              <w:pStyle w:val="BodyText"/>
              <w:spacing w:before="0" w:line="240" w:lineRule="auto"/>
              <w:jc w:val="left"/>
              <w:rPr>
                <w:rFonts w:asciiTheme="minorHAnsi" w:hAnsiTheme="minorHAnsi" w:cs="Arial"/>
                <w:sz w:val="18"/>
                <w:szCs w:val="18"/>
              </w:rPr>
            </w:pPr>
          </w:p>
          <w:p w14:paraId="5F11CC17" w14:textId="765A9C1B" w:rsidR="006534BE" w:rsidRPr="008035D0" w:rsidRDefault="006534BE" w:rsidP="003D3558">
            <w:pPr>
              <w:pStyle w:val="BodyText"/>
              <w:spacing w:before="0" w:line="240" w:lineRule="auto"/>
              <w:jc w:val="left"/>
              <w:rPr>
                <w:rFonts w:asciiTheme="minorHAnsi" w:hAnsiTheme="minorHAnsi" w:cs="Arial"/>
                <w:sz w:val="18"/>
                <w:szCs w:val="18"/>
              </w:rPr>
            </w:pPr>
            <w:r w:rsidRPr="008035D0">
              <w:rPr>
                <w:rFonts w:asciiTheme="minorHAnsi" w:hAnsiTheme="minorHAnsi" w:cs="Arial"/>
                <w:sz w:val="18"/>
                <w:szCs w:val="18"/>
              </w:rPr>
              <w:t>16-19 August 2014</w:t>
            </w:r>
          </w:p>
        </w:tc>
        <w:tc>
          <w:tcPr>
            <w:tcW w:w="1276" w:type="dxa"/>
            <w:shd w:val="clear" w:color="auto" w:fill="DBE5F1" w:themeFill="accent1" w:themeFillTint="33"/>
          </w:tcPr>
          <w:p w14:paraId="0D23B2D8" w14:textId="77777777" w:rsidR="00F2470E" w:rsidRPr="008035D0" w:rsidRDefault="00F2470E" w:rsidP="003D3558">
            <w:pPr>
              <w:pStyle w:val="BodyText"/>
              <w:spacing w:before="0" w:line="240" w:lineRule="auto"/>
              <w:jc w:val="left"/>
              <w:rPr>
                <w:rFonts w:asciiTheme="minorHAnsi" w:hAnsiTheme="minorHAnsi" w:cs="Arial"/>
                <w:sz w:val="18"/>
                <w:szCs w:val="18"/>
              </w:rPr>
            </w:pPr>
          </w:p>
          <w:p w14:paraId="48CF6725" w14:textId="2D90C5B0" w:rsidR="006534BE" w:rsidRPr="008035D0" w:rsidRDefault="006534BE" w:rsidP="003D3558">
            <w:pPr>
              <w:pStyle w:val="BodyText"/>
              <w:spacing w:before="0" w:line="240" w:lineRule="auto"/>
              <w:jc w:val="left"/>
              <w:rPr>
                <w:rFonts w:asciiTheme="minorHAnsi" w:hAnsiTheme="minorHAnsi" w:cs="Arial"/>
                <w:sz w:val="18"/>
                <w:szCs w:val="18"/>
              </w:rPr>
            </w:pPr>
            <w:r w:rsidRPr="008035D0">
              <w:rPr>
                <w:rFonts w:asciiTheme="minorHAnsi" w:hAnsiTheme="minorHAnsi" w:cs="Arial"/>
                <w:sz w:val="18"/>
                <w:szCs w:val="18"/>
              </w:rPr>
              <w:t>Consult</w:t>
            </w:r>
          </w:p>
        </w:tc>
      </w:tr>
      <w:tr w:rsidR="00C355E9" w14:paraId="543FB295" w14:textId="77777777" w:rsidTr="008035D0">
        <w:trPr>
          <w:cantSplit/>
        </w:trPr>
        <w:tc>
          <w:tcPr>
            <w:tcW w:w="2835" w:type="dxa"/>
            <w:shd w:val="clear" w:color="auto" w:fill="DBE5F1" w:themeFill="accent1" w:themeFillTint="33"/>
          </w:tcPr>
          <w:p w14:paraId="34ED96F5" w14:textId="37D9A016" w:rsidR="00F2470E" w:rsidRPr="008035D0" w:rsidRDefault="006534BE" w:rsidP="003D3558">
            <w:pPr>
              <w:pStyle w:val="BodyText"/>
              <w:spacing w:before="0" w:line="240" w:lineRule="auto"/>
              <w:jc w:val="left"/>
              <w:rPr>
                <w:rFonts w:asciiTheme="minorHAnsi" w:hAnsiTheme="minorHAnsi" w:cs="Arial"/>
                <w:b/>
                <w:sz w:val="18"/>
                <w:szCs w:val="18"/>
              </w:rPr>
            </w:pPr>
            <w:r w:rsidRPr="008035D0">
              <w:rPr>
                <w:rFonts w:asciiTheme="minorHAnsi" w:hAnsiTheme="minorHAnsi" w:cs="Arial"/>
                <w:b/>
                <w:sz w:val="18"/>
                <w:szCs w:val="18"/>
              </w:rPr>
              <w:t>Area workshops</w:t>
            </w:r>
          </w:p>
          <w:p w14:paraId="29A89465" w14:textId="77777777" w:rsidR="006534BE" w:rsidRPr="008035D0" w:rsidRDefault="006534BE" w:rsidP="00922DA1">
            <w:pPr>
              <w:pStyle w:val="BodyText"/>
              <w:numPr>
                <w:ilvl w:val="0"/>
                <w:numId w:val="30"/>
              </w:numPr>
              <w:spacing w:before="0" w:line="240" w:lineRule="auto"/>
              <w:ind w:left="317" w:hanging="284"/>
              <w:jc w:val="left"/>
              <w:rPr>
                <w:rFonts w:asciiTheme="minorHAnsi" w:hAnsiTheme="minorHAnsi" w:cs="Arial"/>
                <w:sz w:val="18"/>
                <w:szCs w:val="18"/>
              </w:rPr>
            </w:pPr>
            <w:r w:rsidRPr="008035D0">
              <w:rPr>
                <w:rFonts w:asciiTheme="minorHAnsi" w:hAnsiTheme="minorHAnsi" w:cs="Arial"/>
                <w:sz w:val="18"/>
                <w:szCs w:val="18"/>
              </w:rPr>
              <w:t>To engage with a cross-section of residents on the three resourcing options and their impacts on affordable levels of service provision</w:t>
            </w:r>
          </w:p>
          <w:p w14:paraId="4351A69B" w14:textId="77777777" w:rsidR="006534BE" w:rsidRPr="008035D0" w:rsidRDefault="006534BE" w:rsidP="00922DA1">
            <w:pPr>
              <w:pStyle w:val="BodyText"/>
              <w:numPr>
                <w:ilvl w:val="0"/>
                <w:numId w:val="30"/>
              </w:numPr>
              <w:spacing w:before="0" w:line="240" w:lineRule="auto"/>
              <w:ind w:left="317" w:hanging="284"/>
              <w:jc w:val="left"/>
              <w:rPr>
                <w:rFonts w:asciiTheme="minorHAnsi" w:hAnsiTheme="minorHAnsi" w:cs="Arial"/>
                <w:sz w:val="18"/>
                <w:szCs w:val="18"/>
              </w:rPr>
            </w:pPr>
            <w:r w:rsidRPr="008035D0">
              <w:rPr>
                <w:rFonts w:asciiTheme="minorHAnsi" w:hAnsiTheme="minorHAnsi" w:cs="Arial"/>
                <w:sz w:val="18"/>
                <w:szCs w:val="18"/>
              </w:rPr>
              <w:t>To gain feedback from this sample of the community</w:t>
            </w:r>
          </w:p>
          <w:p w14:paraId="43A8A548" w14:textId="77777777" w:rsidR="006534BE" w:rsidRPr="008035D0" w:rsidRDefault="006534BE" w:rsidP="00922DA1">
            <w:pPr>
              <w:pStyle w:val="BodyText"/>
              <w:numPr>
                <w:ilvl w:val="0"/>
                <w:numId w:val="30"/>
              </w:numPr>
              <w:spacing w:before="0" w:line="240" w:lineRule="auto"/>
              <w:ind w:left="317" w:hanging="284"/>
              <w:jc w:val="left"/>
              <w:rPr>
                <w:rFonts w:asciiTheme="minorHAnsi" w:hAnsiTheme="minorHAnsi" w:cs="Arial"/>
                <w:sz w:val="18"/>
                <w:szCs w:val="18"/>
              </w:rPr>
            </w:pPr>
            <w:r w:rsidRPr="008035D0">
              <w:rPr>
                <w:rFonts w:asciiTheme="minorHAnsi" w:hAnsiTheme="minorHAnsi" w:cs="Arial"/>
                <w:sz w:val="18"/>
                <w:szCs w:val="18"/>
              </w:rPr>
              <w:t>To engage community on the Council’s Draft Waste Strategy, taking into consideration potential financial impacts</w:t>
            </w:r>
          </w:p>
          <w:p w14:paraId="500E7BA9" w14:textId="1A26200F" w:rsidR="006534BE" w:rsidRPr="008035D0" w:rsidRDefault="006534BE" w:rsidP="006534BE">
            <w:pPr>
              <w:pStyle w:val="BodyText"/>
              <w:spacing w:before="0" w:line="240" w:lineRule="auto"/>
              <w:ind w:left="317"/>
              <w:jc w:val="left"/>
              <w:rPr>
                <w:rFonts w:asciiTheme="minorHAnsi" w:hAnsiTheme="minorHAnsi" w:cs="Arial"/>
                <w:sz w:val="18"/>
                <w:szCs w:val="18"/>
              </w:rPr>
            </w:pPr>
          </w:p>
        </w:tc>
        <w:tc>
          <w:tcPr>
            <w:tcW w:w="2268" w:type="dxa"/>
            <w:shd w:val="clear" w:color="auto" w:fill="DBE5F1" w:themeFill="accent1" w:themeFillTint="33"/>
          </w:tcPr>
          <w:p w14:paraId="32DF392B" w14:textId="77777777" w:rsidR="00F2470E" w:rsidRPr="008035D0" w:rsidRDefault="00F2470E" w:rsidP="003D3558">
            <w:pPr>
              <w:pStyle w:val="BodyText"/>
              <w:spacing w:before="0" w:line="240" w:lineRule="auto"/>
              <w:jc w:val="left"/>
              <w:rPr>
                <w:rFonts w:asciiTheme="minorHAnsi" w:hAnsiTheme="minorHAnsi" w:cs="Arial"/>
                <w:sz w:val="18"/>
                <w:szCs w:val="18"/>
              </w:rPr>
            </w:pPr>
          </w:p>
          <w:p w14:paraId="0991FE9C" w14:textId="77777777" w:rsidR="006534BE" w:rsidRPr="008035D0" w:rsidRDefault="001372A0" w:rsidP="00922DA1">
            <w:pPr>
              <w:pStyle w:val="BodyText"/>
              <w:numPr>
                <w:ilvl w:val="0"/>
                <w:numId w:val="30"/>
              </w:numPr>
              <w:spacing w:before="0" w:line="240" w:lineRule="auto"/>
              <w:ind w:left="317" w:hanging="317"/>
              <w:jc w:val="left"/>
              <w:rPr>
                <w:rFonts w:asciiTheme="minorHAnsi" w:hAnsiTheme="minorHAnsi" w:cs="Arial"/>
                <w:sz w:val="18"/>
                <w:szCs w:val="18"/>
              </w:rPr>
            </w:pPr>
            <w:r w:rsidRPr="008035D0">
              <w:rPr>
                <w:rFonts w:asciiTheme="minorHAnsi" w:hAnsiTheme="minorHAnsi" w:cs="Arial"/>
                <w:sz w:val="18"/>
                <w:szCs w:val="18"/>
              </w:rPr>
              <w:t>Five area-</w:t>
            </w:r>
            <w:r w:rsidR="006534BE" w:rsidRPr="008035D0">
              <w:rPr>
                <w:rFonts w:asciiTheme="minorHAnsi" w:hAnsiTheme="minorHAnsi" w:cs="Arial"/>
                <w:sz w:val="18"/>
                <w:szCs w:val="18"/>
              </w:rPr>
              <w:t>based workshops were conducted</w:t>
            </w:r>
            <w:r w:rsidRPr="008035D0">
              <w:rPr>
                <w:rFonts w:asciiTheme="minorHAnsi" w:hAnsiTheme="minorHAnsi" w:cs="Arial"/>
                <w:sz w:val="18"/>
                <w:szCs w:val="18"/>
              </w:rPr>
              <w:t xml:space="preserve"> in Blackheath, Katoomba, Lawson, Springwood and Blaxland</w:t>
            </w:r>
          </w:p>
          <w:p w14:paraId="496DC564" w14:textId="77777777" w:rsidR="001372A0" w:rsidRPr="008035D0" w:rsidRDefault="001372A0" w:rsidP="00922DA1">
            <w:pPr>
              <w:pStyle w:val="BodyText"/>
              <w:numPr>
                <w:ilvl w:val="0"/>
                <w:numId w:val="30"/>
              </w:numPr>
              <w:spacing w:before="0" w:line="240" w:lineRule="auto"/>
              <w:ind w:left="317" w:hanging="317"/>
              <w:jc w:val="left"/>
              <w:rPr>
                <w:rFonts w:asciiTheme="minorHAnsi" w:hAnsiTheme="minorHAnsi" w:cs="Arial"/>
                <w:sz w:val="18"/>
                <w:szCs w:val="18"/>
              </w:rPr>
            </w:pPr>
            <w:r w:rsidRPr="008035D0">
              <w:rPr>
                <w:rFonts w:asciiTheme="minorHAnsi" w:hAnsiTheme="minorHAnsi" w:cs="Arial"/>
                <w:sz w:val="18"/>
                <w:szCs w:val="18"/>
              </w:rPr>
              <w:t>Independent facilitation, documentation and analysis of results by IRIS Research</w:t>
            </w:r>
          </w:p>
          <w:p w14:paraId="7A76CE59" w14:textId="77777777" w:rsidR="001372A0" w:rsidRPr="008035D0" w:rsidRDefault="001372A0" w:rsidP="00922DA1">
            <w:pPr>
              <w:pStyle w:val="BodyText"/>
              <w:numPr>
                <w:ilvl w:val="0"/>
                <w:numId w:val="30"/>
              </w:numPr>
              <w:spacing w:before="0" w:line="240" w:lineRule="auto"/>
              <w:ind w:left="317" w:hanging="317"/>
              <w:jc w:val="left"/>
              <w:rPr>
                <w:rFonts w:asciiTheme="minorHAnsi" w:hAnsiTheme="minorHAnsi" w:cs="Arial"/>
                <w:sz w:val="18"/>
                <w:szCs w:val="18"/>
              </w:rPr>
            </w:pPr>
            <w:r w:rsidRPr="008035D0">
              <w:rPr>
                <w:rFonts w:asciiTheme="minorHAnsi" w:hAnsiTheme="minorHAnsi" w:cs="Arial"/>
                <w:sz w:val="18"/>
                <w:szCs w:val="18"/>
              </w:rPr>
              <w:t xml:space="preserve">PowerPoint presentation of alternative resourcing options as outlined in the </w:t>
            </w:r>
            <w:r w:rsidRPr="008035D0">
              <w:rPr>
                <w:rFonts w:asciiTheme="minorHAnsi" w:hAnsiTheme="minorHAnsi" w:cs="Arial"/>
                <w:i/>
                <w:sz w:val="18"/>
                <w:szCs w:val="18"/>
              </w:rPr>
              <w:t>Service Dashboards</w:t>
            </w:r>
          </w:p>
          <w:p w14:paraId="6D21C683" w14:textId="77777777" w:rsidR="001372A0" w:rsidRPr="008035D0" w:rsidRDefault="001372A0" w:rsidP="00922DA1">
            <w:pPr>
              <w:pStyle w:val="BodyText"/>
              <w:numPr>
                <w:ilvl w:val="0"/>
                <w:numId w:val="30"/>
              </w:numPr>
              <w:spacing w:before="0" w:line="240" w:lineRule="auto"/>
              <w:ind w:left="317" w:hanging="317"/>
              <w:jc w:val="left"/>
              <w:rPr>
                <w:rFonts w:asciiTheme="minorHAnsi" w:hAnsiTheme="minorHAnsi" w:cs="Arial"/>
                <w:sz w:val="18"/>
                <w:szCs w:val="18"/>
              </w:rPr>
            </w:pPr>
            <w:r w:rsidRPr="008035D0">
              <w:rPr>
                <w:rFonts w:asciiTheme="minorHAnsi" w:hAnsiTheme="minorHAnsi" w:cs="Arial"/>
                <w:i/>
                <w:sz w:val="18"/>
                <w:szCs w:val="18"/>
              </w:rPr>
              <w:t>Service Dashboards</w:t>
            </w:r>
            <w:r w:rsidRPr="008035D0">
              <w:rPr>
                <w:rFonts w:asciiTheme="minorHAnsi" w:hAnsiTheme="minorHAnsi" w:cs="Arial"/>
                <w:sz w:val="18"/>
                <w:szCs w:val="18"/>
              </w:rPr>
              <w:t xml:space="preserve"> used to support workshops</w:t>
            </w:r>
          </w:p>
          <w:p w14:paraId="56AAF1BD" w14:textId="3AD7353A" w:rsidR="001372A0" w:rsidRPr="008035D0" w:rsidRDefault="001372A0" w:rsidP="001372A0">
            <w:pPr>
              <w:pStyle w:val="BodyText"/>
              <w:spacing w:before="0" w:line="240" w:lineRule="auto"/>
              <w:ind w:left="317"/>
              <w:jc w:val="left"/>
              <w:rPr>
                <w:rFonts w:asciiTheme="minorHAnsi" w:hAnsiTheme="minorHAnsi" w:cs="Arial"/>
                <w:sz w:val="18"/>
                <w:szCs w:val="18"/>
              </w:rPr>
            </w:pPr>
          </w:p>
        </w:tc>
        <w:tc>
          <w:tcPr>
            <w:tcW w:w="1418" w:type="dxa"/>
            <w:shd w:val="clear" w:color="auto" w:fill="DBE5F1" w:themeFill="accent1" w:themeFillTint="33"/>
          </w:tcPr>
          <w:p w14:paraId="24F1E3B1" w14:textId="77777777" w:rsidR="00F2470E" w:rsidRPr="008035D0" w:rsidRDefault="00F2470E" w:rsidP="003D3558">
            <w:pPr>
              <w:pStyle w:val="BodyText"/>
              <w:spacing w:before="0" w:line="240" w:lineRule="auto"/>
              <w:jc w:val="left"/>
              <w:rPr>
                <w:rFonts w:asciiTheme="minorHAnsi" w:hAnsiTheme="minorHAnsi" w:cs="Arial"/>
                <w:sz w:val="18"/>
                <w:szCs w:val="18"/>
              </w:rPr>
            </w:pPr>
          </w:p>
          <w:p w14:paraId="7708B659" w14:textId="66A88283" w:rsidR="001372A0" w:rsidRPr="008035D0" w:rsidRDefault="001372A0" w:rsidP="005F1D2F">
            <w:pPr>
              <w:pStyle w:val="BodyText"/>
              <w:spacing w:before="0" w:line="240" w:lineRule="auto"/>
              <w:jc w:val="left"/>
              <w:rPr>
                <w:rFonts w:asciiTheme="minorHAnsi" w:hAnsiTheme="minorHAnsi" w:cs="Arial"/>
                <w:sz w:val="18"/>
                <w:szCs w:val="18"/>
              </w:rPr>
            </w:pPr>
            <w:r w:rsidRPr="008035D0">
              <w:rPr>
                <w:rFonts w:asciiTheme="minorHAnsi" w:hAnsiTheme="minorHAnsi" w:cs="Arial"/>
                <w:sz w:val="18"/>
                <w:szCs w:val="18"/>
              </w:rPr>
              <w:t xml:space="preserve">General community </w:t>
            </w:r>
          </w:p>
        </w:tc>
        <w:tc>
          <w:tcPr>
            <w:tcW w:w="1134" w:type="dxa"/>
            <w:shd w:val="clear" w:color="auto" w:fill="DBE5F1" w:themeFill="accent1" w:themeFillTint="33"/>
          </w:tcPr>
          <w:p w14:paraId="3E59F45A" w14:textId="77777777" w:rsidR="00F2470E" w:rsidRPr="008035D0" w:rsidRDefault="00F2470E" w:rsidP="003D3558">
            <w:pPr>
              <w:pStyle w:val="BodyText"/>
              <w:spacing w:before="0" w:line="240" w:lineRule="auto"/>
              <w:jc w:val="left"/>
              <w:rPr>
                <w:rFonts w:asciiTheme="minorHAnsi" w:hAnsiTheme="minorHAnsi" w:cs="Arial"/>
                <w:sz w:val="18"/>
                <w:szCs w:val="18"/>
              </w:rPr>
            </w:pPr>
          </w:p>
          <w:p w14:paraId="1C000686" w14:textId="151C972E" w:rsidR="001372A0" w:rsidRPr="008035D0" w:rsidRDefault="00C355E9" w:rsidP="003D3558">
            <w:pPr>
              <w:pStyle w:val="BodyText"/>
              <w:spacing w:before="0" w:line="240" w:lineRule="auto"/>
              <w:jc w:val="left"/>
              <w:rPr>
                <w:rFonts w:asciiTheme="minorHAnsi" w:hAnsiTheme="minorHAnsi" w:cs="Arial"/>
                <w:sz w:val="18"/>
                <w:szCs w:val="18"/>
              </w:rPr>
            </w:pPr>
            <w:r w:rsidRPr="008035D0">
              <w:rPr>
                <w:rFonts w:asciiTheme="minorHAnsi" w:hAnsiTheme="minorHAnsi" w:cs="Arial"/>
                <w:sz w:val="18"/>
                <w:szCs w:val="18"/>
              </w:rPr>
              <w:t>30 Aug,</w:t>
            </w:r>
          </w:p>
          <w:p w14:paraId="530095F2" w14:textId="04E08B2B" w:rsidR="001372A0" w:rsidRPr="008035D0" w:rsidRDefault="00C355E9" w:rsidP="003D3558">
            <w:pPr>
              <w:pStyle w:val="BodyText"/>
              <w:spacing w:before="0" w:line="240" w:lineRule="auto"/>
              <w:jc w:val="left"/>
              <w:rPr>
                <w:rFonts w:asciiTheme="minorHAnsi" w:hAnsiTheme="minorHAnsi" w:cs="Arial"/>
                <w:sz w:val="18"/>
                <w:szCs w:val="18"/>
              </w:rPr>
            </w:pPr>
            <w:r w:rsidRPr="008035D0">
              <w:rPr>
                <w:rFonts w:asciiTheme="minorHAnsi" w:hAnsiTheme="minorHAnsi" w:cs="Arial"/>
                <w:sz w:val="18"/>
                <w:szCs w:val="18"/>
              </w:rPr>
              <w:t>31 Aug,</w:t>
            </w:r>
          </w:p>
          <w:p w14:paraId="0C439297" w14:textId="1F7D97BD" w:rsidR="001372A0" w:rsidRPr="008035D0" w:rsidRDefault="00C355E9" w:rsidP="003D3558">
            <w:pPr>
              <w:pStyle w:val="BodyText"/>
              <w:spacing w:before="0" w:line="240" w:lineRule="auto"/>
              <w:jc w:val="left"/>
              <w:rPr>
                <w:rFonts w:asciiTheme="minorHAnsi" w:hAnsiTheme="minorHAnsi" w:cs="Arial"/>
                <w:sz w:val="18"/>
                <w:szCs w:val="18"/>
              </w:rPr>
            </w:pPr>
            <w:r w:rsidRPr="008035D0">
              <w:rPr>
                <w:rFonts w:asciiTheme="minorHAnsi" w:hAnsiTheme="minorHAnsi" w:cs="Arial"/>
                <w:sz w:val="18"/>
                <w:szCs w:val="18"/>
              </w:rPr>
              <w:t>6 Sep,</w:t>
            </w:r>
          </w:p>
          <w:p w14:paraId="2513F7A6" w14:textId="30F7DEF7" w:rsidR="001372A0" w:rsidRPr="008035D0" w:rsidRDefault="00C355E9" w:rsidP="003D3558">
            <w:pPr>
              <w:pStyle w:val="BodyText"/>
              <w:spacing w:before="0" w:line="240" w:lineRule="auto"/>
              <w:jc w:val="left"/>
              <w:rPr>
                <w:rFonts w:asciiTheme="minorHAnsi" w:hAnsiTheme="minorHAnsi" w:cs="Arial"/>
                <w:sz w:val="18"/>
                <w:szCs w:val="18"/>
              </w:rPr>
            </w:pPr>
            <w:r w:rsidRPr="008035D0">
              <w:rPr>
                <w:rFonts w:asciiTheme="minorHAnsi" w:hAnsiTheme="minorHAnsi" w:cs="Arial"/>
                <w:sz w:val="18"/>
                <w:szCs w:val="18"/>
              </w:rPr>
              <w:t xml:space="preserve">13 Sep and </w:t>
            </w:r>
          </w:p>
          <w:p w14:paraId="24487A9B" w14:textId="2EDEDE00" w:rsidR="001372A0" w:rsidRPr="008035D0" w:rsidRDefault="001372A0" w:rsidP="003D3558">
            <w:pPr>
              <w:pStyle w:val="BodyText"/>
              <w:spacing w:before="0" w:line="240" w:lineRule="auto"/>
              <w:jc w:val="left"/>
              <w:rPr>
                <w:rFonts w:asciiTheme="minorHAnsi" w:hAnsiTheme="minorHAnsi" w:cs="Arial"/>
                <w:sz w:val="18"/>
                <w:szCs w:val="18"/>
              </w:rPr>
            </w:pPr>
            <w:r w:rsidRPr="008035D0">
              <w:rPr>
                <w:rFonts w:asciiTheme="minorHAnsi" w:hAnsiTheme="minorHAnsi" w:cs="Arial"/>
                <w:sz w:val="18"/>
                <w:szCs w:val="18"/>
              </w:rPr>
              <w:t>14 Sep 2014</w:t>
            </w:r>
          </w:p>
        </w:tc>
        <w:tc>
          <w:tcPr>
            <w:tcW w:w="1276" w:type="dxa"/>
            <w:shd w:val="clear" w:color="auto" w:fill="DBE5F1" w:themeFill="accent1" w:themeFillTint="33"/>
          </w:tcPr>
          <w:p w14:paraId="5040A928" w14:textId="77777777" w:rsidR="00F2470E" w:rsidRPr="008035D0" w:rsidRDefault="00F2470E" w:rsidP="003D3558">
            <w:pPr>
              <w:pStyle w:val="BodyText"/>
              <w:spacing w:before="0" w:line="240" w:lineRule="auto"/>
              <w:jc w:val="left"/>
              <w:rPr>
                <w:rFonts w:asciiTheme="minorHAnsi" w:hAnsiTheme="minorHAnsi" w:cs="Arial"/>
                <w:sz w:val="18"/>
                <w:szCs w:val="18"/>
              </w:rPr>
            </w:pPr>
          </w:p>
          <w:p w14:paraId="0B9452F8" w14:textId="5BA63C9F" w:rsidR="001372A0" w:rsidRPr="008035D0" w:rsidRDefault="001372A0" w:rsidP="003D3558">
            <w:pPr>
              <w:pStyle w:val="BodyText"/>
              <w:spacing w:before="0" w:line="240" w:lineRule="auto"/>
              <w:jc w:val="left"/>
              <w:rPr>
                <w:rFonts w:asciiTheme="minorHAnsi" w:hAnsiTheme="minorHAnsi" w:cs="Arial"/>
                <w:sz w:val="18"/>
                <w:szCs w:val="18"/>
              </w:rPr>
            </w:pPr>
            <w:r w:rsidRPr="008035D0">
              <w:rPr>
                <w:rFonts w:asciiTheme="minorHAnsi" w:hAnsiTheme="minorHAnsi" w:cs="Arial"/>
                <w:sz w:val="18"/>
                <w:szCs w:val="18"/>
              </w:rPr>
              <w:t>Inform, involve, consult and collaborate</w:t>
            </w:r>
          </w:p>
        </w:tc>
      </w:tr>
      <w:tr w:rsidR="005365E6" w14:paraId="70821813" w14:textId="77777777" w:rsidTr="008035D0">
        <w:trPr>
          <w:cantSplit/>
        </w:trPr>
        <w:tc>
          <w:tcPr>
            <w:tcW w:w="2835" w:type="dxa"/>
            <w:shd w:val="clear" w:color="auto" w:fill="DBE5F1" w:themeFill="accent1" w:themeFillTint="33"/>
          </w:tcPr>
          <w:p w14:paraId="49E27D8C" w14:textId="10F74C3D" w:rsidR="005365E6" w:rsidRPr="008035D0" w:rsidRDefault="005365E6" w:rsidP="003D3558">
            <w:pPr>
              <w:pStyle w:val="BodyText"/>
              <w:spacing w:before="0" w:line="240" w:lineRule="auto"/>
              <w:jc w:val="left"/>
              <w:rPr>
                <w:rFonts w:asciiTheme="minorHAnsi" w:hAnsiTheme="minorHAnsi" w:cs="Arial"/>
                <w:b/>
                <w:sz w:val="18"/>
                <w:szCs w:val="18"/>
              </w:rPr>
            </w:pPr>
            <w:r w:rsidRPr="008035D0">
              <w:rPr>
                <w:rFonts w:asciiTheme="minorHAnsi" w:hAnsiTheme="minorHAnsi" w:cs="Arial"/>
                <w:b/>
                <w:sz w:val="18"/>
                <w:szCs w:val="18"/>
              </w:rPr>
              <w:t>Online Rates Calculator</w:t>
            </w:r>
          </w:p>
          <w:p w14:paraId="4E52EE37" w14:textId="47DCBA1A" w:rsidR="005365E6" w:rsidRPr="008035D0" w:rsidRDefault="005365E6" w:rsidP="00A61A70">
            <w:pPr>
              <w:pStyle w:val="BodyText"/>
              <w:numPr>
                <w:ilvl w:val="0"/>
                <w:numId w:val="49"/>
              </w:numPr>
              <w:spacing w:before="0" w:line="240" w:lineRule="auto"/>
              <w:ind w:left="318" w:hanging="284"/>
              <w:jc w:val="left"/>
              <w:rPr>
                <w:rFonts w:asciiTheme="minorHAnsi" w:hAnsiTheme="minorHAnsi" w:cs="Arial"/>
                <w:b/>
                <w:sz w:val="18"/>
                <w:szCs w:val="18"/>
              </w:rPr>
            </w:pPr>
            <w:r w:rsidRPr="008035D0">
              <w:rPr>
                <w:rFonts w:asciiTheme="minorHAnsi" w:hAnsiTheme="minorHAnsi" w:cs="Arial"/>
                <w:sz w:val="18"/>
                <w:szCs w:val="18"/>
              </w:rPr>
              <w:t xml:space="preserve">To provide targeted information to individual ratepayers about the impact on rates under each option </w:t>
            </w:r>
          </w:p>
        </w:tc>
        <w:tc>
          <w:tcPr>
            <w:tcW w:w="2268" w:type="dxa"/>
            <w:shd w:val="clear" w:color="auto" w:fill="DBE5F1" w:themeFill="accent1" w:themeFillTint="33"/>
          </w:tcPr>
          <w:p w14:paraId="79DC57E0" w14:textId="77777777" w:rsidR="005365E6" w:rsidRPr="008035D0" w:rsidRDefault="005365E6" w:rsidP="003D3558">
            <w:pPr>
              <w:pStyle w:val="BodyText"/>
              <w:spacing w:before="0" w:line="240" w:lineRule="auto"/>
              <w:jc w:val="left"/>
              <w:rPr>
                <w:rFonts w:asciiTheme="minorHAnsi" w:hAnsiTheme="minorHAnsi" w:cs="Arial"/>
                <w:sz w:val="18"/>
                <w:szCs w:val="18"/>
              </w:rPr>
            </w:pPr>
          </w:p>
          <w:p w14:paraId="3CEBA32D" w14:textId="4F979FB6" w:rsidR="005365E6" w:rsidRPr="008035D0" w:rsidRDefault="009C323B" w:rsidP="00A61A70">
            <w:pPr>
              <w:pStyle w:val="BodyText"/>
              <w:numPr>
                <w:ilvl w:val="0"/>
                <w:numId w:val="49"/>
              </w:numPr>
              <w:spacing w:before="0" w:line="240" w:lineRule="auto"/>
              <w:ind w:left="318" w:hanging="318"/>
              <w:jc w:val="left"/>
              <w:rPr>
                <w:rFonts w:asciiTheme="minorHAnsi" w:hAnsiTheme="minorHAnsi" w:cs="Arial"/>
                <w:sz w:val="18"/>
                <w:szCs w:val="18"/>
              </w:rPr>
            </w:pPr>
            <w:r w:rsidRPr="008035D0">
              <w:rPr>
                <w:rFonts w:asciiTheme="minorHAnsi" w:hAnsiTheme="minorHAnsi" w:cs="Arial"/>
                <w:sz w:val="18"/>
                <w:szCs w:val="18"/>
              </w:rPr>
              <w:t>Rates calculator promoted in supporting documents such as FAQs</w:t>
            </w:r>
          </w:p>
          <w:p w14:paraId="5E899DA1" w14:textId="16F6BEF6" w:rsidR="009C323B" w:rsidRPr="008035D0" w:rsidRDefault="009C323B" w:rsidP="00A61A70">
            <w:pPr>
              <w:pStyle w:val="BodyText"/>
              <w:numPr>
                <w:ilvl w:val="0"/>
                <w:numId w:val="49"/>
              </w:numPr>
              <w:spacing w:before="0" w:line="240" w:lineRule="auto"/>
              <w:ind w:left="318" w:hanging="318"/>
              <w:jc w:val="left"/>
              <w:rPr>
                <w:rFonts w:asciiTheme="minorHAnsi" w:hAnsiTheme="minorHAnsi" w:cs="Arial"/>
                <w:sz w:val="18"/>
                <w:szCs w:val="18"/>
              </w:rPr>
            </w:pPr>
            <w:r w:rsidRPr="008035D0">
              <w:rPr>
                <w:rFonts w:asciiTheme="minorHAnsi" w:hAnsiTheme="minorHAnsi" w:cs="Arial"/>
                <w:sz w:val="18"/>
                <w:szCs w:val="18"/>
              </w:rPr>
              <w:t>Ratepayers could either go online themselves or phone staff for assistance</w:t>
            </w:r>
          </w:p>
        </w:tc>
        <w:tc>
          <w:tcPr>
            <w:tcW w:w="1418" w:type="dxa"/>
            <w:shd w:val="clear" w:color="auto" w:fill="DBE5F1" w:themeFill="accent1" w:themeFillTint="33"/>
          </w:tcPr>
          <w:p w14:paraId="4A7155F7" w14:textId="77777777" w:rsidR="005365E6" w:rsidRPr="008035D0" w:rsidRDefault="005365E6" w:rsidP="003D3558">
            <w:pPr>
              <w:pStyle w:val="BodyText"/>
              <w:spacing w:before="0" w:line="240" w:lineRule="auto"/>
              <w:jc w:val="left"/>
              <w:rPr>
                <w:rFonts w:asciiTheme="minorHAnsi" w:hAnsiTheme="minorHAnsi" w:cs="Arial"/>
                <w:sz w:val="18"/>
                <w:szCs w:val="18"/>
              </w:rPr>
            </w:pPr>
          </w:p>
          <w:p w14:paraId="607107AC" w14:textId="78FBD0A0" w:rsidR="005365E6" w:rsidRPr="008035D0" w:rsidRDefault="005365E6" w:rsidP="003D3558">
            <w:pPr>
              <w:pStyle w:val="BodyText"/>
              <w:spacing w:before="0" w:line="240" w:lineRule="auto"/>
              <w:jc w:val="left"/>
              <w:rPr>
                <w:rFonts w:asciiTheme="minorHAnsi" w:hAnsiTheme="minorHAnsi" w:cs="Arial"/>
                <w:sz w:val="18"/>
                <w:szCs w:val="18"/>
              </w:rPr>
            </w:pPr>
            <w:r w:rsidRPr="008035D0">
              <w:rPr>
                <w:rFonts w:asciiTheme="minorHAnsi" w:hAnsiTheme="minorHAnsi" w:cs="Arial"/>
                <w:sz w:val="18"/>
                <w:szCs w:val="18"/>
              </w:rPr>
              <w:t>Ratepayers (residential, farmland, business)</w:t>
            </w:r>
          </w:p>
        </w:tc>
        <w:tc>
          <w:tcPr>
            <w:tcW w:w="1134" w:type="dxa"/>
            <w:shd w:val="clear" w:color="auto" w:fill="DBE5F1" w:themeFill="accent1" w:themeFillTint="33"/>
          </w:tcPr>
          <w:p w14:paraId="443B4E49" w14:textId="77777777" w:rsidR="005365E6" w:rsidRPr="008035D0" w:rsidRDefault="005365E6" w:rsidP="003D3558">
            <w:pPr>
              <w:pStyle w:val="BodyText"/>
              <w:spacing w:before="0" w:line="240" w:lineRule="auto"/>
              <w:jc w:val="left"/>
              <w:rPr>
                <w:rFonts w:asciiTheme="minorHAnsi" w:hAnsiTheme="minorHAnsi" w:cs="Arial"/>
                <w:sz w:val="18"/>
                <w:szCs w:val="18"/>
              </w:rPr>
            </w:pPr>
          </w:p>
          <w:p w14:paraId="06DBA6DE" w14:textId="77777777" w:rsidR="005365E6" w:rsidRPr="008035D0" w:rsidRDefault="005365E6" w:rsidP="003D3558">
            <w:pPr>
              <w:pStyle w:val="BodyText"/>
              <w:spacing w:before="0" w:line="240" w:lineRule="auto"/>
              <w:jc w:val="left"/>
              <w:rPr>
                <w:rFonts w:asciiTheme="minorHAnsi" w:hAnsiTheme="minorHAnsi" w:cs="Arial"/>
                <w:sz w:val="18"/>
                <w:szCs w:val="18"/>
              </w:rPr>
            </w:pPr>
            <w:r w:rsidRPr="008035D0">
              <w:rPr>
                <w:rFonts w:asciiTheme="minorHAnsi" w:hAnsiTheme="minorHAnsi" w:cs="Arial"/>
                <w:sz w:val="18"/>
                <w:szCs w:val="18"/>
              </w:rPr>
              <w:t>During period of public exhibition and community engagement</w:t>
            </w:r>
          </w:p>
          <w:p w14:paraId="6B4037AF" w14:textId="3237198B" w:rsidR="005365E6" w:rsidRPr="008035D0" w:rsidRDefault="005365E6" w:rsidP="003D3558">
            <w:pPr>
              <w:pStyle w:val="BodyText"/>
              <w:spacing w:before="0" w:line="240" w:lineRule="auto"/>
              <w:jc w:val="left"/>
              <w:rPr>
                <w:rFonts w:asciiTheme="minorHAnsi" w:hAnsiTheme="minorHAnsi" w:cs="Arial"/>
                <w:sz w:val="18"/>
                <w:szCs w:val="18"/>
              </w:rPr>
            </w:pPr>
          </w:p>
        </w:tc>
        <w:tc>
          <w:tcPr>
            <w:tcW w:w="1276" w:type="dxa"/>
            <w:shd w:val="clear" w:color="auto" w:fill="DBE5F1" w:themeFill="accent1" w:themeFillTint="33"/>
          </w:tcPr>
          <w:p w14:paraId="6F7F798A" w14:textId="77777777" w:rsidR="005365E6" w:rsidRPr="008035D0" w:rsidRDefault="005365E6" w:rsidP="003D3558">
            <w:pPr>
              <w:pStyle w:val="BodyText"/>
              <w:spacing w:before="0" w:line="240" w:lineRule="auto"/>
              <w:jc w:val="left"/>
              <w:rPr>
                <w:rFonts w:asciiTheme="minorHAnsi" w:hAnsiTheme="minorHAnsi" w:cs="Arial"/>
                <w:sz w:val="18"/>
                <w:szCs w:val="18"/>
              </w:rPr>
            </w:pPr>
          </w:p>
          <w:p w14:paraId="19A52B7D" w14:textId="413C67EC" w:rsidR="005365E6" w:rsidRPr="008035D0" w:rsidRDefault="005365E6" w:rsidP="003D3558">
            <w:pPr>
              <w:pStyle w:val="BodyText"/>
              <w:spacing w:before="0" w:line="240" w:lineRule="auto"/>
              <w:jc w:val="left"/>
              <w:rPr>
                <w:rFonts w:asciiTheme="minorHAnsi" w:hAnsiTheme="minorHAnsi" w:cs="Arial"/>
                <w:sz w:val="18"/>
                <w:szCs w:val="18"/>
              </w:rPr>
            </w:pPr>
            <w:r w:rsidRPr="008035D0">
              <w:rPr>
                <w:rFonts w:asciiTheme="minorHAnsi" w:hAnsiTheme="minorHAnsi" w:cs="Arial"/>
                <w:sz w:val="18"/>
                <w:szCs w:val="18"/>
              </w:rPr>
              <w:t>Inform and involve</w:t>
            </w:r>
          </w:p>
        </w:tc>
      </w:tr>
      <w:tr w:rsidR="00C355E9" w14:paraId="31F55C36" w14:textId="77777777" w:rsidTr="008035D0">
        <w:trPr>
          <w:cantSplit/>
        </w:trPr>
        <w:tc>
          <w:tcPr>
            <w:tcW w:w="2835" w:type="dxa"/>
            <w:shd w:val="clear" w:color="auto" w:fill="DBE5F1" w:themeFill="accent1" w:themeFillTint="33"/>
          </w:tcPr>
          <w:p w14:paraId="1370787B" w14:textId="36DFC0F4" w:rsidR="00F2470E" w:rsidRPr="008035D0" w:rsidRDefault="001372A0" w:rsidP="003D3558">
            <w:pPr>
              <w:pStyle w:val="BodyText"/>
              <w:spacing w:before="0" w:line="240" w:lineRule="auto"/>
              <w:jc w:val="left"/>
              <w:rPr>
                <w:rFonts w:asciiTheme="minorHAnsi" w:hAnsiTheme="minorHAnsi" w:cs="Arial"/>
                <w:b/>
                <w:sz w:val="18"/>
                <w:szCs w:val="18"/>
              </w:rPr>
            </w:pPr>
            <w:r w:rsidRPr="008035D0">
              <w:rPr>
                <w:rFonts w:asciiTheme="minorHAnsi" w:hAnsiTheme="minorHAnsi" w:cs="Arial"/>
                <w:b/>
                <w:sz w:val="18"/>
                <w:szCs w:val="18"/>
              </w:rPr>
              <w:t>Enquiry response management</w:t>
            </w:r>
          </w:p>
          <w:p w14:paraId="68B0846D" w14:textId="0753CC2E" w:rsidR="001372A0" w:rsidRPr="008035D0" w:rsidRDefault="00922DA1" w:rsidP="00922DA1">
            <w:pPr>
              <w:pStyle w:val="BodyText"/>
              <w:numPr>
                <w:ilvl w:val="0"/>
                <w:numId w:val="31"/>
              </w:numPr>
              <w:spacing w:before="0" w:line="240" w:lineRule="auto"/>
              <w:ind w:left="317" w:hanging="284"/>
              <w:jc w:val="left"/>
              <w:rPr>
                <w:rFonts w:asciiTheme="minorHAnsi" w:hAnsiTheme="minorHAnsi" w:cs="Arial"/>
                <w:b/>
                <w:sz w:val="18"/>
                <w:szCs w:val="18"/>
              </w:rPr>
            </w:pPr>
            <w:r w:rsidRPr="008035D0">
              <w:rPr>
                <w:rFonts w:asciiTheme="minorHAnsi" w:hAnsiTheme="minorHAnsi" w:cs="Arial"/>
                <w:sz w:val="18"/>
                <w:szCs w:val="18"/>
              </w:rPr>
              <w:t>To manage community phone-in</w:t>
            </w:r>
            <w:r w:rsidR="001372A0" w:rsidRPr="008035D0">
              <w:rPr>
                <w:rFonts w:asciiTheme="minorHAnsi" w:hAnsiTheme="minorHAnsi" w:cs="Arial"/>
                <w:sz w:val="18"/>
                <w:szCs w:val="18"/>
              </w:rPr>
              <w:t xml:space="preserve"> enquiries and respond to written enquiries on </w:t>
            </w:r>
            <w:r w:rsidR="001372A0" w:rsidRPr="008035D0">
              <w:rPr>
                <w:rFonts w:asciiTheme="minorHAnsi" w:hAnsiTheme="minorHAnsi" w:cs="Arial"/>
                <w:i/>
                <w:sz w:val="18"/>
                <w:szCs w:val="18"/>
              </w:rPr>
              <w:t>Resourcing our Future</w:t>
            </w:r>
          </w:p>
          <w:p w14:paraId="38C58B31" w14:textId="703BD567" w:rsidR="001372A0" w:rsidRPr="008035D0" w:rsidRDefault="001372A0" w:rsidP="00922DA1">
            <w:pPr>
              <w:pStyle w:val="BodyText"/>
              <w:numPr>
                <w:ilvl w:val="0"/>
                <w:numId w:val="31"/>
              </w:numPr>
              <w:spacing w:before="0" w:line="240" w:lineRule="auto"/>
              <w:ind w:left="317" w:hanging="284"/>
              <w:jc w:val="left"/>
              <w:rPr>
                <w:rFonts w:asciiTheme="minorHAnsi" w:hAnsiTheme="minorHAnsi" w:cs="Arial"/>
                <w:b/>
                <w:sz w:val="18"/>
                <w:szCs w:val="18"/>
              </w:rPr>
            </w:pPr>
            <w:r w:rsidRPr="008035D0">
              <w:rPr>
                <w:rFonts w:asciiTheme="minorHAnsi" w:hAnsiTheme="minorHAnsi" w:cs="Arial"/>
                <w:sz w:val="18"/>
                <w:szCs w:val="18"/>
              </w:rPr>
              <w:t xml:space="preserve">To prepare councillors and BMCC staff to address issues relating to community engagement on the three options for </w:t>
            </w:r>
            <w:r w:rsidRPr="008035D0">
              <w:rPr>
                <w:rFonts w:asciiTheme="minorHAnsi" w:hAnsiTheme="minorHAnsi" w:cs="Arial"/>
                <w:i/>
                <w:sz w:val="18"/>
                <w:szCs w:val="18"/>
              </w:rPr>
              <w:t>Resourcing our Future</w:t>
            </w:r>
          </w:p>
          <w:p w14:paraId="2AB2EAB4" w14:textId="0A105022" w:rsidR="001372A0" w:rsidRPr="008035D0" w:rsidRDefault="001372A0" w:rsidP="003D3558">
            <w:pPr>
              <w:pStyle w:val="BodyText"/>
              <w:spacing w:before="0" w:line="240" w:lineRule="auto"/>
              <w:jc w:val="left"/>
              <w:rPr>
                <w:rFonts w:asciiTheme="minorHAnsi" w:hAnsiTheme="minorHAnsi" w:cs="Arial"/>
                <w:sz w:val="18"/>
                <w:szCs w:val="18"/>
              </w:rPr>
            </w:pPr>
          </w:p>
        </w:tc>
        <w:tc>
          <w:tcPr>
            <w:tcW w:w="2268" w:type="dxa"/>
            <w:shd w:val="clear" w:color="auto" w:fill="DBE5F1" w:themeFill="accent1" w:themeFillTint="33"/>
          </w:tcPr>
          <w:p w14:paraId="34CCA966" w14:textId="77777777" w:rsidR="00F2470E" w:rsidRPr="008035D0" w:rsidRDefault="00F2470E" w:rsidP="003D3558">
            <w:pPr>
              <w:pStyle w:val="BodyText"/>
              <w:spacing w:before="0" w:line="240" w:lineRule="auto"/>
              <w:jc w:val="left"/>
              <w:rPr>
                <w:rFonts w:asciiTheme="minorHAnsi" w:hAnsiTheme="minorHAnsi" w:cs="Arial"/>
                <w:sz w:val="18"/>
                <w:szCs w:val="18"/>
              </w:rPr>
            </w:pPr>
          </w:p>
          <w:p w14:paraId="024C62EB" w14:textId="77777777" w:rsidR="00922DA1" w:rsidRPr="008035D0" w:rsidRDefault="00922DA1" w:rsidP="00922DA1">
            <w:pPr>
              <w:pStyle w:val="BodyText"/>
              <w:numPr>
                <w:ilvl w:val="0"/>
                <w:numId w:val="31"/>
              </w:numPr>
              <w:spacing w:before="0" w:line="240" w:lineRule="auto"/>
              <w:ind w:left="317" w:hanging="317"/>
              <w:jc w:val="left"/>
              <w:rPr>
                <w:rFonts w:asciiTheme="minorHAnsi" w:hAnsiTheme="minorHAnsi" w:cs="Arial"/>
                <w:sz w:val="18"/>
                <w:szCs w:val="18"/>
              </w:rPr>
            </w:pPr>
            <w:r w:rsidRPr="008035D0">
              <w:rPr>
                <w:rFonts w:asciiTheme="minorHAnsi" w:hAnsiTheme="minorHAnsi" w:cs="Arial"/>
                <w:sz w:val="18"/>
                <w:szCs w:val="18"/>
              </w:rPr>
              <w:t>Information toolkit including responses to Frequently Asked Questions and key communication products</w:t>
            </w:r>
          </w:p>
          <w:p w14:paraId="164B7541" w14:textId="77777777" w:rsidR="00922DA1" w:rsidRPr="008035D0" w:rsidRDefault="00922DA1" w:rsidP="00922DA1">
            <w:pPr>
              <w:pStyle w:val="BodyText"/>
              <w:numPr>
                <w:ilvl w:val="0"/>
                <w:numId w:val="31"/>
              </w:numPr>
              <w:spacing w:before="0" w:line="240" w:lineRule="auto"/>
              <w:ind w:left="317" w:hanging="317"/>
              <w:jc w:val="left"/>
              <w:rPr>
                <w:rFonts w:asciiTheme="minorHAnsi" w:hAnsiTheme="minorHAnsi" w:cs="Arial"/>
                <w:sz w:val="18"/>
                <w:szCs w:val="18"/>
              </w:rPr>
            </w:pPr>
            <w:r w:rsidRPr="008035D0">
              <w:rPr>
                <w:rFonts w:asciiTheme="minorHAnsi" w:hAnsiTheme="minorHAnsi" w:cs="Arial"/>
                <w:sz w:val="18"/>
                <w:szCs w:val="18"/>
              </w:rPr>
              <w:t>Information telephone ‘huntline’ implemented to manage impact on the Council’s call centre and rating teams and to ensure all enquiries are appropriately directed and addressed</w:t>
            </w:r>
          </w:p>
          <w:p w14:paraId="2CE2B670" w14:textId="0626B71D" w:rsidR="00922DA1" w:rsidRPr="008035D0" w:rsidRDefault="00922DA1" w:rsidP="00922DA1">
            <w:pPr>
              <w:pStyle w:val="BodyText"/>
              <w:spacing w:before="0" w:line="240" w:lineRule="auto"/>
              <w:ind w:left="317"/>
              <w:jc w:val="left"/>
              <w:rPr>
                <w:rFonts w:asciiTheme="minorHAnsi" w:hAnsiTheme="minorHAnsi" w:cs="Arial"/>
                <w:sz w:val="18"/>
                <w:szCs w:val="18"/>
              </w:rPr>
            </w:pPr>
          </w:p>
        </w:tc>
        <w:tc>
          <w:tcPr>
            <w:tcW w:w="1418" w:type="dxa"/>
            <w:shd w:val="clear" w:color="auto" w:fill="DBE5F1" w:themeFill="accent1" w:themeFillTint="33"/>
          </w:tcPr>
          <w:p w14:paraId="4CDBBD24" w14:textId="77777777" w:rsidR="00F2470E" w:rsidRPr="008035D0" w:rsidRDefault="00F2470E" w:rsidP="003D3558">
            <w:pPr>
              <w:pStyle w:val="BodyText"/>
              <w:spacing w:before="0" w:line="240" w:lineRule="auto"/>
              <w:jc w:val="left"/>
              <w:rPr>
                <w:rFonts w:asciiTheme="minorHAnsi" w:hAnsiTheme="minorHAnsi" w:cs="Arial"/>
                <w:sz w:val="18"/>
                <w:szCs w:val="18"/>
              </w:rPr>
            </w:pPr>
          </w:p>
          <w:p w14:paraId="24F3F69B" w14:textId="77777777" w:rsidR="00922DA1" w:rsidRPr="008035D0" w:rsidRDefault="00922DA1" w:rsidP="003D3558">
            <w:pPr>
              <w:pStyle w:val="BodyText"/>
              <w:spacing w:before="0" w:line="240" w:lineRule="auto"/>
              <w:jc w:val="left"/>
              <w:rPr>
                <w:rFonts w:asciiTheme="minorHAnsi" w:hAnsiTheme="minorHAnsi" w:cs="Arial"/>
                <w:sz w:val="18"/>
                <w:szCs w:val="18"/>
              </w:rPr>
            </w:pPr>
            <w:r w:rsidRPr="008035D0">
              <w:rPr>
                <w:rFonts w:asciiTheme="minorHAnsi" w:hAnsiTheme="minorHAnsi" w:cs="Arial"/>
                <w:sz w:val="18"/>
                <w:szCs w:val="18"/>
              </w:rPr>
              <w:t>Ratepayers</w:t>
            </w:r>
          </w:p>
          <w:p w14:paraId="78CC35F4" w14:textId="77777777" w:rsidR="00922DA1" w:rsidRPr="008035D0" w:rsidRDefault="00922DA1" w:rsidP="003D3558">
            <w:pPr>
              <w:pStyle w:val="BodyText"/>
              <w:spacing w:before="0" w:line="240" w:lineRule="auto"/>
              <w:jc w:val="left"/>
              <w:rPr>
                <w:rFonts w:asciiTheme="minorHAnsi" w:hAnsiTheme="minorHAnsi" w:cs="Arial"/>
                <w:sz w:val="18"/>
                <w:szCs w:val="18"/>
              </w:rPr>
            </w:pPr>
            <w:r w:rsidRPr="008035D0">
              <w:rPr>
                <w:rFonts w:asciiTheme="minorHAnsi" w:hAnsiTheme="minorHAnsi" w:cs="Arial"/>
                <w:sz w:val="18"/>
                <w:szCs w:val="18"/>
              </w:rPr>
              <w:t>(residential, farmland, business)</w:t>
            </w:r>
          </w:p>
          <w:p w14:paraId="7BC916E0" w14:textId="77777777" w:rsidR="00922DA1" w:rsidRPr="008035D0" w:rsidRDefault="00922DA1" w:rsidP="003D3558">
            <w:pPr>
              <w:pStyle w:val="BodyText"/>
              <w:spacing w:before="0" w:line="240" w:lineRule="auto"/>
              <w:jc w:val="left"/>
              <w:rPr>
                <w:rFonts w:asciiTheme="minorHAnsi" w:hAnsiTheme="minorHAnsi" w:cs="Arial"/>
                <w:sz w:val="18"/>
                <w:szCs w:val="18"/>
              </w:rPr>
            </w:pPr>
          </w:p>
          <w:p w14:paraId="107D9F43" w14:textId="6C7F7739" w:rsidR="00922DA1" w:rsidRPr="008035D0" w:rsidRDefault="00922DA1" w:rsidP="003D3558">
            <w:pPr>
              <w:pStyle w:val="BodyText"/>
              <w:spacing w:before="0" w:line="240" w:lineRule="auto"/>
              <w:jc w:val="left"/>
              <w:rPr>
                <w:rFonts w:asciiTheme="minorHAnsi" w:hAnsiTheme="minorHAnsi" w:cs="Arial"/>
                <w:sz w:val="18"/>
                <w:szCs w:val="18"/>
              </w:rPr>
            </w:pPr>
            <w:r w:rsidRPr="008035D0">
              <w:rPr>
                <w:rFonts w:asciiTheme="minorHAnsi" w:hAnsiTheme="minorHAnsi" w:cs="Arial"/>
                <w:sz w:val="18"/>
                <w:szCs w:val="18"/>
              </w:rPr>
              <w:t>General community</w:t>
            </w:r>
          </w:p>
        </w:tc>
        <w:tc>
          <w:tcPr>
            <w:tcW w:w="1134" w:type="dxa"/>
            <w:shd w:val="clear" w:color="auto" w:fill="DBE5F1" w:themeFill="accent1" w:themeFillTint="33"/>
          </w:tcPr>
          <w:p w14:paraId="710DBC77" w14:textId="77777777" w:rsidR="00F2470E" w:rsidRPr="008035D0" w:rsidRDefault="00F2470E" w:rsidP="003D3558">
            <w:pPr>
              <w:pStyle w:val="BodyText"/>
              <w:spacing w:before="0" w:line="240" w:lineRule="auto"/>
              <w:jc w:val="left"/>
              <w:rPr>
                <w:rFonts w:asciiTheme="minorHAnsi" w:hAnsiTheme="minorHAnsi" w:cs="Arial"/>
                <w:sz w:val="18"/>
                <w:szCs w:val="18"/>
              </w:rPr>
            </w:pPr>
          </w:p>
          <w:p w14:paraId="3E538623" w14:textId="37041DB0" w:rsidR="00922DA1" w:rsidRPr="008035D0" w:rsidRDefault="00922DA1" w:rsidP="003D3558">
            <w:pPr>
              <w:pStyle w:val="BodyText"/>
              <w:spacing w:before="0" w:line="240" w:lineRule="auto"/>
              <w:jc w:val="left"/>
              <w:rPr>
                <w:rFonts w:asciiTheme="minorHAnsi" w:hAnsiTheme="minorHAnsi" w:cs="Arial"/>
                <w:sz w:val="18"/>
                <w:szCs w:val="18"/>
              </w:rPr>
            </w:pPr>
            <w:r w:rsidRPr="008035D0">
              <w:rPr>
                <w:rFonts w:asciiTheme="minorHAnsi" w:hAnsiTheme="minorHAnsi" w:cs="Arial"/>
                <w:sz w:val="18"/>
                <w:szCs w:val="18"/>
              </w:rPr>
              <w:t>During period of public exhibition and community engagement</w:t>
            </w:r>
          </w:p>
        </w:tc>
        <w:tc>
          <w:tcPr>
            <w:tcW w:w="1276" w:type="dxa"/>
            <w:shd w:val="clear" w:color="auto" w:fill="DBE5F1" w:themeFill="accent1" w:themeFillTint="33"/>
          </w:tcPr>
          <w:p w14:paraId="33F3B78A" w14:textId="77777777" w:rsidR="00F2470E" w:rsidRPr="008035D0" w:rsidRDefault="00F2470E" w:rsidP="003D3558">
            <w:pPr>
              <w:pStyle w:val="BodyText"/>
              <w:spacing w:before="0" w:line="240" w:lineRule="auto"/>
              <w:jc w:val="left"/>
              <w:rPr>
                <w:rFonts w:asciiTheme="minorHAnsi" w:hAnsiTheme="minorHAnsi" w:cs="Arial"/>
                <w:sz w:val="18"/>
                <w:szCs w:val="18"/>
              </w:rPr>
            </w:pPr>
          </w:p>
          <w:p w14:paraId="254DBA6B" w14:textId="27D4F15E" w:rsidR="00922DA1" w:rsidRPr="008035D0" w:rsidRDefault="00922DA1" w:rsidP="003D3558">
            <w:pPr>
              <w:pStyle w:val="BodyText"/>
              <w:spacing w:before="0" w:line="240" w:lineRule="auto"/>
              <w:jc w:val="left"/>
              <w:rPr>
                <w:rFonts w:asciiTheme="minorHAnsi" w:hAnsiTheme="minorHAnsi" w:cs="Arial"/>
                <w:sz w:val="18"/>
                <w:szCs w:val="18"/>
              </w:rPr>
            </w:pPr>
            <w:r w:rsidRPr="008035D0">
              <w:rPr>
                <w:rFonts w:asciiTheme="minorHAnsi" w:hAnsiTheme="minorHAnsi" w:cs="Arial"/>
                <w:sz w:val="18"/>
                <w:szCs w:val="18"/>
              </w:rPr>
              <w:t>Inform and involve</w:t>
            </w:r>
          </w:p>
        </w:tc>
      </w:tr>
    </w:tbl>
    <w:p w14:paraId="57F04F30" w14:textId="77777777" w:rsidR="00A24245" w:rsidRDefault="00A24245" w:rsidP="0030304B">
      <w:pPr>
        <w:pStyle w:val="BodyText"/>
        <w:spacing w:line="276" w:lineRule="auto"/>
        <w:rPr>
          <w:rFonts w:ascii="Arial" w:hAnsi="Arial" w:cs="Arial"/>
          <w:sz w:val="20"/>
          <w:szCs w:val="20"/>
        </w:rPr>
      </w:pPr>
    </w:p>
    <w:p w14:paraId="7F7E60F6" w14:textId="12131E0B" w:rsidR="00A24245" w:rsidRDefault="006671F8" w:rsidP="0030304B">
      <w:pPr>
        <w:pStyle w:val="BodyText"/>
        <w:spacing w:line="276" w:lineRule="auto"/>
        <w:rPr>
          <w:rFonts w:ascii="Arial" w:hAnsi="Arial" w:cs="Arial"/>
          <w:sz w:val="20"/>
          <w:szCs w:val="20"/>
        </w:rPr>
      </w:pPr>
      <w:r w:rsidRPr="006671F8">
        <w:rPr>
          <w:rFonts w:ascii="Arial" w:hAnsi="Arial" w:cs="Arial"/>
          <w:sz w:val="20"/>
          <w:szCs w:val="20"/>
        </w:rPr>
        <w:t>The information provided by the Council was clear and transparent</w:t>
      </w:r>
      <w:r>
        <w:rPr>
          <w:rFonts w:ascii="Arial" w:hAnsi="Arial" w:cs="Arial"/>
          <w:sz w:val="20"/>
          <w:szCs w:val="20"/>
        </w:rPr>
        <w:t xml:space="preserve"> in the way it explained the options being considered and the impact on rates for each of the three options. </w:t>
      </w:r>
      <w:r w:rsidR="00A24245">
        <w:rPr>
          <w:rFonts w:ascii="Arial" w:hAnsi="Arial" w:cs="Arial"/>
          <w:sz w:val="20"/>
          <w:szCs w:val="20"/>
        </w:rPr>
        <w:t>This is shown in the extracts below from exhibited IPR documents</w:t>
      </w:r>
      <w:r w:rsidR="00E07587">
        <w:rPr>
          <w:rFonts w:ascii="Arial" w:hAnsi="Arial" w:cs="Arial"/>
          <w:sz w:val="20"/>
          <w:szCs w:val="20"/>
        </w:rPr>
        <w:t xml:space="preserve"> and </w:t>
      </w:r>
      <w:r w:rsidR="006302FF">
        <w:rPr>
          <w:rFonts w:ascii="Arial" w:hAnsi="Arial" w:cs="Arial"/>
          <w:sz w:val="20"/>
          <w:szCs w:val="20"/>
        </w:rPr>
        <w:t xml:space="preserve">also </w:t>
      </w:r>
      <w:r w:rsidR="00E07587">
        <w:rPr>
          <w:rFonts w:ascii="Arial" w:hAnsi="Arial" w:cs="Arial"/>
          <w:sz w:val="20"/>
          <w:szCs w:val="20"/>
        </w:rPr>
        <w:t>from consultation material (</w:t>
      </w:r>
      <w:r w:rsidR="006302FF">
        <w:rPr>
          <w:rFonts w:ascii="Arial" w:hAnsi="Arial" w:cs="Arial"/>
          <w:sz w:val="20"/>
          <w:szCs w:val="20"/>
        </w:rPr>
        <w:t>further detailed and shown in</w:t>
      </w:r>
      <w:r w:rsidR="00E07587">
        <w:rPr>
          <w:rFonts w:ascii="Arial" w:hAnsi="Arial" w:cs="Arial"/>
          <w:sz w:val="20"/>
          <w:szCs w:val="20"/>
        </w:rPr>
        <w:t xml:space="preserve"> </w:t>
      </w:r>
      <w:r w:rsidR="00E07587" w:rsidRPr="00E07587">
        <w:rPr>
          <w:rFonts w:ascii="Arial" w:hAnsi="Arial" w:cs="Arial"/>
          <w:b/>
          <w:sz w:val="20"/>
          <w:szCs w:val="20"/>
        </w:rPr>
        <w:t>Attachment 5b</w:t>
      </w:r>
      <w:r w:rsidR="00E07587">
        <w:rPr>
          <w:rFonts w:ascii="Arial" w:hAnsi="Arial" w:cs="Arial"/>
          <w:sz w:val="20"/>
          <w:szCs w:val="20"/>
        </w:rPr>
        <w:t>)</w:t>
      </w:r>
      <w:r w:rsidR="00A24245">
        <w:rPr>
          <w:rFonts w:ascii="Arial" w:hAnsi="Arial" w:cs="Arial"/>
          <w:sz w:val="20"/>
          <w:szCs w:val="20"/>
        </w:rPr>
        <w:t xml:space="preserve">. </w:t>
      </w:r>
    </w:p>
    <w:p w14:paraId="7419E8DE" w14:textId="77777777" w:rsidR="00F24F45" w:rsidRDefault="00A24245" w:rsidP="00F24F45">
      <w:pPr>
        <w:pStyle w:val="BodyText"/>
        <w:spacing w:line="240" w:lineRule="auto"/>
        <w:rPr>
          <w:rFonts w:ascii="Arial" w:hAnsi="Arial" w:cs="Arial"/>
          <w:sz w:val="18"/>
          <w:szCs w:val="18"/>
        </w:rPr>
      </w:pPr>
      <w:r w:rsidRPr="00DD2B86">
        <w:rPr>
          <w:rFonts w:asciiTheme="minorHAnsi" w:eastAsiaTheme="minorHAnsi" w:hAnsiTheme="minorHAnsi" w:cstheme="minorBidi"/>
          <w:b/>
          <w:sz w:val="18"/>
          <w:szCs w:val="18"/>
          <w:lang w:eastAsia="en-US"/>
        </w:rPr>
        <w:t>Extract from Exhibited Resourcing Strategy 2014-2024</w:t>
      </w:r>
      <w:r w:rsidRPr="00DD2B86">
        <w:rPr>
          <w:rFonts w:asciiTheme="minorHAnsi" w:eastAsiaTheme="minorHAnsi" w:hAnsiTheme="minorHAnsi" w:cstheme="minorBidi"/>
          <w:sz w:val="18"/>
          <w:szCs w:val="18"/>
          <w:lang w:eastAsia="en-US"/>
        </w:rPr>
        <w:t xml:space="preserve"> – page 93 </w:t>
      </w:r>
      <w:r w:rsidRPr="00DD2B86">
        <w:rPr>
          <w:rFonts w:asciiTheme="minorHAnsi" w:eastAsiaTheme="minorHAnsi" w:hAnsiTheme="minorHAnsi" w:cstheme="minorBidi"/>
          <w:b/>
          <w:sz w:val="18"/>
          <w:szCs w:val="18"/>
          <w:lang w:eastAsia="en-US"/>
        </w:rPr>
        <w:t>(Attachment 13)</w:t>
      </w:r>
      <w:r w:rsidR="00DD2B86" w:rsidRPr="00DD2B86">
        <w:rPr>
          <w:rFonts w:ascii="Arial" w:hAnsi="Arial" w:cs="Arial"/>
          <w:sz w:val="18"/>
          <w:szCs w:val="18"/>
        </w:rPr>
        <w:t xml:space="preserve"> </w:t>
      </w:r>
    </w:p>
    <w:p w14:paraId="0274544E" w14:textId="3391B4B9" w:rsidR="00DD2B86" w:rsidRPr="00F24F45" w:rsidRDefault="00F24F45" w:rsidP="00F24F45">
      <w:pPr>
        <w:pStyle w:val="BodyText"/>
        <w:spacing w:before="0" w:line="240" w:lineRule="auto"/>
        <w:rPr>
          <w:rFonts w:asciiTheme="minorHAnsi" w:eastAsiaTheme="minorHAnsi" w:hAnsiTheme="minorHAnsi" w:cstheme="minorBidi"/>
          <w:b/>
          <w:sz w:val="18"/>
          <w:szCs w:val="18"/>
          <w:lang w:eastAsia="en-US"/>
        </w:rPr>
      </w:pPr>
      <w:r>
        <w:rPr>
          <w:rFonts w:asciiTheme="minorHAnsi" w:eastAsiaTheme="minorHAnsi" w:hAnsiTheme="minorHAnsi" w:cstheme="minorBidi"/>
          <w:b/>
          <w:sz w:val="18"/>
          <w:szCs w:val="18"/>
          <w:lang w:eastAsia="en-US"/>
        </w:rPr>
        <w:t xml:space="preserve">The </w:t>
      </w:r>
      <w:r w:rsidR="00DD2B86" w:rsidRPr="00F24F45">
        <w:rPr>
          <w:rFonts w:asciiTheme="minorHAnsi" w:eastAsiaTheme="minorHAnsi" w:hAnsiTheme="minorHAnsi" w:cstheme="minorBidi"/>
          <w:b/>
          <w:sz w:val="18"/>
          <w:szCs w:val="18"/>
          <w:lang w:eastAsia="en-US"/>
        </w:rPr>
        <w:t>table below was also provided in Information Sheet 1: A Better Blue Mountains (Attachment 5b, page20</w:t>
      </w:r>
      <w:r>
        <w:rPr>
          <w:rFonts w:asciiTheme="minorHAnsi" w:eastAsiaTheme="minorHAnsi" w:hAnsiTheme="minorHAnsi" w:cstheme="minorBidi"/>
          <w:b/>
          <w:sz w:val="18"/>
          <w:szCs w:val="18"/>
          <w:lang w:eastAsia="en-US"/>
        </w:rPr>
        <w:t>)</w:t>
      </w:r>
    </w:p>
    <w:p w14:paraId="66FCD72F" w14:textId="0D857D68" w:rsidR="00A24245" w:rsidRDefault="00A24245" w:rsidP="0030304B">
      <w:pPr>
        <w:pStyle w:val="BodyText"/>
        <w:spacing w:line="276" w:lineRule="auto"/>
        <w:rPr>
          <w:rFonts w:ascii="Arial" w:hAnsi="Arial" w:cs="Arial"/>
          <w:sz w:val="20"/>
          <w:szCs w:val="20"/>
        </w:rPr>
      </w:pPr>
      <w:r>
        <w:rPr>
          <w:noProof/>
        </w:rPr>
        <w:drawing>
          <wp:inline distT="0" distB="0" distL="0" distR="0" wp14:anchorId="5528B447" wp14:editId="24968295">
            <wp:extent cx="5400675" cy="7271385"/>
            <wp:effectExtent l="19050" t="19050" r="28575" b="247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13 - Resourcing Strategy p93 Options cumulative-crop.jpg"/>
                    <pic:cNvPicPr/>
                  </pic:nvPicPr>
                  <pic:blipFill>
                    <a:blip r:embed="rId77" cstate="screen">
                      <a:extLst>
                        <a:ext uri="{28A0092B-C50C-407E-A947-70E740481C1C}">
                          <a14:useLocalDpi xmlns:a14="http://schemas.microsoft.com/office/drawing/2010/main"/>
                        </a:ext>
                      </a:extLst>
                    </a:blip>
                    <a:stretch>
                      <a:fillRect/>
                    </a:stretch>
                  </pic:blipFill>
                  <pic:spPr>
                    <a:xfrm>
                      <a:off x="0" y="0"/>
                      <a:ext cx="5400675" cy="7271385"/>
                    </a:xfrm>
                    <a:prstGeom prst="rect">
                      <a:avLst/>
                    </a:prstGeom>
                    <a:ln>
                      <a:solidFill>
                        <a:sysClr val="windowText" lastClr="000000">
                          <a:alpha val="26000"/>
                        </a:sysClr>
                      </a:solidFill>
                    </a:ln>
                  </pic:spPr>
                </pic:pic>
              </a:graphicData>
            </a:graphic>
          </wp:inline>
        </w:drawing>
      </w:r>
    </w:p>
    <w:p w14:paraId="5F3E02AC" w14:textId="77777777" w:rsidR="00C261C1" w:rsidRDefault="00C261C1" w:rsidP="00C261C1">
      <w:pPr>
        <w:spacing w:line="276" w:lineRule="auto"/>
        <w:rPr>
          <w:rFonts w:asciiTheme="minorHAnsi" w:eastAsiaTheme="minorHAnsi" w:hAnsiTheme="minorHAnsi" w:cstheme="minorBidi"/>
          <w:b/>
          <w:szCs w:val="22"/>
          <w:lang w:eastAsia="en-US"/>
        </w:rPr>
      </w:pPr>
    </w:p>
    <w:p w14:paraId="68F95BF8" w14:textId="77777777" w:rsidR="00C261C1" w:rsidRDefault="00C261C1" w:rsidP="00C261C1">
      <w:pPr>
        <w:spacing w:line="276" w:lineRule="auto"/>
        <w:rPr>
          <w:rFonts w:asciiTheme="minorHAnsi" w:eastAsiaTheme="minorHAnsi" w:hAnsiTheme="minorHAnsi" w:cstheme="minorBidi"/>
          <w:b/>
          <w:szCs w:val="22"/>
          <w:lang w:eastAsia="en-US"/>
        </w:rPr>
      </w:pPr>
    </w:p>
    <w:p w14:paraId="414A30FB" w14:textId="77777777" w:rsidR="00C261C1" w:rsidRDefault="00C261C1" w:rsidP="00C261C1">
      <w:pPr>
        <w:spacing w:line="276" w:lineRule="auto"/>
        <w:rPr>
          <w:rFonts w:asciiTheme="minorHAnsi" w:eastAsiaTheme="minorHAnsi" w:hAnsiTheme="minorHAnsi" w:cstheme="minorBidi"/>
          <w:b/>
          <w:szCs w:val="22"/>
          <w:lang w:eastAsia="en-US"/>
        </w:rPr>
      </w:pPr>
    </w:p>
    <w:p w14:paraId="12FD8C2C" w14:textId="3D33427C" w:rsidR="00C261C1" w:rsidRPr="00C261C1" w:rsidRDefault="00C261C1" w:rsidP="00C261C1">
      <w:pPr>
        <w:rPr>
          <w:rFonts w:asciiTheme="minorHAnsi" w:eastAsiaTheme="minorHAnsi" w:hAnsiTheme="minorHAnsi" w:cstheme="minorBidi"/>
          <w:szCs w:val="22"/>
          <w:lang w:eastAsia="en-US"/>
        </w:rPr>
      </w:pPr>
      <w:r w:rsidRPr="00C261C1">
        <w:rPr>
          <w:rFonts w:ascii="Arial" w:hAnsi="Arial" w:cs="Arial"/>
          <w:b/>
          <w:noProof/>
          <w:sz w:val="20"/>
          <w:szCs w:val="20"/>
        </w:rPr>
        <w:drawing>
          <wp:anchor distT="0" distB="0" distL="114300" distR="114300" simplePos="0" relativeHeight="251904000" behindDoc="1" locked="0" layoutInCell="1" allowOverlap="1" wp14:anchorId="44DCBDCE" wp14:editId="6AC4EFD1">
            <wp:simplePos x="0" y="0"/>
            <wp:positionH relativeFrom="column">
              <wp:posOffset>-465455</wp:posOffset>
            </wp:positionH>
            <wp:positionV relativeFrom="paragraph">
              <wp:posOffset>874395</wp:posOffset>
            </wp:positionV>
            <wp:extent cx="6551930" cy="8150225"/>
            <wp:effectExtent l="0" t="0" r="1270" b="3175"/>
            <wp:wrapTight wrapText="bothSides">
              <wp:wrapPolygon edited="0">
                <wp:start x="0" y="0"/>
                <wp:lineTo x="0" y="21558"/>
                <wp:lineTo x="21541" y="21558"/>
                <wp:lineTo x="2154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6551930" cy="815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61C1">
        <w:rPr>
          <w:rFonts w:asciiTheme="minorHAnsi" w:eastAsiaTheme="minorHAnsi" w:hAnsiTheme="minorHAnsi" w:cstheme="minorBidi"/>
          <w:b/>
          <w:szCs w:val="22"/>
          <w:lang w:eastAsia="en-US"/>
        </w:rPr>
        <w:t>Extract from 4 Page Brochure sent to 32,531 ratepayers (see Attachment 5b, page 5)</w:t>
      </w:r>
      <w:r w:rsidRPr="00C261C1">
        <w:rPr>
          <w:rFonts w:asciiTheme="minorHAnsi" w:eastAsiaTheme="minorHAnsi" w:hAnsiTheme="minorHAnsi" w:cstheme="minorBidi"/>
          <w:szCs w:val="22"/>
          <w:lang w:eastAsia="en-US"/>
        </w:rPr>
        <w:t xml:space="preserve"> – showing the impact of each option on average rates, the cumulative increase to rates under each option and  </w:t>
      </w:r>
      <w:r>
        <w:rPr>
          <w:rFonts w:asciiTheme="minorHAnsi" w:eastAsiaTheme="minorHAnsi" w:hAnsiTheme="minorHAnsi" w:cstheme="minorBidi"/>
          <w:szCs w:val="22"/>
          <w:lang w:eastAsia="en-US"/>
        </w:rPr>
        <w:t xml:space="preserve">explanation to the community regarding expiration of an existing Environment Levy and its proposed continuation under Options 1 and 2 but not under Option 3. This information was also conveyed in Information Sheets provided in </w:t>
      </w:r>
      <w:r w:rsidRPr="00C261C1">
        <w:rPr>
          <w:rFonts w:asciiTheme="minorHAnsi" w:eastAsiaTheme="minorHAnsi" w:hAnsiTheme="minorHAnsi" w:cstheme="minorBidi"/>
          <w:b/>
          <w:szCs w:val="22"/>
          <w:lang w:eastAsia="en-US"/>
        </w:rPr>
        <w:t>Attachment 5b</w:t>
      </w:r>
      <w:r>
        <w:rPr>
          <w:rFonts w:asciiTheme="minorHAnsi" w:eastAsiaTheme="minorHAnsi" w:hAnsiTheme="minorHAnsi" w:cstheme="minorBidi"/>
          <w:szCs w:val="22"/>
          <w:lang w:eastAsia="en-US"/>
        </w:rPr>
        <w:t>.</w:t>
      </w:r>
    </w:p>
    <w:p w14:paraId="5BC8CC79" w14:textId="10BCF2F4" w:rsidR="00A24245" w:rsidRDefault="00A24245" w:rsidP="00A24245">
      <w:pPr>
        <w:spacing w:line="276" w:lineRule="auto"/>
        <w:rPr>
          <w:rFonts w:asciiTheme="minorHAnsi" w:eastAsiaTheme="minorHAnsi" w:hAnsiTheme="minorHAnsi" w:cstheme="minorBidi"/>
          <w:b/>
          <w:szCs w:val="22"/>
          <w:lang w:eastAsia="en-US"/>
        </w:rPr>
      </w:pPr>
      <w:r w:rsidRPr="00E32521">
        <w:rPr>
          <w:rFonts w:asciiTheme="minorHAnsi" w:eastAsiaTheme="minorHAnsi" w:hAnsiTheme="minorHAnsi" w:cstheme="minorBidi"/>
          <w:b/>
          <w:szCs w:val="22"/>
          <w:lang w:eastAsia="en-US"/>
        </w:rPr>
        <w:t>Ex</w:t>
      </w:r>
      <w:r>
        <w:rPr>
          <w:rFonts w:asciiTheme="minorHAnsi" w:eastAsiaTheme="minorHAnsi" w:hAnsiTheme="minorHAnsi" w:cstheme="minorBidi"/>
          <w:b/>
          <w:szCs w:val="22"/>
          <w:lang w:eastAsia="en-US"/>
        </w:rPr>
        <w:t>tract</w:t>
      </w:r>
      <w:r w:rsidRPr="00E32521">
        <w:rPr>
          <w:rFonts w:asciiTheme="minorHAnsi" w:eastAsiaTheme="minorHAnsi" w:hAnsiTheme="minorHAnsi" w:cstheme="minorBidi"/>
          <w:b/>
          <w:szCs w:val="22"/>
          <w:lang w:eastAsia="en-US"/>
        </w:rPr>
        <w:t xml:space="preserve"> from </w:t>
      </w:r>
      <w:r>
        <w:rPr>
          <w:rFonts w:asciiTheme="minorHAnsi" w:eastAsiaTheme="minorHAnsi" w:hAnsiTheme="minorHAnsi" w:cstheme="minorBidi"/>
          <w:b/>
          <w:szCs w:val="22"/>
          <w:lang w:eastAsia="en-US"/>
        </w:rPr>
        <w:t>Exhibited</w:t>
      </w:r>
      <w:r w:rsidRPr="00E32521">
        <w:rPr>
          <w:rFonts w:asciiTheme="minorHAnsi" w:eastAsiaTheme="minorHAnsi" w:hAnsiTheme="minorHAnsi" w:cstheme="minorBidi"/>
          <w:b/>
          <w:szCs w:val="22"/>
          <w:lang w:eastAsia="en-US"/>
        </w:rPr>
        <w:t xml:space="preserve"> Supplementary Delivery Program 2013-2017</w:t>
      </w:r>
      <w:r w:rsidRPr="00E32521">
        <w:rPr>
          <w:rFonts w:asciiTheme="minorHAnsi" w:eastAsiaTheme="minorHAnsi" w:hAnsiTheme="minorHAnsi" w:cstheme="minorBidi"/>
          <w:szCs w:val="22"/>
          <w:lang w:eastAsia="en-US"/>
        </w:rPr>
        <w:t xml:space="preserve"> – page 2</w:t>
      </w:r>
      <w:r w:rsidR="003114B4">
        <w:rPr>
          <w:rFonts w:asciiTheme="minorHAnsi" w:eastAsiaTheme="minorHAnsi" w:hAnsiTheme="minorHAnsi" w:cstheme="minorBidi"/>
          <w:szCs w:val="22"/>
          <w:lang w:eastAsia="en-US"/>
        </w:rPr>
        <w:t>3</w:t>
      </w:r>
      <w:r w:rsidRPr="00E32521">
        <w:rPr>
          <w:rFonts w:asciiTheme="minorHAnsi" w:eastAsiaTheme="minorHAnsi" w:hAnsiTheme="minorHAnsi" w:cstheme="minorBidi"/>
          <w:szCs w:val="22"/>
          <w:lang w:eastAsia="en-US"/>
        </w:rPr>
        <w:t xml:space="preserve"> </w:t>
      </w:r>
      <w:r w:rsidRPr="00E32521">
        <w:rPr>
          <w:rFonts w:asciiTheme="minorHAnsi" w:eastAsiaTheme="minorHAnsi" w:hAnsiTheme="minorHAnsi" w:cstheme="minorBidi"/>
          <w:b/>
          <w:szCs w:val="22"/>
          <w:lang w:eastAsia="en-US"/>
        </w:rPr>
        <w:t>(Attachment 2)</w:t>
      </w:r>
    </w:p>
    <w:p w14:paraId="4F196789" w14:textId="77777777" w:rsidR="00000B79" w:rsidRPr="00E32521" w:rsidRDefault="00000B79" w:rsidP="00A24245">
      <w:pPr>
        <w:spacing w:line="276" w:lineRule="auto"/>
        <w:rPr>
          <w:rFonts w:asciiTheme="minorHAnsi" w:eastAsiaTheme="minorHAnsi" w:hAnsiTheme="minorHAnsi" w:cstheme="minorBidi"/>
          <w:b/>
          <w:szCs w:val="22"/>
          <w:lang w:eastAsia="en-US"/>
        </w:rPr>
      </w:pPr>
    </w:p>
    <w:p w14:paraId="4D45C116" w14:textId="05412B9D" w:rsidR="00A24245" w:rsidRDefault="00A24245" w:rsidP="0030304B">
      <w:pPr>
        <w:pStyle w:val="BodyText"/>
        <w:spacing w:line="276" w:lineRule="auto"/>
        <w:rPr>
          <w:rFonts w:ascii="Arial" w:hAnsi="Arial" w:cs="Arial"/>
          <w:sz w:val="20"/>
          <w:szCs w:val="20"/>
        </w:rPr>
      </w:pPr>
      <w:r>
        <w:rPr>
          <w:noProof/>
        </w:rPr>
        <w:drawing>
          <wp:anchor distT="0" distB="0" distL="114300" distR="114300" simplePos="0" relativeHeight="251902976" behindDoc="1" locked="0" layoutInCell="1" allowOverlap="1" wp14:anchorId="3032C73B" wp14:editId="2711F352">
            <wp:simplePos x="0" y="0"/>
            <wp:positionH relativeFrom="column">
              <wp:posOffset>169545</wp:posOffset>
            </wp:positionH>
            <wp:positionV relativeFrom="paragraph">
              <wp:posOffset>-1270</wp:posOffset>
            </wp:positionV>
            <wp:extent cx="5204460" cy="7193280"/>
            <wp:effectExtent l="19050" t="19050" r="15240" b="26670"/>
            <wp:wrapTight wrapText="bothSides">
              <wp:wrapPolygon edited="0">
                <wp:start x="-79" y="-57"/>
                <wp:lineTo x="-79" y="21623"/>
                <wp:lineTo x="21584" y="21623"/>
                <wp:lineTo x="21584" y="-57"/>
                <wp:lineTo x="-79" y="-57"/>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2 - Supplementary Delivery Program_Page_27.jpg"/>
                    <pic:cNvPicPr/>
                  </pic:nvPicPr>
                  <pic:blipFill rotWithShape="1">
                    <a:blip r:embed="rId79" cstate="screen">
                      <a:extLst>
                        <a:ext uri="{28A0092B-C50C-407E-A947-70E740481C1C}">
                          <a14:useLocalDpi xmlns:a14="http://schemas.microsoft.com/office/drawing/2010/main"/>
                        </a:ext>
                      </a:extLst>
                    </a:blip>
                    <a:srcRect/>
                    <a:stretch/>
                  </pic:blipFill>
                  <pic:spPr bwMode="auto">
                    <a:xfrm>
                      <a:off x="0" y="0"/>
                      <a:ext cx="5204460" cy="7193280"/>
                    </a:xfrm>
                    <a:prstGeom prst="rect">
                      <a:avLst/>
                    </a:prstGeom>
                    <a:ln w="9525" cap="flat" cmpd="sng" algn="ctr">
                      <a:solidFill>
                        <a:sysClr val="windowText" lastClr="000000">
                          <a:alpha val="27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0D3FD6" w14:textId="77777777" w:rsidR="00A24245" w:rsidRDefault="00A24245" w:rsidP="0030304B">
      <w:pPr>
        <w:pStyle w:val="BodyText"/>
        <w:spacing w:line="276" w:lineRule="auto"/>
        <w:rPr>
          <w:rFonts w:ascii="Arial" w:hAnsi="Arial" w:cs="Arial"/>
          <w:sz w:val="20"/>
          <w:szCs w:val="20"/>
        </w:rPr>
      </w:pPr>
    </w:p>
    <w:p w14:paraId="10285E8A" w14:textId="48ED1BC3" w:rsidR="00DB482D" w:rsidRDefault="00DB482D" w:rsidP="0030304B">
      <w:pPr>
        <w:pStyle w:val="BodyText"/>
        <w:spacing w:line="276" w:lineRule="auto"/>
        <w:rPr>
          <w:rFonts w:ascii="Arial" w:hAnsi="Arial" w:cs="Arial"/>
          <w:sz w:val="20"/>
          <w:szCs w:val="20"/>
        </w:rPr>
      </w:pPr>
    </w:p>
    <w:p w14:paraId="5E7534BE" w14:textId="77777777" w:rsidR="00DD2B86" w:rsidRDefault="00DD2B86" w:rsidP="0030304B">
      <w:pPr>
        <w:pStyle w:val="BodyText"/>
        <w:spacing w:line="276" w:lineRule="auto"/>
        <w:rPr>
          <w:rFonts w:ascii="Arial" w:hAnsi="Arial" w:cs="Arial"/>
          <w:sz w:val="20"/>
          <w:szCs w:val="20"/>
        </w:rPr>
      </w:pPr>
    </w:p>
    <w:p w14:paraId="4ECEC21A" w14:textId="167EAAC7" w:rsidR="00DD2B86" w:rsidRPr="00DD2B86" w:rsidRDefault="00DD2B86" w:rsidP="00DD2B86">
      <w:pPr>
        <w:spacing w:line="276" w:lineRule="auto"/>
        <w:rPr>
          <w:rFonts w:asciiTheme="minorHAnsi" w:eastAsiaTheme="minorHAnsi" w:hAnsiTheme="minorHAnsi" w:cstheme="minorBidi"/>
          <w:b/>
          <w:szCs w:val="22"/>
          <w:lang w:eastAsia="en-US"/>
        </w:rPr>
      </w:pPr>
      <w:r w:rsidRPr="00DD2B86">
        <w:rPr>
          <w:rFonts w:asciiTheme="minorHAnsi" w:eastAsiaTheme="minorHAnsi" w:hAnsiTheme="minorHAnsi" w:cstheme="minorBidi"/>
          <w:b/>
          <w:szCs w:val="22"/>
          <w:lang w:eastAsia="en-US"/>
        </w:rPr>
        <w:t>Extract from Supplementary Delivery Program</w:t>
      </w:r>
      <w:r w:rsidRPr="00DD2B86">
        <w:rPr>
          <w:rFonts w:asciiTheme="minorHAnsi" w:eastAsiaTheme="minorHAnsi" w:hAnsiTheme="minorHAnsi" w:cstheme="minorBidi"/>
          <w:szCs w:val="22"/>
          <w:lang w:eastAsia="en-US"/>
        </w:rPr>
        <w:t xml:space="preserve">– </w:t>
      </w:r>
      <w:r>
        <w:rPr>
          <w:rFonts w:asciiTheme="minorHAnsi" w:eastAsiaTheme="minorHAnsi" w:hAnsiTheme="minorHAnsi" w:cstheme="minorBidi"/>
          <w:szCs w:val="22"/>
          <w:lang w:eastAsia="en-US"/>
        </w:rPr>
        <w:t xml:space="preserve">see </w:t>
      </w:r>
      <w:r w:rsidR="002C3346">
        <w:rPr>
          <w:rFonts w:asciiTheme="minorHAnsi" w:eastAsiaTheme="minorHAnsi" w:hAnsiTheme="minorHAnsi" w:cstheme="minorBidi"/>
          <w:szCs w:val="22"/>
          <w:lang w:eastAsia="en-US"/>
        </w:rPr>
        <w:t>page</w:t>
      </w:r>
      <w:r w:rsidRPr="00DD2B86">
        <w:rPr>
          <w:rFonts w:asciiTheme="minorHAnsi" w:eastAsiaTheme="minorHAnsi" w:hAnsiTheme="minorHAnsi" w:cstheme="minorBidi"/>
          <w:szCs w:val="22"/>
          <w:lang w:eastAsia="en-US"/>
        </w:rPr>
        <w:t xml:space="preserve"> 51 &amp; 52 </w:t>
      </w:r>
      <w:r w:rsidRPr="00DD2B86">
        <w:rPr>
          <w:rFonts w:asciiTheme="minorHAnsi" w:eastAsiaTheme="minorHAnsi" w:hAnsiTheme="minorHAnsi" w:cstheme="minorBidi"/>
          <w:b/>
          <w:szCs w:val="22"/>
          <w:lang w:eastAsia="en-US"/>
        </w:rPr>
        <w:t>(Attachment 2)</w:t>
      </w:r>
    </w:p>
    <w:p w14:paraId="517537B0" w14:textId="252F666A" w:rsidR="00DD2B86" w:rsidRDefault="00DD2B86" w:rsidP="0030304B">
      <w:pPr>
        <w:pStyle w:val="BodyText"/>
        <w:spacing w:line="276" w:lineRule="auto"/>
        <w:rPr>
          <w:rFonts w:ascii="Arial" w:hAnsi="Arial" w:cs="Arial"/>
          <w:sz w:val="20"/>
          <w:szCs w:val="20"/>
        </w:rPr>
      </w:pPr>
      <w:r>
        <w:rPr>
          <w:noProof/>
        </w:rPr>
        <w:drawing>
          <wp:inline distT="0" distB="0" distL="0" distR="0" wp14:anchorId="2678C0C2" wp14:editId="01879A90">
            <wp:extent cx="4792980" cy="7818120"/>
            <wp:effectExtent l="19050" t="19050" r="26670" b="114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2 - Supplementary Delivery Program_Page_55.jpg"/>
                    <pic:cNvPicPr/>
                  </pic:nvPicPr>
                  <pic:blipFill rotWithShape="1">
                    <a:blip r:embed="rId80" cstate="screen">
                      <a:extLst>
                        <a:ext uri="{28A0092B-C50C-407E-A947-70E740481C1C}">
                          <a14:useLocalDpi xmlns:a14="http://schemas.microsoft.com/office/drawing/2010/main"/>
                        </a:ext>
                      </a:extLst>
                    </a:blip>
                    <a:srcRect/>
                    <a:stretch/>
                  </pic:blipFill>
                  <pic:spPr bwMode="auto">
                    <a:xfrm>
                      <a:off x="0" y="0"/>
                      <a:ext cx="4791479" cy="7815671"/>
                    </a:xfrm>
                    <a:prstGeom prst="rect">
                      <a:avLst/>
                    </a:prstGeom>
                    <a:ln>
                      <a:solidFill>
                        <a:sysClr val="windowText" lastClr="000000">
                          <a:lumMod val="50000"/>
                          <a:lumOff val="50000"/>
                          <a:alpha val="37000"/>
                        </a:sysClr>
                      </a:solidFill>
                    </a:ln>
                    <a:extLst>
                      <a:ext uri="{53640926-AAD7-44D8-BBD7-CCE9431645EC}">
                        <a14:shadowObscured xmlns:a14="http://schemas.microsoft.com/office/drawing/2010/main"/>
                      </a:ext>
                    </a:extLst>
                  </pic:spPr>
                </pic:pic>
              </a:graphicData>
            </a:graphic>
          </wp:inline>
        </w:drawing>
      </w:r>
    </w:p>
    <w:p w14:paraId="18E62C8A" w14:textId="77777777" w:rsidR="00DD2B86" w:rsidRDefault="00DD2B86" w:rsidP="0030304B">
      <w:pPr>
        <w:pStyle w:val="BodyText"/>
        <w:spacing w:line="276" w:lineRule="auto"/>
        <w:rPr>
          <w:rFonts w:ascii="Arial" w:hAnsi="Arial" w:cs="Arial"/>
          <w:sz w:val="20"/>
          <w:szCs w:val="20"/>
        </w:rPr>
      </w:pPr>
    </w:p>
    <w:p w14:paraId="7E3A5B39" w14:textId="77BF7C71" w:rsidR="0031650A" w:rsidRDefault="006671F8" w:rsidP="0030304B">
      <w:pPr>
        <w:pStyle w:val="BodyText"/>
        <w:spacing w:line="276" w:lineRule="auto"/>
        <w:rPr>
          <w:rFonts w:ascii="Arial" w:hAnsi="Arial" w:cs="Arial"/>
          <w:sz w:val="20"/>
          <w:szCs w:val="20"/>
        </w:rPr>
      </w:pPr>
      <w:r>
        <w:rPr>
          <w:rFonts w:ascii="Arial" w:hAnsi="Arial" w:cs="Arial"/>
          <w:sz w:val="20"/>
          <w:szCs w:val="20"/>
        </w:rPr>
        <w:t xml:space="preserve">The methods by which the Council met the community engagement guidelines </w:t>
      </w:r>
      <w:r w:rsidR="00DB482D">
        <w:rPr>
          <w:rFonts w:ascii="Arial" w:hAnsi="Arial" w:cs="Arial"/>
          <w:sz w:val="20"/>
          <w:szCs w:val="20"/>
        </w:rPr>
        <w:t>are</w:t>
      </w:r>
      <w:r>
        <w:rPr>
          <w:rFonts w:ascii="Arial" w:hAnsi="Arial" w:cs="Arial"/>
          <w:sz w:val="20"/>
          <w:szCs w:val="20"/>
        </w:rPr>
        <w:t xml:space="preserve"> summarised in the table below.</w:t>
      </w:r>
    </w:p>
    <w:p w14:paraId="62BD0168" w14:textId="13405D00" w:rsidR="00A24D27" w:rsidRPr="00085131" w:rsidRDefault="00A24D27" w:rsidP="00085131">
      <w:pPr>
        <w:pStyle w:val="BodyText"/>
        <w:rPr>
          <w:rFonts w:asciiTheme="minorHAnsi" w:hAnsiTheme="minorHAnsi" w:cs="Arial"/>
          <w:b/>
          <w:sz w:val="18"/>
          <w:szCs w:val="18"/>
        </w:rPr>
      </w:pPr>
      <w:r w:rsidRPr="00085131">
        <w:rPr>
          <w:rFonts w:asciiTheme="minorHAnsi" w:hAnsiTheme="minorHAnsi" w:cs="Arial"/>
          <w:b/>
          <w:sz w:val="18"/>
          <w:szCs w:val="18"/>
        </w:rPr>
        <w:t>Tab</w:t>
      </w:r>
      <w:r w:rsidR="00FA0E8D">
        <w:rPr>
          <w:rFonts w:asciiTheme="minorHAnsi" w:hAnsiTheme="minorHAnsi" w:cs="Arial"/>
          <w:b/>
          <w:sz w:val="18"/>
          <w:szCs w:val="18"/>
        </w:rPr>
        <w:t>le 4.2</w:t>
      </w:r>
      <w:r w:rsidRPr="00085131">
        <w:rPr>
          <w:rFonts w:asciiTheme="minorHAnsi" w:hAnsiTheme="minorHAnsi" w:cs="Arial"/>
          <w:b/>
          <w:sz w:val="18"/>
          <w:szCs w:val="18"/>
        </w:rPr>
        <w:t xml:space="preserve"> Overview of Achievement of the Community Engagement Requirements</w:t>
      </w:r>
    </w:p>
    <w:tbl>
      <w:tblPr>
        <w:tblStyle w:val="TableGrid"/>
        <w:tblW w:w="8505" w:type="dxa"/>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2410"/>
        <w:gridCol w:w="992"/>
        <w:gridCol w:w="5103"/>
      </w:tblGrid>
      <w:tr w:rsidR="003C43CC" w14:paraId="01FDC91B" w14:textId="77777777" w:rsidTr="00A24D27">
        <w:trPr>
          <w:tblHeader/>
        </w:trPr>
        <w:tc>
          <w:tcPr>
            <w:tcW w:w="2410" w:type="dxa"/>
            <w:shd w:val="clear" w:color="auto" w:fill="365F91" w:themeFill="accent1" w:themeFillShade="BF"/>
            <w:vAlign w:val="center"/>
          </w:tcPr>
          <w:p w14:paraId="099983EA" w14:textId="0A33C0EC" w:rsidR="002C7460" w:rsidRPr="008035D0" w:rsidRDefault="004C13C1" w:rsidP="002C7460">
            <w:pPr>
              <w:pStyle w:val="BodyText"/>
              <w:spacing w:before="60" w:after="60" w:line="240" w:lineRule="auto"/>
              <w:jc w:val="center"/>
              <w:rPr>
                <w:rFonts w:ascii="Calibri" w:hAnsi="Calibri" w:cs="Arial"/>
                <w:b/>
                <w:color w:val="FFFFFF" w:themeColor="background1"/>
                <w:sz w:val="18"/>
                <w:szCs w:val="18"/>
              </w:rPr>
            </w:pPr>
            <w:r w:rsidRPr="008035D0">
              <w:rPr>
                <w:rFonts w:ascii="Calibri" w:hAnsi="Calibri" w:cs="Arial"/>
                <w:b/>
                <w:color w:val="FFFFFF" w:themeColor="background1"/>
                <w:sz w:val="18"/>
                <w:szCs w:val="18"/>
              </w:rPr>
              <w:t>Requirement</w:t>
            </w:r>
            <w:r w:rsidR="00627D16" w:rsidRPr="008035D0">
              <w:rPr>
                <w:rFonts w:ascii="Calibri" w:hAnsi="Calibri" w:cs="Arial"/>
                <w:b/>
                <w:color w:val="FFFFFF" w:themeColor="background1"/>
                <w:sz w:val="18"/>
                <w:szCs w:val="18"/>
              </w:rPr>
              <w:t xml:space="preserve"> </w:t>
            </w:r>
            <w:r w:rsidR="002C7460" w:rsidRPr="008035D0">
              <w:rPr>
                <w:rFonts w:ascii="Calibri" w:hAnsi="Calibri" w:cs="Arial"/>
                <w:b/>
                <w:color w:val="FFFFFF" w:themeColor="background1"/>
                <w:sz w:val="18"/>
                <w:szCs w:val="18"/>
              </w:rPr>
              <w:t>to clearly communicate….</w:t>
            </w:r>
          </w:p>
        </w:tc>
        <w:tc>
          <w:tcPr>
            <w:tcW w:w="992" w:type="dxa"/>
            <w:shd w:val="clear" w:color="auto" w:fill="365F91" w:themeFill="accent1" w:themeFillShade="BF"/>
            <w:vAlign w:val="center"/>
          </w:tcPr>
          <w:p w14:paraId="61666D64" w14:textId="78992B26" w:rsidR="004C13C1" w:rsidRPr="008035D0" w:rsidRDefault="004C13C1" w:rsidP="002C7460">
            <w:pPr>
              <w:pStyle w:val="BodyText"/>
              <w:spacing w:before="0" w:line="240" w:lineRule="auto"/>
              <w:jc w:val="center"/>
              <w:rPr>
                <w:rFonts w:ascii="Calibri" w:hAnsi="Calibri" w:cs="Arial"/>
                <w:b/>
                <w:color w:val="FFFFFF" w:themeColor="background1"/>
                <w:sz w:val="18"/>
                <w:szCs w:val="18"/>
              </w:rPr>
            </w:pPr>
            <w:r w:rsidRPr="008035D0">
              <w:rPr>
                <w:rFonts w:ascii="Calibri" w:hAnsi="Calibri" w:cs="Arial"/>
                <w:b/>
                <w:color w:val="FFFFFF" w:themeColor="background1"/>
                <w:sz w:val="18"/>
                <w:szCs w:val="18"/>
              </w:rPr>
              <w:t>Achieved?</w:t>
            </w:r>
          </w:p>
        </w:tc>
        <w:tc>
          <w:tcPr>
            <w:tcW w:w="5103" w:type="dxa"/>
            <w:shd w:val="clear" w:color="auto" w:fill="365F91" w:themeFill="accent1" w:themeFillShade="BF"/>
            <w:vAlign w:val="center"/>
          </w:tcPr>
          <w:p w14:paraId="317F76D0" w14:textId="27193BBB" w:rsidR="004C13C1" w:rsidRPr="008035D0" w:rsidRDefault="004C13C1" w:rsidP="002C7460">
            <w:pPr>
              <w:pStyle w:val="BodyText"/>
              <w:spacing w:before="0" w:line="240" w:lineRule="auto"/>
              <w:jc w:val="center"/>
              <w:rPr>
                <w:rFonts w:ascii="Calibri" w:hAnsi="Calibri" w:cs="Arial"/>
                <w:b/>
                <w:color w:val="FFFFFF" w:themeColor="background1"/>
                <w:sz w:val="18"/>
                <w:szCs w:val="18"/>
              </w:rPr>
            </w:pPr>
            <w:r w:rsidRPr="008035D0">
              <w:rPr>
                <w:rFonts w:ascii="Calibri" w:hAnsi="Calibri" w:cs="Arial"/>
                <w:b/>
                <w:color w:val="FFFFFF" w:themeColor="background1"/>
                <w:sz w:val="18"/>
                <w:szCs w:val="18"/>
              </w:rPr>
              <w:t>How?</w:t>
            </w:r>
          </w:p>
        </w:tc>
      </w:tr>
      <w:tr w:rsidR="004C13C1" w14:paraId="6A746617" w14:textId="77777777" w:rsidTr="00A24D27">
        <w:tc>
          <w:tcPr>
            <w:tcW w:w="2410" w:type="dxa"/>
            <w:shd w:val="clear" w:color="auto" w:fill="DBE5F1" w:themeFill="accent1" w:themeFillTint="33"/>
          </w:tcPr>
          <w:p w14:paraId="6F0036C3" w14:textId="4EE1E5D8" w:rsidR="004C13C1" w:rsidRPr="008035D0" w:rsidRDefault="002C7460" w:rsidP="00191D13">
            <w:pPr>
              <w:pStyle w:val="BodyText"/>
              <w:spacing w:before="0" w:line="240" w:lineRule="auto"/>
              <w:jc w:val="left"/>
              <w:rPr>
                <w:rFonts w:ascii="Calibri" w:hAnsi="Calibri" w:cs="Arial"/>
                <w:b/>
                <w:sz w:val="18"/>
                <w:szCs w:val="18"/>
              </w:rPr>
            </w:pPr>
            <w:r w:rsidRPr="008035D0">
              <w:rPr>
                <w:rFonts w:ascii="Calibri" w:hAnsi="Calibri" w:cs="Arial"/>
                <w:b/>
                <w:sz w:val="18"/>
                <w:szCs w:val="18"/>
              </w:rPr>
              <w:t>T</w:t>
            </w:r>
            <w:r w:rsidR="00627D16" w:rsidRPr="008035D0">
              <w:rPr>
                <w:rFonts w:ascii="Calibri" w:hAnsi="Calibri" w:cs="Arial"/>
                <w:b/>
                <w:sz w:val="18"/>
                <w:szCs w:val="18"/>
              </w:rPr>
              <w:t>he proposed cumulative special variation rate increases (including the rate peg) for each rating category, in both percentage and dollar terms</w:t>
            </w:r>
          </w:p>
          <w:p w14:paraId="7E2C852D" w14:textId="7FA3A578" w:rsidR="00627D16" w:rsidRPr="008035D0" w:rsidRDefault="00627D16" w:rsidP="00191D13">
            <w:pPr>
              <w:pStyle w:val="BodyText"/>
              <w:spacing w:before="0" w:line="240" w:lineRule="auto"/>
              <w:jc w:val="left"/>
              <w:rPr>
                <w:rFonts w:ascii="Calibri" w:hAnsi="Calibri" w:cs="Arial"/>
                <w:b/>
                <w:sz w:val="18"/>
                <w:szCs w:val="18"/>
              </w:rPr>
            </w:pPr>
          </w:p>
        </w:tc>
        <w:tc>
          <w:tcPr>
            <w:tcW w:w="992" w:type="dxa"/>
            <w:shd w:val="clear" w:color="auto" w:fill="DBE5F1" w:themeFill="accent1" w:themeFillTint="33"/>
          </w:tcPr>
          <w:p w14:paraId="0CFE043D" w14:textId="74CB1E1F" w:rsidR="004C13C1" w:rsidRPr="008035D0" w:rsidRDefault="00191D13" w:rsidP="00627D16">
            <w:pPr>
              <w:pStyle w:val="BodyText"/>
              <w:spacing w:before="0" w:line="240" w:lineRule="auto"/>
              <w:rPr>
                <w:rFonts w:ascii="Calibri" w:hAnsi="Calibri" w:cs="Arial"/>
                <w:sz w:val="18"/>
                <w:szCs w:val="18"/>
              </w:rPr>
            </w:pPr>
            <w:r w:rsidRPr="008035D0">
              <w:rPr>
                <w:rFonts w:asciiTheme="minorHAnsi" w:eastAsia="Arial" w:hAnsiTheme="minorHAnsi" w:cs="Arial"/>
                <w:noProof/>
                <w:sz w:val="18"/>
                <w:szCs w:val="18"/>
              </w:rPr>
              <w:drawing>
                <wp:anchor distT="0" distB="0" distL="114300" distR="114300" simplePos="0" relativeHeight="251700224" behindDoc="0" locked="0" layoutInCell="1" allowOverlap="1" wp14:anchorId="2F4F93B5" wp14:editId="7DD59B13">
                  <wp:simplePos x="0" y="0"/>
                  <wp:positionH relativeFrom="column">
                    <wp:posOffset>136709</wp:posOffset>
                  </wp:positionH>
                  <wp:positionV relativeFrom="paragraph">
                    <wp:posOffset>234315</wp:posOffset>
                  </wp:positionV>
                  <wp:extent cx="231500" cy="159027"/>
                  <wp:effectExtent l="0" t="0" r="0" b="0"/>
                  <wp:wrapNone/>
                  <wp:docPr id="6" name="Picture 6" descr="C:\Users\jstewart\AppData\Local\Microsoft\Windows\Temporary Internet Files\Content.IE5\6YUOMJOX\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tewart\AppData\Local\Microsoft\Windows\Temporary Internet Files\Content.IE5\6YUOMJOX\MC900432530[1].png"/>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231500" cy="15902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shd w:val="clear" w:color="auto" w:fill="DBE5F1" w:themeFill="accent1" w:themeFillTint="33"/>
          </w:tcPr>
          <w:p w14:paraId="6C2039DA" w14:textId="30887BAF" w:rsidR="00A6627E" w:rsidRDefault="00A6627E" w:rsidP="00637665">
            <w:pPr>
              <w:pStyle w:val="BodyText"/>
              <w:spacing w:before="0" w:line="240" w:lineRule="auto"/>
              <w:jc w:val="left"/>
              <w:rPr>
                <w:rFonts w:asciiTheme="minorHAnsi" w:eastAsia="Arial" w:hAnsiTheme="minorHAnsi" w:cs="Arial"/>
                <w:sz w:val="18"/>
                <w:szCs w:val="18"/>
              </w:rPr>
            </w:pPr>
            <w:r>
              <w:rPr>
                <w:rFonts w:asciiTheme="minorHAnsi" w:eastAsia="Arial" w:hAnsiTheme="minorHAnsi" w:cs="Arial"/>
                <w:sz w:val="18"/>
                <w:szCs w:val="18"/>
              </w:rPr>
              <w:t xml:space="preserve">The exhibited </w:t>
            </w:r>
            <w:r w:rsidRPr="00A6627E">
              <w:rPr>
                <w:rFonts w:asciiTheme="minorHAnsi" w:eastAsia="Arial" w:hAnsiTheme="minorHAnsi" w:cs="Arial"/>
                <w:i/>
                <w:sz w:val="18"/>
                <w:szCs w:val="18"/>
              </w:rPr>
              <w:t>Resourcing Strategy 2014-2024</w:t>
            </w:r>
            <w:r>
              <w:rPr>
                <w:rFonts w:asciiTheme="minorHAnsi" w:eastAsia="Arial" w:hAnsiTheme="minorHAnsi" w:cs="Arial"/>
                <w:sz w:val="18"/>
                <w:szCs w:val="18"/>
              </w:rPr>
              <w:t xml:space="preserve"> showed </w:t>
            </w:r>
            <w:r w:rsidR="00637665">
              <w:rPr>
                <w:rFonts w:asciiTheme="minorHAnsi" w:eastAsia="Arial" w:hAnsiTheme="minorHAnsi" w:cs="Arial"/>
                <w:sz w:val="18"/>
                <w:szCs w:val="18"/>
              </w:rPr>
              <w:t xml:space="preserve">the </w:t>
            </w:r>
            <w:r w:rsidR="00637665" w:rsidRPr="00637665">
              <w:rPr>
                <w:rFonts w:asciiTheme="minorHAnsi" w:eastAsia="Arial" w:hAnsiTheme="minorHAnsi" w:cs="Arial"/>
                <w:sz w:val="18"/>
                <w:szCs w:val="18"/>
              </w:rPr>
              <w:t>proposed cumulative special variation rate increases (including the rate peg) for each rating category, in both percentage and dollar terms</w:t>
            </w:r>
            <w:r w:rsidR="00637665">
              <w:rPr>
                <w:rFonts w:asciiTheme="minorHAnsi" w:eastAsia="Arial" w:hAnsiTheme="minorHAnsi" w:cs="Arial"/>
                <w:sz w:val="18"/>
                <w:szCs w:val="18"/>
              </w:rPr>
              <w:t xml:space="preserve">  </w:t>
            </w:r>
            <w:r>
              <w:rPr>
                <w:rFonts w:asciiTheme="minorHAnsi" w:eastAsia="Arial" w:hAnsiTheme="minorHAnsi" w:cs="Arial"/>
                <w:sz w:val="18"/>
                <w:szCs w:val="18"/>
              </w:rPr>
              <w:t xml:space="preserve">(see </w:t>
            </w:r>
            <w:r w:rsidRPr="000D665E">
              <w:rPr>
                <w:rFonts w:asciiTheme="minorHAnsi" w:eastAsia="Arial" w:hAnsiTheme="minorHAnsi" w:cs="Arial"/>
                <w:b/>
                <w:sz w:val="18"/>
                <w:szCs w:val="18"/>
              </w:rPr>
              <w:t>Attachment 13</w:t>
            </w:r>
            <w:r>
              <w:rPr>
                <w:rFonts w:asciiTheme="minorHAnsi" w:eastAsia="Arial" w:hAnsiTheme="minorHAnsi" w:cs="Arial"/>
                <w:sz w:val="18"/>
                <w:szCs w:val="18"/>
              </w:rPr>
              <w:t xml:space="preserve">, page 93) </w:t>
            </w:r>
          </w:p>
          <w:p w14:paraId="7374F47A" w14:textId="77777777" w:rsidR="00A6627E" w:rsidRDefault="00A6627E" w:rsidP="00A6627E">
            <w:pPr>
              <w:rPr>
                <w:rFonts w:asciiTheme="minorHAnsi" w:eastAsia="Arial" w:hAnsiTheme="minorHAnsi" w:cs="Arial"/>
                <w:sz w:val="18"/>
                <w:szCs w:val="18"/>
              </w:rPr>
            </w:pPr>
          </w:p>
          <w:p w14:paraId="15CF9BAC" w14:textId="039B3B85" w:rsidR="00A6627E" w:rsidRPr="000D665E" w:rsidRDefault="00A6627E" w:rsidP="00A6627E">
            <w:pPr>
              <w:rPr>
                <w:rFonts w:asciiTheme="minorHAnsi" w:eastAsia="Arial" w:hAnsiTheme="minorHAnsi" w:cs="Arial"/>
                <w:sz w:val="18"/>
                <w:szCs w:val="18"/>
              </w:rPr>
            </w:pPr>
            <w:r>
              <w:rPr>
                <w:rFonts w:asciiTheme="minorHAnsi" w:eastAsia="Arial" w:hAnsiTheme="minorHAnsi" w:cs="Arial"/>
                <w:sz w:val="18"/>
                <w:szCs w:val="18"/>
              </w:rPr>
              <w:t xml:space="preserve">The exhibited </w:t>
            </w:r>
            <w:r w:rsidRPr="00A6627E">
              <w:rPr>
                <w:rFonts w:asciiTheme="minorHAnsi" w:eastAsia="Arial" w:hAnsiTheme="minorHAnsi" w:cs="Arial"/>
                <w:i/>
                <w:sz w:val="18"/>
                <w:szCs w:val="18"/>
              </w:rPr>
              <w:t>Supplementary Delivery Program</w:t>
            </w:r>
            <w:r>
              <w:rPr>
                <w:rFonts w:asciiTheme="minorHAnsi" w:eastAsia="Arial" w:hAnsiTheme="minorHAnsi" w:cs="Arial"/>
                <w:sz w:val="18"/>
                <w:szCs w:val="18"/>
              </w:rPr>
              <w:t xml:space="preserve"> </w:t>
            </w:r>
            <w:r w:rsidRPr="00A6627E">
              <w:rPr>
                <w:rFonts w:asciiTheme="minorHAnsi" w:eastAsia="Arial" w:hAnsiTheme="minorHAnsi" w:cs="Arial"/>
                <w:i/>
                <w:sz w:val="18"/>
                <w:szCs w:val="18"/>
              </w:rPr>
              <w:t>2015/16 -2018/19</w:t>
            </w:r>
            <w:r>
              <w:rPr>
                <w:rFonts w:asciiTheme="minorHAnsi" w:eastAsia="Arial" w:hAnsiTheme="minorHAnsi" w:cs="Arial"/>
                <w:sz w:val="18"/>
                <w:szCs w:val="18"/>
              </w:rPr>
              <w:t xml:space="preserve"> showed this information (see </w:t>
            </w:r>
            <w:r w:rsidRPr="000D665E">
              <w:rPr>
                <w:rFonts w:asciiTheme="minorHAnsi" w:eastAsia="Arial" w:hAnsiTheme="minorHAnsi" w:cs="Arial"/>
                <w:b/>
                <w:sz w:val="18"/>
                <w:szCs w:val="18"/>
              </w:rPr>
              <w:t>Attachment 2</w:t>
            </w:r>
            <w:r>
              <w:rPr>
                <w:rFonts w:asciiTheme="minorHAnsi" w:eastAsia="Arial" w:hAnsiTheme="minorHAnsi" w:cs="Arial"/>
                <w:b/>
                <w:sz w:val="18"/>
                <w:szCs w:val="18"/>
              </w:rPr>
              <w:t xml:space="preserve">, </w:t>
            </w:r>
            <w:r w:rsidRPr="000D665E">
              <w:rPr>
                <w:rFonts w:asciiTheme="minorHAnsi" w:eastAsia="Arial" w:hAnsiTheme="minorHAnsi" w:cs="Arial"/>
                <w:sz w:val="18"/>
                <w:szCs w:val="18"/>
              </w:rPr>
              <w:t>page</w:t>
            </w:r>
            <w:r>
              <w:rPr>
                <w:rFonts w:asciiTheme="minorHAnsi" w:eastAsia="Arial" w:hAnsiTheme="minorHAnsi" w:cs="Arial"/>
                <w:sz w:val="18"/>
                <w:szCs w:val="18"/>
              </w:rPr>
              <w:t xml:space="preserve"> 21).</w:t>
            </w:r>
          </w:p>
          <w:p w14:paraId="5893CF2E" w14:textId="77777777" w:rsidR="00A6627E" w:rsidRPr="008035D0" w:rsidRDefault="00A6627E" w:rsidP="00A6627E">
            <w:pPr>
              <w:rPr>
                <w:rFonts w:asciiTheme="minorHAnsi" w:eastAsia="Arial" w:hAnsiTheme="minorHAnsi" w:cs="Arial"/>
                <w:sz w:val="18"/>
                <w:szCs w:val="18"/>
              </w:rPr>
            </w:pPr>
          </w:p>
          <w:p w14:paraId="521ADA9E" w14:textId="1101F04E" w:rsidR="00EF5203" w:rsidRDefault="00A6627E" w:rsidP="00A6627E">
            <w:pPr>
              <w:rPr>
                <w:rFonts w:asciiTheme="minorHAnsi" w:eastAsia="Arial" w:hAnsiTheme="minorHAnsi" w:cs="Arial"/>
                <w:sz w:val="18"/>
                <w:szCs w:val="18"/>
              </w:rPr>
            </w:pPr>
            <w:r w:rsidRPr="008035D0">
              <w:rPr>
                <w:rFonts w:asciiTheme="minorHAnsi" w:eastAsia="Arial" w:hAnsiTheme="minorHAnsi" w:cs="Arial"/>
                <w:i/>
                <w:sz w:val="18"/>
                <w:szCs w:val="18"/>
              </w:rPr>
              <w:t>Information Sheet 1: A Better Blue Mountains</w:t>
            </w:r>
            <w:r w:rsidRPr="008035D0">
              <w:rPr>
                <w:rFonts w:asciiTheme="minorHAnsi" w:eastAsia="Arial" w:hAnsiTheme="minorHAnsi" w:cs="Arial"/>
                <w:sz w:val="18"/>
                <w:szCs w:val="18"/>
              </w:rPr>
              <w:t xml:space="preserve"> </w:t>
            </w:r>
            <w:r w:rsidR="00EB0B44">
              <w:rPr>
                <w:rFonts w:asciiTheme="minorHAnsi" w:eastAsia="Arial" w:hAnsiTheme="minorHAnsi" w:cs="Arial"/>
                <w:sz w:val="18"/>
                <w:szCs w:val="18"/>
              </w:rPr>
              <w:t xml:space="preserve">(see </w:t>
            </w:r>
            <w:r w:rsidR="00EF5203" w:rsidRPr="00EF5203">
              <w:rPr>
                <w:rFonts w:asciiTheme="minorHAnsi" w:eastAsia="Arial" w:hAnsiTheme="minorHAnsi" w:cs="Arial"/>
                <w:b/>
                <w:sz w:val="18"/>
                <w:szCs w:val="18"/>
              </w:rPr>
              <w:t>A</w:t>
            </w:r>
            <w:r w:rsidR="00EB0B44" w:rsidRPr="00EF5203">
              <w:rPr>
                <w:rFonts w:asciiTheme="minorHAnsi" w:eastAsia="Arial" w:hAnsiTheme="minorHAnsi" w:cs="Arial"/>
                <w:b/>
                <w:sz w:val="18"/>
                <w:szCs w:val="18"/>
              </w:rPr>
              <w:t>ttachment 5b</w:t>
            </w:r>
            <w:r w:rsidR="00EB0B44">
              <w:rPr>
                <w:rFonts w:asciiTheme="minorHAnsi" w:eastAsia="Arial" w:hAnsiTheme="minorHAnsi" w:cs="Arial"/>
                <w:sz w:val="18"/>
                <w:szCs w:val="18"/>
              </w:rPr>
              <w:t>, page 20)</w:t>
            </w:r>
            <w:r w:rsidR="00EF5203">
              <w:rPr>
                <w:rFonts w:asciiTheme="minorHAnsi" w:eastAsia="Arial" w:hAnsiTheme="minorHAnsi" w:cs="Arial"/>
                <w:sz w:val="18"/>
                <w:szCs w:val="18"/>
              </w:rPr>
              <w:t xml:space="preserve"> set out the cumulative special variation rate increases for each rating category including</w:t>
            </w:r>
            <w:r w:rsidRPr="008035D0">
              <w:rPr>
                <w:rFonts w:asciiTheme="minorHAnsi" w:eastAsia="Arial" w:hAnsiTheme="minorHAnsi" w:cs="Arial"/>
                <w:sz w:val="18"/>
                <w:szCs w:val="18"/>
              </w:rPr>
              <w:t xml:space="preserve"> residential, business and farmland ratepayers</w:t>
            </w:r>
            <w:r w:rsidR="00637665">
              <w:rPr>
                <w:rFonts w:asciiTheme="minorHAnsi" w:eastAsia="Arial" w:hAnsiTheme="minorHAnsi" w:cs="Arial"/>
                <w:sz w:val="18"/>
                <w:szCs w:val="18"/>
              </w:rPr>
              <w:t xml:space="preserve"> </w:t>
            </w:r>
            <w:r w:rsidR="00637665" w:rsidRPr="00637665">
              <w:rPr>
                <w:rFonts w:asciiTheme="minorHAnsi" w:eastAsia="Arial" w:hAnsiTheme="minorHAnsi" w:cs="Arial"/>
                <w:sz w:val="18"/>
                <w:szCs w:val="18"/>
              </w:rPr>
              <w:t>in both percentage and dollar terms</w:t>
            </w:r>
            <w:r w:rsidRPr="008035D0">
              <w:rPr>
                <w:rFonts w:asciiTheme="minorHAnsi" w:eastAsia="Arial" w:hAnsiTheme="minorHAnsi" w:cs="Arial"/>
                <w:sz w:val="18"/>
                <w:szCs w:val="18"/>
              </w:rPr>
              <w:t xml:space="preserve">. </w:t>
            </w:r>
          </w:p>
          <w:p w14:paraId="5207BADE" w14:textId="77777777" w:rsidR="00EF5203" w:rsidRDefault="00EF5203" w:rsidP="00A6627E">
            <w:pPr>
              <w:rPr>
                <w:rFonts w:asciiTheme="minorHAnsi" w:eastAsia="Arial" w:hAnsiTheme="minorHAnsi" w:cs="Arial"/>
                <w:sz w:val="18"/>
                <w:szCs w:val="18"/>
              </w:rPr>
            </w:pPr>
          </w:p>
          <w:p w14:paraId="44F342FE" w14:textId="7CFCCC27" w:rsidR="00F743B0" w:rsidRDefault="00191D13" w:rsidP="00191D13">
            <w:pPr>
              <w:rPr>
                <w:rFonts w:asciiTheme="minorHAnsi" w:eastAsia="Arial" w:hAnsiTheme="minorHAnsi" w:cs="Arial"/>
                <w:sz w:val="18"/>
                <w:szCs w:val="18"/>
              </w:rPr>
            </w:pPr>
            <w:r w:rsidRPr="008035D0">
              <w:rPr>
                <w:rFonts w:asciiTheme="minorHAnsi" w:eastAsia="Arial" w:hAnsiTheme="minorHAnsi" w:cs="Arial"/>
                <w:sz w:val="18"/>
                <w:szCs w:val="18"/>
              </w:rPr>
              <w:t xml:space="preserve">The </w:t>
            </w:r>
            <w:r w:rsidRPr="008035D0">
              <w:rPr>
                <w:rFonts w:asciiTheme="minorHAnsi" w:eastAsia="Arial" w:hAnsiTheme="minorHAnsi" w:cs="Arial"/>
                <w:i/>
                <w:sz w:val="18"/>
                <w:szCs w:val="18"/>
              </w:rPr>
              <w:t xml:space="preserve">Resourcing Our Future </w:t>
            </w:r>
            <w:r w:rsidRPr="00637665">
              <w:rPr>
                <w:rFonts w:asciiTheme="minorHAnsi" w:eastAsia="Arial" w:hAnsiTheme="minorHAnsi" w:cs="Arial"/>
                <w:sz w:val="18"/>
                <w:szCs w:val="18"/>
              </w:rPr>
              <w:t>brochure</w:t>
            </w:r>
            <w:r w:rsidRPr="008035D0">
              <w:rPr>
                <w:rFonts w:asciiTheme="minorHAnsi" w:eastAsia="Arial" w:hAnsiTheme="minorHAnsi" w:cs="Arial"/>
                <w:sz w:val="18"/>
                <w:szCs w:val="18"/>
              </w:rPr>
              <w:t xml:space="preserve"> </w:t>
            </w:r>
            <w:r w:rsidR="00EF5203">
              <w:rPr>
                <w:rFonts w:asciiTheme="minorHAnsi" w:eastAsia="Arial" w:hAnsiTheme="minorHAnsi" w:cs="Arial"/>
                <w:sz w:val="18"/>
                <w:szCs w:val="18"/>
              </w:rPr>
              <w:t xml:space="preserve">(see </w:t>
            </w:r>
            <w:r w:rsidR="00EF5203" w:rsidRPr="00637665">
              <w:rPr>
                <w:rFonts w:asciiTheme="minorHAnsi" w:eastAsia="Arial" w:hAnsiTheme="minorHAnsi" w:cs="Arial"/>
                <w:b/>
                <w:sz w:val="18"/>
                <w:szCs w:val="18"/>
              </w:rPr>
              <w:t>Attachment 5b</w:t>
            </w:r>
            <w:r w:rsidR="00EF5203">
              <w:rPr>
                <w:rFonts w:asciiTheme="minorHAnsi" w:eastAsia="Arial" w:hAnsiTheme="minorHAnsi" w:cs="Arial"/>
                <w:sz w:val="18"/>
                <w:szCs w:val="18"/>
              </w:rPr>
              <w:t xml:space="preserve">, page 5) </w:t>
            </w:r>
            <w:r w:rsidRPr="008035D0">
              <w:rPr>
                <w:rFonts w:asciiTheme="minorHAnsi" w:eastAsia="Arial" w:hAnsiTheme="minorHAnsi" w:cs="Arial"/>
                <w:sz w:val="18"/>
                <w:szCs w:val="18"/>
              </w:rPr>
              <w:t>set out</w:t>
            </w:r>
            <w:r w:rsidR="00EF5203">
              <w:rPr>
                <w:rFonts w:asciiTheme="minorHAnsi" w:eastAsia="Arial" w:hAnsiTheme="minorHAnsi" w:cs="Arial"/>
                <w:sz w:val="18"/>
                <w:szCs w:val="18"/>
              </w:rPr>
              <w:t xml:space="preserve"> the special variation rate increases </w:t>
            </w:r>
            <w:r w:rsidRPr="008035D0">
              <w:rPr>
                <w:rFonts w:asciiTheme="minorHAnsi" w:eastAsia="Arial" w:hAnsiTheme="minorHAnsi" w:cs="Arial"/>
                <w:sz w:val="18"/>
                <w:szCs w:val="18"/>
              </w:rPr>
              <w:t xml:space="preserve">in both dollar and percentage terms, and described the total cumulative increase </w:t>
            </w:r>
            <w:r w:rsidR="002C7460" w:rsidRPr="008035D0">
              <w:rPr>
                <w:rFonts w:asciiTheme="minorHAnsi" w:eastAsia="Arial" w:hAnsiTheme="minorHAnsi" w:cs="Arial"/>
                <w:sz w:val="18"/>
                <w:szCs w:val="18"/>
              </w:rPr>
              <w:t>in percentage terms</w:t>
            </w:r>
            <w:r w:rsidRPr="008035D0">
              <w:rPr>
                <w:rFonts w:asciiTheme="minorHAnsi" w:eastAsia="Arial" w:hAnsiTheme="minorHAnsi" w:cs="Arial"/>
                <w:sz w:val="18"/>
                <w:szCs w:val="18"/>
              </w:rPr>
              <w:t xml:space="preserve">. </w:t>
            </w:r>
            <w:r w:rsidR="00EF5203">
              <w:rPr>
                <w:rFonts w:asciiTheme="minorHAnsi" w:eastAsia="Arial" w:hAnsiTheme="minorHAnsi" w:cs="Arial"/>
                <w:sz w:val="18"/>
                <w:szCs w:val="18"/>
              </w:rPr>
              <w:t>It showed the impact on rates of the expiring Environment Levy not being renewed under Option 3 and its proposed reinstatement impact on rates under Option 1 and Option 2.</w:t>
            </w:r>
          </w:p>
          <w:p w14:paraId="0404FE36" w14:textId="77777777" w:rsidR="00F743B0" w:rsidRDefault="00F743B0" w:rsidP="00191D13">
            <w:pPr>
              <w:rPr>
                <w:rFonts w:asciiTheme="minorHAnsi" w:eastAsia="Arial" w:hAnsiTheme="minorHAnsi" w:cs="Arial"/>
                <w:sz w:val="18"/>
                <w:szCs w:val="18"/>
              </w:rPr>
            </w:pPr>
          </w:p>
          <w:p w14:paraId="07F5596D" w14:textId="37DA4DFA" w:rsidR="00191D13" w:rsidRPr="008035D0" w:rsidRDefault="00191D13" w:rsidP="00A6627E">
            <w:pPr>
              <w:rPr>
                <w:rFonts w:ascii="Calibri" w:hAnsi="Calibri" w:cs="Arial"/>
                <w:sz w:val="18"/>
                <w:szCs w:val="18"/>
              </w:rPr>
            </w:pPr>
          </w:p>
        </w:tc>
      </w:tr>
      <w:tr w:rsidR="00627D16" w14:paraId="791B7AE1" w14:textId="77777777" w:rsidTr="00A24D27">
        <w:tc>
          <w:tcPr>
            <w:tcW w:w="2410" w:type="dxa"/>
            <w:shd w:val="clear" w:color="auto" w:fill="DBE5F1" w:themeFill="accent1" w:themeFillTint="33"/>
          </w:tcPr>
          <w:p w14:paraId="74C0F64E" w14:textId="1C18361C" w:rsidR="00627D16" w:rsidRPr="008035D0" w:rsidRDefault="002C7460" w:rsidP="00191D13">
            <w:pPr>
              <w:pStyle w:val="BodyText"/>
              <w:spacing w:before="0" w:line="240" w:lineRule="auto"/>
              <w:jc w:val="left"/>
              <w:rPr>
                <w:rFonts w:ascii="Calibri" w:hAnsi="Calibri" w:cs="Arial"/>
                <w:b/>
                <w:sz w:val="18"/>
                <w:szCs w:val="18"/>
              </w:rPr>
            </w:pPr>
            <w:r w:rsidRPr="008035D0">
              <w:rPr>
                <w:rFonts w:ascii="Calibri" w:hAnsi="Calibri" w:cs="Arial"/>
                <w:b/>
                <w:sz w:val="18"/>
                <w:szCs w:val="18"/>
              </w:rPr>
              <w:t>T</w:t>
            </w:r>
            <w:r w:rsidR="00627D16" w:rsidRPr="008035D0">
              <w:rPr>
                <w:rFonts w:ascii="Calibri" w:hAnsi="Calibri" w:cs="Arial"/>
                <w:b/>
                <w:sz w:val="18"/>
                <w:szCs w:val="18"/>
              </w:rPr>
              <w:t>he annual increase in rates that will result if the special variation is approved in full (and not just the increase in daily or weekly terms)</w:t>
            </w:r>
          </w:p>
          <w:p w14:paraId="77EA3B86" w14:textId="71F8E6F3" w:rsidR="00627D16" w:rsidRPr="008035D0" w:rsidRDefault="00627D16" w:rsidP="00191D13">
            <w:pPr>
              <w:pStyle w:val="BodyText"/>
              <w:spacing w:before="0" w:line="240" w:lineRule="auto"/>
              <w:jc w:val="left"/>
              <w:rPr>
                <w:rFonts w:ascii="Calibri" w:hAnsi="Calibri" w:cs="Arial"/>
                <w:b/>
                <w:sz w:val="18"/>
                <w:szCs w:val="18"/>
              </w:rPr>
            </w:pPr>
          </w:p>
        </w:tc>
        <w:tc>
          <w:tcPr>
            <w:tcW w:w="992" w:type="dxa"/>
            <w:shd w:val="clear" w:color="auto" w:fill="DBE5F1" w:themeFill="accent1" w:themeFillTint="33"/>
          </w:tcPr>
          <w:p w14:paraId="6FFA73B2" w14:textId="42241DFC" w:rsidR="00627D16" w:rsidRPr="008035D0" w:rsidRDefault="00191D13" w:rsidP="00627D16">
            <w:pPr>
              <w:pStyle w:val="BodyText"/>
              <w:spacing w:before="0" w:line="240" w:lineRule="auto"/>
              <w:rPr>
                <w:rFonts w:ascii="Calibri" w:hAnsi="Calibri" w:cs="Arial"/>
                <w:sz w:val="18"/>
                <w:szCs w:val="18"/>
              </w:rPr>
            </w:pPr>
            <w:r w:rsidRPr="008035D0">
              <w:rPr>
                <w:rFonts w:asciiTheme="minorHAnsi" w:eastAsia="Arial" w:hAnsiTheme="minorHAnsi" w:cs="Arial"/>
                <w:noProof/>
                <w:sz w:val="18"/>
                <w:szCs w:val="18"/>
              </w:rPr>
              <w:drawing>
                <wp:anchor distT="0" distB="0" distL="114300" distR="114300" simplePos="0" relativeHeight="251702272" behindDoc="0" locked="0" layoutInCell="1" allowOverlap="1" wp14:anchorId="15ED3D4E" wp14:editId="371BA3D9">
                  <wp:simplePos x="0" y="0"/>
                  <wp:positionH relativeFrom="column">
                    <wp:posOffset>148774</wp:posOffset>
                  </wp:positionH>
                  <wp:positionV relativeFrom="paragraph">
                    <wp:posOffset>249555</wp:posOffset>
                  </wp:positionV>
                  <wp:extent cx="231140" cy="158750"/>
                  <wp:effectExtent l="0" t="0" r="0" b="0"/>
                  <wp:wrapNone/>
                  <wp:docPr id="308" name="Picture 308" descr="C:\Users\jstewart\AppData\Local\Microsoft\Windows\Temporary Internet Files\Content.IE5\6YUOMJOX\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tewart\AppData\Local\Microsoft\Windows\Temporary Internet Files\Content.IE5\6YUOMJOX\MC900432530[1].png"/>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231140" cy="158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shd w:val="clear" w:color="auto" w:fill="DBE5F1" w:themeFill="accent1" w:themeFillTint="33"/>
          </w:tcPr>
          <w:p w14:paraId="4E4B59D0" w14:textId="5B8A63D3" w:rsidR="00EF5203" w:rsidRDefault="00EF5203" w:rsidP="00EF5203">
            <w:pPr>
              <w:rPr>
                <w:rFonts w:asciiTheme="minorHAnsi" w:eastAsia="Arial" w:hAnsiTheme="minorHAnsi" w:cs="Arial"/>
                <w:sz w:val="18"/>
                <w:szCs w:val="18"/>
              </w:rPr>
            </w:pPr>
            <w:r>
              <w:rPr>
                <w:rFonts w:asciiTheme="minorHAnsi" w:eastAsia="Arial" w:hAnsiTheme="minorHAnsi" w:cs="Arial"/>
                <w:sz w:val="18"/>
                <w:szCs w:val="18"/>
              </w:rPr>
              <w:t xml:space="preserve">The exhibited </w:t>
            </w:r>
            <w:r w:rsidRPr="00A6627E">
              <w:rPr>
                <w:rFonts w:asciiTheme="minorHAnsi" w:eastAsia="Arial" w:hAnsiTheme="minorHAnsi" w:cs="Arial"/>
                <w:i/>
                <w:sz w:val="18"/>
                <w:szCs w:val="18"/>
              </w:rPr>
              <w:t>Resourcing Strategy 2014-2024</w:t>
            </w:r>
            <w:r>
              <w:rPr>
                <w:rFonts w:asciiTheme="minorHAnsi" w:eastAsia="Arial" w:hAnsiTheme="minorHAnsi" w:cs="Arial"/>
                <w:sz w:val="18"/>
                <w:szCs w:val="18"/>
              </w:rPr>
              <w:t xml:space="preserve"> showed </w:t>
            </w:r>
            <w:r w:rsidR="002B60CF" w:rsidRPr="002B60CF">
              <w:rPr>
                <w:rFonts w:asciiTheme="minorHAnsi" w:eastAsia="Arial" w:hAnsiTheme="minorHAnsi" w:cs="Arial"/>
                <w:sz w:val="18"/>
                <w:szCs w:val="18"/>
              </w:rPr>
              <w:t xml:space="preserve">the annual increase in rates that will result if the special variation is approved in full </w:t>
            </w:r>
            <w:r>
              <w:rPr>
                <w:rFonts w:asciiTheme="minorHAnsi" w:eastAsia="Arial" w:hAnsiTheme="minorHAnsi" w:cs="Arial"/>
                <w:sz w:val="18"/>
                <w:szCs w:val="18"/>
              </w:rPr>
              <w:t xml:space="preserve">(see </w:t>
            </w:r>
            <w:r w:rsidRPr="000D665E">
              <w:rPr>
                <w:rFonts w:asciiTheme="minorHAnsi" w:eastAsia="Arial" w:hAnsiTheme="minorHAnsi" w:cs="Arial"/>
                <w:b/>
                <w:sz w:val="18"/>
                <w:szCs w:val="18"/>
              </w:rPr>
              <w:t>Attachment 13</w:t>
            </w:r>
            <w:r>
              <w:rPr>
                <w:rFonts w:asciiTheme="minorHAnsi" w:eastAsia="Arial" w:hAnsiTheme="minorHAnsi" w:cs="Arial"/>
                <w:sz w:val="18"/>
                <w:szCs w:val="18"/>
              </w:rPr>
              <w:t xml:space="preserve">, page 93) </w:t>
            </w:r>
          </w:p>
          <w:p w14:paraId="2FCC5E53" w14:textId="77777777" w:rsidR="00EF5203" w:rsidRDefault="00EF5203" w:rsidP="004D1EF7">
            <w:pPr>
              <w:pStyle w:val="BodyText"/>
              <w:spacing w:before="0" w:line="240" w:lineRule="auto"/>
              <w:jc w:val="left"/>
              <w:rPr>
                <w:rFonts w:asciiTheme="minorHAnsi" w:eastAsia="Arial" w:hAnsiTheme="minorHAnsi" w:cs="Arial"/>
                <w:sz w:val="18"/>
                <w:szCs w:val="18"/>
              </w:rPr>
            </w:pPr>
          </w:p>
          <w:p w14:paraId="6724866B" w14:textId="77777777" w:rsidR="002B60CF" w:rsidRDefault="00A23146" w:rsidP="004D1EF7">
            <w:pPr>
              <w:pStyle w:val="BodyText"/>
              <w:spacing w:before="0" w:line="240" w:lineRule="auto"/>
              <w:jc w:val="left"/>
              <w:rPr>
                <w:rFonts w:asciiTheme="minorHAnsi" w:eastAsia="Arial" w:hAnsiTheme="minorHAnsi" w:cs="Arial"/>
                <w:sz w:val="18"/>
                <w:szCs w:val="18"/>
              </w:rPr>
            </w:pPr>
            <w:r w:rsidRPr="008035D0">
              <w:rPr>
                <w:rFonts w:asciiTheme="minorHAnsi" w:eastAsia="Arial" w:hAnsiTheme="minorHAnsi" w:cs="Arial"/>
                <w:sz w:val="18"/>
                <w:szCs w:val="18"/>
              </w:rPr>
              <w:t xml:space="preserve">Annual increases in rates for residential and business ratepayers under each of the proposed options were clearly explained in the </w:t>
            </w:r>
            <w:r w:rsidRPr="008035D0">
              <w:rPr>
                <w:rFonts w:asciiTheme="minorHAnsi" w:eastAsia="Arial" w:hAnsiTheme="minorHAnsi" w:cs="Arial"/>
                <w:i/>
                <w:sz w:val="18"/>
                <w:szCs w:val="18"/>
              </w:rPr>
              <w:t>Resourcing Our Future</w:t>
            </w:r>
            <w:r w:rsidR="00EF5203">
              <w:rPr>
                <w:rFonts w:asciiTheme="minorHAnsi" w:eastAsia="Arial" w:hAnsiTheme="minorHAnsi" w:cs="Arial"/>
                <w:i/>
                <w:sz w:val="18"/>
                <w:szCs w:val="18"/>
              </w:rPr>
              <w:t xml:space="preserve"> </w:t>
            </w:r>
            <w:r w:rsidR="00EF5203">
              <w:rPr>
                <w:rFonts w:asciiTheme="minorHAnsi" w:eastAsia="Arial" w:hAnsiTheme="minorHAnsi" w:cs="Arial"/>
                <w:sz w:val="18"/>
                <w:szCs w:val="18"/>
              </w:rPr>
              <w:t>brochure</w:t>
            </w:r>
            <w:r w:rsidRPr="008035D0">
              <w:rPr>
                <w:rFonts w:asciiTheme="minorHAnsi" w:eastAsia="Arial" w:hAnsiTheme="minorHAnsi" w:cs="Arial"/>
                <w:sz w:val="18"/>
                <w:szCs w:val="18"/>
              </w:rPr>
              <w:t xml:space="preserve">. </w:t>
            </w:r>
          </w:p>
          <w:p w14:paraId="2CECAF59" w14:textId="77777777" w:rsidR="002B60CF" w:rsidRDefault="002B60CF" w:rsidP="004D1EF7">
            <w:pPr>
              <w:pStyle w:val="BodyText"/>
              <w:spacing w:before="0" w:line="240" w:lineRule="auto"/>
              <w:jc w:val="left"/>
              <w:rPr>
                <w:rFonts w:asciiTheme="minorHAnsi" w:eastAsia="Arial" w:hAnsiTheme="minorHAnsi" w:cs="Arial"/>
                <w:sz w:val="18"/>
                <w:szCs w:val="18"/>
              </w:rPr>
            </w:pPr>
          </w:p>
          <w:p w14:paraId="22CCDCAC" w14:textId="5589FB50" w:rsidR="004D1EF7" w:rsidRPr="008035D0" w:rsidRDefault="002B60CF" w:rsidP="004D1EF7">
            <w:pPr>
              <w:pStyle w:val="BodyText"/>
              <w:spacing w:before="0" w:line="240" w:lineRule="auto"/>
              <w:jc w:val="left"/>
              <w:rPr>
                <w:rFonts w:asciiTheme="minorHAnsi" w:eastAsia="Arial" w:hAnsiTheme="minorHAnsi" w:cs="Arial"/>
                <w:sz w:val="18"/>
                <w:szCs w:val="18"/>
              </w:rPr>
            </w:pPr>
            <w:r w:rsidRPr="002B60CF">
              <w:rPr>
                <w:rFonts w:ascii="Calibri" w:hAnsi="Calibri" w:cs="Arial"/>
                <w:sz w:val="18"/>
                <w:szCs w:val="18"/>
              </w:rPr>
              <w:t xml:space="preserve">Annual increases in rates that will result if the special variation is approved in full  for residential, business and </w:t>
            </w:r>
            <w:r w:rsidR="00A23146" w:rsidRPr="002B60CF">
              <w:rPr>
                <w:rFonts w:asciiTheme="minorHAnsi" w:eastAsia="Arial" w:hAnsiTheme="minorHAnsi" w:cs="Arial"/>
                <w:sz w:val="18"/>
                <w:szCs w:val="18"/>
              </w:rPr>
              <w:t>farmland</w:t>
            </w:r>
            <w:r w:rsidR="00A23146" w:rsidRPr="008035D0">
              <w:rPr>
                <w:rFonts w:asciiTheme="minorHAnsi" w:eastAsia="Arial" w:hAnsiTheme="minorHAnsi" w:cs="Arial"/>
                <w:sz w:val="18"/>
                <w:szCs w:val="18"/>
              </w:rPr>
              <w:t xml:space="preserve"> ratepayers, was provided </w:t>
            </w:r>
            <w:r w:rsidR="00243007" w:rsidRPr="008035D0">
              <w:rPr>
                <w:rFonts w:asciiTheme="minorHAnsi" w:eastAsia="Arial" w:hAnsiTheme="minorHAnsi" w:cs="Arial"/>
                <w:sz w:val="18"/>
                <w:szCs w:val="18"/>
              </w:rPr>
              <w:t xml:space="preserve">in </w:t>
            </w:r>
            <w:r w:rsidR="00243007" w:rsidRPr="008035D0">
              <w:rPr>
                <w:rFonts w:asciiTheme="minorHAnsi" w:eastAsia="Arial" w:hAnsiTheme="minorHAnsi" w:cs="Arial"/>
                <w:i/>
                <w:sz w:val="18"/>
                <w:szCs w:val="18"/>
              </w:rPr>
              <w:t>Information Sheet 1</w:t>
            </w:r>
            <w:r w:rsidR="00EF5203">
              <w:rPr>
                <w:rFonts w:asciiTheme="minorHAnsi" w:eastAsia="Arial" w:hAnsiTheme="minorHAnsi" w:cs="Arial"/>
                <w:i/>
                <w:sz w:val="18"/>
                <w:szCs w:val="18"/>
              </w:rPr>
              <w:t>: A Better Blue Mountains</w:t>
            </w:r>
            <w:r w:rsidR="00243007" w:rsidRPr="008035D0">
              <w:rPr>
                <w:rFonts w:asciiTheme="minorHAnsi" w:eastAsia="Arial" w:hAnsiTheme="minorHAnsi" w:cs="Arial"/>
                <w:sz w:val="18"/>
                <w:szCs w:val="18"/>
              </w:rPr>
              <w:t xml:space="preserve"> (</w:t>
            </w:r>
            <w:r w:rsidR="00EF5203">
              <w:rPr>
                <w:rFonts w:asciiTheme="minorHAnsi" w:eastAsia="Arial" w:hAnsiTheme="minorHAnsi" w:cs="Arial"/>
                <w:sz w:val="18"/>
                <w:szCs w:val="18"/>
              </w:rPr>
              <w:t xml:space="preserve">see </w:t>
            </w:r>
            <w:r w:rsidR="00EF5203" w:rsidRPr="00EF5203">
              <w:rPr>
                <w:rFonts w:asciiTheme="minorHAnsi" w:eastAsia="Arial" w:hAnsiTheme="minorHAnsi" w:cs="Arial"/>
                <w:b/>
                <w:sz w:val="18"/>
                <w:szCs w:val="18"/>
              </w:rPr>
              <w:t>Attachment 5b</w:t>
            </w:r>
            <w:r w:rsidR="00EF5203">
              <w:rPr>
                <w:rFonts w:asciiTheme="minorHAnsi" w:eastAsia="Arial" w:hAnsiTheme="minorHAnsi" w:cs="Arial"/>
                <w:sz w:val="18"/>
                <w:szCs w:val="18"/>
              </w:rPr>
              <w:t xml:space="preserve">, </w:t>
            </w:r>
            <w:r w:rsidR="00243007" w:rsidRPr="008035D0">
              <w:rPr>
                <w:rFonts w:asciiTheme="minorHAnsi" w:eastAsia="Arial" w:hAnsiTheme="minorHAnsi" w:cs="Arial"/>
                <w:sz w:val="18"/>
                <w:szCs w:val="18"/>
              </w:rPr>
              <w:t>page 20).</w:t>
            </w:r>
            <w:r w:rsidR="00A23146" w:rsidRPr="008035D0">
              <w:rPr>
                <w:rFonts w:asciiTheme="minorHAnsi" w:eastAsia="Arial" w:hAnsiTheme="minorHAnsi" w:cs="Arial"/>
                <w:sz w:val="18"/>
                <w:szCs w:val="18"/>
              </w:rPr>
              <w:t xml:space="preserve"> </w:t>
            </w:r>
          </w:p>
          <w:p w14:paraId="6762D220" w14:textId="77777777" w:rsidR="004D1EF7" w:rsidRPr="008035D0" w:rsidRDefault="004D1EF7" w:rsidP="004D1EF7">
            <w:pPr>
              <w:pStyle w:val="BodyText"/>
              <w:spacing w:before="0" w:line="240" w:lineRule="auto"/>
              <w:jc w:val="left"/>
              <w:rPr>
                <w:rFonts w:asciiTheme="minorHAnsi" w:eastAsia="Arial" w:hAnsiTheme="minorHAnsi" w:cs="Arial"/>
                <w:sz w:val="18"/>
                <w:szCs w:val="18"/>
              </w:rPr>
            </w:pPr>
          </w:p>
          <w:p w14:paraId="218C6A0B" w14:textId="77777777" w:rsidR="004D1EF7" w:rsidRPr="008035D0" w:rsidRDefault="004D1EF7" w:rsidP="004D1EF7">
            <w:pPr>
              <w:pStyle w:val="BodyText"/>
              <w:spacing w:before="0" w:line="240" w:lineRule="auto"/>
              <w:jc w:val="left"/>
              <w:rPr>
                <w:rFonts w:asciiTheme="minorHAnsi" w:eastAsia="Arial" w:hAnsiTheme="minorHAnsi" w:cs="Arial"/>
                <w:sz w:val="18"/>
                <w:szCs w:val="18"/>
              </w:rPr>
            </w:pPr>
            <w:r w:rsidRPr="008035D0">
              <w:rPr>
                <w:rFonts w:asciiTheme="minorHAnsi" w:eastAsia="Arial" w:hAnsiTheme="minorHAnsi" w:cs="Arial"/>
                <w:sz w:val="18"/>
                <w:szCs w:val="18"/>
              </w:rPr>
              <w:t>In addition, a rating calculator was provided on the Have Your Say website where ratepayers could enter their current rates and an estimate of the ordinary rates they could expect to pay for future rating years under each option was calculated automatically.</w:t>
            </w:r>
          </w:p>
          <w:p w14:paraId="763562C8" w14:textId="77777777" w:rsidR="00627D16" w:rsidRPr="008035D0" w:rsidRDefault="00627D16" w:rsidP="00191D13">
            <w:pPr>
              <w:pStyle w:val="BodyText"/>
              <w:spacing w:before="0" w:line="240" w:lineRule="auto"/>
              <w:jc w:val="left"/>
              <w:rPr>
                <w:rFonts w:ascii="Calibri" w:hAnsi="Calibri" w:cs="Arial"/>
                <w:sz w:val="18"/>
                <w:szCs w:val="18"/>
              </w:rPr>
            </w:pPr>
          </w:p>
        </w:tc>
      </w:tr>
      <w:tr w:rsidR="00627D16" w14:paraId="6567F932" w14:textId="77777777" w:rsidTr="00A24D27">
        <w:tc>
          <w:tcPr>
            <w:tcW w:w="2410" w:type="dxa"/>
            <w:shd w:val="clear" w:color="auto" w:fill="DBE5F1" w:themeFill="accent1" w:themeFillTint="33"/>
          </w:tcPr>
          <w:p w14:paraId="2B372020" w14:textId="065B8B6E" w:rsidR="00627D16" w:rsidRPr="008035D0" w:rsidRDefault="002C7460" w:rsidP="00191D13">
            <w:pPr>
              <w:pStyle w:val="BodyText"/>
              <w:spacing w:before="0" w:line="240" w:lineRule="auto"/>
              <w:jc w:val="left"/>
              <w:rPr>
                <w:rFonts w:ascii="Calibri" w:hAnsi="Calibri" w:cs="Arial"/>
                <w:b/>
                <w:sz w:val="18"/>
                <w:szCs w:val="18"/>
              </w:rPr>
            </w:pPr>
            <w:r w:rsidRPr="008035D0">
              <w:rPr>
                <w:rFonts w:ascii="Calibri" w:hAnsi="Calibri" w:cs="Arial"/>
                <w:b/>
                <w:sz w:val="18"/>
                <w:szCs w:val="18"/>
              </w:rPr>
              <w:t>T</w:t>
            </w:r>
            <w:r w:rsidR="00627D16" w:rsidRPr="008035D0">
              <w:rPr>
                <w:rFonts w:ascii="Calibri" w:hAnsi="Calibri" w:cs="Arial"/>
                <w:b/>
                <w:sz w:val="18"/>
                <w:szCs w:val="18"/>
              </w:rPr>
              <w:t xml:space="preserve">he size and impact of any expiring special variation </w:t>
            </w:r>
          </w:p>
          <w:p w14:paraId="29F33C53" w14:textId="0890847B" w:rsidR="00627D16" w:rsidRPr="008035D0" w:rsidRDefault="00627D16" w:rsidP="00191D13">
            <w:pPr>
              <w:pStyle w:val="BodyText"/>
              <w:spacing w:before="0" w:line="240" w:lineRule="auto"/>
              <w:jc w:val="left"/>
              <w:rPr>
                <w:rFonts w:ascii="Calibri" w:hAnsi="Calibri" w:cs="Arial"/>
                <w:b/>
                <w:sz w:val="18"/>
                <w:szCs w:val="18"/>
              </w:rPr>
            </w:pPr>
          </w:p>
        </w:tc>
        <w:tc>
          <w:tcPr>
            <w:tcW w:w="992" w:type="dxa"/>
            <w:shd w:val="clear" w:color="auto" w:fill="DBE5F1" w:themeFill="accent1" w:themeFillTint="33"/>
          </w:tcPr>
          <w:p w14:paraId="735E002F" w14:textId="1AC06B98" w:rsidR="00627D16" w:rsidRPr="008035D0" w:rsidRDefault="00191D13" w:rsidP="00627D16">
            <w:pPr>
              <w:pStyle w:val="BodyText"/>
              <w:spacing w:before="0" w:line="240" w:lineRule="auto"/>
              <w:rPr>
                <w:rFonts w:ascii="Calibri" w:hAnsi="Calibri" w:cs="Arial"/>
                <w:sz w:val="18"/>
                <w:szCs w:val="18"/>
              </w:rPr>
            </w:pPr>
            <w:r w:rsidRPr="008035D0">
              <w:rPr>
                <w:rFonts w:asciiTheme="minorHAnsi" w:eastAsia="Arial" w:hAnsiTheme="minorHAnsi" w:cs="Arial"/>
                <w:noProof/>
                <w:sz w:val="18"/>
                <w:szCs w:val="18"/>
              </w:rPr>
              <w:drawing>
                <wp:anchor distT="0" distB="0" distL="114300" distR="114300" simplePos="0" relativeHeight="251692032" behindDoc="0" locked="0" layoutInCell="1" allowOverlap="1" wp14:anchorId="2E168958" wp14:editId="206E2F50">
                  <wp:simplePos x="0" y="0"/>
                  <wp:positionH relativeFrom="column">
                    <wp:posOffset>155124</wp:posOffset>
                  </wp:positionH>
                  <wp:positionV relativeFrom="paragraph">
                    <wp:posOffset>140970</wp:posOffset>
                  </wp:positionV>
                  <wp:extent cx="231140" cy="158750"/>
                  <wp:effectExtent l="0" t="0" r="0" b="0"/>
                  <wp:wrapNone/>
                  <wp:docPr id="310" name="Picture 310" descr="C:\Users\jstewart\AppData\Local\Microsoft\Windows\Temporary Internet Files\Content.IE5\6YUOMJOX\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tewart\AppData\Local\Microsoft\Windows\Temporary Internet Files\Content.IE5\6YUOMJOX\MC900432530[1].png"/>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231140" cy="158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shd w:val="clear" w:color="auto" w:fill="DBE5F1" w:themeFill="accent1" w:themeFillTint="33"/>
          </w:tcPr>
          <w:p w14:paraId="297B059A" w14:textId="03359D43" w:rsidR="002B60CF" w:rsidRDefault="00191D13" w:rsidP="00191D13">
            <w:pPr>
              <w:pStyle w:val="BodyText"/>
              <w:spacing w:before="0" w:line="240" w:lineRule="auto"/>
              <w:jc w:val="left"/>
              <w:rPr>
                <w:rFonts w:asciiTheme="minorHAnsi" w:eastAsia="Arial" w:hAnsiTheme="minorHAnsi" w:cs="Arial"/>
                <w:sz w:val="18"/>
                <w:szCs w:val="18"/>
              </w:rPr>
            </w:pPr>
            <w:r w:rsidRPr="008035D0">
              <w:rPr>
                <w:rFonts w:asciiTheme="minorHAnsi" w:eastAsia="Arial" w:hAnsiTheme="minorHAnsi" w:cs="Arial"/>
                <w:sz w:val="18"/>
                <w:szCs w:val="18"/>
              </w:rPr>
              <w:t xml:space="preserve">Information about the expiry of the Environment Levy </w:t>
            </w:r>
            <w:r w:rsidR="00D97C6A" w:rsidRPr="008035D0">
              <w:rPr>
                <w:rFonts w:asciiTheme="minorHAnsi" w:eastAsia="Arial" w:hAnsiTheme="minorHAnsi" w:cs="Arial"/>
                <w:sz w:val="18"/>
                <w:szCs w:val="18"/>
              </w:rPr>
              <w:t>in June 2015</w:t>
            </w:r>
            <w:r w:rsidR="002B60CF">
              <w:rPr>
                <w:rFonts w:asciiTheme="minorHAnsi" w:eastAsia="Arial" w:hAnsiTheme="minorHAnsi" w:cs="Arial"/>
                <w:sz w:val="18"/>
                <w:szCs w:val="18"/>
              </w:rPr>
              <w:t xml:space="preserve">, its size and impact on rates </w:t>
            </w:r>
            <w:r w:rsidR="005E2D60">
              <w:rPr>
                <w:rFonts w:asciiTheme="minorHAnsi" w:eastAsia="Arial" w:hAnsiTheme="minorHAnsi" w:cs="Arial"/>
                <w:sz w:val="18"/>
                <w:szCs w:val="18"/>
              </w:rPr>
              <w:t xml:space="preserve">under Option 3 </w:t>
            </w:r>
            <w:r w:rsidR="00D97C6A" w:rsidRPr="008035D0">
              <w:rPr>
                <w:rFonts w:asciiTheme="minorHAnsi" w:eastAsia="Arial" w:hAnsiTheme="minorHAnsi" w:cs="Arial"/>
                <w:sz w:val="18"/>
                <w:szCs w:val="18"/>
              </w:rPr>
              <w:t xml:space="preserve"> </w:t>
            </w:r>
            <w:r w:rsidRPr="008035D0">
              <w:rPr>
                <w:rFonts w:asciiTheme="minorHAnsi" w:eastAsia="Arial" w:hAnsiTheme="minorHAnsi" w:cs="Arial"/>
                <w:sz w:val="18"/>
                <w:szCs w:val="18"/>
              </w:rPr>
              <w:t xml:space="preserve">and </w:t>
            </w:r>
            <w:r w:rsidR="00EF5203">
              <w:rPr>
                <w:rFonts w:asciiTheme="minorHAnsi" w:eastAsia="Arial" w:hAnsiTheme="minorHAnsi" w:cs="Arial"/>
                <w:sz w:val="18"/>
                <w:szCs w:val="18"/>
              </w:rPr>
              <w:t xml:space="preserve">the </w:t>
            </w:r>
            <w:r w:rsidRPr="008035D0">
              <w:rPr>
                <w:rFonts w:asciiTheme="minorHAnsi" w:eastAsia="Arial" w:hAnsiTheme="minorHAnsi" w:cs="Arial"/>
                <w:sz w:val="18"/>
                <w:szCs w:val="18"/>
              </w:rPr>
              <w:t>proposal to continue it on a permanent basis under Options 1 and 2 was clearly communicated in</w:t>
            </w:r>
            <w:r w:rsidR="002B60CF">
              <w:rPr>
                <w:rFonts w:asciiTheme="minorHAnsi" w:eastAsia="Arial" w:hAnsiTheme="minorHAnsi" w:cs="Arial"/>
                <w:sz w:val="18"/>
                <w:szCs w:val="18"/>
              </w:rPr>
              <w:t>:</w:t>
            </w:r>
          </w:p>
          <w:p w14:paraId="6C0712AE" w14:textId="77777777" w:rsidR="002B60CF" w:rsidRDefault="002B60CF" w:rsidP="00191D13">
            <w:pPr>
              <w:pStyle w:val="BodyText"/>
              <w:spacing w:before="0" w:line="240" w:lineRule="auto"/>
              <w:jc w:val="left"/>
              <w:rPr>
                <w:rFonts w:asciiTheme="minorHAnsi" w:eastAsia="Arial" w:hAnsiTheme="minorHAnsi" w:cs="Arial"/>
                <w:sz w:val="18"/>
                <w:szCs w:val="18"/>
              </w:rPr>
            </w:pPr>
          </w:p>
          <w:p w14:paraId="322C6579" w14:textId="03F9B7CA" w:rsidR="002B60CF" w:rsidRDefault="00233A2C" w:rsidP="002B60CF">
            <w:pPr>
              <w:pStyle w:val="BodyText"/>
              <w:numPr>
                <w:ilvl w:val="0"/>
                <w:numId w:val="48"/>
              </w:numPr>
              <w:spacing w:before="0" w:line="240" w:lineRule="auto"/>
              <w:ind w:left="318" w:hanging="142"/>
              <w:jc w:val="left"/>
              <w:rPr>
                <w:rFonts w:asciiTheme="minorHAnsi" w:eastAsia="Arial" w:hAnsiTheme="minorHAnsi" w:cs="Arial"/>
                <w:sz w:val="18"/>
                <w:szCs w:val="18"/>
              </w:rPr>
            </w:pPr>
            <w:r>
              <w:rPr>
                <w:rFonts w:asciiTheme="minorHAnsi" w:eastAsia="Arial" w:hAnsiTheme="minorHAnsi" w:cs="Arial"/>
                <w:sz w:val="18"/>
                <w:szCs w:val="18"/>
              </w:rPr>
              <w:t>T</w:t>
            </w:r>
            <w:r w:rsidR="00191D13" w:rsidRPr="008035D0">
              <w:rPr>
                <w:rFonts w:asciiTheme="minorHAnsi" w:eastAsia="Arial" w:hAnsiTheme="minorHAnsi" w:cs="Arial"/>
                <w:sz w:val="18"/>
                <w:szCs w:val="18"/>
              </w:rPr>
              <w:t xml:space="preserve">he </w:t>
            </w:r>
            <w:r w:rsidR="00191D13" w:rsidRPr="008035D0">
              <w:rPr>
                <w:rFonts w:asciiTheme="minorHAnsi" w:eastAsia="Arial" w:hAnsiTheme="minorHAnsi" w:cs="Arial"/>
                <w:i/>
                <w:sz w:val="18"/>
                <w:szCs w:val="18"/>
              </w:rPr>
              <w:t>Resourcing Our Future</w:t>
            </w:r>
            <w:r w:rsidR="00191D13" w:rsidRPr="008035D0">
              <w:rPr>
                <w:rFonts w:asciiTheme="minorHAnsi" w:eastAsia="Arial" w:hAnsiTheme="minorHAnsi" w:cs="Arial"/>
                <w:sz w:val="18"/>
                <w:szCs w:val="18"/>
              </w:rPr>
              <w:t xml:space="preserve"> brochure</w:t>
            </w:r>
            <w:r w:rsidR="002B60CF">
              <w:rPr>
                <w:rFonts w:asciiTheme="minorHAnsi" w:eastAsia="Arial" w:hAnsiTheme="minorHAnsi" w:cs="Arial"/>
                <w:sz w:val="18"/>
                <w:szCs w:val="18"/>
              </w:rPr>
              <w:t xml:space="preserve"> (see Attachment 5b,   page 5) sent to 32,531 ratepayers</w:t>
            </w:r>
          </w:p>
          <w:p w14:paraId="290D7D76" w14:textId="4208C150" w:rsidR="00627D16" w:rsidRDefault="00191D13" w:rsidP="002B60CF">
            <w:pPr>
              <w:pStyle w:val="BodyText"/>
              <w:numPr>
                <w:ilvl w:val="0"/>
                <w:numId w:val="48"/>
              </w:numPr>
              <w:spacing w:before="0" w:line="240" w:lineRule="auto"/>
              <w:ind w:left="318" w:hanging="142"/>
              <w:jc w:val="left"/>
              <w:rPr>
                <w:rFonts w:asciiTheme="minorHAnsi" w:eastAsia="Arial" w:hAnsiTheme="minorHAnsi" w:cs="Arial"/>
                <w:sz w:val="18"/>
                <w:szCs w:val="18"/>
              </w:rPr>
            </w:pPr>
            <w:r w:rsidRPr="00EF5203">
              <w:rPr>
                <w:rFonts w:asciiTheme="minorHAnsi" w:eastAsia="Arial" w:hAnsiTheme="minorHAnsi" w:cs="Arial"/>
                <w:i/>
                <w:sz w:val="18"/>
                <w:szCs w:val="18"/>
              </w:rPr>
              <w:t>Information Sheet 1</w:t>
            </w:r>
            <w:r w:rsidR="002B60CF">
              <w:rPr>
                <w:rFonts w:asciiTheme="minorHAnsi" w:eastAsia="Arial" w:hAnsiTheme="minorHAnsi" w:cs="Arial"/>
                <w:i/>
                <w:sz w:val="18"/>
                <w:szCs w:val="18"/>
              </w:rPr>
              <w:t>:</w:t>
            </w:r>
            <w:r w:rsidRPr="00EF5203">
              <w:rPr>
                <w:rFonts w:asciiTheme="minorHAnsi" w:eastAsia="Arial" w:hAnsiTheme="minorHAnsi" w:cs="Arial"/>
                <w:i/>
                <w:sz w:val="18"/>
                <w:szCs w:val="18"/>
              </w:rPr>
              <w:t xml:space="preserve"> </w:t>
            </w:r>
            <w:r w:rsidR="00EF5203" w:rsidRPr="00EF5203">
              <w:rPr>
                <w:rFonts w:asciiTheme="minorHAnsi" w:eastAsia="Arial" w:hAnsiTheme="minorHAnsi" w:cs="Arial"/>
                <w:i/>
                <w:sz w:val="18"/>
                <w:szCs w:val="18"/>
              </w:rPr>
              <w:t>A Better Blue Mountains</w:t>
            </w:r>
            <w:r w:rsidR="00EF5203">
              <w:rPr>
                <w:rFonts w:asciiTheme="minorHAnsi" w:eastAsia="Arial" w:hAnsiTheme="minorHAnsi" w:cs="Arial"/>
                <w:sz w:val="18"/>
                <w:szCs w:val="18"/>
              </w:rPr>
              <w:t xml:space="preserve"> </w:t>
            </w:r>
            <w:r w:rsidR="002B60CF">
              <w:rPr>
                <w:rFonts w:asciiTheme="minorHAnsi" w:eastAsia="Arial" w:hAnsiTheme="minorHAnsi" w:cs="Arial"/>
                <w:sz w:val="18"/>
                <w:szCs w:val="18"/>
              </w:rPr>
              <w:t xml:space="preserve">(see Attachment 5b, page 20 </w:t>
            </w:r>
            <w:r w:rsidRPr="008035D0">
              <w:rPr>
                <w:rFonts w:asciiTheme="minorHAnsi" w:eastAsia="Arial" w:hAnsiTheme="minorHAnsi" w:cs="Arial"/>
                <w:sz w:val="18"/>
                <w:szCs w:val="18"/>
              </w:rPr>
              <w:t xml:space="preserve">and </w:t>
            </w:r>
            <w:r w:rsidR="00D97C6A" w:rsidRPr="008035D0">
              <w:rPr>
                <w:rFonts w:asciiTheme="minorHAnsi" w:eastAsia="Arial" w:hAnsiTheme="minorHAnsi" w:cs="Arial"/>
                <w:i/>
                <w:sz w:val="18"/>
                <w:szCs w:val="18"/>
              </w:rPr>
              <w:t>Information Sheet 2: Your Environment Levy</w:t>
            </w:r>
            <w:r w:rsidR="00EF5203">
              <w:rPr>
                <w:rFonts w:asciiTheme="minorHAnsi" w:eastAsia="Arial" w:hAnsiTheme="minorHAnsi" w:cs="Arial"/>
                <w:i/>
                <w:sz w:val="18"/>
                <w:szCs w:val="18"/>
              </w:rPr>
              <w:t xml:space="preserve"> </w:t>
            </w:r>
            <w:r w:rsidR="00EF5203">
              <w:rPr>
                <w:rFonts w:asciiTheme="minorHAnsi" w:eastAsia="Arial" w:hAnsiTheme="minorHAnsi" w:cs="Arial"/>
                <w:sz w:val="18"/>
                <w:szCs w:val="18"/>
              </w:rPr>
              <w:t xml:space="preserve">(see </w:t>
            </w:r>
            <w:r w:rsidR="00EF5203" w:rsidRPr="00EF5203">
              <w:rPr>
                <w:rFonts w:asciiTheme="minorHAnsi" w:eastAsia="Arial" w:hAnsiTheme="minorHAnsi" w:cs="Arial"/>
                <w:b/>
                <w:sz w:val="18"/>
                <w:szCs w:val="18"/>
              </w:rPr>
              <w:t>Attachment 5b</w:t>
            </w:r>
            <w:r w:rsidR="00EF5203">
              <w:rPr>
                <w:rFonts w:asciiTheme="minorHAnsi" w:eastAsia="Arial" w:hAnsiTheme="minorHAnsi" w:cs="Arial"/>
                <w:sz w:val="18"/>
                <w:szCs w:val="18"/>
              </w:rPr>
              <w:t>)</w:t>
            </w:r>
            <w:r w:rsidR="008F4198" w:rsidRPr="008035D0">
              <w:rPr>
                <w:rFonts w:asciiTheme="minorHAnsi" w:eastAsia="Arial" w:hAnsiTheme="minorHAnsi" w:cs="Arial"/>
                <w:sz w:val="18"/>
                <w:szCs w:val="18"/>
              </w:rPr>
              <w:t>.</w:t>
            </w:r>
          </w:p>
          <w:p w14:paraId="39835CEA" w14:textId="578CF929" w:rsidR="002B60CF" w:rsidRDefault="002B60CF" w:rsidP="002B60CF">
            <w:pPr>
              <w:pStyle w:val="BodyText"/>
              <w:numPr>
                <w:ilvl w:val="0"/>
                <w:numId w:val="48"/>
              </w:numPr>
              <w:spacing w:before="0" w:line="240" w:lineRule="auto"/>
              <w:ind w:left="318" w:hanging="142"/>
              <w:jc w:val="left"/>
              <w:rPr>
                <w:rFonts w:asciiTheme="minorHAnsi" w:eastAsia="Arial" w:hAnsiTheme="minorHAnsi" w:cs="Arial"/>
                <w:sz w:val="18"/>
                <w:szCs w:val="18"/>
              </w:rPr>
            </w:pPr>
            <w:r w:rsidRPr="002B60CF">
              <w:rPr>
                <w:rFonts w:asciiTheme="minorHAnsi" w:eastAsia="Arial" w:hAnsiTheme="minorHAnsi" w:cs="Arial"/>
                <w:sz w:val="18"/>
                <w:szCs w:val="18"/>
              </w:rPr>
              <w:t xml:space="preserve">The exhibited </w:t>
            </w:r>
            <w:r w:rsidRPr="002B60CF">
              <w:rPr>
                <w:rFonts w:asciiTheme="minorHAnsi" w:eastAsia="Arial" w:hAnsiTheme="minorHAnsi" w:cs="Arial"/>
                <w:i/>
                <w:sz w:val="18"/>
                <w:szCs w:val="18"/>
              </w:rPr>
              <w:t>Resourcing Strategy 2014-2024</w:t>
            </w:r>
            <w:r w:rsidRPr="002B60CF">
              <w:rPr>
                <w:rFonts w:asciiTheme="minorHAnsi" w:eastAsia="Arial" w:hAnsiTheme="minorHAnsi" w:cs="Arial"/>
                <w:sz w:val="18"/>
                <w:szCs w:val="18"/>
              </w:rPr>
              <w:t xml:space="preserve"> (see </w:t>
            </w:r>
            <w:r w:rsidRPr="005E2D60">
              <w:rPr>
                <w:rFonts w:asciiTheme="minorHAnsi" w:eastAsia="Arial" w:hAnsiTheme="minorHAnsi" w:cs="Arial"/>
                <w:b/>
                <w:sz w:val="18"/>
                <w:szCs w:val="18"/>
              </w:rPr>
              <w:t>Attachment 13</w:t>
            </w:r>
            <w:r w:rsidRPr="002B60CF">
              <w:rPr>
                <w:rFonts w:asciiTheme="minorHAnsi" w:eastAsia="Arial" w:hAnsiTheme="minorHAnsi" w:cs="Arial"/>
                <w:sz w:val="18"/>
                <w:szCs w:val="18"/>
              </w:rPr>
              <w:t>, page 93)</w:t>
            </w:r>
          </w:p>
          <w:p w14:paraId="3ADEB9A1" w14:textId="58DFAF35" w:rsidR="005E2D60" w:rsidRPr="005E2D60" w:rsidRDefault="005E2D60" w:rsidP="002B60CF">
            <w:pPr>
              <w:pStyle w:val="BodyText"/>
              <w:numPr>
                <w:ilvl w:val="0"/>
                <w:numId w:val="48"/>
              </w:numPr>
              <w:spacing w:before="0" w:line="240" w:lineRule="auto"/>
              <w:ind w:left="318" w:hanging="142"/>
              <w:jc w:val="left"/>
              <w:rPr>
                <w:rFonts w:asciiTheme="minorHAnsi" w:eastAsia="Arial" w:hAnsiTheme="minorHAnsi" w:cs="Arial"/>
                <w:b/>
                <w:sz w:val="18"/>
                <w:szCs w:val="18"/>
              </w:rPr>
            </w:pPr>
            <w:r>
              <w:rPr>
                <w:rFonts w:asciiTheme="minorHAnsi" w:eastAsia="Arial" w:hAnsiTheme="minorHAnsi" w:cs="Arial"/>
                <w:sz w:val="18"/>
                <w:szCs w:val="18"/>
              </w:rPr>
              <w:t xml:space="preserve">The exhibited Supplementary Delivery Program (see </w:t>
            </w:r>
            <w:r w:rsidRPr="005E2D60">
              <w:rPr>
                <w:rFonts w:asciiTheme="minorHAnsi" w:eastAsia="Arial" w:hAnsiTheme="minorHAnsi" w:cs="Arial"/>
                <w:b/>
                <w:sz w:val="18"/>
                <w:szCs w:val="18"/>
              </w:rPr>
              <w:t>Attachment 2</w:t>
            </w:r>
            <w:r>
              <w:rPr>
                <w:rFonts w:asciiTheme="minorHAnsi" w:eastAsia="Arial" w:hAnsiTheme="minorHAnsi" w:cs="Arial"/>
                <w:b/>
                <w:sz w:val="18"/>
                <w:szCs w:val="18"/>
              </w:rPr>
              <w:t xml:space="preserve">, </w:t>
            </w:r>
            <w:r w:rsidRPr="005E2D60">
              <w:rPr>
                <w:rFonts w:asciiTheme="minorHAnsi" w:eastAsia="Arial" w:hAnsiTheme="minorHAnsi" w:cs="Arial"/>
                <w:sz w:val="18"/>
                <w:szCs w:val="18"/>
              </w:rPr>
              <w:t>pages</w:t>
            </w:r>
            <w:r>
              <w:rPr>
                <w:rFonts w:asciiTheme="minorHAnsi" w:eastAsia="Arial" w:hAnsiTheme="minorHAnsi" w:cs="Arial"/>
                <w:sz w:val="18"/>
                <w:szCs w:val="18"/>
              </w:rPr>
              <w:t xml:space="preserve"> 21, 43 and 44.</w:t>
            </w:r>
          </w:p>
          <w:p w14:paraId="1E0C7882" w14:textId="77777777" w:rsidR="00191D13" w:rsidRDefault="00191D13" w:rsidP="00191D13">
            <w:pPr>
              <w:pStyle w:val="BodyText"/>
              <w:spacing w:before="0" w:line="240" w:lineRule="auto"/>
              <w:jc w:val="left"/>
              <w:rPr>
                <w:rFonts w:ascii="Calibri" w:hAnsi="Calibri" w:cs="Arial"/>
                <w:sz w:val="18"/>
                <w:szCs w:val="18"/>
              </w:rPr>
            </w:pPr>
          </w:p>
          <w:p w14:paraId="783A0893" w14:textId="76644B59" w:rsidR="00233A2C" w:rsidRPr="008035D0" w:rsidRDefault="00233A2C" w:rsidP="00191D13">
            <w:pPr>
              <w:pStyle w:val="BodyText"/>
              <w:spacing w:before="0" w:line="240" w:lineRule="auto"/>
              <w:jc w:val="left"/>
              <w:rPr>
                <w:rFonts w:ascii="Calibri" w:hAnsi="Calibri" w:cs="Arial"/>
                <w:sz w:val="18"/>
                <w:szCs w:val="18"/>
              </w:rPr>
            </w:pPr>
          </w:p>
        </w:tc>
      </w:tr>
      <w:tr w:rsidR="00627D16" w14:paraId="582E48AD" w14:textId="77777777" w:rsidTr="00A24D27">
        <w:tc>
          <w:tcPr>
            <w:tcW w:w="2410" w:type="dxa"/>
            <w:shd w:val="clear" w:color="auto" w:fill="DBE5F1" w:themeFill="accent1" w:themeFillTint="33"/>
          </w:tcPr>
          <w:p w14:paraId="1E015D5F" w14:textId="6F92C11B" w:rsidR="00627D16" w:rsidRPr="008035D0" w:rsidRDefault="002C7460" w:rsidP="00191D13">
            <w:pPr>
              <w:pStyle w:val="BodyText"/>
              <w:spacing w:before="0" w:line="240" w:lineRule="auto"/>
              <w:jc w:val="left"/>
              <w:rPr>
                <w:rFonts w:ascii="Calibri" w:hAnsi="Calibri" w:cs="Arial"/>
                <w:b/>
                <w:sz w:val="18"/>
                <w:szCs w:val="18"/>
              </w:rPr>
            </w:pPr>
            <w:r w:rsidRPr="008035D0">
              <w:rPr>
                <w:rFonts w:ascii="Calibri" w:hAnsi="Calibri" w:cs="Arial"/>
                <w:b/>
                <w:sz w:val="18"/>
                <w:szCs w:val="18"/>
              </w:rPr>
              <w:t>T</w:t>
            </w:r>
            <w:r w:rsidR="00627D16" w:rsidRPr="008035D0">
              <w:rPr>
                <w:rFonts w:ascii="Calibri" w:hAnsi="Calibri" w:cs="Arial"/>
                <w:b/>
                <w:sz w:val="18"/>
                <w:szCs w:val="18"/>
              </w:rPr>
              <w:t>he rate levels that would apply without the special variation</w:t>
            </w:r>
          </w:p>
          <w:p w14:paraId="60CFCE80" w14:textId="0F9D3B87" w:rsidR="00627D16" w:rsidRPr="008035D0" w:rsidRDefault="00627D16" w:rsidP="00191D13">
            <w:pPr>
              <w:pStyle w:val="BodyText"/>
              <w:spacing w:before="0" w:line="240" w:lineRule="auto"/>
              <w:jc w:val="left"/>
              <w:rPr>
                <w:rFonts w:ascii="Calibri" w:hAnsi="Calibri" w:cs="Arial"/>
                <w:b/>
                <w:sz w:val="18"/>
                <w:szCs w:val="18"/>
              </w:rPr>
            </w:pPr>
          </w:p>
        </w:tc>
        <w:tc>
          <w:tcPr>
            <w:tcW w:w="992" w:type="dxa"/>
            <w:shd w:val="clear" w:color="auto" w:fill="DBE5F1" w:themeFill="accent1" w:themeFillTint="33"/>
          </w:tcPr>
          <w:p w14:paraId="1F31EE73" w14:textId="382302A5" w:rsidR="00627D16" w:rsidRPr="008035D0" w:rsidRDefault="00191D13" w:rsidP="00627D16">
            <w:pPr>
              <w:pStyle w:val="BodyText"/>
              <w:spacing w:before="0" w:line="240" w:lineRule="auto"/>
              <w:rPr>
                <w:rFonts w:ascii="Calibri" w:hAnsi="Calibri" w:cs="Arial"/>
                <w:sz w:val="18"/>
                <w:szCs w:val="18"/>
              </w:rPr>
            </w:pPr>
            <w:r w:rsidRPr="008035D0">
              <w:rPr>
                <w:rFonts w:asciiTheme="minorHAnsi" w:eastAsia="Arial" w:hAnsiTheme="minorHAnsi" w:cs="Arial"/>
                <w:noProof/>
                <w:sz w:val="18"/>
                <w:szCs w:val="18"/>
              </w:rPr>
              <w:drawing>
                <wp:anchor distT="0" distB="0" distL="114300" distR="114300" simplePos="0" relativeHeight="251691008" behindDoc="0" locked="0" layoutInCell="1" allowOverlap="1" wp14:anchorId="17E58B9D" wp14:editId="32293C10">
                  <wp:simplePos x="0" y="0"/>
                  <wp:positionH relativeFrom="column">
                    <wp:posOffset>138430</wp:posOffset>
                  </wp:positionH>
                  <wp:positionV relativeFrom="paragraph">
                    <wp:posOffset>126365</wp:posOffset>
                  </wp:positionV>
                  <wp:extent cx="231140" cy="158750"/>
                  <wp:effectExtent l="0" t="0" r="0" b="0"/>
                  <wp:wrapNone/>
                  <wp:docPr id="309" name="Picture 309" descr="C:\Users\jstewart\AppData\Local\Microsoft\Windows\Temporary Internet Files\Content.IE5\6YUOMJOX\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tewart\AppData\Local\Microsoft\Windows\Temporary Internet Files\Content.IE5\6YUOMJOX\MC900432530[1].png"/>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231140" cy="158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shd w:val="clear" w:color="auto" w:fill="DBE5F1" w:themeFill="accent1" w:themeFillTint="33"/>
          </w:tcPr>
          <w:p w14:paraId="4F90922F" w14:textId="77777777" w:rsidR="00233A2C" w:rsidRDefault="00233A2C" w:rsidP="00D97C6A">
            <w:pPr>
              <w:pStyle w:val="BodyText"/>
              <w:spacing w:before="0" w:line="240" w:lineRule="auto"/>
              <w:jc w:val="left"/>
              <w:rPr>
                <w:rFonts w:ascii="Calibri" w:hAnsi="Calibri" w:cs="Arial"/>
                <w:sz w:val="18"/>
                <w:szCs w:val="18"/>
              </w:rPr>
            </w:pPr>
          </w:p>
          <w:p w14:paraId="399E6B60" w14:textId="73FFAE0B" w:rsidR="00233A2C" w:rsidRDefault="00233A2C" w:rsidP="00233A2C">
            <w:pPr>
              <w:pStyle w:val="BodyText"/>
              <w:spacing w:before="0" w:line="240" w:lineRule="auto"/>
              <w:jc w:val="left"/>
              <w:rPr>
                <w:rFonts w:asciiTheme="minorHAnsi" w:eastAsia="Arial" w:hAnsiTheme="minorHAnsi" w:cs="Arial"/>
                <w:sz w:val="18"/>
                <w:szCs w:val="18"/>
              </w:rPr>
            </w:pPr>
            <w:r w:rsidRPr="002B60CF">
              <w:rPr>
                <w:rFonts w:asciiTheme="minorHAnsi" w:eastAsia="Arial" w:hAnsiTheme="minorHAnsi" w:cs="Arial"/>
                <w:sz w:val="18"/>
                <w:szCs w:val="18"/>
              </w:rPr>
              <w:t xml:space="preserve">The exhibited </w:t>
            </w:r>
            <w:r w:rsidRPr="002B60CF">
              <w:rPr>
                <w:rFonts w:asciiTheme="minorHAnsi" w:eastAsia="Arial" w:hAnsiTheme="minorHAnsi" w:cs="Arial"/>
                <w:i/>
                <w:sz w:val="18"/>
                <w:szCs w:val="18"/>
              </w:rPr>
              <w:t>Resourcing Strategy 2014-2024</w:t>
            </w:r>
            <w:r w:rsidRPr="002B60CF">
              <w:rPr>
                <w:rFonts w:asciiTheme="minorHAnsi" w:eastAsia="Arial" w:hAnsiTheme="minorHAnsi" w:cs="Arial"/>
                <w:sz w:val="18"/>
                <w:szCs w:val="18"/>
              </w:rPr>
              <w:t xml:space="preserve"> </w:t>
            </w:r>
            <w:r>
              <w:rPr>
                <w:rFonts w:asciiTheme="minorHAnsi" w:eastAsia="Arial" w:hAnsiTheme="minorHAnsi" w:cs="Arial"/>
                <w:sz w:val="18"/>
                <w:szCs w:val="18"/>
              </w:rPr>
              <w:t xml:space="preserve">showed this relative to Option 3 for residential, business and farmland ratepayers </w:t>
            </w:r>
            <w:r w:rsidRPr="002B60CF">
              <w:rPr>
                <w:rFonts w:asciiTheme="minorHAnsi" w:eastAsia="Arial" w:hAnsiTheme="minorHAnsi" w:cs="Arial"/>
                <w:sz w:val="18"/>
                <w:szCs w:val="18"/>
              </w:rPr>
              <w:t xml:space="preserve">(see </w:t>
            </w:r>
            <w:r w:rsidRPr="005E2D60">
              <w:rPr>
                <w:rFonts w:asciiTheme="minorHAnsi" w:eastAsia="Arial" w:hAnsiTheme="minorHAnsi" w:cs="Arial"/>
                <w:b/>
                <w:sz w:val="18"/>
                <w:szCs w:val="18"/>
              </w:rPr>
              <w:t>Attachment 13</w:t>
            </w:r>
            <w:r w:rsidRPr="002B60CF">
              <w:rPr>
                <w:rFonts w:asciiTheme="minorHAnsi" w:eastAsia="Arial" w:hAnsiTheme="minorHAnsi" w:cs="Arial"/>
                <w:sz w:val="18"/>
                <w:szCs w:val="18"/>
              </w:rPr>
              <w:t>, page 93)</w:t>
            </w:r>
          </w:p>
          <w:p w14:paraId="61AD72B2" w14:textId="77777777" w:rsidR="00233A2C" w:rsidRDefault="00233A2C" w:rsidP="00233A2C">
            <w:pPr>
              <w:pStyle w:val="BodyText"/>
              <w:spacing w:before="0" w:line="240" w:lineRule="auto"/>
              <w:jc w:val="left"/>
              <w:rPr>
                <w:rFonts w:asciiTheme="minorHAnsi" w:eastAsia="Arial" w:hAnsiTheme="minorHAnsi" w:cs="Arial"/>
                <w:sz w:val="18"/>
                <w:szCs w:val="18"/>
              </w:rPr>
            </w:pPr>
          </w:p>
          <w:p w14:paraId="0D8A095C" w14:textId="5C96AC60" w:rsidR="00233A2C" w:rsidRPr="005E2D60" w:rsidRDefault="00233A2C" w:rsidP="00233A2C">
            <w:pPr>
              <w:pStyle w:val="BodyText"/>
              <w:spacing w:before="0" w:line="240" w:lineRule="auto"/>
              <w:jc w:val="left"/>
              <w:rPr>
                <w:rFonts w:asciiTheme="minorHAnsi" w:eastAsia="Arial" w:hAnsiTheme="minorHAnsi" w:cs="Arial"/>
                <w:b/>
                <w:sz w:val="18"/>
                <w:szCs w:val="18"/>
              </w:rPr>
            </w:pPr>
            <w:r>
              <w:rPr>
                <w:rFonts w:asciiTheme="minorHAnsi" w:eastAsia="Arial" w:hAnsiTheme="minorHAnsi" w:cs="Arial"/>
                <w:sz w:val="18"/>
                <w:szCs w:val="18"/>
              </w:rPr>
              <w:t xml:space="preserve">The exhibited Supplementary Delivery Program showed this relative to option 3 for residential, business and farmland ratepayers (see </w:t>
            </w:r>
            <w:r w:rsidRPr="005E2D60">
              <w:rPr>
                <w:rFonts w:asciiTheme="minorHAnsi" w:eastAsia="Arial" w:hAnsiTheme="minorHAnsi" w:cs="Arial"/>
                <w:b/>
                <w:sz w:val="18"/>
                <w:szCs w:val="18"/>
              </w:rPr>
              <w:t>Attachment 2</w:t>
            </w:r>
            <w:r>
              <w:rPr>
                <w:rFonts w:asciiTheme="minorHAnsi" w:eastAsia="Arial" w:hAnsiTheme="minorHAnsi" w:cs="Arial"/>
                <w:b/>
                <w:sz w:val="18"/>
                <w:szCs w:val="18"/>
              </w:rPr>
              <w:t xml:space="preserve">, </w:t>
            </w:r>
            <w:r w:rsidRPr="005E2D60">
              <w:rPr>
                <w:rFonts w:asciiTheme="minorHAnsi" w:eastAsia="Arial" w:hAnsiTheme="minorHAnsi" w:cs="Arial"/>
                <w:sz w:val="18"/>
                <w:szCs w:val="18"/>
              </w:rPr>
              <w:t>pages</w:t>
            </w:r>
            <w:r>
              <w:rPr>
                <w:rFonts w:asciiTheme="minorHAnsi" w:eastAsia="Arial" w:hAnsiTheme="minorHAnsi" w:cs="Arial"/>
                <w:sz w:val="18"/>
                <w:szCs w:val="18"/>
              </w:rPr>
              <w:t xml:space="preserve"> 21, 43 and 44.</w:t>
            </w:r>
          </w:p>
          <w:p w14:paraId="0395CCD7" w14:textId="77777777" w:rsidR="00233A2C" w:rsidRDefault="00233A2C" w:rsidP="00233A2C">
            <w:pPr>
              <w:pStyle w:val="BodyText"/>
              <w:spacing w:before="0" w:line="240" w:lineRule="auto"/>
              <w:jc w:val="left"/>
              <w:rPr>
                <w:rFonts w:ascii="Calibri" w:hAnsi="Calibri" w:cs="Arial"/>
                <w:sz w:val="18"/>
                <w:szCs w:val="18"/>
              </w:rPr>
            </w:pPr>
          </w:p>
          <w:p w14:paraId="5F77C893" w14:textId="77777777" w:rsidR="00233A2C" w:rsidRDefault="00D97C6A" w:rsidP="00D97C6A">
            <w:pPr>
              <w:pStyle w:val="BodyText"/>
              <w:spacing w:before="0" w:line="240" w:lineRule="auto"/>
              <w:jc w:val="left"/>
              <w:rPr>
                <w:rFonts w:ascii="Calibri" w:hAnsi="Calibri" w:cs="Arial"/>
                <w:sz w:val="18"/>
                <w:szCs w:val="18"/>
              </w:rPr>
            </w:pPr>
            <w:r w:rsidRPr="008035D0">
              <w:rPr>
                <w:rFonts w:ascii="Calibri" w:hAnsi="Calibri" w:cs="Arial"/>
                <w:sz w:val="18"/>
                <w:szCs w:val="18"/>
              </w:rPr>
              <w:t xml:space="preserve">All of the community engagement materials included details of Option 3, which is the no special variation scenario. </w:t>
            </w:r>
          </w:p>
          <w:p w14:paraId="41BECB78" w14:textId="77777777" w:rsidR="00233A2C" w:rsidRDefault="00233A2C" w:rsidP="00D97C6A">
            <w:pPr>
              <w:pStyle w:val="BodyText"/>
              <w:spacing w:before="0" w:line="240" w:lineRule="auto"/>
              <w:jc w:val="left"/>
              <w:rPr>
                <w:rFonts w:ascii="Calibri" w:hAnsi="Calibri" w:cs="Arial"/>
                <w:sz w:val="18"/>
                <w:szCs w:val="18"/>
              </w:rPr>
            </w:pPr>
          </w:p>
          <w:p w14:paraId="04EE76BB" w14:textId="389B939F" w:rsidR="00627D16" w:rsidRPr="008035D0" w:rsidRDefault="00D97C6A" w:rsidP="00D97C6A">
            <w:pPr>
              <w:pStyle w:val="BodyText"/>
              <w:spacing w:before="0" w:line="240" w:lineRule="auto"/>
              <w:jc w:val="left"/>
              <w:rPr>
                <w:rFonts w:ascii="Calibri" w:hAnsi="Calibri" w:cs="Arial"/>
                <w:sz w:val="18"/>
                <w:szCs w:val="18"/>
              </w:rPr>
            </w:pPr>
            <w:r w:rsidRPr="008035D0">
              <w:rPr>
                <w:rFonts w:ascii="Calibri" w:hAnsi="Calibri" w:cs="Arial"/>
                <w:sz w:val="18"/>
                <w:szCs w:val="18"/>
              </w:rPr>
              <w:t xml:space="preserve">The </w:t>
            </w:r>
            <w:r w:rsidRPr="008035D0">
              <w:rPr>
                <w:rFonts w:ascii="Calibri" w:hAnsi="Calibri" w:cs="Arial"/>
                <w:i/>
                <w:sz w:val="18"/>
                <w:szCs w:val="18"/>
              </w:rPr>
              <w:t>Resourcing Our Future</w:t>
            </w:r>
            <w:r w:rsidRPr="008035D0">
              <w:rPr>
                <w:rFonts w:ascii="Calibri" w:hAnsi="Calibri" w:cs="Arial"/>
                <w:sz w:val="18"/>
                <w:szCs w:val="18"/>
              </w:rPr>
              <w:t xml:space="preserve"> brochure </w:t>
            </w:r>
            <w:r w:rsidR="00233A2C">
              <w:rPr>
                <w:rFonts w:ascii="Calibri" w:hAnsi="Calibri" w:cs="Arial"/>
                <w:sz w:val="18"/>
                <w:szCs w:val="18"/>
              </w:rPr>
              <w:t xml:space="preserve">showed the impact of the no special variation option for residential and business ratepayers and </w:t>
            </w:r>
            <w:r w:rsidRPr="008035D0">
              <w:rPr>
                <w:rFonts w:ascii="Calibri" w:hAnsi="Calibri" w:cs="Arial"/>
                <w:sz w:val="18"/>
                <w:szCs w:val="18"/>
              </w:rPr>
              <w:t>explained that a slight decrease in rates would occur for 2015/16 under Option 3 as a result of discontinuing the Environment Levy.</w:t>
            </w:r>
          </w:p>
          <w:p w14:paraId="59958579" w14:textId="2AD693BD" w:rsidR="00D97C6A" w:rsidRPr="008035D0" w:rsidRDefault="00D97C6A" w:rsidP="00D97C6A">
            <w:pPr>
              <w:pStyle w:val="BodyText"/>
              <w:spacing w:before="0" w:line="240" w:lineRule="auto"/>
              <w:jc w:val="left"/>
              <w:rPr>
                <w:rFonts w:ascii="Calibri" w:hAnsi="Calibri" w:cs="Arial"/>
                <w:sz w:val="18"/>
                <w:szCs w:val="18"/>
              </w:rPr>
            </w:pPr>
          </w:p>
        </w:tc>
      </w:tr>
      <w:tr w:rsidR="00627D16" w14:paraId="35498A79" w14:textId="77777777" w:rsidTr="00A24D27">
        <w:tc>
          <w:tcPr>
            <w:tcW w:w="2410" w:type="dxa"/>
            <w:shd w:val="clear" w:color="auto" w:fill="DBE5F1" w:themeFill="accent1" w:themeFillTint="33"/>
          </w:tcPr>
          <w:p w14:paraId="6F9A9215" w14:textId="172F4A27" w:rsidR="00627D16" w:rsidRPr="008035D0" w:rsidRDefault="002C7460" w:rsidP="00191D13">
            <w:pPr>
              <w:pStyle w:val="BodyText"/>
              <w:spacing w:before="0" w:line="240" w:lineRule="auto"/>
              <w:jc w:val="left"/>
              <w:rPr>
                <w:rFonts w:ascii="Calibri" w:hAnsi="Calibri" w:cs="Arial"/>
                <w:b/>
                <w:sz w:val="18"/>
                <w:szCs w:val="18"/>
              </w:rPr>
            </w:pPr>
            <w:r w:rsidRPr="008035D0">
              <w:rPr>
                <w:rFonts w:ascii="Calibri" w:hAnsi="Calibri" w:cs="Arial"/>
                <w:b/>
                <w:sz w:val="18"/>
                <w:szCs w:val="18"/>
              </w:rPr>
              <w:t>P</w:t>
            </w:r>
            <w:r w:rsidR="00BE215F" w:rsidRPr="008035D0">
              <w:rPr>
                <w:rFonts w:ascii="Calibri" w:hAnsi="Calibri" w:cs="Arial"/>
                <w:b/>
                <w:sz w:val="18"/>
                <w:szCs w:val="18"/>
              </w:rPr>
              <w:t>roposed increases in any other council charges (</w:t>
            </w:r>
            <w:r w:rsidR="00165AB2" w:rsidRPr="008035D0">
              <w:rPr>
                <w:rFonts w:ascii="Calibri" w:hAnsi="Calibri" w:cs="Arial"/>
                <w:b/>
                <w:sz w:val="18"/>
                <w:szCs w:val="18"/>
              </w:rPr>
              <w:t>e.g.</w:t>
            </w:r>
            <w:r w:rsidR="00BE215F" w:rsidRPr="008035D0">
              <w:rPr>
                <w:rFonts w:ascii="Calibri" w:hAnsi="Calibri" w:cs="Arial"/>
                <w:b/>
                <w:sz w:val="18"/>
                <w:szCs w:val="18"/>
              </w:rPr>
              <w:t xml:space="preserve"> waste management, water and sewer), especially if these are likely to exceed the increase in the CPI</w:t>
            </w:r>
          </w:p>
          <w:p w14:paraId="09F07C8C" w14:textId="0D2C3F21" w:rsidR="00191D13" w:rsidRPr="008035D0" w:rsidRDefault="00191D13" w:rsidP="00191D13">
            <w:pPr>
              <w:pStyle w:val="BodyText"/>
              <w:spacing w:before="0" w:line="240" w:lineRule="auto"/>
              <w:jc w:val="left"/>
              <w:rPr>
                <w:rFonts w:ascii="Calibri" w:hAnsi="Calibri" w:cs="Arial"/>
                <w:b/>
                <w:sz w:val="18"/>
                <w:szCs w:val="18"/>
              </w:rPr>
            </w:pPr>
          </w:p>
        </w:tc>
        <w:tc>
          <w:tcPr>
            <w:tcW w:w="992" w:type="dxa"/>
            <w:shd w:val="clear" w:color="auto" w:fill="DBE5F1" w:themeFill="accent1" w:themeFillTint="33"/>
          </w:tcPr>
          <w:p w14:paraId="69E6AF52" w14:textId="2DA5EC01" w:rsidR="00627D16" w:rsidRPr="008035D0" w:rsidRDefault="00191D13" w:rsidP="00627D16">
            <w:pPr>
              <w:pStyle w:val="BodyText"/>
              <w:spacing w:before="0" w:line="240" w:lineRule="auto"/>
              <w:rPr>
                <w:rFonts w:ascii="Calibri" w:hAnsi="Calibri" w:cs="Arial"/>
                <w:sz w:val="18"/>
                <w:szCs w:val="18"/>
              </w:rPr>
            </w:pPr>
            <w:r w:rsidRPr="008035D0">
              <w:rPr>
                <w:rFonts w:asciiTheme="minorHAnsi" w:eastAsia="Arial" w:hAnsiTheme="minorHAnsi" w:cs="Arial"/>
                <w:noProof/>
                <w:sz w:val="18"/>
                <w:szCs w:val="18"/>
              </w:rPr>
              <w:drawing>
                <wp:anchor distT="0" distB="0" distL="114300" distR="114300" simplePos="0" relativeHeight="251708416" behindDoc="0" locked="0" layoutInCell="1" allowOverlap="1" wp14:anchorId="6C195682" wp14:editId="515BBD07">
                  <wp:simplePos x="0" y="0"/>
                  <wp:positionH relativeFrom="column">
                    <wp:posOffset>153670</wp:posOffset>
                  </wp:positionH>
                  <wp:positionV relativeFrom="paragraph">
                    <wp:posOffset>288290</wp:posOffset>
                  </wp:positionV>
                  <wp:extent cx="231140" cy="158750"/>
                  <wp:effectExtent l="0" t="0" r="0" b="0"/>
                  <wp:wrapNone/>
                  <wp:docPr id="9" name="Picture 9" descr="C:\Users\jstewart\AppData\Local\Microsoft\Windows\Temporary Internet Files\Content.IE5\6YUOMJOX\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tewart\AppData\Local\Microsoft\Windows\Temporary Internet Files\Content.IE5\6YUOMJOX\MC900432530[1].png"/>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231140" cy="158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shd w:val="clear" w:color="auto" w:fill="DBE5F1" w:themeFill="accent1" w:themeFillTint="33"/>
          </w:tcPr>
          <w:p w14:paraId="4D5BE617" w14:textId="77777777" w:rsidR="0006091A" w:rsidRDefault="00544EDB" w:rsidP="00544EDB">
            <w:pPr>
              <w:rPr>
                <w:rFonts w:ascii="Calibri" w:hAnsi="Calibri"/>
                <w:color w:val="000000"/>
                <w:sz w:val="18"/>
                <w:szCs w:val="18"/>
              </w:rPr>
            </w:pPr>
            <w:r w:rsidRPr="008035D0">
              <w:rPr>
                <w:rFonts w:ascii="Calibri" w:hAnsi="Calibri"/>
                <w:color w:val="000000"/>
                <w:sz w:val="18"/>
                <w:szCs w:val="18"/>
              </w:rPr>
              <w:t xml:space="preserve">There was a draft waste strategy on public exhibition at the same time as the </w:t>
            </w:r>
            <w:r w:rsidRPr="008035D0">
              <w:rPr>
                <w:rFonts w:ascii="Calibri" w:hAnsi="Calibri"/>
                <w:i/>
                <w:iCs/>
                <w:color w:val="000000"/>
                <w:sz w:val="18"/>
                <w:szCs w:val="18"/>
              </w:rPr>
              <w:t xml:space="preserve">Resourcing Our Future </w:t>
            </w:r>
            <w:r w:rsidRPr="008035D0">
              <w:rPr>
                <w:rFonts w:ascii="Calibri" w:hAnsi="Calibri"/>
                <w:iCs/>
                <w:color w:val="000000"/>
                <w:sz w:val="18"/>
                <w:szCs w:val="18"/>
              </w:rPr>
              <w:t>public exhibition</w:t>
            </w:r>
            <w:r w:rsidRPr="008035D0">
              <w:rPr>
                <w:rFonts w:ascii="Calibri" w:hAnsi="Calibri"/>
                <w:color w:val="000000"/>
                <w:sz w:val="18"/>
                <w:szCs w:val="18"/>
              </w:rPr>
              <w:t xml:space="preserve">. The impact of the waste strategy options was presented in conjunction with the </w:t>
            </w:r>
            <w:r w:rsidRPr="008035D0">
              <w:rPr>
                <w:rFonts w:ascii="Calibri" w:hAnsi="Calibri"/>
                <w:i/>
                <w:iCs/>
                <w:color w:val="000000"/>
                <w:sz w:val="18"/>
                <w:szCs w:val="18"/>
              </w:rPr>
              <w:t>Resourcing Our Future</w:t>
            </w:r>
            <w:r w:rsidRPr="008035D0">
              <w:rPr>
                <w:rFonts w:ascii="Calibri" w:hAnsi="Calibri"/>
                <w:color w:val="000000"/>
                <w:sz w:val="18"/>
                <w:szCs w:val="18"/>
              </w:rPr>
              <w:t xml:space="preserve"> options at the area workshops. </w:t>
            </w:r>
          </w:p>
          <w:p w14:paraId="0B7F9EDD" w14:textId="77777777" w:rsidR="0006091A" w:rsidRDefault="0006091A" w:rsidP="00544EDB">
            <w:pPr>
              <w:rPr>
                <w:rFonts w:ascii="Calibri" w:hAnsi="Calibri"/>
                <w:color w:val="000000"/>
                <w:sz w:val="18"/>
                <w:szCs w:val="18"/>
              </w:rPr>
            </w:pPr>
          </w:p>
          <w:p w14:paraId="6EED9284" w14:textId="09B68D54" w:rsidR="00544EDB" w:rsidRPr="008035D0" w:rsidRDefault="00544EDB" w:rsidP="00544EDB">
            <w:pPr>
              <w:rPr>
                <w:rFonts w:ascii="Calibri" w:hAnsi="Calibri"/>
                <w:color w:val="000000"/>
                <w:sz w:val="18"/>
                <w:szCs w:val="18"/>
              </w:rPr>
            </w:pPr>
            <w:r w:rsidRPr="008035D0">
              <w:rPr>
                <w:rFonts w:ascii="Calibri" w:hAnsi="Calibri"/>
                <w:color w:val="000000"/>
                <w:sz w:val="18"/>
                <w:szCs w:val="18"/>
              </w:rPr>
              <w:t>The outcome of the waste strategy is that there w</w:t>
            </w:r>
            <w:r w:rsidR="0006091A">
              <w:rPr>
                <w:rFonts w:ascii="Calibri" w:hAnsi="Calibri"/>
                <w:color w:val="000000"/>
                <w:sz w:val="18"/>
                <w:szCs w:val="18"/>
              </w:rPr>
              <w:t xml:space="preserve">ill be no </w:t>
            </w:r>
            <w:r w:rsidRPr="008035D0">
              <w:rPr>
                <w:rFonts w:ascii="Calibri" w:hAnsi="Calibri"/>
                <w:color w:val="000000"/>
                <w:sz w:val="18"/>
                <w:szCs w:val="18"/>
              </w:rPr>
              <w:t xml:space="preserve"> increase</w:t>
            </w:r>
            <w:r w:rsidR="0006091A">
              <w:rPr>
                <w:rFonts w:ascii="Calibri" w:hAnsi="Calibri"/>
                <w:color w:val="000000"/>
                <w:sz w:val="18"/>
                <w:szCs w:val="18"/>
              </w:rPr>
              <w:t>s</w:t>
            </w:r>
            <w:r w:rsidRPr="008035D0">
              <w:rPr>
                <w:rFonts w:ascii="Calibri" w:hAnsi="Calibri"/>
                <w:color w:val="000000"/>
                <w:sz w:val="18"/>
                <w:szCs w:val="18"/>
              </w:rPr>
              <w:t xml:space="preserve"> in the waste charges</w:t>
            </w:r>
            <w:r w:rsidR="0006091A">
              <w:rPr>
                <w:rFonts w:ascii="Calibri" w:hAnsi="Calibri"/>
                <w:color w:val="000000"/>
                <w:sz w:val="18"/>
                <w:szCs w:val="18"/>
              </w:rPr>
              <w:t xml:space="preserve"> likely to exceed CPI and as a result of a Council decision on 9 December 2014,</w:t>
            </w:r>
            <w:r w:rsidR="00BB4F5A">
              <w:rPr>
                <w:rFonts w:ascii="Calibri" w:hAnsi="Calibri"/>
                <w:color w:val="000000"/>
                <w:sz w:val="18"/>
                <w:szCs w:val="18"/>
              </w:rPr>
              <w:t xml:space="preserve"> recycling contract costs will result in a $30 reduction in the Domestic Waste Management Charge per residential ratepayer, per annum from July 2016. </w:t>
            </w:r>
            <w:r w:rsidR="0006091A">
              <w:rPr>
                <w:rFonts w:ascii="Calibri" w:hAnsi="Calibri"/>
                <w:color w:val="000000"/>
                <w:sz w:val="18"/>
                <w:szCs w:val="18"/>
              </w:rPr>
              <w:t xml:space="preserve"> </w:t>
            </w:r>
            <w:r w:rsidRPr="008035D0">
              <w:rPr>
                <w:rFonts w:ascii="Calibri" w:hAnsi="Calibri"/>
                <w:color w:val="000000"/>
                <w:sz w:val="18"/>
                <w:szCs w:val="18"/>
              </w:rPr>
              <w:t xml:space="preserve">. </w:t>
            </w:r>
          </w:p>
          <w:p w14:paraId="51E0B9ED" w14:textId="6D7AF41C" w:rsidR="003C4E65" w:rsidRPr="008035D0" w:rsidRDefault="003C4E65" w:rsidP="00544EDB">
            <w:pPr>
              <w:pStyle w:val="BodyText"/>
              <w:spacing w:before="0" w:line="240" w:lineRule="auto"/>
              <w:jc w:val="left"/>
              <w:rPr>
                <w:rFonts w:ascii="Calibri" w:hAnsi="Calibri" w:cs="Arial"/>
                <w:sz w:val="18"/>
                <w:szCs w:val="18"/>
              </w:rPr>
            </w:pPr>
          </w:p>
        </w:tc>
      </w:tr>
      <w:tr w:rsidR="00191D13" w14:paraId="43B1349E" w14:textId="77777777" w:rsidTr="00A24D27">
        <w:tc>
          <w:tcPr>
            <w:tcW w:w="2410" w:type="dxa"/>
            <w:shd w:val="clear" w:color="auto" w:fill="DBE5F1" w:themeFill="accent1" w:themeFillTint="33"/>
          </w:tcPr>
          <w:p w14:paraId="578C39B8" w14:textId="6589B691" w:rsidR="00191D13" w:rsidRPr="008035D0" w:rsidRDefault="002C7460" w:rsidP="00191D13">
            <w:pPr>
              <w:pStyle w:val="BodyText"/>
              <w:spacing w:before="0" w:line="240" w:lineRule="auto"/>
              <w:jc w:val="left"/>
              <w:rPr>
                <w:rFonts w:ascii="Calibri" w:hAnsi="Calibri" w:cs="Arial"/>
                <w:b/>
                <w:sz w:val="18"/>
                <w:szCs w:val="18"/>
              </w:rPr>
            </w:pPr>
            <w:r w:rsidRPr="008035D0">
              <w:rPr>
                <w:rFonts w:asciiTheme="minorHAnsi" w:eastAsia="Arial" w:hAnsiTheme="minorHAnsi" w:cs="Arial"/>
                <w:b/>
                <w:sz w:val="18"/>
                <w:szCs w:val="18"/>
              </w:rPr>
              <w:t>What</w:t>
            </w:r>
            <w:r w:rsidR="00191D13" w:rsidRPr="008035D0">
              <w:rPr>
                <w:rFonts w:asciiTheme="minorHAnsi" w:eastAsia="Arial" w:hAnsiTheme="minorHAnsi" w:cs="Arial"/>
                <w:b/>
                <w:sz w:val="18"/>
                <w:szCs w:val="18"/>
              </w:rPr>
              <w:t xml:space="preserve"> the special variation will fund</w:t>
            </w:r>
          </w:p>
        </w:tc>
        <w:tc>
          <w:tcPr>
            <w:tcW w:w="992" w:type="dxa"/>
            <w:shd w:val="clear" w:color="auto" w:fill="DBE5F1" w:themeFill="accent1" w:themeFillTint="33"/>
          </w:tcPr>
          <w:p w14:paraId="398F1D56" w14:textId="73B7E42B" w:rsidR="00191D13" w:rsidRPr="008035D0" w:rsidRDefault="00191D13" w:rsidP="00627D16">
            <w:pPr>
              <w:pStyle w:val="BodyText"/>
              <w:spacing w:before="0" w:line="240" w:lineRule="auto"/>
              <w:rPr>
                <w:rFonts w:asciiTheme="minorHAnsi" w:eastAsia="Arial" w:hAnsiTheme="minorHAnsi" w:cs="Arial"/>
                <w:noProof/>
                <w:sz w:val="18"/>
                <w:szCs w:val="18"/>
              </w:rPr>
            </w:pPr>
            <w:r w:rsidRPr="008035D0">
              <w:rPr>
                <w:rFonts w:asciiTheme="minorHAnsi" w:eastAsia="Arial" w:hAnsiTheme="minorHAnsi" w:cs="Arial"/>
                <w:noProof/>
                <w:sz w:val="18"/>
                <w:szCs w:val="18"/>
              </w:rPr>
              <w:drawing>
                <wp:anchor distT="0" distB="0" distL="114300" distR="114300" simplePos="0" relativeHeight="251710464" behindDoc="0" locked="0" layoutInCell="1" allowOverlap="1" wp14:anchorId="70B9484B" wp14:editId="261AA749">
                  <wp:simplePos x="0" y="0"/>
                  <wp:positionH relativeFrom="column">
                    <wp:posOffset>146787</wp:posOffset>
                  </wp:positionH>
                  <wp:positionV relativeFrom="paragraph">
                    <wp:posOffset>181420</wp:posOffset>
                  </wp:positionV>
                  <wp:extent cx="231140" cy="158750"/>
                  <wp:effectExtent l="0" t="0" r="0" b="0"/>
                  <wp:wrapNone/>
                  <wp:docPr id="14" name="Picture 14" descr="C:\Users\jstewart\AppData\Local\Microsoft\Windows\Temporary Internet Files\Content.IE5\6YUOMJOX\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tewart\AppData\Local\Microsoft\Windows\Temporary Internet Files\Content.IE5\6YUOMJOX\MC900432530[1].png"/>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231140" cy="158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shd w:val="clear" w:color="auto" w:fill="DBE5F1" w:themeFill="accent1" w:themeFillTint="33"/>
          </w:tcPr>
          <w:p w14:paraId="6892CB23" w14:textId="43EFCD27" w:rsidR="003800C4" w:rsidRDefault="00191D13" w:rsidP="002C7460">
            <w:pPr>
              <w:rPr>
                <w:rFonts w:asciiTheme="minorHAnsi" w:eastAsia="Arial" w:hAnsiTheme="minorHAnsi" w:cs="Arial"/>
                <w:sz w:val="18"/>
                <w:szCs w:val="18"/>
              </w:rPr>
            </w:pPr>
            <w:r w:rsidRPr="008035D0">
              <w:rPr>
                <w:rFonts w:asciiTheme="minorHAnsi" w:eastAsia="Arial" w:hAnsiTheme="minorHAnsi" w:cs="Arial"/>
                <w:sz w:val="18"/>
                <w:szCs w:val="18"/>
              </w:rPr>
              <w:t xml:space="preserve">A </w:t>
            </w:r>
            <w:r w:rsidR="004820C4">
              <w:rPr>
                <w:rFonts w:asciiTheme="minorHAnsi" w:eastAsia="Arial" w:hAnsiTheme="minorHAnsi" w:cs="Arial"/>
                <w:sz w:val="18"/>
                <w:szCs w:val="18"/>
              </w:rPr>
              <w:t xml:space="preserve">high level </w:t>
            </w:r>
            <w:r w:rsidRPr="008035D0">
              <w:rPr>
                <w:rFonts w:asciiTheme="minorHAnsi" w:eastAsia="Arial" w:hAnsiTheme="minorHAnsi" w:cs="Arial"/>
                <w:sz w:val="18"/>
                <w:szCs w:val="18"/>
              </w:rPr>
              <w:t xml:space="preserve">summary of the targeted areas of expenditure was provided in the </w:t>
            </w:r>
            <w:r w:rsidRPr="008035D0">
              <w:rPr>
                <w:rFonts w:asciiTheme="minorHAnsi" w:eastAsia="Arial" w:hAnsiTheme="minorHAnsi" w:cs="Arial"/>
                <w:i/>
                <w:sz w:val="18"/>
                <w:szCs w:val="18"/>
              </w:rPr>
              <w:t>Resourcing Our Future</w:t>
            </w:r>
            <w:r w:rsidR="002C7460" w:rsidRPr="008035D0">
              <w:rPr>
                <w:rFonts w:asciiTheme="minorHAnsi" w:eastAsia="Arial" w:hAnsiTheme="minorHAnsi" w:cs="Arial"/>
                <w:sz w:val="18"/>
                <w:szCs w:val="18"/>
              </w:rPr>
              <w:t xml:space="preserve"> brochure. </w:t>
            </w:r>
          </w:p>
          <w:p w14:paraId="15DFF526" w14:textId="77777777" w:rsidR="003800C4" w:rsidRDefault="003800C4" w:rsidP="002C7460">
            <w:pPr>
              <w:rPr>
                <w:rFonts w:asciiTheme="minorHAnsi" w:eastAsia="Arial" w:hAnsiTheme="minorHAnsi" w:cs="Arial"/>
                <w:sz w:val="18"/>
                <w:szCs w:val="18"/>
              </w:rPr>
            </w:pPr>
          </w:p>
          <w:p w14:paraId="3AA3E2A2" w14:textId="77777777" w:rsidR="00084CB7" w:rsidRDefault="00191D13" w:rsidP="002C7460">
            <w:pPr>
              <w:rPr>
                <w:rFonts w:asciiTheme="minorHAnsi" w:eastAsia="Arial" w:hAnsiTheme="minorHAnsi" w:cs="Arial"/>
                <w:sz w:val="18"/>
                <w:szCs w:val="18"/>
              </w:rPr>
            </w:pPr>
            <w:r w:rsidRPr="008035D0">
              <w:rPr>
                <w:rFonts w:asciiTheme="minorHAnsi" w:eastAsia="Arial" w:hAnsiTheme="minorHAnsi" w:cs="Arial"/>
                <w:sz w:val="18"/>
                <w:szCs w:val="18"/>
              </w:rPr>
              <w:t>More detailed tables showing the proposed allocation of additional</w:t>
            </w:r>
            <w:r w:rsidR="003800C4">
              <w:rPr>
                <w:rFonts w:asciiTheme="minorHAnsi" w:eastAsia="Arial" w:hAnsiTheme="minorHAnsi" w:cs="Arial"/>
                <w:sz w:val="18"/>
                <w:szCs w:val="18"/>
              </w:rPr>
              <w:t xml:space="preserve"> special variation </w:t>
            </w:r>
            <w:r w:rsidRPr="008035D0">
              <w:rPr>
                <w:rFonts w:asciiTheme="minorHAnsi" w:eastAsia="Arial" w:hAnsiTheme="minorHAnsi" w:cs="Arial"/>
                <w:sz w:val="18"/>
                <w:szCs w:val="18"/>
              </w:rPr>
              <w:t>revenue under Options 1 and 2 were provided in</w:t>
            </w:r>
            <w:r w:rsidR="00084CB7">
              <w:rPr>
                <w:rFonts w:asciiTheme="minorHAnsi" w:eastAsia="Arial" w:hAnsiTheme="minorHAnsi" w:cs="Arial"/>
                <w:sz w:val="18"/>
                <w:szCs w:val="18"/>
              </w:rPr>
              <w:t>:</w:t>
            </w:r>
          </w:p>
          <w:p w14:paraId="17F91A85" w14:textId="77777777" w:rsidR="004820C4" w:rsidRDefault="00191D13" w:rsidP="00084CB7">
            <w:pPr>
              <w:pStyle w:val="ListParagraph"/>
              <w:numPr>
                <w:ilvl w:val="0"/>
                <w:numId w:val="126"/>
              </w:numPr>
              <w:ind w:left="318" w:hanging="142"/>
              <w:rPr>
                <w:rFonts w:asciiTheme="minorHAnsi" w:eastAsia="Arial" w:hAnsiTheme="minorHAnsi" w:cs="Arial"/>
                <w:sz w:val="18"/>
                <w:szCs w:val="18"/>
              </w:rPr>
            </w:pPr>
            <w:r w:rsidRPr="00084CB7">
              <w:rPr>
                <w:rFonts w:asciiTheme="minorHAnsi" w:eastAsia="Arial" w:hAnsiTheme="minorHAnsi" w:cs="Arial"/>
                <w:i/>
                <w:sz w:val="18"/>
                <w:szCs w:val="18"/>
              </w:rPr>
              <w:t>Information Sheet 1</w:t>
            </w:r>
            <w:r w:rsidR="00084CB7" w:rsidRPr="00084CB7">
              <w:rPr>
                <w:rFonts w:asciiTheme="minorHAnsi" w:eastAsia="Arial" w:hAnsiTheme="minorHAnsi" w:cs="Arial"/>
                <w:i/>
                <w:sz w:val="18"/>
                <w:szCs w:val="18"/>
              </w:rPr>
              <w:t>: A Better Blue Mountains</w:t>
            </w:r>
            <w:r w:rsidR="00084CB7">
              <w:rPr>
                <w:rFonts w:asciiTheme="minorHAnsi" w:eastAsia="Arial" w:hAnsiTheme="minorHAnsi" w:cs="Arial"/>
                <w:sz w:val="18"/>
                <w:szCs w:val="18"/>
              </w:rPr>
              <w:t xml:space="preserve"> </w:t>
            </w:r>
            <w:r w:rsidRPr="00084CB7">
              <w:rPr>
                <w:rFonts w:asciiTheme="minorHAnsi" w:eastAsia="Arial" w:hAnsiTheme="minorHAnsi" w:cs="Arial"/>
                <w:sz w:val="18"/>
                <w:szCs w:val="18"/>
              </w:rPr>
              <w:t xml:space="preserve"> (</w:t>
            </w:r>
            <w:r w:rsidR="003800C4" w:rsidRPr="00084CB7">
              <w:rPr>
                <w:rFonts w:asciiTheme="minorHAnsi" w:eastAsia="Arial" w:hAnsiTheme="minorHAnsi" w:cs="Arial"/>
                <w:sz w:val="18"/>
                <w:szCs w:val="18"/>
              </w:rPr>
              <w:t xml:space="preserve">see </w:t>
            </w:r>
            <w:r w:rsidR="003800C4" w:rsidRPr="004820C4">
              <w:rPr>
                <w:rFonts w:asciiTheme="minorHAnsi" w:eastAsia="Arial" w:hAnsiTheme="minorHAnsi" w:cs="Arial"/>
                <w:b/>
                <w:sz w:val="18"/>
                <w:szCs w:val="18"/>
              </w:rPr>
              <w:t>Attachment 5b</w:t>
            </w:r>
            <w:r w:rsidR="003800C4" w:rsidRPr="00084CB7">
              <w:rPr>
                <w:rFonts w:asciiTheme="minorHAnsi" w:eastAsia="Arial" w:hAnsiTheme="minorHAnsi" w:cs="Arial"/>
                <w:sz w:val="18"/>
                <w:szCs w:val="18"/>
              </w:rPr>
              <w:t xml:space="preserve">, </w:t>
            </w:r>
            <w:r w:rsidRPr="00084CB7">
              <w:rPr>
                <w:rFonts w:asciiTheme="minorHAnsi" w:eastAsia="Arial" w:hAnsiTheme="minorHAnsi" w:cs="Arial"/>
                <w:sz w:val="18"/>
                <w:szCs w:val="18"/>
              </w:rPr>
              <w:t>pp 16-17)</w:t>
            </w:r>
          </w:p>
          <w:p w14:paraId="3440945A" w14:textId="30C8AFCA" w:rsidR="00084CB7" w:rsidRPr="00084CB7" w:rsidRDefault="004820C4" w:rsidP="00084CB7">
            <w:pPr>
              <w:pStyle w:val="ListParagraph"/>
              <w:numPr>
                <w:ilvl w:val="0"/>
                <w:numId w:val="126"/>
              </w:numPr>
              <w:ind w:left="318" w:hanging="142"/>
              <w:rPr>
                <w:rFonts w:asciiTheme="minorHAnsi" w:eastAsia="Arial" w:hAnsiTheme="minorHAnsi" w:cs="Arial"/>
                <w:sz w:val="18"/>
                <w:szCs w:val="18"/>
              </w:rPr>
            </w:pPr>
            <w:r w:rsidRPr="004820C4">
              <w:rPr>
                <w:rFonts w:asciiTheme="minorHAnsi" w:eastAsia="Arial" w:hAnsiTheme="minorHAnsi" w:cs="Arial"/>
                <w:sz w:val="18"/>
                <w:szCs w:val="18"/>
              </w:rPr>
              <w:t>T</w:t>
            </w:r>
            <w:r w:rsidR="00191D13" w:rsidRPr="004820C4">
              <w:rPr>
                <w:rFonts w:asciiTheme="minorHAnsi" w:eastAsia="Arial" w:hAnsiTheme="minorHAnsi" w:cs="Arial"/>
                <w:sz w:val="18"/>
                <w:szCs w:val="18"/>
              </w:rPr>
              <w:t>h</w:t>
            </w:r>
            <w:r w:rsidR="00191D13" w:rsidRPr="00084CB7">
              <w:rPr>
                <w:rFonts w:asciiTheme="minorHAnsi" w:eastAsia="Arial" w:hAnsiTheme="minorHAnsi" w:cs="Arial"/>
                <w:sz w:val="18"/>
                <w:szCs w:val="18"/>
              </w:rPr>
              <w:t>e F</w:t>
            </w:r>
            <w:r w:rsidR="002B1861">
              <w:rPr>
                <w:rFonts w:asciiTheme="minorHAnsi" w:eastAsia="Arial" w:hAnsiTheme="minorHAnsi" w:cs="Arial"/>
                <w:sz w:val="18"/>
                <w:szCs w:val="18"/>
              </w:rPr>
              <w:t>requently Asked Questions (F</w:t>
            </w:r>
            <w:r w:rsidR="00191D13" w:rsidRPr="00084CB7">
              <w:rPr>
                <w:rFonts w:asciiTheme="minorHAnsi" w:eastAsia="Arial" w:hAnsiTheme="minorHAnsi" w:cs="Arial"/>
                <w:sz w:val="18"/>
                <w:szCs w:val="18"/>
              </w:rPr>
              <w:t>AQ</w:t>
            </w:r>
            <w:r w:rsidR="002B1861">
              <w:rPr>
                <w:rFonts w:asciiTheme="minorHAnsi" w:eastAsia="Arial" w:hAnsiTheme="minorHAnsi" w:cs="Arial"/>
                <w:sz w:val="18"/>
                <w:szCs w:val="18"/>
              </w:rPr>
              <w:t>)</w:t>
            </w:r>
            <w:r w:rsidR="00191D13" w:rsidRPr="00084CB7">
              <w:rPr>
                <w:rFonts w:asciiTheme="minorHAnsi" w:eastAsia="Arial" w:hAnsiTheme="minorHAnsi" w:cs="Arial"/>
                <w:sz w:val="18"/>
                <w:szCs w:val="18"/>
              </w:rPr>
              <w:t xml:space="preserve"> document </w:t>
            </w:r>
            <w:r>
              <w:rPr>
                <w:rFonts w:asciiTheme="minorHAnsi" w:eastAsia="Arial" w:hAnsiTheme="minorHAnsi" w:cs="Arial"/>
                <w:sz w:val="18"/>
                <w:szCs w:val="18"/>
              </w:rPr>
              <w:t xml:space="preserve">under the question – How will the Council spend any additional income? </w:t>
            </w:r>
            <w:r w:rsidR="00191D13" w:rsidRPr="00084CB7">
              <w:rPr>
                <w:rFonts w:asciiTheme="minorHAnsi" w:eastAsia="Arial" w:hAnsiTheme="minorHAnsi" w:cs="Arial"/>
                <w:sz w:val="18"/>
                <w:szCs w:val="18"/>
              </w:rPr>
              <w:t>(</w:t>
            </w:r>
            <w:r w:rsidR="003800C4" w:rsidRPr="00084CB7">
              <w:rPr>
                <w:rFonts w:asciiTheme="minorHAnsi" w:eastAsia="Arial" w:hAnsiTheme="minorHAnsi" w:cs="Arial"/>
                <w:sz w:val="18"/>
                <w:szCs w:val="18"/>
              </w:rPr>
              <w:t xml:space="preserve">see </w:t>
            </w:r>
            <w:r w:rsidR="003800C4" w:rsidRPr="004820C4">
              <w:rPr>
                <w:rFonts w:asciiTheme="minorHAnsi" w:eastAsia="Arial" w:hAnsiTheme="minorHAnsi" w:cs="Arial"/>
                <w:b/>
                <w:sz w:val="18"/>
                <w:szCs w:val="18"/>
              </w:rPr>
              <w:t>Attachment 5b</w:t>
            </w:r>
            <w:r w:rsidR="003800C4" w:rsidRPr="00084CB7">
              <w:rPr>
                <w:rFonts w:asciiTheme="minorHAnsi" w:eastAsia="Arial" w:hAnsiTheme="minorHAnsi" w:cs="Arial"/>
                <w:sz w:val="18"/>
                <w:szCs w:val="18"/>
              </w:rPr>
              <w:t xml:space="preserve">, </w:t>
            </w:r>
            <w:r w:rsidR="00191D13" w:rsidRPr="00084CB7">
              <w:rPr>
                <w:rFonts w:asciiTheme="minorHAnsi" w:eastAsia="Arial" w:hAnsiTheme="minorHAnsi" w:cs="Arial"/>
                <w:sz w:val="18"/>
                <w:szCs w:val="18"/>
              </w:rPr>
              <w:t>pp 2</w:t>
            </w:r>
            <w:r>
              <w:rPr>
                <w:rFonts w:asciiTheme="minorHAnsi" w:eastAsia="Arial" w:hAnsiTheme="minorHAnsi" w:cs="Arial"/>
                <w:sz w:val="18"/>
                <w:szCs w:val="18"/>
              </w:rPr>
              <w:t>0</w:t>
            </w:r>
            <w:r w:rsidR="00191D13" w:rsidRPr="00084CB7">
              <w:rPr>
                <w:rFonts w:asciiTheme="minorHAnsi" w:eastAsia="Arial" w:hAnsiTheme="minorHAnsi" w:cs="Arial"/>
                <w:sz w:val="18"/>
                <w:szCs w:val="18"/>
              </w:rPr>
              <w:t>-23)</w:t>
            </w:r>
          </w:p>
          <w:p w14:paraId="7C06D1C1" w14:textId="0DA80A2B" w:rsidR="00084CB7" w:rsidRDefault="00084CB7" w:rsidP="00084CB7">
            <w:pPr>
              <w:pStyle w:val="ListParagraph"/>
              <w:numPr>
                <w:ilvl w:val="0"/>
                <w:numId w:val="126"/>
              </w:numPr>
              <w:ind w:left="318" w:hanging="142"/>
              <w:rPr>
                <w:rFonts w:asciiTheme="minorHAnsi" w:eastAsia="Arial" w:hAnsiTheme="minorHAnsi" w:cs="Arial"/>
                <w:sz w:val="18"/>
                <w:szCs w:val="18"/>
              </w:rPr>
            </w:pPr>
            <w:r w:rsidRPr="00084CB7">
              <w:rPr>
                <w:rFonts w:asciiTheme="minorHAnsi" w:eastAsia="Arial" w:hAnsiTheme="minorHAnsi" w:cs="Arial"/>
                <w:sz w:val="18"/>
                <w:szCs w:val="18"/>
              </w:rPr>
              <w:t>T</w:t>
            </w:r>
            <w:r w:rsidR="00191D13" w:rsidRPr="00084CB7">
              <w:rPr>
                <w:rFonts w:asciiTheme="minorHAnsi" w:eastAsia="Arial" w:hAnsiTheme="minorHAnsi" w:cs="Arial"/>
                <w:sz w:val="18"/>
                <w:szCs w:val="18"/>
              </w:rPr>
              <w:t>he</w:t>
            </w:r>
            <w:r w:rsidR="003800C4" w:rsidRPr="00084CB7">
              <w:rPr>
                <w:rFonts w:asciiTheme="minorHAnsi" w:eastAsia="Arial" w:hAnsiTheme="minorHAnsi" w:cs="Arial"/>
                <w:sz w:val="18"/>
                <w:szCs w:val="18"/>
              </w:rPr>
              <w:t xml:space="preserve"> exhibited </w:t>
            </w:r>
            <w:r w:rsidR="00191D13" w:rsidRPr="00084CB7">
              <w:rPr>
                <w:rFonts w:asciiTheme="minorHAnsi" w:eastAsia="Arial" w:hAnsiTheme="minorHAnsi" w:cs="Arial"/>
                <w:sz w:val="18"/>
                <w:szCs w:val="18"/>
              </w:rPr>
              <w:t xml:space="preserve"> </w:t>
            </w:r>
            <w:r w:rsidR="00191D13" w:rsidRPr="00084CB7">
              <w:rPr>
                <w:rFonts w:asciiTheme="minorHAnsi" w:eastAsia="Arial" w:hAnsiTheme="minorHAnsi" w:cs="Arial"/>
                <w:i/>
                <w:sz w:val="18"/>
                <w:szCs w:val="18"/>
              </w:rPr>
              <w:t>Resourcing Strategy</w:t>
            </w:r>
            <w:r w:rsidR="003800C4" w:rsidRPr="00084CB7">
              <w:rPr>
                <w:rFonts w:asciiTheme="minorHAnsi" w:eastAsia="Arial" w:hAnsiTheme="minorHAnsi" w:cs="Arial"/>
                <w:i/>
                <w:sz w:val="18"/>
                <w:szCs w:val="18"/>
              </w:rPr>
              <w:t xml:space="preserve"> 2014-2024 </w:t>
            </w:r>
            <w:r w:rsidR="00191D13" w:rsidRPr="00084CB7">
              <w:rPr>
                <w:rFonts w:asciiTheme="minorHAnsi" w:eastAsia="Arial" w:hAnsiTheme="minorHAnsi" w:cs="Arial"/>
                <w:i/>
                <w:sz w:val="18"/>
                <w:szCs w:val="18"/>
              </w:rPr>
              <w:t xml:space="preserve"> </w:t>
            </w:r>
            <w:r w:rsidR="00191D13" w:rsidRPr="00084CB7">
              <w:rPr>
                <w:rFonts w:asciiTheme="minorHAnsi" w:eastAsia="Arial" w:hAnsiTheme="minorHAnsi" w:cs="Arial"/>
                <w:sz w:val="18"/>
                <w:szCs w:val="18"/>
              </w:rPr>
              <w:t>(</w:t>
            </w:r>
            <w:r w:rsidR="003800C4" w:rsidRPr="00084CB7">
              <w:rPr>
                <w:rFonts w:asciiTheme="minorHAnsi" w:eastAsia="Arial" w:hAnsiTheme="minorHAnsi" w:cs="Arial"/>
                <w:sz w:val="18"/>
                <w:szCs w:val="18"/>
              </w:rPr>
              <w:t xml:space="preserve">see </w:t>
            </w:r>
            <w:r w:rsidR="003800C4" w:rsidRPr="004820C4">
              <w:rPr>
                <w:rFonts w:asciiTheme="minorHAnsi" w:eastAsia="Arial" w:hAnsiTheme="minorHAnsi" w:cs="Arial"/>
                <w:b/>
                <w:sz w:val="18"/>
                <w:szCs w:val="18"/>
              </w:rPr>
              <w:t>Attachment 13</w:t>
            </w:r>
            <w:r w:rsidR="003800C4" w:rsidRPr="00084CB7">
              <w:rPr>
                <w:rFonts w:asciiTheme="minorHAnsi" w:eastAsia="Arial" w:hAnsiTheme="minorHAnsi" w:cs="Arial"/>
                <w:sz w:val="18"/>
                <w:szCs w:val="18"/>
              </w:rPr>
              <w:t>, page</w:t>
            </w:r>
            <w:r w:rsidR="004820C4">
              <w:rPr>
                <w:rFonts w:asciiTheme="minorHAnsi" w:eastAsia="Arial" w:hAnsiTheme="minorHAnsi" w:cs="Arial"/>
                <w:sz w:val="18"/>
                <w:szCs w:val="18"/>
              </w:rPr>
              <w:t xml:space="preserve"> 31 and page</w:t>
            </w:r>
            <w:r w:rsidR="003800C4" w:rsidRPr="00084CB7">
              <w:rPr>
                <w:rFonts w:asciiTheme="minorHAnsi" w:eastAsia="Arial" w:hAnsiTheme="minorHAnsi" w:cs="Arial"/>
                <w:sz w:val="18"/>
                <w:szCs w:val="18"/>
              </w:rPr>
              <w:t>s 94-95</w:t>
            </w:r>
            <w:r w:rsidR="00191D13" w:rsidRPr="00084CB7">
              <w:rPr>
                <w:rFonts w:asciiTheme="minorHAnsi" w:eastAsia="Arial" w:hAnsiTheme="minorHAnsi" w:cs="Arial"/>
                <w:sz w:val="18"/>
                <w:szCs w:val="18"/>
              </w:rPr>
              <w:t>)</w:t>
            </w:r>
            <w:r w:rsidR="003800C4" w:rsidRPr="00084CB7">
              <w:rPr>
                <w:rFonts w:asciiTheme="minorHAnsi" w:eastAsia="Arial" w:hAnsiTheme="minorHAnsi" w:cs="Arial"/>
                <w:sz w:val="18"/>
                <w:szCs w:val="18"/>
              </w:rPr>
              <w:t xml:space="preserve"> </w:t>
            </w:r>
          </w:p>
          <w:p w14:paraId="029AC108" w14:textId="10C33290" w:rsidR="002B1861" w:rsidRPr="00084CB7" w:rsidRDefault="002B1861" w:rsidP="00084CB7">
            <w:pPr>
              <w:pStyle w:val="ListParagraph"/>
              <w:numPr>
                <w:ilvl w:val="0"/>
                <w:numId w:val="126"/>
              </w:numPr>
              <w:ind w:left="318" w:hanging="142"/>
              <w:rPr>
                <w:rFonts w:asciiTheme="minorHAnsi" w:eastAsia="Arial" w:hAnsiTheme="minorHAnsi" w:cs="Arial"/>
                <w:sz w:val="18"/>
                <w:szCs w:val="18"/>
              </w:rPr>
            </w:pPr>
            <w:r>
              <w:rPr>
                <w:rFonts w:asciiTheme="minorHAnsi" w:eastAsia="Arial" w:hAnsiTheme="minorHAnsi" w:cs="Arial"/>
                <w:sz w:val="18"/>
                <w:szCs w:val="18"/>
              </w:rPr>
              <w:t>The exhibited Service Dashboards: Summary Service and Asset Plans (showing how expenditure under the different funding options would impact service levels)</w:t>
            </w:r>
          </w:p>
          <w:p w14:paraId="0592E652" w14:textId="4B3FFD11" w:rsidR="00191D13" w:rsidRPr="00084CB7" w:rsidRDefault="00084CB7" w:rsidP="00084CB7">
            <w:pPr>
              <w:pStyle w:val="ListParagraph"/>
              <w:numPr>
                <w:ilvl w:val="0"/>
                <w:numId w:val="126"/>
              </w:numPr>
              <w:ind w:left="318" w:hanging="142"/>
              <w:rPr>
                <w:rFonts w:asciiTheme="minorHAnsi" w:eastAsia="Arial" w:hAnsiTheme="minorHAnsi" w:cs="Arial"/>
                <w:sz w:val="18"/>
                <w:szCs w:val="18"/>
              </w:rPr>
            </w:pPr>
            <w:r w:rsidRPr="00084CB7">
              <w:rPr>
                <w:rFonts w:asciiTheme="minorHAnsi" w:eastAsia="Arial" w:hAnsiTheme="minorHAnsi" w:cs="Arial"/>
                <w:sz w:val="18"/>
                <w:szCs w:val="18"/>
              </w:rPr>
              <w:t>T</w:t>
            </w:r>
            <w:r w:rsidR="003800C4" w:rsidRPr="00084CB7">
              <w:rPr>
                <w:rFonts w:asciiTheme="minorHAnsi" w:eastAsia="Arial" w:hAnsiTheme="minorHAnsi" w:cs="Arial"/>
                <w:sz w:val="18"/>
                <w:szCs w:val="18"/>
              </w:rPr>
              <w:t xml:space="preserve">he exhibited Supplementary Delivery Program (see </w:t>
            </w:r>
            <w:r w:rsidR="003800C4" w:rsidRPr="004820C4">
              <w:rPr>
                <w:rFonts w:asciiTheme="minorHAnsi" w:eastAsia="Arial" w:hAnsiTheme="minorHAnsi" w:cs="Arial"/>
                <w:b/>
                <w:sz w:val="18"/>
                <w:szCs w:val="18"/>
              </w:rPr>
              <w:t>Attachment 2</w:t>
            </w:r>
            <w:r w:rsidR="003800C4" w:rsidRPr="00084CB7">
              <w:rPr>
                <w:rFonts w:asciiTheme="minorHAnsi" w:eastAsia="Arial" w:hAnsiTheme="minorHAnsi" w:cs="Arial"/>
                <w:sz w:val="18"/>
                <w:szCs w:val="18"/>
              </w:rPr>
              <w:t>, pages 23 – 33.</w:t>
            </w:r>
          </w:p>
          <w:p w14:paraId="42654FBF" w14:textId="194A8890" w:rsidR="00191D13" w:rsidRPr="008035D0" w:rsidRDefault="00191D13" w:rsidP="00191D13">
            <w:pPr>
              <w:pStyle w:val="BodyText"/>
              <w:spacing w:before="0" w:line="240" w:lineRule="auto"/>
              <w:jc w:val="left"/>
              <w:rPr>
                <w:rFonts w:ascii="Calibri" w:hAnsi="Calibri" w:cs="Arial"/>
                <w:sz w:val="18"/>
                <w:szCs w:val="18"/>
              </w:rPr>
            </w:pPr>
          </w:p>
        </w:tc>
      </w:tr>
    </w:tbl>
    <w:p w14:paraId="4CBC90B9" w14:textId="4695A05D" w:rsidR="00455222" w:rsidRDefault="00455222" w:rsidP="00720BD7">
      <w:pPr>
        <w:pStyle w:val="BodyText"/>
        <w:spacing w:after="120"/>
        <w:rPr>
          <w:rFonts w:ascii="Arial" w:hAnsi="Arial" w:cs="Arial"/>
          <w:b/>
          <w:sz w:val="20"/>
          <w:szCs w:val="20"/>
        </w:rPr>
      </w:pPr>
    </w:p>
    <w:p w14:paraId="7535D983" w14:textId="77777777" w:rsidR="00455222" w:rsidRDefault="00455222">
      <w:pPr>
        <w:rPr>
          <w:rFonts w:ascii="Arial" w:hAnsi="Arial" w:cs="Arial"/>
          <w:b/>
          <w:sz w:val="20"/>
          <w:szCs w:val="20"/>
        </w:rPr>
      </w:pPr>
      <w:r>
        <w:rPr>
          <w:rFonts w:ascii="Arial" w:hAnsi="Arial" w:cs="Arial"/>
          <w:b/>
          <w:sz w:val="20"/>
          <w:szCs w:val="20"/>
        </w:rPr>
        <w:br w:type="page"/>
      </w:r>
    </w:p>
    <w:p w14:paraId="18D704EA" w14:textId="3866854F" w:rsidR="00D60EA5" w:rsidRPr="002C54BE" w:rsidRDefault="006671F8" w:rsidP="00DA6C33">
      <w:pPr>
        <w:pStyle w:val="Heading2"/>
        <w:ind w:left="0" w:firstLine="0"/>
      </w:pPr>
      <w:bookmarkStart w:id="91" w:name="_Toc366160413"/>
      <w:bookmarkStart w:id="92" w:name="_Toc412798923"/>
      <w:r>
        <w:t>F</w:t>
      </w:r>
      <w:r w:rsidR="00D60EA5">
        <w:t>eedback</w:t>
      </w:r>
      <w:r w:rsidR="00D60EA5" w:rsidRPr="002C54BE">
        <w:t xml:space="preserve"> from </w:t>
      </w:r>
      <w:r w:rsidR="00D60EA5">
        <w:t xml:space="preserve">the </w:t>
      </w:r>
      <w:r w:rsidR="00D60EA5" w:rsidRPr="002C54BE">
        <w:t>community consultations</w:t>
      </w:r>
      <w:bookmarkEnd w:id="91"/>
      <w:bookmarkEnd w:id="92"/>
    </w:p>
    <w:p w14:paraId="18D704EB" w14:textId="77777777" w:rsidR="00D60EA5" w:rsidRPr="001B22A1" w:rsidRDefault="00D60EA5" w:rsidP="00DA6C33">
      <w:pPr>
        <w:pStyle w:val="BodyText"/>
        <w:rPr>
          <w:color w:val="548DD4" w:themeColor="text2" w:themeTint="99"/>
        </w:rPr>
      </w:pPr>
      <w:r w:rsidRPr="001B22A1">
        <w:rPr>
          <w:color w:val="548DD4" w:themeColor="text2" w:themeTint="99"/>
        </w:rPr>
        <w:t>S</w:t>
      </w:r>
      <w:r w:rsidR="00D77B17" w:rsidRPr="001B22A1">
        <w:rPr>
          <w:color w:val="548DD4" w:themeColor="text2" w:themeTint="99"/>
        </w:rPr>
        <w:t>ummarise the outcomes and feedback from</w:t>
      </w:r>
      <w:r w:rsidRPr="001B22A1">
        <w:rPr>
          <w:color w:val="548DD4" w:themeColor="text2" w:themeTint="99"/>
        </w:rPr>
        <w:t xml:space="preserve"> </w:t>
      </w:r>
      <w:r w:rsidR="009E7E19" w:rsidRPr="001B22A1">
        <w:rPr>
          <w:color w:val="548DD4" w:themeColor="text2" w:themeTint="99"/>
        </w:rPr>
        <w:t xml:space="preserve">the </w:t>
      </w:r>
      <w:r w:rsidR="00445306" w:rsidRPr="001B22A1">
        <w:rPr>
          <w:color w:val="548DD4" w:themeColor="text2" w:themeTint="99"/>
        </w:rPr>
        <w:t>council’s</w:t>
      </w:r>
      <w:r w:rsidRPr="001B22A1">
        <w:rPr>
          <w:color w:val="548DD4" w:themeColor="text2" w:themeTint="99"/>
        </w:rPr>
        <w:t xml:space="preserve"> community engagement activities. </w:t>
      </w:r>
      <w:r w:rsidR="00D77B17" w:rsidRPr="001B22A1">
        <w:rPr>
          <w:color w:val="548DD4" w:themeColor="text2" w:themeTint="99"/>
        </w:rPr>
        <w:t xml:space="preserve"> O</w:t>
      </w:r>
      <w:r w:rsidRPr="001B22A1">
        <w:rPr>
          <w:color w:val="548DD4" w:themeColor="text2" w:themeTint="99"/>
        </w:rPr>
        <w:t xml:space="preserve">utcomes could include the number of attendees at events and participants in online forums, as well as evidence of media reports and other indicators of public awareness of the council’s </w:t>
      </w:r>
      <w:r w:rsidR="00445306" w:rsidRPr="001B22A1">
        <w:rPr>
          <w:color w:val="548DD4" w:themeColor="text2" w:themeTint="99"/>
        </w:rPr>
        <w:t xml:space="preserve">special variation </w:t>
      </w:r>
      <w:r w:rsidRPr="001B22A1">
        <w:rPr>
          <w:color w:val="548DD4" w:themeColor="text2" w:themeTint="99"/>
        </w:rPr>
        <w:t>intentions.  Where applicable, provide evidence of responses to surveys, particularly the level of support for specific programs or projects, levels and types of services, investment in assets, as well as the options proposed for funding them by rate increases.</w:t>
      </w:r>
    </w:p>
    <w:p w14:paraId="18D704EC" w14:textId="77777777" w:rsidR="00D60EA5" w:rsidRDefault="00D60EA5" w:rsidP="00DA6C33">
      <w:pPr>
        <w:pStyle w:val="BodyText"/>
        <w:rPr>
          <w:color w:val="548DD4" w:themeColor="text2" w:themeTint="99"/>
        </w:rPr>
      </w:pPr>
      <w:r w:rsidRPr="001B22A1">
        <w:rPr>
          <w:color w:val="548DD4" w:themeColor="text2" w:themeTint="99"/>
        </w:rPr>
        <w:t xml:space="preserve">Where the council has received submissions from the community relevant to the special variation, the application should set out the views expressed in those submissions.  </w:t>
      </w:r>
      <w:r w:rsidR="002D00DA" w:rsidRPr="001B22A1">
        <w:rPr>
          <w:color w:val="548DD4" w:themeColor="text2" w:themeTint="99"/>
        </w:rPr>
        <w:t>Please refer to Section 1.</w:t>
      </w:r>
      <w:r w:rsidR="0078506E" w:rsidRPr="001B22A1">
        <w:rPr>
          <w:color w:val="548DD4" w:themeColor="text2" w:themeTint="99"/>
        </w:rPr>
        <w:t>2</w:t>
      </w:r>
      <w:r w:rsidR="002D00DA" w:rsidRPr="001B22A1">
        <w:rPr>
          <w:color w:val="548DD4" w:themeColor="text2" w:themeTint="99"/>
        </w:rPr>
        <w:t xml:space="preserve"> concerning how the council should handle confidential content in feedback received from the community.</w:t>
      </w:r>
      <w:r w:rsidR="00D66A08" w:rsidRPr="001B22A1">
        <w:rPr>
          <w:color w:val="548DD4" w:themeColor="text2" w:themeTint="99"/>
        </w:rPr>
        <w:t xml:space="preserve">  The council </w:t>
      </w:r>
      <w:r w:rsidRPr="001B22A1">
        <w:rPr>
          <w:color w:val="548DD4" w:themeColor="text2" w:themeTint="99"/>
        </w:rPr>
        <w:t>should also identify and document any action th</w:t>
      </w:r>
      <w:r w:rsidR="00D66A08" w:rsidRPr="001B22A1">
        <w:rPr>
          <w:color w:val="548DD4" w:themeColor="text2" w:themeTint="99"/>
        </w:rPr>
        <w:t xml:space="preserve">at it has </w:t>
      </w:r>
      <w:r w:rsidRPr="001B22A1">
        <w:rPr>
          <w:color w:val="548DD4" w:themeColor="text2" w:themeTint="99"/>
        </w:rPr>
        <w:t>taken, or will take, to address issues of common concern</w:t>
      </w:r>
      <w:r w:rsidR="00D66A08" w:rsidRPr="001B22A1">
        <w:rPr>
          <w:color w:val="548DD4" w:themeColor="text2" w:themeTint="99"/>
        </w:rPr>
        <w:t xml:space="preserve"> within the community</w:t>
      </w:r>
      <w:r w:rsidRPr="001B22A1">
        <w:rPr>
          <w:color w:val="548DD4" w:themeColor="text2" w:themeTint="99"/>
        </w:rPr>
        <w:t>.</w:t>
      </w:r>
      <w:r w:rsidR="00A76397" w:rsidRPr="001B22A1">
        <w:rPr>
          <w:color w:val="548DD4" w:themeColor="text2" w:themeTint="99"/>
        </w:rPr>
        <w:t xml:space="preserve">  </w:t>
      </w:r>
    </w:p>
    <w:p w14:paraId="50D4A8D4" w14:textId="77777777" w:rsidR="00013EB0" w:rsidRDefault="00013EB0" w:rsidP="00013EB0">
      <w:pPr>
        <w:pStyle w:val="Heading3"/>
        <w:tabs>
          <w:tab w:val="clear" w:pos="1844"/>
        </w:tabs>
        <w:ind w:left="709"/>
      </w:pPr>
      <w:r>
        <w:t>Introduction</w:t>
      </w:r>
    </w:p>
    <w:p w14:paraId="007C887E" w14:textId="77777777" w:rsidR="00F61CEE" w:rsidRDefault="00D45AEE" w:rsidP="00000B79">
      <w:pPr>
        <w:pStyle w:val="Default"/>
        <w:spacing w:before="240" w:line="276" w:lineRule="auto"/>
        <w:jc w:val="both"/>
        <w:rPr>
          <w:sz w:val="20"/>
          <w:szCs w:val="20"/>
        </w:rPr>
      </w:pPr>
      <w:r w:rsidRPr="006671F8">
        <w:rPr>
          <w:sz w:val="20"/>
          <w:szCs w:val="20"/>
        </w:rPr>
        <w:t xml:space="preserve">This section </w:t>
      </w:r>
      <w:r>
        <w:rPr>
          <w:sz w:val="20"/>
          <w:szCs w:val="20"/>
        </w:rPr>
        <w:t>summarises the outcomes of the consultation process undertaken by</w:t>
      </w:r>
      <w:r w:rsidRPr="006671F8">
        <w:rPr>
          <w:sz w:val="20"/>
          <w:szCs w:val="20"/>
        </w:rPr>
        <w:t xml:space="preserve"> the Council on the options for </w:t>
      </w:r>
      <w:r w:rsidRPr="006671F8">
        <w:rPr>
          <w:i/>
          <w:sz w:val="20"/>
          <w:szCs w:val="20"/>
        </w:rPr>
        <w:t>Resourcing Our Future</w:t>
      </w:r>
      <w:r>
        <w:rPr>
          <w:sz w:val="20"/>
          <w:szCs w:val="20"/>
        </w:rPr>
        <w:t xml:space="preserve">. </w:t>
      </w:r>
    </w:p>
    <w:p w14:paraId="41E4E929" w14:textId="2DE66C9A" w:rsidR="00D45AEE" w:rsidRDefault="00D45AEE" w:rsidP="00000B79">
      <w:pPr>
        <w:pStyle w:val="Default"/>
        <w:spacing w:before="240" w:line="276" w:lineRule="auto"/>
        <w:jc w:val="both"/>
        <w:rPr>
          <w:sz w:val="20"/>
          <w:szCs w:val="20"/>
        </w:rPr>
      </w:pPr>
      <w:r>
        <w:rPr>
          <w:sz w:val="20"/>
          <w:szCs w:val="20"/>
        </w:rPr>
        <w:t xml:space="preserve">Further analysis of the results of the community engagement can be found in the attached </w:t>
      </w:r>
      <w:r w:rsidRPr="000A614F">
        <w:rPr>
          <w:i/>
          <w:sz w:val="20"/>
          <w:szCs w:val="20"/>
        </w:rPr>
        <w:t>Outcomes of Resourcing Our Future Community Consultation Report</w:t>
      </w:r>
      <w:r>
        <w:rPr>
          <w:sz w:val="20"/>
          <w:szCs w:val="20"/>
        </w:rPr>
        <w:t xml:space="preserve"> (</w:t>
      </w:r>
      <w:r w:rsidRPr="00455222">
        <w:rPr>
          <w:b/>
          <w:sz w:val="20"/>
          <w:szCs w:val="20"/>
        </w:rPr>
        <w:t>Attachment 6a</w:t>
      </w:r>
      <w:r>
        <w:rPr>
          <w:sz w:val="20"/>
          <w:szCs w:val="20"/>
        </w:rPr>
        <w:t>), the report on the outcomes of an independently conducted telephone s</w:t>
      </w:r>
      <w:r w:rsidR="00DC35CA">
        <w:rPr>
          <w:sz w:val="20"/>
          <w:szCs w:val="20"/>
        </w:rPr>
        <w:t>urvey of a representative cross-section of ratepayers (</w:t>
      </w:r>
      <w:r w:rsidRPr="00455222">
        <w:rPr>
          <w:b/>
          <w:sz w:val="20"/>
          <w:szCs w:val="20"/>
        </w:rPr>
        <w:t>Att</w:t>
      </w:r>
      <w:r w:rsidR="00DC35CA" w:rsidRPr="00455222">
        <w:rPr>
          <w:b/>
          <w:sz w:val="20"/>
          <w:szCs w:val="20"/>
        </w:rPr>
        <w:t>achment 6b</w:t>
      </w:r>
      <w:r w:rsidR="00DC35CA">
        <w:rPr>
          <w:sz w:val="20"/>
          <w:szCs w:val="20"/>
        </w:rPr>
        <w:t>) and in the report on the results of five a</w:t>
      </w:r>
      <w:r>
        <w:rPr>
          <w:sz w:val="20"/>
          <w:szCs w:val="20"/>
        </w:rPr>
        <w:t>rea</w:t>
      </w:r>
      <w:r w:rsidR="00DC35CA">
        <w:rPr>
          <w:sz w:val="20"/>
          <w:szCs w:val="20"/>
        </w:rPr>
        <w:t>-based community w</w:t>
      </w:r>
      <w:r>
        <w:rPr>
          <w:sz w:val="20"/>
          <w:szCs w:val="20"/>
        </w:rPr>
        <w:t>orkshops conducted</w:t>
      </w:r>
      <w:r w:rsidR="00DC35CA">
        <w:rPr>
          <w:sz w:val="20"/>
          <w:szCs w:val="20"/>
        </w:rPr>
        <w:t xml:space="preserve"> with a randomly selected cross-</w:t>
      </w:r>
      <w:r>
        <w:rPr>
          <w:sz w:val="20"/>
          <w:szCs w:val="20"/>
        </w:rPr>
        <w:t>section of residents taking into consideration</w:t>
      </w:r>
      <w:r w:rsidR="00DC35CA">
        <w:rPr>
          <w:sz w:val="20"/>
          <w:szCs w:val="20"/>
        </w:rPr>
        <w:t>, age, gender and location (</w:t>
      </w:r>
      <w:r w:rsidRPr="00455222">
        <w:rPr>
          <w:b/>
          <w:sz w:val="20"/>
          <w:szCs w:val="20"/>
        </w:rPr>
        <w:t>Attachment 6c</w:t>
      </w:r>
      <w:r>
        <w:rPr>
          <w:sz w:val="20"/>
          <w:szCs w:val="20"/>
        </w:rPr>
        <w:t>).</w:t>
      </w:r>
    </w:p>
    <w:p w14:paraId="05D19474" w14:textId="77777777" w:rsidR="00D45AEE" w:rsidRDefault="00D45AEE" w:rsidP="00000B79">
      <w:pPr>
        <w:pStyle w:val="Default"/>
        <w:spacing w:line="276" w:lineRule="auto"/>
        <w:jc w:val="both"/>
        <w:rPr>
          <w:sz w:val="20"/>
          <w:szCs w:val="20"/>
        </w:rPr>
      </w:pPr>
    </w:p>
    <w:p w14:paraId="7BE12D14" w14:textId="1800DD73" w:rsidR="00455222" w:rsidRDefault="00E63E20" w:rsidP="00000B79">
      <w:pPr>
        <w:pStyle w:val="Default"/>
        <w:spacing w:line="276" w:lineRule="auto"/>
        <w:jc w:val="both"/>
        <w:rPr>
          <w:sz w:val="20"/>
          <w:szCs w:val="20"/>
        </w:rPr>
      </w:pPr>
      <w:r w:rsidRPr="00E63E20">
        <w:rPr>
          <w:sz w:val="20"/>
          <w:szCs w:val="20"/>
        </w:rPr>
        <w:t>A comprehensive program of community engagement and consultation was implemented over the period 4 August to 15 Septemb</w:t>
      </w:r>
      <w:r w:rsidR="00DC35CA">
        <w:rPr>
          <w:sz w:val="20"/>
          <w:szCs w:val="20"/>
        </w:rPr>
        <w:t>er 2014 (43</w:t>
      </w:r>
      <w:r w:rsidRPr="00E63E20">
        <w:rPr>
          <w:sz w:val="20"/>
          <w:szCs w:val="20"/>
        </w:rPr>
        <w:t xml:space="preserve"> days) on the proposed </w:t>
      </w:r>
      <w:r w:rsidR="00455222">
        <w:rPr>
          <w:sz w:val="20"/>
          <w:szCs w:val="20"/>
        </w:rPr>
        <w:t xml:space="preserve">three </w:t>
      </w:r>
      <w:r w:rsidRPr="00E63E20">
        <w:rPr>
          <w:sz w:val="20"/>
          <w:szCs w:val="20"/>
        </w:rPr>
        <w:t xml:space="preserve">options for </w:t>
      </w:r>
      <w:r w:rsidRPr="00E63E20">
        <w:rPr>
          <w:i/>
          <w:sz w:val="20"/>
          <w:szCs w:val="20"/>
        </w:rPr>
        <w:t>Resourcing Our Future.</w:t>
      </w:r>
      <w:r w:rsidRPr="00E63E20">
        <w:rPr>
          <w:sz w:val="20"/>
          <w:szCs w:val="20"/>
        </w:rPr>
        <w:t xml:space="preserve"> </w:t>
      </w:r>
    </w:p>
    <w:p w14:paraId="6388F3E1" w14:textId="77777777" w:rsidR="00455222" w:rsidRDefault="00455222" w:rsidP="00000B79">
      <w:pPr>
        <w:pStyle w:val="Default"/>
        <w:spacing w:line="276" w:lineRule="auto"/>
        <w:jc w:val="both"/>
        <w:rPr>
          <w:sz w:val="20"/>
          <w:szCs w:val="20"/>
        </w:rPr>
      </w:pPr>
    </w:p>
    <w:p w14:paraId="48B0BFF8" w14:textId="77777777" w:rsidR="00455222" w:rsidRDefault="00E63E20" w:rsidP="00000B79">
      <w:pPr>
        <w:pStyle w:val="Default"/>
        <w:spacing w:line="276" w:lineRule="auto"/>
        <w:jc w:val="both"/>
        <w:rPr>
          <w:sz w:val="20"/>
          <w:szCs w:val="20"/>
        </w:rPr>
      </w:pPr>
      <w:r>
        <w:rPr>
          <w:sz w:val="20"/>
          <w:szCs w:val="20"/>
        </w:rPr>
        <w:t xml:space="preserve">Overall, </w:t>
      </w:r>
      <w:r w:rsidR="00D45AEE">
        <w:rPr>
          <w:sz w:val="20"/>
          <w:szCs w:val="20"/>
        </w:rPr>
        <w:t xml:space="preserve">community </w:t>
      </w:r>
      <w:r w:rsidR="00AB34E9">
        <w:rPr>
          <w:sz w:val="20"/>
          <w:szCs w:val="20"/>
        </w:rPr>
        <w:t xml:space="preserve">engagement </w:t>
      </w:r>
      <w:r w:rsidR="00D45AEE">
        <w:rPr>
          <w:sz w:val="20"/>
          <w:szCs w:val="20"/>
        </w:rPr>
        <w:t xml:space="preserve">was highly successful </w:t>
      </w:r>
      <w:r w:rsidR="007C5062">
        <w:rPr>
          <w:sz w:val="20"/>
          <w:szCs w:val="20"/>
        </w:rPr>
        <w:t xml:space="preserve">relative to the </w:t>
      </w:r>
      <w:r w:rsidR="00F61CEE">
        <w:rPr>
          <w:sz w:val="20"/>
          <w:szCs w:val="20"/>
        </w:rPr>
        <w:t xml:space="preserve">scale of </w:t>
      </w:r>
      <w:r w:rsidR="00D45AEE">
        <w:rPr>
          <w:sz w:val="20"/>
          <w:szCs w:val="20"/>
        </w:rPr>
        <w:t xml:space="preserve">response </w:t>
      </w:r>
      <w:r w:rsidR="00F61CEE">
        <w:rPr>
          <w:sz w:val="20"/>
          <w:szCs w:val="20"/>
        </w:rPr>
        <w:t xml:space="preserve">from </w:t>
      </w:r>
      <w:r w:rsidR="00D45AEE">
        <w:rPr>
          <w:sz w:val="20"/>
          <w:szCs w:val="20"/>
        </w:rPr>
        <w:t xml:space="preserve">the broader community </w:t>
      </w:r>
      <w:r w:rsidR="00DC35CA">
        <w:rPr>
          <w:sz w:val="20"/>
          <w:szCs w:val="20"/>
        </w:rPr>
        <w:t>–</w:t>
      </w:r>
      <w:r w:rsidR="007C5062">
        <w:rPr>
          <w:sz w:val="20"/>
          <w:szCs w:val="20"/>
        </w:rPr>
        <w:t xml:space="preserve"> </w:t>
      </w:r>
      <w:r w:rsidR="00681DD5">
        <w:rPr>
          <w:sz w:val="20"/>
          <w:szCs w:val="20"/>
        </w:rPr>
        <w:t>with</w:t>
      </w:r>
      <w:r w:rsidR="00DC35CA">
        <w:rPr>
          <w:sz w:val="20"/>
          <w:szCs w:val="20"/>
        </w:rPr>
        <w:t xml:space="preserve"> </w:t>
      </w:r>
      <w:r w:rsidR="00681DD5">
        <w:rPr>
          <w:sz w:val="20"/>
          <w:szCs w:val="20"/>
        </w:rPr>
        <w:t xml:space="preserve">over 4,300 </w:t>
      </w:r>
      <w:r w:rsidR="00F61CEE">
        <w:rPr>
          <w:sz w:val="20"/>
          <w:szCs w:val="20"/>
        </w:rPr>
        <w:t xml:space="preserve">public </w:t>
      </w:r>
      <w:r>
        <w:rPr>
          <w:sz w:val="20"/>
          <w:szCs w:val="20"/>
        </w:rPr>
        <w:t xml:space="preserve">submissions </w:t>
      </w:r>
      <w:r w:rsidR="00681DD5">
        <w:rPr>
          <w:sz w:val="20"/>
          <w:szCs w:val="20"/>
        </w:rPr>
        <w:t xml:space="preserve">being </w:t>
      </w:r>
      <w:r>
        <w:rPr>
          <w:sz w:val="20"/>
          <w:szCs w:val="20"/>
        </w:rPr>
        <w:t xml:space="preserve">received </w:t>
      </w:r>
      <w:r w:rsidR="00DC35CA">
        <w:rPr>
          <w:sz w:val="20"/>
          <w:szCs w:val="20"/>
        </w:rPr>
        <w:t>–</w:t>
      </w:r>
      <w:r w:rsidR="007C5062">
        <w:rPr>
          <w:sz w:val="20"/>
          <w:szCs w:val="20"/>
        </w:rPr>
        <w:t xml:space="preserve"> </w:t>
      </w:r>
      <w:r>
        <w:rPr>
          <w:sz w:val="20"/>
          <w:szCs w:val="20"/>
        </w:rPr>
        <w:t>and</w:t>
      </w:r>
      <w:r w:rsidR="00DC35CA">
        <w:rPr>
          <w:sz w:val="20"/>
          <w:szCs w:val="20"/>
        </w:rPr>
        <w:t xml:space="preserve"> </w:t>
      </w:r>
      <w:r>
        <w:rPr>
          <w:sz w:val="20"/>
          <w:szCs w:val="20"/>
        </w:rPr>
        <w:t xml:space="preserve">as evidenced from media </w:t>
      </w:r>
      <w:r w:rsidR="007C5062">
        <w:rPr>
          <w:sz w:val="20"/>
          <w:szCs w:val="20"/>
        </w:rPr>
        <w:t xml:space="preserve">articles </w:t>
      </w:r>
      <w:r>
        <w:rPr>
          <w:sz w:val="20"/>
          <w:szCs w:val="20"/>
        </w:rPr>
        <w:t xml:space="preserve">in the local newspaper (see </w:t>
      </w:r>
      <w:r w:rsidRPr="00455222">
        <w:rPr>
          <w:b/>
          <w:sz w:val="20"/>
          <w:szCs w:val="20"/>
        </w:rPr>
        <w:t>Attachment 5b</w:t>
      </w:r>
      <w:r>
        <w:rPr>
          <w:sz w:val="20"/>
          <w:szCs w:val="20"/>
        </w:rPr>
        <w:t>).</w:t>
      </w:r>
      <w:r w:rsidR="007C5062">
        <w:rPr>
          <w:sz w:val="20"/>
          <w:szCs w:val="20"/>
        </w:rPr>
        <w:t xml:space="preserve"> </w:t>
      </w:r>
    </w:p>
    <w:p w14:paraId="7B7F5A82" w14:textId="77777777" w:rsidR="00455222" w:rsidRDefault="00455222" w:rsidP="00000B79">
      <w:pPr>
        <w:pStyle w:val="Default"/>
        <w:spacing w:line="276" w:lineRule="auto"/>
        <w:jc w:val="both"/>
        <w:rPr>
          <w:sz w:val="20"/>
          <w:szCs w:val="20"/>
        </w:rPr>
      </w:pPr>
    </w:p>
    <w:p w14:paraId="690938D0" w14:textId="77777777" w:rsidR="00455222" w:rsidRDefault="007C5062" w:rsidP="00000B79">
      <w:pPr>
        <w:pStyle w:val="Default"/>
        <w:spacing w:line="276" w:lineRule="auto"/>
        <w:jc w:val="both"/>
        <w:rPr>
          <w:sz w:val="20"/>
          <w:szCs w:val="20"/>
        </w:rPr>
      </w:pPr>
      <w:r>
        <w:rPr>
          <w:sz w:val="20"/>
          <w:szCs w:val="20"/>
        </w:rPr>
        <w:t>Councillors were provided with a full copy of the submissions re</w:t>
      </w:r>
      <w:r w:rsidR="00DC35CA">
        <w:rPr>
          <w:sz w:val="20"/>
          <w:szCs w:val="20"/>
        </w:rPr>
        <w:t>ceived to inform their decision-</w:t>
      </w:r>
      <w:r>
        <w:rPr>
          <w:sz w:val="20"/>
          <w:szCs w:val="20"/>
        </w:rPr>
        <w:t>making on which option to proceed with.</w:t>
      </w:r>
      <w:r w:rsidR="00455222">
        <w:rPr>
          <w:sz w:val="20"/>
          <w:szCs w:val="20"/>
        </w:rPr>
        <w:t xml:space="preserve"> </w:t>
      </w:r>
    </w:p>
    <w:p w14:paraId="12A09C41" w14:textId="77777777" w:rsidR="00455222" w:rsidRDefault="00455222" w:rsidP="00000B79">
      <w:pPr>
        <w:pStyle w:val="Default"/>
        <w:spacing w:line="276" w:lineRule="auto"/>
        <w:jc w:val="both"/>
        <w:rPr>
          <w:sz w:val="20"/>
          <w:szCs w:val="20"/>
        </w:rPr>
      </w:pPr>
    </w:p>
    <w:p w14:paraId="40E49F21" w14:textId="0E4150B4" w:rsidR="00E63E20" w:rsidRDefault="00455222" w:rsidP="00000B79">
      <w:pPr>
        <w:pStyle w:val="Default"/>
        <w:spacing w:line="276" w:lineRule="auto"/>
        <w:jc w:val="both"/>
        <w:rPr>
          <w:sz w:val="20"/>
          <w:szCs w:val="20"/>
        </w:rPr>
      </w:pPr>
      <w:r>
        <w:rPr>
          <w:sz w:val="20"/>
          <w:szCs w:val="20"/>
        </w:rPr>
        <w:t xml:space="preserve">Comprehensive governance procedures and protocols were implemented to ensure a fair and equitable submission process.  </w:t>
      </w:r>
    </w:p>
    <w:p w14:paraId="44986C96" w14:textId="77777777" w:rsidR="00E63E20" w:rsidRDefault="00E63E20" w:rsidP="00000B79">
      <w:pPr>
        <w:pStyle w:val="Default"/>
        <w:spacing w:line="276" w:lineRule="auto"/>
        <w:jc w:val="both"/>
        <w:rPr>
          <w:sz w:val="20"/>
          <w:szCs w:val="20"/>
        </w:rPr>
      </w:pPr>
    </w:p>
    <w:p w14:paraId="1D9FF67E" w14:textId="478C3FC3" w:rsidR="00D45AEE" w:rsidRDefault="00722F9E" w:rsidP="00000B79">
      <w:pPr>
        <w:pStyle w:val="Default"/>
        <w:spacing w:line="276" w:lineRule="auto"/>
        <w:jc w:val="both"/>
        <w:rPr>
          <w:sz w:val="20"/>
          <w:szCs w:val="20"/>
        </w:rPr>
      </w:pPr>
      <w:r>
        <w:rPr>
          <w:sz w:val="20"/>
          <w:szCs w:val="20"/>
        </w:rPr>
        <w:t xml:space="preserve">The following table shows the </w:t>
      </w:r>
      <w:r w:rsidR="00D45AEE">
        <w:rPr>
          <w:sz w:val="20"/>
          <w:szCs w:val="20"/>
        </w:rPr>
        <w:t xml:space="preserve">estimated </w:t>
      </w:r>
      <w:r>
        <w:rPr>
          <w:sz w:val="20"/>
          <w:szCs w:val="20"/>
        </w:rPr>
        <w:t xml:space="preserve">number of people </w:t>
      </w:r>
      <w:r w:rsidR="004948FF">
        <w:rPr>
          <w:sz w:val="20"/>
          <w:szCs w:val="20"/>
        </w:rPr>
        <w:t>who</w:t>
      </w:r>
      <w:r>
        <w:rPr>
          <w:sz w:val="20"/>
          <w:szCs w:val="20"/>
        </w:rPr>
        <w:t xml:space="preserve"> </w:t>
      </w:r>
      <w:r w:rsidR="004948FF">
        <w:rPr>
          <w:sz w:val="20"/>
          <w:szCs w:val="20"/>
        </w:rPr>
        <w:t xml:space="preserve">were </w:t>
      </w:r>
      <w:r>
        <w:rPr>
          <w:sz w:val="20"/>
          <w:szCs w:val="20"/>
        </w:rPr>
        <w:t xml:space="preserve">engaged </w:t>
      </w:r>
      <w:r w:rsidR="004948FF">
        <w:rPr>
          <w:sz w:val="20"/>
          <w:szCs w:val="20"/>
        </w:rPr>
        <w:t xml:space="preserve">in the </w:t>
      </w:r>
      <w:r w:rsidR="004948FF" w:rsidRPr="004948FF">
        <w:rPr>
          <w:i/>
          <w:sz w:val="20"/>
          <w:szCs w:val="20"/>
        </w:rPr>
        <w:t>Resourcing Our Future</w:t>
      </w:r>
      <w:r w:rsidR="004948FF">
        <w:rPr>
          <w:sz w:val="20"/>
          <w:szCs w:val="20"/>
        </w:rPr>
        <w:t xml:space="preserve"> </w:t>
      </w:r>
      <w:r w:rsidR="00F61CEE">
        <w:rPr>
          <w:sz w:val="20"/>
          <w:szCs w:val="20"/>
        </w:rPr>
        <w:t>engagement process</w:t>
      </w:r>
      <w:r w:rsidR="004B5661">
        <w:rPr>
          <w:sz w:val="20"/>
          <w:szCs w:val="20"/>
        </w:rPr>
        <w:t xml:space="preserve"> by</w:t>
      </w:r>
      <w:r w:rsidR="00D45AEE">
        <w:rPr>
          <w:sz w:val="20"/>
          <w:szCs w:val="20"/>
        </w:rPr>
        <w:t xml:space="preserve"> type of consultation and eng</w:t>
      </w:r>
      <w:r w:rsidR="00F61CEE">
        <w:rPr>
          <w:sz w:val="20"/>
          <w:szCs w:val="20"/>
        </w:rPr>
        <w:t>age</w:t>
      </w:r>
      <w:r w:rsidR="00D45AEE">
        <w:rPr>
          <w:sz w:val="20"/>
          <w:szCs w:val="20"/>
        </w:rPr>
        <w:t xml:space="preserve">ment </w:t>
      </w:r>
      <w:r w:rsidR="004B5661">
        <w:rPr>
          <w:sz w:val="20"/>
          <w:szCs w:val="20"/>
        </w:rPr>
        <w:t>activity.</w:t>
      </w:r>
      <w:r w:rsidR="00D45AEE">
        <w:rPr>
          <w:sz w:val="20"/>
          <w:szCs w:val="20"/>
        </w:rPr>
        <w:br w:type="page"/>
      </w:r>
    </w:p>
    <w:p w14:paraId="6D81FAE8" w14:textId="4EF93521" w:rsidR="00CB16F5" w:rsidRPr="00C70AD6" w:rsidRDefault="00FA0E8D" w:rsidP="00CB16F5">
      <w:pPr>
        <w:pStyle w:val="BodyText"/>
        <w:rPr>
          <w:rFonts w:asciiTheme="minorHAnsi" w:hAnsiTheme="minorHAnsi" w:cs="Arial"/>
          <w:b/>
          <w:sz w:val="18"/>
          <w:szCs w:val="18"/>
        </w:rPr>
      </w:pPr>
      <w:r>
        <w:rPr>
          <w:rFonts w:asciiTheme="minorHAnsi" w:hAnsiTheme="minorHAnsi" w:cs="Arial"/>
          <w:b/>
          <w:sz w:val="18"/>
          <w:szCs w:val="18"/>
        </w:rPr>
        <w:t>Table 4.3</w:t>
      </w:r>
      <w:r w:rsidR="00CB16F5" w:rsidRPr="00C70AD6">
        <w:rPr>
          <w:rFonts w:asciiTheme="minorHAnsi" w:hAnsiTheme="minorHAnsi" w:cs="Arial"/>
          <w:b/>
          <w:sz w:val="18"/>
          <w:szCs w:val="18"/>
        </w:rPr>
        <w:t xml:space="preserve"> </w:t>
      </w:r>
      <w:r w:rsidR="00DA4A13">
        <w:rPr>
          <w:rFonts w:asciiTheme="minorHAnsi" w:hAnsiTheme="minorHAnsi" w:cs="Arial"/>
          <w:b/>
          <w:sz w:val="18"/>
          <w:szCs w:val="18"/>
        </w:rPr>
        <w:t>Overview of Number of residents an</w:t>
      </w:r>
      <w:r w:rsidR="00DC35CA">
        <w:rPr>
          <w:rFonts w:asciiTheme="minorHAnsi" w:hAnsiTheme="minorHAnsi" w:cs="Arial"/>
          <w:b/>
          <w:sz w:val="18"/>
          <w:szCs w:val="18"/>
        </w:rPr>
        <w:t>d Ratepayers Engaged by Type of</w:t>
      </w:r>
      <w:r w:rsidR="00DA4A13">
        <w:rPr>
          <w:rFonts w:asciiTheme="minorHAnsi" w:hAnsiTheme="minorHAnsi" w:cs="Arial"/>
          <w:b/>
          <w:sz w:val="18"/>
          <w:szCs w:val="18"/>
        </w:rPr>
        <w:t xml:space="preserve"> Engagement Activity</w:t>
      </w:r>
    </w:p>
    <w:tbl>
      <w:tblPr>
        <w:tblStyle w:val="TableGrid"/>
        <w:tblW w:w="0" w:type="auto"/>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536"/>
        <w:gridCol w:w="3969"/>
      </w:tblGrid>
      <w:tr w:rsidR="000E01D0" w:rsidRPr="00573C71" w14:paraId="30EFF5CD" w14:textId="77777777" w:rsidTr="006B3922">
        <w:trPr>
          <w:trHeight w:val="454"/>
        </w:trPr>
        <w:tc>
          <w:tcPr>
            <w:tcW w:w="4536" w:type="dxa"/>
            <w:shd w:val="clear" w:color="auto" w:fill="365F91" w:themeFill="accent1" w:themeFillShade="BF"/>
            <w:vAlign w:val="center"/>
          </w:tcPr>
          <w:p w14:paraId="343AED4A" w14:textId="78D19531" w:rsidR="000E01D0" w:rsidRPr="00573C71" w:rsidRDefault="000E01D0" w:rsidP="00722F9E">
            <w:pPr>
              <w:pStyle w:val="Default"/>
              <w:spacing w:before="40" w:after="40"/>
              <w:rPr>
                <w:b/>
                <w:color w:val="FFFFFF" w:themeColor="background1"/>
                <w:sz w:val="20"/>
                <w:szCs w:val="20"/>
              </w:rPr>
            </w:pPr>
            <w:r w:rsidRPr="00573C71">
              <w:rPr>
                <w:b/>
                <w:color w:val="FFFFFF" w:themeColor="background1"/>
                <w:sz w:val="20"/>
                <w:szCs w:val="20"/>
              </w:rPr>
              <w:t>Type of Engagement</w:t>
            </w:r>
          </w:p>
        </w:tc>
        <w:tc>
          <w:tcPr>
            <w:tcW w:w="3969" w:type="dxa"/>
            <w:shd w:val="clear" w:color="auto" w:fill="365F91" w:themeFill="accent1" w:themeFillShade="BF"/>
            <w:vAlign w:val="center"/>
          </w:tcPr>
          <w:p w14:paraId="5508A347" w14:textId="58DEB03D" w:rsidR="000E01D0" w:rsidRPr="00573C71" w:rsidRDefault="000E01D0" w:rsidP="005B4F88">
            <w:pPr>
              <w:pStyle w:val="Default"/>
              <w:spacing w:before="40" w:after="40"/>
              <w:jc w:val="center"/>
              <w:rPr>
                <w:b/>
                <w:color w:val="FFFFFF" w:themeColor="background1"/>
                <w:sz w:val="20"/>
                <w:szCs w:val="20"/>
              </w:rPr>
            </w:pPr>
            <w:r w:rsidRPr="00573C71">
              <w:rPr>
                <w:b/>
                <w:color w:val="FFFFFF" w:themeColor="background1"/>
                <w:sz w:val="20"/>
                <w:szCs w:val="20"/>
              </w:rPr>
              <w:t>Number of residents/ratepayers engaged</w:t>
            </w:r>
          </w:p>
        </w:tc>
      </w:tr>
      <w:tr w:rsidR="00D2107E" w:rsidRPr="00573C71" w14:paraId="2C5640FC" w14:textId="77777777" w:rsidTr="006B3922">
        <w:tc>
          <w:tcPr>
            <w:tcW w:w="4536" w:type="dxa"/>
            <w:shd w:val="clear" w:color="auto" w:fill="DBE5F1" w:themeFill="accent1" w:themeFillTint="33"/>
            <w:vAlign w:val="center"/>
          </w:tcPr>
          <w:p w14:paraId="292FC82D" w14:textId="1DB96B26" w:rsidR="00D2107E" w:rsidRPr="00573C71" w:rsidRDefault="00D2107E" w:rsidP="00D2107E">
            <w:pPr>
              <w:pStyle w:val="Default"/>
              <w:spacing w:before="40" w:after="40"/>
              <w:rPr>
                <w:sz w:val="20"/>
                <w:szCs w:val="20"/>
              </w:rPr>
            </w:pPr>
            <w:r w:rsidRPr="006B3922">
              <w:rPr>
                <w:b/>
                <w:sz w:val="20"/>
                <w:szCs w:val="20"/>
              </w:rPr>
              <w:t>Mail out to ratepayers</w:t>
            </w:r>
            <w:r w:rsidR="00455222">
              <w:rPr>
                <w:sz w:val="20"/>
                <w:szCs w:val="20"/>
              </w:rPr>
              <w:t xml:space="preserve"> – Letter from Mayor and four page brochure</w:t>
            </w:r>
          </w:p>
        </w:tc>
        <w:tc>
          <w:tcPr>
            <w:tcW w:w="3969" w:type="dxa"/>
            <w:shd w:val="clear" w:color="auto" w:fill="DBE5F1" w:themeFill="accent1" w:themeFillTint="33"/>
            <w:vAlign w:val="center"/>
          </w:tcPr>
          <w:p w14:paraId="291F2EE1" w14:textId="356DF0CB" w:rsidR="00D2107E" w:rsidRPr="00573C71" w:rsidRDefault="00455222" w:rsidP="00455222">
            <w:pPr>
              <w:pStyle w:val="Default"/>
              <w:numPr>
                <w:ilvl w:val="0"/>
                <w:numId w:val="107"/>
              </w:numPr>
              <w:spacing w:before="40" w:after="40"/>
              <w:rPr>
                <w:sz w:val="20"/>
                <w:szCs w:val="20"/>
              </w:rPr>
            </w:pPr>
            <w:r>
              <w:rPr>
                <w:sz w:val="20"/>
                <w:szCs w:val="20"/>
              </w:rPr>
              <w:t xml:space="preserve">Sent to </w:t>
            </w:r>
            <w:r w:rsidR="00D2107E" w:rsidRPr="00573C71">
              <w:rPr>
                <w:sz w:val="20"/>
                <w:szCs w:val="20"/>
              </w:rPr>
              <w:t>32,5</w:t>
            </w:r>
            <w:r>
              <w:rPr>
                <w:sz w:val="20"/>
                <w:szCs w:val="20"/>
              </w:rPr>
              <w:t xml:space="preserve">31 ratepayers </w:t>
            </w:r>
            <w:r w:rsidR="00D2107E" w:rsidRPr="00573C71">
              <w:rPr>
                <w:sz w:val="20"/>
                <w:szCs w:val="20"/>
              </w:rPr>
              <w:t>with reply paid submission form</w:t>
            </w:r>
            <w:r>
              <w:rPr>
                <w:sz w:val="20"/>
                <w:szCs w:val="20"/>
              </w:rPr>
              <w:t xml:space="preserve"> to support input being provided</w:t>
            </w:r>
          </w:p>
        </w:tc>
      </w:tr>
      <w:tr w:rsidR="00D2107E" w:rsidRPr="00573C71" w14:paraId="7D15864B" w14:textId="77777777" w:rsidTr="006B3922">
        <w:tc>
          <w:tcPr>
            <w:tcW w:w="4536" w:type="dxa"/>
            <w:shd w:val="clear" w:color="auto" w:fill="DBE5F1" w:themeFill="accent1" w:themeFillTint="33"/>
          </w:tcPr>
          <w:p w14:paraId="1CBFF9B2" w14:textId="79BE8835" w:rsidR="00D2107E" w:rsidRPr="00573C71" w:rsidRDefault="00D2107E" w:rsidP="000E01D0">
            <w:pPr>
              <w:pStyle w:val="Default"/>
              <w:spacing w:before="40" w:after="40"/>
              <w:rPr>
                <w:sz w:val="20"/>
                <w:szCs w:val="20"/>
              </w:rPr>
            </w:pPr>
            <w:r w:rsidRPr="006B3922">
              <w:rPr>
                <w:b/>
                <w:sz w:val="20"/>
                <w:szCs w:val="20"/>
              </w:rPr>
              <w:t xml:space="preserve">Public exhibition </w:t>
            </w:r>
            <w:r w:rsidR="00455222" w:rsidRPr="006B3922">
              <w:rPr>
                <w:b/>
                <w:sz w:val="20"/>
                <w:szCs w:val="20"/>
              </w:rPr>
              <w:t>of IPR documents</w:t>
            </w:r>
            <w:r w:rsidR="00455222">
              <w:rPr>
                <w:sz w:val="20"/>
                <w:szCs w:val="20"/>
              </w:rPr>
              <w:t xml:space="preserve"> </w:t>
            </w:r>
            <w:r w:rsidRPr="006B3922">
              <w:rPr>
                <w:b/>
                <w:sz w:val="20"/>
                <w:szCs w:val="20"/>
              </w:rPr>
              <w:t>and call for submissions</w:t>
            </w:r>
            <w:r w:rsidR="00455222">
              <w:rPr>
                <w:sz w:val="20"/>
                <w:szCs w:val="20"/>
              </w:rPr>
              <w:t xml:space="preserve"> </w:t>
            </w:r>
            <w:r w:rsidR="00D867AB">
              <w:rPr>
                <w:sz w:val="20"/>
                <w:szCs w:val="20"/>
              </w:rPr>
              <w:t xml:space="preserve">over 43 days at same time </w:t>
            </w:r>
            <w:r w:rsidR="00455222">
              <w:rPr>
                <w:sz w:val="20"/>
                <w:szCs w:val="20"/>
              </w:rPr>
              <w:t xml:space="preserve">community engagement </w:t>
            </w:r>
            <w:r w:rsidR="00D867AB">
              <w:rPr>
                <w:sz w:val="20"/>
                <w:szCs w:val="20"/>
              </w:rPr>
              <w:t>activities implemented</w:t>
            </w:r>
          </w:p>
          <w:p w14:paraId="198375A7" w14:textId="77777777" w:rsidR="006B3922" w:rsidRDefault="006B3922" w:rsidP="00D867AB">
            <w:pPr>
              <w:pStyle w:val="Default"/>
              <w:spacing w:before="40" w:after="40"/>
              <w:rPr>
                <w:i/>
                <w:sz w:val="20"/>
                <w:szCs w:val="20"/>
              </w:rPr>
            </w:pPr>
          </w:p>
          <w:p w14:paraId="66AF9A47" w14:textId="72008BDA" w:rsidR="00D867AB" w:rsidRDefault="00D45AEE" w:rsidP="00D867AB">
            <w:pPr>
              <w:pStyle w:val="Default"/>
              <w:spacing w:before="40" w:after="40"/>
              <w:rPr>
                <w:i/>
                <w:sz w:val="20"/>
                <w:szCs w:val="20"/>
              </w:rPr>
            </w:pPr>
            <w:r w:rsidRPr="00573C71">
              <w:rPr>
                <w:i/>
                <w:sz w:val="20"/>
                <w:szCs w:val="20"/>
              </w:rPr>
              <w:t xml:space="preserve">IPR documents </w:t>
            </w:r>
            <w:r w:rsidR="00D867AB">
              <w:rPr>
                <w:i/>
                <w:sz w:val="20"/>
                <w:szCs w:val="20"/>
              </w:rPr>
              <w:t>exhibited included:</w:t>
            </w:r>
            <w:r w:rsidR="00455222">
              <w:rPr>
                <w:i/>
                <w:sz w:val="20"/>
                <w:szCs w:val="20"/>
              </w:rPr>
              <w:t xml:space="preserve"> Resourcing </w:t>
            </w:r>
            <w:r w:rsidR="00D867AB">
              <w:rPr>
                <w:i/>
                <w:sz w:val="20"/>
                <w:szCs w:val="20"/>
              </w:rPr>
              <w:t>S</w:t>
            </w:r>
            <w:r w:rsidR="00455222">
              <w:rPr>
                <w:i/>
                <w:sz w:val="20"/>
                <w:szCs w:val="20"/>
              </w:rPr>
              <w:t>trategy 2014-2024</w:t>
            </w:r>
            <w:r w:rsidR="00D867AB">
              <w:rPr>
                <w:i/>
                <w:sz w:val="20"/>
                <w:szCs w:val="20"/>
              </w:rPr>
              <w:t>; its  companion document Service Dashboards: Summary Service and Asset Plans 2014;</w:t>
            </w:r>
            <w:r w:rsidR="00455222">
              <w:rPr>
                <w:i/>
                <w:sz w:val="20"/>
                <w:szCs w:val="20"/>
              </w:rPr>
              <w:t xml:space="preserve"> and Supplementary Delivery Program 2015/16- 2018/19 </w:t>
            </w:r>
          </w:p>
          <w:p w14:paraId="1D7C411B" w14:textId="77777777" w:rsidR="00D867AB" w:rsidRDefault="00D867AB" w:rsidP="00D867AB">
            <w:pPr>
              <w:pStyle w:val="Default"/>
              <w:spacing w:before="40" w:after="40"/>
              <w:rPr>
                <w:i/>
                <w:sz w:val="20"/>
                <w:szCs w:val="20"/>
              </w:rPr>
            </w:pPr>
          </w:p>
          <w:p w14:paraId="02740674" w14:textId="0E14602F" w:rsidR="00D45AEE" w:rsidRPr="00573C71" w:rsidRDefault="00D867AB" w:rsidP="00D867AB">
            <w:pPr>
              <w:pStyle w:val="Default"/>
              <w:spacing w:before="40" w:after="40"/>
              <w:rPr>
                <w:sz w:val="20"/>
                <w:szCs w:val="20"/>
              </w:rPr>
            </w:pPr>
            <w:r>
              <w:rPr>
                <w:i/>
                <w:sz w:val="20"/>
                <w:szCs w:val="20"/>
              </w:rPr>
              <w:t xml:space="preserve">All exhibited documents </w:t>
            </w:r>
            <w:r w:rsidR="00455222">
              <w:rPr>
                <w:i/>
                <w:sz w:val="20"/>
                <w:szCs w:val="20"/>
              </w:rPr>
              <w:t>show</w:t>
            </w:r>
            <w:r>
              <w:rPr>
                <w:i/>
                <w:sz w:val="20"/>
                <w:szCs w:val="20"/>
              </w:rPr>
              <w:t xml:space="preserve">ed </w:t>
            </w:r>
            <w:r w:rsidR="00455222">
              <w:rPr>
                <w:i/>
                <w:sz w:val="20"/>
                <w:szCs w:val="20"/>
              </w:rPr>
              <w:t xml:space="preserve"> the impact of the three </w:t>
            </w:r>
            <w:r w:rsidR="00D45AEE" w:rsidRPr="00573C71">
              <w:rPr>
                <w:i/>
                <w:sz w:val="20"/>
                <w:szCs w:val="20"/>
              </w:rPr>
              <w:t xml:space="preserve">alternative options for Resourcing Our Future </w:t>
            </w:r>
            <w:r>
              <w:rPr>
                <w:i/>
                <w:sz w:val="20"/>
                <w:szCs w:val="20"/>
              </w:rPr>
              <w:t>on service levels</w:t>
            </w:r>
          </w:p>
        </w:tc>
        <w:tc>
          <w:tcPr>
            <w:tcW w:w="3969" w:type="dxa"/>
            <w:shd w:val="clear" w:color="auto" w:fill="DBE5F1" w:themeFill="accent1" w:themeFillTint="33"/>
            <w:vAlign w:val="center"/>
          </w:tcPr>
          <w:p w14:paraId="38284CC2" w14:textId="317D0D2E" w:rsidR="00D2107E" w:rsidRPr="00573C71" w:rsidRDefault="00D2107E" w:rsidP="00695720">
            <w:pPr>
              <w:pStyle w:val="Default"/>
              <w:numPr>
                <w:ilvl w:val="0"/>
                <w:numId w:val="107"/>
              </w:numPr>
              <w:spacing w:before="40" w:after="40"/>
              <w:rPr>
                <w:sz w:val="20"/>
                <w:szCs w:val="20"/>
              </w:rPr>
            </w:pPr>
            <w:r w:rsidRPr="00573C71">
              <w:rPr>
                <w:sz w:val="20"/>
                <w:szCs w:val="20"/>
              </w:rPr>
              <w:t>4,312 valid submissions received</w:t>
            </w:r>
          </w:p>
        </w:tc>
      </w:tr>
      <w:tr w:rsidR="004E092B" w:rsidRPr="00573C71" w14:paraId="7F4BD842" w14:textId="77777777" w:rsidTr="006B3922">
        <w:tc>
          <w:tcPr>
            <w:tcW w:w="4536" w:type="dxa"/>
            <w:shd w:val="clear" w:color="auto" w:fill="DBE5F1" w:themeFill="accent1" w:themeFillTint="33"/>
          </w:tcPr>
          <w:p w14:paraId="6999834A" w14:textId="0356F3EE" w:rsidR="004E092B" w:rsidRPr="00573C71" w:rsidRDefault="004E092B" w:rsidP="004E092B">
            <w:pPr>
              <w:pStyle w:val="Default"/>
              <w:spacing w:before="40" w:after="40"/>
              <w:rPr>
                <w:sz w:val="20"/>
                <w:szCs w:val="20"/>
              </w:rPr>
            </w:pPr>
            <w:r w:rsidRPr="00573C71">
              <w:rPr>
                <w:sz w:val="20"/>
                <w:szCs w:val="20"/>
              </w:rPr>
              <w:t>Online activity</w:t>
            </w:r>
          </w:p>
        </w:tc>
        <w:tc>
          <w:tcPr>
            <w:tcW w:w="3969" w:type="dxa"/>
            <w:shd w:val="clear" w:color="auto" w:fill="DBE5F1" w:themeFill="accent1" w:themeFillTint="33"/>
            <w:vAlign w:val="center"/>
          </w:tcPr>
          <w:p w14:paraId="414E98E1" w14:textId="1A0221B5" w:rsidR="004E092B" w:rsidRPr="00573C71" w:rsidRDefault="004E092B" w:rsidP="00695720">
            <w:pPr>
              <w:pStyle w:val="Default"/>
              <w:numPr>
                <w:ilvl w:val="0"/>
                <w:numId w:val="107"/>
              </w:numPr>
              <w:spacing w:before="40" w:after="40"/>
              <w:rPr>
                <w:sz w:val="20"/>
                <w:szCs w:val="20"/>
              </w:rPr>
            </w:pPr>
            <w:r w:rsidRPr="00573C71">
              <w:rPr>
                <w:sz w:val="20"/>
                <w:szCs w:val="20"/>
              </w:rPr>
              <w:t xml:space="preserve">1,133 unique visits to the </w:t>
            </w:r>
            <w:r w:rsidRPr="006B3922">
              <w:rPr>
                <w:i/>
                <w:sz w:val="20"/>
                <w:szCs w:val="20"/>
              </w:rPr>
              <w:t xml:space="preserve">Have Your Say </w:t>
            </w:r>
            <w:r w:rsidR="006B3922" w:rsidRPr="006B3922">
              <w:rPr>
                <w:i/>
                <w:sz w:val="20"/>
                <w:szCs w:val="20"/>
              </w:rPr>
              <w:t>Resourcing Our Future</w:t>
            </w:r>
            <w:r w:rsidR="006B3922">
              <w:rPr>
                <w:sz w:val="20"/>
                <w:szCs w:val="20"/>
              </w:rPr>
              <w:t xml:space="preserve"> </w:t>
            </w:r>
            <w:r w:rsidRPr="00573C71">
              <w:rPr>
                <w:sz w:val="20"/>
                <w:szCs w:val="20"/>
              </w:rPr>
              <w:t>website</w:t>
            </w:r>
          </w:p>
        </w:tc>
      </w:tr>
      <w:tr w:rsidR="000E01D0" w:rsidRPr="00573C71" w14:paraId="295B30E5" w14:textId="77777777" w:rsidTr="006B3922">
        <w:tc>
          <w:tcPr>
            <w:tcW w:w="4536" w:type="dxa"/>
            <w:shd w:val="clear" w:color="auto" w:fill="DBE5F1" w:themeFill="accent1" w:themeFillTint="33"/>
          </w:tcPr>
          <w:p w14:paraId="2BDD65F8" w14:textId="511DC34D" w:rsidR="000E01D0" w:rsidRPr="00573C71" w:rsidRDefault="005D4737" w:rsidP="0003151F">
            <w:pPr>
              <w:pStyle w:val="Default"/>
              <w:spacing w:before="40" w:after="40"/>
              <w:rPr>
                <w:sz w:val="20"/>
                <w:szCs w:val="20"/>
              </w:rPr>
            </w:pPr>
            <w:r w:rsidRPr="00573C71">
              <w:rPr>
                <w:sz w:val="20"/>
                <w:szCs w:val="20"/>
              </w:rPr>
              <w:t xml:space="preserve">Independent </w:t>
            </w:r>
            <w:r w:rsidR="000E01D0" w:rsidRPr="00573C71">
              <w:rPr>
                <w:sz w:val="20"/>
                <w:szCs w:val="20"/>
              </w:rPr>
              <w:t>Telephone survey</w:t>
            </w:r>
            <w:r w:rsidRPr="00573C71">
              <w:rPr>
                <w:sz w:val="20"/>
                <w:szCs w:val="20"/>
              </w:rPr>
              <w:t xml:space="preserve"> </w:t>
            </w:r>
            <w:r w:rsidR="0003151F">
              <w:rPr>
                <w:sz w:val="20"/>
                <w:szCs w:val="20"/>
              </w:rPr>
              <w:t xml:space="preserve">conducted by </w:t>
            </w:r>
            <w:r w:rsidRPr="00573C71">
              <w:rPr>
                <w:sz w:val="20"/>
                <w:szCs w:val="20"/>
              </w:rPr>
              <w:t>IRIS</w:t>
            </w:r>
            <w:r w:rsidR="0003151F">
              <w:rPr>
                <w:sz w:val="20"/>
                <w:szCs w:val="20"/>
              </w:rPr>
              <w:t xml:space="preserve"> R</w:t>
            </w:r>
            <w:r w:rsidRPr="00573C71">
              <w:rPr>
                <w:sz w:val="20"/>
                <w:szCs w:val="20"/>
              </w:rPr>
              <w:t>esearch</w:t>
            </w:r>
            <w:r w:rsidR="0003151F">
              <w:rPr>
                <w:sz w:val="20"/>
                <w:szCs w:val="20"/>
              </w:rPr>
              <w:t xml:space="preserve"> of a statistically representative sample of ratepayers</w:t>
            </w:r>
          </w:p>
        </w:tc>
        <w:tc>
          <w:tcPr>
            <w:tcW w:w="3969" w:type="dxa"/>
            <w:shd w:val="clear" w:color="auto" w:fill="DBE5F1" w:themeFill="accent1" w:themeFillTint="33"/>
            <w:vAlign w:val="center"/>
          </w:tcPr>
          <w:p w14:paraId="26AEF7F5" w14:textId="38626B7C" w:rsidR="000E01D0" w:rsidRPr="00573C71" w:rsidRDefault="009A3459" w:rsidP="0003151F">
            <w:pPr>
              <w:pStyle w:val="Default"/>
              <w:numPr>
                <w:ilvl w:val="0"/>
                <w:numId w:val="107"/>
              </w:numPr>
              <w:spacing w:before="40" w:after="40"/>
              <w:rPr>
                <w:sz w:val="20"/>
                <w:szCs w:val="20"/>
              </w:rPr>
            </w:pPr>
            <w:r w:rsidRPr="00573C71">
              <w:rPr>
                <w:sz w:val="20"/>
                <w:szCs w:val="20"/>
              </w:rPr>
              <w:t xml:space="preserve">504 </w:t>
            </w:r>
            <w:r w:rsidR="0003151F">
              <w:rPr>
                <w:sz w:val="20"/>
                <w:szCs w:val="20"/>
              </w:rPr>
              <w:t xml:space="preserve">randomly selected </w:t>
            </w:r>
            <w:r w:rsidRPr="00573C71">
              <w:rPr>
                <w:sz w:val="20"/>
                <w:szCs w:val="20"/>
              </w:rPr>
              <w:t>ratepayers surveyed</w:t>
            </w:r>
          </w:p>
        </w:tc>
      </w:tr>
      <w:tr w:rsidR="000E01D0" w:rsidRPr="00573C71" w14:paraId="27FD081A" w14:textId="77777777" w:rsidTr="006B3922">
        <w:tc>
          <w:tcPr>
            <w:tcW w:w="4536" w:type="dxa"/>
            <w:shd w:val="clear" w:color="auto" w:fill="DBE5F1" w:themeFill="accent1" w:themeFillTint="33"/>
          </w:tcPr>
          <w:p w14:paraId="2A6F9C02" w14:textId="4E9E5946" w:rsidR="000E01D0" w:rsidRPr="00573C71" w:rsidRDefault="0003151F" w:rsidP="0003151F">
            <w:pPr>
              <w:pStyle w:val="Default"/>
              <w:spacing w:before="40" w:after="40"/>
              <w:rPr>
                <w:sz w:val="20"/>
                <w:szCs w:val="20"/>
              </w:rPr>
            </w:pPr>
            <w:r>
              <w:rPr>
                <w:sz w:val="20"/>
                <w:szCs w:val="20"/>
              </w:rPr>
              <w:t xml:space="preserve">3 hour </w:t>
            </w:r>
            <w:r w:rsidR="000E01D0" w:rsidRPr="00573C71">
              <w:rPr>
                <w:sz w:val="20"/>
                <w:szCs w:val="20"/>
              </w:rPr>
              <w:t>Area</w:t>
            </w:r>
            <w:r>
              <w:rPr>
                <w:sz w:val="20"/>
                <w:szCs w:val="20"/>
              </w:rPr>
              <w:t xml:space="preserve"> Community W</w:t>
            </w:r>
            <w:r w:rsidR="000E01D0" w:rsidRPr="00573C71">
              <w:rPr>
                <w:sz w:val="20"/>
                <w:szCs w:val="20"/>
              </w:rPr>
              <w:t>orkshops</w:t>
            </w:r>
            <w:r>
              <w:rPr>
                <w:sz w:val="20"/>
                <w:szCs w:val="20"/>
              </w:rPr>
              <w:t xml:space="preserve"> conducted at Blackheath, Katoomba, Lawson, Springwood and Blaxland</w:t>
            </w:r>
          </w:p>
        </w:tc>
        <w:tc>
          <w:tcPr>
            <w:tcW w:w="3969" w:type="dxa"/>
            <w:shd w:val="clear" w:color="auto" w:fill="DBE5F1" w:themeFill="accent1" w:themeFillTint="33"/>
            <w:vAlign w:val="center"/>
          </w:tcPr>
          <w:p w14:paraId="79758EBB" w14:textId="12E74DBF" w:rsidR="000E01D0" w:rsidRPr="00573C71" w:rsidRDefault="00722F9E" w:rsidP="0003151F">
            <w:pPr>
              <w:pStyle w:val="Default"/>
              <w:numPr>
                <w:ilvl w:val="0"/>
                <w:numId w:val="107"/>
              </w:numPr>
              <w:spacing w:before="40" w:after="40"/>
              <w:rPr>
                <w:sz w:val="20"/>
                <w:szCs w:val="20"/>
              </w:rPr>
            </w:pPr>
            <w:r w:rsidRPr="00573C71">
              <w:rPr>
                <w:sz w:val="20"/>
                <w:szCs w:val="20"/>
              </w:rPr>
              <w:t>230 participants recruited</w:t>
            </w:r>
            <w:r w:rsidR="004F6B6B" w:rsidRPr="00573C71">
              <w:rPr>
                <w:sz w:val="20"/>
                <w:szCs w:val="20"/>
              </w:rPr>
              <w:t xml:space="preserve"> </w:t>
            </w:r>
            <w:r w:rsidR="0003151F">
              <w:rPr>
                <w:sz w:val="20"/>
                <w:szCs w:val="20"/>
              </w:rPr>
              <w:t xml:space="preserve">by IRIS Research </w:t>
            </w:r>
            <w:r w:rsidR="004F6B6B" w:rsidRPr="00573C71">
              <w:rPr>
                <w:sz w:val="20"/>
                <w:szCs w:val="20"/>
              </w:rPr>
              <w:t xml:space="preserve">confirmed attendance with </w:t>
            </w:r>
            <w:r w:rsidRPr="00573C71">
              <w:rPr>
                <w:sz w:val="20"/>
                <w:szCs w:val="20"/>
              </w:rPr>
              <w:t xml:space="preserve"> 91 attend</w:t>
            </w:r>
            <w:r w:rsidR="004F6B6B" w:rsidRPr="00573C71">
              <w:rPr>
                <w:sz w:val="20"/>
                <w:szCs w:val="20"/>
              </w:rPr>
              <w:t xml:space="preserve">ing on the </w:t>
            </w:r>
            <w:r w:rsidR="0003151F">
              <w:rPr>
                <w:sz w:val="20"/>
                <w:szCs w:val="20"/>
              </w:rPr>
              <w:t xml:space="preserve">various </w:t>
            </w:r>
            <w:r w:rsidR="004F6B6B" w:rsidRPr="00573C71">
              <w:rPr>
                <w:sz w:val="20"/>
                <w:szCs w:val="20"/>
              </w:rPr>
              <w:t>day</w:t>
            </w:r>
            <w:r w:rsidR="0003151F">
              <w:rPr>
                <w:sz w:val="20"/>
                <w:szCs w:val="20"/>
              </w:rPr>
              <w:t>s</w:t>
            </w:r>
          </w:p>
        </w:tc>
      </w:tr>
      <w:tr w:rsidR="000E01D0" w:rsidRPr="00573C71" w14:paraId="7C916CAA" w14:textId="77777777" w:rsidTr="006B3922">
        <w:tc>
          <w:tcPr>
            <w:tcW w:w="4536" w:type="dxa"/>
            <w:shd w:val="clear" w:color="auto" w:fill="DBE5F1" w:themeFill="accent1" w:themeFillTint="33"/>
          </w:tcPr>
          <w:p w14:paraId="312CA111" w14:textId="52B6C0CE" w:rsidR="000E01D0" w:rsidRPr="00573C71" w:rsidRDefault="000D7287" w:rsidP="000E01D0">
            <w:pPr>
              <w:pStyle w:val="Default"/>
              <w:spacing w:before="40" w:after="40"/>
              <w:rPr>
                <w:sz w:val="20"/>
                <w:szCs w:val="20"/>
              </w:rPr>
            </w:pPr>
            <w:r w:rsidRPr="00573C71">
              <w:rPr>
                <w:sz w:val="20"/>
                <w:szCs w:val="20"/>
              </w:rPr>
              <w:t>Response to e</w:t>
            </w:r>
            <w:r w:rsidR="000E01D0" w:rsidRPr="00573C71">
              <w:rPr>
                <w:sz w:val="20"/>
                <w:szCs w:val="20"/>
              </w:rPr>
              <w:t>nquiries</w:t>
            </w:r>
            <w:r w:rsidRPr="00573C71">
              <w:rPr>
                <w:sz w:val="20"/>
                <w:szCs w:val="20"/>
              </w:rPr>
              <w:t xml:space="preserve"> and submissions</w:t>
            </w:r>
          </w:p>
        </w:tc>
        <w:tc>
          <w:tcPr>
            <w:tcW w:w="3969" w:type="dxa"/>
            <w:shd w:val="clear" w:color="auto" w:fill="DBE5F1" w:themeFill="accent1" w:themeFillTint="33"/>
            <w:vAlign w:val="center"/>
          </w:tcPr>
          <w:p w14:paraId="65077543" w14:textId="7917D2F8" w:rsidR="000E01D0" w:rsidRPr="00573C71" w:rsidRDefault="0003151F" w:rsidP="0003151F">
            <w:pPr>
              <w:pStyle w:val="Default"/>
              <w:numPr>
                <w:ilvl w:val="0"/>
                <w:numId w:val="107"/>
              </w:numPr>
              <w:spacing w:before="40" w:after="40"/>
              <w:rPr>
                <w:sz w:val="20"/>
                <w:szCs w:val="20"/>
              </w:rPr>
            </w:pPr>
            <w:r>
              <w:rPr>
                <w:sz w:val="20"/>
                <w:szCs w:val="20"/>
              </w:rPr>
              <w:t xml:space="preserve">Over </w:t>
            </w:r>
            <w:r w:rsidR="003A7EAD" w:rsidRPr="00573C71">
              <w:rPr>
                <w:sz w:val="20"/>
                <w:szCs w:val="20"/>
              </w:rPr>
              <w:t>150 written submission responses</w:t>
            </w:r>
            <w:r>
              <w:rPr>
                <w:sz w:val="20"/>
                <w:szCs w:val="20"/>
              </w:rPr>
              <w:t xml:space="preserve"> and </w:t>
            </w:r>
            <w:r w:rsidR="003A7EAD" w:rsidRPr="00573C71">
              <w:rPr>
                <w:sz w:val="20"/>
                <w:szCs w:val="20"/>
              </w:rPr>
              <w:t xml:space="preserve"> </w:t>
            </w:r>
            <w:r w:rsidR="000D7287" w:rsidRPr="00573C71">
              <w:rPr>
                <w:sz w:val="20"/>
                <w:szCs w:val="20"/>
              </w:rPr>
              <w:t>35 phone enquiries</w:t>
            </w:r>
            <w:r>
              <w:rPr>
                <w:sz w:val="20"/>
                <w:szCs w:val="20"/>
              </w:rPr>
              <w:t xml:space="preserve"> addressed</w:t>
            </w:r>
            <w:r w:rsidR="000D7287" w:rsidRPr="00573C71">
              <w:rPr>
                <w:sz w:val="20"/>
                <w:szCs w:val="20"/>
              </w:rPr>
              <w:t xml:space="preserve"> </w:t>
            </w:r>
          </w:p>
        </w:tc>
      </w:tr>
    </w:tbl>
    <w:p w14:paraId="7202BE59" w14:textId="77777777" w:rsidR="00CB16F5" w:rsidRDefault="00CB16F5" w:rsidP="00CB16F5"/>
    <w:p w14:paraId="32FC2D96" w14:textId="77777777" w:rsidR="00DD5DED" w:rsidRDefault="00DD5DED" w:rsidP="004B739B">
      <w:pPr>
        <w:pStyle w:val="Default"/>
        <w:jc w:val="both"/>
        <w:rPr>
          <w:sz w:val="20"/>
          <w:szCs w:val="20"/>
        </w:rPr>
      </w:pPr>
    </w:p>
    <w:p w14:paraId="18EFDC54" w14:textId="77777777" w:rsidR="009E5E38" w:rsidRDefault="009E5E38" w:rsidP="00000B79">
      <w:pPr>
        <w:pStyle w:val="Default"/>
        <w:spacing w:line="276" w:lineRule="auto"/>
        <w:jc w:val="both"/>
        <w:rPr>
          <w:sz w:val="20"/>
          <w:szCs w:val="20"/>
        </w:rPr>
      </w:pPr>
      <w:r>
        <w:rPr>
          <w:sz w:val="20"/>
          <w:szCs w:val="20"/>
        </w:rPr>
        <w:t>Three major forms of community consultation and engagement were implemented:</w:t>
      </w:r>
    </w:p>
    <w:p w14:paraId="6992DEAA" w14:textId="77777777" w:rsidR="00000B79" w:rsidRDefault="00000B79" w:rsidP="00000B79">
      <w:pPr>
        <w:pStyle w:val="Default"/>
        <w:spacing w:line="276" w:lineRule="auto"/>
        <w:jc w:val="both"/>
        <w:rPr>
          <w:sz w:val="20"/>
          <w:szCs w:val="20"/>
        </w:rPr>
      </w:pPr>
    </w:p>
    <w:p w14:paraId="00F56E97" w14:textId="19F209F5" w:rsidR="009E5E38" w:rsidRDefault="009E5E38" w:rsidP="00000B79">
      <w:pPr>
        <w:pStyle w:val="Default"/>
        <w:numPr>
          <w:ilvl w:val="0"/>
          <w:numId w:val="101"/>
        </w:numPr>
        <w:spacing w:line="276" w:lineRule="auto"/>
        <w:jc w:val="both"/>
        <w:rPr>
          <w:sz w:val="20"/>
          <w:szCs w:val="20"/>
        </w:rPr>
      </w:pPr>
      <w:r>
        <w:rPr>
          <w:sz w:val="20"/>
          <w:szCs w:val="20"/>
        </w:rPr>
        <w:t>Public Exhibition and Call for submissions – Su</w:t>
      </w:r>
      <w:r w:rsidR="00DC35CA">
        <w:rPr>
          <w:sz w:val="20"/>
          <w:szCs w:val="20"/>
        </w:rPr>
        <w:t>pported by information package m</w:t>
      </w:r>
      <w:r>
        <w:rPr>
          <w:sz w:val="20"/>
          <w:szCs w:val="20"/>
        </w:rPr>
        <w:t>ail</w:t>
      </w:r>
      <w:r w:rsidR="00DC35CA">
        <w:rPr>
          <w:sz w:val="20"/>
          <w:szCs w:val="20"/>
        </w:rPr>
        <w:t>ed o</w:t>
      </w:r>
      <w:r>
        <w:rPr>
          <w:sz w:val="20"/>
          <w:szCs w:val="20"/>
        </w:rPr>
        <w:t xml:space="preserve">ut to </w:t>
      </w:r>
      <w:r w:rsidR="00DC35CA">
        <w:rPr>
          <w:sz w:val="20"/>
          <w:szCs w:val="20"/>
        </w:rPr>
        <w:t>all r</w:t>
      </w:r>
      <w:r>
        <w:rPr>
          <w:sz w:val="20"/>
          <w:szCs w:val="20"/>
        </w:rPr>
        <w:t>atepayers</w:t>
      </w:r>
    </w:p>
    <w:p w14:paraId="587BE9E5" w14:textId="22F97B45" w:rsidR="009E5E38" w:rsidRDefault="009E5E38" w:rsidP="00000B79">
      <w:pPr>
        <w:pStyle w:val="Default"/>
        <w:numPr>
          <w:ilvl w:val="0"/>
          <w:numId w:val="101"/>
        </w:numPr>
        <w:spacing w:line="276" w:lineRule="auto"/>
        <w:jc w:val="both"/>
        <w:rPr>
          <w:sz w:val="20"/>
          <w:szCs w:val="20"/>
        </w:rPr>
      </w:pPr>
      <w:r>
        <w:rPr>
          <w:sz w:val="20"/>
          <w:szCs w:val="20"/>
        </w:rPr>
        <w:t>Independently conducted telephone survey</w:t>
      </w:r>
    </w:p>
    <w:p w14:paraId="1E905AD6" w14:textId="57FAB86B" w:rsidR="009E5E38" w:rsidRDefault="009E5E38" w:rsidP="00000B79">
      <w:pPr>
        <w:pStyle w:val="Default"/>
        <w:numPr>
          <w:ilvl w:val="0"/>
          <w:numId w:val="101"/>
        </w:numPr>
        <w:spacing w:line="276" w:lineRule="auto"/>
        <w:jc w:val="both"/>
        <w:rPr>
          <w:sz w:val="20"/>
          <w:szCs w:val="20"/>
        </w:rPr>
      </w:pPr>
      <w:r>
        <w:rPr>
          <w:sz w:val="20"/>
          <w:szCs w:val="20"/>
        </w:rPr>
        <w:t>Implementation of five Area Community Workshops</w:t>
      </w:r>
    </w:p>
    <w:p w14:paraId="4881BD1C" w14:textId="77777777" w:rsidR="009E5E38" w:rsidRDefault="009E5E38" w:rsidP="00000B79">
      <w:pPr>
        <w:pStyle w:val="Default"/>
        <w:spacing w:line="276" w:lineRule="auto"/>
        <w:jc w:val="both"/>
        <w:rPr>
          <w:sz w:val="20"/>
          <w:szCs w:val="20"/>
        </w:rPr>
      </w:pPr>
    </w:p>
    <w:p w14:paraId="0F6D9C40" w14:textId="702017A4" w:rsidR="00DD5DED" w:rsidRDefault="009E5E38" w:rsidP="00000B79">
      <w:pPr>
        <w:pStyle w:val="Default"/>
        <w:spacing w:line="276" w:lineRule="auto"/>
        <w:jc w:val="both"/>
        <w:rPr>
          <w:sz w:val="20"/>
          <w:szCs w:val="20"/>
        </w:rPr>
      </w:pPr>
      <w:r>
        <w:rPr>
          <w:sz w:val="20"/>
          <w:szCs w:val="20"/>
        </w:rPr>
        <w:t>In summary, a</w:t>
      </w:r>
      <w:r w:rsidR="00C70AD6">
        <w:rPr>
          <w:sz w:val="20"/>
          <w:szCs w:val="20"/>
        </w:rPr>
        <w:t>s evidenced</w:t>
      </w:r>
      <w:r w:rsidR="00DD5DED">
        <w:rPr>
          <w:sz w:val="20"/>
          <w:szCs w:val="20"/>
        </w:rPr>
        <w:t xml:space="preserve"> in the table below, each method of engagement showed majority support for </w:t>
      </w:r>
      <w:r w:rsidR="00DD5DED" w:rsidRPr="00DC35CA">
        <w:rPr>
          <w:sz w:val="20"/>
          <w:szCs w:val="20"/>
        </w:rPr>
        <w:t>Option 1: Service Levels Improved</w:t>
      </w:r>
      <w:r w:rsidR="00C70AD6" w:rsidRPr="00DC35CA">
        <w:rPr>
          <w:sz w:val="20"/>
          <w:szCs w:val="20"/>
        </w:rPr>
        <w:t>,</w:t>
      </w:r>
      <w:r w:rsidR="00C70AD6" w:rsidRPr="004F6B6B">
        <w:rPr>
          <w:sz w:val="20"/>
          <w:szCs w:val="20"/>
        </w:rPr>
        <w:t xml:space="preserve"> w</w:t>
      </w:r>
      <w:r w:rsidR="000017FB" w:rsidRPr="004F6B6B">
        <w:rPr>
          <w:sz w:val="20"/>
          <w:szCs w:val="20"/>
        </w:rPr>
        <w:t>hich</w:t>
      </w:r>
      <w:r w:rsidR="000017FB">
        <w:rPr>
          <w:sz w:val="20"/>
          <w:szCs w:val="20"/>
        </w:rPr>
        <w:t xml:space="preserve"> would be achieved through a special rates variation</w:t>
      </w:r>
      <w:r w:rsidR="00C70AD6">
        <w:rPr>
          <w:sz w:val="20"/>
          <w:szCs w:val="20"/>
        </w:rPr>
        <w:t>. There was less support for Option 2 and significantly less support for Option 3.</w:t>
      </w:r>
    </w:p>
    <w:p w14:paraId="1DEE968A" w14:textId="77777777" w:rsidR="004717DE" w:rsidRDefault="004717DE">
      <w:pPr>
        <w:rPr>
          <w:rFonts w:asciiTheme="minorHAnsi" w:hAnsiTheme="minorHAnsi" w:cs="Arial"/>
          <w:b/>
          <w:sz w:val="18"/>
          <w:szCs w:val="18"/>
        </w:rPr>
      </w:pPr>
      <w:r>
        <w:rPr>
          <w:rFonts w:asciiTheme="minorHAnsi" w:hAnsiTheme="minorHAnsi" w:cs="Arial"/>
          <w:b/>
          <w:sz w:val="18"/>
          <w:szCs w:val="18"/>
        </w:rPr>
        <w:br w:type="page"/>
      </w:r>
    </w:p>
    <w:p w14:paraId="67FB674E" w14:textId="5CF0D37F" w:rsidR="00DD5DED" w:rsidRDefault="00FA0E8D" w:rsidP="008035D0">
      <w:pPr>
        <w:pStyle w:val="BodyText"/>
        <w:spacing w:line="360" w:lineRule="auto"/>
        <w:rPr>
          <w:rFonts w:asciiTheme="minorHAnsi" w:hAnsiTheme="minorHAnsi" w:cs="Arial"/>
          <w:b/>
          <w:sz w:val="18"/>
          <w:szCs w:val="18"/>
        </w:rPr>
      </w:pPr>
      <w:r>
        <w:rPr>
          <w:rFonts w:asciiTheme="minorHAnsi" w:hAnsiTheme="minorHAnsi" w:cs="Arial"/>
          <w:b/>
          <w:sz w:val="18"/>
          <w:szCs w:val="18"/>
        </w:rPr>
        <w:t>Table 4.4</w:t>
      </w:r>
      <w:r w:rsidR="00DD5DED" w:rsidRPr="00C70AD6">
        <w:rPr>
          <w:rFonts w:asciiTheme="minorHAnsi" w:hAnsiTheme="minorHAnsi" w:cs="Arial"/>
          <w:b/>
          <w:sz w:val="18"/>
          <w:szCs w:val="18"/>
        </w:rPr>
        <w:t xml:space="preserve"> Summary of preferred option from each engagement method</w:t>
      </w:r>
    </w:p>
    <w:tbl>
      <w:tblPr>
        <w:tblW w:w="9072" w:type="dxa"/>
        <w:tblInd w:w="108" w:type="dxa"/>
        <w:tblLayout w:type="fixed"/>
        <w:tblCellMar>
          <w:left w:w="0" w:type="dxa"/>
          <w:right w:w="0" w:type="dxa"/>
        </w:tblCellMar>
        <w:tblLook w:val="04A0" w:firstRow="1" w:lastRow="0" w:firstColumn="1" w:lastColumn="0" w:noHBand="0" w:noVBand="1"/>
      </w:tblPr>
      <w:tblGrid>
        <w:gridCol w:w="2410"/>
        <w:gridCol w:w="2268"/>
        <w:gridCol w:w="2268"/>
        <w:gridCol w:w="2126"/>
      </w:tblGrid>
      <w:tr w:rsidR="007453E2" w:rsidRPr="00E151A8" w14:paraId="0080515A" w14:textId="77777777" w:rsidTr="00086AAD">
        <w:trPr>
          <w:trHeight w:val="313"/>
        </w:trPr>
        <w:tc>
          <w:tcPr>
            <w:tcW w:w="2410" w:type="dxa"/>
            <w:vMerge w:val="restart"/>
            <w:tcBorders>
              <w:top w:val="single" w:sz="4" w:space="0" w:color="auto"/>
              <w:left w:val="single" w:sz="4" w:space="0" w:color="auto"/>
              <w:right w:val="single" w:sz="4" w:space="0" w:color="auto"/>
            </w:tcBorders>
            <w:shd w:val="pct10" w:color="auto" w:fill="auto"/>
            <w:tcMar>
              <w:top w:w="0" w:type="dxa"/>
              <w:left w:w="108" w:type="dxa"/>
              <w:bottom w:w="0" w:type="dxa"/>
              <w:right w:w="108" w:type="dxa"/>
            </w:tcMar>
            <w:vAlign w:val="center"/>
          </w:tcPr>
          <w:p w14:paraId="48002222" w14:textId="77777777" w:rsidR="007453E2" w:rsidRPr="00E151A8" w:rsidRDefault="007453E2" w:rsidP="00086AAD">
            <w:pPr>
              <w:widowControl w:val="0"/>
              <w:spacing w:line="276" w:lineRule="auto"/>
              <w:rPr>
                <w:rFonts w:ascii="Arial" w:eastAsiaTheme="minorHAnsi" w:hAnsi="Arial" w:cs="Arial"/>
                <w:b/>
                <w:sz w:val="18"/>
                <w:szCs w:val="18"/>
                <w:lang w:val="en-US" w:eastAsia="en-US"/>
              </w:rPr>
            </w:pPr>
            <w:r w:rsidRPr="00E151A8">
              <w:rPr>
                <w:rFonts w:ascii="Arial" w:eastAsiaTheme="minorHAnsi" w:hAnsi="Arial" w:cs="Arial"/>
                <w:b/>
                <w:sz w:val="18"/>
                <w:szCs w:val="18"/>
                <w:lang w:val="en-US" w:eastAsia="en-US"/>
              </w:rPr>
              <w:t>OPTION</w:t>
            </w:r>
          </w:p>
        </w:tc>
        <w:tc>
          <w:tcPr>
            <w:tcW w:w="2268" w:type="dxa"/>
            <w:tcBorders>
              <w:top w:val="single" w:sz="4" w:space="0" w:color="auto"/>
              <w:left w:val="single" w:sz="4" w:space="0" w:color="auto"/>
              <w:bottom w:val="single" w:sz="4" w:space="0" w:color="auto"/>
              <w:right w:val="single" w:sz="4" w:space="0" w:color="auto"/>
            </w:tcBorders>
            <w:shd w:val="pct10" w:color="auto" w:fill="auto"/>
            <w:vAlign w:val="center"/>
          </w:tcPr>
          <w:p w14:paraId="482A4765" w14:textId="77777777" w:rsidR="007453E2" w:rsidRPr="00E151A8" w:rsidRDefault="007453E2" w:rsidP="00086AAD">
            <w:pPr>
              <w:widowControl w:val="0"/>
              <w:spacing w:line="276" w:lineRule="auto"/>
              <w:jc w:val="center"/>
              <w:rPr>
                <w:rFonts w:ascii="Arial" w:eastAsiaTheme="minorHAnsi" w:hAnsi="Arial" w:cs="Arial"/>
                <w:b/>
                <w:sz w:val="18"/>
                <w:szCs w:val="18"/>
                <w:lang w:val="en-US" w:eastAsia="en-US"/>
              </w:rPr>
            </w:pPr>
            <w:r w:rsidRPr="00E151A8">
              <w:rPr>
                <w:rFonts w:ascii="Arial" w:eastAsiaTheme="minorHAnsi" w:hAnsi="Arial" w:cs="Arial"/>
                <w:b/>
                <w:sz w:val="18"/>
                <w:szCs w:val="18"/>
                <w:lang w:val="en-US" w:eastAsia="en-US"/>
              </w:rPr>
              <w:t>Public Exhibition Valid Submissions</w:t>
            </w:r>
          </w:p>
          <w:p w14:paraId="1901CDC1" w14:textId="77777777" w:rsidR="007453E2" w:rsidRPr="00E151A8" w:rsidRDefault="007453E2" w:rsidP="00086AAD">
            <w:pPr>
              <w:widowControl w:val="0"/>
              <w:spacing w:line="276" w:lineRule="auto"/>
              <w:jc w:val="center"/>
              <w:rPr>
                <w:rFonts w:ascii="Arial" w:eastAsiaTheme="minorHAnsi" w:hAnsi="Arial" w:cs="Arial"/>
                <w:b/>
                <w:sz w:val="18"/>
                <w:szCs w:val="18"/>
                <w:lang w:val="en-US" w:eastAsia="en-US"/>
              </w:rPr>
            </w:pPr>
            <w:r w:rsidRPr="00E151A8">
              <w:rPr>
                <w:rFonts w:ascii="Arial" w:eastAsiaTheme="minorHAnsi" w:hAnsi="Arial" w:cs="Arial"/>
                <w:b/>
                <w:sz w:val="18"/>
                <w:szCs w:val="18"/>
                <w:lang w:val="en-US" w:eastAsia="en-US"/>
              </w:rPr>
              <w:t xml:space="preserve">(n=4,312) </w:t>
            </w:r>
          </w:p>
        </w:tc>
        <w:tc>
          <w:tcPr>
            <w:tcW w:w="2268" w:type="dxa"/>
            <w:tcBorders>
              <w:top w:val="single" w:sz="4" w:space="0" w:color="auto"/>
              <w:left w:val="single" w:sz="4" w:space="0" w:color="auto"/>
              <w:bottom w:val="single" w:sz="4" w:space="0" w:color="auto"/>
              <w:right w:val="single" w:sz="4" w:space="0" w:color="auto"/>
            </w:tcBorders>
            <w:shd w:val="pct10" w:color="auto" w:fill="auto"/>
            <w:vAlign w:val="center"/>
          </w:tcPr>
          <w:p w14:paraId="753F1357" w14:textId="77777777" w:rsidR="007453E2" w:rsidRPr="00E151A8" w:rsidRDefault="007453E2" w:rsidP="00086AAD">
            <w:pPr>
              <w:widowControl w:val="0"/>
              <w:spacing w:line="276" w:lineRule="auto"/>
              <w:jc w:val="center"/>
              <w:rPr>
                <w:rFonts w:ascii="Arial" w:eastAsiaTheme="minorHAnsi" w:hAnsi="Arial" w:cs="Arial"/>
                <w:b/>
                <w:sz w:val="18"/>
                <w:szCs w:val="18"/>
                <w:lang w:val="en-US" w:eastAsia="en-US"/>
              </w:rPr>
            </w:pPr>
            <w:r>
              <w:rPr>
                <w:rFonts w:ascii="Arial" w:eastAsiaTheme="minorHAnsi" w:hAnsi="Arial" w:cs="Arial"/>
                <w:b/>
                <w:sz w:val="18"/>
                <w:szCs w:val="18"/>
                <w:lang w:val="en-US" w:eastAsia="en-US"/>
              </w:rPr>
              <w:t xml:space="preserve">Independent </w:t>
            </w:r>
            <w:r w:rsidRPr="00E151A8">
              <w:rPr>
                <w:rFonts w:ascii="Arial" w:eastAsiaTheme="minorHAnsi" w:hAnsi="Arial" w:cs="Arial"/>
                <w:b/>
                <w:sz w:val="18"/>
                <w:szCs w:val="18"/>
                <w:lang w:val="en-US" w:eastAsia="en-US"/>
              </w:rPr>
              <w:t>Telephone Survey of Ratepayers</w:t>
            </w:r>
            <w:r w:rsidRPr="00FC7879">
              <w:rPr>
                <w:rFonts w:ascii="Arial" w:eastAsiaTheme="minorHAnsi" w:hAnsi="Arial" w:cs="Arial"/>
                <w:b/>
                <w:szCs w:val="22"/>
                <w:lang w:val="en-US" w:eastAsia="en-US"/>
              </w:rPr>
              <w:t>*</w:t>
            </w:r>
          </w:p>
          <w:p w14:paraId="0FD5F395" w14:textId="77777777" w:rsidR="007453E2" w:rsidRPr="00E151A8" w:rsidRDefault="007453E2" w:rsidP="00086AAD">
            <w:pPr>
              <w:widowControl w:val="0"/>
              <w:spacing w:line="276" w:lineRule="auto"/>
              <w:jc w:val="center"/>
              <w:rPr>
                <w:rFonts w:ascii="Arial" w:eastAsiaTheme="minorHAnsi" w:hAnsi="Arial" w:cs="Arial"/>
                <w:b/>
                <w:sz w:val="18"/>
                <w:szCs w:val="18"/>
                <w:lang w:val="en-US" w:eastAsia="en-US"/>
              </w:rPr>
            </w:pPr>
            <w:r w:rsidRPr="00E151A8">
              <w:rPr>
                <w:rFonts w:ascii="Arial" w:eastAsiaTheme="minorHAnsi" w:hAnsi="Arial" w:cs="Arial"/>
                <w:b/>
                <w:sz w:val="18"/>
                <w:szCs w:val="18"/>
                <w:lang w:val="en-US" w:eastAsia="en-US"/>
              </w:rPr>
              <w:t>(n=504)</w:t>
            </w:r>
          </w:p>
        </w:tc>
        <w:tc>
          <w:tcPr>
            <w:tcW w:w="2126" w:type="dxa"/>
            <w:tcBorders>
              <w:top w:val="single" w:sz="4" w:space="0" w:color="auto"/>
              <w:left w:val="single" w:sz="4" w:space="0" w:color="auto"/>
              <w:bottom w:val="single" w:sz="4" w:space="0" w:color="auto"/>
              <w:right w:val="single" w:sz="4" w:space="0" w:color="auto"/>
            </w:tcBorders>
            <w:shd w:val="pct10" w:color="auto" w:fill="auto"/>
            <w:vAlign w:val="center"/>
          </w:tcPr>
          <w:p w14:paraId="1DEE6217" w14:textId="77777777" w:rsidR="007453E2" w:rsidRPr="00E151A8" w:rsidRDefault="007453E2" w:rsidP="00086AAD">
            <w:pPr>
              <w:widowControl w:val="0"/>
              <w:spacing w:line="276" w:lineRule="auto"/>
              <w:jc w:val="center"/>
              <w:rPr>
                <w:rFonts w:ascii="Arial" w:eastAsiaTheme="minorHAnsi" w:hAnsi="Arial" w:cs="Arial"/>
                <w:b/>
                <w:sz w:val="18"/>
                <w:szCs w:val="18"/>
                <w:lang w:val="en-US" w:eastAsia="en-US"/>
              </w:rPr>
            </w:pPr>
            <w:r w:rsidRPr="00E151A8">
              <w:rPr>
                <w:rFonts w:ascii="Arial" w:eastAsiaTheme="minorHAnsi" w:hAnsi="Arial" w:cs="Arial"/>
                <w:b/>
                <w:sz w:val="18"/>
                <w:szCs w:val="18"/>
                <w:lang w:val="en-US" w:eastAsia="en-US"/>
              </w:rPr>
              <w:t xml:space="preserve">Area Community </w:t>
            </w:r>
          </w:p>
          <w:p w14:paraId="5D35C05B" w14:textId="77777777" w:rsidR="007453E2" w:rsidRPr="00E151A8" w:rsidRDefault="007453E2" w:rsidP="00086AAD">
            <w:pPr>
              <w:widowControl w:val="0"/>
              <w:spacing w:line="276" w:lineRule="auto"/>
              <w:jc w:val="center"/>
              <w:rPr>
                <w:rFonts w:ascii="Arial" w:eastAsiaTheme="minorHAnsi" w:hAnsi="Arial" w:cs="Arial"/>
                <w:b/>
                <w:sz w:val="18"/>
                <w:szCs w:val="18"/>
                <w:lang w:val="en-US" w:eastAsia="en-US"/>
              </w:rPr>
            </w:pPr>
            <w:r w:rsidRPr="00E151A8">
              <w:rPr>
                <w:rFonts w:ascii="Arial" w:eastAsiaTheme="minorHAnsi" w:hAnsi="Arial" w:cs="Arial"/>
                <w:b/>
                <w:sz w:val="18"/>
                <w:szCs w:val="18"/>
                <w:lang w:val="en-US" w:eastAsia="en-US"/>
              </w:rPr>
              <w:t>Workshops</w:t>
            </w:r>
          </w:p>
          <w:p w14:paraId="72213F25" w14:textId="77777777" w:rsidR="007453E2" w:rsidRPr="00E151A8" w:rsidRDefault="007453E2" w:rsidP="00086AAD">
            <w:pPr>
              <w:widowControl w:val="0"/>
              <w:spacing w:line="276" w:lineRule="auto"/>
              <w:jc w:val="center"/>
              <w:rPr>
                <w:rFonts w:ascii="Arial" w:eastAsiaTheme="minorHAnsi" w:hAnsi="Arial" w:cs="Arial"/>
                <w:b/>
                <w:sz w:val="18"/>
                <w:szCs w:val="18"/>
                <w:lang w:val="en-US" w:eastAsia="en-US"/>
              </w:rPr>
            </w:pPr>
            <w:r w:rsidRPr="00E151A8">
              <w:rPr>
                <w:rFonts w:ascii="Arial" w:eastAsiaTheme="minorHAnsi" w:hAnsi="Arial" w:cs="Arial"/>
                <w:b/>
                <w:sz w:val="18"/>
                <w:szCs w:val="18"/>
                <w:lang w:val="en-US" w:eastAsia="en-US"/>
              </w:rPr>
              <w:t>(n=90)</w:t>
            </w:r>
          </w:p>
        </w:tc>
      </w:tr>
      <w:tr w:rsidR="007453E2" w:rsidRPr="00E151A8" w14:paraId="1390D902" w14:textId="77777777" w:rsidTr="00086AAD">
        <w:trPr>
          <w:trHeight w:val="313"/>
        </w:trPr>
        <w:tc>
          <w:tcPr>
            <w:tcW w:w="2410"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5BD942E" w14:textId="77777777" w:rsidR="007453E2" w:rsidRPr="00E151A8" w:rsidRDefault="007453E2" w:rsidP="00086AAD">
            <w:pPr>
              <w:widowControl w:val="0"/>
              <w:spacing w:line="276" w:lineRule="auto"/>
              <w:rPr>
                <w:rFonts w:ascii="Arial" w:eastAsiaTheme="minorHAnsi" w:hAnsi="Arial" w:cs="Arial"/>
                <w:b/>
                <w:sz w:val="18"/>
                <w:szCs w:val="18"/>
                <w:lang w:val="en-US" w:eastAsia="en-US"/>
              </w:rPr>
            </w:pPr>
          </w:p>
        </w:tc>
        <w:tc>
          <w:tcPr>
            <w:tcW w:w="6662" w:type="dxa"/>
            <w:gridSpan w:val="3"/>
            <w:tcBorders>
              <w:top w:val="single" w:sz="4" w:space="0" w:color="auto"/>
              <w:left w:val="single" w:sz="4" w:space="0" w:color="auto"/>
              <w:bottom w:val="single" w:sz="4" w:space="0" w:color="auto"/>
              <w:right w:val="single" w:sz="4" w:space="0" w:color="auto"/>
            </w:tcBorders>
            <w:shd w:val="pct10" w:color="auto" w:fill="auto"/>
            <w:vAlign w:val="center"/>
          </w:tcPr>
          <w:p w14:paraId="64EA822D" w14:textId="77777777" w:rsidR="007453E2" w:rsidRPr="00E151A8" w:rsidRDefault="007453E2" w:rsidP="00086AAD">
            <w:pPr>
              <w:widowControl w:val="0"/>
              <w:spacing w:line="276" w:lineRule="auto"/>
              <w:jc w:val="center"/>
              <w:rPr>
                <w:rFonts w:ascii="Arial" w:eastAsiaTheme="minorHAnsi" w:hAnsi="Arial" w:cs="Arial"/>
                <w:b/>
                <w:sz w:val="18"/>
                <w:szCs w:val="18"/>
                <w:lang w:val="en-US" w:eastAsia="en-US"/>
              </w:rPr>
            </w:pPr>
            <w:r w:rsidRPr="00E151A8">
              <w:rPr>
                <w:rFonts w:ascii="Arial" w:eastAsiaTheme="minorHAnsi" w:hAnsi="Arial" w:cs="Arial"/>
                <w:b/>
                <w:sz w:val="18"/>
                <w:szCs w:val="18"/>
                <w:lang w:val="en-US" w:eastAsia="en-US"/>
              </w:rPr>
              <w:t>SUPPORT FOR DIFFERENT OPTIONS (%)</w:t>
            </w:r>
          </w:p>
        </w:tc>
      </w:tr>
      <w:tr w:rsidR="007453E2" w:rsidRPr="00E151A8" w14:paraId="730EDCFC" w14:textId="77777777" w:rsidTr="00086AAD">
        <w:trPr>
          <w:trHeight w:val="593"/>
        </w:trPr>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36E1E157" w14:textId="77777777" w:rsidR="007453E2" w:rsidRPr="00E151A8" w:rsidRDefault="007453E2" w:rsidP="00086AAD">
            <w:pPr>
              <w:widowControl w:val="0"/>
              <w:spacing w:line="276" w:lineRule="auto"/>
              <w:rPr>
                <w:rFonts w:ascii="Arial" w:eastAsiaTheme="minorHAnsi" w:hAnsi="Arial" w:cs="Arial"/>
                <w:b/>
                <w:color w:val="000000" w:themeColor="text1"/>
                <w:sz w:val="18"/>
                <w:szCs w:val="18"/>
                <w:lang w:val="en-US" w:eastAsia="en-US"/>
              </w:rPr>
            </w:pPr>
            <w:r w:rsidRPr="00E151A8">
              <w:rPr>
                <w:rFonts w:ascii="Arial" w:eastAsiaTheme="minorHAnsi" w:hAnsi="Arial" w:cs="Arial"/>
                <w:b/>
                <w:color w:val="000000" w:themeColor="text1"/>
                <w:sz w:val="18"/>
                <w:szCs w:val="18"/>
                <w:lang w:val="en-US" w:eastAsia="en-US"/>
              </w:rPr>
              <w:t>Option 1</w:t>
            </w:r>
          </w:p>
          <w:p w14:paraId="128EA89D" w14:textId="77777777" w:rsidR="007453E2" w:rsidRPr="00E151A8" w:rsidRDefault="007453E2" w:rsidP="00086AAD">
            <w:pPr>
              <w:widowControl w:val="0"/>
              <w:spacing w:line="276" w:lineRule="auto"/>
              <w:rPr>
                <w:rFonts w:ascii="Arial" w:eastAsiaTheme="minorHAnsi" w:hAnsi="Arial" w:cs="Arial"/>
                <w:i/>
                <w:color w:val="000000" w:themeColor="text1"/>
                <w:sz w:val="18"/>
                <w:szCs w:val="18"/>
                <w:lang w:val="en-US" w:eastAsia="en-US"/>
              </w:rPr>
            </w:pPr>
            <w:r w:rsidRPr="00E151A8">
              <w:rPr>
                <w:rFonts w:ascii="Arial" w:eastAsiaTheme="minorHAnsi" w:hAnsi="Arial" w:cs="Arial"/>
                <w:i/>
                <w:color w:val="000000" w:themeColor="text1"/>
                <w:sz w:val="18"/>
                <w:szCs w:val="18"/>
                <w:lang w:val="en-US" w:eastAsia="en-US"/>
              </w:rPr>
              <w:t>Service Levels Improved</w:t>
            </w:r>
          </w:p>
        </w:tc>
        <w:tc>
          <w:tcPr>
            <w:tcW w:w="2268" w:type="dxa"/>
            <w:tcBorders>
              <w:top w:val="single" w:sz="4" w:space="0" w:color="auto"/>
              <w:left w:val="single" w:sz="4" w:space="0" w:color="auto"/>
              <w:bottom w:val="single" w:sz="4" w:space="0" w:color="auto"/>
              <w:right w:val="single" w:sz="4" w:space="0" w:color="auto"/>
            </w:tcBorders>
            <w:vAlign w:val="center"/>
          </w:tcPr>
          <w:p w14:paraId="05E758FE" w14:textId="77777777" w:rsidR="007453E2" w:rsidRPr="00E151A8" w:rsidRDefault="007453E2" w:rsidP="00086AAD">
            <w:pPr>
              <w:widowControl w:val="0"/>
              <w:spacing w:line="276" w:lineRule="auto"/>
              <w:jc w:val="center"/>
              <w:rPr>
                <w:rFonts w:ascii="Arial" w:eastAsiaTheme="minorHAnsi" w:hAnsi="Arial" w:cs="Arial"/>
                <w:color w:val="000000"/>
                <w:sz w:val="18"/>
                <w:szCs w:val="18"/>
                <w:lang w:val="en-US" w:eastAsia="en-US"/>
              </w:rPr>
            </w:pPr>
            <w:r w:rsidRPr="00E151A8">
              <w:rPr>
                <w:rFonts w:ascii="Arial" w:eastAsiaTheme="minorHAnsi" w:hAnsi="Arial" w:cs="Arial"/>
                <w:color w:val="000000" w:themeColor="text1"/>
                <w:sz w:val="18"/>
                <w:szCs w:val="18"/>
                <w:lang w:val="en-US" w:eastAsia="en-US"/>
              </w:rPr>
              <w:t>54.6%</w:t>
            </w:r>
          </w:p>
        </w:tc>
        <w:tc>
          <w:tcPr>
            <w:tcW w:w="2268" w:type="dxa"/>
            <w:tcBorders>
              <w:top w:val="single" w:sz="4" w:space="0" w:color="auto"/>
              <w:left w:val="single" w:sz="4" w:space="0" w:color="auto"/>
              <w:bottom w:val="single" w:sz="4" w:space="0" w:color="auto"/>
              <w:right w:val="single" w:sz="4" w:space="0" w:color="auto"/>
            </w:tcBorders>
            <w:vAlign w:val="center"/>
          </w:tcPr>
          <w:p w14:paraId="174DC677" w14:textId="77777777" w:rsidR="007453E2" w:rsidRPr="00E151A8" w:rsidRDefault="007453E2" w:rsidP="00086AAD">
            <w:pPr>
              <w:widowControl w:val="0"/>
              <w:spacing w:line="276" w:lineRule="auto"/>
              <w:jc w:val="center"/>
              <w:rPr>
                <w:rFonts w:ascii="Arial" w:eastAsiaTheme="minorHAnsi" w:hAnsi="Arial" w:cs="Arial"/>
                <w:color w:val="000000" w:themeColor="text1"/>
                <w:sz w:val="18"/>
                <w:szCs w:val="18"/>
                <w:lang w:val="en-US" w:eastAsia="en-US"/>
              </w:rPr>
            </w:pPr>
            <w:r w:rsidRPr="00E151A8">
              <w:rPr>
                <w:rFonts w:ascii="Arial" w:eastAsiaTheme="minorHAnsi" w:hAnsi="Arial" w:cs="Arial"/>
                <w:color w:val="000000" w:themeColor="text1"/>
                <w:sz w:val="18"/>
                <w:szCs w:val="18"/>
                <w:lang w:val="en-US" w:eastAsia="en-US"/>
              </w:rPr>
              <w:t>48.8%</w:t>
            </w:r>
          </w:p>
        </w:tc>
        <w:tc>
          <w:tcPr>
            <w:tcW w:w="2126" w:type="dxa"/>
            <w:tcBorders>
              <w:top w:val="single" w:sz="4" w:space="0" w:color="auto"/>
              <w:left w:val="single" w:sz="4" w:space="0" w:color="auto"/>
              <w:bottom w:val="single" w:sz="4" w:space="0" w:color="auto"/>
              <w:right w:val="single" w:sz="4" w:space="0" w:color="auto"/>
            </w:tcBorders>
            <w:vAlign w:val="center"/>
          </w:tcPr>
          <w:p w14:paraId="1DC393EE" w14:textId="77777777" w:rsidR="007453E2" w:rsidRPr="00E151A8" w:rsidRDefault="007453E2" w:rsidP="00086AAD">
            <w:pPr>
              <w:widowControl w:val="0"/>
              <w:spacing w:line="276" w:lineRule="auto"/>
              <w:jc w:val="center"/>
              <w:rPr>
                <w:rFonts w:ascii="Arial" w:eastAsiaTheme="minorHAnsi" w:hAnsi="Arial" w:cs="Arial"/>
                <w:color w:val="000000" w:themeColor="text1"/>
                <w:sz w:val="18"/>
                <w:szCs w:val="18"/>
                <w:lang w:val="en-US" w:eastAsia="en-US"/>
              </w:rPr>
            </w:pPr>
            <w:r w:rsidRPr="00E151A8">
              <w:rPr>
                <w:rFonts w:ascii="Arial" w:eastAsiaTheme="minorHAnsi" w:hAnsi="Arial" w:cs="Arial"/>
                <w:color w:val="000000" w:themeColor="text1"/>
                <w:sz w:val="18"/>
                <w:szCs w:val="18"/>
                <w:lang w:val="en-US" w:eastAsia="en-US"/>
              </w:rPr>
              <w:t>58.3%</w:t>
            </w:r>
          </w:p>
        </w:tc>
      </w:tr>
      <w:tr w:rsidR="007453E2" w:rsidRPr="00E151A8" w14:paraId="549D0CA2" w14:textId="77777777" w:rsidTr="00086AAD">
        <w:trPr>
          <w:trHeight w:val="300"/>
        </w:trPr>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1C40B359" w14:textId="77777777" w:rsidR="007453E2" w:rsidRPr="00E151A8" w:rsidRDefault="007453E2" w:rsidP="00086AAD">
            <w:pPr>
              <w:widowControl w:val="0"/>
              <w:spacing w:line="276" w:lineRule="auto"/>
              <w:rPr>
                <w:rFonts w:ascii="Arial" w:eastAsiaTheme="minorHAnsi" w:hAnsi="Arial" w:cs="Arial"/>
                <w:b/>
                <w:color w:val="000000" w:themeColor="text1"/>
                <w:sz w:val="18"/>
                <w:szCs w:val="18"/>
                <w:lang w:val="en-US" w:eastAsia="en-US"/>
              </w:rPr>
            </w:pPr>
            <w:r w:rsidRPr="00E151A8">
              <w:rPr>
                <w:rFonts w:ascii="Arial" w:eastAsiaTheme="minorHAnsi" w:hAnsi="Arial" w:cs="Arial"/>
                <w:b/>
                <w:color w:val="000000" w:themeColor="text1"/>
                <w:sz w:val="18"/>
                <w:szCs w:val="18"/>
                <w:lang w:val="en-US" w:eastAsia="en-US"/>
              </w:rPr>
              <w:t>Option 2</w:t>
            </w:r>
          </w:p>
          <w:p w14:paraId="792D2449" w14:textId="77777777" w:rsidR="007453E2" w:rsidRPr="00E151A8" w:rsidRDefault="007453E2" w:rsidP="00086AAD">
            <w:pPr>
              <w:widowControl w:val="0"/>
              <w:spacing w:line="276" w:lineRule="auto"/>
              <w:rPr>
                <w:rFonts w:ascii="Arial" w:eastAsiaTheme="minorHAnsi" w:hAnsi="Arial" w:cs="Arial"/>
                <w:i/>
                <w:color w:val="000000" w:themeColor="text1"/>
                <w:sz w:val="18"/>
                <w:szCs w:val="18"/>
                <w:lang w:val="en-US" w:eastAsia="en-US"/>
              </w:rPr>
            </w:pPr>
            <w:r w:rsidRPr="00E151A8">
              <w:rPr>
                <w:rFonts w:ascii="Arial" w:eastAsiaTheme="minorHAnsi" w:hAnsi="Arial" w:cs="Arial"/>
                <w:i/>
                <w:color w:val="000000" w:themeColor="text1"/>
                <w:sz w:val="18"/>
                <w:szCs w:val="18"/>
                <w:lang w:val="en-US" w:eastAsia="en-US"/>
              </w:rPr>
              <w:t>Service Levels Maintained</w:t>
            </w:r>
          </w:p>
        </w:tc>
        <w:tc>
          <w:tcPr>
            <w:tcW w:w="2268" w:type="dxa"/>
            <w:tcBorders>
              <w:top w:val="single" w:sz="4" w:space="0" w:color="auto"/>
              <w:left w:val="single" w:sz="4" w:space="0" w:color="auto"/>
              <w:bottom w:val="single" w:sz="4" w:space="0" w:color="auto"/>
              <w:right w:val="single" w:sz="4" w:space="0" w:color="auto"/>
            </w:tcBorders>
            <w:vAlign w:val="center"/>
          </w:tcPr>
          <w:p w14:paraId="53D6053F" w14:textId="77777777" w:rsidR="007453E2" w:rsidRPr="00E151A8" w:rsidRDefault="007453E2" w:rsidP="00086AAD">
            <w:pPr>
              <w:widowControl w:val="0"/>
              <w:spacing w:line="276" w:lineRule="auto"/>
              <w:jc w:val="center"/>
              <w:rPr>
                <w:rFonts w:ascii="Arial" w:eastAsiaTheme="minorHAnsi" w:hAnsi="Arial" w:cs="Arial"/>
                <w:color w:val="000000"/>
                <w:sz w:val="18"/>
                <w:szCs w:val="18"/>
                <w:lang w:val="en-US" w:eastAsia="en-US"/>
              </w:rPr>
            </w:pPr>
            <w:r w:rsidRPr="00E151A8">
              <w:rPr>
                <w:rFonts w:ascii="Arial" w:eastAsiaTheme="minorHAnsi" w:hAnsi="Arial" w:cs="Arial"/>
                <w:color w:val="000000" w:themeColor="text1"/>
                <w:sz w:val="18"/>
                <w:szCs w:val="18"/>
                <w:lang w:val="en-US" w:eastAsia="en-US"/>
              </w:rPr>
              <w:t>23.3%</w:t>
            </w:r>
          </w:p>
        </w:tc>
        <w:tc>
          <w:tcPr>
            <w:tcW w:w="2268" w:type="dxa"/>
            <w:tcBorders>
              <w:top w:val="single" w:sz="4" w:space="0" w:color="auto"/>
              <w:left w:val="single" w:sz="4" w:space="0" w:color="auto"/>
              <w:bottom w:val="single" w:sz="4" w:space="0" w:color="auto"/>
              <w:right w:val="single" w:sz="4" w:space="0" w:color="auto"/>
            </w:tcBorders>
            <w:vAlign w:val="center"/>
          </w:tcPr>
          <w:p w14:paraId="54941DF9" w14:textId="77777777" w:rsidR="007453E2" w:rsidRPr="00E151A8" w:rsidRDefault="007453E2" w:rsidP="00086AAD">
            <w:pPr>
              <w:widowControl w:val="0"/>
              <w:spacing w:line="276" w:lineRule="auto"/>
              <w:jc w:val="center"/>
              <w:rPr>
                <w:rFonts w:ascii="Arial" w:eastAsiaTheme="minorHAnsi" w:hAnsi="Arial" w:cs="Arial"/>
                <w:color w:val="000000" w:themeColor="text1"/>
                <w:sz w:val="18"/>
                <w:szCs w:val="18"/>
                <w:lang w:val="en-US" w:eastAsia="en-US"/>
              </w:rPr>
            </w:pPr>
            <w:r w:rsidRPr="00E151A8">
              <w:rPr>
                <w:rFonts w:ascii="Arial" w:eastAsiaTheme="minorHAnsi" w:hAnsi="Arial" w:cs="Arial"/>
                <w:color w:val="000000" w:themeColor="text1"/>
                <w:sz w:val="18"/>
                <w:szCs w:val="18"/>
                <w:lang w:val="en-US" w:eastAsia="en-US"/>
              </w:rPr>
              <w:t>35.7%</w:t>
            </w:r>
          </w:p>
        </w:tc>
        <w:tc>
          <w:tcPr>
            <w:tcW w:w="2126" w:type="dxa"/>
            <w:tcBorders>
              <w:top w:val="single" w:sz="4" w:space="0" w:color="auto"/>
              <w:left w:val="single" w:sz="4" w:space="0" w:color="auto"/>
              <w:bottom w:val="single" w:sz="4" w:space="0" w:color="auto"/>
              <w:right w:val="single" w:sz="4" w:space="0" w:color="auto"/>
            </w:tcBorders>
            <w:vAlign w:val="center"/>
          </w:tcPr>
          <w:p w14:paraId="514EBC5D" w14:textId="77777777" w:rsidR="007453E2" w:rsidRPr="00E151A8" w:rsidRDefault="007453E2" w:rsidP="00086AAD">
            <w:pPr>
              <w:widowControl w:val="0"/>
              <w:spacing w:line="276" w:lineRule="auto"/>
              <w:jc w:val="center"/>
              <w:rPr>
                <w:rFonts w:ascii="Arial" w:eastAsiaTheme="minorHAnsi" w:hAnsi="Arial" w:cs="Arial"/>
                <w:color w:val="000000" w:themeColor="text1"/>
                <w:sz w:val="18"/>
                <w:szCs w:val="18"/>
                <w:lang w:val="en-US" w:eastAsia="en-US"/>
              </w:rPr>
            </w:pPr>
            <w:r w:rsidRPr="00E151A8">
              <w:rPr>
                <w:rFonts w:ascii="Arial" w:eastAsiaTheme="minorHAnsi" w:hAnsi="Arial" w:cs="Arial"/>
                <w:color w:val="000000" w:themeColor="text1"/>
                <w:sz w:val="18"/>
                <w:szCs w:val="18"/>
                <w:lang w:val="en-US" w:eastAsia="en-US"/>
              </w:rPr>
              <w:t>35.7%</w:t>
            </w:r>
          </w:p>
        </w:tc>
      </w:tr>
      <w:tr w:rsidR="007453E2" w:rsidRPr="00E151A8" w14:paraId="1B24F235" w14:textId="77777777" w:rsidTr="00086AAD">
        <w:trPr>
          <w:trHeight w:val="300"/>
        </w:trPr>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27FA7C51" w14:textId="77777777" w:rsidR="007453E2" w:rsidRPr="00E151A8" w:rsidRDefault="007453E2" w:rsidP="00086AAD">
            <w:pPr>
              <w:widowControl w:val="0"/>
              <w:spacing w:line="276" w:lineRule="auto"/>
              <w:rPr>
                <w:rFonts w:ascii="Arial" w:eastAsiaTheme="minorHAnsi" w:hAnsi="Arial" w:cs="Arial"/>
                <w:b/>
                <w:color w:val="000000" w:themeColor="text1"/>
                <w:sz w:val="18"/>
                <w:szCs w:val="18"/>
                <w:lang w:val="en-US" w:eastAsia="en-US"/>
              </w:rPr>
            </w:pPr>
            <w:r w:rsidRPr="00E151A8">
              <w:rPr>
                <w:rFonts w:ascii="Arial" w:eastAsiaTheme="minorHAnsi" w:hAnsi="Arial" w:cs="Arial"/>
                <w:b/>
                <w:color w:val="000000" w:themeColor="text1"/>
                <w:sz w:val="18"/>
                <w:szCs w:val="18"/>
                <w:lang w:val="en-US" w:eastAsia="en-US"/>
              </w:rPr>
              <w:t>Option 3</w:t>
            </w:r>
            <w:r w:rsidRPr="00E151A8">
              <w:rPr>
                <w:rFonts w:ascii="Arial" w:eastAsiaTheme="minorHAnsi" w:hAnsi="Arial" w:cs="Arial"/>
                <w:color w:val="000000" w:themeColor="text1"/>
                <w:sz w:val="18"/>
                <w:szCs w:val="18"/>
                <w:lang w:val="en-US" w:eastAsia="en-US"/>
              </w:rPr>
              <w:t xml:space="preserve"> </w:t>
            </w:r>
          </w:p>
          <w:p w14:paraId="4F80049E" w14:textId="77777777" w:rsidR="007453E2" w:rsidRPr="00E151A8" w:rsidRDefault="007453E2" w:rsidP="00086AAD">
            <w:pPr>
              <w:widowControl w:val="0"/>
              <w:spacing w:line="276" w:lineRule="auto"/>
              <w:rPr>
                <w:rFonts w:ascii="Arial" w:eastAsiaTheme="minorHAnsi" w:hAnsi="Arial" w:cs="Arial"/>
                <w:i/>
                <w:color w:val="000000" w:themeColor="text1"/>
                <w:sz w:val="18"/>
                <w:szCs w:val="18"/>
                <w:lang w:val="en-US" w:eastAsia="en-US"/>
              </w:rPr>
            </w:pPr>
            <w:r w:rsidRPr="00E151A8">
              <w:rPr>
                <w:rFonts w:ascii="Arial" w:eastAsiaTheme="minorHAnsi" w:hAnsi="Arial" w:cs="Arial"/>
                <w:i/>
                <w:color w:val="000000" w:themeColor="text1"/>
                <w:sz w:val="18"/>
                <w:szCs w:val="18"/>
                <w:lang w:val="en-US" w:eastAsia="en-US"/>
              </w:rPr>
              <w:t>Service Levels Reduced</w:t>
            </w:r>
          </w:p>
        </w:tc>
        <w:tc>
          <w:tcPr>
            <w:tcW w:w="2268" w:type="dxa"/>
            <w:tcBorders>
              <w:top w:val="single" w:sz="4" w:space="0" w:color="auto"/>
              <w:left w:val="single" w:sz="4" w:space="0" w:color="auto"/>
              <w:bottom w:val="single" w:sz="4" w:space="0" w:color="auto"/>
              <w:right w:val="single" w:sz="4" w:space="0" w:color="auto"/>
            </w:tcBorders>
            <w:vAlign w:val="center"/>
          </w:tcPr>
          <w:p w14:paraId="7D3E0F64" w14:textId="77777777" w:rsidR="007453E2" w:rsidRPr="00E151A8" w:rsidRDefault="007453E2" w:rsidP="00086AAD">
            <w:pPr>
              <w:widowControl w:val="0"/>
              <w:spacing w:line="276" w:lineRule="auto"/>
              <w:jc w:val="center"/>
              <w:rPr>
                <w:rFonts w:ascii="Arial" w:eastAsiaTheme="minorHAnsi" w:hAnsi="Arial" w:cs="Arial"/>
                <w:color w:val="000000"/>
                <w:sz w:val="18"/>
                <w:szCs w:val="18"/>
                <w:lang w:val="en-US" w:eastAsia="en-US"/>
              </w:rPr>
            </w:pPr>
            <w:r w:rsidRPr="00E151A8">
              <w:rPr>
                <w:rFonts w:ascii="Arial" w:eastAsiaTheme="minorHAnsi" w:hAnsi="Arial" w:cs="Arial"/>
                <w:color w:val="000000" w:themeColor="text1"/>
                <w:sz w:val="18"/>
                <w:szCs w:val="18"/>
                <w:lang w:val="en-US" w:eastAsia="en-US"/>
              </w:rPr>
              <w:t>20.4%</w:t>
            </w:r>
          </w:p>
        </w:tc>
        <w:tc>
          <w:tcPr>
            <w:tcW w:w="2268" w:type="dxa"/>
            <w:tcBorders>
              <w:top w:val="single" w:sz="4" w:space="0" w:color="auto"/>
              <w:left w:val="single" w:sz="4" w:space="0" w:color="auto"/>
              <w:bottom w:val="single" w:sz="4" w:space="0" w:color="auto"/>
              <w:right w:val="single" w:sz="4" w:space="0" w:color="auto"/>
            </w:tcBorders>
            <w:vAlign w:val="center"/>
          </w:tcPr>
          <w:p w14:paraId="50E1620B" w14:textId="77777777" w:rsidR="007453E2" w:rsidRPr="00E151A8" w:rsidRDefault="007453E2" w:rsidP="00086AAD">
            <w:pPr>
              <w:widowControl w:val="0"/>
              <w:spacing w:line="276" w:lineRule="auto"/>
              <w:jc w:val="center"/>
              <w:rPr>
                <w:rFonts w:ascii="Arial" w:eastAsiaTheme="minorHAnsi" w:hAnsi="Arial" w:cs="Arial"/>
                <w:color w:val="000000" w:themeColor="text1"/>
                <w:sz w:val="18"/>
                <w:szCs w:val="18"/>
                <w:lang w:val="en-US" w:eastAsia="en-US"/>
              </w:rPr>
            </w:pPr>
            <w:r w:rsidRPr="00E151A8">
              <w:rPr>
                <w:rFonts w:ascii="Arial" w:eastAsiaTheme="minorHAnsi" w:hAnsi="Arial" w:cs="Arial"/>
                <w:color w:val="000000" w:themeColor="text1"/>
                <w:sz w:val="18"/>
                <w:szCs w:val="18"/>
                <w:lang w:val="en-US" w:eastAsia="en-US"/>
              </w:rPr>
              <w:t>15.5%</w:t>
            </w:r>
          </w:p>
        </w:tc>
        <w:tc>
          <w:tcPr>
            <w:tcW w:w="2126" w:type="dxa"/>
            <w:tcBorders>
              <w:top w:val="single" w:sz="4" w:space="0" w:color="auto"/>
              <w:left w:val="single" w:sz="4" w:space="0" w:color="auto"/>
              <w:bottom w:val="single" w:sz="4" w:space="0" w:color="auto"/>
              <w:right w:val="single" w:sz="4" w:space="0" w:color="auto"/>
            </w:tcBorders>
            <w:vAlign w:val="center"/>
          </w:tcPr>
          <w:p w14:paraId="717B1D6E" w14:textId="77777777" w:rsidR="007453E2" w:rsidRPr="00E151A8" w:rsidRDefault="007453E2" w:rsidP="00086AAD">
            <w:pPr>
              <w:widowControl w:val="0"/>
              <w:spacing w:line="276" w:lineRule="auto"/>
              <w:jc w:val="center"/>
              <w:rPr>
                <w:rFonts w:ascii="Arial" w:eastAsiaTheme="minorHAnsi" w:hAnsi="Arial" w:cs="Arial"/>
                <w:color w:val="000000" w:themeColor="text1"/>
                <w:sz w:val="18"/>
                <w:szCs w:val="18"/>
                <w:lang w:val="en-US" w:eastAsia="en-US"/>
              </w:rPr>
            </w:pPr>
            <w:r w:rsidRPr="00E151A8">
              <w:rPr>
                <w:rFonts w:ascii="Arial" w:eastAsiaTheme="minorHAnsi" w:hAnsi="Arial" w:cs="Arial"/>
                <w:color w:val="000000" w:themeColor="text1"/>
                <w:sz w:val="18"/>
                <w:szCs w:val="18"/>
                <w:lang w:val="en-US" w:eastAsia="en-US"/>
              </w:rPr>
              <w:t>6.0%</w:t>
            </w:r>
          </w:p>
        </w:tc>
      </w:tr>
      <w:tr w:rsidR="007453E2" w:rsidRPr="00E151A8" w14:paraId="4DE8758F" w14:textId="77777777" w:rsidTr="00086AAD">
        <w:trPr>
          <w:trHeight w:val="313"/>
        </w:trPr>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6CAEA5" w14:textId="77777777" w:rsidR="007453E2" w:rsidRPr="00E151A8" w:rsidRDefault="007453E2" w:rsidP="00086AAD">
            <w:pPr>
              <w:widowControl w:val="0"/>
              <w:spacing w:line="276" w:lineRule="auto"/>
              <w:rPr>
                <w:rFonts w:ascii="Arial" w:eastAsiaTheme="minorHAnsi" w:hAnsi="Arial" w:cs="Arial"/>
                <w:b/>
                <w:bCs/>
                <w:color w:val="000000" w:themeColor="text1"/>
                <w:sz w:val="18"/>
                <w:szCs w:val="18"/>
                <w:lang w:val="en-US" w:eastAsia="en-US"/>
              </w:rPr>
            </w:pPr>
            <w:r w:rsidRPr="00E151A8">
              <w:rPr>
                <w:rFonts w:ascii="Arial" w:eastAsiaTheme="minorHAnsi" w:hAnsi="Arial" w:cs="Arial"/>
                <w:b/>
                <w:bCs/>
                <w:color w:val="000000" w:themeColor="text1"/>
                <w:sz w:val="18"/>
                <w:szCs w:val="18"/>
                <w:lang w:val="en-US" w:eastAsia="en-US"/>
              </w:rPr>
              <w:t>Comments Only</w:t>
            </w:r>
          </w:p>
        </w:tc>
        <w:tc>
          <w:tcPr>
            <w:tcW w:w="2268" w:type="dxa"/>
            <w:tcBorders>
              <w:top w:val="single" w:sz="4" w:space="0" w:color="auto"/>
              <w:left w:val="single" w:sz="4" w:space="0" w:color="auto"/>
              <w:bottom w:val="single" w:sz="4" w:space="0" w:color="auto"/>
              <w:right w:val="single" w:sz="4" w:space="0" w:color="auto"/>
            </w:tcBorders>
            <w:vAlign w:val="center"/>
          </w:tcPr>
          <w:p w14:paraId="2B74F684" w14:textId="77777777" w:rsidR="007453E2" w:rsidRPr="00E151A8" w:rsidRDefault="007453E2" w:rsidP="00086AAD">
            <w:pPr>
              <w:widowControl w:val="0"/>
              <w:spacing w:line="276" w:lineRule="auto"/>
              <w:jc w:val="center"/>
              <w:rPr>
                <w:rFonts w:ascii="Arial" w:eastAsiaTheme="minorHAnsi" w:hAnsi="Arial" w:cs="Arial"/>
                <w:color w:val="000000"/>
                <w:sz w:val="18"/>
                <w:szCs w:val="18"/>
                <w:lang w:val="en-US" w:eastAsia="en-US"/>
              </w:rPr>
            </w:pPr>
            <w:r w:rsidRPr="00E151A8">
              <w:rPr>
                <w:rFonts w:ascii="Arial" w:eastAsiaTheme="minorHAnsi" w:hAnsi="Arial" w:cs="Arial"/>
                <w:color w:val="000000" w:themeColor="text1"/>
                <w:sz w:val="18"/>
                <w:szCs w:val="18"/>
                <w:lang w:val="en-US" w:eastAsia="en-US"/>
              </w:rPr>
              <w:t>1.7%</w:t>
            </w:r>
          </w:p>
        </w:tc>
        <w:tc>
          <w:tcPr>
            <w:tcW w:w="2268" w:type="dxa"/>
            <w:tcBorders>
              <w:top w:val="single" w:sz="4" w:space="0" w:color="auto"/>
              <w:left w:val="single" w:sz="4" w:space="0" w:color="auto"/>
              <w:bottom w:val="single" w:sz="4" w:space="0" w:color="auto"/>
              <w:right w:val="single" w:sz="4" w:space="0" w:color="auto"/>
            </w:tcBorders>
            <w:vAlign w:val="center"/>
          </w:tcPr>
          <w:p w14:paraId="4121E21F" w14:textId="77777777" w:rsidR="007453E2" w:rsidRPr="00E151A8" w:rsidRDefault="007453E2" w:rsidP="00086AAD">
            <w:pPr>
              <w:widowControl w:val="0"/>
              <w:spacing w:line="276" w:lineRule="auto"/>
              <w:jc w:val="center"/>
              <w:rPr>
                <w:rFonts w:ascii="Arial" w:eastAsiaTheme="minorHAnsi" w:hAnsi="Arial" w:cs="Arial"/>
                <w:b/>
                <w:color w:val="000000" w:themeColor="text1"/>
                <w:sz w:val="18"/>
                <w:szCs w:val="18"/>
                <w:lang w:val="en-US" w:eastAsia="en-US"/>
              </w:rPr>
            </w:pPr>
            <w:r w:rsidRPr="00E151A8">
              <w:rPr>
                <w:rFonts w:ascii="Arial" w:eastAsiaTheme="minorHAnsi" w:hAnsi="Arial" w:cs="Arial"/>
                <w:b/>
                <w:color w:val="000000" w:themeColor="text1"/>
                <w:sz w:val="18"/>
                <w:szCs w:val="18"/>
                <w:lang w:val="en-US" w:eastAsia="en-US"/>
              </w:rPr>
              <w:t>-</w:t>
            </w:r>
          </w:p>
        </w:tc>
        <w:tc>
          <w:tcPr>
            <w:tcW w:w="2126" w:type="dxa"/>
            <w:tcBorders>
              <w:top w:val="single" w:sz="4" w:space="0" w:color="auto"/>
              <w:left w:val="single" w:sz="4" w:space="0" w:color="auto"/>
              <w:bottom w:val="single" w:sz="4" w:space="0" w:color="auto"/>
              <w:right w:val="single" w:sz="4" w:space="0" w:color="auto"/>
            </w:tcBorders>
            <w:vAlign w:val="center"/>
          </w:tcPr>
          <w:p w14:paraId="4BEC93A1" w14:textId="77777777" w:rsidR="007453E2" w:rsidRPr="00E151A8" w:rsidRDefault="007453E2" w:rsidP="00086AAD">
            <w:pPr>
              <w:widowControl w:val="0"/>
              <w:spacing w:line="276" w:lineRule="auto"/>
              <w:jc w:val="center"/>
              <w:rPr>
                <w:rFonts w:ascii="Arial" w:eastAsiaTheme="minorHAnsi" w:hAnsi="Arial" w:cs="Arial"/>
                <w:b/>
                <w:bCs/>
                <w:color w:val="000000" w:themeColor="text1"/>
                <w:sz w:val="18"/>
                <w:szCs w:val="18"/>
                <w:lang w:val="en-US" w:eastAsia="en-US"/>
              </w:rPr>
            </w:pPr>
            <w:r w:rsidRPr="00E151A8">
              <w:rPr>
                <w:rFonts w:ascii="Arial" w:eastAsiaTheme="minorHAnsi" w:hAnsi="Arial" w:cs="Arial"/>
                <w:b/>
                <w:bCs/>
                <w:color w:val="000000" w:themeColor="text1"/>
                <w:sz w:val="18"/>
                <w:szCs w:val="18"/>
                <w:lang w:val="en-US" w:eastAsia="en-US"/>
              </w:rPr>
              <w:t>-</w:t>
            </w:r>
          </w:p>
        </w:tc>
      </w:tr>
      <w:tr w:rsidR="007453E2" w:rsidRPr="00E151A8" w14:paraId="7BEA5082" w14:textId="77777777" w:rsidTr="00086AAD">
        <w:trPr>
          <w:trHeight w:val="313"/>
        </w:trPr>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9F2C244" w14:textId="77777777" w:rsidR="007453E2" w:rsidRPr="00E151A8" w:rsidRDefault="007453E2" w:rsidP="00086AAD">
            <w:pPr>
              <w:widowControl w:val="0"/>
              <w:spacing w:line="276" w:lineRule="auto"/>
              <w:rPr>
                <w:rFonts w:ascii="Arial" w:eastAsiaTheme="minorHAnsi" w:hAnsi="Arial" w:cs="Arial"/>
                <w:b/>
                <w:bCs/>
                <w:color w:val="000000" w:themeColor="text1"/>
                <w:sz w:val="18"/>
                <w:szCs w:val="18"/>
                <w:lang w:val="en-US" w:eastAsia="en-US"/>
              </w:rPr>
            </w:pPr>
            <w:r w:rsidRPr="00E151A8">
              <w:rPr>
                <w:rFonts w:ascii="Arial" w:eastAsiaTheme="minorHAnsi" w:hAnsi="Arial" w:cs="Arial"/>
                <w:b/>
                <w:bCs/>
                <w:color w:val="000000" w:themeColor="text1"/>
                <w:sz w:val="18"/>
                <w:szCs w:val="18"/>
                <w:lang w:val="en-US" w:eastAsia="en-US"/>
              </w:rPr>
              <w:t>Total</w:t>
            </w:r>
          </w:p>
        </w:tc>
        <w:tc>
          <w:tcPr>
            <w:tcW w:w="2268" w:type="dxa"/>
            <w:tcBorders>
              <w:top w:val="single" w:sz="4" w:space="0" w:color="auto"/>
              <w:left w:val="single" w:sz="4" w:space="0" w:color="auto"/>
              <w:bottom w:val="single" w:sz="4" w:space="0" w:color="auto"/>
              <w:right w:val="single" w:sz="4" w:space="0" w:color="auto"/>
            </w:tcBorders>
            <w:vAlign w:val="center"/>
          </w:tcPr>
          <w:p w14:paraId="2113AA4F" w14:textId="77777777" w:rsidR="007453E2" w:rsidRPr="00E151A8" w:rsidRDefault="007453E2" w:rsidP="00086AAD">
            <w:pPr>
              <w:widowControl w:val="0"/>
              <w:spacing w:line="276" w:lineRule="auto"/>
              <w:jc w:val="center"/>
              <w:rPr>
                <w:rFonts w:ascii="Arial" w:eastAsiaTheme="minorHAnsi" w:hAnsi="Arial" w:cs="Arial"/>
                <w:b/>
                <w:bCs/>
                <w:color w:val="000000" w:themeColor="text1"/>
                <w:sz w:val="18"/>
                <w:szCs w:val="18"/>
                <w:lang w:val="en-US" w:eastAsia="en-US"/>
              </w:rPr>
            </w:pPr>
            <w:r w:rsidRPr="00E151A8">
              <w:rPr>
                <w:rFonts w:ascii="Arial" w:eastAsiaTheme="minorHAnsi" w:hAnsi="Arial" w:cs="Arial"/>
                <w:b/>
                <w:bCs/>
                <w:color w:val="000000" w:themeColor="text1"/>
                <w:sz w:val="18"/>
                <w:szCs w:val="18"/>
                <w:lang w:val="en-US" w:eastAsia="en-US"/>
              </w:rPr>
              <w:t>100.0%</w:t>
            </w:r>
          </w:p>
        </w:tc>
        <w:tc>
          <w:tcPr>
            <w:tcW w:w="2268" w:type="dxa"/>
            <w:tcBorders>
              <w:top w:val="single" w:sz="4" w:space="0" w:color="auto"/>
              <w:left w:val="single" w:sz="4" w:space="0" w:color="auto"/>
              <w:bottom w:val="single" w:sz="4" w:space="0" w:color="auto"/>
              <w:right w:val="single" w:sz="4" w:space="0" w:color="auto"/>
            </w:tcBorders>
            <w:vAlign w:val="center"/>
          </w:tcPr>
          <w:p w14:paraId="0A7958FE" w14:textId="77777777" w:rsidR="007453E2" w:rsidRPr="00E151A8" w:rsidRDefault="007453E2" w:rsidP="00086AAD">
            <w:pPr>
              <w:widowControl w:val="0"/>
              <w:spacing w:line="276" w:lineRule="auto"/>
              <w:jc w:val="center"/>
              <w:rPr>
                <w:rFonts w:ascii="Arial" w:eastAsiaTheme="minorHAnsi" w:hAnsi="Arial" w:cs="Arial"/>
                <w:b/>
                <w:color w:val="000000" w:themeColor="text1"/>
                <w:sz w:val="18"/>
                <w:szCs w:val="18"/>
                <w:lang w:val="en-US" w:eastAsia="en-US"/>
              </w:rPr>
            </w:pPr>
            <w:r w:rsidRPr="00E151A8">
              <w:rPr>
                <w:rFonts w:ascii="Arial" w:eastAsiaTheme="minorHAnsi" w:hAnsi="Arial" w:cs="Arial"/>
                <w:b/>
                <w:color w:val="000000" w:themeColor="text1"/>
                <w:sz w:val="18"/>
                <w:szCs w:val="18"/>
                <w:lang w:val="en-US" w:eastAsia="en-US"/>
              </w:rPr>
              <w:t>100.0%</w:t>
            </w:r>
          </w:p>
        </w:tc>
        <w:tc>
          <w:tcPr>
            <w:tcW w:w="2126" w:type="dxa"/>
            <w:tcBorders>
              <w:top w:val="single" w:sz="4" w:space="0" w:color="auto"/>
              <w:left w:val="single" w:sz="4" w:space="0" w:color="auto"/>
              <w:bottom w:val="single" w:sz="4" w:space="0" w:color="auto"/>
              <w:right w:val="single" w:sz="4" w:space="0" w:color="auto"/>
            </w:tcBorders>
            <w:vAlign w:val="center"/>
          </w:tcPr>
          <w:p w14:paraId="6C57B5E7" w14:textId="77777777" w:rsidR="007453E2" w:rsidRPr="00E151A8" w:rsidRDefault="007453E2" w:rsidP="00086AAD">
            <w:pPr>
              <w:widowControl w:val="0"/>
              <w:spacing w:line="276" w:lineRule="auto"/>
              <w:jc w:val="center"/>
              <w:rPr>
                <w:rFonts w:ascii="Arial" w:eastAsiaTheme="minorHAnsi" w:hAnsi="Arial" w:cs="Arial"/>
                <w:b/>
                <w:bCs/>
                <w:color w:val="000000" w:themeColor="text1"/>
                <w:sz w:val="18"/>
                <w:szCs w:val="18"/>
                <w:lang w:val="en-US" w:eastAsia="en-US"/>
              </w:rPr>
            </w:pPr>
            <w:r w:rsidRPr="00E151A8">
              <w:rPr>
                <w:rFonts w:ascii="Arial" w:eastAsiaTheme="minorHAnsi" w:hAnsi="Arial" w:cs="Arial"/>
                <w:b/>
                <w:bCs/>
                <w:color w:val="000000" w:themeColor="text1"/>
                <w:sz w:val="18"/>
                <w:szCs w:val="18"/>
                <w:lang w:val="en-US" w:eastAsia="en-US"/>
              </w:rPr>
              <w:t>100.0%</w:t>
            </w:r>
          </w:p>
        </w:tc>
      </w:tr>
    </w:tbl>
    <w:p w14:paraId="671F7326" w14:textId="471BA7A0" w:rsidR="007453E2" w:rsidRPr="00B63E9B" w:rsidRDefault="007453E2" w:rsidP="007453E2">
      <w:pPr>
        <w:spacing w:after="200"/>
        <w:ind w:left="567" w:hanging="425"/>
        <w:jc w:val="both"/>
        <w:rPr>
          <w:rFonts w:ascii="Arial" w:eastAsiaTheme="minorEastAsia" w:hAnsi="Arial" w:cs="Arial"/>
          <w:i/>
          <w:sz w:val="18"/>
          <w:szCs w:val="18"/>
        </w:rPr>
      </w:pPr>
      <w:r w:rsidRPr="00B63E9B">
        <w:rPr>
          <w:rFonts w:ascii="Arial" w:eastAsiaTheme="minorEastAsia" w:hAnsi="Arial" w:cs="Arial"/>
          <w:sz w:val="24"/>
        </w:rPr>
        <w:t>*</w:t>
      </w:r>
      <w:r w:rsidRPr="00B63E9B">
        <w:rPr>
          <w:rFonts w:ascii="Arial" w:eastAsiaTheme="minorEastAsia" w:hAnsi="Arial" w:cs="Arial"/>
          <w:sz w:val="18"/>
          <w:szCs w:val="18"/>
        </w:rPr>
        <w:t xml:space="preserve">   </w:t>
      </w:r>
      <w:r w:rsidRPr="00B63E9B">
        <w:rPr>
          <w:rFonts w:ascii="Arial" w:eastAsiaTheme="minorEastAsia" w:hAnsi="Arial" w:cs="Arial"/>
          <w:i/>
          <w:sz w:val="18"/>
          <w:szCs w:val="18"/>
        </w:rPr>
        <w:t>In addition, when asked how supportive they were of Option 1</w:t>
      </w:r>
      <w:r>
        <w:rPr>
          <w:rFonts w:ascii="Arial" w:eastAsiaTheme="minorEastAsia" w:hAnsi="Arial" w:cs="Arial"/>
          <w:i/>
          <w:sz w:val="18"/>
          <w:szCs w:val="18"/>
        </w:rPr>
        <w:t xml:space="preserve"> itself</w:t>
      </w:r>
      <w:r w:rsidRPr="00B63E9B">
        <w:rPr>
          <w:rFonts w:ascii="Arial" w:eastAsiaTheme="minorEastAsia" w:hAnsi="Arial" w:cs="Arial"/>
          <w:i/>
          <w:sz w:val="18"/>
          <w:szCs w:val="18"/>
        </w:rPr>
        <w:t xml:space="preserve">, </w:t>
      </w:r>
      <w:r w:rsidRPr="00B63E9B">
        <w:rPr>
          <w:rFonts w:ascii="Arial" w:eastAsiaTheme="minorEastAsia" w:hAnsi="Arial" w:cs="Arial"/>
          <w:b/>
          <w:i/>
          <w:sz w:val="18"/>
          <w:szCs w:val="18"/>
        </w:rPr>
        <w:t>64% of survey respondents</w:t>
      </w:r>
      <w:r w:rsidRPr="00B63E9B">
        <w:rPr>
          <w:rFonts w:ascii="Arial" w:eastAsiaTheme="minorEastAsia" w:hAnsi="Arial" w:cs="Arial"/>
          <w:i/>
          <w:sz w:val="18"/>
          <w:szCs w:val="18"/>
        </w:rPr>
        <w:t xml:space="preserve"> indicated medium</w:t>
      </w:r>
      <w:r>
        <w:rPr>
          <w:rFonts w:ascii="Arial" w:eastAsiaTheme="minorEastAsia" w:hAnsi="Arial" w:cs="Arial"/>
          <w:i/>
          <w:sz w:val="18"/>
          <w:szCs w:val="18"/>
        </w:rPr>
        <w:t xml:space="preserve"> (16%) or </w:t>
      </w:r>
      <w:r w:rsidRPr="00B63E9B">
        <w:rPr>
          <w:rFonts w:ascii="Arial" w:eastAsiaTheme="minorEastAsia" w:hAnsi="Arial" w:cs="Arial"/>
          <w:i/>
          <w:sz w:val="18"/>
          <w:szCs w:val="18"/>
        </w:rPr>
        <w:t>high support</w:t>
      </w:r>
      <w:r>
        <w:rPr>
          <w:rFonts w:ascii="Arial" w:eastAsiaTheme="minorEastAsia" w:hAnsi="Arial" w:cs="Arial"/>
          <w:i/>
          <w:sz w:val="18"/>
          <w:szCs w:val="18"/>
        </w:rPr>
        <w:t xml:space="preserve"> (48%) (see </w:t>
      </w:r>
      <w:r w:rsidRPr="007453E2">
        <w:rPr>
          <w:rFonts w:ascii="Arial" w:eastAsiaTheme="minorEastAsia" w:hAnsi="Arial" w:cs="Arial"/>
          <w:b/>
          <w:i/>
          <w:sz w:val="18"/>
          <w:szCs w:val="18"/>
        </w:rPr>
        <w:t xml:space="preserve">Attachment </w:t>
      </w:r>
      <w:r>
        <w:rPr>
          <w:rFonts w:ascii="Arial" w:eastAsiaTheme="minorEastAsia" w:hAnsi="Arial" w:cs="Arial"/>
          <w:b/>
          <w:i/>
          <w:sz w:val="18"/>
          <w:szCs w:val="18"/>
        </w:rPr>
        <w:t>6b</w:t>
      </w:r>
      <w:r>
        <w:rPr>
          <w:rFonts w:ascii="Arial" w:eastAsiaTheme="minorEastAsia" w:hAnsi="Arial" w:cs="Arial"/>
          <w:i/>
          <w:sz w:val="18"/>
          <w:szCs w:val="18"/>
        </w:rPr>
        <w:t>, page 14)</w:t>
      </w:r>
      <w:r w:rsidRPr="00B63E9B">
        <w:rPr>
          <w:rFonts w:ascii="Arial" w:eastAsiaTheme="minorEastAsia" w:hAnsi="Arial" w:cs="Arial"/>
          <w:i/>
          <w:sz w:val="18"/>
          <w:szCs w:val="18"/>
        </w:rPr>
        <w:t xml:space="preserve">. </w:t>
      </w:r>
    </w:p>
    <w:p w14:paraId="2718D7F6" w14:textId="77777777" w:rsidR="00CE72C1" w:rsidRDefault="00CE72C1" w:rsidP="00CE72C1"/>
    <w:p w14:paraId="3D3DCE82" w14:textId="77777777" w:rsidR="004717DE" w:rsidRDefault="00CE72C1" w:rsidP="00000B79">
      <w:pPr>
        <w:pStyle w:val="Default"/>
        <w:spacing w:line="276" w:lineRule="auto"/>
        <w:jc w:val="both"/>
        <w:rPr>
          <w:sz w:val="20"/>
          <w:szCs w:val="20"/>
        </w:rPr>
      </w:pPr>
      <w:r w:rsidRPr="00CE72C1">
        <w:rPr>
          <w:sz w:val="20"/>
          <w:szCs w:val="20"/>
        </w:rPr>
        <w:t xml:space="preserve">The key messages from consultation were that most residents did not want service levels to reduce and they were willing to pay the additional rates for this to be achieved. </w:t>
      </w:r>
      <w:r w:rsidR="00DD2B87">
        <w:rPr>
          <w:sz w:val="20"/>
          <w:szCs w:val="20"/>
        </w:rPr>
        <w:t xml:space="preserve">This has been a consistent community response since consultation began in 2012. </w:t>
      </w:r>
    </w:p>
    <w:p w14:paraId="29DB2A6E" w14:textId="77777777" w:rsidR="004717DE" w:rsidRDefault="004717DE" w:rsidP="00000B79">
      <w:pPr>
        <w:pStyle w:val="Default"/>
        <w:spacing w:line="276" w:lineRule="auto"/>
        <w:jc w:val="both"/>
        <w:rPr>
          <w:sz w:val="20"/>
          <w:szCs w:val="20"/>
        </w:rPr>
      </w:pPr>
    </w:p>
    <w:p w14:paraId="77144937" w14:textId="59CBA9DF" w:rsidR="00AD2D16" w:rsidRDefault="00CE72C1" w:rsidP="00000B79">
      <w:pPr>
        <w:pStyle w:val="Default"/>
        <w:spacing w:line="276" w:lineRule="auto"/>
        <w:jc w:val="both"/>
        <w:rPr>
          <w:sz w:val="20"/>
          <w:szCs w:val="20"/>
        </w:rPr>
      </w:pPr>
      <w:r w:rsidRPr="00CE72C1">
        <w:rPr>
          <w:sz w:val="20"/>
          <w:szCs w:val="20"/>
        </w:rPr>
        <w:t xml:space="preserve">However, there is a strong expectation that the Council needs to continue its focus on being efficient. </w:t>
      </w:r>
      <w:r w:rsidR="004F6B6B" w:rsidRPr="004717DE">
        <w:rPr>
          <w:b/>
          <w:sz w:val="20"/>
          <w:szCs w:val="20"/>
        </w:rPr>
        <w:t>Section 7</w:t>
      </w:r>
      <w:r w:rsidR="004F6B6B">
        <w:rPr>
          <w:sz w:val="20"/>
          <w:szCs w:val="20"/>
        </w:rPr>
        <w:t xml:space="preserve"> outlines the Council’s </w:t>
      </w:r>
      <w:r w:rsidR="00A439ED">
        <w:rPr>
          <w:sz w:val="20"/>
          <w:szCs w:val="20"/>
        </w:rPr>
        <w:t xml:space="preserve">past and continuing </w:t>
      </w:r>
      <w:r w:rsidR="004F6B6B">
        <w:rPr>
          <w:sz w:val="20"/>
          <w:szCs w:val="20"/>
        </w:rPr>
        <w:t xml:space="preserve">commitment to delivering best value services that meet assessed needs of the community as cost effectively and efficiently as possible. </w:t>
      </w:r>
    </w:p>
    <w:p w14:paraId="683F363B" w14:textId="6049BC10" w:rsidR="009E5E38" w:rsidRPr="000079F0" w:rsidRDefault="009E5E38" w:rsidP="000079F0">
      <w:pPr>
        <w:pStyle w:val="Heading3"/>
        <w:tabs>
          <w:tab w:val="clear" w:pos="1844"/>
        </w:tabs>
        <w:ind w:left="709" w:hanging="851"/>
      </w:pPr>
      <w:r w:rsidRPr="009E5E38">
        <w:t>Public Exhibition and Call for submissions – Supported by Information Package Mail Out to Ratepayers</w:t>
      </w:r>
    </w:p>
    <w:p w14:paraId="4C8AC638" w14:textId="77777777" w:rsidR="00E63E20" w:rsidRDefault="00E63E20" w:rsidP="00E63E20">
      <w:pPr>
        <w:pStyle w:val="Default"/>
        <w:spacing w:line="360" w:lineRule="auto"/>
        <w:jc w:val="both"/>
        <w:rPr>
          <w:sz w:val="20"/>
          <w:szCs w:val="20"/>
        </w:rPr>
      </w:pPr>
    </w:p>
    <w:p w14:paraId="59A33328" w14:textId="7C9D0260" w:rsidR="00E63E20" w:rsidRPr="00E63E20" w:rsidRDefault="004E4298" w:rsidP="00000B79">
      <w:pPr>
        <w:widowControl w:val="0"/>
        <w:spacing w:line="276" w:lineRule="auto"/>
        <w:ind w:right="239"/>
        <w:jc w:val="both"/>
        <w:rPr>
          <w:rFonts w:ascii="Arial" w:eastAsia="Arial" w:hAnsi="Arial" w:cs="Arial"/>
          <w:sz w:val="20"/>
          <w:szCs w:val="20"/>
          <w:lang w:val="en-US" w:eastAsia="en-US"/>
        </w:rPr>
      </w:pPr>
      <w:r w:rsidRPr="00681DD5">
        <w:rPr>
          <w:rFonts w:ascii="Arial" w:eastAsia="Arial" w:hAnsi="Arial" w:cs="Arial"/>
          <w:sz w:val="20"/>
          <w:szCs w:val="20"/>
          <w:lang w:val="en-US" w:eastAsia="en-US"/>
        </w:rPr>
        <w:t xml:space="preserve">Key elements of the Public Exhibition process for </w:t>
      </w:r>
      <w:r w:rsidRPr="00681DD5">
        <w:rPr>
          <w:rFonts w:ascii="Arial" w:eastAsia="Arial" w:hAnsi="Arial" w:cs="Arial"/>
          <w:i/>
          <w:sz w:val="20"/>
          <w:szCs w:val="20"/>
          <w:lang w:val="en-US" w:eastAsia="en-US"/>
        </w:rPr>
        <w:t>Resourcing Our Future</w:t>
      </w:r>
      <w:r w:rsidRPr="00681DD5">
        <w:rPr>
          <w:rFonts w:ascii="Arial" w:eastAsia="Arial" w:hAnsi="Arial" w:cs="Arial"/>
          <w:sz w:val="20"/>
          <w:szCs w:val="20"/>
          <w:lang w:val="en-US" w:eastAsia="en-US"/>
        </w:rPr>
        <w:t xml:space="preserve"> included:</w:t>
      </w:r>
    </w:p>
    <w:p w14:paraId="64EE6583" w14:textId="77777777" w:rsidR="00E63E20" w:rsidRPr="00E63E20" w:rsidRDefault="00E63E20" w:rsidP="00000B79">
      <w:pPr>
        <w:spacing w:line="276" w:lineRule="auto"/>
        <w:jc w:val="both"/>
        <w:rPr>
          <w:rFonts w:ascii="Arial" w:hAnsi="Arial" w:cs="Arial"/>
          <w:bCs/>
          <w:i/>
          <w:sz w:val="20"/>
          <w:szCs w:val="20"/>
          <w:lang w:val="en-US" w:eastAsia="en-US"/>
        </w:rPr>
      </w:pPr>
    </w:p>
    <w:p w14:paraId="0E9E19A8" w14:textId="378EB1C1" w:rsidR="00456A8D" w:rsidRPr="00AF1D22" w:rsidRDefault="00253CA9" w:rsidP="00000B79">
      <w:pPr>
        <w:numPr>
          <w:ilvl w:val="0"/>
          <w:numId w:val="107"/>
        </w:numPr>
        <w:tabs>
          <w:tab w:val="left" w:pos="8789"/>
        </w:tabs>
        <w:spacing w:line="276" w:lineRule="auto"/>
        <w:ind w:left="284" w:hanging="284"/>
        <w:contextualSpacing/>
        <w:jc w:val="both"/>
        <w:rPr>
          <w:rFonts w:ascii="Arial" w:eastAsia="Arial" w:hAnsi="Arial" w:cs="Arial"/>
          <w:sz w:val="20"/>
          <w:szCs w:val="20"/>
          <w:lang w:val="en-US"/>
        </w:rPr>
      </w:pPr>
      <w:r w:rsidRPr="00AF1D22">
        <w:rPr>
          <w:rFonts w:ascii="Arial" w:eastAsia="Arial" w:hAnsi="Arial" w:cs="Arial"/>
          <w:sz w:val="20"/>
          <w:szCs w:val="20"/>
          <w:lang w:val="en-US" w:eastAsia="en-US"/>
        </w:rPr>
        <w:t xml:space="preserve">Informing rate payers ahead of the community engagement that </w:t>
      </w:r>
      <w:r w:rsidR="004F4A2F" w:rsidRPr="00AF1D22">
        <w:rPr>
          <w:rFonts w:ascii="Arial" w:eastAsia="Arial" w:hAnsi="Arial" w:cs="Arial"/>
          <w:sz w:val="20"/>
          <w:szCs w:val="20"/>
          <w:lang w:val="en-US" w:eastAsia="en-US"/>
        </w:rPr>
        <w:t xml:space="preserve">the Council was planning to engage with the community on possible increases to rates as part of its adopted </w:t>
      </w:r>
      <w:r w:rsidR="004F4A2F" w:rsidRPr="00AF1D22">
        <w:rPr>
          <w:rFonts w:ascii="Arial" w:eastAsia="Arial" w:hAnsi="Arial" w:cs="Arial"/>
          <w:i/>
          <w:sz w:val="20"/>
          <w:szCs w:val="20"/>
          <w:lang w:val="en-US" w:eastAsia="en-US"/>
        </w:rPr>
        <w:t>Six Point Strategy for Financial Sustainability</w:t>
      </w:r>
      <w:r w:rsidRPr="00AF1D22">
        <w:rPr>
          <w:rFonts w:ascii="Arial" w:eastAsia="Arial" w:hAnsi="Arial" w:cs="Arial"/>
          <w:sz w:val="20"/>
          <w:szCs w:val="20"/>
          <w:lang w:val="en-US" w:eastAsia="en-US"/>
        </w:rPr>
        <w:t xml:space="preserve"> through</w:t>
      </w:r>
      <w:r w:rsidR="008F6FDF" w:rsidRPr="00AF1D22">
        <w:rPr>
          <w:rFonts w:ascii="Arial" w:eastAsia="Arial" w:hAnsi="Arial" w:cs="Arial"/>
          <w:sz w:val="20"/>
          <w:szCs w:val="20"/>
          <w:lang w:val="en-US" w:eastAsia="en-US"/>
        </w:rPr>
        <w:t>:</w:t>
      </w:r>
      <w:r w:rsidR="00AF1D22" w:rsidRPr="00AF1D22">
        <w:rPr>
          <w:rFonts w:ascii="Arial" w:eastAsia="Arial" w:hAnsi="Arial" w:cs="Arial"/>
          <w:sz w:val="20"/>
          <w:szCs w:val="20"/>
          <w:lang w:val="en-US" w:eastAsia="en-US"/>
        </w:rPr>
        <w:t xml:space="preserve"> </w:t>
      </w:r>
      <w:r w:rsidR="00456A8D" w:rsidRPr="00AF1D22">
        <w:rPr>
          <w:rFonts w:ascii="Arial" w:eastAsia="Arial" w:hAnsi="Arial" w:cs="Arial"/>
          <w:sz w:val="20"/>
          <w:szCs w:val="20"/>
          <w:lang w:val="en-US" w:eastAsia="en-US"/>
        </w:rPr>
        <w:t xml:space="preserve">through the Council’s </w:t>
      </w:r>
      <w:r w:rsidR="00456A8D" w:rsidRPr="00AF1D22">
        <w:rPr>
          <w:rFonts w:ascii="Arial" w:eastAsia="Arial" w:hAnsi="Arial" w:cs="Arial"/>
          <w:i/>
          <w:sz w:val="20"/>
          <w:szCs w:val="20"/>
          <w:lang w:val="en-US" w:eastAsia="en-US"/>
        </w:rPr>
        <w:t>News from The Hill</w:t>
      </w:r>
      <w:r w:rsidR="00456A8D" w:rsidRPr="00AF1D22">
        <w:rPr>
          <w:rFonts w:ascii="Arial" w:eastAsia="Arial" w:hAnsi="Arial" w:cs="Arial"/>
          <w:sz w:val="20"/>
          <w:szCs w:val="20"/>
          <w:lang w:val="en-US" w:eastAsia="en-US"/>
        </w:rPr>
        <w:t xml:space="preserve"> ratepayer newsletter (see Attachment 5b)</w:t>
      </w:r>
      <w:r w:rsidR="00456A8D" w:rsidRPr="00AF1D22">
        <w:rPr>
          <w:rFonts w:ascii="Arial" w:eastAsia="Arial" w:hAnsi="Arial" w:cs="Arial"/>
          <w:sz w:val="20"/>
          <w:szCs w:val="20"/>
          <w:lang w:val="en-US"/>
        </w:rPr>
        <w:t>; and</w:t>
      </w:r>
      <w:r w:rsidR="00AF1D22" w:rsidRPr="00AF1D22">
        <w:rPr>
          <w:rFonts w:ascii="Arial" w:eastAsia="Arial" w:hAnsi="Arial" w:cs="Arial"/>
          <w:sz w:val="20"/>
          <w:szCs w:val="20"/>
          <w:lang w:val="en-US"/>
        </w:rPr>
        <w:t xml:space="preserve"> </w:t>
      </w:r>
      <w:r w:rsidRPr="00AF1D22">
        <w:rPr>
          <w:rFonts w:ascii="Arial" w:eastAsia="Arial" w:hAnsi="Arial" w:cs="Arial"/>
          <w:sz w:val="20"/>
          <w:szCs w:val="20"/>
          <w:lang w:val="en-US" w:eastAsia="en-US"/>
        </w:rPr>
        <w:t xml:space="preserve">the Council’s earlier adopted IPR documents including the 2013-2023 Resourcing Strategy and </w:t>
      </w:r>
      <w:r w:rsidRPr="00AF1D22">
        <w:rPr>
          <w:rFonts w:ascii="Arial" w:eastAsia="Arial" w:hAnsi="Arial" w:cs="Arial"/>
          <w:i/>
          <w:sz w:val="20"/>
          <w:szCs w:val="20"/>
          <w:lang w:val="en-US" w:eastAsia="en-US"/>
        </w:rPr>
        <w:t>Delivery Program</w:t>
      </w:r>
      <w:r w:rsidR="00456A8D" w:rsidRPr="00AF1D22">
        <w:rPr>
          <w:rFonts w:ascii="Arial" w:eastAsia="Arial" w:hAnsi="Arial" w:cs="Arial"/>
          <w:i/>
          <w:sz w:val="20"/>
          <w:szCs w:val="20"/>
          <w:lang w:val="en-US"/>
        </w:rPr>
        <w:t xml:space="preserve"> 2013-2017 Operational Plan 2014-2015</w:t>
      </w:r>
      <w:r w:rsidR="00456A8D" w:rsidRPr="00AF1D22">
        <w:rPr>
          <w:rFonts w:ascii="Arial" w:eastAsia="Arial" w:hAnsi="Arial" w:cs="Arial"/>
          <w:sz w:val="20"/>
          <w:szCs w:val="20"/>
          <w:lang w:val="en-US"/>
        </w:rPr>
        <w:t xml:space="preserve">  which stated on page 24:</w:t>
      </w:r>
    </w:p>
    <w:p w14:paraId="71DCED33" w14:textId="0C3C67CE" w:rsidR="00456A8D" w:rsidRPr="00AF1D22" w:rsidRDefault="00456A8D" w:rsidP="00000B79">
      <w:pPr>
        <w:tabs>
          <w:tab w:val="left" w:pos="8789"/>
        </w:tabs>
        <w:spacing w:line="276" w:lineRule="auto"/>
        <w:ind w:left="1134"/>
        <w:contextualSpacing/>
        <w:jc w:val="both"/>
        <w:rPr>
          <w:rFonts w:ascii="Arial" w:eastAsia="Arial" w:hAnsi="Arial" w:cs="Arial"/>
          <w:i/>
          <w:sz w:val="18"/>
          <w:szCs w:val="18"/>
          <w:lang w:val="en-US"/>
        </w:rPr>
      </w:pPr>
      <w:r w:rsidRPr="00AF1D22">
        <w:rPr>
          <w:rFonts w:ascii="Arial" w:eastAsia="Arial" w:hAnsi="Arial" w:cs="Arial"/>
          <w:i/>
          <w:sz w:val="18"/>
          <w:szCs w:val="18"/>
          <w:lang w:val="en-US"/>
        </w:rPr>
        <w:t>“In 2013, community engagement on the update of the Community strategic Plan –</w:t>
      </w:r>
      <w:r w:rsidR="00AF1D22" w:rsidRPr="00AF1D22">
        <w:rPr>
          <w:rFonts w:ascii="Arial" w:eastAsia="Arial" w:hAnsi="Arial" w:cs="Arial"/>
          <w:i/>
          <w:sz w:val="18"/>
          <w:szCs w:val="18"/>
          <w:lang w:val="en-US"/>
        </w:rPr>
        <w:t xml:space="preserve"> S</w:t>
      </w:r>
      <w:r w:rsidRPr="00AF1D22">
        <w:rPr>
          <w:rFonts w:ascii="Arial" w:eastAsia="Arial" w:hAnsi="Arial" w:cs="Arial"/>
          <w:i/>
          <w:sz w:val="18"/>
          <w:szCs w:val="18"/>
          <w:lang w:val="en-US"/>
        </w:rPr>
        <w:t xml:space="preserve">ustainable </w:t>
      </w:r>
      <w:r w:rsidR="00AF1D22" w:rsidRPr="00AF1D22">
        <w:rPr>
          <w:rFonts w:ascii="Arial" w:eastAsia="Arial" w:hAnsi="Arial" w:cs="Arial"/>
          <w:i/>
          <w:sz w:val="18"/>
          <w:szCs w:val="18"/>
          <w:lang w:val="en-US"/>
        </w:rPr>
        <w:t>B</w:t>
      </w:r>
      <w:r w:rsidRPr="00AF1D22">
        <w:rPr>
          <w:rFonts w:ascii="Arial" w:eastAsia="Arial" w:hAnsi="Arial" w:cs="Arial"/>
          <w:i/>
          <w:sz w:val="18"/>
          <w:szCs w:val="18"/>
          <w:lang w:val="en-US"/>
        </w:rPr>
        <w:t>lue Mountains 2025, confirmed as a priority that the Council continue its focus on improving its financial sustainability through implementing six financial strategies including further engaging community in 2014 on possible further special variation to rates and continuation of the existing Environment Levy…..</w:t>
      </w:r>
    </w:p>
    <w:p w14:paraId="3BC12653" w14:textId="77777777" w:rsidR="003114B4" w:rsidRDefault="003114B4" w:rsidP="00000B79">
      <w:pPr>
        <w:tabs>
          <w:tab w:val="left" w:pos="8789"/>
        </w:tabs>
        <w:spacing w:line="276" w:lineRule="auto"/>
        <w:ind w:left="1134"/>
        <w:contextualSpacing/>
        <w:jc w:val="both"/>
        <w:rPr>
          <w:rFonts w:ascii="Arial" w:eastAsia="Arial" w:hAnsi="Arial" w:cs="Arial"/>
          <w:i/>
          <w:sz w:val="18"/>
          <w:szCs w:val="18"/>
          <w:lang w:val="en-US"/>
        </w:rPr>
      </w:pPr>
    </w:p>
    <w:p w14:paraId="56C8CFAC" w14:textId="0C448776" w:rsidR="00456A8D" w:rsidRPr="00AF1D22" w:rsidRDefault="00456A8D" w:rsidP="00000B79">
      <w:pPr>
        <w:tabs>
          <w:tab w:val="left" w:pos="8789"/>
        </w:tabs>
        <w:spacing w:line="276" w:lineRule="auto"/>
        <w:ind w:left="1134"/>
        <w:contextualSpacing/>
        <w:jc w:val="both"/>
        <w:rPr>
          <w:rFonts w:ascii="Arial" w:eastAsia="Arial" w:hAnsi="Arial" w:cs="Arial"/>
          <w:i/>
          <w:sz w:val="18"/>
          <w:szCs w:val="18"/>
          <w:lang w:val="en-US"/>
        </w:rPr>
      </w:pPr>
      <w:r w:rsidRPr="00AF1D22">
        <w:rPr>
          <w:rFonts w:ascii="Arial" w:eastAsia="Arial" w:hAnsi="Arial" w:cs="Arial"/>
          <w:i/>
          <w:sz w:val="18"/>
          <w:szCs w:val="18"/>
          <w:lang w:val="en-US"/>
        </w:rPr>
        <w:t>What Will Happen Next</w:t>
      </w:r>
    </w:p>
    <w:p w14:paraId="6DB4FA65" w14:textId="2D9B8E8B" w:rsidR="006D0B3A" w:rsidRPr="00AF1D22" w:rsidRDefault="006D0B3A" w:rsidP="00000B79">
      <w:pPr>
        <w:pStyle w:val="ListParagraph"/>
        <w:numPr>
          <w:ilvl w:val="0"/>
          <w:numId w:val="107"/>
        </w:numPr>
        <w:tabs>
          <w:tab w:val="left" w:pos="8789"/>
        </w:tabs>
        <w:spacing w:line="276" w:lineRule="auto"/>
        <w:ind w:left="1560" w:hanging="426"/>
        <w:contextualSpacing/>
        <w:jc w:val="both"/>
        <w:rPr>
          <w:rFonts w:ascii="Arial" w:eastAsia="Arial" w:hAnsi="Arial" w:cs="Arial"/>
          <w:i/>
          <w:sz w:val="18"/>
          <w:szCs w:val="18"/>
          <w:lang w:val="en-US"/>
        </w:rPr>
      </w:pPr>
      <w:r w:rsidRPr="00AF1D22">
        <w:rPr>
          <w:rFonts w:ascii="Arial" w:eastAsia="Arial" w:hAnsi="Arial" w:cs="Arial"/>
          <w:i/>
          <w:sz w:val="18"/>
          <w:szCs w:val="18"/>
          <w:lang w:val="en-US"/>
        </w:rPr>
        <w:t>The Council will develop a number of different options in considering a special variation to rates.</w:t>
      </w:r>
    </w:p>
    <w:p w14:paraId="59BC732E" w14:textId="107C265A" w:rsidR="006D0B3A" w:rsidRPr="00AF1D22" w:rsidRDefault="006D0B3A" w:rsidP="00000B79">
      <w:pPr>
        <w:pStyle w:val="ListParagraph"/>
        <w:numPr>
          <w:ilvl w:val="0"/>
          <w:numId w:val="107"/>
        </w:numPr>
        <w:tabs>
          <w:tab w:val="left" w:pos="8789"/>
        </w:tabs>
        <w:spacing w:line="276" w:lineRule="auto"/>
        <w:ind w:left="1560" w:hanging="426"/>
        <w:contextualSpacing/>
        <w:jc w:val="both"/>
        <w:rPr>
          <w:rFonts w:ascii="Arial" w:eastAsia="Arial" w:hAnsi="Arial" w:cs="Arial"/>
          <w:i/>
          <w:sz w:val="18"/>
          <w:szCs w:val="18"/>
          <w:lang w:val="en-US"/>
        </w:rPr>
      </w:pPr>
      <w:r w:rsidRPr="00AF1D22">
        <w:rPr>
          <w:rFonts w:ascii="Arial" w:eastAsia="Arial" w:hAnsi="Arial" w:cs="Arial"/>
          <w:i/>
          <w:sz w:val="18"/>
          <w:szCs w:val="18"/>
          <w:lang w:val="en-US"/>
        </w:rPr>
        <w:t xml:space="preserve">These options will present the various scenarios for not </w:t>
      </w:r>
      <w:r w:rsidR="00437FFB" w:rsidRPr="00AF1D22">
        <w:rPr>
          <w:rFonts w:ascii="Arial" w:eastAsia="Arial" w:hAnsi="Arial" w:cs="Arial"/>
          <w:i/>
          <w:sz w:val="18"/>
          <w:szCs w:val="18"/>
          <w:lang w:val="en-US"/>
        </w:rPr>
        <w:t>increasing or increasing rates revenue, how this will be allocated to services and what this will mean for the long term financial sustainability of the Council and levels of affordable service delivery.</w:t>
      </w:r>
    </w:p>
    <w:p w14:paraId="4EB436DA" w14:textId="1CC40216" w:rsidR="00AF1D22" w:rsidRPr="00AF1D22" w:rsidRDefault="00AF1D22" w:rsidP="00000B79">
      <w:pPr>
        <w:pStyle w:val="ListParagraph"/>
        <w:numPr>
          <w:ilvl w:val="0"/>
          <w:numId w:val="107"/>
        </w:numPr>
        <w:tabs>
          <w:tab w:val="left" w:pos="8789"/>
        </w:tabs>
        <w:spacing w:line="276" w:lineRule="auto"/>
        <w:ind w:left="1560" w:hanging="426"/>
        <w:contextualSpacing/>
        <w:jc w:val="both"/>
        <w:rPr>
          <w:rFonts w:ascii="Arial" w:eastAsia="Arial" w:hAnsi="Arial" w:cs="Arial"/>
          <w:i/>
          <w:sz w:val="18"/>
          <w:szCs w:val="18"/>
          <w:lang w:val="en-US"/>
        </w:rPr>
      </w:pPr>
      <w:r w:rsidRPr="00AF1D22">
        <w:rPr>
          <w:rFonts w:ascii="Arial" w:eastAsia="Arial" w:hAnsi="Arial" w:cs="Arial"/>
          <w:i/>
          <w:sz w:val="18"/>
          <w:szCs w:val="18"/>
          <w:lang w:val="en-US"/>
        </w:rPr>
        <w:t>The community will be presented with these options later in 2014 and the Council will provide a range of ways for community to have their say</w:t>
      </w:r>
      <w:r w:rsidR="00DC35CA">
        <w:rPr>
          <w:rFonts w:ascii="Arial" w:eastAsia="Arial" w:hAnsi="Arial" w:cs="Arial"/>
          <w:i/>
          <w:sz w:val="18"/>
          <w:szCs w:val="18"/>
          <w:lang w:val="en-US"/>
        </w:rPr>
        <w:t xml:space="preserve">, </w:t>
      </w:r>
      <w:r w:rsidRPr="00AF1D22">
        <w:rPr>
          <w:rFonts w:ascii="Arial" w:eastAsia="Arial" w:hAnsi="Arial" w:cs="Arial"/>
          <w:i/>
          <w:sz w:val="18"/>
          <w:szCs w:val="18"/>
          <w:lang w:val="en-US"/>
        </w:rPr>
        <w:t>including a call for submissions through a public exhibition process.</w:t>
      </w:r>
    </w:p>
    <w:p w14:paraId="72A9347D" w14:textId="36FF7F7C" w:rsidR="00AF1D22" w:rsidRPr="00AF1D22" w:rsidRDefault="00AF1D22" w:rsidP="00000B79">
      <w:pPr>
        <w:pStyle w:val="ListParagraph"/>
        <w:numPr>
          <w:ilvl w:val="0"/>
          <w:numId w:val="107"/>
        </w:numPr>
        <w:tabs>
          <w:tab w:val="left" w:pos="8789"/>
        </w:tabs>
        <w:spacing w:line="276" w:lineRule="auto"/>
        <w:ind w:left="1560" w:hanging="426"/>
        <w:contextualSpacing/>
        <w:jc w:val="both"/>
        <w:rPr>
          <w:rFonts w:ascii="Arial" w:eastAsia="Arial" w:hAnsi="Arial" w:cs="Arial"/>
          <w:i/>
          <w:sz w:val="18"/>
          <w:szCs w:val="18"/>
          <w:lang w:val="en-US"/>
        </w:rPr>
      </w:pPr>
      <w:r w:rsidRPr="00AF1D22">
        <w:rPr>
          <w:rFonts w:ascii="Arial" w:eastAsia="Arial" w:hAnsi="Arial" w:cs="Arial"/>
          <w:i/>
          <w:sz w:val="18"/>
          <w:szCs w:val="18"/>
          <w:lang w:val="en-US"/>
        </w:rPr>
        <w:t>The elected Council will then decide on a preferred option.</w:t>
      </w:r>
    </w:p>
    <w:p w14:paraId="3B2935BE" w14:textId="1983FE21" w:rsidR="00AF1D22" w:rsidRDefault="00DC35CA" w:rsidP="00000B79">
      <w:pPr>
        <w:pStyle w:val="ListParagraph"/>
        <w:numPr>
          <w:ilvl w:val="0"/>
          <w:numId w:val="107"/>
        </w:numPr>
        <w:tabs>
          <w:tab w:val="left" w:pos="8789"/>
        </w:tabs>
        <w:spacing w:line="276" w:lineRule="auto"/>
        <w:ind w:left="1560" w:hanging="426"/>
        <w:contextualSpacing/>
        <w:jc w:val="both"/>
        <w:rPr>
          <w:rFonts w:ascii="Arial" w:eastAsia="Arial" w:hAnsi="Arial" w:cs="Arial"/>
          <w:i/>
          <w:sz w:val="18"/>
          <w:szCs w:val="18"/>
          <w:lang w:val="en-US"/>
        </w:rPr>
      </w:pPr>
      <w:r>
        <w:rPr>
          <w:rFonts w:ascii="Arial" w:eastAsia="Arial" w:hAnsi="Arial" w:cs="Arial"/>
          <w:i/>
          <w:sz w:val="18"/>
          <w:szCs w:val="18"/>
          <w:lang w:val="en-US"/>
        </w:rPr>
        <w:t>If the preferred option</w:t>
      </w:r>
      <w:r w:rsidR="00AF1D22" w:rsidRPr="00AF1D22">
        <w:rPr>
          <w:rFonts w:ascii="Arial" w:eastAsia="Arial" w:hAnsi="Arial" w:cs="Arial"/>
          <w:i/>
          <w:sz w:val="18"/>
          <w:szCs w:val="18"/>
          <w:lang w:val="en-US"/>
        </w:rPr>
        <w:t xml:space="preserve"> is to apply for a special variation to rates, the council will submit its application in February 2015 to the Independent Pricing and Regulatory Tribunal.</w:t>
      </w:r>
    </w:p>
    <w:p w14:paraId="201FDF11" w14:textId="77777777" w:rsidR="00CA6AB3" w:rsidRPr="00AF1D22" w:rsidRDefault="00CA6AB3" w:rsidP="00000B79">
      <w:pPr>
        <w:pStyle w:val="ListParagraph"/>
        <w:tabs>
          <w:tab w:val="left" w:pos="8789"/>
        </w:tabs>
        <w:spacing w:line="276" w:lineRule="auto"/>
        <w:ind w:left="1560"/>
        <w:contextualSpacing/>
        <w:jc w:val="both"/>
        <w:rPr>
          <w:rFonts w:ascii="Arial" w:eastAsia="Arial" w:hAnsi="Arial" w:cs="Arial"/>
          <w:i/>
          <w:sz w:val="18"/>
          <w:szCs w:val="18"/>
          <w:lang w:val="en-US"/>
        </w:rPr>
      </w:pPr>
    </w:p>
    <w:p w14:paraId="28B94695" w14:textId="361FD82D" w:rsidR="00E63E20" w:rsidRDefault="00E63E20" w:rsidP="00000B79">
      <w:pPr>
        <w:numPr>
          <w:ilvl w:val="0"/>
          <w:numId w:val="103"/>
        </w:numPr>
        <w:tabs>
          <w:tab w:val="left" w:pos="8789"/>
        </w:tabs>
        <w:spacing w:line="276" w:lineRule="auto"/>
        <w:ind w:left="284" w:hanging="284"/>
        <w:contextualSpacing/>
        <w:rPr>
          <w:rFonts w:ascii="Arial" w:eastAsia="Arial" w:hAnsi="Arial" w:cs="Arial"/>
          <w:sz w:val="20"/>
          <w:szCs w:val="20"/>
          <w:lang w:val="en-US" w:eastAsia="en-US"/>
        </w:rPr>
      </w:pPr>
      <w:r w:rsidRPr="00E63E20">
        <w:rPr>
          <w:rFonts w:ascii="Arial" w:eastAsia="Arial" w:hAnsi="Arial" w:cs="Arial"/>
          <w:sz w:val="20"/>
          <w:szCs w:val="20"/>
          <w:lang w:val="en-US" w:eastAsia="en-US"/>
        </w:rPr>
        <w:t xml:space="preserve">Public exhibition of updated Integrated Plans detailing </w:t>
      </w:r>
      <w:r w:rsidR="008A07F2" w:rsidRPr="00681DD5">
        <w:rPr>
          <w:rFonts w:ascii="Arial" w:eastAsia="Arial" w:hAnsi="Arial" w:cs="Arial"/>
          <w:sz w:val="20"/>
          <w:szCs w:val="20"/>
          <w:lang w:val="en-US" w:eastAsia="en-US"/>
        </w:rPr>
        <w:t xml:space="preserve">the </w:t>
      </w:r>
      <w:r w:rsidRPr="00E63E20">
        <w:rPr>
          <w:rFonts w:ascii="Arial" w:eastAsia="Arial" w:hAnsi="Arial" w:cs="Arial"/>
          <w:sz w:val="20"/>
          <w:szCs w:val="20"/>
          <w:lang w:val="en-US" w:eastAsia="en-US"/>
        </w:rPr>
        <w:t xml:space="preserve">impact of three </w:t>
      </w:r>
      <w:r w:rsidR="008A07F2" w:rsidRPr="00681DD5">
        <w:rPr>
          <w:rFonts w:ascii="Arial" w:eastAsia="Arial" w:hAnsi="Arial" w:cs="Arial"/>
          <w:sz w:val="20"/>
          <w:szCs w:val="20"/>
          <w:lang w:val="en-US" w:eastAsia="en-US"/>
        </w:rPr>
        <w:t xml:space="preserve">alternative </w:t>
      </w:r>
      <w:r w:rsidRPr="00E63E20">
        <w:rPr>
          <w:rFonts w:ascii="Arial" w:eastAsia="Arial" w:hAnsi="Arial" w:cs="Arial"/>
          <w:sz w:val="20"/>
          <w:szCs w:val="20"/>
          <w:lang w:val="en-US" w:eastAsia="en-US"/>
        </w:rPr>
        <w:t xml:space="preserve">options </w:t>
      </w:r>
      <w:r w:rsidR="00DC35CA">
        <w:rPr>
          <w:rFonts w:ascii="Arial" w:eastAsia="Arial" w:hAnsi="Arial" w:cs="Arial"/>
          <w:sz w:val="20"/>
          <w:szCs w:val="20"/>
          <w:lang w:val="en-US" w:eastAsia="en-US"/>
        </w:rPr>
        <w:t>/</w:t>
      </w:r>
      <w:r w:rsidR="008A07F2" w:rsidRPr="00681DD5">
        <w:rPr>
          <w:rFonts w:ascii="Arial" w:eastAsia="Arial" w:hAnsi="Arial" w:cs="Arial"/>
          <w:sz w:val="20"/>
          <w:szCs w:val="20"/>
          <w:lang w:val="en-US" w:eastAsia="en-US"/>
        </w:rPr>
        <w:t xml:space="preserve">financial scenarios </w:t>
      </w:r>
      <w:r w:rsidRPr="00E63E20">
        <w:rPr>
          <w:rFonts w:ascii="Arial" w:eastAsia="Arial" w:hAnsi="Arial" w:cs="Arial"/>
          <w:sz w:val="20"/>
          <w:szCs w:val="20"/>
          <w:lang w:val="en-US" w:eastAsia="en-US"/>
        </w:rPr>
        <w:t xml:space="preserve">for </w:t>
      </w:r>
      <w:r w:rsidRPr="00E63E20">
        <w:rPr>
          <w:rFonts w:ascii="Arial" w:eastAsia="Arial" w:hAnsi="Arial" w:cs="Arial"/>
          <w:i/>
          <w:sz w:val="20"/>
          <w:szCs w:val="20"/>
          <w:lang w:val="en-US" w:eastAsia="en-US"/>
        </w:rPr>
        <w:t xml:space="preserve">Resourcing our </w:t>
      </w:r>
      <w:r w:rsidR="004E4298" w:rsidRPr="00681DD5">
        <w:rPr>
          <w:rFonts w:ascii="Arial" w:eastAsia="Arial" w:hAnsi="Arial" w:cs="Arial"/>
          <w:i/>
          <w:sz w:val="20"/>
          <w:szCs w:val="20"/>
          <w:lang w:val="en-US" w:eastAsia="en-US"/>
        </w:rPr>
        <w:t>Future</w:t>
      </w:r>
      <w:r w:rsidR="004E4298" w:rsidRPr="00681DD5">
        <w:rPr>
          <w:rFonts w:ascii="Arial" w:eastAsia="Arial" w:hAnsi="Arial" w:cs="Arial"/>
          <w:sz w:val="20"/>
          <w:szCs w:val="20"/>
          <w:lang w:val="en-US" w:eastAsia="en-US"/>
        </w:rPr>
        <w:t xml:space="preserve"> </w:t>
      </w:r>
      <w:r w:rsidRPr="00E63E20">
        <w:rPr>
          <w:rFonts w:ascii="Arial" w:eastAsia="Arial" w:hAnsi="Arial" w:cs="Arial"/>
          <w:sz w:val="20"/>
          <w:szCs w:val="20"/>
          <w:lang w:val="en-US" w:eastAsia="en-US"/>
        </w:rPr>
        <w:t xml:space="preserve">-  including the Council’s </w:t>
      </w:r>
      <w:r w:rsidRPr="00E63E20">
        <w:rPr>
          <w:rFonts w:ascii="Arial" w:eastAsia="Arial" w:hAnsi="Arial" w:cs="Arial"/>
          <w:i/>
          <w:sz w:val="20"/>
          <w:szCs w:val="20"/>
          <w:lang w:val="en-US" w:eastAsia="en-US"/>
        </w:rPr>
        <w:t>Draft Resourcing Strategy 2014-2024</w:t>
      </w:r>
      <w:r w:rsidR="008A07F2" w:rsidRPr="00681DD5">
        <w:rPr>
          <w:rFonts w:ascii="Arial" w:eastAsia="Arial" w:hAnsi="Arial" w:cs="Arial"/>
          <w:i/>
          <w:sz w:val="20"/>
          <w:szCs w:val="20"/>
          <w:lang w:val="en-US" w:eastAsia="en-US"/>
        </w:rPr>
        <w:t xml:space="preserve"> </w:t>
      </w:r>
      <w:r w:rsidR="008A07F2" w:rsidRPr="00681DD5">
        <w:rPr>
          <w:rFonts w:ascii="Arial" w:eastAsia="Arial" w:hAnsi="Arial" w:cs="Arial"/>
          <w:sz w:val="20"/>
          <w:szCs w:val="20"/>
          <w:lang w:val="en-US" w:eastAsia="en-US"/>
        </w:rPr>
        <w:t>(Attachment 13)</w:t>
      </w:r>
      <w:r w:rsidRPr="00E63E20">
        <w:rPr>
          <w:rFonts w:ascii="Arial" w:eastAsia="Arial" w:hAnsi="Arial" w:cs="Arial"/>
          <w:sz w:val="20"/>
          <w:szCs w:val="20"/>
          <w:lang w:val="en-US" w:eastAsia="en-US"/>
        </w:rPr>
        <w:t xml:space="preserve">, </w:t>
      </w:r>
      <w:r w:rsidR="008A07F2" w:rsidRPr="00681DD5">
        <w:rPr>
          <w:rFonts w:ascii="Arial" w:eastAsia="Arial" w:hAnsi="Arial" w:cs="Arial"/>
          <w:i/>
          <w:sz w:val="20"/>
          <w:szCs w:val="20"/>
          <w:lang w:val="en-US" w:eastAsia="en-US"/>
        </w:rPr>
        <w:t xml:space="preserve">Service Dashboard: Summary of Service and Asset Plans(Attachment 10) </w:t>
      </w:r>
      <w:r w:rsidRPr="00E63E20">
        <w:rPr>
          <w:rFonts w:ascii="Arial" w:eastAsia="Arial" w:hAnsi="Arial" w:cs="Arial"/>
          <w:sz w:val="20"/>
          <w:szCs w:val="20"/>
          <w:lang w:val="en-US" w:eastAsia="en-US"/>
        </w:rPr>
        <w:t xml:space="preserve"> and </w:t>
      </w:r>
      <w:r w:rsidRPr="00E63E20">
        <w:rPr>
          <w:rFonts w:ascii="Arial" w:eastAsia="Arial" w:hAnsi="Arial" w:cs="Arial"/>
          <w:i/>
          <w:sz w:val="20"/>
          <w:szCs w:val="20"/>
          <w:lang w:val="en-US" w:eastAsia="en-US"/>
        </w:rPr>
        <w:t>Draft Supplementary Delivery Program 2015-2019</w:t>
      </w:r>
      <w:r w:rsidR="008A07F2" w:rsidRPr="00681DD5">
        <w:rPr>
          <w:rFonts w:ascii="Arial" w:eastAsia="Arial" w:hAnsi="Arial" w:cs="Arial"/>
          <w:i/>
          <w:sz w:val="20"/>
          <w:szCs w:val="20"/>
          <w:lang w:val="en-US" w:eastAsia="en-US"/>
        </w:rPr>
        <w:t xml:space="preserve"> </w:t>
      </w:r>
      <w:r w:rsidR="008A07F2" w:rsidRPr="00681DD5">
        <w:rPr>
          <w:rFonts w:ascii="Arial" w:eastAsia="Arial" w:hAnsi="Arial" w:cs="Arial"/>
          <w:sz w:val="20"/>
          <w:szCs w:val="20"/>
          <w:lang w:val="en-US" w:eastAsia="en-US"/>
        </w:rPr>
        <w:t>(Attachment 2)</w:t>
      </w:r>
      <w:r w:rsidRPr="00E63E20">
        <w:rPr>
          <w:rFonts w:ascii="Arial" w:eastAsia="Arial" w:hAnsi="Arial" w:cs="Arial"/>
          <w:sz w:val="20"/>
          <w:szCs w:val="20"/>
          <w:lang w:val="en-US" w:eastAsia="en-US"/>
        </w:rPr>
        <w:t>.</w:t>
      </w:r>
      <w:r w:rsidRPr="00E63E20">
        <w:rPr>
          <w:rFonts w:ascii="Arial" w:eastAsia="Arial" w:hAnsi="Arial" w:cs="Arial"/>
          <w:i/>
          <w:sz w:val="20"/>
          <w:szCs w:val="20"/>
          <w:lang w:val="en-US" w:eastAsia="en-US"/>
        </w:rPr>
        <w:t xml:space="preserve"> </w:t>
      </w:r>
      <w:r w:rsidRPr="00E63E20">
        <w:rPr>
          <w:rFonts w:ascii="Arial" w:eastAsia="Arial" w:hAnsi="Arial" w:cs="Arial"/>
          <w:sz w:val="20"/>
          <w:szCs w:val="20"/>
          <w:lang w:val="en-US" w:eastAsia="en-US"/>
        </w:rPr>
        <w:t>These documents were publicised and made available in hard copy at the Katoomba Council office</w:t>
      </w:r>
      <w:r w:rsidR="008A07F2" w:rsidRPr="00681DD5">
        <w:rPr>
          <w:rFonts w:ascii="Arial" w:eastAsia="Arial" w:hAnsi="Arial" w:cs="Arial"/>
          <w:sz w:val="20"/>
          <w:szCs w:val="20"/>
          <w:lang w:val="en-US" w:eastAsia="en-US"/>
        </w:rPr>
        <w:t xml:space="preserve"> headquarters front counter</w:t>
      </w:r>
      <w:r w:rsidRPr="00E63E20">
        <w:rPr>
          <w:rFonts w:ascii="Arial" w:eastAsia="Arial" w:hAnsi="Arial" w:cs="Arial"/>
          <w:sz w:val="20"/>
          <w:szCs w:val="20"/>
          <w:lang w:val="en-US" w:eastAsia="en-US"/>
        </w:rPr>
        <w:t xml:space="preserve"> and </w:t>
      </w:r>
      <w:r w:rsidR="008A07F2" w:rsidRPr="00681DD5">
        <w:rPr>
          <w:rFonts w:ascii="Arial" w:eastAsia="Arial" w:hAnsi="Arial" w:cs="Arial"/>
          <w:sz w:val="20"/>
          <w:szCs w:val="20"/>
          <w:lang w:val="en-US" w:eastAsia="en-US"/>
        </w:rPr>
        <w:t xml:space="preserve">displayed </w:t>
      </w:r>
      <w:r w:rsidRPr="00E63E20">
        <w:rPr>
          <w:rFonts w:ascii="Arial" w:eastAsia="Arial" w:hAnsi="Arial" w:cs="Arial"/>
          <w:sz w:val="20"/>
          <w:szCs w:val="20"/>
          <w:lang w:val="en-US" w:eastAsia="en-US"/>
        </w:rPr>
        <w:t>in Council libraries across the Mountains</w:t>
      </w:r>
      <w:r w:rsidR="008A07F2" w:rsidRPr="00681DD5">
        <w:rPr>
          <w:rFonts w:ascii="Arial" w:eastAsia="Arial" w:hAnsi="Arial" w:cs="Arial"/>
          <w:sz w:val="20"/>
          <w:szCs w:val="20"/>
          <w:lang w:val="en-US" w:eastAsia="en-US"/>
        </w:rPr>
        <w:t xml:space="preserve">. They </w:t>
      </w:r>
      <w:r w:rsidRPr="00E63E20">
        <w:rPr>
          <w:rFonts w:ascii="Arial" w:eastAsia="Arial" w:hAnsi="Arial" w:cs="Arial"/>
          <w:sz w:val="20"/>
          <w:szCs w:val="20"/>
          <w:lang w:val="en-US" w:eastAsia="en-US"/>
        </w:rPr>
        <w:t xml:space="preserve">could be viewed on-line at:  </w:t>
      </w:r>
      <w:hyperlink r:id="rId82" w:history="1">
        <w:r w:rsidRPr="00E63E20">
          <w:rPr>
            <w:rFonts w:ascii="Arial" w:eastAsia="Arial" w:hAnsi="Arial" w:cs="Arial"/>
            <w:color w:val="0000FF" w:themeColor="hyperlink"/>
            <w:sz w:val="20"/>
            <w:szCs w:val="20"/>
            <w:u w:val="single"/>
            <w:lang w:val="en-US" w:eastAsia="en-US"/>
          </w:rPr>
          <w:t>www.bluemountainshaveyoursay.com.au</w:t>
        </w:r>
      </w:hyperlink>
      <w:r w:rsidR="00DC35CA">
        <w:rPr>
          <w:rFonts w:ascii="Arial" w:eastAsia="Arial" w:hAnsi="Arial" w:cs="Arial"/>
          <w:color w:val="0000FF" w:themeColor="hyperlink"/>
          <w:sz w:val="20"/>
          <w:szCs w:val="20"/>
          <w:u w:val="single"/>
          <w:lang w:val="en-US" w:eastAsia="en-US"/>
        </w:rPr>
        <w:t>/ResourcingOurFuture</w:t>
      </w:r>
      <w:r w:rsidR="008A07F2" w:rsidRPr="00681DD5">
        <w:rPr>
          <w:rFonts w:ascii="Arial" w:eastAsia="Arial" w:hAnsi="Arial" w:cs="Arial"/>
          <w:sz w:val="20"/>
          <w:szCs w:val="20"/>
          <w:lang w:val="en-US" w:eastAsia="en-US"/>
        </w:rPr>
        <w:t xml:space="preserve">. The public </w:t>
      </w:r>
      <w:r w:rsidRPr="00E63E20">
        <w:rPr>
          <w:rFonts w:ascii="Arial" w:eastAsia="Arial" w:hAnsi="Arial" w:cs="Arial"/>
          <w:sz w:val="20"/>
          <w:szCs w:val="20"/>
          <w:lang w:val="en-US" w:eastAsia="en-US"/>
        </w:rPr>
        <w:t xml:space="preserve">exhibition </w:t>
      </w:r>
      <w:r w:rsidR="008A07F2" w:rsidRPr="00681DD5">
        <w:rPr>
          <w:rFonts w:ascii="Arial" w:eastAsia="Arial" w:hAnsi="Arial" w:cs="Arial"/>
          <w:sz w:val="20"/>
          <w:szCs w:val="20"/>
          <w:lang w:val="en-US" w:eastAsia="en-US"/>
        </w:rPr>
        <w:t xml:space="preserve">process </w:t>
      </w:r>
      <w:r w:rsidRPr="00E63E20">
        <w:rPr>
          <w:rFonts w:ascii="Arial" w:eastAsia="Arial" w:hAnsi="Arial" w:cs="Arial"/>
          <w:sz w:val="20"/>
          <w:szCs w:val="20"/>
          <w:lang w:val="en-US" w:eastAsia="en-US"/>
        </w:rPr>
        <w:t xml:space="preserve">included a call for public submissions on the exhibited documents and in particular on the three options for </w:t>
      </w:r>
      <w:r w:rsidRPr="00E63E20">
        <w:rPr>
          <w:rFonts w:ascii="Arial" w:eastAsia="Arial" w:hAnsi="Arial" w:cs="Arial"/>
          <w:i/>
          <w:sz w:val="20"/>
          <w:szCs w:val="20"/>
          <w:lang w:val="en-US" w:eastAsia="en-US"/>
        </w:rPr>
        <w:t>Resourcing our Future</w:t>
      </w:r>
      <w:r w:rsidRPr="00E63E20">
        <w:rPr>
          <w:rFonts w:ascii="Arial" w:eastAsia="Arial" w:hAnsi="Arial" w:cs="Arial"/>
          <w:sz w:val="20"/>
          <w:szCs w:val="20"/>
          <w:lang w:val="en-US" w:eastAsia="en-US"/>
        </w:rPr>
        <w:t>.</w:t>
      </w:r>
    </w:p>
    <w:p w14:paraId="01BD57B6" w14:textId="77777777" w:rsidR="00CA6AB3" w:rsidRPr="00E63E20" w:rsidRDefault="00CA6AB3" w:rsidP="00000B79">
      <w:pPr>
        <w:tabs>
          <w:tab w:val="left" w:pos="8789"/>
        </w:tabs>
        <w:spacing w:line="276" w:lineRule="auto"/>
        <w:ind w:left="284"/>
        <w:contextualSpacing/>
        <w:jc w:val="both"/>
        <w:rPr>
          <w:rFonts w:ascii="Arial" w:eastAsia="Arial" w:hAnsi="Arial" w:cs="Arial"/>
          <w:sz w:val="20"/>
          <w:szCs w:val="20"/>
          <w:lang w:val="en-US" w:eastAsia="en-US"/>
        </w:rPr>
      </w:pPr>
    </w:p>
    <w:p w14:paraId="66D57C7F" w14:textId="77777777" w:rsidR="00E63E20" w:rsidRPr="00E63E20" w:rsidRDefault="00E63E20" w:rsidP="00000B79">
      <w:pPr>
        <w:widowControl w:val="0"/>
        <w:numPr>
          <w:ilvl w:val="0"/>
          <w:numId w:val="102"/>
        </w:numPr>
        <w:spacing w:before="120" w:after="40" w:line="276" w:lineRule="auto"/>
        <w:ind w:left="284" w:hanging="284"/>
        <w:jc w:val="both"/>
        <w:rPr>
          <w:rFonts w:ascii="Arial" w:eastAsia="Arial" w:hAnsi="Arial" w:cs="Arial"/>
          <w:i/>
          <w:sz w:val="20"/>
          <w:szCs w:val="20"/>
          <w:lang w:val="en-US" w:eastAsia="en-US"/>
        </w:rPr>
      </w:pPr>
      <w:r w:rsidRPr="00E63E20">
        <w:rPr>
          <w:rFonts w:ascii="Arial" w:eastAsia="Arial" w:hAnsi="Arial" w:cs="Arial"/>
          <w:sz w:val="20"/>
          <w:szCs w:val="20"/>
          <w:lang w:val="en-US" w:eastAsia="en-US"/>
        </w:rPr>
        <w:t xml:space="preserve">Standard Council public submission forms were made available at Council’s Katoomba front office, in libraries and on-line at the Blue Mountains Have Your Say site for </w:t>
      </w:r>
      <w:r w:rsidRPr="00E63E20">
        <w:rPr>
          <w:rFonts w:ascii="Arial" w:eastAsia="Arial" w:hAnsi="Arial" w:cs="Arial"/>
          <w:i/>
          <w:sz w:val="20"/>
          <w:szCs w:val="20"/>
          <w:lang w:val="en-US" w:eastAsia="en-US"/>
        </w:rPr>
        <w:t>Resourcing Our Future.</w:t>
      </w:r>
    </w:p>
    <w:p w14:paraId="5E23AD42" w14:textId="797E048F" w:rsidR="00253CA9" w:rsidRPr="00681DD5" w:rsidRDefault="00E63E20" w:rsidP="00000B79">
      <w:pPr>
        <w:widowControl w:val="0"/>
        <w:numPr>
          <w:ilvl w:val="0"/>
          <w:numId w:val="102"/>
        </w:numPr>
        <w:spacing w:before="120" w:after="40" w:line="276" w:lineRule="auto"/>
        <w:ind w:left="284" w:hanging="284"/>
        <w:jc w:val="both"/>
        <w:rPr>
          <w:rFonts w:ascii="Arial" w:eastAsia="Arial" w:hAnsi="Arial" w:cs="Arial"/>
          <w:sz w:val="20"/>
          <w:szCs w:val="20"/>
          <w:lang w:val="en-US" w:eastAsia="en-US"/>
        </w:rPr>
      </w:pPr>
      <w:r w:rsidRPr="00E63E20">
        <w:rPr>
          <w:rFonts w:ascii="Arial" w:eastAsia="Arial" w:hAnsi="Arial" w:cs="Arial"/>
          <w:sz w:val="20"/>
          <w:szCs w:val="20"/>
          <w:lang w:val="en-US" w:eastAsia="en-US"/>
        </w:rPr>
        <w:t xml:space="preserve">A letter </w:t>
      </w:r>
      <w:r w:rsidR="008A07F2" w:rsidRPr="00681DD5">
        <w:rPr>
          <w:rFonts w:ascii="Arial" w:eastAsia="Arial" w:hAnsi="Arial" w:cs="Arial"/>
          <w:sz w:val="20"/>
          <w:szCs w:val="20"/>
          <w:lang w:val="en-US" w:eastAsia="en-US"/>
        </w:rPr>
        <w:t xml:space="preserve">from the </w:t>
      </w:r>
      <w:r w:rsidR="00063EC7" w:rsidRPr="00681DD5">
        <w:rPr>
          <w:rFonts w:ascii="Arial" w:eastAsia="Arial" w:hAnsi="Arial" w:cs="Arial"/>
          <w:sz w:val="20"/>
          <w:szCs w:val="20"/>
          <w:lang w:val="en-US" w:eastAsia="en-US"/>
        </w:rPr>
        <w:t>M</w:t>
      </w:r>
      <w:r w:rsidR="008A07F2" w:rsidRPr="00681DD5">
        <w:rPr>
          <w:rFonts w:ascii="Arial" w:eastAsia="Arial" w:hAnsi="Arial" w:cs="Arial"/>
          <w:sz w:val="20"/>
          <w:szCs w:val="20"/>
          <w:lang w:val="en-US" w:eastAsia="en-US"/>
        </w:rPr>
        <w:t xml:space="preserve">ayor and a four </w:t>
      </w:r>
      <w:r w:rsidRPr="00E63E20">
        <w:rPr>
          <w:rFonts w:ascii="Arial" w:eastAsia="Arial" w:hAnsi="Arial" w:cs="Arial"/>
          <w:sz w:val="20"/>
          <w:szCs w:val="20"/>
          <w:lang w:val="en-US" w:eastAsia="en-US"/>
        </w:rPr>
        <w:t xml:space="preserve">page brochure </w:t>
      </w:r>
      <w:r w:rsidR="00063EC7" w:rsidRPr="00681DD5">
        <w:rPr>
          <w:rFonts w:ascii="Arial" w:eastAsia="Arial" w:hAnsi="Arial" w:cs="Arial"/>
          <w:sz w:val="20"/>
          <w:szCs w:val="20"/>
          <w:lang w:val="en-US" w:eastAsia="en-US"/>
        </w:rPr>
        <w:t xml:space="preserve">– </w:t>
      </w:r>
      <w:r w:rsidR="00063EC7" w:rsidRPr="00681DD5">
        <w:rPr>
          <w:rFonts w:ascii="Arial" w:eastAsia="Arial" w:hAnsi="Arial" w:cs="Arial"/>
          <w:i/>
          <w:sz w:val="20"/>
          <w:szCs w:val="20"/>
          <w:lang w:val="en-US" w:eastAsia="en-US"/>
        </w:rPr>
        <w:t>Resourcing Our Future – Have Your say on Options for Achieving A Better Blue Mountains</w:t>
      </w:r>
      <w:r w:rsidR="00063EC7" w:rsidRPr="00681DD5">
        <w:rPr>
          <w:rFonts w:ascii="Arial" w:eastAsia="Arial" w:hAnsi="Arial" w:cs="Arial"/>
          <w:sz w:val="20"/>
          <w:szCs w:val="20"/>
          <w:lang w:val="en-US" w:eastAsia="en-US"/>
        </w:rPr>
        <w:t xml:space="preserve"> - </w:t>
      </w:r>
      <w:r w:rsidRPr="00E63E20">
        <w:rPr>
          <w:rFonts w:ascii="Arial" w:eastAsia="Arial" w:hAnsi="Arial" w:cs="Arial"/>
          <w:sz w:val="20"/>
          <w:szCs w:val="20"/>
          <w:lang w:val="en-US" w:eastAsia="en-US"/>
        </w:rPr>
        <w:t>with cut off submission strip and reply paid envelope to facilitate submissions</w:t>
      </w:r>
      <w:r w:rsidR="008A07F2" w:rsidRPr="00681DD5">
        <w:rPr>
          <w:rFonts w:ascii="Arial" w:eastAsia="Arial" w:hAnsi="Arial" w:cs="Arial"/>
          <w:sz w:val="20"/>
          <w:szCs w:val="20"/>
          <w:lang w:val="en-US" w:eastAsia="en-US"/>
        </w:rPr>
        <w:t>,</w:t>
      </w:r>
      <w:r w:rsidRPr="00E63E20">
        <w:rPr>
          <w:rFonts w:ascii="Arial" w:eastAsia="Arial" w:hAnsi="Arial" w:cs="Arial"/>
          <w:sz w:val="20"/>
          <w:szCs w:val="20"/>
          <w:lang w:val="en-US" w:eastAsia="en-US"/>
        </w:rPr>
        <w:t xml:space="preserve"> was sent to every ratepayer </w:t>
      </w:r>
      <w:r w:rsidR="008A07F2" w:rsidRPr="00681DD5">
        <w:rPr>
          <w:rFonts w:ascii="Arial" w:eastAsia="Arial" w:hAnsi="Arial" w:cs="Arial"/>
          <w:sz w:val="20"/>
          <w:szCs w:val="20"/>
          <w:lang w:val="en-US" w:eastAsia="en-US"/>
        </w:rPr>
        <w:t>(see Attachment 5b, Section 1)</w:t>
      </w:r>
      <w:r w:rsidRPr="00E63E20">
        <w:rPr>
          <w:rFonts w:ascii="Arial" w:eastAsia="Arial" w:hAnsi="Arial" w:cs="Arial"/>
          <w:sz w:val="20"/>
          <w:szCs w:val="20"/>
          <w:lang w:val="en-US" w:eastAsia="en-US"/>
        </w:rPr>
        <w:t xml:space="preserve">. </w:t>
      </w:r>
    </w:p>
    <w:p w14:paraId="28944671" w14:textId="6496A9E8" w:rsidR="00253CA9" w:rsidRPr="00681DD5" w:rsidRDefault="00E63E20" w:rsidP="00000B79">
      <w:pPr>
        <w:widowControl w:val="0"/>
        <w:spacing w:before="120" w:after="40" w:line="276" w:lineRule="auto"/>
        <w:ind w:left="284"/>
        <w:jc w:val="both"/>
        <w:rPr>
          <w:rFonts w:ascii="Arial" w:eastAsia="Arial" w:hAnsi="Arial" w:cs="Arial"/>
          <w:sz w:val="20"/>
          <w:szCs w:val="20"/>
          <w:lang w:val="en-US" w:eastAsia="en-US"/>
        </w:rPr>
      </w:pPr>
      <w:r w:rsidRPr="00E63E20">
        <w:rPr>
          <w:rFonts w:ascii="Arial" w:eastAsia="Arial" w:hAnsi="Arial" w:cs="Arial"/>
          <w:sz w:val="20"/>
          <w:szCs w:val="20"/>
          <w:lang w:val="en-US" w:eastAsia="en-US"/>
        </w:rPr>
        <w:t xml:space="preserve">The brochure </w:t>
      </w:r>
      <w:r w:rsidR="00DC35CA">
        <w:rPr>
          <w:rFonts w:ascii="Arial" w:eastAsia="Arial" w:hAnsi="Arial" w:cs="Arial"/>
          <w:sz w:val="20"/>
          <w:szCs w:val="20"/>
          <w:lang w:val="en-US" w:eastAsia="en-US"/>
        </w:rPr>
        <w:t xml:space="preserve">and other supporting material (FAQs and Information Sheet 1) </w:t>
      </w:r>
      <w:r w:rsidR="008A07F2" w:rsidRPr="00681DD5">
        <w:rPr>
          <w:rFonts w:ascii="Arial" w:eastAsia="Arial" w:hAnsi="Arial" w:cs="Arial"/>
          <w:sz w:val="20"/>
          <w:szCs w:val="20"/>
          <w:lang w:val="en-US" w:eastAsia="en-US"/>
        </w:rPr>
        <w:t xml:space="preserve">detailed the cumulative increase to rates under each funding option – including cumulative increases over four years respectively of 40.4% for Option 1: Service Levels Improved, 32.1% for Option 2: Service Levels Maintained and 12.6% for Option 3: Service Levels Reduced. </w:t>
      </w:r>
    </w:p>
    <w:p w14:paraId="6B824043" w14:textId="77777777" w:rsidR="00253CA9" w:rsidRPr="00681DD5" w:rsidRDefault="008A07F2" w:rsidP="00000B79">
      <w:pPr>
        <w:widowControl w:val="0"/>
        <w:spacing w:before="120" w:after="40" w:line="276" w:lineRule="auto"/>
        <w:ind w:left="284"/>
        <w:jc w:val="both"/>
        <w:rPr>
          <w:rFonts w:ascii="Arial" w:eastAsia="Arial" w:hAnsi="Arial" w:cs="Arial"/>
          <w:sz w:val="20"/>
          <w:szCs w:val="20"/>
          <w:lang w:val="en-US" w:eastAsia="en-US"/>
        </w:rPr>
      </w:pPr>
      <w:r w:rsidRPr="00681DD5">
        <w:rPr>
          <w:rFonts w:ascii="Arial" w:eastAsia="Arial" w:hAnsi="Arial" w:cs="Arial"/>
          <w:sz w:val="20"/>
          <w:szCs w:val="20"/>
          <w:lang w:val="en-US" w:eastAsia="en-US"/>
        </w:rPr>
        <w:t>The brochure showed the expiry of the existing Environment Levy i</w:t>
      </w:r>
      <w:r w:rsidR="00B606FF" w:rsidRPr="00681DD5">
        <w:rPr>
          <w:rFonts w:ascii="Arial" w:eastAsia="Arial" w:hAnsi="Arial" w:cs="Arial"/>
          <w:sz w:val="20"/>
          <w:szCs w:val="20"/>
          <w:lang w:val="en-US" w:eastAsia="en-US"/>
        </w:rPr>
        <w:t>n J</w:t>
      </w:r>
      <w:r w:rsidRPr="00681DD5">
        <w:rPr>
          <w:rFonts w:ascii="Arial" w:eastAsia="Arial" w:hAnsi="Arial" w:cs="Arial"/>
          <w:sz w:val="20"/>
          <w:szCs w:val="20"/>
          <w:lang w:val="en-US" w:eastAsia="en-US"/>
        </w:rPr>
        <w:t xml:space="preserve">une 2015 and the impact of </w:t>
      </w:r>
      <w:r w:rsidR="00B606FF" w:rsidRPr="00681DD5">
        <w:rPr>
          <w:rFonts w:ascii="Arial" w:eastAsia="Arial" w:hAnsi="Arial" w:cs="Arial"/>
          <w:sz w:val="20"/>
          <w:szCs w:val="20"/>
          <w:lang w:val="en-US" w:eastAsia="en-US"/>
        </w:rPr>
        <w:t xml:space="preserve">reinstating it in Options 1 and 2 and </w:t>
      </w:r>
      <w:r w:rsidRPr="00681DD5">
        <w:rPr>
          <w:rFonts w:ascii="Arial" w:eastAsia="Arial" w:hAnsi="Arial" w:cs="Arial"/>
          <w:sz w:val="20"/>
          <w:szCs w:val="20"/>
          <w:lang w:val="en-US" w:eastAsia="en-US"/>
        </w:rPr>
        <w:t>discontinuing it in Option 3</w:t>
      </w:r>
      <w:r w:rsidR="00B606FF" w:rsidRPr="00681DD5">
        <w:rPr>
          <w:rFonts w:ascii="Arial" w:eastAsia="Arial" w:hAnsi="Arial" w:cs="Arial"/>
          <w:sz w:val="20"/>
          <w:szCs w:val="20"/>
          <w:lang w:val="en-US" w:eastAsia="en-US"/>
        </w:rPr>
        <w:t xml:space="preserve">. </w:t>
      </w:r>
    </w:p>
    <w:p w14:paraId="6B2E6E8E" w14:textId="2733130A" w:rsidR="00B606FF" w:rsidRPr="00681DD5" w:rsidRDefault="00B606FF" w:rsidP="00000B79">
      <w:pPr>
        <w:widowControl w:val="0"/>
        <w:spacing w:before="120" w:after="40" w:line="276" w:lineRule="auto"/>
        <w:ind w:left="284"/>
        <w:jc w:val="both"/>
        <w:rPr>
          <w:rFonts w:ascii="Arial" w:eastAsia="Arial" w:hAnsi="Arial" w:cs="Arial"/>
          <w:sz w:val="20"/>
          <w:szCs w:val="20"/>
          <w:lang w:val="en-US" w:eastAsia="en-US"/>
        </w:rPr>
      </w:pPr>
      <w:r w:rsidRPr="00681DD5">
        <w:rPr>
          <w:rFonts w:ascii="Arial" w:eastAsia="Arial" w:hAnsi="Arial" w:cs="Arial"/>
          <w:sz w:val="20"/>
          <w:szCs w:val="20"/>
          <w:lang w:val="en-US" w:eastAsia="en-US"/>
        </w:rPr>
        <w:t xml:space="preserve">The brochure </w:t>
      </w:r>
      <w:r w:rsidR="00E63E20" w:rsidRPr="00E63E20">
        <w:rPr>
          <w:rFonts w:ascii="Arial" w:eastAsia="Arial" w:hAnsi="Arial" w:cs="Arial"/>
          <w:sz w:val="20"/>
          <w:szCs w:val="20"/>
          <w:lang w:val="en-US" w:eastAsia="en-US"/>
        </w:rPr>
        <w:t xml:space="preserve">provided links to more detailed information </w:t>
      </w:r>
      <w:r w:rsidR="00253CA9" w:rsidRPr="00681DD5">
        <w:rPr>
          <w:rFonts w:ascii="Arial" w:eastAsia="Arial" w:hAnsi="Arial" w:cs="Arial"/>
          <w:sz w:val="20"/>
          <w:szCs w:val="20"/>
          <w:lang w:val="en-US" w:eastAsia="en-US"/>
        </w:rPr>
        <w:t xml:space="preserve">- </w:t>
      </w:r>
      <w:r w:rsidRPr="00681DD5">
        <w:rPr>
          <w:rFonts w:ascii="Arial" w:eastAsia="Arial" w:hAnsi="Arial" w:cs="Arial"/>
          <w:sz w:val="20"/>
          <w:szCs w:val="20"/>
          <w:lang w:val="en-US" w:eastAsia="en-US"/>
        </w:rPr>
        <w:t xml:space="preserve">including three Information Sheets </w:t>
      </w:r>
      <w:r w:rsidR="00253CA9" w:rsidRPr="00681DD5">
        <w:rPr>
          <w:rFonts w:ascii="Arial" w:eastAsia="Arial" w:hAnsi="Arial" w:cs="Arial"/>
          <w:sz w:val="20"/>
          <w:szCs w:val="20"/>
          <w:lang w:val="en-US" w:eastAsia="en-US"/>
        </w:rPr>
        <w:t xml:space="preserve">and a Frequently Asked Questions document </w:t>
      </w:r>
      <w:r w:rsidRPr="00681DD5">
        <w:rPr>
          <w:rFonts w:ascii="Arial" w:eastAsia="Arial" w:hAnsi="Arial" w:cs="Arial"/>
          <w:sz w:val="20"/>
          <w:szCs w:val="20"/>
          <w:lang w:val="en-US" w:eastAsia="en-US"/>
        </w:rPr>
        <w:t>(provided in Attachment 5b) including:</w:t>
      </w:r>
    </w:p>
    <w:p w14:paraId="0AB42416" w14:textId="7A5FCF7C" w:rsidR="00B606FF" w:rsidRPr="00681DD5" w:rsidRDefault="00B606FF" w:rsidP="00000B79">
      <w:pPr>
        <w:pStyle w:val="ListParagraph"/>
        <w:widowControl w:val="0"/>
        <w:numPr>
          <w:ilvl w:val="0"/>
          <w:numId w:val="106"/>
        </w:numPr>
        <w:spacing w:before="120" w:after="40" w:line="276" w:lineRule="auto"/>
        <w:jc w:val="both"/>
        <w:rPr>
          <w:rFonts w:ascii="Arial" w:eastAsia="Arial" w:hAnsi="Arial" w:cs="Arial"/>
          <w:sz w:val="20"/>
          <w:szCs w:val="20"/>
          <w:lang w:val="en-US"/>
        </w:rPr>
      </w:pPr>
      <w:r w:rsidRPr="00681DD5">
        <w:rPr>
          <w:rFonts w:ascii="Arial" w:eastAsia="Arial" w:hAnsi="Arial" w:cs="Arial"/>
          <w:i/>
          <w:sz w:val="20"/>
          <w:szCs w:val="20"/>
          <w:lang w:val="en-US"/>
        </w:rPr>
        <w:t xml:space="preserve">Information Sheet 1: A Better Blue Mountains </w:t>
      </w:r>
      <w:r w:rsidRPr="00681DD5">
        <w:rPr>
          <w:rFonts w:ascii="Arial" w:eastAsia="Arial" w:hAnsi="Arial" w:cs="Arial"/>
          <w:sz w:val="20"/>
          <w:szCs w:val="20"/>
          <w:lang w:val="en-US"/>
        </w:rPr>
        <w:t>including overview of the three options and a Rates Calculator by Land Value Ranges (pages 21 to 23)</w:t>
      </w:r>
    </w:p>
    <w:p w14:paraId="516B5FC0" w14:textId="1F451926" w:rsidR="00B60910" w:rsidRPr="00681DD5" w:rsidRDefault="00B60910" w:rsidP="00000B79">
      <w:pPr>
        <w:pStyle w:val="ListParagraph"/>
        <w:widowControl w:val="0"/>
        <w:numPr>
          <w:ilvl w:val="0"/>
          <w:numId w:val="106"/>
        </w:numPr>
        <w:spacing w:before="120" w:after="40" w:line="276" w:lineRule="auto"/>
        <w:jc w:val="both"/>
        <w:rPr>
          <w:rFonts w:ascii="Arial" w:eastAsia="Arial" w:hAnsi="Arial" w:cs="Arial"/>
          <w:sz w:val="20"/>
          <w:szCs w:val="20"/>
          <w:lang w:val="en-US"/>
        </w:rPr>
      </w:pPr>
      <w:r w:rsidRPr="00681DD5">
        <w:rPr>
          <w:rFonts w:ascii="Arial" w:eastAsia="Arial" w:hAnsi="Arial" w:cs="Arial"/>
          <w:i/>
          <w:sz w:val="20"/>
          <w:szCs w:val="20"/>
          <w:lang w:val="en-US"/>
        </w:rPr>
        <w:t xml:space="preserve">Information Sheet 2: Your Environment Levy </w:t>
      </w:r>
    </w:p>
    <w:p w14:paraId="38E29CD3" w14:textId="75A833B5" w:rsidR="00B60910" w:rsidRPr="00681DD5" w:rsidRDefault="00B60910" w:rsidP="00000B79">
      <w:pPr>
        <w:pStyle w:val="ListParagraph"/>
        <w:widowControl w:val="0"/>
        <w:numPr>
          <w:ilvl w:val="0"/>
          <w:numId w:val="106"/>
        </w:numPr>
        <w:spacing w:before="120" w:after="40" w:line="276" w:lineRule="auto"/>
        <w:jc w:val="both"/>
        <w:rPr>
          <w:rFonts w:ascii="Arial" w:eastAsia="Arial" w:hAnsi="Arial" w:cs="Arial"/>
          <w:sz w:val="20"/>
          <w:szCs w:val="20"/>
          <w:lang w:val="en-US"/>
        </w:rPr>
      </w:pPr>
      <w:r w:rsidRPr="00681DD5">
        <w:rPr>
          <w:rFonts w:ascii="Arial" w:eastAsia="Arial" w:hAnsi="Arial" w:cs="Arial"/>
          <w:i/>
          <w:sz w:val="20"/>
          <w:szCs w:val="20"/>
          <w:lang w:val="en-US"/>
        </w:rPr>
        <w:t xml:space="preserve">Information Sheet 3: Cost Savings, Efficiency and Revenue Initiatives – </w:t>
      </w:r>
      <w:r w:rsidRPr="00681DD5">
        <w:rPr>
          <w:rFonts w:ascii="Arial" w:eastAsia="Arial" w:hAnsi="Arial" w:cs="Arial"/>
          <w:sz w:val="20"/>
          <w:szCs w:val="20"/>
          <w:lang w:val="en-US"/>
        </w:rPr>
        <w:t xml:space="preserve">noting that achievements in this area were conservatively presented and further analysis since the time of the engagement process as detailed in Section 7, shows even higher levels of cost savings </w:t>
      </w:r>
      <w:r w:rsidR="00013EB0" w:rsidRPr="00681DD5">
        <w:rPr>
          <w:rFonts w:ascii="Arial" w:eastAsia="Arial" w:hAnsi="Arial" w:cs="Arial"/>
          <w:sz w:val="20"/>
          <w:szCs w:val="20"/>
          <w:lang w:val="en-US"/>
        </w:rPr>
        <w:t xml:space="preserve">over </w:t>
      </w:r>
      <w:r w:rsidRPr="00681DD5">
        <w:rPr>
          <w:rFonts w:ascii="Arial" w:eastAsia="Arial" w:hAnsi="Arial" w:cs="Arial"/>
          <w:sz w:val="20"/>
          <w:szCs w:val="20"/>
          <w:lang w:val="en-US"/>
        </w:rPr>
        <w:t>last four years.</w:t>
      </w:r>
    </w:p>
    <w:p w14:paraId="6D6E2F29" w14:textId="5E0A71EA" w:rsidR="00253CA9" w:rsidRPr="00681DD5" w:rsidRDefault="00253CA9" w:rsidP="00000B79">
      <w:pPr>
        <w:pStyle w:val="ListParagraph"/>
        <w:widowControl w:val="0"/>
        <w:numPr>
          <w:ilvl w:val="0"/>
          <w:numId w:val="106"/>
        </w:numPr>
        <w:spacing w:before="120" w:after="40" w:line="276" w:lineRule="auto"/>
        <w:jc w:val="both"/>
        <w:rPr>
          <w:rFonts w:ascii="Arial" w:eastAsia="Arial" w:hAnsi="Arial" w:cs="Arial"/>
          <w:sz w:val="20"/>
          <w:szCs w:val="20"/>
          <w:lang w:val="en-US"/>
        </w:rPr>
      </w:pPr>
      <w:r w:rsidRPr="00681DD5">
        <w:rPr>
          <w:rFonts w:ascii="Arial" w:eastAsia="Arial" w:hAnsi="Arial" w:cs="Arial"/>
          <w:i/>
          <w:sz w:val="20"/>
          <w:szCs w:val="20"/>
          <w:lang w:val="en-US"/>
        </w:rPr>
        <w:t>Resourcing Our Future –</w:t>
      </w:r>
      <w:r w:rsidRPr="00681DD5">
        <w:rPr>
          <w:rFonts w:ascii="Arial" w:eastAsia="Arial" w:hAnsi="Arial" w:cs="Arial"/>
          <w:sz w:val="20"/>
          <w:szCs w:val="20"/>
          <w:lang w:val="en-US"/>
        </w:rPr>
        <w:t xml:space="preserve"> </w:t>
      </w:r>
      <w:r w:rsidRPr="00681DD5">
        <w:rPr>
          <w:rFonts w:ascii="Arial" w:eastAsia="Arial" w:hAnsi="Arial" w:cs="Arial"/>
          <w:i/>
          <w:sz w:val="20"/>
          <w:szCs w:val="20"/>
          <w:lang w:val="en-US"/>
        </w:rPr>
        <w:t>Frequently Asked Questions</w:t>
      </w:r>
    </w:p>
    <w:p w14:paraId="12346084" w14:textId="721326C4" w:rsidR="00E63E20" w:rsidRPr="00E63E20" w:rsidRDefault="00EC12EA" w:rsidP="00000B79">
      <w:pPr>
        <w:widowControl w:val="0"/>
        <w:spacing w:before="120" w:after="40" w:line="276" w:lineRule="auto"/>
        <w:ind w:left="284"/>
        <w:jc w:val="both"/>
        <w:rPr>
          <w:rFonts w:ascii="Arial" w:eastAsia="Arial" w:hAnsi="Arial" w:cs="Arial"/>
          <w:sz w:val="20"/>
          <w:szCs w:val="20"/>
          <w:lang w:val="en-US" w:eastAsia="en-US"/>
        </w:rPr>
      </w:pPr>
      <w:r w:rsidRPr="00681DD5">
        <w:rPr>
          <w:rFonts w:ascii="Arial" w:eastAsia="Arial" w:hAnsi="Arial" w:cs="Arial"/>
          <w:sz w:val="20"/>
          <w:szCs w:val="20"/>
          <w:lang w:val="en-US" w:eastAsia="en-US"/>
        </w:rPr>
        <w:t>The brochure also linked ratepayers a</w:t>
      </w:r>
      <w:r w:rsidR="00E63E20" w:rsidRPr="00E63E20">
        <w:rPr>
          <w:rFonts w:ascii="Arial" w:eastAsia="Arial" w:hAnsi="Arial" w:cs="Arial"/>
          <w:sz w:val="20"/>
          <w:szCs w:val="20"/>
          <w:lang w:val="en-US" w:eastAsia="en-US"/>
        </w:rPr>
        <w:t xml:space="preserve"> rating calculator on the Have Your Say website where </w:t>
      </w:r>
      <w:r w:rsidRPr="00681DD5">
        <w:rPr>
          <w:rFonts w:ascii="Arial" w:eastAsia="Arial" w:hAnsi="Arial" w:cs="Arial"/>
          <w:sz w:val="20"/>
          <w:szCs w:val="20"/>
          <w:lang w:val="en-US" w:eastAsia="en-US"/>
        </w:rPr>
        <w:t xml:space="preserve">residential, farmland and business </w:t>
      </w:r>
      <w:r w:rsidR="00E63E20" w:rsidRPr="00E63E20">
        <w:rPr>
          <w:rFonts w:ascii="Arial" w:eastAsia="Arial" w:hAnsi="Arial" w:cs="Arial"/>
          <w:sz w:val="20"/>
          <w:szCs w:val="20"/>
          <w:lang w:val="en-US" w:eastAsia="en-US"/>
        </w:rPr>
        <w:t>ratepayers could enter their current rates and an estimate of the ordinary rates they could expect to pay for future rating years under each option was automatically calculated.</w:t>
      </w:r>
    </w:p>
    <w:p w14:paraId="22166896" w14:textId="77777777" w:rsidR="00E63E20" w:rsidRPr="00E63E20" w:rsidRDefault="00E63E20" w:rsidP="00000B79">
      <w:pPr>
        <w:widowControl w:val="0"/>
        <w:spacing w:before="120" w:after="40" w:line="276" w:lineRule="auto"/>
        <w:ind w:left="284"/>
        <w:contextualSpacing/>
        <w:jc w:val="both"/>
        <w:rPr>
          <w:rFonts w:ascii="Arial" w:eastAsia="Arial" w:hAnsi="Arial" w:cs="Arial"/>
          <w:sz w:val="20"/>
          <w:szCs w:val="20"/>
          <w:lang w:val="en-US" w:eastAsia="en-US"/>
        </w:rPr>
      </w:pPr>
    </w:p>
    <w:p w14:paraId="50B6FC56" w14:textId="68EB3C11" w:rsidR="00E63E20" w:rsidRPr="00E63E20" w:rsidRDefault="00E63E20" w:rsidP="00000B79">
      <w:pPr>
        <w:widowControl w:val="0"/>
        <w:numPr>
          <w:ilvl w:val="0"/>
          <w:numId w:val="105"/>
        </w:numPr>
        <w:spacing w:before="120" w:after="40" w:line="276" w:lineRule="auto"/>
        <w:ind w:left="284" w:hanging="284"/>
        <w:contextualSpacing/>
        <w:jc w:val="both"/>
        <w:rPr>
          <w:rFonts w:ascii="Arial" w:eastAsia="Arial" w:hAnsi="Arial" w:cs="Arial"/>
          <w:sz w:val="20"/>
          <w:szCs w:val="20"/>
          <w:lang w:val="en-US" w:eastAsia="en-US"/>
        </w:rPr>
      </w:pPr>
      <w:r w:rsidRPr="00E63E20">
        <w:rPr>
          <w:rFonts w:ascii="Arial" w:eastAsia="Arial" w:hAnsi="Arial" w:cs="Arial"/>
          <w:sz w:val="20"/>
          <w:szCs w:val="20"/>
          <w:lang w:val="en-US" w:eastAsia="en-US"/>
        </w:rPr>
        <w:t xml:space="preserve">Three half-page display ads placed in the local Blue Mountains Gazette and  four public notices placed in the Council Communicator page of the Gazette (see </w:t>
      </w:r>
      <w:r w:rsidR="00874DD3" w:rsidRPr="003114B4">
        <w:rPr>
          <w:rFonts w:ascii="Arial" w:eastAsia="Arial" w:hAnsi="Arial" w:cs="Arial"/>
          <w:b/>
          <w:sz w:val="20"/>
          <w:szCs w:val="20"/>
          <w:lang w:val="en-US" w:eastAsia="en-US"/>
        </w:rPr>
        <w:t>Attachment 5b)</w:t>
      </w:r>
    </w:p>
    <w:p w14:paraId="16FB51C7" w14:textId="77777777" w:rsidR="00E63E20" w:rsidRPr="00E63E20" w:rsidRDefault="00E63E20" w:rsidP="00000B79">
      <w:pPr>
        <w:widowControl w:val="0"/>
        <w:spacing w:before="120" w:after="40" w:line="276" w:lineRule="auto"/>
        <w:ind w:left="284" w:hanging="284"/>
        <w:contextualSpacing/>
        <w:jc w:val="both"/>
        <w:rPr>
          <w:rFonts w:ascii="Arial" w:eastAsia="Arial" w:hAnsi="Arial" w:cs="Arial"/>
          <w:sz w:val="20"/>
          <w:szCs w:val="20"/>
          <w:lang w:val="en-US" w:eastAsia="en-US"/>
        </w:rPr>
      </w:pPr>
    </w:p>
    <w:p w14:paraId="427CED4D" w14:textId="77777777" w:rsidR="00E63E20" w:rsidRPr="00E63E20" w:rsidRDefault="00E63E20" w:rsidP="00000B79">
      <w:pPr>
        <w:widowControl w:val="0"/>
        <w:numPr>
          <w:ilvl w:val="0"/>
          <w:numId w:val="104"/>
        </w:numPr>
        <w:spacing w:before="120" w:after="40" w:line="276" w:lineRule="auto"/>
        <w:ind w:left="284" w:hanging="284"/>
        <w:contextualSpacing/>
        <w:jc w:val="both"/>
        <w:rPr>
          <w:rFonts w:ascii="Arial" w:eastAsia="Arial" w:hAnsi="Arial" w:cs="Arial"/>
          <w:sz w:val="20"/>
          <w:szCs w:val="20"/>
          <w:lang w:val="en-US" w:eastAsia="en-US"/>
        </w:rPr>
      </w:pPr>
      <w:r w:rsidRPr="00E63E20">
        <w:rPr>
          <w:rFonts w:ascii="Arial" w:eastAsia="Arial" w:hAnsi="Arial" w:cs="Arial"/>
          <w:sz w:val="20"/>
          <w:szCs w:val="20"/>
          <w:lang w:val="en-US" w:eastAsia="en-US"/>
        </w:rPr>
        <w:t xml:space="preserve">Business Cards with details on how to find out more about options for Resourcing Our Future were provided to Councillors to hand out to community members seeking further information.  </w:t>
      </w:r>
    </w:p>
    <w:p w14:paraId="7D465A97" w14:textId="77777777" w:rsidR="00E63E20" w:rsidRPr="00E63E20" w:rsidRDefault="00E63E20" w:rsidP="00000B79">
      <w:pPr>
        <w:spacing w:line="276" w:lineRule="auto"/>
        <w:ind w:left="993" w:hanging="426"/>
        <w:jc w:val="both"/>
        <w:rPr>
          <w:rFonts w:ascii="Arial" w:hAnsi="Arial" w:cs="Arial"/>
          <w:bCs/>
          <w:sz w:val="20"/>
          <w:szCs w:val="20"/>
          <w:lang w:val="en-US" w:eastAsia="en-US"/>
        </w:rPr>
      </w:pPr>
    </w:p>
    <w:p w14:paraId="0F0E4D37" w14:textId="57DA8E00" w:rsidR="00E63E20" w:rsidRPr="00E63E20" w:rsidRDefault="00E63E20" w:rsidP="00000B79">
      <w:pPr>
        <w:widowControl w:val="0"/>
        <w:tabs>
          <w:tab w:val="left" w:pos="959"/>
        </w:tabs>
        <w:spacing w:line="276" w:lineRule="auto"/>
        <w:ind w:right="424"/>
        <w:rPr>
          <w:rFonts w:ascii="Arial" w:eastAsia="Arial" w:hAnsi="Arial" w:cs="Arial"/>
          <w:b/>
          <w:sz w:val="20"/>
          <w:szCs w:val="20"/>
          <w:lang w:val="en-US" w:eastAsia="en-US"/>
        </w:rPr>
      </w:pPr>
      <w:r w:rsidRPr="00E63E20">
        <w:rPr>
          <w:rFonts w:ascii="Arial" w:eastAsia="Arial" w:hAnsi="Arial" w:cs="Arial"/>
          <w:b/>
          <w:bCs/>
          <w:sz w:val="20"/>
          <w:szCs w:val="20"/>
          <w:lang w:val="en-US" w:eastAsia="en-US"/>
        </w:rPr>
        <w:t>Results from Call for Public Submissions</w:t>
      </w:r>
    </w:p>
    <w:p w14:paraId="32B50249" w14:textId="77777777" w:rsidR="00E63E20" w:rsidRPr="00E63E20" w:rsidRDefault="00E63E20" w:rsidP="00000B79">
      <w:pPr>
        <w:widowControl w:val="0"/>
        <w:spacing w:before="7" w:line="276" w:lineRule="auto"/>
        <w:rPr>
          <w:rFonts w:asciiTheme="minorHAnsi" w:eastAsiaTheme="minorHAnsi" w:hAnsiTheme="minorHAnsi" w:cstheme="minorBidi"/>
          <w:sz w:val="20"/>
          <w:szCs w:val="20"/>
          <w:lang w:val="en-US" w:eastAsia="en-US"/>
        </w:rPr>
      </w:pPr>
    </w:p>
    <w:p w14:paraId="68BB8CF7" w14:textId="6D493BEA" w:rsidR="00E63E20" w:rsidRPr="00681DD5" w:rsidRDefault="00E63E20" w:rsidP="00000B79">
      <w:pPr>
        <w:pStyle w:val="Default"/>
        <w:spacing w:line="276" w:lineRule="auto"/>
        <w:jc w:val="both"/>
        <w:rPr>
          <w:rFonts w:eastAsia="Arial"/>
          <w:sz w:val="20"/>
          <w:szCs w:val="20"/>
          <w:lang w:val="en-US" w:eastAsia="en-US"/>
        </w:rPr>
      </w:pPr>
      <w:r w:rsidRPr="00681DD5">
        <w:rPr>
          <w:sz w:val="20"/>
          <w:szCs w:val="20"/>
        </w:rPr>
        <w:t xml:space="preserve">A total of 4,312 valid submissions were received from the community expressing their views on options for </w:t>
      </w:r>
      <w:r w:rsidRPr="00681DD5">
        <w:rPr>
          <w:i/>
          <w:sz w:val="20"/>
          <w:szCs w:val="20"/>
        </w:rPr>
        <w:t>Resourcing Our Future</w:t>
      </w:r>
      <w:r w:rsidRPr="00681DD5">
        <w:rPr>
          <w:sz w:val="20"/>
          <w:szCs w:val="20"/>
        </w:rPr>
        <w:t xml:space="preserve">. </w:t>
      </w:r>
      <w:r w:rsidRPr="00E63E20">
        <w:rPr>
          <w:rFonts w:eastAsia="Arial"/>
          <w:sz w:val="20"/>
          <w:szCs w:val="20"/>
          <w:lang w:val="en-US" w:eastAsia="en-US"/>
        </w:rPr>
        <w:t xml:space="preserve">This is more than triple the 1,287 submissions received for the previous special variation consultation in 2012, and the most submissions that the Council has received through any public exhibition process. A further 178 submissions were deemed to be invalid following a thorough governance review. Of these, 83 were submissions without name and address information, 65 had no option selected or comments provided, and 30 submissions were identified as duplicate submissions (more than one submission per person). </w:t>
      </w:r>
    </w:p>
    <w:p w14:paraId="76FBFCEF" w14:textId="4F6C09E5" w:rsidR="00FD7160" w:rsidRPr="00E63E20" w:rsidRDefault="00FD7160" w:rsidP="00E63E20">
      <w:pPr>
        <w:widowControl w:val="0"/>
        <w:ind w:right="-1"/>
        <w:jc w:val="both"/>
        <w:rPr>
          <w:rFonts w:ascii="Arial" w:eastAsia="Arial" w:hAnsi="Arial" w:cs="Arial"/>
          <w:sz w:val="20"/>
          <w:szCs w:val="20"/>
          <w:lang w:val="en-US" w:eastAsia="en-US"/>
        </w:rPr>
      </w:pPr>
    </w:p>
    <w:p w14:paraId="3894F270" w14:textId="59E4424B" w:rsidR="00FD7160" w:rsidRPr="00AD2D16" w:rsidRDefault="00FD7160" w:rsidP="00FD7160">
      <w:pPr>
        <w:jc w:val="both"/>
        <w:rPr>
          <w:rFonts w:ascii="Arial" w:hAnsi="Arial" w:cs="Arial"/>
          <w:b/>
          <w:sz w:val="18"/>
          <w:szCs w:val="18"/>
        </w:rPr>
      </w:pPr>
      <w:r w:rsidRPr="00AD2D16">
        <w:rPr>
          <w:rFonts w:ascii="Arial" w:hAnsi="Arial" w:cs="Arial"/>
          <w:b/>
          <w:sz w:val="18"/>
          <w:szCs w:val="18"/>
        </w:rPr>
        <w:t xml:space="preserve">Table </w:t>
      </w:r>
      <w:r w:rsidR="00CA6AB3" w:rsidRPr="00AD2D16">
        <w:rPr>
          <w:rFonts w:ascii="Arial" w:hAnsi="Arial" w:cs="Arial"/>
          <w:b/>
          <w:sz w:val="18"/>
          <w:szCs w:val="18"/>
        </w:rPr>
        <w:t>4.</w:t>
      </w:r>
      <w:r w:rsidR="00DC35CA" w:rsidRPr="00AD2D16">
        <w:rPr>
          <w:rFonts w:ascii="Arial" w:hAnsi="Arial" w:cs="Arial"/>
          <w:b/>
          <w:sz w:val="18"/>
          <w:szCs w:val="18"/>
        </w:rPr>
        <w:t>5</w:t>
      </w:r>
      <w:r w:rsidRPr="00AD2D16">
        <w:rPr>
          <w:rFonts w:ascii="Arial" w:hAnsi="Arial" w:cs="Arial"/>
          <w:b/>
          <w:sz w:val="18"/>
          <w:szCs w:val="18"/>
        </w:rPr>
        <w:t xml:space="preserve"> Total number of submissions received</w:t>
      </w:r>
    </w:p>
    <w:tbl>
      <w:tblPr>
        <w:tblStyle w:val="TableGrid31"/>
        <w:tblW w:w="0" w:type="auto"/>
        <w:tblInd w:w="108" w:type="dxa"/>
        <w:tblLook w:val="04A0" w:firstRow="1" w:lastRow="0" w:firstColumn="1" w:lastColumn="0" w:noHBand="0" w:noVBand="1"/>
      </w:tblPr>
      <w:tblGrid>
        <w:gridCol w:w="5794"/>
        <w:gridCol w:w="1574"/>
        <w:gridCol w:w="1386"/>
      </w:tblGrid>
      <w:tr w:rsidR="00FD7160" w:rsidRPr="00FD7160" w14:paraId="1E517436" w14:textId="77777777" w:rsidTr="0067349D">
        <w:trPr>
          <w:trHeight w:val="270"/>
        </w:trPr>
        <w:tc>
          <w:tcPr>
            <w:tcW w:w="5944" w:type="dxa"/>
            <w:shd w:val="clear" w:color="auto" w:fill="548DD4" w:themeFill="text2" w:themeFillTint="99"/>
          </w:tcPr>
          <w:p w14:paraId="452589D5" w14:textId="77777777" w:rsidR="00FD7160" w:rsidRPr="00FD7160" w:rsidRDefault="00FD7160" w:rsidP="00FD7160">
            <w:pPr>
              <w:widowControl w:val="0"/>
              <w:rPr>
                <w:rFonts w:ascii="Arial" w:hAnsi="Arial" w:cs="Arial"/>
                <w:color w:val="FF0000"/>
                <w:sz w:val="20"/>
                <w:szCs w:val="20"/>
                <w:lang w:val="en-US"/>
              </w:rPr>
            </w:pPr>
            <w:r w:rsidRPr="00FD7160">
              <w:rPr>
                <w:rFonts w:ascii="Arial" w:hAnsi="Arial" w:cs="Arial"/>
                <w:color w:val="FFFFFF" w:themeColor="background1"/>
                <w:sz w:val="20"/>
                <w:szCs w:val="20"/>
                <w:lang w:val="en-US"/>
              </w:rPr>
              <w:t>Type of Submission</w:t>
            </w:r>
          </w:p>
        </w:tc>
        <w:tc>
          <w:tcPr>
            <w:tcW w:w="1603" w:type="dxa"/>
            <w:shd w:val="clear" w:color="auto" w:fill="548DD4" w:themeFill="text2" w:themeFillTint="99"/>
          </w:tcPr>
          <w:p w14:paraId="4C2578D6" w14:textId="77777777" w:rsidR="00FD7160" w:rsidRPr="00FD7160" w:rsidRDefault="00FD7160" w:rsidP="00FD7160">
            <w:pPr>
              <w:widowControl w:val="0"/>
              <w:jc w:val="center"/>
              <w:rPr>
                <w:rFonts w:ascii="Arial" w:hAnsi="Arial" w:cs="Arial"/>
                <w:color w:val="FFFFFF" w:themeColor="background1"/>
                <w:sz w:val="20"/>
                <w:szCs w:val="20"/>
                <w:lang w:val="en-US"/>
              </w:rPr>
            </w:pPr>
            <w:r w:rsidRPr="00FD7160">
              <w:rPr>
                <w:rFonts w:ascii="Arial" w:hAnsi="Arial" w:cs="Arial"/>
                <w:color w:val="FFFFFF" w:themeColor="background1"/>
                <w:sz w:val="20"/>
                <w:szCs w:val="20"/>
                <w:lang w:val="en-US"/>
              </w:rPr>
              <w:t>No.</w:t>
            </w:r>
          </w:p>
        </w:tc>
        <w:tc>
          <w:tcPr>
            <w:tcW w:w="1403" w:type="dxa"/>
            <w:shd w:val="clear" w:color="auto" w:fill="548DD4" w:themeFill="text2" w:themeFillTint="99"/>
          </w:tcPr>
          <w:p w14:paraId="54997605" w14:textId="77777777" w:rsidR="00FD7160" w:rsidRPr="00FD7160" w:rsidRDefault="00FD7160" w:rsidP="00FD7160">
            <w:pPr>
              <w:widowControl w:val="0"/>
              <w:jc w:val="center"/>
              <w:rPr>
                <w:rFonts w:ascii="Arial" w:hAnsi="Arial" w:cs="Arial"/>
                <w:color w:val="FFFFFF" w:themeColor="background1"/>
                <w:sz w:val="20"/>
                <w:szCs w:val="20"/>
                <w:lang w:val="en-US"/>
              </w:rPr>
            </w:pPr>
            <w:r w:rsidRPr="00FD7160">
              <w:rPr>
                <w:rFonts w:ascii="Arial" w:hAnsi="Arial" w:cs="Arial"/>
                <w:color w:val="FFFFFF" w:themeColor="background1"/>
                <w:sz w:val="20"/>
                <w:szCs w:val="20"/>
                <w:lang w:val="en-US"/>
              </w:rPr>
              <w:t>%</w:t>
            </w:r>
          </w:p>
        </w:tc>
      </w:tr>
      <w:tr w:rsidR="00FD7160" w:rsidRPr="00FD7160" w14:paraId="0014E3E2" w14:textId="77777777" w:rsidTr="0067349D">
        <w:trPr>
          <w:trHeight w:val="270"/>
        </w:trPr>
        <w:tc>
          <w:tcPr>
            <w:tcW w:w="5944" w:type="dxa"/>
          </w:tcPr>
          <w:p w14:paraId="35E3FFA7" w14:textId="77777777" w:rsidR="00FD7160" w:rsidRPr="00FD7160" w:rsidRDefault="00FD7160" w:rsidP="00FD7160">
            <w:pPr>
              <w:widowControl w:val="0"/>
              <w:rPr>
                <w:rFonts w:ascii="Arial" w:hAnsi="Arial" w:cs="Arial"/>
                <w:sz w:val="20"/>
                <w:szCs w:val="20"/>
                <w:lang w:val="en-US"/>
              </w:rPr>
            </w:pPr>
            <w:r w:rsidRPr="00FD7160">
              <w:rPr>
                <w:rFonts w:ascii="Arial" w:hAnsi="Arial" w:cs="Arial"/>
                <w:sz w:val="20"/>
                <w:szCs w:val="20"/>
                <w:lang w:val="en-US"/>
              </w:rPr>
              <w:t>Valid submissions</w:t>
            </w:r>
          </w:p>
        </w:tc>
        <w:tc>
          <w:tcPr>
            <w:tcW w:w="1603" w:type="dxa"/>
          </w:tcPr>
          <w:p w14:paraId="06D380D0" w14:textId="77777777" w:rsidR="00FD7160" w:rsidRPr="00FD7160" w:rsidRDefault="00FD7160" w:rsidP="00FD7160">
            <w:pPr>
              <w:widowControl w:val="0"/>
              <w:jc w:val="center"/>
              <w:rPr>
                <w:rFonts w:ascii="Arial" w:hAnsi="Arial" w:cs="Arial"/>
                <w:sz w:val="20"/>
                <w:szCs w:val="20"/>
                <w:lang w:val="en-US"/>
              </w:rPr>
            </w:pPr>
            <w:r w:rsidRPr="00FD7160">
              <w:rPr>
                <w:rFonts w:ascii="Arial" w:hAnsi="Arial" w:cs="Arial"/>
                <w:sz w:val="20"/>
                <w:szCs w:val="20"/>
                <w:lang w:val="en-US"/>
              </w:rPr>
              <w:t>4,312</w:t>
            </w:r>
          </w:p>
        </w:tc>
        <w:tc>
          <w:tcPr>
            <w:tcW w:w="1403" w:type="dxa"/>
          </w:tcPr>
          <w:p w14:paraId="7B01688D" w14:textId="77777777" w:rsidR="00FD7160" w:rsidRPr="00FD7160" w:rsidRDefault="00FD7160" w:rsidP="00FD7160">
            <w:pPr>
              <w:widowControl w:val="0"/>
              <w:jc w:val="center"/>
              <w:rPr>
                <w:rFonts w:ascii="Arial" w:hAnsi="Arial" w:cs="Arial"/>
                <w:sz w:val="20"/>
                <w:szCs w:val="20"/>
                <w:lang w:val="en-US"/>
              </w:rPr>
            </w:pPr>
            <w:r w:rsidRPr="00FD7160">
              <w:rPr>
                <w:rFonts w:ascii="Arial" w:hAnsi="Arial" w:cs="Arial"/>
                <w:sz w:val="20"/>
                <w:szCs w:val="20"/>
                <w:lang w:val="en-US"/>
              </w:rPr>
              <w:t>96.0%</w:t>
            </w:r>
          </w:p>
        </w:tc>
      </w:tr>
      <w:tr w:rsidR="00FD7160" w:rsidRPr="00FD7160" w14:paraId="524AF30C" w14:textId="77777777" w:rsidTr="0067349D">
        <w:trPr>
          <w:trHeight w:val="286"/>
        </w:trPr>
        <w:tc>
          <w:tcPr>
            <w:tcW w:w="5944" w:type="dxa"/>
          </w:tcPr>
          <w:p w14:paraId="3C7715EA" w14:textId="77777777" w:rsidR="00FD7160" w:rsidRPr="00FD7160" w:rsidRDefault="00FD7160" w:rsidP="00FD7160">
            <w:pPr>
              <w:widowControl w:val="0"/>
              <w:rPr>
                <w:rFonts w:ascii="Arial" w:hAnsi="Arial" w:cs="Arial"/>
                <w:sz w:val="20"/>
                <w:szCs w:val="20"/>
                <w:lang w:val="en-US"/>
              </w:rPr>
            </w:pPr>
            <w:r w:rsidRPr="00FD7160">
              <w:rPr>
                <w:rFonts w:ascii="Arial" w:hAnsi="Arial" w:cs="Arial"/>
                <w:sz w:val="20"/>
                <w:szCs w:val="20"/>
                <w:lang w:val="en-US"/>
              </w:rPr>
              <w:t xml:space="preserve">          Received during the public exhibition period</w:t>
            </w:r>
          </w:p>
        </w:tc>
        <w:tc>
          <w:tcPr>
            <w:tcW w:w="1603" w:type="dxa"/>
          </w:tcPr>
          <w:p w14:paraId="3F90906B" w14:textId="77777777" w:rsidR="00FD7160" w:rsidRPr="00FD7160" w:rsidRDefault="00FD7160" w:rsidP="00FD7160">
            <w:pPr>
              <w:widowControl w:val="0"/>
              <w:jc w:val="center"/>
              <w:rPr>
                <w:rFonts w:ascii="Arial" w:hAnsi="Arial" w:cs="Arial"/>
                <w:sz w:val="20"/>
                <w:szCs w:val="20"/>
                <w:lang w:val="en-US"/>
              </w:rPr>
            </w:pPr>
            <w:r w:rsidRPr="00FD7160">
              <w:rPr>
                <w:rFonts w:ascii="Arial" w:hAnsi="Arial" w:cs="Arial"/>
                <w:sz w:val="20"/>
                <w:szCs w:val="20"/>
                <w:lang w:val="en-US"/>
              </w:rPr>
              <w:t>4,203</w:t>
            </w:r>
          </w:p>
        </w:tc>
        <w:tc>
          <w:tcPr>
            <w:tcW w:w="1403" w:type="dxa"/>
          </w:tcPr>
          <w:p w14:paraId="28013B41" w14:textId="77777777" w:rsidR="00FD7160" w:rsidRPr="00FD7160" w:rsidRDefault="00FD7160" w:rsidP="00FD7160">
            <w:pPr>
              <w:widowControl w:val="0"/>
              <w:jc w:val="center"/>
              <w:rPr>
                <w:rFonts w:ascii="Arial" w:hAnsi="Arial" w:cs="Arial"/>
                <w:sz w:val="20"/>
                <w:szCs w:val="20"/>
                <w:lang w:val="en-US"/>
              </w:rPr>
            </w:pPr>
            <w:r w:rsidRPr="00FD7160">
              <w:rPr>
                <w:rFonts w:ascii="Arial" w:hAnsi="Arial" w:cs="Arial"/>
                <w:sz w:val="20"/>
                <w:szCs w:val="20"/>
                <w:lang w:val="en-US"/>
              </w:rPr>
              <w:t>93.6%</w:t>
            </w:r>
          </w:p>
        </w:tc>
      </w:tr>
      <w:tr w:rsidR="00FD7160" w:rsidRPr="00FD7160" w14:paraId="32F35AD5" w14:textId="77777777" w:rsidTr="0067349D">
        <w:trPr>
          <w:trHeight w:val="270"/>
        </w:trPr>
        <w:tc>
          <w:tcPr>
            <w:tcW w:w="5944" w:type="dxa"/>
          </w:tcPr>
          <w:p w14:paraId="205AE34F" w14:textId="77777777" w:rsidR="00FD7160" w:rsidRPr="00FD7160" w:rsidRDefault="00FD7160" w:rsidP="00FD7160">
            <w:pPr>
              <w:widowControl w:val="0"/>
              <w:rPr>
                <w:rFonts w:ascii="Arial" w:hAnsi="Arial" w:cs="Arial"/>
                <w:sz w:val="20"/>
                <w:szCs w:val="20"/>
                <w:lang w:val="en-US"/>
              </w:rPr>
            </w:pPr>
            <w:r w:rsidRPr="00FD7160">
              <w:rPr>
                <w:rFonts w:ascii="Arial" w:hAnsi="Arial" w:cs="Arial"/>
                <w:sz w:val="20"/>
                <w:szCs w:val="20"/>
                <w:lang w:val="en-US"/>
              </w:rPr>
              <w:t xml:space="preserve">          Received after the public exhibition period</w:t>
            </w:r>
          </w:p>
        </w:tc>
        <w:tc>
          <w:tcPr>
            <w:tcW w:w="1603" w:type="dxa"/>
          </w:tcPr>
          <w:p w14:paraId="59CF2045" w14:textId="77777777" w:rsidR="00FD7160" w:rsidRPr="00FD7160" w:rsidRDefault="00FD7160" w:rsidP="00FD7160">
            <w:pPr>
              <w:widowControl w:val="0"/>
              <w:jc w:val="center"/>
              <w:rPr>
                <w:rFonts w:ascii="Arial" w:hAnsi="Arial" w:cs="Arial"/>
                <w:sz w:val="20"/>
                <w:szCs w:val="20"/>
                <w:lang w:val="en-US"/>
              </w:rPr>
            </w:pPr>
            <w:r w:rsidRPr="00FD7160">
              <w:rPr>
                <w:rFonts w:ascii="Arial" w:hAnsi="Arial" w:cs="Arial"/>
                <w:sz w:val="20"/>
                <w:szCs w:val="20"/>
                <w:lang w:val="en-US"/>
              </w:rPr>
              <w:t>109</w:t>
            </w:r>
          </w:p>
        </w:tc>
        <w:tc>
          <w:tcPr>
            <w:tcW w:w="1403" w:type="dxa"/>
          </w:tcPr>
          <w:p w14:paraId="7A15D759" w14:textId="77777777" w:rsidR="00FD7160" w:rsidRPr="00FD7160" w:rsidRDefault="00FD7160" w:rsidP="00FD7160">
            <w:pPr>
              <w:widowControl w:val="0"/>
              <w:jc w:val="center"/>
              <w:rPr>
                <w:rFonts w:ascii="Arial" w:hAnsi="Arial" w:cs="Arial"/>
                <w:sz w:val="20"/>
                <w:szCs w:val="20"/>
                <w:lang w:val="en-US"/>
              </w:rPr>
            </w:pPr>
            <w:r w:rsidRPr="00FD7160">
              <w:rPr>
                <w:rFonts w:ascii="Arial" w:hAnsi="Arial" w:cs="Arial"/>
                <w:sz w:val="20"/>
                <w:szCs w:val="20"/>
                <w:lang w:val="en-US"/>
              </w:rPr>
              <w:t>2.4%</w:t>
            </w:r>
          </w:p>
        </w:tc>
      </w:tr>
      <w:tr w:rsidR="00FD7160" w:rsidRPr="00FD7160" w14:paraId="210335D1" w14:textId="77777777" w:rsidTr="0067349D">
        <w:trPr>
          <w:trHeight w:val="286"/>
        </w:trPr>
        <w:tc>
          <w:tcPr>
            <w:tcW w:w="5944" w:type="dxa"/>
          </w:tcPr>
          <w:p w14:paraId="3CF06DA1" w14:textId="77777777" w:rsidR="00FD7160" w:rsidRPr="00FD7160" w:rsidRDefault="00FD7160" w:rsidP="00FD7160">
            <w:pPr>
              <w:widowControl w:val="0"/>
              <w:rPr>
                <w:rFonts w:ascii="Arial" w:hAnsi="Arial" w:cs="Arial"/>
                <w:sz w:val="20"/>
                <w:szCs w:val="20"/>
                <w:lang w:val="en-US"/>
              </w:rPr>
            </w:pPr>
            <w:r w:rsidRPr="00FD7160">
              <w:rPr>
                <w:rFonts w:ascii="Arial" w:hAnsi="Arial" w:cs="Arial"/>
                <w:sz w:val="20"/>
                <w:szCs w:val="20"/>
                <w:lang w:val="en-US"/>
              </w:rPr>
              <w:t>Invalid submissions</w:t>
            </w:r>
          </w:p>
        </w:tc>
        <w:tc>
          <w:tcPr>
            <w:tcW w:w="1603" w:type="dxa"/>
          </w:tcPr>
          <w:p w14:paraId="6EAA8191" w14:textId="77777777" w:rsidR="00FD7160" w:rsidRPr="00FD7160" w:rsidRDefault="00FD7160" w:rsidP="00FD7160">
            <w:pPr>
              <w:widowControl w:val="0"/>
              <w:jc w:val="center"/>
              <w:rPr>
                <w:rFonts w:ascii="Arial" w:hAnsi="Arial" w:cs="Arial"/>
                <w:sz w:val="20"/>
                <w:szCs w:val="20"/>
                <w:lang w:val="en-US"/>
              </w:rPr>
            </w:pPr>
            <w:r w:rsidRPr="00FD7160">
              <w:rPr>
                <w:rFonts w:ascii="Arial" w:hAnsi="Arial" w:cs="Arial"/>
                <w:sz w:val="20"/>
                <w:szCs w:val="20"/>
                <w:lang w:val="en-US"/>
              </w:rPr>
              <w:t>178</w:t>
            </w:r>
          </w:p>
        </w:tc>
        <w:tc>
          <w:tcPr>
            <w:tcW w:w="1403" w:type="dxa"/>
            <w:shd w:val="clear" w:color="auto" w:fill="auto"/>
          </w:tcPr>
          <w:p w14:paraId="1E398DD7" w14:textId="77777777" w:rsidR="00FD7160" w:rsidRPr="00FD7160" w:rsidRDefault="00FD7160" w:rsidP="00FD7160">
            <w:pPr>
              <w:widowControl w:val="0"/>
              <w:jc w:val="center"/>
              <w:rPr>
                <w:rFonts w:ascii="Arial" w:hAnsi="Arial" w:cs="Arial"/>
                <w:sz w:val="20"/>
                <w:szCs w:val="20"/>
                <w:lang w:val="en-US"/>
              </w:rPr>
            </w:pPr>
            <w:r w:rsidRPr="00FD7160">
              <w:rPr>
                <w:rFonts w:ascii="Arial" w:hAnsi="Arial" w:cs="Arial"/>
                <w:sz w:val="20"/>
                <w:szCs w:val="20"/>
                <w:lang w:val="en-US"/>
              </w:rPr>
              <w:t>4.0%</w:t>
            </w:r>
          </w:p>
        </w:tc>
      </w:tr>
      <w:tr w:rsidR="00FD7160" w:rsidRPr="00FD7160" w14:paraId="213E9E37" w14:textId="77777777" w:rsidTr="0067349D">
        <w:trPr>
          <w:trHeight w:val="270"/>
        </w:trPr>
        <w:tc>
          <w:tcPr>
            <w:tcW w:w="5944" w:type="dxa"/>
          </w:tcPr>
          <w:p w14:paraId="13345C0F" w14:textId="77777777" w:rsidR="00FD7160" w:rsidRPr="00FD7160" w:rsidRDefault="00FD7160" w:rsidP="00FD7160">
            <w:pPr>
              <w:widowControl w:val="0"/>
              <w:rPr>
                <w:rFonts w:ascii="Arial" w:hAnsi="Arial" w:cs="Arial"/>
                <w:sz w:val="20"/>
                <w:szCs w:val="20"/>
                <w:lang w:val="en-US"/>
              </w:rPr>
            </w:pPr>
            <w:r w:rsidRPr="00FD7160">
              <w:rPr>
                <w:rFonts w:ascii="Arial" w:hAnsi="Arial" w:cs="Arial"/>
                <w:sz w:val="20"/>
                <w:szCs w:val="20"/>
                <w:lang w:val="en-US"/>
              </w:rPr>
              <w:t xml:space="preserve">          Anonymous submissions</w:t>
            </w:r>
          </w:p>
        </w:tc>
        <w:tc>
          <w:tcPr>
            <w:tcW w:w="1603" w:type="dxa"/>
          </w:tcPr>
          <w:p w14:paraId="5ABC69B7" w14:textId="77777777" w:rsidR="00FD7160" w:rsidRPr="00FD7160" w:rsidRDefault="00FD7160" w:rsidP="00FD7160">
            <w:pPr>
              <w:widowControl w:val="0"/>
              <w:jc w:val="center"/>
              <w:rPr>
                <w:rFonts w:ascii="Arial" w:hAnsi="Arial" w:cs="Arial"/>
                <w:sz w:val="20"/>
                <w:szCs w:val="20"/>
                <w:lang w:val="en-US"/>
              </w:rPr>
            </w:pPr>
            <w:r w:rsidRPr="00FD7160">
              <w:rPr>
                <w:rFonts w:ascii="Arial" w:hAnsi="Arial" w:cs="Arial"/>
                <w:sz w:val="20"/>
                <w:szCs w:val="20"/>
                <w:lang w:val="en-US"/>
              </w:rPr>
              <w:t>83</w:t>
            </w:r>
          </w:p>
        </w:tc>
        <w:tc>
          <w:tcPr>
            <w:tcW w:w="1403" w:type="dxa"/>
          </w:tcPr>
          <w:p w14:paraId="09306926" w14:textId="77777777" w:rsidR="00FD7160" w:rsidRPr="00FD7160" w:rsidRDefault="00FD7160" w:rsidP="00FD7160">
            <w:pPr>
              <w:widowControl w:val="0"/>
              <w:jc w:val="center"/>
              <w:rPr>
                <w:rFonts w:ascii="Arial" w:hAnsi="Arial" w:cs="Arial"/>
                <w:sz w:val="20"/>
                <w:szCs w:val="20"/>
                <w:lang w:val="en-US"/>
              </w:rPr>
            </w:pPr>
            <w:r w:rsidRPr="00FD7160">
              <w:rPr>
                <w:rFonts w:ascii="Arial" w:hAnsi="Arial" w:cs="Arial"/>
                <w:sz w:val="20"/>
                <w:szCs w:val="20"/>
                <w:lang w:val="en-US"/>
              </w:rPr>
              <w:t>1.8%</w:t>
            </w:r>
          </w:p>
        </w:tc>
      </w:tr>
      <w:tr w:rsidR="00FD7160" w:rsidRPr="00FD7160" w14:paraId="7E28D380" w14:textId="77777777" w:rsidTr="0067349D">
        <w:trPr>
          <w:trHeight w:val="286"/>
        </w:trPr>
        <w:tc>
          <w:tcPr>
            <w:tcW w:w="5944" w:type="dxa"/>
          </w:tcPr>
          <w:p w14:paraId="7A485B6D" w14:textId="77777777" w:rsidR="00FD7160" w:rsidRPr="00FD7160" w:rsidRDefault="00FD7160" w:rsidP="00FD7160">
            <w:pPr>
              <w:widowControl w:val="0"/>
              <w:rPr>
                <w:rFonts w:ascii="Arial" w:hAnsi="Arial" w:cs="Arial"/>
                <w:sz w:val="20"/>
                <w:szCs w:val="20"/>
                <w:lang w:val="en-US"/>
              </w:rPr>
            </w:pPr>
            <w:r w:rsidRPr="00FD7160">
              <w:rPr>
                <w:rFonts w:ascii="Arial" w:hAnsi="Arial" w:cs="Arial"/>
                <w:sz w:val="20"/>
                <w:szCs w:val="20"/>
                <w:lang w:val="en-US"/>
              </w:rPr>
              <w:t xml:space="preserve">          No option chosen and no comments</w:t>
            </w:r>
          </w:p>
        </w:tc>
        <w:tc>
          <w:tcPr>
            <w:tcW w:w="1603" w:type="dxa"/>
          </w:tcPr>
          <w:p w14:paraId="44E84E52" w14:textId="77777777" w:rsidR="00FD7160" w:rsidRPr="00FD7160" w:rsidRDefault="00FD7160" w:rsidP="00FD7160">
            <w:pPr>
              <w:widowControl w:val="0"/>
              <w:jc w:val="center"/>
              <w:rPr>
                <w:rFonts w:ascii="Arial" w:hAnsi="Arial" w:cs="Arial"/>
                <w:sz w:val="20"/>
                <w:szCs w:val="20"/>
                <w:lang w:val="en-US"/>
              </w:rPr>
            </w:pPr>
            <w:r w:rsidRPr="00FD7160">
              <w:rPr>
                <w:rFonts w:ascii="Arial" w:hAnsi="Arial" w:cs="Arial"/>
                <w:sz w:val="20"/>
                <w:szCs w:val="20"/>
                <w:lang w:val="en-US"/>
              </w:rPr>
              <w:t>65</w:t>
            </w:r>
          </w:p>
        </w:tc>
        <w:tc>
          <w:tcPr>
            <w:tcW w:w="1403" w:type="dxa"/>
          </w:tcPr>
          <w:p w14:paraId="1F118505" w14:textId="77777777" w:rsidR="00FD7160" w:rsidRPr="00FD7160" w:rsidRDefault="00FD7160" w:rsidP="00FD7160">
            <w:pPr>
              <w:widowControl w:val="0"/>
              <w:jc w:val="center"/>
              <w:rPr>
                <w:rFonts w:ascii="Arial" w:hAnsi="Arial" w:cs="Arial"/>
                <w:sz w:val="20"/>
                <w:szCs w:val="20"/>
                <w:lang w:val="en-US"/>
              </w:rPr>
            </w:pPr>
            <w:r w:rsidRPr="00FD7160">
              <w:rPr>
                <w:rFonts w:ascii="Arial" w:hAnsi="Arial" w:cs="Arial"/>
                <w:sz w:val="20"/>
                <w:szCs w:val="20"/>
                <w:lang w:val="en-US"/>
              </w:rPr>
              <w:t>1.5%</w:t>
            </w:r>
          </w:p>
        </w:tc>
      </w:tr>
      <w:tr w:rsidR="00FD7160" w:rsidRPr="00FD7160" w14:paraId="6D4ACE98" w14:textId="77777777" w:rsidTr="0067349D">
        <w:trPr>
          <w:trHeight w:val="270"/>
        </w:trPr>
        <w:tc>
          <w:tcPr>
            <w:tcW w:w="5944" w:type="dxa"/>
          </w:tcPr>
          <w:p w14:paraId="7F46C8A9" w14:textId="77777777" w:rsidR="00FD7160" w:rsidRPr="00FD7160" w:rsidRDefault="00FD7160" w:rsidP="00FD7160">
            <w:pPr>
              <w:widowControl w:val="0"/>
              <w:rPr>
                <w:rFonts w:ascii="Arial" w:hAnsi="Arial" w:cs="Arial"/>
                <w:sz w:val="20"/>
                <w:szCs w:val="20"/>
                <w:lang w:val="en-US"/>
              </w:rPr>
            </w:pPr>
            <w:r w:rsidRPr="00FD7160">
              <w:rPr>
                <w:rFonts w:ascii="Arial" w:hAnsi="Arial" w:cs="Arial"/>
                <w:sz w:val="20"/>
                <w:szCs w:val="20"/>
                <w:lang w:val="en-US"/>
              </w:rPr>
              <w:t xml:space="preserve">          Duplicate submissions</w:t>
            </w:r>
          </w:p>
        </w:tc>
        <w:tc>
          <w:tcPr>
            <w:tcW w:w="1603" w:type="dxa"/>
          </w:tcPr>
          <w:p w14:paraId="598D02A4" w14:textId="77777777" w:rsidR="00FD7160" w:rsidRPr="00FD7160" w:rsidRDefault="00FD7160" w:rsidP="00FD7160">
            <w:pPr>
              <w:widowControl w:val="0"/>
              <w:jc w:val="center"/>
              <w:rPr>
                <w:rFonts w:ascii="Arial" w:hAnsi="Arial" w:cs="Arial"/>
                <w:sz w:val="20"/>
                <w:szCs w:val="20"/>
                <w:lang w:val="en-US"/>
              </w:rPr>
            </w:pPr>
            <w:r w:rsidRPr="00FD7160">
              <w:rPr>
                <w:rFonts w:ascii="Arial" w:hAnsi="Arial" w:cs="Arial"/>
                <w:sz w:val="20"/>
                <w:szCs w:val="20"/>
                <w:lang w:val="en-US"/>
              </w:rPr>
              <w:t>30</w:t>
            </w:r>
          </w:p>
        </w:tc>
        <w:tc>
          <w:tcPr>
            <w:tcW w:w="1403" w:type="dxa"/>
          </w:tcPr>
          <w:p w14:paraId="11AB222D" w14:textId="77777777" w:rsidR="00FD7160" w:rsidRPr="00FD7160" w:rsidRDefault="00FD7160" w:rsidP="00FD7160">
            <w:pPr>
              <w:widowControl w:val="0"/>
              <w:jc w:val="center"/>
              <w:rPr>
                <w:rFonts w:ascii="Arial" w:hAnsi="Arial" w:cs="Arial"/>
                <w:sz w:val="20"/>
                <w:szCs w:val="20"/>
                <w:lang w:val="en-US"/>
              </w:rPr>
            </w:pPr>
            <w:r w:rsidRPr="00FD7160">
              <w:rPr>
                <w:rFonts w:ascii="Arial" w:hAnsi="Arial" w:cs="Arial"/>
                <w:sz w:val="20"/>
                <w:szCs w:val="20"/>
                <w:lang w:val="en-US"/>
              </w:rPr>
              <w:t>0.7%</w:t>
            </w:r>
          </w:p>
        </w:tc>
      </w:tr>
      <w:tr w:rsidR="00FD7160" w:rsidRPr="00FD7160" w14:paraId="01CC2582" w14:textId="77777777" w:rsidTr="0067349D">
        <w:trPr>
          <w:trHeight w:val="286"/>
        </w:trPr>
        <w:tc>
          <w:tcPr>
            <w:tcW w:w="5944" w:type="dxa"/>
          </w:tcPr>
          <w:p w14:paraId="69E48A89" w14:textId="77777777" w:rsidR="00FD7160" w:rsidRPr="00FD7160" w:rsidRDefault="00FD7160" w:rsidP="00FD7160">
            <w:pPr>
              <w:widowControl w:val="0"/>
              <w:rPr>
                <w:rFonts w:ascii="Arial" w:hAnsi="Arial" w:cs="Arial"/>
                <w:sz w:val="20"/>
                <w:szCs w:val="20"/>
                <w:lang w:val="en-US"/>
              </w:rPr>
            </w:pPr>
            <w:r w:rsidRPr="00FD7160">
              <w:rPr>
                <w:rFonts w:ascii="Arial" w:hAnsi="Arial" w:cs="Arial"/>
                <w:sz w:val="20"/>
                <w:szCs w:val="20"/>
                <w:lang w:val="en-US"/>
              </w:rPr>
              <w:t>Total</w:t>
            </w:r>
          </w:p>
        </w:tc>
        <w:tc>
          <w:tcPr>
            <w:tcW w:w="1603" w:type="dxa"/>
          </w:tcPr>
          <w:p w14:paraId="7FA3AA91" w14:textId="77777777" w:rsidR="00FD7160" w:rsidRPr="00FD7160" w:rsidRDefault="00FD7160" w:rsidP="00FD7160">
            <w:pPr>
              <w:widowControl w:val="0"/>
              <w:jc w:val="center"/>
              <w:rPr>
                <w:rFonts w:ascii="Arial" w:hAnsi="Arial" w:cs="Arial"/>
                <w:sz w:val="20"/>
                <w:szCs w:val="20"/>
                <w:lang w:val="en-US"/>
              </w:rPr>
            </w:pPr>
            <w:r w:rsidRPr="00FD7160">
              <w:rPr>
                <w:rFonts w:ascii="Arial" w:hAnsi="Arial" w:cs="Arial"/>
                <w:sz w:val="20"/>
                <w:szCs w:val="20"/>
                <w:lang w:val="en-US"/>
              </w:rPr>
              <w:t>4,490</w:t>
            </w:r>
          </w:p>
        </w:tc>
        <w:tc>
          <w:tcPr>
            <w:tcW w:w="1403" w:type="dxa"/>
          </w:tcPr>
          <w:p w14:paraId="44D38618" w14:textId="77777777" w:rsidR="00FD7160" w:rsidRPr="00FD7160" w:rsidRDefault="00FD7160" w:rsidP="00FD7160">
            <w:pPr>
              <w:widowControl w:val="0"/>
              <w:jc w:val="center"/>
              <w:rPr>
                <w:rFonts w:ascii="Arial" w:hAnsi="Arial" w:cs="Arial"/>
                <w:sz w:val="20"/>
                <w:szCs w:val="20"/>
                <w:lang w:val="en-US"/>
              </w:rPr>
            </w:pPr>
            <w:r w:rsidRPr="00FD7160">
              <w:rPr>
                <w:rFonts w:ascii="Arial" w:hAnsi="Arial" w:cs="Arial"/>
                <w:sz w:val="20"/>
                <w:szCs w:val="20"/>
                <w:lang w:val="en-US"/>
              </w:rPr>
              <w:t>100.0%</w:t>
            </w:r>
          </w:p>
        </w:tc>
      </w:tr>
    </w:tbl>
    <w:p w14:paraId="0FC79717" w14:textId="77777777" w:rsidR="00FD7160" w:rsidRDefault="00FD7160" w:rsidP="00FD7160">
      <w:pPr>
        <w:widowControl w:val="0"/>
        <w:spacing w:line="276" w:lineRule="auto"/>
        <w:ind w:left="240" w:right="457"/>
        <w:jc w:val="both"/>
        <w:rPr>
          <w:rFonts w:ascii="Arial" w:eastAsia="Arial" w:hAnsi="Arial" w:cs="Arial"/>
          <w:sz w:val="20"/>
          <w:szCs w:val="20"/>
          <w:highlight w:val="yellow"/>
          <w:lang w:val="en-US" w:eastAsia="en-US"/>
        </w:rPr>
      </w:pPr>
    </w:p>
    <w:p w14:paraId="44C038B6" w14:textId="385C4178" w:rsidR="00360814" w:rsidRPr="00000B79" w:rsidRDefault="00360814" w:rsidP="00000B79">
      <w:pPr>
        <w:widowControl w:val="0"/>
        <w:spacing w:line="276" w:lineRule="auto"/>
        <w:ind w:right="458"/>
        <w:jc w:val="both"/>
        <w:rPr>
          <w:rFonts w:ascii="Arial" w:eastAsia="Arial" w:hAnsi="Arial" w:cs="Arial"/>
          <w:i/>
          <w:sz w:val="20"/>
          <w:szCs w:val="20"/>
          <w:u w:val="single"/>
          <w:lang w:val="en-US" w:eastAsia="en-US"/>
        </w:rPr>
      </w:pPr>
      <w:r w:rsidRPr="00000B79">
        <w:rPr>
          <w:rFonts w:ascii="Arial" w:eastAsia="Arial" w:hAnsi="Arial" w:cs="Arial"/>
          <w:i/>
          <w:sz w:val="20"/>
          <w:szCs w:val="20"/>
          <w:u w:val="single"/>
          <w:lang w:val="en-US" w:eastAsia="en-US"/>
        </w:rPr>
        <w:t>Submission method</w:t>
      </w:r>
    </w:p>
    <w:p w14:paraId="1A241DDC" w14:textId="77777777" w:rsidR="00360814" w:rsidRPr="00000B79" w:rsidRDefault="00360814" w:rsidP="00000B79">
      <w:pPr>
        <w:widowControl w:val="0"/>
        <w:spacing w:line="276" w:lineRule="auto"/>
        <w:ind w:right="458"/>
        <w:jc w:val="both"/>
        <w:rPr>
          <w:rFonts w:ascii="Arial" w:eastAsia="Arial" w:hAnsi="Arial" w:cs="Arial"/>
          <w:sz w:val="20"/>
          <w:szCs w:val="20"/>
          <w:lang w:val="en-US" w:eastAsia="en-US"/>
        </w:rPr>
      </w:pPr>
      <w:r w:rsidRPr="00000B79">
        <w:rPr>
          <w:rFonts w:ascii="Arial" w:eastAsia="Arial" w:hAnsi="Arial" w:cs="Arial"/>
          <w:sz w:val="20"/>
          <w:szCs w:val="20"/>
          <w:lang w:val="en-US" w:eastAsia="en-US"/>
        </w:rPr>
        <w:t>The most popular submission method was via the brochure and reply-paid envelope which was sent to all ratepayers, accounting for 94.8% of valid submissions.</w:t>
      </w:r>
    </w:p>
    <w:p w14:paraId="769A3A50" w14:textId="77777777" w:rsidR="00360814" w:rsidRPr="00000B79" w:rsidRDefault="00360814" w:rsidP="00000B79">
      <w:pPr>
        <w:widowControl w:val="0"/>
        <w:spacing w:after="120" w:line="276" w:lineRule="auto"/>
        <w:ind w:left="709"/>
        <w:jc w:val="both"/>
        <w:rPr>
          <w:rFonts w:ascii="Arial" w:hAnsi="Arial" w:cs="Arial"/>
          <w:b/>
          <w:sz w:val="20"/>
          <w:szCs w:val="20"/>
          <w:lang w:eastAsia="en-US"/>
        </w:rPr>
      </w:pPr>
    </w:p>
    <w:p w14:paraId="15BC1483" w14:textId="5F03CC75" w:rsidR="00360814" w:rsidRPr="00000B79" w:rsidRDefault="00360814" w:rsidP="00000B79">
      <w:pPr>
        <w:widowControl w:val="0"/>
        <w:spacing w:line="276" w:lineRule="auto"/>
        <w:jc w:val="both"/>
        <w:rPr>
          <w:rFonts w:asciiTheme="minorHAnsi" w:hAnsiTheme="minorHAnsi" w:cs="Arial"/>
          <w:b/>
          <w:sz w:val="20"/>
          <w:szCs w:val="20"/>
        </w:rPr>
      </w:pPr>
      <w:r w:rsidRPr="00000B79">
        <w:rPr>
          <w:rFonts w:ascii="Arial" w:hAnsi="Arial" w:cs="Arial"/>
          <w:b/>
          <w:sz w:val="20"/>
          <w:szCs w:val="20"/>
          <w:lang w:eastAsia="en-US"/>
        </w:rPr>
        <w:t xml:space="preserve"> </w:t>
      </w:r>
      <w:r w:rsidRPr="00000B79">
        <w:rPr>
          <w:rFonts w:asciiTheme="minorHAnsi" w:hAnsiTheme="minorHAnsi" w:cs="Arial"/>
          <w:b/>
          <w:sz w:val="20"/>
          <w:szCs w:val="20"/>
        </w:rPr>
        <w:t xml:space="preserve">Table </w:t>
      </w:r>
      <w:r w:rsidR="00DC35CA" w:rsidRPr="00000B79">
        <w:rPr>
          <w:rFonts w:asciiTheme="minorHAnsi" w:hAnsiTheme="minorHAnsi" w:cs="Arial"/>
          <w:b/>
          <w:sz w:val="20"/>
          <w:szCs w:val="20"/>
        </w:rPr>
        <w:t>4.6</w:t>
      </w:r>
      <w:r w:rsidRPr="00000B79">
        <w:rPr>
          <w:rFonts w:asciiTheme="minorHAnsi" w:hAnsiTheme="minorHAnsi" w:cs="Arial"/>
          <w:b/>
          <w:sz w:val="20"/>
          <w:szCs w:val="20"/>
        </w:rPr>
        <w:t xml:space="preserve"> Submission method for valid submissions</w:t>
      </w:r>
    </w:p>
    <w:tbl>
      <w:tblPr>
        <w:tblStyle w:val="TableGrid6"/>
        <w:tblW w:w="8647" w:type="dxa"/>
        <w:tblInd w:w="108" w:type="dxa"/>
        <w:tblLook w:val="04A0" w:firstRow="1" w:lastRow="0" w:firstColumn="1" w:lastColumn="0" w:noHBand="0" w:noVBand="1"/>
      </w:tblPr>
      <w:tblGrid>
        <w:gridCol w:w="5670"/>
        <w:gridCol w:w="1560"/>
        <w:gridCol w:w="1417"/>
      </w:tblGrid>
      <w:tr w:rsidR="00360814" w:rsidRPr="00000B79" w14:paraId="46C8553F" w14:textId="77777777" w:rsidTr="00360814">
        <w:trPr>
          <w:trHeight w:val="323"/>
        </w:trPr>
        <w:tc>
          <w:tcPr>
            <w:tcW w:w="5670" w:type="dxa"/>
            <w:shd w:val="clear" w:color="auto" w:fill="548DD4" w:themeFill="text2" w:themeFillTint="99"/>
            <w:vAlign w:val="center"/>
          </w:tcPr>
          <w:p w14:paraId="6B6BAC65" w14:textId="77777777" w:rsidR="00360814" w:rsidRPr="00000B79" w:rsidRDefault="00360814" w:rsidP="00000B79">
            <w:pPr>
              <w:widowControl w:val="0"/>
              <w:spacing w:line="276" w:lineRule="auto"/>
              <w:rPr>
                <w:rFonts w:asciiTheme="minorHAnsi" w:eastAsia="Times New Roman" w:hAnsiTheme="minorHAnsi" w:cs="Arial"/>
                <w:b/>
                <w:sz w:val="20"/>
                <w:szCs w:val="20"/>
                <w:lang w:eastAsia="en-AU"/>
              </w:rPr>
            </w:pPr>
            <w:r w:rsidRPr="00000B79">
              <w:rPr>
                <w:rFonts w:asciiTheme="minorHAnsi" w:eastAsia="Times New Roman" w:hAnsiTheme="minorHAnsi" w:cs="Arial"/>
                <w:b/>
                <w:sz w:val="20"/>
                <w:szCs w:val="20"/>
                <w:lang w:eastAsia="en-AU"/>
              </w:rPr>
              <w:t>Type of Submission</w:t>
            </w:r>
          </w:p>
        </w:tc>
        <w:tc>
          <w:tcPr>
            <w:tcW w:w="1560" w:type="dxa"/>
            <w:shd w:val="clear" w:color="auto" w:fill="548DD4" w:themeFill="text2" w:themeFillTint="99"/>
            <w:vAlign w:val="center"/>
          </w:tcPr>
          <w:p w14:paraId="1CC1917C" w14:textId="77777777" w:rsidR="00360814" w:rsidRPr="00000B79" w:rsidRDefault="00360814" w:rsidP="00000B79">
            <w:pPr>
              <w:widowControl w:val="0"/>
              <w:spacing w:line="276" w:lineRule="auto"/>
              <w:jc w:val="center"/>
              <w:rPr>
                <w:rFonts w:asciiTheme="minorHAnsi" w:eastAsia="Times New Roman" w:hAnsiTheme="minorHAnsi" w:cs="Arial"/>
                <w:b/>
                <w:sz w:val="20"/>
                <w:szCs w:val="20"/>
                <w:lang w:eastAsia="en-AU"/>
              </w:rPr>
            </w:pPr>
            <w:r w:rsidRPr="00000B79">
              <w:rPr>
                <w:rFonts w:asciiTheme="minorHAnsi" w:eastAsia="Times New Roman" w:hAnsiTheme="minorHAnsi" w:cs="Arial"/>
                <w:b/>
                <w:sz w:val="20"/>
                <w:szCs w:val="20"/>
                <w:lang w:eastAsia="en-AU"/>
              </w:rPr>
              <w:t>Number</w:t>
            </w:r>
          </w:p>
        </w:tc>
        <w:tc>
          <w:tcPr>
            <w:tcW w:w="1417" w:type="dxa"/>
            <w:shd w:val="clear" w:color="auto" w:fill="548DD4" w:themeFill="text2" w:themeFillTint="99"/>
            <w:vAlign w:val="center"/>
          </w:tcPr>
          <w:p w14:paraId="48F70003" w14:textId="77777777" w:rsidR="00360814" w:rsidRPr="00000B79" w:rsidRDefault="00360814" w:rsidP="00000B79">
            <w:pPr>
              <w:widowControl w:val="0"/>
              <w:spacing w:line="276" w:lineRule="auto"/>
              <w:jc w:val="center"/>
              <w:rPr>
                <w:rFonts w:asciiTheme="minorHAnsi" w:eastAsia="Times New Roman" w:hAnsiTheme="minorHAnsi" w:cs="Arial"/>
                <w:b/>
                <w:sz w:val="20"/>
                <w:szCs w:val="20"/>
                <w:lang w:eastAsia="en-AU"/>
              </w:rPr>
            </w:pPr>
            <w:r w:rsidRPr="00000B79">
              <w:rPr>
                <w:rFonts w:asciiTheme="minorHAnsi" w:eastAsia="Times New Roman" w:hAnsiTheme="minorHAnsi" w:cs="Arial"/>
                <w:b/>
                <w:sz w:val="20"/>
                <w:szCs w:val="20"/>
                <w:lang w:eastAsia="en-AU"/>
              </w:rPr>
              <w:t>Percentage</w:t>
            </w:r>
          </w:p>
        </w:tc>
      </w:tr>
      <w:tr w:rsidR="00360814" w:rsidRPr="00000B79" w14:paraId="454C40F6" w14:textId="77777777" w:rsidTr="00360814">
        <w:trPr>
          <w:trHeight w:val="323"/>
        </w:trPr>
        <w:tc>
          <w:tcPr>
            <w:tcW w:w="5670" w:type="dxa"/>
            <w:vAlign w:val="center"/>
          </w:tcPr>
          <w:p w14:paraId="0E7B29C8" w14:textId="77777777" w:rsidR="00360814" w:rsidRPr="00000B79" w:rsidRDefault="00360814" w:rsidP="00000B79">
            <w:pPr>
              <w:widowControl w:val="0"/>
              <w:spacing w:line="276" w:lineRule="auto"/>
              <w:rPr>
                <w:rFonts w:ascii="Arial" w:hAnsi="Arial" w:cs="Arial"/>
                <w:sz w:val="20"/>
                <w:szCs w:val="20"/>
                <w:lang w:val="en-US"/>
              </w:rPr>
            </w:pPr>
            <w:r w:rsidRPr="00000B79">
              <w:rPr>
                <w:rFonts w:ascii="Arial" w:hAnsi="Arial" w:cs="Arial"/>
                <w:sz w:val="20"/>
                <w:szCs w:val="20"/>
                <w:lang w:val="en-US"/>
              </w:rPr>
              <w:t>Submission slip from brochure</w:t>
            </w:r>
          </w:p>
        </w:tc>
        <w:tc>
          <w:tcPr>
            <w:tcW w:w="1560" w:type="dxa"/>
            <w:vAlign w:val="center"/>
          </w:tcPr>
          <w:p w14:paraId="25FE939B" w14:textId="77777777" w:rsidR="00360814" w:rsidRPr="00000B79" w:rsidRDefault="00360814" w:rsidP="00000B79">
            <w:pPr>
              <w:widowControl w:val="0"/>
              <w:spacing w:line="276" w:lineRule="auto"/>
              <w:jc w:val="center"/>
              <w:rPr>
                <w:rFonts w:ascii="Arial" w:hAnsi="Arial" w:cs="Arial"/>
                <w:sz w:val="20"/>
                <w:szCs w:val="20"/>
                <w:lang w:val="en-US"/>
              </w:rPr>
            </w:pPr>
            <w:r w:rsidRPr="00000B79">
              <w:rPr>
                <w:rFonts w:ascii="Arial" w:hAnsi="Arial" w:cs="Arial"/>
                <w:sz w:val="20"/>
                <w:szCs w:val="20"/>
                <w:lang w:val="en-US"/>
              </w:rPr>
              <w:t>4,088</w:t>
            </w:r>
          </w:p>
        </w:tc>
        <w:tc>
          <w:tcPr>
            <w:tcW w:w="1417" w:type="dxa"/>
            <w:vAlign w:val="center"/>
          </w:tcPr>
          <w:p w14:paraId="327172C2" w14:textId="77777777" w:rsidR="00360814" w:rsidRPr="00000B79" w:rsidRDefault="00360814" w:rsidP="00000B79">
            <w:pPr>
              <w:widowControl w:val="0"/>
              <w:spacing w:line="276" w:lineRule="auto"/>
              <w:jc w:val="center"/>
              <w:rPr>
                <w:rFonts w:ascii="Arial" w:hAnsi="Arial" w:cs="Arial"/>
                <w:sz w:val="20"/>
                <w:szCs w:val="20"/>
                <w:lang w:val="en-US"/>
              </w:rPr>
            </w:pPr>
            <w:r w:rsidRPr="00000B79">
              <w:rPr>
                <w:rFonts w:ascii="Arial" w:hAnsi="Arial" w:cs="Arial"/>
                <w:sz w:val="20"/>
                <w:szCs w:val="20"/>
                <w:lang w:val="en-US"/>
              </w:rPr>
              <w:t>94.8%</w:t>
            </w:r>
          </w:p>
        </w:tc>
      </w:tr>
      <w:tr w:rsidR="00360814" w:rsidRPr="00000B79" w14:paraId="13F199AA" w14:textId="77777777" w:rsidTr="00360814">
        <w:trPr>
          <w:trHeight w:val="323"/>
        </w:trPr>
        <w:tc>
          <w:tcPr>
            <w:tcW w:w="5670" w:type="dxa"/>
            <w:vAlign w:val="center"/>
          </w:tcPr>
          <w:p w14:paraId="1964F7F5" w14:textId="77777777" w:rsidR="00360814" w:rsidRPr="00000B79" w:rsidRDefault="00360814" w:rsidP="00000B79">
            <w:pPr>
              <w:widowControl w:val="0"/>
              <w:spacing w:line="276" w:lineRule="auto"/>
              <w:rPr>
                <w:rFonts w:ascii="Arial" w:hAnsi="Arial" w:cs="Arial"/>
                <w:sz w:val="20"/>
                <w:szCs w:val="20"/>
                <w:lang w:val="en-US"/>
              </w:rPr>
            </w:pPr>
            <w:r w:rsidRPr="00000B79">
              <w:rPr>
                <w:rFonts w:ascii="Arial" w:hAnsi="Arial" w:cs="Arial"/>
                <w:sz w:val="20"/>
                <w:szCs w:val="20"/>
                <w:lang w:val="en-US"/>
              </w:rPr>
              <w:t>Online submission form</w:t>
            </w:r>
          </w:p>
        </w:tc>
        <w:tc>
          <w:tcPr>
            <w:tcW w:w="1560" w:type="dxa"/>
            <w:vAlign w:val="center"/>
          </w:tcPr>
          <w:p w14:paraId="51893CA2" w14:textId="77777777" w:rsidR="00360814" w:rsidRPr="00000B79" w:rsidRDefault="00360814" w:rsidP="00000B79">
            <w:pPr>
              <w:widowControl w:val="0"/>
              <w:spacing w:line="276" w:lineRule="auto"/>
              <w:jc w:val="center"/>
              <w:rPr>
                <w:rFonts w:ascii="Arial" w:hAnsi="Arial" w:cs="Arial"/>
                <w:sz w:val="20"/>
                <w:szCs w:val="20"/>
                <w:lang w:val="en-US"/>
              </w:rPr>
            </w:pPr>
            <w:r w:rsidRPr="00000B79">
              <w:rPr>
                <w:rFonts w:ascii="Arial" w:hAnsi="Arial" w:cs="Arial"/>
                <w:sz w:val="20"/>
                <w:szCs w:val="20"/>
                <w:lang w:val="en-US"/>
              </w:rPr>
              <w:t>81</w:t>
            </w:r>
          </w:p>
        </w:tc>
        <w:tc>
          <w:tcPr>
            <w:tcW w:w="1417" w:type="dxa"/>
            <w:vAlign w:val="center"/>
          </w:tcPr>
          <w:p w14:paraId="18E7E965" w14:textId="77777777" w:rsidR="00360814" w:rsidRPr="00000B79" w:rsidRDefault="00360814" w:rsidP="00000B79">
            <w:pPr>
              <w:widowControl w:val="0"/>
              <w:spacing w:line="276" w:lineRule="auto"/>
              <w:jc w:val="center"/>
              <w:rPr>
                <w:rFonts w:ascii="Arial" w:hAnsi="Arial" w:cs="Arial"/>
                <w:sz w:val="20"/>
                <w:szCs w:val="20"/>
                <w:lang w:val="en-US"/>
              </w:rPr>
            </w:pPr>
            <w:r w:rsidRPr="00000B79">
              <w:rPr>
                <w:rFonts w:ascii="Arial" w:hAnsi="Arial" w:cs="Arial"/>
                <w:sz w:val="20"/>
                <w:szCs w:val="20"/>
                <w:lang w:val="en-US"/>
              </w:rPr>
              <w:t>1.9%</w:t>
            </w:r>
          </w:p>
        </w:tc>
      </w:tr>
      <w:tr w:rsidR="00360814" w:rsidRPr="00000B79" w14:paraId="1D9E90FD" w14:textId="77777777" w:rsidTr="00360814">
        <w:trPr>
          <w:trHeight w:val="323"/>
        </w:trPr>
        <w:tc>
          <w:tcPr>
            <w:tcW w:w="5670" w:type="dxa"/>
            <w:vAlign w:val="center"/>
          </w:tcPr>
          <w:p w14:paraId="36A0DDA8" w14:textId="77777777" w:rsidR="00360814" w:rsidRPr="00000B79" w:rsidRDefault="00360814" w:rsidP="00000B79">
            <w:pPr>
              <w:widowControl w:val="0"/>
              <w:spacing w:line="276" w:lineRule="auto"/>
              <w:rPr>
                <w:rFonts w:ascii="Arial" w:hAnsi="Arial" w:cs="Arial"/>
                <w:sz w:val="20"/>
                <w:szCs w:val="20"/>
                <w:lang w:val="en-US"/>
              </w:rPr>
            </w:pPr>
            <w:r w:rsidRPr="00000B79">
              <w:rPr>
                <w:rFonts w:ascii="Arial" w:hAnsi="Arial" w:cs="Arial"/>
                <w:sz w:val="20"/>
                <w:szCs w:val="20"/>
                <w:lang w:val="en-US"/>
              </w:rPr>
              <w:t>Submission forms (downloaded of from library/front counter)</w:t>
            </w:r>
          </w:p>
        </w:tc>
        <w:tc>
          <w:tcPr>
            <w:tcW w:w="1560" w:type="dxa"/>
            <w:vAlign w:val="center"/>
          </w:tcPr>
          <w:p w14:paraId="54645A22" w14:textId="77777777" w:rsidR="00360814" w:rsidRPr="00000B79" w:rsidRDefault="00360814" w:rsidP="00000B79">
            <w:pPr>
              <w:widowControl w:val="0"/>
              <w:spacing w:line="276" w:lineRule="auto"/>
              <w:jc w:val="center"/>
              <w:rPr>
                <w:rFonts w:ascii="Arial" w:hAnsi="Arial" w:cs="Arial"/>
                <w:sz w:val="20"/>
                <w:szCs w:val="20"/>
                <w:lang w:val="en-US"/>
              </w:rPr>
            </w:pPr>
            <w:r w:rsidRPr="00000B79">
              <w:rPr>
                <w:rFonts w:ascii="Arial" w:hAnsi="Arial" w:cs="Arial"/>
                <w:sz w:val="20"/>
                <w:szCs w:val="20"/>
                <w:lang w:val="en-US"/>
              </w:rPr>
              <w:t>50</w:t>
            </w:r>
          </w:p>
        </w:tc>
        <w:tc>
          <w:tcPr>
            <w:tcW w:w="1417" w:type="dxa"/>
            <w:vAlign w:val="center"/>
          </w:tcPr>
          <w:p w14:paraId="28E2BDF8" w14:textId="77777777" w:rsidR="00360814" w:rsidRPr="00000B79" w:rsidRDefault="00360814" w:rsidP="00000B79">
            <w:pPr>
              <w:widowControl w:val="0"/>
              <w:spacing w:line="276" w:lineRule="auto"/>
              <w:jc w:val="center"/>
              <w:rPr>
                <w:rFonts w:ascii="Arial" w:hAnsi="Arial" w:cs="Arial"/>
                <w:sz w:val="20"/>
                <w:szCs w:val="20"/>
                <w:lang w:val="en-US"/>
              </w:rPr>
            </w:pPr>
            <w:r w:rsidRPr="00000B79">
              <w:rPr>
                <w:rFonts w:ascii="Arial" w:hAnsi="Arial" w:cs="Arial"/>
                <w:sz w:val="20"/>
                <w:szCs w:val="20"/>
                <w:lang w:val="en-US"/>
              </w:rPr>
              <w:t>1.2%</w:t>
            </w:r>
          </w:p>
        </w:tc>
      </w:tr>
      <w:tr w:rsidR="00360814" w:rsidRPr="00000B79" w14:paraId="7B79DA2E" w14:textId="77777777" w:rsidTr="00360814">
        <w:trPr>
          <w:trHeight w:val="303"/>
        </w:trPr>
        <w:tc>
          <w:tcPr>
            <w:tcW w:w="5670" w:type="dxa"/>
            <w:vAlign w:val="center"/>
          </w:tcPr>
          <w:p w14:paraId="672CEEBC" w14:textId="77777777" w:rsidR="00360814" w:rsidRPr="00000B79" w:rsidRDefault="00360814" w:rsidP="00000B79">
            <w:pPr>
              <w:widowControl w:val="0"/>
              <w:spacing w:line="276" w:lineRule="auto"/>
              <w:rPr>
                <w:rFonts w:ascii="Arial" w:hAnsi="Arial" w:cs="Arial"/>
                <w:sz w:val="20"/>
                <w:szCs w:val="20"/>
                <w:lang w:val="en-US"/>
              </w:rPr>
            </w:pPr>
            <w:r w:rsidRPr="00000B79">
              <w:rPr>
                <w:rFonts w:ascii="Arial" w:hAnsi="Arial" w:cs="Arial"/>
                <w:sz w:val="20"/>
                <w:szCs w:val="20"/>
                <w:lang w:val="en-US"/>
              </w:rPr>
              <w:t>Letters</w:t>
            </w:r>
          </w:p>
        </w:tc>
        <w:tc>
          <w:tcPr>
            <w:tcW w:w="1560" w:type="dxa"/>
            <w:vAlign w:val="center"/>
          </w:tcPr>
          <w:p w14:paraId="41CF7E4F" w14:textId="77777777" w:rsidR="00360814" w:rsidRPr="00000B79" w:rsidRDefault="00360814" w:rsidP="00000B79">
            <w:pPr>
              <w:widowControl w:val="0"/>
              <w:spacing w:line="276" w:lineRule="auto"/>
              <w:jc w:val="center"/>
              <w:rPr>
                <w:rFonts w:ascii="Arial" w:hAnsi="Arial" w:cs="Arial"/>
                <w:sz w:val="20"/>
                <w:szCs w:val="20"/>
                <w:lang w:val="en-US"/>
              </w:rPr>
            </w:pPr>
            <w:r w:rsidRPr="00000B79">
              <w:rPr>
                <w:rFonts w:ascii="Arial" w:hAnsi="Arial" w:cs="Arial"/>
                <w:sz w:val="20"/>
                <w:szCs w:val="20"/>
                <w:lang w:val="en-US"/>
              </w:rPr>
              <w:t>40</w:t>
            </w:r>
          </w:p>
        </w:tc>
        <w:tc>
          <w:tcPr>
            <w:tcW w:w="1417" w:type="dxa"/>
            <w:vAlign w:val="center"/>
          </w:tcPr>
          <w:p w14:paraId="502D78A3" w14:textId="77777777" w:rsidR="00360814" w:rsidRPr="00000B79" w:rsidRDefault="00360814" w:rsidP="00000B79">
            <w:pPr>
              <w:widowControl w:val="0"/>
              <w:spacing w:line="276" w:lineRule="auto"/>
              <w:jc w:val="center"/>
              <w:rPr>
                <w:rFonts w:ascii="Arial" w:hAnsi="Arial" w:cs="Arial"/>
                <w:sz w:val="20"/>
                <w:szCs w:val="20"/>
                <w:lang w:val="en-US"/>
              </w:rPr>
            </w:pPr>
            <w:r w:rsidRPr="00000B79">
              <w:rPr>
                <w:rFonts w:ascii="Arial" w:hAnsi="Arial" w:cs="Arial"/>
                <w:sz w:val="20"/>
                <w:szCs w:val="20"/>
                <w:lang w:val="en-US"/>
              </w:rPr>
              <w:t>0.9%</w:t>
            </w:r>
          </w:p>
        </w:tc>
      </w:tr>
      <w:tr w:rsidR="00360814" w:rsidRPr="00000B79" w14:paraId="6FC1C608" w14:textId="77777777" w:rsidTr="00360814">
        <w:trPr>
          <w:trHeight w:val="323"/>
        </w:trPr>
        <w:tc>
          <w:tcPr>
            <w:tcW w:w="5670" w:type="dxa"/>
            <w:vAlign w:val="center"/>
          </w:tcPr>
          <w:p w14:paraId="0CB4162B" w14:textId="77777777" w:rsidR="00360814" w:rsidRPr="00000B79" w:rsidRDefault="00360814" w:rsidP="00000B79">
            <w:pPr>
              <w:widowControl w:val="0"/>
              <w:spacing w:line="276" w:lineRule="auto"/>
              <w:rPr>
                <w:rFonts w:ascii="Arial" w:hAnsi="Arial" w:cs="Arial"/>
                <w:sz w:val="20"/>
                <w:szCs w:val="20"/>
                <w:lang w:val="en-US"/>
              </w:rPr>
            </w:pPr>
            <w:r w:rsidRPr="00000B79">
              <w:rPr>
                <w:rFonts w:ascii="Arial" w:hAnsi="Arial" w:cs="Arial"/>
                <w:sz w:val="20"/>
                <w:szCs w:val="20"/>
                <w:lang w:val="en-US"/>
              </w:rPr>
              <w:t>Emails</w:t>
            </w:r>
          </w:p>
        </w:tc>
        <w:tc>
          <w:tcPr>
            <w:tcW w:w="1560" w:type="dxa"/>
            <w:vAlign w:val="center"/>
          </w:tcPr>
          <w:p w14:paraId="73C3220C" w14:textId="77777777" w:rsidR="00360814" w:rsidRPr="00000B79" w:rsidRDefault="00360814" w:rsidP="00000B79">
            <w:pPr>
              <w:widowControl w:val="0"/>
              <w:spacing w:line="276" w:lineRule="auto"/>
              <w:jc w:val="center"/>
              <w:rPr>
                <w:rFonts w:ascii="Arial" w:hAnsi="Arial" w:cs="Arial"/>
                <w:sz w:val="20"/>
                <w:szCs w:val="20"/>
                <w:lang w:val="en-US"/>
              </w:rPr>
            </w:pPr>
            <w:r w:rsidRPr="00000B79">
              <w:rPr>
                <w:rFonts w:ascii="Arial" w:hAnsi="Arial" w:cs="Arial"/>
                <w:sz w:val="20"/>
                <w:szCs w:val="20"/>
                <w:lang w:val="en-US"/>
              </w:rPr>
              <w:t>28</w:t>
            </w:r>
          </w:p>
        </w:tc>
        <w:tc>
          <w:tcPr>
            <w:tcW w:w="1417" w:type="dxa"/>
            <w:vAlign w:val="center"/>
          </w:tcPr>
          <w:p w14:paraId="1FFE0991" w14:textId="77777777" w:rsidR="00360814" w:rsidRPr="00000B79" w:rsidRDefault="00360814" w:rsidP="00000B79">
            <w:pPr>
              <w:widowControl w:val="0"/>
              <w:spacing w:line="276" w:lineRule="auto"/>
              <w:jc w:val="center"/>
              <w:rPr>
                <w:rFonts w:ascii="Arial" w:hAnsi="Arial" w:cs="Arial"/>
                <w:sz w:val="20"/>
                <w:szCs w:val="20"/>
                <w:lang w:val="en-US"/>
              </w:rPr>
            </w:pPr>
            <w:r w:rsidRPr="00000B79">
              <w:rPr>
                <w:rFonts w:ascii="Arial" w:hAnsi="Arial" w:cs="Arial"/>
                <w:sz w:val="20"/>
                <w:szCs w:val="20"/>
                <w:lang w:val="en-US"/>
              </w:rPr>
              <w:t>0.6%</w:t>
            </w:r>
          </w:p>
        </w:tc>
      </w:tr>
      <w:tr w:rsidR="00360814" w:rsidRPr="00000B79" w14:paraId="73432364" w14:textId="77777777" w:rsidTr="00360814">
        <w:trPr>
          <w:trHeight w:val="323"/>
        </w:trPr>
        <w:tc>
          <w:tcPr>
            <w:tcW w:w="5670" w:type="dxa"/>
            <w:vAlign w:val="center"/>
          </w:tcPr>
          <w:p w14:paraId="77D7103F" w14:textId="77777777" w:rsidR="00360814" w:rsidRPr="00000B79" w:rsidRDefault="00360814" w:rsidP="00000B79">
            <w:pPr>
              <w:widowControl w:val="0"/>
              <w:spacing w:line="276" w:lineRule="auto"/>
              <w:rPr>
                <w:rFonts w:ascii="Arial" w:hAnsi="Arial" w:cs="Arial"/>
                <w:sz w:val="20"/>
                <w:szCs w:val="20"/>
                <w:lang w:val="en-US"/>
              </w:rPr>
            </w:pPr>
            <w:r w:rsidRPr="00000B79">
              <w:rPr>
                <w:rFonts w:ascii="Arial" w:hAnsi="Arial" w:cs="Arial"/>
                <w:sz w:val="20"/>
                <w:szCs w:val="20"/>
                <w:lang w:val="en-US"/>
              </w:rPr>
              <w:t>Photocopied slip from brochure</w:t>
            </w:r>
          </w:p>
        </w:tc>
        <w:tc>
          <w:tcPr>
            <w:tcW w:w="1560" w:type="dxa"/>
            <w:vAlign w:val="center"/>
          </w:tcPr>
          <w:p w14:paraId="10973DF2" w14:textId="77777777" w:rsidR="00360814" w:rsidRPr="00000B79" w:rsidRDefault="00360814" w:rsidP="00000B79">
            <w:pPr>
              <w:widowControl w:val="0"/>
              <w:spacing w:line="276" w:lineRule="auto"/>
              <w:jc w:val="center"/>
              <w:rPr>
                <w:rFonts w:ascii="Arial" w:hAnsi="Arial" w:cs="Arial"/>
                <w:sz w:val="20"/>
                <w:szCs w:val="20"/>
                <w:lang w:val="en-US"/>
              </w:rPr>
            </w:pPr>
            <w:r w:rsidRPr="00000B79">
              <w:rPr>
                <w:rFonts w:ascii="Arial" w:hAnsi="Arial" w:cs="Arial"/>
                <w:sz w:val="20"/>
                <w:szCs w:val="20"/>
                <w:lang w:val="en-US"/>
              </w:rPr>
              <w:t>25</w:t>
            </w:r>
          </w:p>
        </w:tc>
        <w:tc>
          <w:tcPr>
            <w:tcW w:w="1417" w:type="dxa"/>
            <w:vAlign w:val="center"/>
          </w:tcPr>
          <w:p w14:paraId="15302689" w14:textId="77777777" w:rsidR="00360814" w:rsidRPr="00000B79" w:rsidRDefault="00360814" w:rsidP="00000B79">
            <w:pPr>
              <w:widowControl w:val="0"/>
              <w:spacing w:line="276" w:lineRule="auto"/>
              <w:jc w:val="center"/>
              <w:rPr>
                <w:rFonts w:ascii="Arial" w:hAnsi="Arial" w:cs="Arial"/>
                <w:sz w:val="20"/>
                <w:szCs w:val="20"/>
                <w:lang w:val="en-US"/>
              </w:rPr>
            </w:pPr>
            <w:r w:rsidRPr="00000B79">
              <w:rPr>
                <w:rFonts w:ascii="Arial" w:hAnsi="Arial" w:cs="Arial"/>
                <w:sz w:val="20"/>
                <w:szCs w:val="20"/>
                <w:lang w:val="en-US"/>
              </w:rPr>
              <w:t>0.6%</w:t>
            </w:r>
          </w:p>
        </w:tc>
      </w:tr>
      <w:tr w:rsidR="00360814" w:rsidRPr="00000B79" w14:paraId="59B619AC" w14:textId="77777777" w:rsidTr="00360814">
        <w:trPr>
          <w:trHeight w:val="323"/>
        </w:trPr>
        <w:tc>
          <w:tcPr>
            <w:tcW w:w="5670" w:type="dxa"/>
            <w:vAlign w:val="center"/>
          </w:tcPr>
          <w:p w14:paraId="71B1BA6C" w14:textId="77777777" w:rsidR="00360814" w:rsidRPr="00000B79" w:rsidRDefault="00360814" w:rsidP="00000B79">
            <w:pPr>
              <w:widowControl w:val="0"/>
              <w:spacing w:line="276" w:lineRule="auto"/>
              <w:rPr>
                <w:rFonts w:ascii="Arial" w:hAnsi="Arial" w:cs="Arial"/>
                <w:sz w:val="20"/>
                <w:szCs w:val="20"/>
                <w:lang w:val="en-US"/>
              </w:rPr>
            </w:pPr>
            <w:r w:rsidRPr="00000B79">
              <w:rPr>
                <w:rFonts w:ascii="Arial" w:hAnsi="Arial" w:cs="Arial"/>
                <w:sz w:val="20"/>
                <w:szCs w:val="20"/>
                <w:lang w:val="en-US"/>
              </w:rPr>
              <w:t>Total valid submissions</w:t>
            </w:r>
          </w:p>
        </w:tc>
        <w:tc>
          <w:tcPr>
            <w:tcW w:w="1560" w:type="dxa"/>
            <w:vAlign w:val="center"/>
          </w:tcPr>
          <w:p w14:paraId="4A49AE41" w14:textId="77777777" w:rsidR="00360814" w:rsidRPr="00000B79" w:rsidRDefault="00360814" w:rsidP="00000B79">
            <w:pPr>
              <w:widowControl w:val="0"/>
              <w:spacing w:line="276" w:lineRule="auto"/>
              <w:jc w:val="center"/>
              <w:rPr>
                <w:rFonts w:ascii="Arial" w:hAnsi="Arial" w:cs="Arial"/>
                <w:sz w:val="20"/>
                <w:szCs w:val="20"/>
                <w:lang w:val="en-US"/>
              </w:rPr>
            </w:pPr>
            <w:r w:rsidRPr="00000B79">
              <w:rPr>
                <w:rFonts w:ascii="Arial" w:hAnsi="Arial" w:cs="Arial"/>
                <w:sz w:val="20"/>
                <w:szCs w:val="20"/>
                <w:lang w:val="en-US"/>
              </w:rPr>
              <w:t>4,312</w:t>
            </w:r>
          </w:p>
        </w:tc>
        <w:tc>
          <w:tcPr>
            <w:tcW w:w="1417" w:type="dxa"/>
            <w:vAlign w:val="center"/>
          </w:tcPr>
          <w:p w14:paraId="07AED88C" w14:textId="77777777" w:rsidR="00360814" w:rsidRPr="00000B79" w:rsidRDefault="00360814" w:rsidP="00000B79">
            <w:pPr>
              <w:widowControl w:val="0"/>
              <w:spacing w:line="276" w:lineRule="auto"/>
              <w:jc w:val="center"/>
              <w:rPr>
                <w:rFonts w:ascii="Arial" w:hAnsi="Arial" w:cs="Arial"/>
                <w:sz w:val="20"/>
                <w:szCs w:val="20"/>
                <w:lang w:val="en-US"/>
              </w:rPr>
            </w:pPr>
            <w:r w:rsidRPr="00000B79">
              <w:rPr>
                <w:rFonts w:ascii="Arial" w:hAnsi="Arial" w:cs="Arial"/>
                <w:sz w:val="20"/>
                <w:szCs w:val="20"/>
                <w:lang w:val="en-US"/>
              </w:rPr>
              <w:t>100.0%</w:t>
            </w:r>
          </w:p>
        </w:tc>
      </w:tr>
    </w:tbl>
    <w:p w14:paraId="6C969ECF" w14:textId="77777777" w:rsidR="00360814" w:rsidRPr="00000B79" w:rsidRDefault="00360814" w:rsidP="00000B79">
      <w:pPr>
        <w:widowControl w:val="0"/>
        <w:spacing w:line="276" w:lineRule="auto"/>
        <w:ind w:right="-1"/>
        <w:jc w:val="both"/>
        <w:rPr>
          <w:rFonts w:ascii="Arial" w:eastAsia="Arial" w:hAnsi="Arial" w:cs="Arial"/>
          <w:sz w:val="20"/>
          <w:szCs w:val="20"/>
          <w:lang w:val="en-US" w:eastAsia="en-US"/>
        </w:rPr>
      </w:pPr>
    </w:p>
    <w:p w14:paraId="2FA5888C" w14:textId="77777777" w:rsidR="00FD7160" w:rsidRPr="00000B79" w:rsidRDefault="00FD7160" w:rsidP="00000B79">
      <w:pPr>
        <w:widowControl w:val="0"/>
        <w:spacing w:line="276" w:lineRule="auto"/>
        <w:ind w:right="-1"/>
        <w:jc w:val="both"/>
        <w:rPr>
          <w:rFonts w:ascii="Arial" w:eastAsia="Arial" w:hAnsi="Arial" w:cs="Arial"/>
          <w:sz w:val="20"/>
          <w:szCs w:val="20"/>
          <w:lang w:val="en-US" w:eastAsia="en-US"/>
        </w:rPr>
      </w:pPr>
      <w:r w:rsidRPr="00000B79">
        <w:rPr>
          <w:rFonts w:ascii="Arial" w:eastAsia="Arial" w:hAnsi="Arial" w:cs="Arial"/>
          <w:sz w:val="20"/>
          <w:szCs w:val="20"/>
          <w:lang w:val="en-US" w:eastAsia="en-US"/>
        </w:rPr>
        <w:t xml:space="preserve">As shown in the table below, of the total valid submissions received, 54.6% were in support of Option 1: Improve Service Levels with almost four out of every five submissions (77.9%), being in support of either Option 1 or Option 2. </w:t>
      </w:r>
    </w:p>
    <w:p w14:paraId="04D47A78" w14:textId="175547A8" w:rsidR="00360814" w:rsidRPr="00000B79" w:rsidRDefault="00360814" w:rsidP="00000B79">
      <w:pPr>
        <w:spacing w:line="276" w:lineRule="auto"/>
        <w:rPr>
          <w:rFonts w:ascii="Arial" w:eastAsia="Arial" w:hAnsi="Arial" w:cs="Arial"/>
          <w:sz w:val="20"/>
          <w:szCs w:val="20"/>
          <w:lang w:val="en-US" w:eastAsia="en-US"/>
        </w:rPr>
      </w:pPr>
    </w:p>
    <w:p w14:paraId="116B9498" w14:textId="12097A83" w:rsidR="00E63E20" w:rsidRPr="00AD2D16" w:rsidRDefault="00047297" w:rsidP="00E63E20">
      <w:pPr>
        <w:ind w:right="4542"/>
        <w:rPr>
          <w:rFonts w:ascii="Arial" w:hAnsi="Arial" w:cs="Arial"/>
          <w:b/>
          <w:sz w:val="18"/>
          <w:szCs w:val="18"/>
        </w:rPr>
      </w:pPr>
      <w:r w:rsidRPr="00AD2D16">
        <w:rPr>
          <w:rFonts w:ascii="Arial" w:hAnsi="Arial" w:cs="Arial"/>
          <w:b/>
          <w:noProof/>
          <w:sz w:val="18"/>
          <w:szCs w:val="18"/>
        </w:rPr>
        <w:drawing>
          <wp:anchor distT="0" distB="0" distL="114300" distR="114300" simplePos="0" relativeHeight="251871232" behindDoc="1" locked="0" layoutInCell="1" allowOverlap="1" wp14:anchorId="7BF84978" wp14:editId="459B4F4B">
            <wp:simplePos x="0" y="0"/>
            <wp:positionH relativeFrom="column">
              <wp:posOffset>2630170</wp:posOffset>
            </wp:positionH>
            <wp:positionV relativeFrom="paragraph">
              <wp:posOffset>133985</wp:posOffset>
            </wp:positionV>
            <wp:extent cx="3441065" cy="1598295"/>
            <wp:effectExtent l="0" t="0" r="0" b="0"/>
            <wp:wrapNone/>
            <wp:docPr id="2071" name="Chart 207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page">
              <wp14:pctWidth>0</wp14:pctWidth>
            </wp14:sizeRelH>
            <wp14:sizeRelV relativeFrom="page">
              <wp14:pctHeight>0</wp14:pctHeight>
            </wp14:sizeRelV>
          </wp:anchor>
        </w:drawing>
      </w:r>
      <w:r w:rsidR="00E63E20" w:rsidRPr="00AD2D16">
        <w:rPr>
          <w:rFonts w:ascii="Arial" w:hAnsi="Arial" w:cs="Arial"/>
          <w:b/>
          <w:sz w:val="18"/>
          <w:szCs w:val="18"/>
        </w:rPr>
        <w:t xml:space="preserve">Table </w:t>
      </w:r>
      <w:r w:rsidR="00CA6AB3" w:rsidRPr="00AD2D16">
        <w:rPr>
          <w:rFonts w:ascii="Arial" w:hAnsi="Arial" w:cs="Arial"/>
          <w:b/>
          <w:sz w:val="18"/>
          <w:szCs w:val="18"/>
        </w:rPr>
        <w:t>4.</w:t>
      </w:r>
      <w:r w:rsidR="00360814" w:rsidRPr="00AD2D16">
        <w:rPr>
          <w:rFonts w:ascii="Arial" w:hAnsi="Arial" w:cs="Arial"/>
          <w:b/>
          <w:sz w:val="18"/>
          <w:szCs w:val="18"/>
        </w:rPr>
        <w:t>7</w:t>
      </w:r>
      <w:r w:rsidR="00E63E20" w:rsidRPr="00AD2D16">
        <w:rPr>
          <w:rFonts w:ascii="Arial" w:hAnsi="Arial" w:cs="Arial"/>
          <w:b/>
          <w:sz w:val="18"/>
          <w:szCs w:val="18"/>
        </w:rPr>
        <w:t xml:space="preserve">: Preferred option  </w:t>
      </w:r>
    </w:p>
    <w:tbl>
      <w:tblPr>
        <w:tblpPr w:leftFromText="180" w:rightFromText="180" w:vertAnchor="text" w:tblpX="148" w:tblpY="1"/>
        <w:tblOverlap w:val="never"/>
        <w:tblW w:w="0" w:type="auto"/>
        <w:tblLayout w:type="fixed"/>
        <w:tblCellMar>
          <w:left w:w="0" w:type="dxa"/>
          <w:right w:w="0" w:type="dxa"/>
        </w:tblCellMar>
        <w:tblLook w:val="04A0" w:firstRow="1" w:lastRow="0" w:firstColumn="1" w:lastColumn="0" w:noHBand="0" w:noVBand="1"/>
      </w:tblPr>
      <w:tblGrid>
        <w:gridCol w:w="2161"/>
        <w:gridCol w:w="1309"/>
        <w:gridCol w:w="1560"/>
      </w:tblGrid>
      <w:tr w:rsidR="00E63E20" w:rsidRPr="00E63E20" w14:paraId="644F3A88" w14:textId="77777777" w:rsidTr="0067349D">
        <w:trPr>
          <w:trHeight w:val="368"/>
        </w:trPr>
        <w:tc>
          <w:tcPr>
            <w:tcW w:w="2161" w:type="dxa"/>
            <w:tcBorders>
              <w:top w:val="single" w:sz="8" w:space="0" w:color="auto"/>
              <w:left w:val="single" w:sz="8" w:space="0" w:color="auto"/>
              <w:bottom w:val="single" w:sz="8" w:space="0" w:color="auto"/>
              <w:right w:val="single" w:sz="8" w:space="0" w:color="auto"/>
            </w:tcBorders>
            <w:shd w:val="clear" w:color="auto" w:fill="548DD4" w:themeFill="text2" w:themeFillTint="99"/>
            <w:tcMar>
              <w:top w:w="0" w:type="dxa"/>
              <w:left w:w="108" w:type="dxa"/>
              <w:bottom w:w="0" w:type="dxa"/>
              <w:right w:w="108" w:type="dxa"/>
            </w:tcMar>
            <w:vAlign w:val="center"/>
          </w:tcPr>
          <w:p w14:paraId="67303ACC" w14:textId="77777777" w:rsidR="00E63E20" w:rsidRPr="00E63E20" w:rsidRDefault="00E63E20" w:rsidP="00E63E20">
            <w:pPr>
              <w:widowControl w:val="0"/>
              <w:rPr>
                <w:rFonts w:ascii="Arial" w:eastAsiaTheme="minorHAnsi" w:hAnsi="Arial" w:cs="Arial"/>
                <w:b/>
                <w:color w:val="FFFFFF" w:themeColor="background1"/>
                <w:sz w:val="20"/>
                <w:szCs w:val="20"/>
                <w:lang w:val="en-US" w:eastAsia="en-US"/>
              </w:rPr>
            </w:pPr>
            <w:r w:rsidRPr="00E63E20">
              <w:rPr>
                <w:rFonts w:ascii="Arial" w:eastAsiaTheme="minorHAnsi" w:hAnsi="Arial" w:cs="Arial"/>
                <w:b/>
                <w:color w:val="FFFFFF" w:themeColor="background1"/>
                <w:sz w:val="20"/>
                <w:szCs w:val="20"/>
                <w:lang w:val="en-US" w:eastAsia="en-US"/>
              </w:rPr>
              <w:t>Preferred Option</w:t>
            </w:r>
          </w:p>
        </w:tc>
        <w:tc>
          <w:tcPr>
            <w:tcW w:w="1309" w:type="dxa"/>
            <w:tcBorders>
              <w:top w:val="single" w:sz="8" w:space="0" w:color="auto"/>
              <w:left w:val="nil"/>
              <w:bottom w:val="single" w:sz="8" w:space="0" w:color="auto"/>
              <w:right w:val="single" w:sz="8" w:space="0" w:color="auto"/>
            </w:tcBorders>
            <w:shd w:val="clear" w:color="auto" w:fill="548DD4" w:themeFill="text2" w:themeFillTint="99"/>
            <w:tcMar>
              <w:top w:w="0" w:type="dxa"/>
              <w:left w:w="108" w:type="dxa"/>
              <w:bottom w:w="0" w:type="dxa"/>
              <w:right w:w="108" w:type="dxa"/>
            </w:tcMar>
            <w:vAlign w:val="center"/>
          </w:tcPr>
          <w:p w14:paraId="404C8B10" w14:textId="77777777" w:rsidR="00E63E20" w:rsidRPr="00E63E20" w:rsidRDefault="00E63E20" w:rsidP="00E63E20">
            <w:pPr>
              <w:widowControl w:val="0"/>
              <w:tabs>
                <w:tab w:val="right" w:pos="1059"/>
              </w:tabs>
              <w:jc w:val="center"/>
              <w:rPr>
                <w:rFonts w:ascii="Arial" w:eastAsiaTheme="minorHAnsi" w:hAnsi="Arial" w:cs="Arial"/>
                <w:b/>
                <w:color w:val="FFFFFF" w:themeColor="background1"/>
                <w:sz w:val="20"/>
                <w:szCs w:val="20"/>
                <w:lang w:val="en-US" w:eastAsia="en-US"/>
              </w:rPr>
            </w:pPr>
            <w:r w:rsidRPr="00E63E20">
              <w:rPr>
                <w:rFonts w:ascii="Arial" w:eastAsiaTheme="minorHAnsi" w:hAnsi="Arial" w:cs="Arial"/>
                <w:b/>
                <w:color w:val="FFFFFF" w:themeColor="background1"/>
                <w:sz w:val="20"/>
                <w:szCs w:val="20"/>
                <w:lang w:val="en-US" w:eastAsia="en-US"/>
              </w:rPr>
              <w:t>No.</w:t>
            </w:r>
          </w:p>
        </w:tc>
        <w:tc>
          <w:tcPr>
            <w:tcW w:w="1560" w:type="dxa"/>
            <w:tcBorders>
              <w:top w:val="single" w:sz="8" w:space="0" w:color="auto"/>
              <w:left w:val="nil"/>
              <w:bottom w:val="single" w:sz="8" w:space="0" w:color="auto"/>
              <w:right w:val="single" w:sz="8" w:space="0" w:color="auto"/>
            </w:tcBorders>
            <w:shd w:val="clear" w:color="auto" w:fill="548DD4" w:themeFill="text2" w:themeFillTint="99"/>
            <w:tcMar>
              <w:top w:w="0" w:type="dxa"/>
              <w:left w:w="108" w:type="dxa"/>
              <w:bottom w:w="0" w:type="dxa"/>
              <w:right w:w="108" w:type="dxa"/>
            </w:tcMar>
            <w:vAlign w:val="center"/>
          </w:tcPr>
          <w:p w14:paraId="537FAE51" w14:textId="77777777" w:rsidR="00E63E20" w:rsidRPr="00E63E20" w:rsidRDefault="00E63E20" w:rsidP="00E63E20">
            <w:pPr>
              <w:widowControl w:val="0"/>
              <w:jc w:val="center"/>
              <w:rPr>
                <w:rFonts w:ascii="Arial" w:eastAsiaTheme="minorHAnsi" w:hAnsi="Arial" w:cs="Arial"/>
                <w:b/>
                <w:color w:val="FFFFFF" w:themeColor="background1"/>
                <w:sz w:val="20"/>
                <w:szCs w:val="20"/>
                <w:lang w:val="en-US" w:eastAsia="en-US"/>
              </w:rPr>
            </w:pPr>
            <w:r w:rsidRPr="00E63E20">
              <w:rPr>
                <w:rFonts w:ascii="Arial" w:eastAsiaTheme="minorHAnsi" w:hAnsi="Arial" w:cs="Arial"/>
                <w:b/>
                <w:color w:val="FFFFFF" w:themeColor="background1"/>
                <w:sz w:val="20"/>
                <w:szCs w:val="20"/>
                <w:lang w:val="en-US" w:eastAsia="en-US"/>
              </w:rPr>
              <w:t>%</w:t>
            </w:r>
          </w:p>
        </w:tc>
      </w:tr>
      <w:tr w:rsidR="00E63E20" w:rsidRPr="00E63E20" w14:paraId="500F2015" w14:textId="77777777" w:rsidTr="0067349D">
        <w:trPr>
          <w:trHeight w:val="368"/>
        </w:trPr>
        <w:tc>
          <w:tcPr>
            <w:tcW w:w="216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4E855CD4" w14:textId="77777777" w:rsidR="00E63E20" w:rsidRPr="00E63E20" w:rsidRDefault="00E63E20" w:rsidP="00E63E20">
            <w:pPr>
              <w:widowControl w:val="0"/>
              <w:rPr>
                <w:rFonts w:ascii="Arial" w:eastAsiaTheme="minorHAnsi" w:hAnsi="Arial" w:cs="Arial"/>
                <w:color w:val="000000" w:themeColor="text1"/>
                <w:sz w:val="20"/>
                <w:szCs w:val="20"/>
                <w:lang w:val="en-US" w:eastAsia="en-US"/>
              </w:rPr>
            </w:pPr>
            <w:r w:rsidRPr="00E63E20">
              <w:rPr>
                <w:rFonts w:ascii="Arial" w:eastAsiaTheme="minorHAnsi" w:hAnsi="Arial" w:cs="Arial"/>
                <w:color w:val="000000" w:themeColor="text1"/>
                <w:sz w:val="20"/>
                <w:szCs w:val="20"/>
                <w:lang w:val="en-US" w:eastAsia="en-US"/>
              </w:rPr>
              <w:t>Option 1</w:t>
            </w:r>
          </w:p>
        </w:tc>
        <w:tc>
          <w:tcPr>
            <w:tcW w:w="130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D4720A8" w14:textId="77777777" w:rsidR="00E63E20" w:rsidRPr="00E63E20" w:rsidRDefault="00E63E20" w:rsidP="00E63E20">
            <w:pPr>
              <w:widowControl w:val="0"/>
              <w:tabs>
                <w:tab w:val="right" w:pos="1059"/>
              </w:tabs>
              <w:jc w:val="center"/>
              <w:rPr>
                <w:rFonts w:ascii="Arial" w:eastAsiaTheme="minorHAnsi" w:hAnsi="Arial" w:cs="Arial"/>
                <w:color w:val="000000" w:themeColor="text1"/>
                <w:sz w:val="20"/>
                <w:szCs w:val="20"/>
                <w:lang w:val="en-US" w:eastAsia="en-US"/>
              </w:rPr>
            </w:pPr>
            <w:r w:rsidRPr="00E63E20">
              <w:rPr>
                <w:rFonts w:ascii="Arial" w:eastAsiaTheme="minorHAnsi" w:hAnsi="Arial" w:cs="Arial"/>
                <w:color w:val="000000" w:themeColor="text1"/>
                <w:sz w:val="20"/>
                <w:szCs w:val="20"/>
                <w:lang w:val="en-US" w:eastAsia="en-US"/>
              </w:rPr>
              <w:t>2,355</w:t>
            </w:r>
          </w:p>
        </w:tc>
        <w:tc>
          <w:tcPr>
            <w:tcW w:w="156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CBCBF98" w14:textId="77777777" w:rsidR="00E63E20" w:rsidRPr="00E63E20" w:rsidRDefault="00E63E20" w:rsidP="00E63E20">
            <w:pPr>
              <w:widowControl w:val="0"/>
              <w:jc w:val="center"/>
              <w:rPr>
                <w:rFonts w:ascii="Arial" w:eastAsiaTheme="minorHAnsi" w:hAnsi="Arial" w:cs="Arial"/>
                <w:color w:val="000000"/>
                <w:sz w:val="20"/>
                <w:szCs w:val="20"/>
                <w:lang w:val="en-US" w:eastAsia="en-US"/>
              </w:rPr>
            </w:pPr>
            <w:r w:rsidRPr="00E63E20">
              <w:rPr>
                <w:rFonts w:ascii="Arial" w:eastAsiaTheme="minorHAnsi" w:hAnsi="Arial" w:cs="Arial"/>
                <w:color w:val="000000" w:themeColor="text1"/>
                <w:sz w:val="20"/>
                <w:szCs w:val="20"/>
                <w:lang w:val="en-US" w:eastAsia="en-US"/>
              </w:rPr>
              <w:t>54.6%</w:t>
            </w:r>
          </w:p>
        </w:tc>
      </w:tr>
      <w:tr w:rsidR="00E63E20" w:rsidRPr="00E63E20" w14:paraId="27962BD2" w14:textId="77777777" w:rsidTr="0067349D">
        <w:trPr>
          <w:trHeight w:val="354"/>
        </w:trPr>
        <w:tc>
          <w:tcPr>
            <w:tcW w:w="216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F4E94C0" w14:textId="77777777" w:rsidR="00E63E20" w:rsidRPr="00E63E20" w:rsidRDefault="00E63E20" w:rsidP="00E63E20">
            <w:pPr>
              <w:widowControl w:val="0"/>
              <w:rPr>
                <w:rFonts w:ascii="Arial" w:eastAsiaTheme="minorHAnsi" w:hAnsi="Arial" w:cs="Arial"/>
                <w:color w:val="000000" w:themeColor="text1"/>
                <w:sz w:val="20"/>
                <w:szCs w:val="20"/>
                <w:lang w:val="en-US" w:eastAsia="en-US"/>
              </w:rPr>
            </w:pPr>
            <w:r w:rsidRPr="00E63E20">
              <w:rPr>
                <w:rFonts w:ascii="Arial" w:eastAsiaTheme="minorHAnsi" w:hAnsi="Arial" w:cs="Arial"/>
                <w:color w:val="000000" w:themeColor="text1"/>
                <w:sz w:val="20"/>
                <w:szCs w:val="20"/>
                <w:lang w:val="en-US" w:eastAsia="en-US"/>
              </w:rPr>
              <w:t>Option 2</w:t>
            </w:r>
          </w:p>
        </w:tc>
        <w:tc>
          <w:tcPr>
            <w:tcW w:w="13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AD82C3" w14:textId="77777777" w:rsidR="00E63E20" w:rsidRPr="00E63E20" w:rsidRDefault="00E63E20" w:rsidP="00E63E20">
            <w:pPr>
              <w:widowControl w:val="0"/>
              <w:jc w:val="center"/>
              <w:rPr>
                <w:rFonts w:ascii="Arial" w:eastAsiaTheme="minorHAnsi" w:hAnsi="Arial" w:cs="Arial"/>
                <w:color w:val="000000" w:themeColor="text1"/>
                <w:sz w:val="20"/>
                <w:szCs w:val="20"/>
                <w:lang w:val="en-US" w:eastAsia="en-US"/>
              </w:rPr>
            </w:pPr>
            <w:r w:rsidRPr="00E63E20">
              <w:rPr>
                <w:rFonts w:ascii="Arial" w:eastAsiaTheme="minorHAnsi" w:hAnsi="Arial" w:cs="Arial"/>
                <w:color w:val="000000" w:themeColor="text1"/>
                <w:sz w:val="20"/>
                <w:szCs w:val="20"/>
                <w:lang w:val="en-US" w:eastAsia="en-US"/>
              </w:rPr>
              <w:t>1,004</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7E33CD" w14:textId="77777777" w:rsidR="00E63E20" w:rsidRPr="00E63E20" w:rsidRDefault="00E63E20" w:rsidP="00E63E20">
            <w:pPr>
              <w:widowControl w:val="0"/>
              <w:jc w:val="center"/>
              <w:rPr>
                <w:rFonts w:ascii="Arial" w:eastAsiaTheme="minorHAnsi" w:hAnsi="Arial" w:cs="Arial"/>
                <w:color w:val="000000"/>
                <w:sz w:val="20"/>
                <w:szCs w:val="20"/>
                <w:lang w:val="en-US" w:eastAsia="en-US"/>
              </w:rPr>
            </w:pPr>
            <w:r w:rsidRPr="00E63E20">
              <w:rPr>
                <w:rFonts w:ascii="Arial" w:eastAsiaTheme="minorHAnsi" w:hAnsi="Arial" w:cs="Arial"/>
                <w:color w:val="000000" w:themeColor="text1"/>
                <w:sz w:val="20"/>
                <w:szCs w:val="20"/>
                <w:lang w:val="en-US" w:eastAsia="en-US"/>
              </w:rPr>
              <w:t>23.3%</w:t>
            </w:r>
          </w:p>
        </w:tc>
      </w:tr>
      <w:tr w:rsidR="00E63E20" w:rsidRPr="00E63E20" w14:paraId="0D3DF528" w14:textId="77777777" w:rsidTr="0067349D">
        <w:trPr>
          <w:trHeight w:val="354"/>
        </w:trPr>
        <w:tc>
          <w:tcPr>
            <w:tcW w:w="216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471BE3CA" w14:textId="77777777" w:rsidR="00E63E20" w:rsidRPr="00E63E20" w:rsidRDefault="00E63E20" w:rsidP="00E63E20">
            <w:pPr>
              <w:widowControl w:val="0"/>
              <w:rPr>
                <w:rFonts w:ascii="Arial" w:eastAsiaTheme="minorHAnsi" w:hAnsi="Arial" w:cs="Arial"/>
                <w:color w:val="000000" w:themeColor="text1"/>
                <w:sz w:val="20"/>
                <w:szCs w:val="20"/>
                <w:lang w:val="en-US" w:eastAsia="en-US"/>
              </w:rPr>
            </w:pPr>
            <w:r w:rsidRPr="00E63E20">
              <w:rPr>
                <w:rFonts w:ascii="Arial" w:eastAsiaTheme="minorHAnsi" w:hAnsi="Arial" w:cs="Arial"/>
                <w:color w:val="000000" w:themeColor="text1"/>
                <w:sz w:val="20"/>
                <w:szCs w:val="20"/>
                <w:lang w:val="en-US" w:eastAsia="en-US"/>
              </w:rPr>
              <w:t>Option 3</w:t>
            </w:r>
          </w:p>
        </w:tc>
        <w:tc>
          <w:tcPr>
            <w:tcW w:w="13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FEA7AF" w14:textId="77777777" w:rsidR="00E63E20" w:rsidRPr="00E63E20" w:rsidRDefault="00E63E20" w:rsidP="00E63E20">
            <w:pPr>
              <w:widowControl w:val="0"/>
              <w:jc w:val="center"/>
              <w:rPr>
                <w:rFonts w:ascii="Arial" w:eastAsiaTheme="minorHAnsi" w:hAnsi="Arial" w:cs="Arial"/>
                <w:color w:val="000000" w:themeColor="text1"/>
                <w:sz w:val="20"/>
                <w:szCs w:val="20"/>
                <w:lang w:val="en-US" w:eastAsia="en-US"/>
              </w:rPr>
            </w:pPr>
            <w:r w:rsidRPr="00E63E20">
              <w:rPr>
                <w:rFonts w:ascii="Arial" w:eastAsiaTheme="minorHAnsi" w:hAnsi="Arial" w:cs="Arial"/>
                <w:color w:val="000000" w:themeColor="text1"/>
                <w:sz w:val="20"/>
                <w:szCs w:val="20"/>
                <w:lang w:val="en-US" w:eastAsia="en-US"/>
              </w:rPr>
              <w:t>880</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14:paraId="2B739C3F" w14:textId="77777777" w:rsidR="00E63E20" w:rsidRPr="00E63E20" w:rsidRDefault="00E63E20" w:rsidP="00E63E20">
            <w:pPr>
              <w:widowControl w:val="0"/>
              <w:jc w:val="center"/>
              <w:rPr>
                <w:rFonts w:ascii="Arial" w:eastAsiaTheme="minorHAnsi" w:hAnsi="Arial" w:cs="Arial"/>
                <w:color w:val="000000"/>
                <w:sz w:val="20"/>
                <w:szCs w:val="20"/>
                <w:lang w:val="en-US" w:eastAsia="en-US"/>
              </w:rPr>
            </w:pPr>
            <w:r w:rsidRPr="00E63E20">
              <w:rPr>
                <w:rFonts w:ascii="Arial" w:eastAsiaTheme="minorHAnsi" w:hAnsi="Arial" w:cs="Arial"/>
                <w:color w:val="000000" w:themeColor="text1"/>
                <w:sz w:val="20"/>
                <w:szCs w:val="20"/>
                <w:lang w:val="en-US" w:eastAsia="en-US"/>
              </w:rPr>
              <w:t>20.4%</w:t>
            </w:r>
          </w:p>
        </w:tc>
      </w:tr>
      <w:tr w:rsidR="00E63E20" w:rsidRPr="00E63E20" w14:paraId="773DE7CC" w14:textId="77777777" w:rsidTr="0067349D">
        <w:trPr>
          <w:trHeight w:val="354"/>
        </w:trPr>
        <w:tc>
          <w:tcPr>
            <w:tcW w:w="216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CF2B1F6" w14:textId="77777777" w:rsidR="00E63E20" w:rsidRPr="00E63E20" w:rsidRDefault="00E63E20" w:rsidP="00E63E20">
            <w:pPr>
              <w:widowControl w:val="0"/>
              <w:rPr>
                <w:rFonts w:ascii="Arial" w:eastAsiaTheme="minorHAnsi" w:hAnsi="Arial" w:cs="Arial"/>
                <w:color w:val="000000" w:themeColor="text1"/>
                <w:sz w:val="20"/>
                <w:szCs w:val="20"/>
                <w:lang w:val="en-US" w:eastAsia="en-US"/>
              </w:rPr>
            </w:pPr>
            <w:r w:rsidRPr="00E63E20">
              <w:rPr>
                <w:rFonts w:ascii="Arial" w:eastAsiaTheme="minorHAnsi" w:hAnsi="Arial" w:cs="Arial"/>
                <w:bCs/>
                <w:color w:val="000000" w:themeColor="text1"/>
                <w:sz w:val="20"/>
                <w:szCs w:val="20"/>
                <w:lang w:val="en-US" w:eastAsia="en-US"/>
              </w:rPr>
              <w:t>Comments only</w:t>
            </w:r>
          </w:p>
        </w:tc>
        <w:tc>
          <w:tcPr>
            <w:tcW w:w="1309" w:type="dxa"/>
            <w:tcBorders>
              <w:top w:val="nil"/>
              <w:left w:val="nil"/>
              <w:bottom w:val="single" w:sz="8" w:space="0" w:color="auto"/>
              <w:right w:val="single" w:sz="8" w:space="0" w:color="auto"/>
            </w:tcBorders>
            <w:tcMar>
              <w:top w:w="0" w:type="dxa"/>
              <w:left w:w="108" w:type="dxa"/>
              <w:bottom w:w="0" w:type="dxa"/>
              <w:right w:w="108" w:type="dxa"/>
            </w:tcMar>
            <w:vAlign w:val="center"/>
          </w:tcPr>
          <w:p w14:paraId="25A1E736" w14:textId="77777777" w:rsidR="00E63E20" w:rsidRPr="00E63E20" w:rsidRDefault="00E63E20" w:rsidP="00E63E20">
            <w:pPr>
              <w:widowControl w:val="0"/>
              <w:jc w:val="center"/>
              <w:rPr>
                <w:rFonts w:ascii="Arial" w:eastAsiaTheme="minorHAnsi" w:hAnsi="Arial" w:cs="Arial"/>
                <w:color w:val="000000" w:themeColor="text1"/>
                <w:sz w:val="20"/>
                <w:szCs w:val="20"/>
                <w:lang w:val="en-US" w:eastAsia="en-US"/>
              </w:rPr>
            </w:pPr>
            <w:r w:rsidRPr="00E63E20">
              <w:rPr>
                <w:rFonts w:ascii="Arial" w:eastAsiaTheme="minorHAnsi" w:hAnsi="Arial" w:cs="Arial"/>
                <w:color w:val="000000" w:themeColor="text1"/>
                <w:sz w:val="20"/>
                <w:szCs w:val="20"/>
                <w:lang w:val="en-US" w:eastAsia="en-US"/>
              </w:rPr>
              <w:t>73</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14:paraId="4F2FC8F9" w14:textId="77777777" w:rsidR="00E63E20" w:rsidRPr="00E63E20" w:rsidRDefault="00E63E20" w:rsidP="00E63E20">
            <w:pPr>
              <w:widowControl w:val="0"/>
              <w:jc w:val="center"/>
              <w:rPr>
                <w:rFonts w:ascii="Arial" w:eastAsiaTheme="minorHAnsi" w:hAnsi="Arial" w:cs="Arial"/>
                <w:color w:val="000000"/>
                <w:sz w:val="20"/>
                <w:szCs w:val="20"/>
                <w:lang w:val="en-US" w:eastAsia="en-US"/>
              </w:rPr>
            </w:pPr>
            <w:r w:rsidRPr="00E63E20">
              <w:rPr>
                <w:rFonts w:ascii="Arial" w:eastAsiaTheme="minorHAnsi" w:hAnsi="Arial" w:cs="Arial"/>
                <w:color w:val="000000" w:themeColor="text1"/>
                <w:sz w:val="20"/>
                <w:szCs w:val="20"/>
                <w:lang w:val="en-US" w:eastAsia="en-US"/>
              </w:rPr>
              <w:t>1.7%</w:t>
            </w:r>
          </w:p>
        </w:tc>
      </w:tr>
      <w:tr w:rsidR="00E63E20" w:rsidRPr="00E63E20" w14:paraId="45816F89" w14:textId="77777777" w:rsidTr="0067349D">
        <w:trPr>
          <w:trHeight w:val="368"/>
        </w:trPr>
        <w:tc>
          <w:tcPr>
            <w:tcW w:w="21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F27A2B" w14:textId="1009E457" w:rsidR="00E63E20" w:rsidRPr="00E63E20" w:rsidRDefault="00E63E20" w:rsidP="00E63E20">
            <w:pPr>
              <w:widowControl w:val="0"/>
              <w:rPr>
                <w:rFonts w:ascii="Arial" w:eastAsiaTheme="minorHAnsi" w:hAnsi="Arial" w:cs="Arial"/>
                <w:bCs/>
                <w:color w:val="000000" w:themeColor="text1"/>
                <w:sz w:val="20"/>
                <w:szCs w:val="20"/>
                <w:lang w:val="en-US" w:eastAsia="en-US"/>
              </w:rPr>
            </w:pPr>
            <w:r w:rsidRPr="00E63E20">
              <w:rPr>
                <w:rFonts w:ascii="Arial" w:eastAsiaTheme="minorHAnsi" w:hAnsi="Arial" w:cs="Arial"/>
                <w:bCs/>
                <w:color w:val="000000" w:themeColor="text1"/>
                <w:sz w:val="20"/>
                <w:szCs w:val="20"/>
                <w:lang w:val="en-US" w:eastAsia="en-US"/>
              </w:rPr>
              <w:t>Total</w:t>
            </w:r>
          </w:p>
        </w:tc>
        <w:tc>
          <w:tcPr>
            <w:tcW w:w="13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457D3E" w14:textId="77777777" w:rsidR="00E63E20" w:rsidRPr="00E63E20" w:rsidRDefault="00E63E20" w:rsidP="00E63E20">
            <w:pPr>
              <w:widowControl w:val="0"/>
              <w:jc w:val="center"/>
              <w:rPr>
                <w:rFonts w:ascii="Arial" w:eastAsiaTheme="minorHAnsi" w:hAnsi="Arial" w:cs="Arial"/>
                <w:bCs/>
                <w:color w:val="000000" w:themeColor="text1"/>
                <w:sz w:val="20"/>
                <w:szCs w:val="20"/>
                <w:lang w:val="en-US" w:eastAsia="en-US"/>
              </w:rPr>
            </w:pPr>
            <w:r w:rsidRPr="00E63E20">
              <w:rPr>
                <w:rFonts w:ascii="Arial" w:eastAsiaTheme="minorHAnsi" w:hAnsi="Arial" w:cs="Arial"/>
                <w:bCs/>
                <w:color w:val="000000" w:themeColor="text1"/>
                <w:sz w:val="20"/>
                <w:szCs w:val="20"/>
                <w:lang w:val="en-US" w:eastAsia="en-US"/>
              </w:rPr>
              <w:t>4,312</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E28127" w14:textId="77777777" w:rsidR="00E63E20" w:rsidRPr="00E63E20" w:rsidRDefault="00E63E20" w:rsidP="00E63E20">
            <w:pPr>
              <w:widowControl w:val="0"/>
              <w:jc w:val="center"/>
              <w:rPr>
                <w:rFonts w:ascii="Arial" w:eastAsiaTheme="minorHAnsi" w:hAnsi="Arial" w:cs="Arial"/>
                <w:bCs/>
                <w:color w:val="000000" w:themeColor="text1"/>
                <w:sz w:val="20"/>
                <w:szCs w:val="20"/>
                <w:lang w:val="en-US" w:eastAsia="en-US"/>
              </w:rPr>
            </w:pPr>
            <w:r w:rsidRPr="00E63E20">
              <w:rPr>
                <w:rFonts w:ascii="Arial" w:eastAsiaTheme="minorHAnsi" w:hAnsi="Arial" w:cs="Arial"/>
                <w:bCs/>
                <w:color w:val="000000" w:themeColor="text1"/>
                <w:sz w:val="20"/>
                <w:szCs w:val="20"/>
                <w:lang w:val="en-US" w:eastAsia="en-US"/>
              </w:rPr>
              <w:t>100.0%</w:t>
            </w:r>
          </w:p>
        </w:tc>
      </w:tr>
    </w:tbl>
    <w:p w14:paraId="11A0C7B8" w14:textId="77777777" w:rsidR="00E63E20" w:rsidRPr="00E63E20" w:rsidRDefault="00E63E20" w:rsidP="00E63E20">
      <w:pPr>
        <w:widowControl w:val="0"/>
        <w:spacing w:line="276" w:lineRule="auto"/>
        <w:ind w:left="239" w:right="458"/>
        <w:jc w:val="both"/>
        <w:rPr>
          <w:rFonts w:ascii="Arial" w:eastAsia="Arial" w:hAnsi="Arial" w:cs="Arial"/>
          <w:i/>
          <w:szCs w:val="22"/>
          <w:u w:val="single"/>
          <w:lang w:val="en-US" w:eastAsia="en-US"/>
        </w:rPr>
      </w:pPr>
    </w:p>
    <w:p w14:paraId="601A955D" w14:textId="77777777" w:rsidR="00E63E20" w:rsidRPr="00E63E20" w:rsidRDefault="00E63E20" w:rsidP="00E63E20">
      <w:pPr>
        <w:widowControl w:val="0"/>
        <w:spacing w:line="276" w:lineRule="auto"/>
        <w:ind w:left="239" w:right="458"/>
        <w:jc w:val="both"/>
        <w:rPr>
          <w:rFonts w:ascii="Arial" w:eastAsia="Arial" w:hAnsi="Arial" w:cs="Arial"/>
          <w:i/>
          <w:szCs w:val="22"/>
          <w:u w:val="single"/>
          <w:lang w:val="en-US" w:eastAsia="en-US"/>
        </w:rPr>
      </w:pPr>
    </w:p>
    <w:p w14:paraId="76E10179" w14:textId="77777777" w:rsidR="00E63E20" w:rsidRPr="00E63E20" w:rsidRDefault="00E63E20" w:rsidP="00E63E20">
      <w:pPr>
        <w:widowControl w:val="0"/>
        <w:spacing w:line="276" w:lineRule="auto"/>
        <w:ind w:left="239" w:right="458"/>
        <w:jc w:val="both"/>
        <w:rPr>
          <w:rFonts w:ascii="Arial" w:eastAsia="Arial" w:hAnsi="Arial" w:cs="Arial"/>
          <w:i/>
          <w:szCs w:val="22"/>
          <w:u w:val="single"/>
          <w:lang w:val="en-US" w:eastAsia="en-US"/>
        </w:rPr>
      </w:pPr>
    </w:p>
    <w:p w14:paraId="3102865B" w14:textId="77777777" w:rsidR="00E63E20" w:rsidRPr="00E63E20" w:rsidRDefault="00E63E20" w:rsidP="00E63E20">
      <w:pPr>
        <w:widowControl w:val="0"/>
        <w:spacing w:line="276" w:lineRule="auto"/>
        <w:ind w:left="239" w:right="458"/>
        <w:jc w:val="both"/>
        <w:rPr>
          <w:rFonts w:ascii="Arial" w:eastAsia="Arial" w:hAnsi="Arial" w:cs="Arial"/>
          <w:i/>
          <w:szCs w:val="22"/>
          <w:u w:val="single"/>
          <w:lang w:val="en-US" w:eastAsia="en-US"/>
        </w:rPr>
      </w:pPr>
    </w:p>
    <w:p w14:paraId="48E90D3A" w14:textId="77777777" w:rsidR="00E63E20" w:rsidRPr="00E63E20" w:rsidRDefault="00E63E20" w:rsidP="00E63E20">
      <w:pPr>
        <w:widowControl w:val="0"/>
        <w:spacing w:line="276" w:lineRule="auto"/>
        <w:ind w:left="239" w:right="458"/>
        <w:jc w:val="both"/>
        <w:rPr>
          <w:rFonts w:ascii="Arial" w:eastAsia="Arial" w:hAnsi="Arial" w:cs="Arial"/>
          <w:i/>
          <w:szCs w:val="22"/>
          <w:u w:val="single"/>
          <w:lang w:val="en-US" w:eastAsia="en-US"/>
        </w:rPr>
      </w:pPr>
    </w:p>
    <w:p w14:paraId="2FAD3E71" w14:textId="77777777" w:rsidR="00E63E20" w:rsidRPr="00E63E20" w:rsidRDefault="00E63E20" w:rsidP="00E63E20">
      <w:pPr>
        <w:widowControl w:val="0"/>
        <w:spacing w:line="276" w:lineRule="auto"/>
        <w:ind w:left="239" w:right="458"/>
        <w:jc w:val="both"/>
        <w:rPr>
          <w:rFonts w:ascii="Arial" w:eastAsia="Arial" w:hAnsi="Arial" w:cs="Arial"/>
          <w:i/>
          <w:szCs w:val="22"/>
          <w:u w:val="single"/>
          <w:lang w:val="en-US" w:eastAsia="en-US"/>
        </w:rPr>
      </w:pPr>
    </w:p>
    <w:p w14:paraId="24413CC2" w14:textId="77777777" w:rsidR="00E63E20" w:rsidRPr="00E63E20" w:rsidRDefault="00E63E20" w:rsidP="00E63E20">
      <w:pPr>
        <w:widowControl w:val="0"/>
        <w:spacing w:line="276" w:lineRule="auto"/>
        <w:ind w:left="239" w:right="458"/>
        <w:jc w:val="both"/>
        <w:rPr>
          <w:rFonts w:ascii="Arial" w:eastAsia="Arial" w:hAnsi="Arial" w:cs="Arial"/>
          <w:i/>
          <w:szCs w:val="22"/>
          <w:u w:val="single"/>
          <w:lang w:val="en-US" w:eastAsia="en-US"/>
        </w:rPr>
      </w:pPr>
    </w:p>
    <w:p w14:paraId="75C4B1CB" w14:textId="77777777" w:rsidR="00E63E20" w:rsidRPr="00E63E20" w:rsidRDefault="00E63E20" w:rsidP="00E63E20">
      <w:pPr>
        <w:widowControl w:val="0"/>
        <w:spacing w:line="276" w:lineRule="auto"/>
        <w:ind w:left="239" w:right="458"/>
        <w:jc w:val="both"/>
        <w:rPr>
          <w:rFonts w:ascii="Arial" w:eastAsia="Arial" w:hAnsi="Arial" w:cs="Arial"/>
          <w:i/>
          <w:szCs w:val="22"/>
          <w:u w:val="single"/>
          <w:lang w:val="en-US" w:eastAsia="en-US"/>
        </w:rPr>
      </w:pPr>
    </w:p>
    <w:p w14:paraId="15E5B85A" w14:textId="77777777" w:rsidR="00E63E20" w:rsidRDefault="00E63E20" w:rsidP="00E63E20">
      <w:pPr>
        <w:widowControl w:val="0"/>
        <w:spacing w:line="276" w:lineRule="auto"/>
        <w:ind w:left="239" w:right="458"/>
        <w:jc w:val="both"/>
        <w:rPr>
          <w:rFonts w:ascii="Arial" w:eastAsia="Arial" w:hAnsi="Arial" w:cs="Arial"/>
          <w:szCs w:val="22"/>
          <w:lang w:val="en-US" w:eastAsia="en-US"/>
        </w:rPr>
      </w:pPr>
    </w:p>
    <w:p w14:paraId="16EDD56F" w14:textId="77777777" w:rsidR="00E92A16" w:rsidRDefault="00E92A16" w:rsidP="00E92A16">
      <w:pPr>
        <w:spacing w:line="360" w:lineRule="auto"/>
        <w:rPr>
          <w:rFonts w:ascii="Arial" w:eastAsia="Arial" w:hAnsi="Arial" w:cs="Arial"/>
          <w:i/>
          <w:sz w:val="20"/>
          <w:szCs w:val="20"/>
        </w:rPr>
      </w:pPr>
    </w:p>
    <w:p w14:paraId="2DEB6400" w14:textId="77777777" w:rsidR="00420873" w:rsidRPr="00681DD5" w:rsidRDefault="00420873" w:rsidP="00AE4E46">
      <w:pPr>
        <w:spacing w:line="276" w:lineRule="auto"/>
        <w:rPr>
          <w:rFonts w:ascii="Arial" w:eastAsia="Arial" w:hAnsi="Arial" w:cs="Arial"/>
          <w:sz w:val="20"/>
          <w:szCs w:val="20"/>
        </w:rPr>
      </w:pPr>
      <w:r w:rsidRPr="00681DD5">
        <w:rPr>
          <w:rFonts w:ascii="Arial" w:eastAsia="Arial" w:hAnsi="Arial" w:cs="Arial"/>
          <w:i/>
          <w:sz w:val="20"/>
          <w:szCs w:val="20"/>
        </w:rPr>
        <w:t>C</w:t>
      </w:r>
      <w:r w:rsidRPr="00681DD5">
        <w:rPr>
          <w:rFonts w:ascii="Arial" w:eastAsia="Arial" w:hAnsi="Arial" w:cs="Arial"/>
          <w:i/>
          <w:spacing w:val="1"/>
          <w:sz w:val="20"/>
          <w:szCs w:val="20"/>
        </w:rPr>
        <w:t>o</w:t>
      </w:r>
      <w:r w:rsidRPr="00681DD5">
        <w:rPr>
          <w:rFonts w:ascii="Arial" w:eastAsia="Arial" w:hAnsi="Arial" w:cs="Arial"/>
          <w:i/>
          <w:sz w:val="20"/>
          <w:szCs w:val="20"/>
        </w:rPr>
        <w:t>mments</w:t>
      </w:r>
      <w:r w:rsidRPr="00681DD5">
        <w:rPr>
          <w:rFonts w:ascii="Arial" w:eastAsia="Arial" w:hAnsi="Arial" w:cs="Arial"/>
          <w:i/>
          <w:spacing w:val="-11"/>
          <w:sz w:val="20"/>
          <w:szCs w:val="20"/>
        </w:rPr>
        <w:t xml:space="preserve"> </w:t>
      </w:r>
      <w:r w:rsidRPr="00681DD5">
        <w:rPr>
          <w:rFonts w:ascii="Arial" w:eastAsia="Arial" w:hAnsi="Arial" w:cs="Arial"/>
          <w:i/>
          <w:sz w:val="20"/>
          <w:szCs w:val="20"/>
        </w:rPr>
        <w:t>raised</w:t>
      </w:r>
      <w:r w:rsidRPr="00681DD5">
        <w:rPr>
          <w:rFonts w:ascii="Arial" w:eastAsia="Arial" w:hAnsi="Arial" w:cs="Arial"/>
          <w:i/>
          <w:spacing w:val="-11"/>
          <w:sz w:val="20"/>
          <w:szCs w:val="20"/>
        </w:rPr>
        <w:t xml:space="preserve"> </w:t>
      </w:r>
      <w:r w:rsidRPr="00681DD5">
        <w:rPr>
          <w:rFonts w:ascii="Arial" w:eastAsia="Arial" w:hAnsi="Arial" w:cs="Arial"/>
          <w:i/>
          <w:sz w:val="20"/>
          <w:szCs w:val="20"/>
        </w:rPr>
        <w:t>in</w:t>
      </w:r>
      <w:r w:rsidRPr="00681DD5">
        <w:rPr>
          <w:rFonts w:ascii="Arial" w:eastAsia="Arial" w:hAnsi="Arial" w:cs="Arial"/>
          <w:i/>
          <w:spacing w:val="-13"/>
          <w:sz w:val="20"/>
          <w:szCs w:val="20"/>
        </w:rPr>
        <w:t xml:space="preserve"> valid </w:t>
      </w:r>
      <w:r w:rsidRPr="00681DD5">
        <w:rPr>
          <w:rFonts w:ascii="Arial" w:eastAsia="Arial" w:hAnsi="Arial" w:cs="Arial"/>
          <w:i/>
          <w:sz w:val="20"/>
          <w:szCs w:val="20"/>
        </w:rPr>
        <w:t>su</w:t>
      </w:r>
      <w:r w:rsidRPr="00681DD5">
        <w:rPr>
          <w:rFonts w:ascii="Arial" w:eastAsia="Arial" w:hAnsi="Arial" w:cs="Arial"/>
          <w:i/>
          <w:spacing w:val="-1"/>
          <w:sz w:val="20"/>
          <w:szCs w:val="20"/>
        </w:rPr>
        <w:t>b</w:t>
      </w:r>
      <w:r w:rsidRPr="00681DD5">
        <w:rPr>
          <w:rFonts w:ascii="Arial" w:eastAsia="Arial" w:hAnsi="Arial" w:cs="Arial"/>
          <w:i/>
          <w:spacing w:val="-2"/>
          <w:sz w:val="20"/>
          <w:szCs w:val="20"/>
        </w:rPr>
        <w:t>m</w:t>
      </w:r>
      <w:r w:rsidRPr="00681DD5">
        <w:rPr>
          <w:rFonts w:ascii="Arial" w:eastAsia="Arial" w:hAnsi="Arial" w:cs="Arial"/>
          <w:i/>
          <w:sz w:val="20"/>
          <w:szCs w:val="20"/>
        </w:rPr>
        <w:t>issions</w:t>
      </w:r>
    </w:p>
    <w:p w14:paraId="064A9F59" w14:textId="18631A73" w:rsidR="00420873" w:rsidRPr="00681DD5" w:rsidRDefault="00420873" w:rsidP="00AE4E46">
      <w:pPr>
        <w:spacing w:line="276" w:lineRule="auto"/>
        <w:jc w:val="both"/>
        <w:rPr>
          <w:rFonts w:ascii="Arial" w:eastAsia="Arial" w:hAnsi="Arial" w:cs="Arial"/>
          <w:sz w:val="20"/>
          <w:szCs w:val="20"/>
        </w:rPr>
      </w:pPr>
      <w:r w:rsidRPr="00681DD5">
        <w:rPr>
          <w:rFonts w:ascii="Arial" w:eastAsia="Arial" w:hAnsi="Arial" w:cs="Arial"/>
          <w:sz w:val="20"/>
          <w:szCs w:val="20"/>
        </w:rPr>
        <w:t>Of the 4,312 valid submissions, the overwhelming majority (3,736 or 87%) simply responded by ticking an option on one of the various submission forms (online or in the brochure sent to every ratepayer). A total of 576 submissions, however, included comments. This section summarises the key themes of these comments by option.</w:t>
      </w:r>
    </w:p>
    <w:p w14:paraId="3D21C1D1" w14:textId="77777777" w:rsidR="00E92A16" w:rsidRDefault="00E92A16" w:rsidP="00AE4E46">
      <w:pPr>
        <w:pStyle w:val="ListParagraph"/>
        <w:widowControl w:val="0"/>
        <w:spacing w:line="276" w:lineRule="auto"/>
        <w:ind w:left="0"/>
        <w:jc w:val="both"/>
        <w:rPr>
          <w:rFonts w:ascii="Arial" w:eastAsia="Arial" w:hAnsi="Arial" w:cs="Arial"/>
          <w:b/>
          <w:sz w:val="20"/>
          <w:szCs w:val="20"/>
        </w:rPr>
      </w:pPr>
    </w:p>
    <w:p w14:paraId="7B3E63DE" w14:textId="77777777" w:rsidR="00420873" w:rsidRPr="00D65400" w:rsidRDefault="00420873" w:rsidP="00AE4E46">
      <w:pPr>
        <w:pStyle w:val="ListParagraph"/>
        <w:widowControl w:val="0"/>
        <w:spacing w:line="276" w:lineRule="auto"/>
        <w:ind w:left="0"/>
        <w:jc w:val="both"/>
        <w:rPr>
          <w:rFonts w:ascii="Arial" w:eastAsia="Arial" w:hAnsi="Arial" w:cs="Arial"/>
          <w:i/>
          <w:sz w:val="20"/>
          <w:szCs w:val="20"/>
          <w:u w:val="single"/>
        </w:rPr>
      </w:pPr>
      <w:r w:rsidRPr="00D65400">
        <w:rPr>
          <w:rFonts w:ascii="Arial" w:eastAsia="Arial" w:hAnsi="Arial" w:cs="Arial"/>
          <w:i/>
          <w:sz w:val="20"/>
          <w:szCs w:val="20"/>
          <w:u w:val="single"/>
        </w:rPr>
        <w:t>Option 1</w:t>
      </w:r>
    </w:p>
    <w:p w14:paraId="76A6435D" w14:textId="18CE27F1" w:rsidR="00AE4E46" w:rsidRDefault="00420873" w:rsidP="00AE4E46">
      <w:pPr>
        <w:spacing w:line="276" w:lineRule="auto"/>
        <w:jc w:val="both"/>
        <w:rPr>
          <w:rFonts w:ascii="Arial" w:eastAsia="Arial" w:hAnsi="Arial" w:cs="Arial"/>
          <w:sz w:val="20"/>
          <w:szCs w:val="20"/>
        </w:rPr>
      </w:pPr>
      <w:r w:rsidRPr="00725530">
        <w:rPr>
          <w:rFonts w:ascii="Arial" w:eastAsia="Arial" w:hAnsi="Arial" w:cs="Arial"/>
          <w:b/>
          <w:sz w:val="20"/>
          <w:szCs w:val="20"/>
        </w:rPr>
        <w:t>Only 159 out of the 2,355 Option 1 submissions (7%) received provided comments regarding their choice.</w:t>
      </w:r>
      <w:r w:rsidRPr="00725530">
        <w:rPr>
          <w:rFonts w:ascii="Arial" w:eastAsia="Arial" w:hAnsi="Arial" w:cs="Arial"/>
          <w:sz w:val="20"/>
          <w:szCs w:val="20"/>
        </w:rPr>
        <w:t xml:space="preserve"> Key themes raised are summarised below – with many raising multiple issues.</w:t>
      </w:r>
    </w:p>
    <w:p w14:paraId="7F88C701" w14:textId="718A4D5D" w:rsidR="00420873" w:rsidRPr="00AD2D16" w:rsidRDefault="00681DD5" w:rsidP="00681DD5">
      <w:pPr>
        <w:pStyle w:val="Caption"/>
        <w:spacing w:after="0" w:line="276" w:lineRule="auto"/>
        <w:rPr>
          <w:rFonts w:cs="Arial"/>
          <w:sz w:val="18"/>
          <w:szCs w:val="18"/>
        </w:rPr>
      </w:pPr>
      <w:r>
        <w:rPr>
          <w:rFonts w:cs="Arial"/>
          <w:sz w:val="20"/>
          <w:szCs w:val="20"/>
        </w:rPr>
        <w:t xml:space="preserve">     </w:t>
      </w:r>
      <w:r w:rsidR="00420873" w:rsidRPr="00AD2D16">
        <w:rPr>
          <w:rFonts w:cs="Arial"/>
          <w:sz w:val="18"/>
          <w:szCs w:val="18"/>
        </w:rPr>
        <w:t xml:space="preserve">Table </w:t>
      </w:r>
      <w:r w:rsidR="00CA6AB3" w:rsidRPr="00AD2D16">
        <w:rPr>
          <w:rFonts w:cs="Arial"/>
          <w:sz w:val="18"/>
          <w:szCs w:val="18"/>
        </w:rPr>
        <w:t>4.</w:t>
      </w:r>
      <w:r w:rsidR="00360814" w:rsidRPr="00AD2D16">
        <w:rPr>
          <w:rFonts w:cs="Arial"/>
          <w:sz w:val="18"/>
          <w:szCs w:val="18"/>
        </w:rPr>
        <w:t>8</w:t>
      </w:r>
      <w:r w:rsidR="00CA6AB3" w:rsidRPr="00AD2D16">
        <w:rPr>
          <w:rFonts w:cs="Arial"/>
          <w:sz w:val="18"/>
          <w:szCs w:val="18"/>
        </w:rPr>
        <w:t>:</w:t>
      </w:r>
      <w:r w:rsidR="00420873" w:rsidRPr="00AD2D16">
        <w:rPr>
          <w:rFonts w:cs="Arial"/>
          <w:sz w:val="18"/>
          <w:szCs w:val="18"/>
        </w:rPr>
        <w:t xml:space="preserve"> Key themes raised in submissions supporting Option 1</w:t>
      </w:r>
    </w:p>
    <w:tbl>
      <w:tblPr>
        <w:tblW w:w="8458" w:type="dxa"/>
        <w:tblInd w:w="439" w:type="dxa"/>
        <w:tblLayout w:type="fixed"/>
        <w:tblLook w:val="04A0" w:firstRow="1" w:lastRow="0" w:firstColumn="1" w:lastColumn="0" w:noHBand="0" w:noVBand="1"/>
      </w:tblPr>
      <w:tblGrid>
        <w:gridCol w:w="7182"/>
        <w:gridCol w:w="1276"/>
      </w:tblGrid>
      <w:tr w:rsidR="00DF18BE" w:rsidRPr="00AD2D16" w14:paraId="5F7D47BA" w14:textId="77777777" w:rsidTr="00AE4E46">
        <w:trPr>
          <w:trHeight w:val="482"/>
          <w:tblHeader/>
        </w:trPr>
        <w:tc>
          <w:tcPr>
            <w:tcW w:w="7182"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275EF15E" w14:textId="77777777" w:rsidR="00DF18BE" w:rsidRPr="00AD2D16" w:rsidRDefault="00DF18BE" w:rsidP="0067349D">
            <w:pPr>
              <w:spacing w:line="276" w:lineRule="auto"/>
              <w:rPr>
                <w:rFonts w:ascii="Arial" w:hAnsi="Arial" w:cs="Arial"/>
                <w:b/>
                <w:color w:val="FFFFFF" w:themeColor="background1"/>
                <w:sz w:val="18"/>
                <w:szCs w:val="18"/>
              </w:rPr>
            </w:pPr>
            <w:r w:rsidRPr="00AD2D16">
              <w:rPr>
                <w:rFonts w:ascii="Arial" w:hAnsi="Arial" w:cs="Arial"/>
                <w:b/>
                <w:color w:val="FFFFFF" w:themeColor="background1"/>
                <w:sz w:val="18"/>
                <w:szCs w:val="18"/>
              </w:rPr>
              <w:t xml:space="preserve">Key themes </w:t>
            </w:r>
          </w:p>
        </w:tc>
        <w:tc>
          <w:tcPr>
            <w:tcW w:w="1276" w:type="dxa"/>
            <w:tcBorders>
              <w:top w:val="single" w:sz="4" w:space="0" w:color="auto"/>
              <w:left w:val="nil"/>
              <w:bottom w:val="single" w:sz="4" w:space="0" w:color="auto"/>
              <w:right w:val="single" w:sz="4" w:space="0" w:color="auto"/>
            </w:tcBorders>
            <w:shd w:val="clear" w:color="auto" w:fill="548DD4" w:themeFill="text2" w:themeFillTint="99"/>
            <w:vAlign w:val="center"/>
          </w:tcPr>
          <w:p w14:paraId="005E64DD" w14:textId="77777777" w:rsidR="00DF18BE" w:rsidRPr="00AD2D16" w:rsidRDefault="00DF18BE" w:rsidP="0067349D">
            <w:pPr>
              <w:spacing w:line="276" w:lineRule="auto"/>
              <w:jc w:val="center"/>
              <w:rPr>
                <w:rFonts w:ascii="Arial" w:hAnsi="Arial" w:cs="Arial"/>
                <w:b/>
                <w:color w:val="FFFFFF" w:themeColor="background1"/>
                <w:sz w:val="18"/>
                <w:szCs w:val="18"/>
              </w:rPr>
            </w:pPr>
          </w:p>
          <w:p w14:paraId="4050313A" w14:textId="77777777" w:rsidR="00DF18BE" w:rsidRPr="00AD2D16" w:rsidRDefault="00DF18BE" w:rsidP="0067349D">
            <w:pPr>
              <w:spacing w:line="276" w:lineRule="auto"/>
              <w:jc w:val="center"/>
              <w:rPr>
                <w:rFonts w:ascii="Arial" w:hAnsi="Arial" w:cs="Arial"/>
                <w:b/>
                <w:color w:val="FFFFFF" w:themeColor="background1"/>
                <w:sz w:val="18"/>
                <w:szCs w:val="18"/>
              </w:rPr>
            </w:pPr>
            <w:r w:rsidRPr="00AD2D16">
              <w:rPr>
                <w:rFonts w:ascii="Arial" w:hAnsi="Arial" w:cs="Arial"/>
                <w:b/>
                <w:color w:val="FFFFFF" w:themeColor="background1"/>
                <w:sz w:val="18"/>
                <w:szCs w:val="18"/>
              </w:rPr>
              <w:t>Number</w:t>
            </w:r>
          </w:p>
        </w:tc>
      </w:tr>
      <w:tr w:rsidR="00DF18BE" w:rsidRPr="00AD2D16" w14:paraId="228E2847" w14:textId="77777777" w:rsidTr="00AD2D16">
        <w:trPr>
          <w:trHeight w:val="3997"/>
        </w:trPr>
        <w:tc>
          <w:tcPr>
            <w:tcW w:w="7182" w:type="dxa"/>
            <w:tcBorders>
              <w:top w:val="single" w:sz="4" w:space="0" w:color="auto"/>
              <w:left w:val="single" w:sz="4" w:space="0" w:color="auto"/>
              <w:right w:val="single" w:sz="4" w:space="0" w:color="auto"/>
            </w:tcBorders>
            <w:shd w:val="clear" w:color="auto" w:fill="auto"/>
            <w:vAlign w:val="center"/>
          </w:tcPr>
          <w:p w14:paraId="643581A3" w14:textId="77777777" w:rsidR="00DF18BE" w:rsidRPr="00AD2D16" w:rsidRDefault="00DF18BE" w:rsidP="0067349D">
            <w:pPr>
              <w:spacing w:line="276" w:lineRule="auto"/>
              <w:rPr>
                <w:rFonts w:ascii="Arial" w:hAnsi="Arial" w:cs="Arial"/>
                <w:sz w:val="18"/>
                <w:szCs w:val="18"/>
              </w:rPr>
            </w:pPr>
            <w:r w:rsidRPr="00AD2D16">
              <w:rPr>
                <w:rFonts w:ascii="Arial" w:hAnsi="Arial" w:cs="Arial"/>
                <w:sz w:val="18"/>
                <w:szCs w:val="18"/>
              </w:rPr>
              <w:t>Need to improve specific services and facilities including:</w:t>
            </w:r>
          </w:p>
          <w:p w14:paraId="73BB2699" w14:textId="77777777" w:rsidR="00DF18BE" w:rsidRPr="00AD2D16" w:rsidRDefault="00DF18BE" w:rsidP="00695720">
            <w:pPr>
              <w:pStyle w:val="ListParagraph"/>
              <w:numPr>
                <w:ilvl w:val="0"/>
                <w:numId w:val="108"/>
              </w:numPr>
              <w:spacing w:line="276" w:lineRule="auto"/>
              <w:rPr>
                <w:rFonts w:ascii="Arial" w:eastAsia="Times New Roman" w:hAnsi="Arial" w:cs="Arial"/>
                <w:sz w:val="18"/>
                <w:szCs w:val="18"/>
                <w:lang w:eastAsia="en-AU"/>
              </w:rPr>
            </w:pPr>
            <w:r w:rsidRPr="00AD2D16">
              <w:rPr>
                <w:rFonts w:ascii="Arial" w:eastAsia="Times New Roman" w:hAnsi="Arial" w:cs="Arial"/>
                <w:sz w:val="18"/>
                <w:szCs w:val="18"/>
                <w:lang w:eastAsia="en-AU"/>
              </w:rPr>
              <w:t>Roads/kerb and gutter (11)</w:t>
            </w:r>
          </w:p>
          <w:p w14:paraId="6DC4BA5C" w14:textId="77777777" w:rsidR="00DF18BE" w:rsidRPr="00AD2D16" w:rsidRDefault="00DF18BE" w:rsidP="00695720">
            <w:pPr>
              <w:pStyle w:val="ListParagraph"/>
              <w:numPr>
                <w:ilvl w:val="0"/>
                <w:numId w:val="108"/>
              </w:numPr>
              <w:spacing w:line="276" w:lineRule="auto"/>
              <w:rPr>
                <w:rFonts w:ascii="Arial" w:eastAsia="Times New Roman" w:hAnsi="Arial" w:cs="Arial"/>
                <w:sz w:val="18"/>
                <w:szCs w:val="18"/>
                <w:lang w:eastAsia="en-AU"/>
              </w:rPr>
            </w:pPr>
            <w:r w:rsidRPr="00AD2D16">
              <w:rPr>
                <w:rFonts w:ascii="Arial" w:eastAsia="Times New Roman" w:hAnsi="Arial" w:cs="Arial"/>
                <w:sz w:val="18"/>
                <w:szCs w:val="18"/>
                <w:lang w:eastAsia="en-AU"/>
              </w:rPr>
              <w:t>Community services and facilities (11)</w:t>
            </w:r>
          </w:p>
          <w:p w14:paraId="2F2E4226" w14:textId="77777777" w:rsidR="00DF18BE" w:rsidRPr="00AD2D16" w:rsidRDefault="00DF18BE" w:rsidP="00695720">
            <w:pPr>
              <w:pStyle w:val="ListParagraph"/>
              <w:numPr>
                <w:ilvl w:val="0"/>
                <w:numId w:val="108"/>
              </w:numPr>
              <w:spacing w:line="276" w:lineRule="auto"/>
              <w:rPr>
                <w:rFonts w:ascii="Arial" w:eastAsia="Times New Roman" w:hAnsi="Arial" w:cs="Arial"/>
                <w:sz w:val="18"/>
                <w:szCs w:val="18"/>
                <w:lang w:eastAsia="en-AU"/>
              </w:rPr>
            </w:pPr>
            <w:r w:rsidRPr="00AD2D16">
              <w:rPr>
                <w:rFonts w:ascii="Arial" w:eastAsia="Times New Roman" w:hAnsi="Arial" w:cs="Arial"/>
                <w:sz w:val="18"/>
                <w:szCs w:val="18"/>
                <w:lang w:eastAsia="en-AU"/>
              </w:rPr>
              <w:t>Footpaths and pedestrian access(10)</w:t>
            </w:r>
          </w:p>
          <w:p w14:paraId="1CAC86D8" w14:textId="77777777" w:rsidR="00DF18BE" w:rsidRPr="00AD2D16" w:rsidRDefault="00DF18BE" w:rsidP="00695720">
            <w:pPr>
              <w:pStyle w:val="ListParagraph"/>
              <w:numPr>
                <w:ilvl w:val="0"/>
                <w:numId w:val="108"/>
              </w:numPr>
              <w:spacing w:line="276" w:lineRule="auto"/>
              <w:rPr>
                <w:rFonts w:ascii="Arial" w:eastAsia="Times New Roman" w:hAnsi="Arial" w:cs="Arial"/>
                <w:sz w:val="18"/>
                <w:szCs w:val="18"/>
                <w:lang w:eastAsia="en-AU"/>
              </w:rPr>
            </w:pPr>
            <w:r w:rsidRPr="00AD2D16">
              <w:rPr>
                <w:rFonts w:ascii="Arial" w:eastAsia="Times New Roman" w:hAnsi="Arial" w:cs="Arial"/>
                <w:sz w:val="18"/>
                <w:szCs w:val="18"/>
                <w:lang w:eastAsia="en-AU"/>
              </w:rPr>
              <w:t>Green waste removal (9)</w:t>
            </w:r>
          </w:p>
          <w:p w14:paraId="21BDDA8C" w14:textId="77777777" w:rsidR="00DF18BE" w:rsidRPr="00AD2D16" w:rsidRDefault="00DF18BE" w:rsidP="00695720">
            <w:pPr>
              <w:pStyle w:val="ListParagraph"/>
              <w:numPr>
                <w:ilvl w:val="0"/>
                <w:numId w:val="108"/>
              </w:numPr>
              <w:spacing w:line="276" w:lineRule="auto"/>
              <w:rPr>
                <w:rFonts w:ascii="Arial" w:eastAsia="Times New Roman" w:hAnsi="Arial" w:cs="Arial"/>
                <w:sz w:val="18"/>
                <w:szCs w:val="18"/>
                <w:lang w:eastAsia="en-AU"/>
              </w:rPr>
            </w:pPr>
            <w:r w:rsidRPr="00AD2D16">
              <w:rPr>
                <w:rFonts w:ascii="Arial" w:eastAsia="Times New Roman" w:hAnsi="Arial" w:cs="Arial"/>
                <w:sz w:val="18"/>
                <w:szCs w:val="18"/>
                <w:lang w:eastAsia="en-AU"/>
              </w:rPr>
              <w:t>Environmental programs/environmental sustainability (8)</w:t>
            </w:r>
          </w:p>
          <w:p w14:paraId="0B75EAAE" w14:textId="77777777" w:rsidR="00DF18BE" w:rsidRPr="00AD2D16" w:rsidRDefault="00DF18BE" w:rsidP="00695720">
            <w:pPr>
              <w:pStyle w:val="ListParagraph"/>
              <w:numPr>
                <w:ilvl w:val="0"/>
                <w:numId w:val="108"/>
              </w:numPr>
              <w:spacing w:line="276" w:lineRule="auto"/>
              <w:rPr>
                <w:rFonts w:ascii="Arial" w:eastAsia="Times New Roman" w:hAnsi="Arial" w:cs="Arial"/>
                <w:sz w:val="18"/>
                <w:szCs w:val="18"/>
                <w:lang w:eastAsia="en-AU"/>
              </w:rPr>
            </w:pPr>
            <w:r w:rsidRPr="00AD2D16">
              <w:rPr>
                <w:rFonts w:ascii="Arial" w:eastAsia="Times New Roman" w:hAnsi="Arial" w:cs="Arial"/>
                <w:sz w:val="18"/>
                <w:szCs w:val="18"/>
                <w:lang w:eastAsia="en-AU"/>
              </w:rPr>
              <w:t>Recreational facilities for community/for young people (8)</w:t>
            </w:r>
          </w:p>
          <w:p w14:paraId="45B8C311" w14:textId="77777777" w:rsidR="00DF18BE" w:rsidRPr="00AD2D16" w:rsidRDefault="00DF18BE" w:rsidP="00695720">
            <w:pPr>
              <w:pStyle w:val="ListParagraph"/>
              <w:numPr>
                <w:ilvl w:val="0"/>
                <w:numId w:val="108"/>
              </w:numPr>
              <w:spacing w:line="276" w:lineRule="auto"/>
              <w:rPr>
                <w:rFonts w:ascii="Arial" w:eastAsia="Times New Roman" w:hAnsi="Arial" w:cs="Arial"/>
                <w:sz w:val="18"/>
                <w:szCs w:val="18"/>
                <w:lang w:eastAsia="en-AU"/>
              </w:rPr>
            </w:pPr>
            <w:r w:rsidRPr="00AD2D16">
              <w:rPr>
                <w:rFonts w:ascii="Arial" w:eastAsia="Times New Roman" w:hAnsi="Arial" w:cs="Arial"/>
                <w:sz w:val="18"/>
                <w:szCs w:val="18"/>
                <w:lang w:eastAsia="en-AU"/>
              </w:rPr>
              <w:t>Natural disaster preparedness/bushfire prevention (4)</w:t>
            </w:r>
          </w:p>
          <w:p w14:paraId="5C20434F" w14:textId="77777777" w:rsidR="00DF18BE" w:rsidRPr="00AD2D16" w:rsidRDefault="00DF18BE" w:rsidP="00695720">
            <w:pPr>
              <w:pStyle w:val="ListParagraph"/>
              <w:numPr>
                <w:ilvl w:val="0"/>
                <w:numId w:val="108"/>
              </w:numPr>
              <w:spacing w:line="276" w:lineRule="auto"/>
              <w:rPr>
                <w:rFonts w:ascii="Arial" w:eastAsia="Times New Roman" w:hAnsi="Arial" w:cs="Arial"/>
                <w:sz w:val="18"/>
                <w:szCs w:val="18"/>
                <w:lang w:eastAsia="en-AU"/>
              </w:rPr>
            </w:pPr>
            <w:r w:rsidRPr="00AD2D16">
              <w:rPr>
                <w:rFonts w:ascii="Arial" w:eastAsia="Times New Roman" w:hAnsi="Arial" w:cs="Arial"/>
                <w:sz w:val="18"/>
                <w:szCs w:val="18"/>
                <w:lang w:eastAsia="en-AU"/>
              </w:rPr>
              <w:t>Town planning/improved streetscapes (e.g. Katoomba, Blackheath, Lawson) (4)</w:t>
            </w:r>
          </w:p>
          <w:p w14:paraId="5CC30943" w14:textId="77777777" w:rsidR="00DF18BE" w:rsidRPr="00AD2D16" w:rsidRDefault="00DF18BE" w:rsidP="00695720">
            <w:pPr>
              <w:pStyle w:val="ListParagraph"/>
              <w:numPr>
                <w:ilvl w:val="0"/>
                <w:numId w:val="108"/>
              </w:numPr>
              <w:spacing w:line="276" w:lineRule="auto"/>
              <w:rPr>
                <w:rFonts w:ascii="Arial" w:eastAsia="Times New Roman" w:hAnsi="Arial" w:cs="Arial"/>
                <w:sz w:val="18"/>
                <w:szCs w:val="18"/>
                <w:lang w:eastAsia="en-AU"/>
              </w:rPr>
            </w:pPr>
            <w:r w:rsidRPr="00AD2D16">
              <w:rPr>
                <w:rFonts w:ascii="Arial" w:eastAsia="Times New Roman" w:hAnsi="Arial" w:cs="Arial"/>
                <w:sz w:val="18"/>
                <w:szCs w:val="18"/>
                <w:lang w:eastAsia="en-AU"/>
              </w:rPr>
              <w:t>Less facilities but of higher quality e.g. improved libraries, pools and parks (4)</w:t>
            </w:r>
          </w:p>
          <w:p w14:paraId="414727D5" w14:textId="77777777" w:rsidR="00DF18BE" w:rsidRPr="00AD2D16" w:rsidRDefault="00DF18BE" w:rsidP="00695720">
            <w:pPr>
              <w:pStyle w:val="ListParagraph"/>
              <w:numPr>
                <w:ilvl w:val="0"/>
                <w:numId w:val="108"/>
              </w:numPr>
              <w:spacing w:line="276" w:lineRule="auto"/>
              <w:rPr>
                <w:rFonts w:ascii="Arial" w:eastAsia="Times New Roman" w:hAnsi="Arial" w:cs="Arial"/>
                <w:sz w:val="18"/>
                <w:szCs w:val="18"/>
                <w:lang w:eastAsia="en-AU"/>
              </w:rPr>
            </w:pPr>
            <w:r w:rsidRPr="00AD2D16">
              <w:rPr>
                <w:rFonts w:ascii="Arial" w:eastAsia="Times New Roman" w:hAnsi="Arial" w:cs="Arial"/>
                <w:sz w:val="18"/>
                <w:szCs w:val="18"/>
                <w:lang w:eastAsia="en-AU"/>
              </w:rPr>
              <w:t>Blue Mountains RSPCA animal shelter funded (4)</w:t>
            </w:r>
          </w:p>
          <w:p w14:paraId="61CFDDB5" w14:textId="77777777" w:rsidR="00DF18BE" w:rsidRPr="00AD2D16" w:rsidRDefault="00DF18BE" w:rsidP="00695720">
            <w:pPr>
              <w:pStyle w:val="ListParagraph"/>
              <w:numPr>
                <w:ilvl w:val="0"/>
                <w:numId w:val="108"/>
              </w:numPr>
              <w:spacing w:line="276" w:lineRule="auto"/>
              <w:rPr>
                <w:rFonts w:ascii="Arial" w:eastAsia="Times New Roman" w:hAnsi="Arial" w:cs="Arial"/>
                <w:sz w:val="18"/>
                <w:szCs w:val="18"/>
                <w:lang w:eastAsia="en-AU"/>
              </w:rPr>
            </w:pPr>
            <w:r w:rsidRPr="00AD2D16">
              <w:rPr>
                <w:rFonts w:ascii="Arial" w:eastAsia="Times New Roman" w:hAnsi="Arial" w:cs="Arial"/>
                <w:sz w:val="18"/>
                <w:szCs w:val="18"/>
                <w:lang w:eastAsia="en-AU"/>
              </w:rPr>
              <w:t>Accessible facilities including toilets, parking, pathways (3)</w:t>
            </w:r>
          </w:p>
          <w:p w14:paraId="7E7965F5" w14:textId="77777777" w:rsidR="00DF18BE" w:rsidRPr="00AD2D16" w:rsidRDefault="00DF18BE" w:rsidP="00695720">
            <w:pPr>
              <w:pStyle w:val="ListParagraph"/>
              <w:widowControl w:val="0"/>
              <w:numPr>
                <w:ilvl w:val="0"/>
                <w:numId w:val="108"/>
              </w:numPr>
              <w:spacing w:line="276" w:lineRule="auto"/>
              <w:rPr>
                <w:rFonts w:ascii="Arial" w:eastAsia="Times New Roman" w:hAnsi="Arial" w:cs="Arial"/>
                <w:sz w:val="18"/>
                <w:szCs w:val="18"/>
                <w:lang w:eastAsia="en-AU"/>
              </w:rPr>
            </w:pPr>
            <w:r w:rsidRPr="00AD2D16">
              <w:rPr>
                <w:rFonts w:ascii="Arial" w:eastAsia="Times New Roman" w:hAnsi="Arial" w:cs="Arial"/>
                <w:sz w:val="18"/>
                <w:szCs w:val="18"/>
                <w:lang w:eastAsia="en-AU"/>
              </w:rPr>
              <w:t>Dog off leash areas (2)</w:t>
            </w:r>
          </w:p>
          <w:p w14:paraId="124955DA" w14:textId="77777777" w:rsidR="00DF18BE" w:rsidRPr="00AD2D16" w:rsidRDefault="00DF18BE" w:rsidP="00695720">
            <w:pPr>
              <w:pStyle w:val="ListParagraph"/>
              <w:numPr>
                <w:ilvl w:val="0"/>
                <w:numId w:val="108"/>
              </w:numPr>
              <w:spacing w:line="276" w:lineRule="auto"/>
              <w:rPr>
                <w:rFonts w:ascii="Arial" w:eastAsia="Times New Roman" w:hAnsi="Arial" w:cs="Arial"/>
                <w:sz w:val="18"/>
                <w:szCs w:val="18"/>
                <w:lang w:eastAsia="en-AU"/>
              </w:rPr>
            </w:pPr>
            <w:r w:rsidRPr="00AD2D16">
              <w:rPr>
                <w:rFonts w:ascii="Arial" w:eastAsia="Times New Roman" w:hAnsi="Arial" w:cs="Arial"/>
                <w:sz w:val="18"/>
                <w:szCs w:val="18"/>
                <w:lang w:eastAsia="en-AU"/>
              </w:rPr>
              <w:t xml:space="preserve">More bulky waste pickups (2) </w:t>
            </w:r>
          </w:p>
        </w:tc>
        <w:tc>
          <w:tcPr>
            <w:tcW w:w="1276" w:type="dxa"/>
            <w:tcBorders>
              <w:top w:val="single" w:sz="4" w:space="0" w:color="auto"/>
              <w:left w:val="nil"/>
              <w:right w:val="single" w:sz="4" w:space="0" w:color="auto"/>
            </w:tcBorders>
          </w:tcPr>
          <w:p w14:paraId="226F4A9D" w14:textId="77777777" w:rsidR="00DF18BE" w:rsidRPr="00AD2D16" w:rsidRDefault="00DF18BE" w:rsidP="0067349D">
            <w:pPr>
              <w:spacing w:line="276" w:lineRule="auto"/>
              <w:jc w:val="center"/>
              <w:rPr>
                <w:rFonts w:ascii="Arial" w:hAnsi="Arial" w:cs="Arial"/>
                <w:color w:val="000000"/>
                <w:sz w:val="18"/>
                <w:szCs w:val="18"/>
              </w:rPr>
            </w:pPr>
            <w:r w:rsidRPr="00AD2D16">
              <w:rPr>
                <w:rFonts w:ascii="Arial" w:hAnsi="Arial" w:cs="Arial"/>
                <w:color w:val="000000"/>
                <w:sz w:val="18"/>
                <w:szCs w:val="18"/>
              </w:rPr>
              <w:t>60</w:t>
            </w:r>
          </w:p>
        </w:tc>
      </w:tr>
      <w:tr w:rsidR="00DF18BE" w:rsidRPr="00AD2D16" w14:paraId="330051FF" w14:textId="77777777" w:rsidTr="00AE4E46">
        <w:trPr>
          <w:trHeight w:val="315"/>
        </w:trPr>
        <w:tc>
          <w:tcPr>
            <w:tcW w:w="7182" w:type="dxa"/>
            <w:tcBorders>
              <w:top w:val="single" w:sz="4" w:space="0" w:color="auto"/>
              <w:left w:val="single" w:sz="4" w:space="0" w:color="auto"/>
              <w:bottom w:val="single" w:sz="4" w:space="0" w:color="auto"/>
              <w:right w:val="single" w:sz="4" w:space="0" w:color="auto"/>
            </w:tcBorders>
            <w:shd w:val="clear" w:color="auto" w:fill="auto"/>
            <w:vAlign w:val="center"/>
          </w:tcPr>
          <w:p w14:paraId="42ABEAF5" w14:textId="77777777" w:rsidR="00DF18BE" w:rsidRPr="00AD2D16" w:rsidRDefault="00DF18BE" w:rsidP="0067349D">
            <w:pPr>
              <w:spacing w:line="276" w:lineRule="auto"/>
              <w:rPr>
                <w:rFonts w:ascii="Arial" w:hAnsi="Arial" w:cs="Arial"/>
                <w:sz w:val="18"/>
                <w:szCs w:val="18"/>
              </w:rPr>
            </w:pPr>
            <w:r w:rsidRPr="00AD2D16">
              <w:rPr>
                <w:rFonts w:ascii="Arial" w:hAnsi="Arial" w:cs="Arial"/>
                <w:sz w:val="18"/>
                <w:szCs w:val="18"/>
              </w:rPr>
              <w:t>Happy to pay more to have improved services and facilities/vibrant City/stop the decline</w:t>
            </w:r>
          </w:p>
        </w:tc>
        <w:tc>
          <w:tcPr>
            <w:tcW w:w="1276" w:type="dxa"/>
            <w:tcBorders>
              <w:top w:val="single" w:sz="4" w:space="0" w:color="auto"/>
              <w:left w:val="nil"/>
              <w:bottom w:val="single" w:sz="4" w:space="0" w:color="auto"/>
              <w:right w:val="single" w:sz="4" w:space="0" w:color="auto"/>
            </w:tcBorders>
          </w:tcPr>
          <w:p w14:paraId="58619790" w14:textId="77777777" w:rsidR="00DF18BE" w:rsidRPr="00AD2D16" w:rsidRDefault="00DF18BE" w:rsidP="0067349D">
            <w:pPr>
              <w:spacing w:line="276" w:lineRule="auto"/>
              <w:jc w:val="center"/>
              <w:rPr>
                <w:rFonts w:ascii="Arial" w:hAnsi="Arial" w:cs="Arial"/>
                <w:color w:val="000000"/>
                <w:sz w:val="18"/>
                <w:szCs w:val="18"/>
              </w:rPr>
            </w:pPr>
            <w:r w:rsidRPr="00AD2D16">
              <w:rPr>
                <w:rFonts w:ascii="Arial" w:hAnsi="Arial" w:cs="Arial"/>
                <w:color w:val="000000"/>
                <w:sz w:val="18"/>
                <w:szCs w:val="18"/>
              </w:rPr>
              <w:t>35</w:t>
            </w:r>
          </w:p>
        </w:tc>
      </w:tr>
      <w:tr w:rsidR="00DF18BE" w:rsidRPr="00AD2D16" w14:paraId="32A7194A" w14:textId="77777777" w:rsidTr="00AE4E46">
        <w:trPr>
          <w:trHeight w:val="315"/>
        </w:trPr>
        <w:tc>
          <w:tcPr>
            <w:tcW w:w="7182" w:type="dxa"/>
            <w:tcBorders>
              <w:top w:val="single" w:sz="4" w:space="0" w:color="auto"/>
              <w:left w:val="single" w:sz="4" w:space="0" w:color="auto"/>
              <w:bottom w:val="single" w:sz="4" w:space="0" w:color="auto"/>
              <w:right w:val="single" w:sz="4" w:space="0" w:color="auto"/>
            </w:tcBorders>
            <w:shd w:val="clear" w:color="auto" w:fill="auto"/>
            <w:vAlign w:val="center"/>
          </w:tcPr>
          <w:p w14:paraId="2E565F95" w14:textId="77777777" w:rsidR="00DF18BE" w:rsidRPr="00AD2D16" w:rsidRDefault="00DF18BE" w:rsidP="0067349D">
            <w:pPr>
              <w:spacing w:line="276" w:lineRule="auto"/>
              <w:rPr>
                <w:rFonts w:ascii="Arial" w:hAnsi="Arial" w:cs="Arial"/>
                <w:sz w:val="18"/>
                <w:szCs w:val="18"/>
              </w:rPr>
            </w:pPr>
            <w:r w:rsidRPr="00AD2D16">
              <w:rPr>
                <w:rFonts w:ascii="Arial" w:hAnsi="Arial" w:cs="Arial"/>
                <w:sz w:val="18"/>
                <w:szCs w:val="18"/>
              </w:rPr>
              <w:t>Support paying more and would like Council to improve its: efficiency/ productivity/streamline administration/reduce wastage/reduce debt/increase revenue from other means such as user pays</w:t>
            </w:r>
          </w:p>
        </w:tc>
        <w:tc>
          <w:tcPr>
            <w:tcW w:w="1276" w:type="dxa"/>
            <w:tcBorders>
              <w:top w:val="single" w:sz="4" w:space="0" w:color="auto"/>
              <w:left w:val="nil"/>
              <w:bottom w:val="single" w:sz="4" w:space="0" w:color="auto"/>
              <w:right w:val="single" w:sz="4" w:space="0" w:color="auto"/>
            </w:tcBorders>
          </w:tcPr>
          <w:p w14:paraId="429D9698" w14:textId="77777777" w:rsidR="00DF18BE" w:rsidRPr="00AD2D16" w:rsidRDefault="00DF18BE" w:rsidP="0067349D">
            <w:pPr>
              <w:spacing w:line="276" w:lineRule="auto"/>
              <w:jc w:val="center"/>
              <w:rPr>
                <w:rFonts w:ascii="Arial" w:hAnsi="Arial" w:cs="Arial"/>
                <w:color w:val="000000"/>
                <w:sz w:val="18"/>
                <w:szCs w:val="18"/>
              </w:rPr>
            </w:pPr>
            <w:r w:rsidRPr="00AD2D16">
              <w:rPr>
                <w:rFonts w:ascii="Arial" w:hAnsi="Arial" w:cs="Arial"/>
                <w:color w:val="000000"/>
                <w:sz w:val="18"/>
                <w:szCs w:val="18"/>
              </w:rPr>
              <w:t>30</w:t>
            </w:r>
          </w:p>
        </w:tc>
      </w:tr>
      <w:tr w:rsidR="00DF18BE" w:rsidRPr="00AD2D16" w14:paraId="331D6F48" w14:textId="77777777" w:rsidTr="00AE4E46">
        <w:trPr>
          <w:trHeight w:val="315"/>
        </w:trPr>
        <w:tc>
          <w:tcPr>
            <w:tcW w:w="7182" w:type="dxa"/>
            <w:tcBorders>
              <w:top w:val="single" w:sz="4" w:space="0" w:color="auto"/>
              <w:left w:val="single" w:sz="4" w:space="0" w:color="auto"/>
              <w:bottom w:val="single" w:sz="4" w:space="0" w:color="auto"/>
              <w:right w:val="single" w:sz="4" w:space="0" w:color="auto"/>
            </w:tcBorders>
            <w:shd w:val="clear" w:color="auto" w:fill="auto"/>
            <w:vAlign w:val="center"/>
          </w:tcPr>
          <w:p w14:paraId="4F81FE14" w14:textId="77777777" w:rsidR="00DF18BE" w:rsidRPr="00AD2D16" w:rsidRDefault="00DF18BE" w:rsidP="0067349D">
            <w:pPr>
              <w:spacing w:line="276" w:lineRule="auto"/>
              <w:rPr>
                <w:rFonts w:ascii="Arial" w:hAnsi="Arial" w:cs="Arial"/>
                <w:sz w:val="18"/>
                <w:szCs w:val="18"/>
              </w:rPr>
            </w:pPr>
            <w:r w:rsidRPr="00AD2D16">
              <w:rPr>
                <w:rFonts w:ascii="Arial" w:hAnsi="Arial" w:cs="Arial"/>
                <w:sz w:val="18"/>
                <w:szCs w:val="18"/>
              </w:rPr>
              <w:t>Support for Environment Levy and Environmental programs</w:t>
            </w:r>
          </w:p>
        </w:tc>
        <w:tc>
          <w:tcPr>
            <w:tcW w:w="1276" w:type="dxa"/>
            <w:tcBorders>
              <w:top w:val="single" w:sz="4" w:space="0" w:color="auto"/>
              <w:left w:val="nil"/>
              <w:bottom w:val="single" w:sz="4" w:space="0" w:color="auto"/>
              <w:right w:val="single" w:sz="4" w:space="0" w:color="auto"/>
            </w:tcBorders>
          </w:tcPr>
          <w:p w14:paraId="48FD2912" w14:textId="77777777" w:rsidR="00DF18BE" w:rsidRPr="00AD2D16" w:rsidRDefault="00DF18BE" w:rsidP="0067349D">
            <w:pPr>
              <w:spacing w:line="276" w:lineRule="auto"/>
              <w:jc w:val="center"/>
              <w:rPr>
                <w:rFonts w:ascii="Arial" w:hAnsi="Arial" w:cs="Arial"/>
                <w:color w:val="000000"/>
                <w:sz w:val="18"/>
                <w:szCs w:val="18"/>
              </w:rPr>
            </w:pPr>
            <w:r w:rsidRPr="00AD2D16">
              <w:rPr>
                <w:rFonts w:ascii="Arial" w:hAnsi="Arial" w:cs="Arial"/>
                <w:color w:val="000000"/>
                <w:sz w:val="18"/>
                <w:szCs w:val="18"/>
              </w:rPr>
              <w:t>16</w:t>
            </w:r>
          </w:p>
        </w:tc>
      </w:tr>
      <w:tr w:rsidR="00DF18BE" w:rsidRPr="00AD2D16" w14:paraId="78EE74D0" w14:textId="77777777" w:rsidTr="00AE4E46">
        <w:trPr>
          <w:trHeight w:val="315"/>
        </w:trPr>
        <w:tc>
          <w:tcPr>
            <w:tcW w:w="7182" w:type="dxa"/>
            <w:tcBorders>
              <w:top w:val="single" w:sz="4" w:space="0" w:color="auto"/>
              <w:left w:val="single" w:sz="4" w:space="0" w:color="auto"/>
              <w:bottom w:val="single" w:sz="4" w:space="0" w:color="auto"/>
              <w:right w:val="single" w:sz="4" w:space="0" w:color="auto"/>
            </w:tcBorders>
            <w:shd w:val="clear" w:color="auto" w:fill="auto"/>
            <w:vAlign w:val="center"/>
          </w:tcPr>
          <w:p w14:paraId="0B42EB89" w14:textId="7CD4C263" w:rsidR="00DF18BE" w:rsidRPr="00AD2D16" w:rsidRDefault="00DF18BE" w:rsidP="00AD2D16">
            <w:pPr>
              <w:spacing w:line="276" w:lineRule="auto"/>
              <w:rPr>
                <w:rFonts w:ascii="Arial" w:hAnsi="Arial" w:cs="Arial"/>
                <w:sz w:val="18"/>
                <w:szCs w:val="18"/>
              </w:rPr>
            </w:pPr>
            <w:r w:rsidRPr="00AD2D16">
              <w:rPr>
                <w:rFonts w:ascii="Arial" w:hAnsi="Arial" w:cs="Arial"/>
                <w:sz w:val="18"/>
                <w:szCs w:val="18"/>
              </w:rPr>
              <w:t xml:space="preserve">Positive comments on the performance of the Council and the consultation process </w:t>
            </w:r>
          </w:p>
        </w:tc>
        <w:tc>
          <w:tcPr>
            <w:tcW w:w="1276" w:type="dxa"/>
            <w:tcBorders>
              <w:top w:val="single" w:sz="4" w:space="0" w:color="auto"/>
              <w:left w:val="nil"/>
              <w:bottom w:val="single" w:sz="4" w:space="0" w:color="auto"/>
              <w:right w:val="single" w:sz="4" w:space="0" w:color="auto"/>
            </w:tcBorders>
          </w:tcPr>
          <w:p w14:paraId="21529A19" w14:textId="77777777" w:rsidR="00DF18BE" w:rsidRPr="00AD2D16" w:rsidRDefault="00DF18BE" w:rsidP="0067349D">
            <w:pPr>
              <w:spacing w:line="276" w:lineRule="auto"/>
              <w:jc w:val="center"/>
              <w:rPr>
                <w:rFonts w:ascii="Arial" w:hAnsi="Arial" w:cs="Arial"/>
                <w:color w:val="000000"/>
                <w:sz w:val="18"/>
                <w:szCs w:val="18"/>
              </w:rPr>
            </w:pPr>
            <w:r w:rsidRPr="00AD2D16">
              <w:rPr>
                <w:rFonts w:ascii="Arial" w:hAnsi="Arial" w:cs="Arial"/>
                <w:color w:val="000000"/>
                <w:sz w:val="18"/>
                <w:szCs w:val="18"/>
              </w:rPr>
              <w:t>16</w:t>
            </w:r>
          </w:p>
        </w:tc>
      </w:tr>
      <w:tr w:rsidR="00DF18BE" w:rsidRPr="00AD2D16" w14:paraId="52F4C657" w14:textId="77777777" w:rsidTr="00AE4E46">
        <w:trPr>
          <w:trHeight w:val="315"/>
        </w:trPr>
        <w:tc>
          <w:tcPr>
            <w:tcW w:w="7182" w:type="dxa"/>
            <w:tcBorders>
              <w:top w:val="single" w:sz="4" w:space="0" w:color="auto"/>
              <w:left w:val="single" w:sz="4" w:space="0" w:color="auto"/>
              <w:bottom w:val="single" w:sz="4" w:space="0" w:color="auto"/>
              <w:right w:val="single" w:sz="4" w:space="0" w:color="auto"/>
            </w:tcBorders>
            <w:shd w:val="clear" w:color="auto" w:fill="auto"/>
            <w:vAlign w:val="center"/>
          </w:tcPr>
          <w:p w14:paraId="6F04578E" w14:textId="77777777" w:rsidR="00DF18BE" w:rsidRPr="00AD2D16" w:rsidRDefault="00DF18BE" w:rsidP="0067349D">
            <w:pPr>
              <w:spacing w:line="276" w:lineRule="auto"/>
              <w:rPr>
                <w:rFonts w:ascii="Arial" w:hAnsi="Arial" w:cs="Arial"/>
                <w:sz w:val="18"/>
                <w:szCs w:val="18"/>
              </w:rPr>
            </w:pPr>
            <w:r w:rsidRPr="00AD2D16">
              <w:rPr>
                <w:rFonts w:ascii="Arial" w:hAnsi="Arial" w:cs="Arial"/>
                <w:sz w:val="18"/>
                <w:szCs w:val="18"/>
              </w:rPr>
              <w:t>Values and wants to keep Blue Mountains as a special place with its unique natural and built character and unique World Heritage environment/recognises this is costly and we all need to contribute if we live here</w:t>
            </w:r>
          </w:p>
        </w:tc>
        <w:tc>
          <w:tcPr>
            <w:tcW w:w="1276" w:type="dxa"/>
            <w:tcBorders>
              <w:top w:val="single" w:sz="4" w:space="0" w:color="auto"/>
              <w:left w:val="nil"/>
              <w:bottom w:val="single" w:sz="4" w:space="0" w:color="auto"/>
              <w:right w:val="single" w:sz="4" w:space="0" w:color="auto"/>
            </w:tcBorders>
          </w:tcPr>
          <w:p w14:paraId="149FD681" w14:textId="77777777" w:rsidR="00DF18BE" w:rsidRPr="00AD2D16" w:rsidRDefault="00DF18BE" w:rsidP="0067349D">
            <w:pPr>
              <w:spacing w:line="276" w:lineRule="auto"/>
              <w:jc w:val="center"/>
              <w:rPr>
                <w:rFonts w:ascii="Arial" w:hAnsi="Arial" w:cs="Arial"/>
                <w:color w:val="000000"/>
                <w:sz w:val="18"/>
                <w:szCs w:val="18"/>
              </w:rPr>
            </w:pPr>
            <w:r w:rsidRPr="00AD2D16">
              <w:rPr>
                <w:rFonts w:ascii="Arial" w:hAnsi="Arial" w:cs="Arial"/>
                <w:color w:val="000000"/>
                <w:sz w:val="18"/>
                <w:szCs w:val="18"/>
              </w:rPr>
              <w:t>12</w:t>
            </w:r>
          </w:p>
        </w:tc>
      </w:tr>
      <w:tr w:rsidR="00DF18BE" w:rsidRPr="00AD2D16" w14:paraId="3D9E134D" w14:textId="77777777" w:rsidTr="00AE4E46">
        <w:trPr>
          <w:trHeight w:val="315"/>
        </w:trPr>
        <w:tc>
          <w:tcPr>
            <w:tcW w:w="7182" w:type="dxa"/>
            <w:tcBorders>
              <w:top w:val="single" w:sz="4" w:space="0" w:color="auto"/>
              <w:left w:val="single" w:sz="4" w:space="0" w:color="auto"/>
              <w:bottom w:val="single" w:sz="4" w:space="0" w:color="auto"/>
              <w:right w:val="single" w:sz="4" w:space="0" w:color="auto"/>
            </w:tcBorders>
            <w:shd w:val="clear" w:color="auto" w:fill="auto"/>
            <w:vAlign w:val="center"/>
          </w:tcPr>
          <w:p w14:paraId="1369C948" w14:textId="77777777" w:rsidR="00DF18BE" w:rsidRPr="00AD2D16" w:rsidRDefault="00DF18BE" w:rsidP="0067349D">
            <w:pPr>
              <w:spacing w:line="276" w:lineRule="auto"/>
              <w:rPr>
                <w:rFonts w:ascii="Arial" w:hAnsi="Arial" w:cs="Arial"/>
                <w:sz w:val="18"/>
                <w:szCs w:val="18"/>
              </w:rPr>
            </w:pPr>
            <w:r w:rsidRPr="00AD2D16">
              <w:rPr>
                <w:rFonts w:ascii="Arial" w:hAnsi="Arial" w:cs="Arial"/>
                <w:sz w:val="18"/>
                <w:szCs w:val="18"/>
              </w:rPr>
              <w:t xml:space="preserve">Range of suggestions made for improving community consultation on the options </w:t>
            </w:r>
          </w:p>
        </w:tc>
        <w:tc>
          <w:tcPr>
            <w:tcW w:w="1276" w:type="dxa"/>
            <w:tcBorders>
              <w:top w:val="single" w:sz="4" w:space="0" w:color="auto"/>
              <w:left w:val="nil"/>
              <w:bottom w:val="single" w:sz="4" w:space="0" w:color="auto"/>
              <w:right w:val="single" w:sz="4" w:space="0" w:color="auto"/>
            </w:tcBorders>
          </w:tcPr>
          <w:p w14:paraId="5C5B822E" w14:textId="77777777" w:rsidR="00DF18BE" w:rsidRPr="00AD2D16" w:rsidRDefault="00DF18BE" w:rsidP="0067349D">
            <w:pPr>
              <w:spacing w:line="276" w:lineRule="auto"/>
              <w:jc w:val="center"/>
              <w:rPr>
                <w:rFonts w:ascii="Arial" w:hAnsi="Arial" w:cs="Arial"/>
                <w:color w:val="000000"/>
                <w:sz w:val="18"/>
                <w:szCs w:val="18"/>
              </w:rPr>
            </w:pPr>
            <w:r w:rsidRPr="00AD2D16">
              <w:rPr>
                <w:rFonts w:ascii="Arial" w:hAnsi="Arial" w:cs="Arial"/>
                <w:color w:val="000000"/>
                <w:sz w:val="18"/>
                <w:szCs w:val="18"/>
              </w:rPr>
              <w:t>10</w:t>
            </w:r>
          </w:p>
        </w:tc>
      </w:tr>
      <w:tr w:rsidR="00DF18BE" w:rsidRPr="00AD2D16" w14:paraId="061416BF" w14:textId="77777777" w:rsidTr="00AE4E46">
        <w:trPr>
          <w:trHeight w:val="315"/>
        </w:trPr>
        <w:tc>
          <w:tcPr>
            <w:tcW w:w="7182" w:type="dxa"/>
            <w:tcBorders>
              <w:top w:val="single" w:sz="4" w:space="0" w:color="auto"/>
              <w:left w:val="single" w:sz="4" w:space="0" w:color="auto"/>
              <w:bottom w:val="single" w:sz="4" w:space="0" w:color="auto"/>
              <w:right w:val="single" w:sz="4" w:space="0" w:color="auto"/>
            </w:tcBorders>
            <w:shd w:val="clear" w:color="auto" w:fill="auto"/>
          </w:tcPr>
          <w:p w14:paraId="74573CB9" w14:textId="77777777" w:rsidR="00DF18BE" w:rsidRPr="00AD2D16" w:rsidRDefault="00DF18BE" w:rsidP="0067349D">
            <w:pPr>
              <w:spacing w:line="276" w:lineRule="auto"/>
              <w:rPr>
                <w:rFonts w:ascii="Arial" w:hAnsi="Arial" w:cs="Arial"/>
                <w:sz w:val="18"/>
                <w:szCs w:val="18"/>
              </w:rPr>
            </w:pPr>
            <w:r w:rsidRPr="00AD2D16">
              <w:rPr>
                <w:rFonts w:ascii="Arial" w:hAnsi="Arial" w:cs="Arial"/>
                <w:sz w:val="18"/>
                <w:szCs w:val="18"/>
              </w:rPr>
              <w:t>Some affordability concerns /hopes there are ways of helping very low income people</w:t>
            </w:r>
          </w:p>
        </w:tc>
        <w:tc>
          <w:tcPr>
            <w:tcW w:w="1276" w:type="dxa"/>
            <w:tcBorders>
              <w:top w:val="single" w:sz="4" w:space="0" w:color="auto"/>
              <w:left w:val="nil"/>
              <w:bottom w:val="single" w:sz="4" w:space="0" w:color="auto"/>
              <w:right w:val="single" w:sz="4" w:space="0" w:color="auto"/>
            </w:tcBorders>
            <w:vAlign w:val="center"/>
          </w:tcPr>
          <w:p w14:paraId="51C1778C" w14:textId="77777777" w:rsidR="00DF18BE" w:rsidRPr="00AD2D16" w:rsidRDefault="00DF18BE" w:rsidP="0067349D">
            <w:pPr>
              <w:spacing w:line="276" w:lineRule="auto"/>
              <w:jc w:val="center"/>
              <w:rPr>
                <w:rFonts w:ascii="Arial" w:hAnsi="Arial" w:cs="Arial"/>
                <w:sz w:val="18"/>
                <w:szCs w:val="18"/>
              </w:rPr>
            </w:pPr>
            <w:r w:rsidRPr="00AD2D16">
              <w:rPr>
                <w:rFonts w:ascii="Arial" w:hAnsi="Arial" w:cs="Arial"/>
                <w:color w:val="000000"/>
                <w:sz w:val="18"/>
                <w:szCs w:val="18"/>
              </w:rPr>
              <w:t>8</w:t>
            </w:r>
          </w:p>
        </w:tc>
      </w:tr>
      <w:tr w:rsidR="00DF18BE" w:rsidRPr="00AD2D16" w14:paraId="2B63D528" w14:textId="77777777" w:rsidTr="00AE4E46">
        <w:trPr>
          <w:trHeight w:val="315"/>
        </w:trPr>
        <w:tc>
          <w:tcPr>
            <w:tcW w:w="7182" w:type="dxa"/>
            <w:tcBorders>
              <w:top w:val="single" w:sz="4" w:space="0" w:color="auto"/>
              <w:left w:val="single" w:sz="4" w:space="0" w:color="auto"/>
              <w:bottom w:val="single" w:sz="4" w:space="0" w:color="auto"/>
              <w:right w:val="single" w:sz="4" w:space="0" w:color="auto"/>
            </w:tcBorders>
            <w:shd w:val="clear" w:color="auto" w:fill="auto"/>
            <w:vAlign w:val="center"/>
          </w:tcPr>
          <w:p w14:paraId="4BB94B8B" w14:textId="77777777" w:rsidR="00DF18BE" w:rsidRPr="00AD2D16" w:rsidRDefault="00DF18BE" w:rsidP="0067349D">
            <w:pPr>
              <w:spacing w:line="276" w:lineRule="auto"/>
              <w:rPr>
                <w:rFonts w:ascii="Arial" w:hAnsi="Arial" w:cs="Arial"/>
                <w:sz w:val="18"/>
                <w:szCs w:val="18"/>
              </w:rPr>
            </w:pPr>
            <w:r w:rsidRPr="00AD2D16">
              <w:rPr>
                <w:rFonts w:ascii="Arial" w:hAnsi="Arial" w:cs="Arial"/>
                <w:sz w:val="18"/>
                <w:szCs w:val="18"/>
              </w:rPr>
              <w:t>Range of concerns regarding addressing impacts of natural disasters including bushfires which are becoming more frequent</w:t>
            </w:r>
          </w:p>
        </w:tc>
        <w:tc>
          <w:tcPr>
            <w:tcW w:w="1276" w:type="dxa"/>
            <w:tcBorders>
              <w:top w:val="single" w:sz="4" w:space="0" w:color="auto"/>
              <w:left w:val="nil"/>
              <w:bottom w:val="single" w:sz="4" w:space="0" w:color="auto"/>
              <w:right w:val="single" w:sz="4" w:space="0" w:color="auto"/>
            </w:tcBorders>
          </w:tcPr>
          <w:p w14:paraId="1E93E924" w14:textId="77777777" w:rsidR="00DF18BE" w:rsidRPr="00AD2D16" w:rsidRDefault="00DF18BE" w:rsidP="0067349D">
            <w:pPr>
              <w:spacing w:line="276" w:lineRule="auto"/>
              <w:jc w:val="center"/>
              <w:rPr>
                <w:rFonts w:ascii="Arial" w:hAnsi="Arial" w:cs="Arial"/>
                <w:color w:val="000000"/>
                <w:sz w:val="18"/>
                <w:szCs w:val="18"/>
              </w:rPr>
            </w:pPr>
            <w:r w:rsidRPr="00AD2D16">
              <w:rPr>
                <w:rFonts w:ascii="Arial" w:hAnsi="Arial" w:cs="Arial"/>
                <w:color w:val="000000"/>
                <w:sz w:val="18"/>
                <w:szCs w:val="18"/>
              </w:rPr>
              <w:t>6</w:t>
            </w:r>
          </w:p>
        </w:tc>
      </w:tr>
      <w:tr w:rsidR="00DF18BE" w:rsidRPr="00AD2D16" w14:paraId="0E278F40" w14:textId="77777777" w:rsidTr="00AE4E46">
        <w:trPr>
          <w:trHeight w:val="315"/>
        </w:trPr>
        <w:tc>
          <w:tcPr>
            <w:tcW w:w="7182" w:type="dxa"/>
            <w:tcBorders>
              <w:top w:val="single" w:sz="4" w:space="0" w:color="auto"/>
              <w:left w:val="single" w:sz="4" w:space="0" w:color="auto"/>
              <w:bottom w:val="single" w:sz="4" w:space="0" w:color="auto"/>
              <w:right w:val="single" w:sz="4" w:space="0" w:color="auto"/>
            </w:tcBorders>
            <w:shd w:val="clear" w:color="auto" w:fill="auto"/>
            <w:vAlign w:val="center"/>
          </w:tcPr>
          <w:p w14:paraId="2FF53985" w14:textId="093238F1" w:rsidR="00DF18BE" w:rsidRPr="00AD2D16" w:rsidRDefault="00DF18BE" w:rsidP="00AD2D16">
            <w:pPr>
              <w:spacing w:line="276" w:lineRule="auto"/>
              <w:rPr>
                <w:rFonts w:ascii="Arial" w:hAnsi="Arial" w:cs="Arial"/>
                <w:sz w:val="18"/>
                <w:szCs w:val="18"/>
              </w:rPr>
            </w:pPr>
            <w:r w:rsidRPr="00AD2D16">
              <w:rPr>
                <w:rFonts w:ascii="Arial" w:hAnsi="Arial" w:cs="Arial"/>
                <w:sz w:val="18"/>
                <w:szCs w:val="18"/>
              </w:rPr>
              <w:t>Would like to see fewer facilities but of better quality e.g. improved  libraries, pools, community centres and parks /would help achieve more sustainable service levels</w:t>
            </w:r>
          </w:p>
        </w:tc>
        <w:tc>
          <w:tcPr>
            <w:tcW w:w="1276" w:type="dxa"/>
            <w:tcBorders>
              <w:top w:val="single" w:sz="4" w:space="0" w:color="auto"/>
              <w:left w:val="nil"/>
              <w:bottom w:val="single" w:sz="4" w:space="0" w:color="auto"/>
              <w:right w:val="single" w:sz="4" w:space="0" w:color="auto"/>
            </w:tcBorders>
          </w:tcPr>
          <w:p w14:paraId="6DAC82EC" w14:textId="77777777" w:rsidR="00DF18BE" w:rsidRPr="00AD2D16" w:rsidRDefault="00DF18BE" w:rsidP="0067349D">
            <w:pPr>
              <w:spacing w:line="276" w:lineRule="auto"/>
              <w:jc w:val="center"/>
              <w:rPr>
                <w:rFonts w:ascii="Arial" w:hAnsi="Arial" w:cs="Arial"/>
                <w:color w:val="000000"/>
                <w:sz w:val="18"/>
                <w:szCs w:val="18"/>
              </w:rPr>
            </w:pPr>
            <w:r w:rsidRPr="00AD2D16">
              <w:rPr>
                <w:rFonts w:ascii="Arial" w:hAnsi="Arial" w:cs="Arial"/>
                <w:color w:val="000000"/>
                <w:sz w:val="18"/>
                <w:szCs w:val="18"/>
              </w:rPr>
              <w:t>6</w:t>
            </w:r>
          </w:p>
        </w:tc>
      </w:tr>
      <w:tr w:rsidR="00DF18BE" w:rsidRPr="00AD2D16" w14:paraId="7628C5A8" w14:textId="77777777" w:rsidTr="00AE4E46">
        <w:trPr>
          <w:trHeight w:val="315"/>
        </w:trPr>
        <w:tc>
          <w:tcPr>
            <w:tcW w:w="7182" w:type="dxa"/>
            <w:tcBorders>
              <w:top w:val="single" w:sz="4" w:space="0" w:color="auto"/>
              <w:left w:val="single" w:sz="4" w:space="0" w:color="auto"/>
              <w:bottom w:val="single" w:sz="4" w:space="0" w:color="auto"/>
              <w:right w:val="single" w:sz="4" w:space="0" w:color="auto"/>
            </w:tcBorders>
            <w:shd w:val="clear" w:color="auto" w:fill="auto"/>
            <w:vAlign w:val="center"/>
          </w:tcPr>
          <w:p w14:paraId="1EAF32F0" w14:textId="77777777" w:rsidR="00DF18BE" w:rsidRPr="00AD2D16" w:rsidRDefault="00DF18BE" w:rsidP="0067349D">
            <w:pPr>
              <w:spacing w:line="276" w:lineRule="auto"/>
              <w:rPr>
                <w:rFonts w:ascii="Arial" w:hAnsi="Arial" w:cs="Arial"/>
                <w:sz w:val="18"/>
                <w:szCs w:val="18"/>
              </w:rPr>
            </w:pPr>
            <w:r w:rsidRPr="00AD2D16">
              <w:rPr>
                <w:rFonts w:ascii="Arial" w:hAnsi="Arial" w:cs="Arial"/>
                <w:sz w:val="18"/>
                <w:szCs w:val="18"/>
              </w:rPr>
              <w:t>Wants fair and equitable distribution of funding and services across the City/ perceived bias to upper mountains and tourist areas</w:t>
            </w:r>
          </w:p>
        </w:tc>
        <w:tc>
          <w:tcPr>
            <w:tcW w:w="1276" w:type="dxa"/>
            <w:tcBorders>
              <w:top w:val="single" w:sz="4" w:space="0" w:color="auto"/>
              <w:left w:val="nil"/>
              <w:bottom w:val="single" w:sz="4" w:space="0" w:color="auto"/>
              <w:right w:val="single" w:sz="4" w:space="0" w:color="auto"/>
            </w:tcBorders>
          </w:tcPr>
          <w:p w14:paraId="4241ECDE" w14:textId="77777777" w:rsidR="00DF18BE" w:rsidRPr="00AD2D16" w:rsidRDefault="00DF18BE" w:rsidP="0067349D">
            <w:pPr>
              <w:spacing w:line="276" w:lineRule="auto"/>
              <w:jc w:val="center"/>
              <w:rPr>
                <w:rFonts w:ascii="Arial" w:hAnsi="Arial" w:cs="Arial"/>
                <w:color w:val="000000"/>
                <w:sz w:val="18"/>
                <w:szCs w:val="18"/>
              </w:rPr>
            </w:pPr>
            <w:r w:rsidRPr="00AD2D16">
              <w:rPr>
                <w:rFonts w:ascii="Arial" w:hAnsi="Arial" w:cs="Arial"/>
                <w:color w:val="000000"/>
                <w:sz w:val="18"/>
                <w:szCs w:val="18"/>
              </w:rPr>
              <w:t>5</w:t>
            </w:r>
          </w:p>
        </w:tc>
      </w:tr>
      <w:tr w:rsidR="00DF18BE" w:rsidRPr="00AD2D16" w14:paraId="6BD30FAC" w14:textId="77777777" w:rsidTr="00AE4E46">
        <w:trPr>
          <w:trHeight w:val="315"/>
        </w:trPr>
        <w:tc>
          <w:tcPr>
            <w:tcW w:w="7182" w:type="dxa"/>
            <w:tcBorders>
              <w:top w:val="single" w:sz="4" w:space="0" w:color="auto"/>
              <w:left w:val="single" w:sz="4" w:space="0" w:color="auto"/>
              <w:bottom w:val="single" w:sz="4" w:space="0" w:color="auto"/>
              <w:right w:val="single" w:sz="4" w:space="0" w:color="auto"/>
            </w:tcBorders>
            <w:shd w:val="clear" w:color="auto" w:fill="auto"/>
            <w:vAlign w:val="center"/>
          </w:tcPr>
          <w:p w14:paraId="1533A30A" w14:textId="77777777" w:rsidR="00DF18BE" w:rsidRPr="00AD2D16" w:rsidRDefault="00DF18BE" w:rsidP="0067349D">
            <w:pPr>
              <w:spacing w:line="276" w:lineRule="auto"/>
              <w:rPr>
                <w:rFonts w:ascii="Arial" w:hAnsi="Arial" w:cs="Arial"/>
                <w:sz w:val="18"/>
                <w:szCs w:val="18"/>
              </w:rPr>
            </w:pPr>
            <w:r w:rsidRPr="00AD2D16">
              <w:rPr>
                <w:rFonts w:ascii="Arial" w:hAnsi="Arial" w:cs="Arial"/>
                <w:sz w:val="18"/>
                <w:szCs w:val="18"/>
              </w:rPr>
              <w:t>The rate increase proposed is modest/have capacity to pay</w:t>
            </w:r>
          </w:p>
        </w:tc>
        <w:tc>
          <w:tcPr>
            <w:tcW w:w="1276" w:type="dxa"/>
            <w:tcBorders>
              <w:top w:val="single" w:sz="4" w:space="0" w:color="auto"/>
              <w:left w:val="nil"/>
              <w:bottom w:val="single" w:sz="4" w:space="0" w:color="auto"/>
              <w:right w:val="single" w:sz="4" w:space="0" w:color="auto"/>
            </w:tcBorders>
          </w:tcPr>
          <w:p w14:paraId="79026469" w14:textId="77777777" w:rsidR="00DF18BE" w:rsidRPr="00AD2D16" w:rsidRDefault="00DF18BE" w:rsidP="0067349D">
            <w:pPr>
              <w:spacing w:line="276" w:lineRule="auto"/>
              <w:jc w:val="center"/>
              <w:rPr>
                <w:rFonts w:ascii="Arial" w:hAnsi="Arial" w:cs="Arial"/>
                <w:color w:val="000000"/>
                <w:sz w:val="18"/>
                <w:szCs w:val="18"/>
              </w:rPr>
            </w:pPr>
            <w:r w:rsidRPr="00AD2D16">
              <w:rPr>
                <w:rFonts w:ascii="Arial" w:hAnsi="Arial" w:cs="Arial"/>
                <w:color w:val="000000"/>
                <w:sz w:val="18"/>
                <w:szCs w:val="18"/>
              </w:rPr>
              <w:t>4</w:t>
            </w:r>
          </w:p>
        </w:tc>
      </w:tr>
      <w:tr w:rsidR="00DF18BE" w:rsidRPr="00AD2D16" w14:paraId="5DC12362" w14:textId="77777777" w:rsidTr="00AE4E46">
        <w:trPr>
          <w:trHeight w:val="315"/>
        </w:trPr>
        <w:tc>
          <w:tcPr>
            <w:tcW w:w="7182" w:type="dxa"/>
            <w:tcBorders>
              <w:top w:val="single" w:sz="4" w:space="0" w:color="auto"/>
              <w:left w:val="single" w:sz="4" w:space="0" w:color="auto"/>
              <w:bottom w:val="single" w:sz="4" w:space="0" w:color="auto"/>
              <w:right w:val="single" w:sz="4" w:space="0" w:color="auto"/>
            </w:tcBorders>
            <w:shd w:val="clear" w:color="auto" w:fill="auto"/>
            <w:vAlign w:val="center"/>
          </w:tcPr>
          <w:p w14:paraId="1B0D192C" w14:textId="77777777" w:rsidR="00DF18BE" w:rsidRPr="00AD2D16" w:rsidRDefault="00DF18BE" w:rsidP="0067349D">
            <w:pPr>
              <w:spacing w:line="276" w:lineRule="auto"/>
              <w:rPr>
                <w:rFonts w:ascii="Arial" w:hAnsi="Arial" w:cs="Arial"/>
                <w:sz w:val="18"/>
                <w:szCs w:val="18"/>
              </w:rPr>
            </w:pPr>
            <w:r w:rsidRPr="00AD2D16">
              <w:rPr>
                <w:rFonts w:ascii="Arial" w:hAnsi="Arial" w:cs="Arial"/>
                <w:sz w:val="18"/>
                <w:szCs w:val="18"/>
              </w:rPr>
              <w:t>Other levels of government should reinstate funding cuts to Council</w:t>
            </w:r>
          </w:p>
        </w:tc>
        <w:tc>
          <w:tcPr>
            <w:tcW w:w="1276" w:type="dxa"/>
            <w:tcBorders>
              <w:top w:val="single" w:sz="4" w:space="0" w:color="auto"/>
              <w:left w:val="nil"/>
              <w:bottom w:val="single" w:sz="4" w:space="0" w:color="auto"/>
              <w:right w:val="single" w:sz="4" w:space="0" w:color="auto"/>
            </w:tcBorders>
          </w:tcPr>
          <w:p w14:paraId="608B5ECF" w14:textId="77777777" w:rsidR="00DF18BE" w:rsidRPr="00AD2D16" w:rsidRDefault="00DF18BE" w:rsidP="0067349D">
            <w:pPr>
              <w:spacing w:line="276" w:lineRule="auto"/>
              <w:jc w:val="center"/>
              <w:rPr>
                <w:rFonts w:ascii="Arial" w:hAnsi="Arial" w:cs="Arial"/>
                <w:color w:val="000000"/>
                <w:sz w:val="18"/>
                <w:szCs w:val="18"/>
              </w:rPr>
            </w:pPr>
            <w:r w:rsidRPr="00AD2D16">
              <w:rPr>
                <w:rFonts w:ascii="Arial" w:hAnsi="Arial" w:cs="Arial"/>
                <w:color w:val="000000"/>
                <w:sz w:val="18"/>
                <w:szCs w:val="18"/>
              </w:rPr>
              <w:t>2</w:t>
            </w:r>
          </w:p>
        </w:tc>
      </w:tr>
      <w:tr w:rsidR="00DF18BE" w:rsidRPr="00AD2D16" w14:paraId="4DDB06EA" w14:textId="77777777" w:rsidTr="00AE4E46">
        <w:trPr>
          <w:trHeight w:val="315"/>
        </w:trPr>
        <w:tc>
          <w:tcPr>
            <w:tcW w:w="7182" w:type="dxa"/>
            <w:tcBorders>
              <w:top w:val="single" w:sz="4" w:space="0" w:color="auto"/>
              <w:left w:val="single" w:sz="4" w:space="0" w:color="auto"/>
              <w:bottom w:val="single" w:sz="4" w:space="0" w:color="auto"/>
              <w:right w:val="single" w:sz="4" w:space="0" w:color="auto"/>
            </w:tcBorders>
            <w:shd w:val="clear" w:color="auto" w:fill="auto"/>
            <w:vAlign w:val="center"/>
          </w:tcPr>
          <w:p w14:paraId="55774DED" w14:textId="77777777" w:rsidR="00DF18BE" w:rsidRPr="00AD2D16" w:rsidRDefault="00DF18BE" w:rsidP="0067349D">
            <w:pPr>
              <w:spacing w:line="276" w:lineRule="auto"/>
              <w:rPr>
                <w:rFonts w:ascii="Arial" w:hAnsi="Arial" w:cs="Arial"/>
                <w:sz w:val="18"/>
                <w:szCs w:val="18"/>
              </w:rPr>
            </w:pPr>
            <w:r w:rsidRPr="00AD2D16">
              <w:rPr>
                <w:rFonts w:ascii="Arial" w:hAnsi="Arial" w:cs="Arial"/>
                <w:sz w:val="18"/>
                <w:szCs w:val="18"/>
              </w:rPr>
              <w:t xml:space="preserve">Other issues and comments - wide range </w:t>
            </w:r>
          </w:p>
        </w:tc>
        <w:tc>
          <w:tcPr>
            <w:tcW w:w="1276" w:type="dxa"/>
            <w:tcBorders>
              <w:top w:val="single" w:sz="4" w:space="0" w:color="auto"/>
              <w:left w:val="nil"/>
              <w:bottom w:val="single" w:sz="4" w:space="0" w:color="auto"/>
              <w:right w:val="single" w:sz="4" w:space="0" w:color="auto"/>
            </w:tcBorders>
          </w:tcPr>
          <w:p w14:paraId="5CF56971" w14:textId="77777777" w:rsidR="00DF18BE" w:rsidRPr="00AD2D16" w:rsidRDefault="00DF18BE" w:rsidP="0067349D">
            <w:pPr>
              <w:spacing w:line="276" w:lineRule="auto"/>
              <w:jc w:val="center"/>
              <w:rPr>
                <w:rFonts w:ascii="Arial" w:hAnsi="Arial" w:cs="Arial"/>
                <w:color w:val="000000"/>
                <w:sz w:val="18"/>
                <w:szCs w:val="18"/>
              </w:rPr>
            </w:pPr>
            <w:r w:rsidRPr="00AD2D16">
              <w:rPr>
                <w:rFonts w:ascii="Arial" w:hAnsi="Arial" w:cs="Arial"/>
                <w:color w:val="000000"/>
                <w:sz w:val="18"/>
                <w:szCs w:val="18"/>
              </w:rPr>
              <w:t>24</w:t>
            </w:r>
          </w:p>
        </w:tc>
      </w:tr>
    </w:tbl>
    <w:p w14:paraId="53DCCA5B" w14:textId="77777777" w:rsidR="00DF18BE" w:rsidRPr="00AE4E46" w:rsidRDefault="00DF18BE" w:rsidP="00AE4E46">
      <w:pPr>
        <w:ind w:left="426"/>
        <w:rPr>
          <w:rFonts w:ascii="Arial" w:hAnsi="Arial" w:cs="Arial"/>
          <w:i/>
          <w:sz w:val="18"/>
          <w:szCs w:val="18"/>
        </w:rPr>
      </w:pPr>
      <w:r w:rsidRPr="00AE4E46">
        <w:rPr>
          <w:rFonts w:ascii="Arial" w:eastAsia="Arial" w:hAnsi="Arial" w:cs="Arial"/>
          <w:i/>
          <w:sz w:val="18"/>
          <w:szCs w:val="18"/>
        </w:rPr>
        <w:t>Note: many submissions made more than one comment so total number of comments is greater than the number of submissions received</w:t>
      </w:r>
    </w:p>
    <w:p w14:paraId="79680F0C" w14:textId="34EFEE05" w:rsidR="00314BBF" w:rsidRDefault="00314BBF" w:rsidP="00AE4E46">
      <w:pPr>
        <w:rPr>
          <w:rFonts w:ascii="Arial" w:hAnsi="Arial" w:cs="Arial"/>
          <w:b/>
          <w:color w:val="000000"/>
          <w:sz w:val="20"/>
          <w:szCs w:val="20"/>
        </w:rPr>
      </w:pPr>
    </w:p>
    <w:p w14:paraId="1700DBC7" w14:textId="5E5F0293" w:rsidR="00420873" w:rsidRPr="00D65400" w:rsidRDefault="00420873" w:rsidP="00314BBF">
      <w:pPr>
        <w:widowControl w:val="0"/>
        <w:spacing w:line="276" w:lineRule="auto"/>
        <w:jc w:val="both"/>
        <w:rPr>
          <w:rFonts w:ascii="Arial" w:eastAsia="Arial" w:hAnsi="Arial" w:cs="Arial"/>
          <w:i/>
          <w:sz w:val="20"/>
          <w:szCs w:val="20"/>
          <w:u w:val="single"/>
        </w:rPr>
      </w:pPr>
      <w:r w:rsidRPr="00D65400">
        <w:rPr>
          <w:rFonts w:ascii="Arial" w:eastAsia="Arial" w:hAnsi="Arial" w:cs="Arial"/>
          <w:i/>
          <w:sz w:val="20"/>
          <w:szCs w:val="20"/>
          <w:u w:val="single"/>
        </w:rPr>
        <w:t>Option 2</w:t>
      </w:r>
    </w:p>
    <w:p w14:paraId="16FC2E66" w14:textId="77777777" w:rsidR="00420873" w:rsidRPr="00360814" w:rsidRDefault="00420873" w:rsidP="00420873">
      <w:pPr>
        <w:spacing w:line="276" w:lineRule="auto"/>
        <w:rPr>
          <w:rFonts w:ascii="Arial" w:eastAsia="Arial" w:hAnsi="Arial" w:cs="Arial"/>
          <w:sz w:val="20"/>
          <w:szCs w:val="20"/>
          <w:highlight w:val="yellow"/>
        </w:rPr>
      </w:pPr>
    </w:p>
    <w:p w14:paraId="638CAF02" w14:textId="77777777" w:rsidR="00420873" w:rsidRPr="00360814" w:rsidRDefault="00420873" w:rsidP="00AE4E46">
      <w:pPr>
        <w:spacing w:line="276" w:lineRule="auto"/>
        <w:jc w:val="both"/>
        <w:rPr>
          <w:rFonts w:ascii="Arial" w:eastAsia="Arial" w:hAnsi="Arial" w:cs="Arial"/>
          <w:sz w:val="20"/>
          <w:szCs w:val="20"/>
        </w:rPr>
      </w:pPr>
      <w:r w:rsidRPr="00360814">
        <w:rPr>
          <w:rFonts w:ascii="Arial" w:eastAsia="Arial" w:hAnsi="Arial" w:cs="Arial"/>
          <w:b/>
          <w:sz w:val="20"/>
          <w:szCs w:val="20"/>
        </w:rPr>
        <w:t>Only 124 out of the 1,004 submissions received supporting Option 2 (or 12%) provided comments regarding their choice.</w:t>
      </w:r>
      <w:r w:rsidRPr="00360814">
        <w:rPr>
          <w:rFonts w:ascii="Arial" w:eastAsia="Arial" w:hAnsi="Arial" w:cs="Arial"/>
          <w:sz w:val="20"/>
          <w:szCs w:val="20"/>
        </w:rPr>
        <w:t xml:space="preserve"> Key themes raised are summarised below.</w:t>
      </w:r>
    </w:p>
    <w:p w14:paraId="7BA5B0CA" w14:textId="3F1F9FB1" w:rsidR="00420873" w:rsidRPr="00AD2D16" w:rsidRDefault="00420873" w:rsidP="00420873">
      <w:pPr>
        <w:pStyle w:val="Caption"/>
        <w:spacing w:after="0" w:line="276" w:lineRule="auto"/>
        <w:ind w:left="426" w:firstLine="0"/>
        <w:rPr>
          <w:rFonts w:cs="Arial"/>
          <w:sz w:val="18"/>
          <w:szCs w:val="18"/>
        </w:rPr>
      </w:pPr>
      <w:r w:rsidRPr="00AD2D16">
        <w:rPr>
          <w:rFonts w:cs="Arial"/>
          <w:sz w:val="18"/>
          <w:szCs w:val="18"/>
        </w:rPr>
        <w:t>Table</w:t>
      </w:r>
      <w:r w:rsidR="00360814" w:rsidRPr="00AD2D16">
        <w:rPr>
          <w:rFonts w:cs="Arial"/>
          <w:sz w:val="18"/>
          <w:szCs w:val="18"/>
        </w:rPr>
        <w:t xml:space="preserve"> 4.9</w:t>
      </w:r>
      <w:r w:rsidR="00CA6AB3" w:rsidRPr="00AD2D16">
        <w:rPr>
          <w:rFonts w:cs="Arial"/>
          <w:sz w:val="18"/>
          <w:szCs w:val="18"/>
        </w:rPr>
        <w:t>:</w:t>
      </w:r>
      <w:r w:rsidRPr="00AD2D16">
        <w:rPr>
          <w:rFonts w:cs="Arial"/>
          <w:sz w:val="18"/>
          <w:szCs w:val="18"/>
        </w:rPr>
        <w:t xml:space="preserve"> Key comments from submissions supporting Option 2</w:t>
      </w:r>
    </w:p>
    <w:tbl>
      <w:tblPr>
        <w:tblW w:w="8505" w:type="dxa"/>
        <w:tblInd w:w="392" w:type="dxa"/>
        <w:tblLayout w:type="fixed"/>
        <w:tblLook w:val="04A0" w:firstRow="1" w:lastRow="0" w:firstColumn="1" w:lastColumn="0" w:noHBand="0" w:noVBand="1"/>
      </w:tblPr>
      <w:tblGrid>
        <w:gridCol w:w="7513"/>
        <w:gridCol w:w="992"/>
      </w:tblGrid>
      <w:tr w:rsidR="00DF18BE" w:rsidRPr="00AE4E46" w14:paraId="3B288135" w14:textId="77777777" w:rsidTr="00AE4E46">
        <w:trPr>
          <w:trHeight w:val="315"/>
        </w:trPr>
        <w:tc>
          <w:tcPr>
            <w:tcW w:w="7513"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27809B7C" w14:textId="77777777" w:rsidR="00DF18BE" w:rsidRPr="00AE4E46" w:rsidRDefault="00DF18BE" w:rsidP="0067349D">
            <w:pPr>
              <w:spacing w:line="276" w:lineRule="auto"/>
              <w:rPr>
                <w:rFonts w:ascii="Arial" w:hAnsi="Arial" w:cs="Arial"/>
                <w:b/>
                <w:color w:val="FFFFFF" w:themeColor="background1"/>
                <w:sz w:val="18"/>
                <w:szCs w:val="18"/>
              </w:rPr>
            </w:pPr>
            <w:r w:rsidRPr="00AE4E46">
              <w:rPr>
                <w:rFonts w:ascii="Arial" w:hAnsi="Arial" w:cs="Arial"/>
                <w:b/>
                <w:color w:val="FFFFFF" w:themeColor="background1"/>
                <w:sz w:val="18"/>
                <w:szCs w:val="18"/>
              </w:rPr>
              <w:t>Comment</w:t>
            </w:r>
          </w:p>
        </w:tc>
        <w:tc>
          <w:tcPr>
            <w:tcW w:w="992" w:type="dxa"/>
            <w:tcBorders>
              <w:top w:val="single" w:sz="4" w:space="0" w:color="auto"/>
              <w:left w:val="nil"/>
              <w:bottom w:val="single" w:sz="4" w:space="0" w:color="auto"/>
              <w:right w:val="single" w:sz="4" w:space="0" w:color="auto"/>
            </w:tcBorders>
            <w:shd w:val="clear" w:color="auto" w:fill="548DD4" w:themeFill="text2" w:themeFillTint="99"/>
            <w:vAlign w:val="center"/>
          </w:tcPr>
          <w:p w14:paraId="0BD9BCB1" w14:textId="77777777" w:rsidR="00DF18BE" w:rsidRPr="00AE4E46" w:rsidRDefault="00DF18BE" w:rsidP="0067349D">
            <w:pPr>
              <w:spacing w:line="276" w:lineRule="auto"/>
              <w:jc w:val="right"/>
              <w:rPr>
                <w:rFonts w:ascii="Arial" w:hAnsi="Arial" w:cs="Arial"/>
                <w:b/>
                <w:color w:val="FFFFFF" w:themeColor="background1"/>
                <w:sz w:val="18"/>
                <w:szCs w:val="18"/>
              </w:rPr>
            </w:pPr>
            <w:r w:rsidRPr="00AE4E46">
              <w:rPr>
                <w:rFonts w:ascii="Arial" w:hAnsi="Arial" w:cs="Arial"/>
                <w:b/>
                <w:color w:val="FFFFFF" w:themeColor="background1"/>
                <w:sz w:val="18"/>
                <w:szCs w:val="18"/>
              </w:rPr>
              <w:t>Number</w:t>
            </w:r>
          </w:p>
        </w:tc>
      </w:tr>
      <w:tr w:rsidR="00DF18BE" w:rsidRPr="00AE4E46" w14:paraId="7451341E" w14:textId="77777777" w:rsidTr="00AE4E46">
        <w:trPr>
          <w:trHeight w:val="315"/>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19CDB" w14:textId="77777777" w:rsidR="00DF18BE" w:rsidRPr="00AE4E46" w:rsidRDefault="00DF18BE" w:rsidP="0067349D">
            <w:pPr>
              <w:spacing w:line="276" w:lineRule="auto"/>
              <w:rPr>
                <w:rFonts w:ascii="Arial" w:hAnsi="Arial" w:cs="Arial"/>
                <w:color w:val="000000"/>
                <w:sz w:val="18"/>
                <w:szCs w:val="18"/>
              </w:rPr>
            </w:pPr>
            <w:r w:rsidRPr="00AE4E46">
              <w:rPr>
                <w:rFonts w:ascii="Arial" w:hAnsi="Arial" w:cs="Arial"/>
                <w:color w:val="000000"/>
                <w:sz w:val="18"/>
                <w:szCs w:val="18"/>
              </w:rPr>
              <w:t>Council needs to improve its efficiency/ productivity/ streamline administration/ reduce wastage, reduce debt, find other sources of revenue (including more user pay)</w:t>
            </w:r>
          </w:p>
        </w:tc>
        <w:tc>
          <w:tcPr>
            <w:tcW w:w="992" w:type="dxa"/>
            <w:tcBorders>
              <w:top w:val="single" w:sz="4" w:space="0" w:color="auto"/>
              <w:left w:val="nil"/>
              <w:bottom w:val="single" w:sz="4" w:space="0" w:color="auto"/>
              <w:right w:val="single" w:sz="4" w:space="0" w:color="auto"/>
            </w:tcBorders>
            <w:shd w:val="clear" w:color="auto" w:fill="auto"/>
            <w:vAlign w:val="center"/>
          </w:tcPr>
          <w:p w14:paraId="1F1B45CB" w14:textId="77777777" w:rsidR="00DF18BE" w:rsidRPr="00AE4E46" w:rsidRDefault="00DF18BE" w:rsidP="0067349D">
            <w:pPr>
              <w:spacing w:line="276" w:lineRule="auto"/>
              <w:jc w:val="center"/>
              <w:rPr>
                <w:rFonts w:ascii="Arial" w:hAnsi="Arial" w:cs="Arial"/>
                <w:color w:val="000000"/>
                <w:sz w:val="18"/>
                <w:szCs w:val="18"/>
              </w:rPr>
            </w:pPr>
            <w:r w:rsidRPr="00AE4E46">
              <w:rPr>
                <w:rFonts w:ascii="Arial" w:hAnsi="Arial" w:cs="Arial"/>
                <w:color w:val="000000"/>
                <w:sz w:val="18"/>
                <w:szCs w:val="18"/>
              </w:rPr>
              <w:t>33</w:t>
            </w:r>
          </w:p>
        </w:tc>
      </w:tr>
      <w:tr w:rsidR="00DF18BE" w:rsidRPr="00AE4E46" w14:paraId="1FEAFF42" w14:textId="77777777" w:rsidTr="00AE4E46">
        <w:trPr>
          <w:trHeight w:val="315"/>
        </w:trPr>
        <w:tc>
          <w:tcPr>
            <w:tcW w:w="7513" w:type="dxa"/>
            <w:tcBorders>
              <w:top w:val="nil"/>
              <w:left w:val="single" w:sz="4" w:space="0" w:color="auto"/>
              <w:bottom w:val="single" w:sz="4" w:space="0" w:color="auto"/>
              <w:right w:val="single" w:sz="4" w:space="0" w:color="auto"/>
            </w:tcBorders>
            <w:shd w:val="clear" w:color="auto" w:fill="auto"/>
            <w:vAlign w:val="center"/>
          </w:tcPr>
          <w:p w14:paraId="6A4945A7" w14:textId="77777777" w:rsidR="00DF18BE" w:rsidRPr="00AE4E46" w:rsidRDefault="00DF18BE" w:rsidP="0067349D">
            <w:pPr>
              <w:spacing w:line="276" w:lineRule="auto"/>
              <w:rPr>
                <w:rFonts w:ascii="Arial" w:hAnsi="Arial" w:cs="Arial"/>
                <w:color w:val="000000"/>
                <w:sz w:val="18"/>
                <w:szCs w:val="18"/>
              </w:rPr>
            </w:pPr>
            <w:r w:rsidRPr="00AE4E46">
              <w:rPr>
                <w:rFonts w:ascii="Arial" w:hAnsi="Arial" w:cs="Arial"/>
                <w:color w:val="000000"/>
                <w:sz w:val="18"/>
                <w:szCs w:val="18"/>
              </w:rPr>
              <w:t>Can't afford a larger increase/affordability concerns</w:t>
            </w:r>
          </w:p>
        </w:tc>
        <w:tc>
          <w:tcPr>
            <w:tcW w:w="992" w:type="dxa"/>
            <w:tcBorders>
              <w:top w:val="single" w:sz="4" w:space="0" w:color="auto"/>
              <w:left w:val="nil"/>
              <w:bottom w:val="single" w:sz="4" w:space="0" w:color="auto"/>
              <w:right w:val="single" w:sz="4" w:space="0" w:color="auto"/>
            </w:tcBorders>
            <w:shd w:val="clear" w:color="auto" w:fill="auto"/>
            <w:vAlign w:val="center"/>
          </w:tcPr>
          <w:p w14:paraId="180200F2" w14:textId="77777777" w:rsidR="00DF18BE" w:rsidRPr="00AE4E46" w:rsidRDefault="00DF18BE" w:rsidP="0067349D">
            <w:pPr>
              <w:spacing w:line="276" w:lineRule="auto"/>
              <w:jc w:val="center"/>
              <w:rPr>
                <w:rFonts w:ascii="Arial" w:hAnsi="Arial" w:cs="Arial"/>
                <w:color w:val="000000"/>
                <w:sz w:val="18"/>
                <w:szCs w:val="18"/>
              </w:rPr>
            </w:pPr>
            <w:r w:rsidRPr="00AE4E46">
              <w:rPr>
                <w:rFonts w:ascii="Arial" w:hAnsi="Arial" w:cs="Arial"/>
                <w:color w:val="000000"/>
                <w:sz w:val="18"/>
                <w:szCs w:val="18"/>
              </w:rPr>
              <w:t>20</w:t>
            </w:r>
          </w:p>
        </w:tc>
      </w:tr>
      <w:tr w:rsidR="00DF18BE" w:rsidRPr="00AE4E46" w14:paraId="78C315D7" w14:textId="77777777" w:rsidTr="00AE4E46">
        <w:trPr>
          <w:trHeight w:val="315"/>
        </w:trPr>
        <w:tc>
          <w:tcPr>
            <w:tcW w:w="7513" w:type="dxa"/>
            <w:tcBorders>
              <w:top w:val="nil"/>
              <w:left w:val="single" w:sz="4" w:space="0" w:color="auto"/>
              <w:bottom w:val="single" w:sz="4" w:space="0" w:color="auto"/>
              <w:right w:val="single" w:sz="4" w:space="0" w:color="auto"/>
            </w:tcBorders>
            <w:shd w:val="clear" w:color="auto" w:fill="auto"/>
            <w:vAlign w:val="center"/>
            <w:hideMark/>
          </w:tcPr>
          <w:p w14:paraId="154F5B6C" w14:textId="77777777" w:rsidR="00DF18BE" w:rsidRPr="00AE4E46" w:rsidRDefault="00DF18BE" w:rsidP="0067349D">
            <w:pPr>
              <w:spacing w:line="276" w:lineRule="auto"/>
              <w:rPr>
                <w:rFonts w:ascii="Arial" w:hAnsi="Arial" w:cs="Arial"/>
                <w:color w:val="000000"/>
                <w:sz w:val="18"/>
                <w:szCs w:val="18"/>
              </w:rPr>
            </w:pPr>
            <w:r w:rsidRPr="00AE4E46">
              <w:rPr>
                <w:rFonts w:ascii="Arial" w:hAnsi="Arial" w:cs="Arial"/>
                <w:color w:val="000000"/>
                <w:sz w:val="18"/>
                <w:szCs w:val="18"/>
              </w:rPr>
              <w:t>My rates are more than the average/too high already</w:t>
            </w:r>
          </w:p>
        </w:tc>
        <w:tc>
          <w:tcPr>
            <w:tcW w:w="992" w:type="dxa"/>
            <w:tcBorders>
              <w:top w:val="single" w:sz="4" w:space="0" w:color="auto"/>
              <w:left w:val="nil"/>
              <w:bottom w:val="single" w:sz="4" w:space="0" w:color="auto"/>
              <w:right w:val="single" w:sz="4" w:space="0" w:color="auto"/>
            </w:tcBorders>
            <w:shd w:val="clear" w:color="auto" w:fill="auto"/>
            <w:vAlign w:val="center"/>
          </w:tcPr>
          <w:p w14:paraId="20730CE9" w14:textId="77777777" w:rsidR="00DF18BE" w:rsidRPr="00AE4E46" w:rsidRDefault="00DF18BE" w:rsidP="0067349D">
            <w:pPr>
              <w:spacing w:line="276" w:lineRule="auto"/>
              <w:jc w:val="center"/>
              <w:rPr>
                <w:rFonts w:ascii="Arial" w:hAnsi="Arial" w:cs="Arial"/>
                <w:color w:val="000000"/>
                <w:sz w:val="18"/>
                <w:szCs w:val="18"/>
              </w:rPr>
            </w:pPr>
            <w:r w:rsidRPr="00AE4E46">
              <w:rPr>
                <w:rFonts w:ascii="Arial" w:hAnsi="Arial" w:cs="Arial"/>
                <w:color w:val="000000"/>
                <w:sz w:val="18"/>
                <w:szCs w:val="18"/>
              </w:rPr>
              <w:t>14</w:t>
            </w:r>
          </w:p>
        </w:tc>
      </w:tr>
      <w:tr w:rsidR="00DF18BE" w:rsidRPr="00AE4E46" w14:paraId="653D414D" w14:textId="77777777" w:rsidTr="00AE4E46">
        <w:trPr>
          <w:trHeight w:val="315"/>
        </w:trPr>
        <w:tc>
          <w:tcPr>
            <w:tcW w:w="7513" w:type="dxa"/>
            <w:tcBorders>
              <w:top w:val="nil"/>
              <w:left w:val="single" w:sz="4" w:space="0" w:color="auto"/>
              <w:bottom w:val="single" w:sz="4" w:space="0" w:color="auto"/>
              <w:right w:val="single" w:sz="4" w:space="0" w:color="auto"/>
            </w:tcBorders>
            <w:shd w:val="clear" w:color="auto" w:fill="auto"/>
            <w:vAlign w:val="center"/>
          </w:tcPr>
          <w:p w14:paraId="6F29D915" w14:textId="77777777" w:rsidR="00DF18BE" w:rsidRPr="00AE4E46" w:rsidRDefault="00DF18BE" w:rsidP="0067349D">
            <w:pPr>
              <w:spacing w:line="276" w:lineRule="auto"/>
              <w:rPr>
                <w:rFonts w:ascii="Arial" w:hAnsi="Arial" w:cs="Arial"/>
                <w:color w:val="000000"/>
                <w:sz w:val="18"/>
                <w:szCs w:val="18"/>
              </w:rPr>
            </w:pPr>
            <w:r w:rsidRPr="00AE4E46">
              <w:rPr>
                <w:rFonts w:ascii="Arial" w:hAnsi="Arial" w:cs="Arial"/>
                <w:color w:val="000000"/>
                <w:sz w:val="18"/>
                <w:szCs w:val="18"/>
              </w:rPr>
              <w:t>Important to improve/maintain services and facilities in following areas: emergency services, natural environment, built infrastructure, green bins, footpaths, guttering, disabled access, RSPCA, weed removal, theatre space in Katoomba, upper mountain cycle paths connecting villages, roundabouts or lights on Hawkesbury Rd</w:t>
            </w:r>
          </w:p>
        </w:tc>
        <w:tc>
          <w:tcPr>
            <w:tcW w:w="992" w:type="dxa"/>
            <w:tcBorders>
              <w:top w:val="single" w:sz="4" w:space="0" w:color="auto"/>
              <w:left w:val="nil"/>
              <w:bottom w:val="single" w:sz="4" w:space="0" w:color="auto"/>
              <w:right w:val="single" w:sz="4" w:space="0" w:color="auto"/>
            </w:tcBorders>
            <w:shd w:val="clear" w:color="auto" w:fill="auto"/>
            <w:vAlign w:val="center"/>
          </w:tcPr>
          <w:p w14:paraId="3379DDC3" w14:textId="77777777" w:rsidR="00DF18BE" w:rsidRPr="00AE4E46" w:rsidRDefault="00DF18BE" w:rsidP="0067349D">
            <w:pPr>
              <w:spacing w:line="276" w:lineRule="auto"/>
              <w:jc w:val="center"/>
              <w:rPr>
                <w:rFonts w:ascii="Arial" w:hAnsi="Arial" w:cs="Arial"/>
                <w:color w:val="000000"/>
                <w:sz w:val="18"/>
                <w:szCs w:val="18"/>
              </w:rPr>
            </w:pPr>
            <w:r w:rsidRPr="00AE4E46">
              <w:rPr>
                <w:rFonts w:ascii="Arial" w:hAnsi="Arial" w:cs="Arial"/>
                <w:color w:val="000000"/>
                <w:sz w:val="18"/>
                <w:szCs w:val="18"/>
              </w:rPr>
              <w:t>16</w:t>
            </w:r>
          </w:p>
        </w:tc>
      </w:tr>
      <w:tr w:rsidR="00DF18BE" w:rsidRPr="00AE4E46" w14:paraId="6F7BAEB2" w14:textId="77777777" w:rsidTr="00AE4E46">
        <w:trPr>
          <w:trHeight w:val="315"/>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79FF2167" w14:textId="77777777" w:rsidR="00DF18BE" w:rsidRPr="00AE4E46" w:rsidRDefault="00DF18BE" w:rsidP="0067349D">
            <w:pPr>
              <w:spacing w:line="276" w:lineRule="auto"/>
              <w:rPr>
                <w:rFonts w:ascii="Arial" w:hAnsi="Arial" w:cs="Arial"/>
                <w:color w:val="000000"/>
                <w:sz w:val="18"/>
                <w:szCs w:val="18"/>
              </w:rPr>
            </w:pPr>
            <w:r w:rsidRPr="00AE4E46">
              <w:rPr>
                <w:rFonts w:ascii="Arial" w:hAnsi="Arial" w:cs="Arial"/>
                <w:color w:val="000000"/>
                <w:sz w:val="18"/>
                <w:szCs w:val="18"/>
              </w:rPr>
              <w:t>Lack of services and/or facilities currently</w:t>
            </w:r>
          </w:p>
        </w:tc>
        <w:tc>
          <w:tcPr>
            <w:tcW w:w="992" w:type="dxa"/>
            <w:tcBorders>
              <w:top w:val="single" w:sz="4" w:space="0" w:color="auto"/>
              <w:left w:val="nil"/>
              <w:bottom w:val="single" w:sz="4" w:space="0" w:color="auto"/>
              <w:right w:val="single" w:sz="4" w:space="0" w:color="auto"/>
            </w:tcBorders>
            <w:shd w:val="clear" w:color="auto" w:fill="auto"/>
            <w:vAlign w:val="center"/>
          </w:tcPr>
          <w:p w14:paraId="4BB164FA" w14:textId="77777777" w:rsidR="00DF18BE" w:rsidRPr="00AE4E46" w:rsidRDefault="00DF18BE" w:rsidP="0067349D">
            <w:pPr>
              <w:spacing w:line="276" w:lineRule="auto"/>
              <w:jc w:val="center"/>
              <w:rPr>
                <w:rFonts w:ascii="Arial" w:hAnsi="Arial" w:cs="Arial"/>
                <w:color w:val="000000"/>
                <w:sz w:val="18"/>
                <w:szCs w:val="18"/>
              </w:rPr>
            </w:pPr>
            <w:r w:rsidRPr="00AE4E46">
              <w:rPr>
                <w:rFonts w:ascii="Arial" w:hAnsi="Arial" w:cs="Arial"/>
                <w:color w:val="000000"/>
                <w:sz w:val="18"/>
                <w:szCs w:val="18"/>
              </w:rPr>
              <w:t>12</w:t>
            </w:r>
          </w:p>
        </w:tc>
      </w:tr>
      <w:tr w:rsidR="00DF18BE" w:rsidRPr="00AE4E46" w14:paraId="79787625" w14:textId="77777777" w:rsidTr="00AE4E46">
        <w:trPr>
          <w:trHeight w:val="315"/>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76E9E7BC" w14:textId="77777777" w:rsidR="00DF18BE" w:rsidRPr="00AE4E46" w:rsidRDefault="00DF18BE" w:rsidP="0067349D">
            <w:pPr>
              <w:spacing w:line="276" w:lineRule="auto"/>
              <w:rPr>
                <w:rFonts w:ascii="Arial" w:hAnsi="Arial" w:cs="Arial"/>
                <w:color w:val="000000"/>
                <w:sz w:val="18"/>
                <w:szCs w:val="18"/>
              </w:rPr>
            </w:pPr>
            <w:r w:rsidRPr="00AE4E46">
              <w:rPr>
                <w:rFonts w:ascii="Arial" w:hAnsi="Arial" w:cs="Arial"/>
                <w:color w:val="000000"/>
                <w:sz w:val="18"/>
                <w:szCs w:val="18"/>
              </w:rPr>
              <w:t>Other - wide range of miscellaneous comments</w:t>
            </w:r>
          </w:p>
        </w:tc>
        <w:tc>
          <w:tcPr>
            <w:tcW w:w="992" w:type="dxa"/>
            <w:tcBorders>
              <w:top w:val="single" w:sz="4" w:space="0" w:color="auto"/>
              <w:left w:val="nil"/>
              <w:bottom w:val="single" w:sz="4" w:space="0" w:color="auto"/>
              <w:right w:val="single" w:sz="4" w:space="0" w:color="auto"/>
            </w:tcBorders>
            <w:shd w:val="clear" w:color="auto" w:fill="auto"/>
          </w:tcPr>
          <w:p w14:paraId="066C07EB" w14:textId="77777777" w:rsidR="00DF18BE" w:rsidRPr="00AE4E46" w:rsidRDefault="00DF18BE" w:rsidP="0067349D">
            <w:pPr>
              <w:spacing w:line="276" w:lineRule="auto"/>
              <w:jc w:val="center"/>
              <w:rPr>
                <w:rFonts w:ascii="Arial" w:hAnsi="Arial" w:cs="Arial"/>
                <w:color w:val="000000"/>
                <w:sz w:val="18"/>
                <w:szCs w:val="18"/>
              </w:rPr>
            </w:pPr>
            <w:r w:rsidRPr="00AE4E46">
              <w:rPr>
                <w:rFonts w:ascii="Arial" w:hAnsi="Arial" w:cs="Arial"/>
                <w:color w:val="000000"/>
                <w:sz w:val="18"/>
                <w:szCs w:val="18"/>
              </w:rPr>
              <w:t>80</w:t>
            </w:r>
          </w:p>
        </w:tc>
      </w:tr>
    </w:tbl>
    <w:p w14:paraId="70909C49" w14:textId="77777777" w:rsidR="00DF18BE" w:rsidRPr="00AE4E46" w:rsidRDefault="00DF18BE" w:rsidP="00AE4E46">
      <w:pPr>
        <w:ind w:left="426"/>
        <w:rPr>
          <w:rFonts w:ascii="Arial" w:hAnsi="Arial" w:cs="Arial"/>
          <w:i/>
          <w:sz w:val="18"/>
          <w:szCs w:val="18"/>
        </w:rPr>
      </w:pPr>
      <w:r w:rsidRPr="00AE4E46">
        <w:rPr>
          <w:rFonts w:ascii="Arial" w:eastAsia="Arial" w:hAnsi="Arial" w:cs="Arial"/>
          <w:i/>
          <w:sz w:val="18"/>
          <w:szCs w:val="18"/>
        </w:rPr>
        <w:t>Note: many submissions made more than one comment so total number of comments is greater than the number of submissions received</w:t>
      </w:r>
    </w:p>
    <w:p w14:paraId="39D02719" w14:textId="79861F1D" w:rsidR="00360814" w:rsidRDefault="00360814">
      <w:pPr>
        <w:rPr>
          <w:rFonts w:ascii="Arial" w:eastAsia="Arial" w:hAnsi="Arial" w:cs="Arial"/>
          <w:i/>
        </w:rPr>
      </w:pPr>
    </w:p>
    <w:p w14:paraId="570752B2" w14:textId="738B15CC" w:rsidR="00420873" w:rsidRPr="00D65400" w:rsidRDefault="00420873" w:rsidP="00314BBF">
      <w:pPr>
        <w:widowControl w:val="0"/>
        <w:spacing w:line="276" w:lineRule="auto"/>
        <w:jc w:val="both"/>
        <w:rPr>
          <w:rFonts w:ascii="Arial" w:eastAsia="Arial" w:hAnsi="Arial" w:cs="Arial"/>
          <w:i/>
          <w:sz w:val="20"/>
          <w:szCs w:val="20"/>
          <w:u w:val="single"/>
        </w:rPr>
      </w:pPr>
      <w:r w:rsidRPr="00D65400">
        <w:rPr>
          <w:rFonts w:ascii="Arial" w:eastAsia="Arial" w:hAnsi="Arial" w:cs="Arial"/>
          <w:i/>
          <w:sz w:val="20"/>
          <w:szCs w:val="20"/>
          <w:u w:val="single"/>
        </w:rPr>
        <w:t xml:space="preserve">Option 3 </w:t>
      </w:r>
    </w:p>
    <w:p w14:paraId="4EFC6389" w14:textId="77777777" w:rsidR="00420873" w:rsidRPr="00196EAC" w:rsidRDefault="00420873" w:rsidP="00420873">
      <w:pPr>
        <w:spacing w:before="5" w:line="276" w:lineRule="auto"/>
        <w:rPr>
          <w:rFonts w:ascii="Arial" w:hAnsi="Arial" w:cs="Arial"/>
          <w:sz w:val="13"/>
          <w:szCs w:val="13"/>
          <w:highlight w:val="yellow"/>
        </w:rPr>
      </w:pPr>
    </w:p>
    <w:p w14:paraId="438355B0" w14:textId="77777777" w:rsidR="00420873" w:rsidRPr="00360814" w:rsidRDefault="00420873" w:rsidP="00314BBF">
      <w:pPr>
        <w:spacing w:line="276" w:lineRule="auto"/>
        <w:jc w:val="both"/>
        <w:rPr>
          <w:rFonts w:ascii="Arial" w:eastAsia="Arial" w:hAnsi="Arial" w:cs="Arial"/>
          <w:sz w:val="20"/>
          <w:szCs w:val="20"/>
        </w:rPr>
      </w:pPr>
      <w:r w:rsidRPr="00360814">
        <w:rPr>
          <w:rFonts w:ascii="Arial" w:eastAsia="Arial" w:hAnsi="Arial" w:cs="Arial"/>
          <w:b/>
          <w:sz w:val="20"/>
          <w:szCs w:val="20"/>
        </w:rPr>
        <w:t>Out the 880 Option 3 submissions received, 221 (or 25%) had comments.</w:t>
      </w:r>
      <w:r w:rsidRPr="00360814">
        <w:rPr>
          <w:rFonts w:ascii="Arial" w:eastAsia="Arial" w:hAnsi="Arial" w:cs="Arial"/>
          <w:sz w:val="20"/>
          <w:szCs w:val="20"/>
        </w:rPr>
        <w:t xml:space="preserve"> Of note is that 13 submissions did support the continuation of the Environment Levy while supporting reductions in services elsewhere. Other key themes raised are summarised below.</w:t>
      </w:r>
    </w:p>
    <w:p w14:paraId="2C0A29A0" w14:textId="5A66A748" w:rsidR="00420873" w:rsidRPr="00AD2D16" w:rsidRDefault="00420873" w:rsidP="00420873">
      <w:pPr>
        <w:pStyle w:val="Caption"/>
        <w:spacing w:after="0" w:line="276" w:lineRule="auto"/>
        <w:ind w:left="426" w:firstLine="0"/>
        <w:rPr>
          <w:rFonts w:cs="Arial"/>
          <w:sz w:val="18"/>
          <w:szCs w:val="18"/>
        </w:rPr>
      </w:pPr>
      <w:r w:rsidRPr="00AD2D16">
        <w:rPr>
          <w:rFonts w:cs="Arial"/>
          <w:sz w:val="18"/>
          <w:szCs w:val="18"/>
        </w:rPr>
        <w:t xml:space="preserve">Table </w:t>
      </w:r>
      <w:r w:rsidR="00CA6AB3" w:rsidRPr="00AD2D16">
        <w:rPr>
          <w:rFonts w:cs="Arial"/>
          <w:sz w:val="18"/>
          <w:szCs w:val="18"/>
        </w:rPr>
        <w:t>4.</w:t>
      </w:r>
      <w:r w:rsidR="00360814" w:rsidRPr="00AD2D16">
        <w:rPr>
          <w:rFonts w:cs="Arial"/>
          <w:sz w:val="18"/>
          <w:szCs w:val="18"/>
        </w:rPr>
        <w:t>10</w:t>
      </w:r>
      <w:r w:rsidR="00CA6AB3" w:rsidRPr="00AD2D16">
        <w:rPr>
          <w:rFonts w:cs="Arial"/>
          <w:sz w:val="18"/>
          <w:szCs w:val="18"/>
        </w:rPr>
        <w:t>:</w:t>
      </w:r>
      <w:r w:rsidRPr="00AD2D16">
        <w:rPr>
          <w:rFonts w:cs="Arial"/>
          <w:sz w:val="18"/>
          <w:szCs w:val="18"/>
        </w:rPr>
        <w:t xml:space="preserve"> Key comments from submissions supporting Option 3</w:t>
      </w:r>
    </w:p>
    <w:tbl>
      <w:tblPr>
        <w:tblW w:w="8505" w:type="dxa"/>
        <w:tblInd w:w="392" w:type="dxa"/>
        <w:tblLook w:val="04A0" w:firstRow="1" w:lastRow="0" w:firstColumn="1" w:lastColumn="0" w:noHBand="0" w:noVBand="1"/>
      </w:tblPr>
      <w:tblGrid>
        <w:gridCol w:w="6662"/>
        <w:gridCol w:w="1843"/>
      </w:tblGrid>
      <w:tr w:rsidR="00DF18BE" w:rsidRPr="00AE4E46" w14:paraId="742B3DBF" w14:textId="77777777" w:rsidTr="00DF18BE">
        <w:trPr>
          <w:trHeight w:val="315"/>
          <w:tblHeader/>
        </w:trPr>
        <w:tc>
          <w:tcPr>
            <w:tcW w:w="6662"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35C78353" w14:textId="77777777" w:rsidR="00DF18BE" w:rsidRPr="00AE4E46" w:rsidRDefault="00DF18BE" w:rsidP="0067349D">
            <w:pPr>
              <w:spacing w:line="276" w:lineRule="auto"/>
              <w:rPr>
                <w:rFonts w:ascii="Arial" w:hAnsi="Arial" w:cs="Arial"/>
                <w:b/>
                <w:color w:val="FFFFFF" w:themeColor="background1"/>
                <w:sz w:val="18"/>
                <w:szCs w:val="18"/>
              </w:rPr>
            </w:pPr>
            <w:r w:rsidRPr="00AE4E46">
              <w:rPr>
                <w:rFonts w:ascii="Arial" w:hAnsi="Arial" w:cs="Arial"/>
                <w:b/>
                <w:color w:val="FFFFFF" w:themeColor="background1"/>
                <w:sz w:val="18"/>
                <w:szCs w:val="18"/>
              </w:rPr>
              <w:t>Comment</w:t>
            </w:r>
          </w:p>
        </w:tc>
        <w:tc>
          <w:tcPr>
            <w:tcW w:w="1843" w:type="dxa"/>
            <w:tcBorders>
              <w:top w:val="single" w:sz="4" w:space="0" w:color="auto"/>
              <w:left w:val="nil"/>
              <w:bottom w:val="single" w:sz="4" w:space="0" w:color="auto"/>
              <w:right w:val="single" w:sz="4" w:space="0" w:color="auto"/>
            </w:tcBorders>
            <w:shd w:val="clear" w:color="auto" w:fill="548DD4" w:themeFill="text2" w:themeFillTint="99"/>
            <w:vAlign w:val="center"/>
          </w:tcPr>
          <w:p w14:paraId="4205D0E2" w14:textId="77777777" w:rsidR="00DF18BE" w:rsidRPr="00AE4E46" w:rsidRDefault="00DF18BE" w:rsidP="00D65400">
            <w:pPr>
              <w:spacing w:line="276" w:lineRule="auto"/>
              <w:jc w:val="center"/>
              <w:rPr>
                <w:rFonts w:ascii="Arial" w:hAnsi="Arial" w:cs="Arial"/>
                <w:b/>
                <w:color w:val="FFFFFF" w:themeColor="background1"/>
                <w:sz w:val="18"/>
                <w:szCs w:val="18"/>
              </w:rPr>
            </w:pPr>
            <w:r w:rsidRPr="00AE4E46">
              <w:rPr>
                <w:rFonts w:ascii="Arial" w:hAnsi="Arial" w:cs="Arial"/>
                <w:b/>
                <w:color w:val="FFFFFF" w:themeColor="background1"/>
                <w:sz w:val="18"/>
                <w:szCs w:val="18"/>
              </w:rPr>
              <w:t>Number</w:t>
            </w:r>
          </w:p>
        </w:tc>
      </w:tr>
      <w:tr w:rsidR="00DF18BE" w:rsidRPr="00AE4E46" w14:paraId="42524FBB" w14:textId="77777777" w:rsidTr="00DF18BE">
        <w:trPr>
          <w:trHeight w:val="315"/>
        </w:trPr>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ECCBD0" w14:textId="77777777" w:rsidR="00DF18BE" w:rsidRPr="00AE4E46" w:rsidRDefault="00DF18BE" w:rsidP="0067349D">
            <w:pPr>
              <w:spacing w:line="276" w:lineRule="auto"/>
              <w:rPr>
                <w:rFonts w:ascii="Arial" w:hAnsi="Arial" w:cs="Arial"/>
                <w:color w:val="000000"/>
                <w:sz w:val="18"/>
                <w:szCs w:val="18"/>
              </w:rPr>
            </w:pPr>
            <w:r w:rsidRPr="00AE4E46">
              <w:rPr>
                <w:rFonts w:ascii="Arial" w:hAnsi="Arial" w:cs="Arial"/>
                <w:color w:val="000000"/>
                <w:sz w:val="18"/>
                <w:szCs w:val="18"/>
              </w:rPr>
              <w:t>Council needs to improve its efficiency/ productivity/ streamline administration/ reduce wastage, reduce debt, find other sources of revenue (including more user pay)</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14:paraId="4C53B4F7" w14:textId="77777777" w:rsidR="00DF18BE" w:rsidRPr="00AE4E46" w:rsidRDefault="00DF18BE" w:rsidP="0067349D">
            <w:pPr>
              <w:spacing w:line="276" w:lineRule="auto"/>
              <w:jc w:val="center"/>
              <w:rPr>
                <w:rFonts w:ascii="Arial" w:hAnsi="Arial" w:cs="Arial"/>
                <w:color w:val="000000"/>
                <w:sz w:val="18"/>
                <w:szCs w:val="18"/>
              </w:rPr>
            </w:pPr>
            <w:r w:rsidRPr="00AE4E46">
              <w:rPr>
                <w:rFonts w:ascii="Arial" w:hAnsi="Arial" w:cs="Arial"/>
                <w:color w:val="000000"/>
                <w:sz w:val="18"/>
                <w:szCs w:val="18"/>
              </w:rPr>
              <w:t>75</w:t>
            </w:r>
          </w:p>
        </w:tc>
      </w:tr>
      <w:tr w:rsidR="00DF18BE" w:rsidRPr="00AE4E46" w14:paraId="37AFC9C6" w14:textId="77777777" w:rsidTr="00DF18BE">
        <w:trPr>
          <w:trHeight w:val="315"/>
        </w:trPr>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C99744" w14:textId="77777777" w:rsidR="00DF18BE" w:rsidRPr="00AE4E46" w:rsidRDefault="00DF18BE" w:rsidP="0067349D">
            <w:pPr>
              <w:spacing w:line="276" w:lineRule="auto"/>
              <w:rPr>
                <w:rFonts w:ascii="Arial" w:hAnsi="Arial" w:cs="Arial"/>
                <w:color w:val="000000"/>
                <w:sz w:val="18"/>
                <w:szCs w:val="18"/>
              </w:rPr>
            </w:pPr>
            <w:r w:rsidRPr="00AE4E46">
              <w:rPr>
                <w:rFonts w:ascii="Arial" w:hAnsi="Arial" w:cs="Arial"/>
                <w:color w:val="000000"/>
                <w:sz w:val="18"/>
                <w:szCs w:val="18"/>
              </w:rPr>
              <w:t>Can't afford an increase/affordability concerns</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14:paraId="52BCFFD7" w14:textId="77777777" w:rsidR="00DF18BE" w:rsidRPr="00AE4E46" w:rsidRDefault="00DF18BE" w:rsidP="0067349D">
            <w:pPr>
              <w:spacing w:line="276" w:lineRule="auto"/>
              <w:jc w:val="center"/>
              <w:rPr>
                <w:rFonts w:ascii="Arial" w:hAnsi="Arial" w:cs="Arial"/>
                <w:color w:val="000000"/>
                <w:sz w:val="18"/>
                <w:szCs w:val="18"/>
              </w:rPr>
            </w:pPr>
            <w:r w:rsidRPr="00AE4E46">
              <w:rPr>
                <w:rFonts w:ascii="Arial" w:hAnsi="Arial" w:cs="Arial"/>
                <w:color w:val="000000"/>
                <w:sz w:val="18"/>
                <w:szCs w:val="18"/>
              </w:rPr>
              <w:t>38</w:t>
            </w:r>
          </w:p>
        </w:tc>
      </w:tr>
      <w:tr w:rsidR="00DF18BE" w:rsidRPr="00AE4E46" w14:paraId="424DECC5" w14:textId="77777777" w:rsidTr="00DF18BE">
        <w:trPr>
          <w:trHeight w:val="315"/>
        </w:trPr>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DC95A1" w14:textId="77777777" w:rsidR="00DF18BE" w:rsidRPr="00AE4E46" w:rsidRDefault="00DF18BE" w:rsidP="0067349D">
            <w:pPr>
              <w:spacing w:line="276" w:lineRule="auto"/>
              <w:rPr>
                <w:rFonts w:ascii="Arial" w:hAnsi="Arial" w:cs="Arial"/>
                <w:color w:val="000000"/>
                <w:sz w:val="18"/>
                <w:szCs w:val="18"/>
              </w:rPr>
            </w:pPr>
            <w:r w:rsidRPr="00AE4E46">
              <w:rPr>
                <w:rFonts w:ascii="Arial" w:hAnsi="Arial" w:cs="Arial"/>
                <w:color w:val="000000"/>
                <w:sz w:val="18"/>
                <w:szCs w:val="18"/>
              </w:rPr>
              <w:t>My rates are more than the average/too high already</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14:paraId="4265467C" w14:textId="77777777" w:rsidR="00DF18BE" w:rsidRPr="00AE4E46" w:rsidRDefault="00DF18BE" w:rsidP="0067349D">
            <w:pPr>
              <w:spacing w:line="276" w:lineRule="auto"/>
              <w:jc w:val="center"/>
              <w:rPr>
                <w:rFonts w:ascii="Arial" w:hAnsi="Arial" w:cs="Arial"/>
                <w:color w:val="000000"/>
                <w:sz w:val="18"/>
                <w:szCs w:val="18"/>
              </w:rPr>
            </w:pPr>
            <w:r w:rsidRPr="00AE4E46">
              <w:rPr>
                <w:rFonts w:ascii="Arial" w:hAnsi="Arial" w:cs="Arial"/>
                <w:color w:val="000000"/>
                <w:sz w:val="18"/>
                <w:szCs w:val="18"/>
              </w:rPr>
              <w:t>30</w:t>
            </w:r>
          </w:p>
        </w:tc>
      </w:tr>
      <w:tr w:rsidR="00DF18BE" w:rsidRPr="00AE4E46" w14:paraId="648F4F05" w14:textId="77777777" w:rsidTr="00DF18BE">
        <w:trPr>
          <w:trHeight w:val="315"/>
        </w:trPr>
        <w:tc>
          <w:tcPr>
            <w:tcW w:w="6662" w:type="dxa"/>
            <w:tcBorders>
              <w:top w:val="nil"/>
              <w:left w:val="single" w:sz="4" w:space="0" w:color="auto"/>
              <w:bottom w:val="single" w:sz="4" w:space="0" w:color="auto"/>
              <w:right w:val="single" w:sz="4" w:space="0" w:color="auto"/>
            </w:tcBorders>
            <w:shd w:val="clear" w:color="auto" w:fill="FFFFFF" w:themeFill="background1"/>
            <w:vAlign w:val="center"/>
          </w:tcPr>
          <w:p w14:paraId="428126B8" w14:textId="77777777" w:rsidR="00DF18BE" w:rsidRPr="00AE4E46" w:rsidRDefault="00DF18BE" w:rsidP="0067349D">
            <w:pPr>
              <w:spacing w:line="276" w:lineRule="auto"/>
              <w:rPr>
                <w:rFonts w:ascii="Arial" w:hAnsi="Arial" w:cs="Arial"/>
                <w:color w:val="000000"/>
                <w:sz w:val="18"/>
                <w:szCs w:val="18"/>
              </w:rPr>
            </w:pPr>
            <w:r w:rsidRPr="00AE4E46">
              <w:rPr>
                <w:rFonts w:ascii="Arial" w:hAnsi="Arial" w:cs="Arial"/>
                <w:color w:val="000000"/>
                <w:sz w:val="18"/>
                <w:szCs w:val="18"/>
              </w:rPr>
              <w:t>Lack of services and/or facilities currently or don’t use facilities</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14:paraId="6FB742EC" w14:textId="77777777" w:rsidR="00DF18BE" w:rsidRPr="00AE4E46" w:rsidRDefault="00DF18BE" w:rsidP="0067349D">
            <w:pPr>
              <w:spacing w:line="276" w:lineRule="auto"/>
              <w:jc w:val="center"/>
              <w:rPr>
                <w:rFonts w:ascii="Arial" w:hAnsi="Arial" w:cs="Arial"/>
                <w:color w:val="000000"/>
                <w:sz w:val="18"/>
                <w:szCs w:val="18"/>
              </w:rPr>
            </w:pPr>
            <w:r w:rsidRPr="00AE4E46">
              <w:rPr>
                <w:rFonts w:ascii="Arial" w:hAnsi="Arial" w:cs="Arial"/>
                <w:color w:val="000000"/>
                <w:sz w:val="18"/>
                <w:szCs w:val="18"/>
              </w:rPr>
              <w:t>29</w:t>
            </w:r>
          </w:p>
        </w:tc>
      </w:tr>
      <w:tr w:rsidR="00DF18BE" w:rsidRPr="00AE4E46" w14:paraId="7C042B28" w14:textId="77777777" w:rsidTr="00DF18BE">
        <w:trPr>
          <w:trHeight w:val="315"/>
        </w:trPr>
        <w:tc>
          <w:tcPr>
            <w:tcW w:w="6662" w:type="dxa"/>
            <w:tcBorders>
              <w:top w:val="nil"/>
              <w:left w:val="single" w:sz="4" w:space="0" w:color="auto"/>
              <w:bottom w:val="single" w:sz="4" w:space="0" w:color="auto"/>
              <w:right w:val="single" w:sz="4" w:space="0" w:color="auto"/>
            </w:tcBorders>
            <w:shd w:val="clear" w:color="auto" w:fill="FFFFFF" w:themeFill="background1"/>
            <w:vAlign w:val="center"/>
          </w:tcPr>
          <w:p w14:paraId="68D7533F" w14:textId="77777777" w:rsidR="00DF18BE" w:rsidRPr="00AE4E46" w:rsidRDefault="00DF18BE" w:rsidP="0067349D">
            <w:pPr>
              <w:spacing w:line="276" w:lineRule="auto"/>
              <w:rPr>
                <w:rFonts w:ascii="Arial" w:hAnsi="Arial" w:cs="Arial"/>
                <w:color w:val="000000"/>
                <w:sz w:val="18"/>
                <w:szCs w:val="18"/>
              </w:rPr>
            </w:pPr>
            <w:r w:rsidRPr="00AE4E46">
              <w:rPr>
                <w:rFonts w:ascii="Arial" w:hAnsi="Arial" w:cs="Arial"/>
                <w:color w:val="000000"/>
                <w:sz w:val="18"/>
                <w:szCs w:val="18"/>
              </w:rPr>
              <w:t>Lack of information provided/misleading information</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14:paraId="27A18F53" w14:textId="77777777" w:rsidR="00DF18BE" w:rsidRPr="00AE4E46" w:rsidRDefault="00DF18BE" w:rsidP="0067349D">
            <w:pPr>
              <w:spacing w:line="276" w:lineRule="auto"/>
              <w:jc w:val="center"/>
              <w:rPr>
                <w:rFonts w:ascii="Arial" w:hAnsi="Arial" w:cs="Arial"/>
                <w:color w:val="000000"/>
                <w:sz w:val="18"/>
                <w:szCs w:val="18"/>
              </w:rPr>
            </w:pPr>
            <w:r w:rsidRPr="00AE4E46">
              <w:rPr>
                <w:rFonts w:ascii="Arial" w:hAnsi="Arial" w:cs="Arial"/>
                <w:color w:val="000000"/>
                <w:sz w:val="18"/>
                <w:szCs w:val="18"/>
              </w:rPr>
              <w:t>27</w:t>
            </w:r>
          </w:p>
        </w:tc>
      </w:tr>
      <w:tr w:rsidR="00DF18BE" w:rsidRPr="00AE4E46" w14:paraId="2E504C4E" w14:textId="77777777" w:rsidTr="00DF18BE">
        <w:trPr>
          <w:trHeight w:val="315"/>
        </w:trPr>
        <w:tc>
          <w:tcPr>
            <w:tcW w:w="6662" w:type="dxa"/>
            <w:tcBorders>
              <w:top w:val="nil"/>
              <w:left w:val="single" w:sz="4" w:space="0" w:color="auto"/>
              <w:bottom w:val="single" w:sz="4" w:space="0" w:color="auto"/>
              <w:right w:val="single" w:sz="4" w:space="0" w:color="auto"/>
            </w:tcBorders>
            <w:shd w:val="clear" w:color="auto" w:fill="FFFFFF" w:themeFill="background1"/>
            <w:vAlign w:val="center"/>
          </w:tcPr>
          <w:p w14:paraId="46F88CBA" w14:textId="77777777" w:rsidR="00DF18BE" w:rsidRPr="00AE4E46" w:rsidRDefault="00DF18BE" w:rsidP="0067349D">
            <w:pPr>
              <w:spacing w:line="276" w:lineRule="auto"/>
              <w:rPr>
                <w:rFonts w:ascii="Arial" w:hAnsi="Arial" w:cs="Arial"/>
                <w:color w:val="000000"/>
                <w:sz w:val="18"/>
                <w:szCs w:val="18"/>
              </w:rPr>
            </w:pPr>
            <w:r w:rsidRPr="00AE4E46">
              <w:rPr>
                <w:rFonts w:ascii="Arial" w:hAnsi="Arial" w:cs="Arial"/>
                <w:color w:val="000000"/>
                <w:sz w:val="18"/>
                <w:szCs w:val="18"/>
              </w:rPr>
              <w:t>Not happy about Council’s past performance</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14:paraId="483B8453" w14:textId="77777777" w:rsidR="00DF18BE" w:rsidRPr="00AE4E46" w:rsidRDefault="00DF18BE" w:rsidP="0067349D">
            <w:pPr>
              <w:spacing w:line="276" w:lineRule="auto"/>
              <w:jc w:val="center"/>
              <w:rPr>
                <w:rFonts w:ascii="Arial" w:hAnsi="Arial" w:cs="Arial"/>
                <w:color w:val="000000"/>
                <w:sz w:val="18"/>
                <w:szCs w:val="18"/>
              </w:rPr>
            </w:pPr>
            <w:r w:rsidRPr="00AE4E46">
              <w:rPr>
                <w:rFonts w:ascii="Arial" w:hAnsi="Arial" w:cs="Arial"/>
                <w:color w:val="000000"/>
                <w:sz w:val="18"/>
                <w:szCs w:val="18"/>
              </w:rPr>
              <w:t>23</w:t>
            </w:r>
          </w:p>
        </w:tc>
      </w:tr>
      <w:tr w:rsidR="00DF18BE" w:rsidRPr="00AE4E46" w14:paraId="6476B84A" w14:textId="77777777" w:rsidTr="00DF18BE">
        <w:trPr>
          <w:trHeight w:val="315"/>
        </w:trPr>
        <w:tc>
          <w:tcPr>
            <w:tcW w:w="6662" w:type="dxa"/>
            <w:tcBorders>
              <w:top w:val="nil"/>
              <w:left w:val="single" w:sz="4" w:space="0" w:color="auto"/>
              <w:bottom w:val="single" w:sz="4" w:space="0" w:color="auto"/>
              <w:right w:val="single" w:sz="4" w:space="0" w:color="auto"/>
            </w:tcBorders>
            <w:shd w:val="clear" w:color="auto" w:fill="FFFFFF" w:themeFill="background1"/>
            <w:vAlign w:val="center"/>
          </w:tcPr>
          <w:p w14:paraId="598C123E" w14:textId="77777777" w:rsidR="00DF18BE" w:rsidRPr="00AE4E46" w:rsidRDefault="00DF18BE" w:rsidP="0067349D">
            <w:pPr>
              <w:spacing w:line="276" w:lineRule="auto"/>
              <w:rPr>
                <w:rFonts w:ascii="Arial" w:hAnsi="Arial" w:cs="Arial"/>
                <w:color w:val="000000"/>
                <w:sz w:val="18"/>
                <w:szCs w:val="18"/>
              </w:rPr>
            </w:pPr>
            <w:r w:rsidRPr="00AE4E46">
              <w:rPr>
                <w:rFonts w:ascii="Arial" w:hAnsi="Arial" w:cs="Arial"/>
                <w:color w:val="000000"/>
                <w:sz w:val="18"/>
                <w:szCs w:val="18"/>
              </w:rPr>
              <w:t>Reduce services &amp; facilities with the following suggestions provided - travel, cultural and arts areas, food for meetings, running two administration centres, environment work, Land &amp; Environment Court proceedings, sister cities, nuclear free zones, anything other than roads &amp; rubbish, pools, libraries, train book service, murals, consultations, keep to core business only</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14:paraId="6DA4C06B" w14:textId="77777777" w:rsidR="00DF18BE" w:rsidRPr="00AE4E46" w:rsidRDefault="00DF18BE" w:rsidP="0067349D">
            <w:pPr>
              <w:spacing w:line="276" w:lineRule="auto"/>
              <w:jc w:val="center"/>
              <w:rPr>
                <w:rFonts w:ascii="Arial" w:hAnsi="Arial" w:cs="Arial"/>
                <w:color w:val="000000"/>
                <w:sz w:val="18"/>
                <w:szCs w:val="18"/>
              </w:rPr>
            </w:pPr>
            <w:r w:rsidRPr="00AE4E46">
              <w:rPr>
                <w:rFonts w:ascii="Arial" w:hAnsi="Arial" w:cs="Arial"/>
                <w:color w:val="000000"/>
                <w:sz w:val="18"/>
                <w:szCs w:val="18"/>
              </w:rPr>
              <w:t>23</w:t>
            </w:r>
          </w:p>
        </w:tc>
      </w:tr>
      <w:tr w:rsidR="00DF18BE" w:rsidRPr="00AE4E46" w14:paraId="43BF3D71" w14:textId="77777777" w:rsidTr="00DF18BE">
        <w:trPr>
          <w:trHeight w:val="315"/>
        </w:trPr>
        <w:tc>
          <w:tcPr>
            <w:tcW w:w="6662" w:type="dxa"/>
            <w:tcBorders>
              <w:top w:val="nil"/>
              <w:left w:val="single" w:sz="4" w:space="0" w:color="auto"/>
              <w:bottom w:val="single" w:sz="4" w:space="0" w:color="auto"/>
              <w:right w:val="single" w:sz="4" w:space="0" w:color="auto"/>
            </w:tcBorders>
            <w:shd w:val="clear" w:color="auto" w:fill="FFFFFF" w:themeFill="background1"/>
            <w:vAlign w:val="center"/>
            <w:hideMark/>
          </w:tcPr>
          <w:p w14:paraId="3988CC9E" w14:textId="77777777" w:rsidR="00DF18BE" w:rsidRPr="00AE4E46" w:rsidRDefault="00DF18BE" w:rsidP="0067349D">
            <w:pPr>
              <w:spacing w:line="276" w:lineRule="auto"/>
              <w:rPr>
                <w:rFonts w:ascii="Arial" w:hAnsi="Arial" w:cs="Arial"/>
                <w:color w:val="000000"/>
                <w:sz w:val="18"/>
                <w:szCs w:val="18"/>
              </w:rPr>
            </w:pPr>
            <w:r w:rsidRPr="00AE4E46">
              <w:rPr>
                <w:rFonts w:ascii="Arial" w:hAnsi="Arial" w:cs="Arial"/>
                <w:color w:val="000000"/>
                <w:sz w:val="18"/>
                <w:szCs w:val="18"/>
              </w:rPr>
              <w:t>Allow more development to increase rate base</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14:paraId="501EAC27" w14:textId="77777777" w:rsidR="00DF18BE" w:rsidRPr="00AE4E46" w:rsidRDefault="00DF18BE" w:rsidP="0067349D">
            <w:pPr>
              <w:spacing w:line="276" w:lineRule="auto"/>
              <w:jc w:val="center"/>
              <w:rPr>
                <w:rFonts w:ascii="Arial" w:hAnsi="Arial" w:cs="Arial"/>
                <w:color w:val="000000"/>
                <w:sz w:val="18"/>
                <w:szCs w:val="18"/>
              </w:rPr>
            </w:pPr>
            <w:r w:rsidRPr="00AE4E46">
              <w:rPr>
                <w:rFonts w:ascii="Arial" w:hAnsi="Arial" w:cs="Arial"/>
                <w:color w:val="000000"/>
                <w:sz w:val="18"/>
                <w:szCs w:val="18"/>
              </w:rPr>
              <w:t>14</w:t>
            </w:r>
          </w:p>
        </w:tc>
      </w:tr>
      <w:tr w:rsidR="00DF18BE" w:rsidRPr="00AE4E46" w14:paraId="2FE93B69" w14:textId="77777777" w:rsidTr="00DF18BE">
        <w:trPr>
          <w:trHeight w:val="315"/>
        </w:trPr>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A4F9C3" w14:textId="77777777" w:rsidR="00DF18BE" w:rsidRPr="00AE4E46" w:rsidRDefault="00DF18BE" w:rsidP="0067349D">
            <w:pPr>
              <w:spacing w:line="276" w:lineRule="auto"/>
              <w:rPr>
                <w:rFonts w:ascii="Arial" w:hAnsi="Arial" w:cs="Arial"/>
                <w:color w:val="000000"/>
                <w:sz w:val="18"/>
                <w:szCs w:val="18"/>
              </w:rPr>
            </w:pPr>
            <w:r w:rsidRPr="00AE4E46">
              <w:rPr>
                <w:rFonts w:ascii="Arial" w:hAnsi="Arial" w:cs="Arial"/>
                <w:color w:val="000000"/>
                <w:sz w:val="18"/>
                <w:szCs w:val="18"/>
              </w:rPr>
              <w:t>Should lobby more for less cost shifting or to get more funding from other levels of government</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14:paraId="460E5BEC" w14:textId="77777777" w:rsidR="00DF18BE" w:rsidRPr="00AE4E46" w:rsidRDefault="00DF18BE" w:rsidP="0067349D">
            <w:pPr>
              <w:spacing w:line="276" w:lineRule="auto"/>
              <w:jc w:val="center"/>
              <w:rPr>
                <w:rFonts w:ascii="Arial" w:hAnsi="Arial" w:cs="Arial"/>
                <w:color w:val="000000"/>
                <w:sz w:val="18"/>
                <w:szCs w:val="18"/>
              </w:rPr>
            </w:pPr>
            <w:r w:rsidRPr="00AE4E46">
              <w:rPr>
                <w:rFonts w:ascii="Arial" w:hAnsi="Arial" w:cs="Arial"/>
                <w:color w:val="000000"/>
                <w:sz w:val="18"/>
                <w:szCs w:val="18"/>
              </w:rPr>
              <w:t>10</w:t>
            </w:r>
          </w:p>
        </w:tc>
      </w:tr>
      <w:tr w:rsidR="00DF18BE" w:rsidRPr="00AE4E46" w14:paraId="289CC643" w14:textId="77777777" w:rsidTr="00DF18BE">
        <w:trPr>
          <w:trHeight w:val="315"/>
        </w:trPr>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98FA59" w14:textId="77777777" w:rsidR="00DF18BE" w:rsidRPr="00AE4E46" w:rsidRDefault="00DF18BE" w:rsidP="0067349D">
            <w:pPr>
              <w:spacing w:line="276" w:lineRule="auto"/>
              <w:rPr>
                <w:rFonts w:ascii="Arial" w:hAnsi="Arial" w:cs="Arial"/>
                <w:color w:val="000000"/>
                <w:sz w:val="18"/>
                <w:szCs w:val="18"/>
              </w:rPr>
            </w:pPr>
            <w:r w:rsidRPr="00AE4E46">
              <w:rPr>
                <w:rFonts w:ascii="Arial" w:hAnsi="Arial" w:cs="Arial"/>
                <w:color w:val="000000"/>
                <w:sz w:val="18"/>
                <w:szCs w:val="18"/>
              </w:rPr>
              <w:t xml:space="preserve">Other issues and comments - wide range </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04C8DB96" w14:textId="77777777" w:rsidR="00DF18BE" w:rsidRPr="00AE4E46" w:rsidRDefault="00DF18BE" w:rsidP="0067349D">
            <w:pPr>
              <w:spacing w:line="276" w:lineRule="auto"/>
              <w:jc w:val="center"/>
              <w:rPr>
                <w:rFonts w:ascii="Arial" w:hAnsi="Arial" w:cs="Arial"/>
                <w:color w:val="000000"/>
                <w:sz w:val="18"/>
                <w:szCs w:val="18"/>
              </w:rPr>
            </w:pPr>
            <w:r w:rsidRPr="00AE4E46">
              <w:rPr>
                <w:rFonts w:ascii="Arial" w:hAnsi="Arial" w:cs="Arial"/>
                <w:color w:val="000000"/>
                <w:sz w:val="18"/>
                <w:szCs w:val="18"/>
              </w:rPr>
              <w:t>8</w:t>
            </w:r>
          </w:p>
        </w:tc>
      </w:tr>
    </w:tbl>
    <w:p w14:paraId="76C89680" w14:textId="77777777" w:rsidR="00DF18BE" w:rsidRPr="00AE4E46" w:rsidRDefault="00DF18BE" w:rsidP="00AE4E46">
      <w:pPr>
        <w:ind w:left="426"/>
        <w:rPr>
          <w:rFonts w:ascii="Arial" w:hAnsi="Arial" w:cs="Arial"/>
          <w:i/>
          <w:sz w:val="18"/>
          <w:szCs w:val="18"/>
        </w:rPr>
      </w:pPr>
      <w:r w:rsidRPr="00AE4E46">
        <w:rPr>
          <w:rFonts w:ascii="Arial" w:eastAsia="Arial" w:hAnsi="Arial" w:cs="Arial"/>
          <w:i/>
          <w:sz w:val="18"/>
          <w:szCs w:val="18"/>
        </w:rPr>
        <w:t>Note: many submissions made more than one comment so total number of comments is greater than the number of submissions received</w:t>
      </w:r>
    </w:p>
    <w:p w14:paraId="5DC3219A" w14:textId="77777777" w:rsidR="00AE4E46" w:rsidRDefault="00AE4E46">
      <w:pPr>
        <w:rPr>
          <w:rFonts w:ascii="Arial" w:eastAsia="Arial" w:hAnsi="Arial" w:cs="Arial"/>
          <w:i/>
          <w:sz w:val="20"/>
          <w:szCs w:val="20"/>
        </w:rPr>
      </w:pPr>
      <w:r>
        <w:rPr>
          <w:rFonts w:ascii="Arial" w:eastAsia="Arial" w:hAnsi="Arial" w:cs="Arial"/>
          <w:i/>
          <w:sz w:val="20"/>
          <w:szCs w:val="20"/>
        </w:rPr>
        <w:br w:type="page"/>
      </w:r>
    </w:p>
    <w:p w14:paraId="327E1C6B" w14:textId="2C08842B" w:rsidR="00420873" w:rsidRPr="00D65400" w:rsidRDefault="00420873" w:rsidP="00314BBF">
      <w:pPr>
        <w:widowControl w:val="0"/>
        <w:spacing w:line="276" w:lineRule="auto"/>
        <w:jc w:val="both"/>
        <w:rPr>
          <w:rFonts w:ascii="Arial" w:eastAsia="Arial" w:hAnsi="Arial" w:cs="Arial"/>
          <w:i/>
          <w:sz w:val="20"/>
          <w:szCs w:val="20"/>
          <w:u w:val="single"/>
        </w:rPr>
      </w:pPr>
      <w:r w:rsidRPr="00D65400">
        <w:rPr>
          <w:rFonts w:ascii="Arial" w:eastAsia="Arial" w:hAnsi="Arial" w:cs="Arial"/>
          <w:i/>
          <w:sz w:val="20"/>
          <w:szCs w:val="20"/>
          <w:u w:val="single"/>
        </w:rPr>
        <w:t>Comments only</w:t>
      </w:r>
    </w:p>
    <w:p w14:paraId="626C2794" w14:textId="0151D9EB" w:rsidR="00420873" w:rsidRPr="00725530" w:rsidRDefault="00420873" w:rsidP="00314BBF">
      <w:pPr>
        <w:spacing w:line="276" w:lineRule="auto"/>
        <w:ind w:right="304"/>
        <w:rPr>
          <w:rFonts w:ascii="Arial" w:eastAsia="Arial" w:hAnsi="Arial" w:cs="Arial"/>
          <w:sz w:val="20"/>
          <w:szCs w:val="20"/>
        </w:rPr>
      </w:pPr>
      <w:r w:rsidRPr="00725530">
        <w:rPr>
          <w:rFonts w:ascii="Arial" w:eastAsia="Arial" w:hAnsi="Arial" w:cs="Arial"/>
          <w:sz w:val="20"/>
          <w:szCs w:val="20"/>
        </w:rPr>
        <w:t>A total of 73</w:t>
      </w:r>
      <w:r w:rsidRPr="00725530">
        <w:rPr>
          <w:rFonts w:ascii="Arial" w:eastAsia="Arial" w:hAnsi="Arial" w:cs="Arial"/>
          <w:spacing w:val="-7"/>
          <w:sz w:val="20"/>
          <w:szCs w:val="20"/>
        </w:rPr>
        <w:t xml:space="preserve"> submissions </w:t>
      </w:r>
      <w:r w:rsidRPr="00725530">
        <w:rPr>
          <w:rFonts w:ascii="Arial" w:eastAsia="Arial" w:hAnsi="Arial" w:cs="Arial"/>
          <w:sz w:val="20"/>
          <w:szCs w:val="20"/>
        </w:rPr>
        <w:t>did not specify a preferred option</w:t>
      </w:r>
      <w:r w:rsidRPr="00725530">
        <w:rPr>
          <w:rFonts w:ascii="Arial" w:eastAsia="Arial" w:hAnsi="Arial" w:cs="Arial"/>
          <w:spacing w:val="-7"/>
          <w:sz w:val="20"/>
          <w:szCs w:val="20"/>
        </w:rPr>
        <w:t xml:space="preserve"> though included </w:t>
      </w:r>
      <w:r w:rsidR="00314BBF" w:rsidRPr="00725530">
        <w:rPr>
          <w:rFonts w:ascii="Arial" w:eastAsia="Arial" w:hAnsi="Arial" w:cs="Arial"/>
          <w:spacing w:val="-7"/>
          <w:sz w:val="20"/>
          <w:szCs w:val="20"/>
        </w:rPr>
        <w:t>C</w:t>
      </w:r>
      <w:r w:rsidRPr="00725530">
        <w:rPr>
          <w:rFonts w:ascii="Arial" w:eastAsia="Arial" w:hAnsi="Arial" w:cs="Arial"/>
          <w:sz w:val="20"/>
          <w:szCs w:val="20"/>
        </w:rPr>
        <w:t>omments. The</w:t>
      </w:r>
      <w:r w:rsidRPr="00725530">
        <w:rPr>
          <w:rFonts w:ascii="Arial" w:eastAsia="Arial" w:hAnsi="Arial" w:cs="Arial"/>
          <w:spacing w:val="-8"/>
          <w:sz w:val="20"/>
          <w:szCs w:val="20"/>
        </w:rPr>
        <w:t xml:space="preserve"> </w:t>
      </w:r>
      <w:r w:rsidRPr="00725530">
        <w:rPr>
          <w:rFonts w:ascii="Arial" w:eastAsia="Arial" w:hAnsi="Arial" w:cs="Arial"/>
          <w:sz w:val="20"/>
          <w:szCs w:val="20"/>
        </w:rPr>
        <w:t>main</w:t>
      </w:r>
      <w:r w:rsidRPr="00725530">
        <w:rPr>
          <w:rFonts w:ascii="Arial" w:eastAsia="Arial" w:hAnsi="Arial" w:cs="Arial"/>
          <w:spacing w:val="-8"/>
          <w:sz w:val="20"/>
          <w:szCs w:val="20"/>
        </w:rPr>
        <w:t xml:space="preserve"> </w:t>
      </w:r>
      <w:r w:rsidRPr="00725530">
        <w:rPr>
          <w:rFonts w:ascii="Arial" w:eastAsia="Arial" w:hAnsi="Arial" w:cs="Arial"/>
          <w:sz w:val="20"/>
          <w:szCs w:val="20"/>
        </w:rPr>
        <w:t>comments</w:t>
      </w:r>
      <w:r w:rsidRPr="00725530">
        <w:rPr>
          <w:rFonts w:ascii="Arial" w:eastAsia="Arial" w:hAnsi="Arial" w:cs="Arial"/>
          <w:spacing w:val="-8"/>
          <w:sz w:val="20"/>
          <w:szCs w:val="20"/>
        </w:rPr>
        <w:t xml:space="preserve"> </w:t>
      </w:r>
      <w:r w:rsidRPr="00725530">
        <w:rPr>
          <w:rFonts w:ascii="Arial" w:eastAsia="Arial" w:hAnsi="Arial" w:cs="Arial"/>
          <w:sz w:val="20"/>
          <w:szCs w:val="20"/>
        </w:rPr>
        <w:t>from these submissions were:</w:t>
      </w:r>
    </w:p>
    <w:p w14:paraId="6765BEE3" w14:textId="201C8B8A" w:rsidR="00420873" w:rsidRPr="00AD2D16" w:rsidRDefault="00360814" w:rsidP="00360814">
      <w:pPr>
        <w:pStyle w:val="Caption"/>
        <w:spacing w:after="0" w:line="276" w:lineRule="auto"/>
        <w:rPr>
          <w:rFonts w:cs="Arial"/>
          <w:sz w:val="18"/>
          <w:szCs w:val="18"/>
        </w:rPr>
      </w:pPr>
      <w:r>
        <w:rPr>
          <w:rFonts w:asciiTheme="minorHAnsi" w:hAnsiTheme="minorHAnsi" w:cs="Arial"/>
          <w:sz w:val="18"/>
          <w:szCs w:val="18"/>
        </w:rPr>
        <w:t xml:space="preserve">       </w:t>
      </w:r>
      <w:r w:rsidR="00CA6AB3" w:rsidRPr="00AD2D16">
        <w:rPr>
          <w:rFonts w:cs="Arial"/>
          <w:sz w:val="18"/>
          <w:szCs w:val="18"/>
        </w:rPr>
        <w:t>Table 4.1</w:t>
      </w:r>
      <w:r w:rsidRPr="00AD2D16">
        <w:rPr>
          <w:rFonts w:cs="Arial"/>
          <w:sz w:val="18"/>
          <w:szCs w:val="18"/>
        </w:rPr>
        <w:t>1</w:t>
      </w:r>
      <w:r w:rsidR="00CA6AB3" w:rsidRPr="00AD2D16">
        <w:rPr>
          <w:rFonts w:cs="Arial"/>
          <w:sz w:val="18"/>
          <w:szCs w:val="18"/>
        </w:rPr>
        <w:t>:</w:t>
      </w:r>
      <w:r w:rsidR="00420873" w:rsidRPr="00AD2D16">
        <w:rPr>
          <w:rFonts w:cs="Arial"/>
          <w:sz w:val="18"/>
          <w:szCs w:val="18"/>
        </w:rPr>
        <w:t xml:space="preserve"> Key comments from submissions with no preferred option</w:t>
      </w:r>
    </w:p>
    <w:tbl>
      <w:tblPr>
        <w:tblW w:w="8221" w:type="dxa"/>
        <w:tblInd w:w="392" w:type="dxa"/>
        <w:tblLook w:val="04A0" w:firstRow="1" w:lastRow="0" w:firstColumn="1" w:lastColumn="0" w:noHBand="0" w:noVBand="1"/>
      </w:tblPr>
      <w:tblGrid>
        <w:gridCol w:w="6662"/>
        <w:gridCol w:w="1559"/>
      </w:tblGrid>
      <w:tr w:rsidR="00DF18BE" w:rsidRPr="00D65400" w14:paraId="13B8046F" w14:textId="77777777" w:rsidTr="00D65400">
        <w:trPr>
          <w:trHeight w:val="315"/>
        </w:trPr>
        <w:tc>
          <w:tcPr>
            <w:tcW w:w="6662"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3988AF1A" w14:textId="77777777" w:rsidR="00DF18BE" w:rsidRPr="00D65400" w:rsidRDefault="00DF18BE" w:rsidP="0067349D">
            <w:pPr>
              <w:spacing w:line="276" w:lineRule="auto"/>
              <w:rPr>
                <w:rFonts w:ascii="Arial" w:hAnsi="Arial" w:cs="Arial"/>
                <w:b/>
                <w:color w:val="FFFFFF" w:themeColor="background1"/>
                <w:sz w:val="18"/>
                <w:szCs w:val="18"/>
              </w:rPr>
            </w:pPr>
            <w:r w:rsidRPr="00D65400">
              <w:rPr>
                <w:rFonts w:ascii="Arial" w:hAnsi="Arial" w:cs="Arial"/>
                <w:b/>
                <w:color w:val="FFFFFF" w:themeColor="background1"/>
                <w:sz w:val="18"/>
                <w:szCs w:val="18"/>
              </w:rPr>
              <w:t>Comment</w:t>
            </w:r>
          </w:p>
        </w:tc>
        <w:tc>
          <w:tcPr>
            <w:tcW w:w="1559" w:type="dxa"/>
            <w:tcBorders>
              <w:top w:val="single" w:sz="4" w:space="0" w:color="auto"/>
              <w:left w:val="nil"/>
              <w:bottom w:val="single" w:sz="4" w:space="0" w:color="auto"/>
              <w:right w:val="single" w:sz="4" w:space="0" w:color="auto"/>
            </w:tcBorders>
            <w:shd w:val="clear" w:color="auto" w:fill="548DD4" w:themeFill="text2" w:themeFillTint="99"/>
            <w:vAlign w:val="center"/>
          </w:tcPr>
          <w:p w14:paraId="4BB256C8" w14:textId="77777777" w:rsidR="00DF18BE" w:rsidRPr="00D65400" w:rsidRDefault="00DF18BE" w:rsidP="00D65400">
            <w:pPr>
              <w:spacing w:line="276" w:lineRule="auto"/>
              <w:jc w:val="center"/>
              <w:rPr>
                <w:rFonts w:ascii="Arial" w:hAnsi="Arial" w:cs="Arial"/>
                <w:b/>
                <w:color w:val="FFFFFF" w:themeColor="background1"/>
                <w:sz w:val="18"/>
                <w:szCs w:val="18"/>
              </w:rPr>
            </w:pPr>
            <w:r w:rsidRPr="00D65400">
              <w:rPr>
                <w:rFonts w:ascii="Arial" w:hAnsi="Arial" w:cs="Arial"/>
                <w:b/>
                <w:color w:val="FFFFFF" w:themeColor="background1"/>
                <w:sz w:val="18"/>
                <w:szCs w:val="18"/>
              </w:rPr>
              <w:t>Number</w:t>
            </w:r>
          </w:p>
        </w:tc>
      </w:tr>
      <w:tr w:rsidR="00DF18BE" w:rsidRPr="00D65400" w14:paraId="7F57556F" w14:textId="77777777" w:rsidTr="00D65400">
        <w:trPr>
          <w:trHeight w:val="315"/>
        </w:trPr>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8EDEA2" w14:textId="77777777" w:rsidR="00DF18BE" w:rsidRPr="00D65400" w:rsidRDefault="00DF18BE" w:rsidP="0067349D">
            <w:pPr>
              <w:spacing w:line="276" w:lineRule="auto"/>
              <w:rPr>
                <w:rFonts w:ascii="Arial" w:hAnsi="Arial" w:cs="Arial"/>
                <w:color w:val="000000"/>
                <w:sz w:val="18"/>
                <w:szCs w:val="18"/>
              </w:rPr>
            </w:pPr>
            <w:r w:rsidRPr="00D65400">
              <w:rPr>
                <w:rFonts w:ascii="Arial" w:hAnsi="Arial" w:cs="Arial"/>
                <w:color w:val="000000"/>
                <w:sz w:val="18"/>
                <w:szCs w:val="18"/>
              </w:rPr>
              <w:t>Council needs to be more efficient/not waste money</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14:paraId="24FFAB32" w14:textId="77777777" w:rsidR="00DF18BE" w:rsidRPr="00D65400" w:rsidRDefault="00DF18BE" w:rsidP="00D65400">
            <w:pPr>
              <w:spacing w:line="276" w:lineRule="auto"/>
              <w:jc w:val="center"/>
              <w:rPr>
                <w:rFonts w:ascii="Arial" w:hAnsi="Arial" w:cs="Arial"/>
                <w:color w:val="000000"/>
                <w:sz w:val="18"/>
                <w:szCs w:val="18"/>
              </w:rPr>
            </w:pPr>
            <w:r w:rsidRPr="00D65400">
              <w:rPr>
                <w:rFonts w:ascii="Arial" w:hAnsi="Arial" w:cs="Arial"/>
                <w:color w:val="000000"/>
                <w:sz w:val="18"/>
                <w:szCs w:val="18"/>
              </w:rPr>
              <w:t>27</w:t>
            </w:r>
          </w:p>
        </w:tc>
      </w:tr>
      <w:tr w:rsidR="00DF18BE" w:rsidRPr="00D65400" w14:paraId="0421FBC9" w14:textId="77777777" w:rsidTr="00D65400">
        <w:trPr>
          <w:trHeight w:val="315"/>
        </w:trPr>
        <w:tc>
          <w:tcPr>
            <w:tcW w:w="6662" w:type="dxa"/>
            <w:tcBorders>
              <w:top w:val="nil"/>
              <w:left w:val="single" w:sz="4" w:space="0" w:color="auto"/>
              <w:bottom w:val="single" w:sz="4" w:space="0" w:color="auto"/>
              <w:right w:val="single" w:sz="4" w:space="0" w:color="auto"/>
            </w:tcBorders>
            <w:shd w:val="clear" w:color="auto" w:fill="FFFFFF" w:themeFill="background1"/>
            <w:vAlign w:val="center"/>
          </w:tcPr>
          <w:p w14:paraId="54756CF9" w14:textId="77777777" w:rsidR="00DF18BE" w:rsidRPr="00D65400" w:rsidRDefault="00DF18BE" w:rsidP="0067349D">
            <w:pPr>
              <w:spacing w:line="276" w:lineRule="auto"/>
              <w:rPr>
                <w:rFonts w:ascii="Arial" w:hAnsi="Arial" w:cs="Arial"/>
                <w:color w:val="000000"/>
                <w:sz w:val="18"/>
                <w:szCs w:val="18"/>
              </w:rPr>
            </w:pPr>
            <w:r w:rsidRPr="00D65400">
              <w:rPr>
                <w:rFonts w:ascii="Arial" w:hAnsi="Arial" w:cs="Arial"/>
                <w:color w:val="000000"/>
                <w:sz w:val="18"/>
                <w:szCs w:val="18"/>
              </w:rPr>
              <w:t>Negative comment on the consultation process</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14:paraId="37E26AA5" w14:textId="77777777" w:rsidR="00DF18BE" w:rsidRPr="00D65400" w:rsidRDefault="00DF18BE" w:rsidP="00D65400">
            <w:pPr>
              <w:spacing w:line="276" w:lineRule="auto"/>
              <w:jc w:val="center"/>
              <w:rPr>
                <w:rFonts w:ascii="Arial" w:hAnsi="Arial" w:cs="Arial"/>
                <w:color w:val="000000"/>
                <w:sz w:val="18"/>
                <w:szCs w:val="18"/>
              </w:rPr>
            </w:pPr>
            <w:r w:rsidRPr="00D65400">
              <w:rPr>
                <w:rFonts w:ascii="Arial" w:hAnsi="Arial" w:cs="Arial"/>
                <w:color w:val="000000"/>
                <w:sz w:val="18"/>
                <w:szCs w:val="18"/>
              </w:rPr>
              <w:t>17</w:t>
            </w:r>
          </w:p>
        </w:tc>
      </w:tr>
      <w:tr w:rsidR="00DF18BE" w:rsidRPr="00D65400" w14:paraId="67433225" w14:textId="77777777" w:rsidTr="00D65400">
        <w:trPr>
          <w:trHeight w:val="315"/>
        </w:trPr>
        <w:tc>
          <w:tcPr>
            <w:tcW w:w="6662" w:type="dxa"/>
            <w:tcBorders>
              <w:top w:val="nil"/>
              <w:left w:val="single" w:sz="4" w:space="0" w:color="auto"/>
              <w:bottom w:val="single" w:sz="4" w:space="0" w:color="auto"/>
              <w:right w:val="single" w:sz="4" w:space="0" w:color="auto"/>
            </w:tcBorders>
            <w:shd w:val="clear" w:color="auto" w:fill="FFFFFF" w:themeFill="background1"/>
            <w:vAlign w:val="center"/>
            <w:hideMark/>
          </w:tcPr>
          <w:p w14:paraId="26C4F835" w14:textId="77777777" w:rsidR="00DF18BE" w:rsidRPr="00D65400" w:rsidRDefault="00DF18BE" w:rsidP="0067349D">
            <w:pPr>
              <w:spacing w:line="276" w:lineRule="auto"/>
              <w:rPr>
                <w:rFonts w:ascii="Arial" w:hAnsi="Arial" w:cs="Arial"/>
                <w:color w:val="000000"/>
                <w:sz w:val="18"/>
                <w:szCs w:val="18"/>
              </w:rPr>
            </w:pPr>
            <w:r w:rsidRPr="00D65400">
              <w:rPr>
                <w:rFonts w:ascii="Arial" w:hAnsi="Arial" w:cs="Arial"/>
                <w:color w:val="000000"/>
                <w:sz w:val="18"/>
                <w:szCs w:val="18"/>
              </w:rPr>
              <w:t>Can't afford an increase/affordability concerns</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14:paraId="6D72C6D8" w14:textId="77777777" w:rsidR="00DF18BE" w:rsidRPr="00D65400" w:rsidRDefault="00DF18BE" w:rsidP="00D65400">
            <w:pPr>
              <w:spacing w:line="276" w:lineRule="auto"/>
              <w:jc w:val="center"/>
              <w:rPr>
                <w:rFonts w:ascii="Arial" w:hAnsi="Arial" w:cs="Arial"/>
                <w:color w:val="000000"/>
                <w:sz w:val="18"/>
                <w:szCs w:val="18"/>
              </w:rPr>
            </w:pPr>
            <w:r w:rsidRPr="00D65400">
              <w:rPr>
                <w:rFonts w:ascii="Arial" w:hAnsi="Arial" w:cs="Arial"/>
                <w:color w:val="000000"/>
                <w:sz w:val="18"/>
                <w:szCs w:val="18"/>
              </w:rPr>
              <w:t>8</w:t>
            </w:r>
          </w:p>
        </w:tc>
      </w:tr>
      <w:tr w:rsidR="00DF18BE" w:rsidRPr="00D65400" w14:paraId="0EE79D13" w14:textId="77777777" w:rsidTr="00D65400">
        <w:trPr>
          <w:trHeight w:val="315"/>
        </w:trPr>
        <w:tc>
          <w:tcPr>
            <w:tcW w:w="6662" w:type="dxa"/>
            <w:tcBorders>
              <w:top w:val="nil"/>
              <w:left w:val="single" w:sz="4" w:space="0" w:color="auto"/>
              <w:bottom w:val="single" w:sz="4" w:space="0" w:color="auto"/>
              <w:right w:val="single" w:sz="4" w:space="0" w:color="auto"/>
            </w:tcBorders>
            <w:shd w:val="clear" w:color="auto" w:fill="FFFFFF" w:themeFill="background1"/>
            <w:vAlign w:val="center"/>
            <w:hideMark/>
          </w:tcPr>
          <w:p w14:paraId="17E7A204" w14:textId="77777777" w:rsidR="00DF18BE" w:rsidRPr="00D65400" w:rsidRDefault="00DF18BE" w:rsidP="0067349D">
            <w:pPr>
              <w:spacing w:line="276" w:lineRule="auto"/>
              <w:rPr>
                <w:rFonts w:ascii="Arial" w:hAnsi="Arial" w:cs="Arial"/>
                <w:color w:val="000000"/>
                <w:sz w:val="18"/>
                <w:szCs w:val="18"/>
              </w:rPr>
            </w:pPr>
            <w:r w:rsidRPr="00D65400">
              <w:rPr>
                <w:rFonts w:ascii="Arial" w:hAnsi="Arial" w:cs="Arial"/>
                <w:color w:val="000000"/>
                <w:sz w:val="18"/>
                <w:szCs w:val="18"/>
              </w:rPr>
              <w:t>Increase rate base/other revenue streams/more user pays</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14:paraId="2C3F2E80" w14:textId="77777777" w:rsidR="00DF18BE" w:rsidRPr="00D65400" w:rsidRDefault="00DF18BE" w:rsidP="00D65400">
            <w:pPr>
              <w:spacing w:line="276" w:lineRule="auto"/>
              <w:jc w:val="center"/>
              <w:rPr>
                <w:rFonts w:ascii="Arial" w:hAnsi="Arial" w:cs="Arial"/>
                <w:color w:val="000000"/>
                <w:sz w:val="18"/>
                <w:szCs w:val="18"/>
              </w:rPr>
            </w:pPr>
            <w:r w:rsidRPr="00D65400">
              <w:rPr>
                <w:rFonts w:ascii="Arial" w:hAnsi="Arial" w:cs="Arial"/>
                <w:color w:val="000000"/>
                <w:sz w:val="18"/>
                <w:szCs w:val="18"/>
              </w:rPr>
              <w:t>8</w:t>
            </w:r>
          </w:p>
        </w:tc>
      </w:tr>
      <w:tr w:rsidR="00DF18BE" w:rsidRPr="00D65400" w14:paraId="6AC1D145" w14:textId="77777777" w:rsidTr="00D65400">
        <w:trPr>
          <w:trHeight w:val="315"/>
        </w:trPr>
        <w:tc>
          <w:tcPr>
            <w:tcW w:w="6662" w:type="dxa"/>
            <w:tcBorders>
              <w:top w:val="nil"/>
              <w:left w:val="single" w:sz="4" w:space="0" w:color="auto"/>
              <w:bottom w:val="single" w:sz="4" w:space="0" w:color="auto"/>
              <w:right w:val="single" w:sz="4" w:space="0" w:color="auto"/>
            </w:tcBorders>
            <w:shd w:val="clear" w:color="auto" w:fill="FFFFFF" w:themeFill="background1"/>
            <w:vAlign w:val="center"/>
          </w:tcPr>
          <w:p w14:paraId="66819AB2" w14:textId="77777777" w:rsidR="00DF18BE" w:rsidRPr="00D65400" w:rsidRDefault="00DF18BE" w:rsidP="0067349D">
            <w:pPr>
              <w:spacing w:line="276" w:lineRule="auto"/>
              <w:rPr>
                <w:rFonts w:ascii="Arial" w:hAnsi="Arial" w:cs="Arial"/>
                <w:color w:val="000000"/>
                <w:sz w:val="18"/>
                <w:szCs w:val="18"/>
              </w:rPr>
            </w:pPr>
            <w:r w:rsidRPr="00D65400">
              <w:rPr>
                <w:rFonts w:ascii="Arial" w:hAnsi="Arial" w:cs="Arial"/>
                <w:color w:val="000000"/>
                <w:sz w:val="18"/>
                <w:szCs w:val="18"/>
              </w:rPr>
              <w:t>Not happy with Council’s performance</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14:paraId="151892BB" w14:textId="77777777" w:rsidR="00DF18BE" w:rsidRPr="00D65400" w:rsidRDefault="00DF18BE" w:rsidP="00D65400">
            <w:pPr>
              <w:spacing w:line="276" w:lineRule="auto"/>
              <w:jc w:val="center"/>
              <w:rPr>
                <w:rFonts w:ascii="Arial" w:hAnsi="Arial" w:cs="Arial"/>
                <w:color w:val="000000"/>
                <w:sz w:val="18"/>
                <w:szCs w:val="18"/>
              </w:rPr>
            </w:pPr>
            <w:r w:rsidRPr="00D65400">
              <w:rPr>
                <w:rFonts w:ascii="Arial" w:hAnsi="Arial" w:cs="Arial"/>
                <w:color w:val="000000"/>
                <w:sz w:val="18"/>
                <w:szCs w:val="18"/>
              </w:rPr>
              <w:t>6</w:t>
            </w:r>
          </w:p>
        </w:tc>
      </w:tr>
      <w:tr w:rsidR="00DF18BE" w:rsidRPr="00D65400" w14:paraId="2A510A2A" w14:textId="77777777" w:rsidTr="00D65400">
        <w:trPr>
          <w:trHeight w:val="315"/>
        </w:trPr>
        <w:tc>
          <w:tcPr>
            <w:tcW w:w="6662" w:type="dxa"/>
            <w:tcBorders>
              <w:top w:val="nil"/>
              <w:left w:val="single" w:sz="4" w:space="0" w:color="auto"/>
              <w:bottom w:val="nil"/>
              <w:right w:val="single" w:sz="4" w:space="0" w:color="auto"/>
            </w:tcBorders>
            <w:shd w:val="clear" w:color="auto" w:fill="FFFFFF" w:themeFill="background1"/>
            <w:vAlign w:val="center"/>
            <w:hideMark/>
          </w:tcPr>
          <w:p w14:paraId="28862CE5" w14:textId="77777777" w:rsidR="00DF18BE" w:rsidRPr="00D65400" w:rsidRDefault="00DF18BE" w:rsidP="0067349D">
            <w:pPr>
              <w:spacing w:line="276" w:lineRule="auto"/>
              <w:rPr>
                <w:rFonts w:ascii="Arial" w:hAnsi="Arial" w:cs="Arial"/>
                <w:color w:val="000000"/>
                <w:sz w:val="18"/>
                <w:szCs w:val="18"/>
              </w:rPr>
            </w:pPr>
            <w:r w:rsidRPr="00D65400">
              <w:rPr>
                <w:rFonts w:ascii="Arial" w:hAnsi="Arial" w:cs="Arial"/>
                <w:color w:val="000000"/>
                <w:sz w:val="18"/>
                <w:szCs w:val="18"/>
              </w:rPr>
              <w:t>More user pays or other sources of revenue</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14:paraId="3E750517" w14:textId="77777777" w:rsidR="00DF18BE" w:rsidRPr="00D65400" w:rsidRDefault="00DF18BE" w:rsidP="00D65400">
            <w:pPr>
              <w:spacing w:line="276" w:lineRule="auto"/>
              <w:jc w:val="center"/>
              <w:rPr>
                <w:rFonts w:ascii="Arial" w:hAnsi="Arial" w:cs="Arial"/>
                <w:color w:val="000000"/>
                <w:sz w:val="18"/>
                <w:szCs w:val="18"/>
              </w:rPr>
            </w:pPr>
            <w:r w:rsidRPr="00D65400">
              <w:rPr>
                <w:rFonts w:ascii="Arial" w:hAnsi="Arial" w:cs="Arial"/>
                <w:color w:val="000000"/>
                <w:sz w:val="18"/>
                <w:szCs w:val="18"/>
              </w:rPr>
              <w:t>6</w:t>
            </w:r>
          </w:p>
        </w:tc>
      </w:tr>
      <w:tr w:rsidR="00DF18BE" w:rsidRPr="00D65400" w14:paraId="2B104A14" w14:textId="77777777" w:rsidTr="00D65400">
        <w:trPr>
          <w:trHeight w:val="315"/>
        </w:trPr>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FFB9B0" w14:textId="77777777" w:rsidR="00DF18BE" w:rsidRPr="00D65400" w:rsidRDefault="00DF18BE" w:rsidP="0067349D">
            <w:pPr>
              <w:spacing w:line="276" w:lineRule="auto"/>
              <w:rPr>
                <w:rFonts w:ascii="Arial" w:hAnsi="Arial" w:cs="Arial"/>
                <w:color w:val="000000"/>
                <w:sz w:val="18"/>
                <w:szCs w:val="18"/>
              </w:rPr>
            </w:pPr>
            <w:r w:rsidRPr="00D65400">
              <w:rPr>
                <w:rFonts w:ascii="Arial" w:hAnsi="Arial" w:cs="Arial"/>
                <w:color w:val="000000"/>
                <w:sz w:val="18"/>
                <w:szCs w:val="18"/>
              </w:rPr>
              <w:t>Other issues and comments - wide range of miscellaneous comments</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14:paraId="4A8352E7" w14:textId="77777777" w:rsidR="00DF18BE" w:rsidRPr="00D65400" w:rsidRDefault="00DF18BE" w:rsidP="00D65400">
            <w:pPr>
              <w:spacing w:line="276" w:lineRule="auto"/>
              <w:jc w:val="center"/>
              <w:rPr>
                <w:rFonts w:ascii="Arial" w:hAnsi="Arial" w:cs="Arial"/>
                <w:color w:val="000000"/>
                <w:sz w:val="18"/>
                <w:szCs w:val="18"/>
              </w:rPr>
            </w:pPr>
            <w:r w:rsidRPr="00D65400">
              <w:rPr>
                <w:rFonts w:ascii="Arial" w:hAnsi="Arial" w:cs="Arial"/>
                <w:color w:val="000000"/>
                <w:sz w:val="18"/>
                <w:szCs w:val="18"/>
              </w:rPr>
              <w:t>27</w:t>
            </w:r>
          </w:p>
        </w:tc>
      </w:tr>
    </w:tbl>
    <w:p w14:paraId="0842A19E" w14:textId="77777777" w:rsidR="00DF18BE" w:rsidRPr="00D65400" w:rsidRDefault="00DF18BE" w:rsidP="00DF18BE">
      <w:pPr>
        <w:spacing w:line="276" w:lineRule="auto"/>
        <w:ind w:left="426"/>
        <w:rPr>
          <w:rFonts w:ascii="Arial" w:hAnsi="Arial" w:cs="Arial"/>
          <w:i/>
          <w:sz w:val="18"/>
          <w:szCs w:val="18"/>
        </w:rPr>
      </w:pPr>
      <w:r w:rsidRPr="00D65400">
        <w:rPr>
          <w:rFonts w:ascii="Arial" w:eastAsia="Arial" w:hAnsi="Arial" w:cs="Arial"/>
          <w:i/>
          <w:sz w:val="18"/>
          <w:szCs w:val="18"/>
        </w:rPr>
        <w:t>Note: many submissions made more than one comment so total number of comments is greater than the number of submissions received</w:t>
      </w:r>
    </w:p>
    <w:p w14:paraId="5C106E11" w14:textId="5E60F977" w:rsidR="009E5E38" w:rsidRPr="009E5E38" w:rsidRDefault="009E5E38" w:rsidP="00AE4E46">
      <w:pPr>
        <w:pStyle w:val="Heading3"/>
        <w:tabs>
          <w:tab w:val="clear" w:pos="1844"/>
          <w:tab w:val="num" w:pos="567"/>
        </w:tabs>
        <w:ind w:hanging="1844"/>
      </w:pPr>
      <w:r w:rsidRPr="009E5E38">
        <w:t>Independently conducted telephone survey</w:t>
      </w:r>
    </w:p>
    <w:p w14:paraId="4DB1A149" w14:textId="5D540D4B" w:rsidR="00874DD3" w:rsidRPr="00FD20EC" w:rsidRDefault="00874DD3" w:rsidP="00FD20EC">
      <w:pPr>
        <w:widowControl w:val="0"/>
        <w:spacing w:before="120" w:after="40" w:line="276" w:lineRule="auto"/>
        <w:jc w:val="both"/>
        <w:rPr>
          <w:rFonts w:ascii="Arial" w:eastAsia="Arial" w:hAnsi="Arial" w:cs="Arial"/>
          <w:sz w:val="20"/>
          <w:szCs w:val="20"/>
          <w:lang w:val="en-US" w:eastAsia="en-US"/>
        </w:rPr>
      </w:pPr>
      <w:r w:rsidRPr="00FD20EC">
        <w:rPr>
          <w:rFonts w:ascii="Arial" w:eastAsia="Arial" w:hAnsi="Arial" w:cs="Arial"/>
          <w:sz w:val="20"/>
          <w:szCs w:val="20"/>
          <w:lang w:val="en-US" w:eastAsia="en-US"/>
        </w:rPr>
        <w:t>An independent research firm IRIS Research was engaged to implement</w:t>
      </w:r>
      <w:r w:rsidR="0045124F" w:rsidRPr="00FD20EC">
        <w:rPr>
          <w:rFonts w:ascii="Arial" w:eastAsia="Arial" w:hAnsi="Arial" w:cs="Arial"/>
          <w:sz w:val="20"/>
          <w:szCs w:val="20"/>
          <w:lang w:val="en-US" w:eastAsia="en-US"/>
        </w:rPr>
        <w:t xml:space="preserve"> a</w:t>
      </w:r>
      <w:r w:rsidRPr="00FD20EC">
        <w:rPr>
          <w:rFonts w:ascii="Arial" w:eastAsia="Arial" w:hAnsi="Arial" w:cs="Arial"/>
          <w:sz w:val="20"/>
          <w:szCs w:val="20"/>
          <w:lang w:val="en-US" w:eastAsia="en-US"/>
        </w:rPr>
        <w:t xml:space="preserve"> telephone survey of a statistically representative sample of 504 ratepayers who had read the </w:t>
      </w:r>
      <w:r w:rsidRPr="00FD20EC">
        <w:rPr>
          <w:rFonts w:ascii="Arial" w:eastAsia="Arial" w:hAnsi="Arial" w:cs="Arial"/>
          <w:i/>
          <w:sz w:val="20"/>
          <w:szCs w:val="20"/>
          <w:lang w:val="en-US" w:eastAsia="en-US"/>
        </w:rPr>
        <w:t>Resourcing Our Future</w:t>
      </w:r>
      <w:r w:rsidRPr="00FD20EC">
        <w:rPr>
          <w:rFonts w:ascii="Arial" w:eastAsia="Arial" w:hAnsi="Arial" w:cs="Arial"/>
          <w:sz w:val="20"/>
          <w:szCs w:val="20"/>
          <w:lang w:val="en-US" w:eastAsia="en-US"/>
        </w:rPr>
        <w:t xml:space="preserve"> four page brochure</w:t>
      </w:r>
      <w:r w:rsidR="00FD20EC">
        <w:rPr>
          <w:rFonts w:ascii="Arial" w:eastAsia="Arial" w:hAnsi="Arial" w:cs="Arial"/>
          <w:sz w:val="20"/>
          <w:szCs w:val="20"/>
          <w:lang w:val="en-US" w:eastAsia="en-US"/>
        </w:rPr>
        <w:t xml:space="preserve"> mailed out to 32,531 ratepayers in August 2014</w:t>
      </w:r>
      <w:r w:rsidR="0045124F" w:rsidRPr="00FD20EC">
        <w:rPr>
          <w:rFonts w:ascii="Arial" w:eastAsia="Arial" w:hAnsi="Arial" w:cs="Arial"/>
          <w:sz w:val="20"/>
          <w:szCs w:val="20"/>
          <w:lang w:val="en-US" w:eastAsia="en-US"/>
        </w:rPr>
        <w:t>.</w:t>
      </w:r>
      <w:r w:rsidRPr="00FD20EC">
        <w:rPr>
          <w:rFonts w:ascii="Arial" w:eastAsia="Arial" w:hAnsi="Arial" w:cs="Arial"/>
          <w:sz w:val="20"/>
          <w:szCs w:val="20"/>
          <w:lang w:val="en-US" w:eastAsia="en-US"/>
        </w:rPr>
        <w:t xml:space="preserve"> </w:t>
      </w:r>
    </w:p>
    <w:p w14:paraId="7F86861E" w14:textId="7C826751" w:rsidR="0045124F" w:rsidRPr="0045124F" w:rsidRDefault="0045124F" w:rsidP="00FD20EC">
      <w:pPr>
        <w:pStyle w:val="BodyText"/>
        <w:spacing w:line="276" w:lineRule="auto"/>
        <w:rPr>
          <w:rFonts w:ascii="Arial" w:hAnsi="Arial" w:cs="Arial"/>
          <w:color w:val="000000"/>
          <w:sz w:val="20"/>
          <w:szCs w:val="20"/>
        </w:rPr>
      </w:pPr>
      <w:r w:rsidRPr="0045124F">
        <w:rPr>
          <w:rFonts w:ascii="Arial" w:hAnsi="Arial" w:cs="Arial"/>
          <w:color w:val="000000"/>
          <w:sz w:val="20"/>
          <w:szCs w:val="20"/>
        </w:rPr>
        <w:t xml:space="preserve">The survey was conducted with 504 adult decision-makers, with participants randomly selected across the City in proportion to population densities. This ensured a geographic spread, an approximate 50:50 gender split and a spread of age groups to deliver a statistically valid and representative sample of ratepayers at whole of city level with a maximum sampling error on proportion for total sample of +/- 4.4%. </w:t>
      </w:r>
    </w:p>
    <w:p w14:paraId="75996731" w14:textId="53D5D48C" w:rsidR="0045124F" w:rsidRDefault="0045124F" w:rsidP="00FD20EC">
      <w:pPr>
        <w:pStyle w:val="BodyText"/>
        <w:spacing w:line="276" w:lineRule="auto"/>
        <w:rPr>
          <w:rFonts w:ascii="Arial" w:hAnsi="Arial" w:cs="Arial"/>
          <w:color w:val="000000"/>
          <w:sz w:val="20"/>
          <w:szCs w:val="20"/>
        </w:rPr>
      </w:pPr>
      <w:r w:rsidRPr="0045124F">
        <w:rPr>
          <w:rFonts w:ascii="Arial" w:hAnsi="Arial" w:cs="Arial"/>
          <w:color w:val="000000"/>
          <w:sz w:val="20"/>
          <w:szCs w:val="20"/>
        </w:rPr>
        <w:t xml:space="preserve">The survey was administered only to randomly selected ratepayers who had received and read the </w:t>
      </w:r>
      <w:r w:rsidRPr="00833E36">
        <w:rPr>
          <w:rFonts w:ascii="Arial" w:hAnsi="Arial" w:cs="Arial"/>
          <w:i/>
          <w:color w:val="000000"/>
          <w:sz w:val="20"/>
          <w:szCs w:val="20"/>
        </w:rPr>
        <w:t>Resourcing Our Future</w:t>
      </w:r>
      <w:r w:rsidRPr="0045124F">
        <w:rPr>
          <w:rFonts w:ascii="Arial" w:hAnsi="Arial" w:cs="Arial"/>
          <w:color w:val="000000"/>
          <w:sz w:val="20"/>
          <w:szCs w:val="20"/>
        </w:rPr>
        <w:t xml:space="preserve"> brochure. It was conducted from 16 to 19 August 2014. A full report on the results of the survey (prepared by IRIS) is included in </w:t>
      </w:r>
      <w:r w:rsidRPr="00604054">
        <w:rPr>
          <w:rFonts w:ascii="Arial" w:hAnsi="Arial" w:cs="Arial"/>
          <w:b/>
          <w:color w:val="000000"/>
          <w:sz w:val="20"/>
          <w:szCs w:val="20"/>
        </w:rPr>
        <w:t>Attachment 6b.</w:t>
      </w:r>
    </w:p>
    <w:p w14:paraId="25408987" w14:textId="77777777" w:rsidR="00833E36" w:rsidRPr="006A29BA" w:rsidRDefault="00833E36" w:rsidP="00D65400">
      <w:pPr>
        <w:spacing w:before="240" w:line="276" w:lineRule="auto"/>
        <w:jc w:val="both"/>
        <w:rPr>
          <w:rFonts w:ascii="Arial" w:hAnsi="Arial" w:cs="Arial"/>
          <w:bCs/>
          <w:sz w:val="20"/>
          <w:szCs w:val="20"/>
        </w:rPr>
      </w:pPr>
      <w:r>
        <w:rPr>
          <w:rFonts w:ascii="Arial" w:hAnsi="Arial" w:cs="Arial"/>
          <w:bCs/>
          <w:sz w:val="20"/>
          <w:szCs w:val="20"/>
        </w:rPr>
        <w:t xml:space="preserve">An independently conducted statistically significant survey of 504 ratepayers was also conducted. This survey asked respondents how supportive they were of each option in turn and then which of the three options for </w:t>
      </w:r>
      <w:r w:rsidRPr="001065DA">
        <w:rPr>
          <w:rFonts w:ascii="Arial" w:hAnsi="Arial" w:cs="Arial"/>
          <w:bCs/>
          <w:i/>
          <w:sz w:val="20"/>
          <w:szCs w:val="20"/>
        </w:rPr>
        <w:t>Resourcing Our Future</w:t>
      </w:r>
      <w:r>
        <w:rPr>
          <w:rFonts w:ascii="Arial" w:hAnsi="Arial" w:cs="Arial"/>
          <w:bCs/>
          <w:sz w:val="20"/>
          <w:szCs w:val="20"/>
        </w:rPr>
        <w:t xml:space="preserve"> they most supported. </w:t>
      </w:r>
      <w:r w:rsidRPr="00411C53">
        <w:rPr>
          <w:rFonts w:ascii="Arial" w:hAnsi="Arial" w:cs="Arial"/>
          <w:b/>
          <w:bCs/>
          <w:sz w:val="20"/>
          <w:szCs w:val="20"/>
        </w:rPr>
        <w:t xml:space="preserve">Just under two thirds or 64% had medium to high support for Option 1. </w:t>
      </w:r>
      <w:r>
        <w:rPr>
          <w:rFonts w:ascii="Arial" w:hAnsi="Arial" w:cs="Arial"/>
          <w:bCs/>
          <w:sz w:val="20"/>
          <w:szCs w:val="20"/>
        </w:rPr>
        <w:t xml:space="preserve">When asked which of the three they most supported, 49% supported Option 1, 36% Option 2 and only 15% Option 3.  </w:t>
      </w:r>
    </w:p>
    <w:p w14:paraId="34635F22" w14:textId="77777777" w:rsidR="00AE4E46" w:rsidRDefault="00AE4E46" w:rsidP="0045124F">
      <w:pPr>
        <w:widowControl w:val="0"/>
        <w:tabs>
          <w:tab w:val="left" w:pos="851"/>
        </w:tabs>
        <w:spacing w:line="274" w:lineRule="auto"/>
        <w:ind w:right="301"/>
        <w:rPr>
          <w:rFonts w:asciiTheme="minorHAnsi" w:hAnsiTheme="minorHAnsi" w:cs="Arial"/>
          <w:b/>
          <w:sz w:val="18"/>
          <w:szCs w:val="18"/>
        </w:rPr>
      </w:pPr>
    </w:p>
    <w:p w14:paraId="58EEA12D" w14:textId="1B5555D1" w:rsidR="0045124F" w:rsidRPr="00AD2D16" w:rsidRDefault="0045124F" w:rsidP="0045124F">
      <w:pPr>
        <w:widowControl w:val="0"/>
        <w:tabs>
          <w:tab w:val="left" w:pos="851"/>
        </w:tabs>
        <w:spacing w:line="274" w:lineRule="auto"/>
        <w:ind w:right="301"/>
        <w:rPr>
          <w:rFonts w:ascii="Arial" w:hAnsi="Arial" w:cs="Arial"/>
          <w:b/>
          <w:sz w:val="18"/>
          <w:szCs w:val="18"/>
        </w:rPr>
      </w:pPr>
      <w:r w:rsidRPr="00AD2D16">
        <w:rPr>
          <w:rFonts w:ascii="Arial" w:hAnsi="Arial" w:cs="Arial"/>
          <w:b/>
          <w:noProof/>
          <w:sz w:val="18"/>
          <w:szCs w:val="18"/>
        </w:rPr>
        <w:drawing>
          <wp:anchor distT="0" distB="0" distL="114300" distR="114300" simplePos="0" relativeHeight="251875328" behindDoc="1" locked="0" layoutInCell="1" allowOverlap="1" wp14:anchorId="47374F04" wp14:editId="2FDF2A6A">
            <wp:simplePos x="0" y="0"/>
            <wp:positionH relativeFrom="column">
              <wp:posOffset>3161616</wp:posOffset>
            </wp:positionH>
            <wp:positionV relativeFrom="paragraph">
              <wp:posOffset>-174528</wp:posOffset>
            </wp:positionV>
            <wp:extent cx="3024554" cy="2198077"/>
            <wp:effectExtent l="0" t="0" r="0" b="0"/>
            <wp:wrapNone/>
            <wp:docPr id="2074" name="Chart 207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page">
              <wp14:pctWidth>0</wp14:pctWidth>
            </wp14:sizeRelH>
            <wp14:sizeRelV relativeFrom="page">
              <wp14:pctHeight>0</wp14:pctHeight>
            </wp14:sizeRelV>
          </wp:anchor>
        </w:drawing>
      </w:r>
      <w:r w:rsidRPr="00AD2D16">
        <w:rPr>
          <w:rFonts w:ascii="Arial" w:hAnsi="Arial" w:cs="Arial"/>
          <w:b/>
          <w:sz w:val="18"/>
          <w:szCs w:val="18"/>
        </w:rPr>
        <w:t xml:space="preserve">Table </w:t>
      </w:r>
      <w:r w:rsidR="00725530" w:rsidRPr="00AD2D16">
        <w:rPr>
          <w:rFonts w:ascii="Arial" w:hAnsi="Arial" w:cs="Arial"/>
          <w:b/>
          <w:sz w:val="18"/>
          <w:szCs w:val="18"/>
        </w:rPr>
        <w:t>4.12</w:t>
      </w:r>
      <w:r w:rsidRPr="00AD2D16">
        <w:rPr>
          <w:rFonts w:ascii="Arial" w:hAnsi="Arial" w:cs="Arial"/>
          <w:b/>
          <w:sz w:val="18"/>
          <w:szCs w:val="18"/>
        </w:rPr>
        <w:t>: Preferred option from the telephone survey</w:t>
      </w:r>
    </w:p>
    <w:tbl>
      <w:tblPr>
        <w:tblpPr w:leftFromText="180" w:rightFromText="180" w:vertAnchor="text" w:tblpX="148" w:tblpY="1"/>
        <w:tblOverlap w:val="never"/>
        <w:tblW w:w="0" w:type="auto"/>
        <w:tblCellMar>
          <w:left w:w="0" w:type="dxa"/>
          <w:right w:w="0" w:type="dxa"/>
        </w:tblCellMar>
        <w:tblLook w:val="04A0" w:firstRow="1" w:lastRow="0" w:firstColumn="1" w:lastColumn="0" w:noHBand="0" w:noVBand="1"/>
      </w:tblPr>
      <w:tblGrid>
        <w:gridCol w:w="1857"/>
        <w:gridCol w:w="1285"/>
        <w:gridCol w:w="1517"/>
      </w:tblGrid>
      <w:tr w:rsidR="0045124F" w:rsidRPr="0045124F" w14:paraId="2B5B265E" w14:textId="77777777" w:rsidTr="0067349D">
        <w:trPr>
          <w:trHeight w:val="448"/>
        </w:trPr>
        <w:tc>
          <w:tcPr>
            <w:tcW w:w="1857" w:type="dxa"/>
            <w:tcBorders>
              <w:top w:val="single" w:sz="8" w:space="0" w:color="auto"/>
              <w:left w:val="single" w:sz="8" w:space="0" w:color="auto"/>
              <w:bottom w:val="single" w:sz="8" w:space="0" w:color="auto"/>
              <w:right w:val="single" w:sz="4" w:space="0" w:color="auto"/>
            </w:tcBorders>
            <w:shd w:val="clear" w:color="auto" w:fill="548DD4" w:themeFill="text2" w:themeFillTint="99"/>
            <w:tcMar>
              <w:top w:w="0" w:type="dxa"/>
              <w:left w:w="108" w:type="dxa"/>
              <w:bottom w:w="0" w:type="dxa"/>
              <w:right w:w="108" w:type="dxa"/>
            </w:tcMar>
            <w:vAlign w:val="center"/>
          </w:tcPr>
          <w:p w14:paraId="55AA1B68" w14:textId="77777777" w:rsidR="0045124F" w:rsidRPr="00411C53" w:rsidRDefault="0045124F" w:rsidP="0045124F">
            <w:pPr>
              <w:widowControl w:val="0"/>
              <w:rPr>
                <w:rFonts w:ascii="Arial" w:eastAsiaTheme="minorHAnsi" w:hAnsi="Arial" w:cs="Arial"/>
                <w:b/>
                <w:color w:val="FFFFFF" w:themeColor="background1"/>
                <w:sz w:val="20"/>
                <w:szCs w:val="20"/>
                <w:lang w:val="en-US" w:eastAsia="en-US"/>
              </w:rPr>
            </w:pPr>
            <w:r w:rsidRPr="00411C53">
              <w:rPr>
                <w:rFonts w:ascii="Arial" w:eastAsiaTheme="minorHAnsi" w:hAnsi="Arial" w:cs="Arial"/>
                <w:b/>
                <w:color w:val="FFFFFF" w:themeColor="background1"/>
                <w:sz w:val="20"/>
                <w:szCs w:val="20"/>
                <w:lang w:val="en-US" w:eastAsia="en-US"/>
              </w:rPr>
              <w:t>Preferred Option</w:t>
            </w:r>
          </w:p>
        </w:tc>
        <w:tc>
          <w:tcPr>
            <w:tcW w:w="1285"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79EA395F" w14:textId="77777777" w:rsidR="0045124F" w:rsidRPr="00411C53" w:rsidRDefault="0045124F" w:rsidP="0045124F">
            <w:pPr>
              <w:widowControl w:val="0"/>
              <w:ind w:right="142"/>
              <w:jc w:val="center"/>
              <w:rPr>
                <w:rFonts w:ascii="Arial" w:eastAsiaTheme="minorHAnsi" w:hAnsi="Arial" w:cs="Arial"/>
                <w:b/>
                <w:color w:val="FFFFFF" w:themeColor="background1"/>
                <w:sz w:val="20"/>
                <w:szCs w:val="20"/>
                <w:lang w:val="en-US" w:eastAsia="en-US"/>
              </w:rPr>
            </w:pPr>
            <w:r w:rsidRPr="00411C53">
              <w:rPr>
                <w:rFonts w:ascii="Arial" w:eastAsiaTheme="minorHAnsi" w:hAnsi="Arial" w:cs="Arial"/>
                <w:b/>
                <w:color w:val="FFFFFF" w:themeColor="background1"/>
                <w:sz w:val="20"/>
                <w:szCs w:val="20"/>
                <w:lang w:val="en-US" w:eastAsia="en-US"/>
              </w:rPr>
              <w:t>No.</w:t>
            </w:r>
          </w:p>
        </w:tc>
        <w:tc>
          <w:tcPr>
            <w:tcW w:w="1517" w:type="dxa"/>
            <w:tcBorders>
              <w:top w:val="single" w:sz="4" w:space="0" w:color="auto"/>
              <w:left w:val="single" w:sz="4" w:space="0" w:color="auto"/>
              <w:bottom w:val="single" w:sz="4" w:space="0" w:color="auto"/>
              <w:right w:val="single" w:sz="4" w:space="0" w:color="auto"/>
            </w:tcBorders>
            <w:shd w:val="clear" w:color="auto" w:fill="548DD4" w:themeFill="text2" w:themeFillTint="99"/>
            <w:tcMar>
              <w:top w:w="0" w:type="dxa"/>
              <w:left w:w="108" w:type="dxa"/>
              <w:bottom w:w="0" w:type="dxa"/>
              <w:right w:w="108" w:type="dxa"/>
            </w:tcMar>
            <w:vAlign w:val="center"/>
          </w:tcPr>
          <w:p w14:paraId="29A7F47D" w14:textId="77777777" w:rsidR="0045124F" w:rsidRPr="00411C53" w:rsidRDefault="0045124F" w:rsidP="0045124F">
            <w:pPr>
              <w:widowControl w:val="0"/>
              <w:jc w:val="center"/>
              <w:rPr>
                <w:rFonts w:ascii="Arial" w:eastAsiaTheme="minorHAnsi" w:hAnsi="Arial" w:cs="Arial"/>
                <w:b/>
                <w:color w:val="FFFFFF" w:themeColor="background1"/>
                <w:sz w:val="20"/>
                <w:szCs w:val="20"/>
                <w:lang w:val="en-US" w:eastAsia="en-US"/>
              </w:rPr>
            </w:pPr>
            <w:r w:rsidRPr="00411C53">
              <w:rPr>
                <w:rFonts w:ascii="Arial" w:eastAsiaTheme="minorHAnsi" w:hAnsi="Arial" w:cs="Arial"/>
                <w:b/>
                <w:color w:val="FFFFFF" w:themeColor="background1"/>
                <w:sz w:val="20"/>
                <w:szCs w:val="20"/>
                <w:lang w:val="en-US" w:eastAsia="en-US"/>
              </w:rPr>
              <w:t>%</w:t>
            </w:r>
          </w:p>
        </w:tc>
      </w:tr>
      <w:tr w:rsidR="0045124F" w:rsidRPr="0045124F" w14:paraId="7B82CAF5" w14:textId="77777777" w:rsidTr="0067349D">
        <w:trPr>
          <w:trHeight w:val="448"/>
        </w:trPr>
        <w:tc>
          <w:tcPr>
            <w:tcW w:w="1857" w:type="dxa"/>
            <w:tcBorders>
              <w:top w:val="single" w:sz="8"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14:paraId="62DBBE83" w14:textId="77777777" w:rsidR="0045124F" w:rsidRPr="00411C53" w:rsidRDefault="0045124F" w:rsidP="0045124F">
            <w:pPr>
              <w:widowControl w:val="0"/>
              <w:rPr>
                <w:rFonts w:ascii="Arial" w:eastAsiaTheme="minorHAnsi" w:hAnsi="Arial" w:cs="Arial"/>
                <w:color w:val="000000" w:themeColor="text1"/>
                <w:sz w:val="20"/>
                <w:szCs w:val="20"/>
                <w:lang w:val="en-US" w:eastAsia="en-US"/>
              </w:rPr>
            </w:pPr>
            <w:r w:rsidRPr="00411C53">
              <w:rPr>
                <w:rFonts w:ascii="Arial" w:eastAsiaTheme="minorHAnsi" w:hAnsi="Arial" w:cs="Arial"/>
                <w:color w:val="000000" w:themeColor="text1"/>
                <w:sz w:val="20"/>
                <w:szCs w:val="20"/>
                <w:lang w:val="en-US" w:eastAsia="en-US"/>
              </w:rPr>
              <w:t>Option 1</w:t>
            </w:r>
          </w:p>
        </w:tc>
        <w:tc>
          <w:tcPr>
            <w:tcW w:w="1285" w:type="dxa"/>
            <w:tcBorders>
              <w:top w:val="single" w:sz="4" w:space="0" w:color="auto"/>
              <w:left w:val="single" w:sz="4" w:space="0" w:color="auto"/>
              <w:bottom w:val="single" w:sz="4" w:space="0" w:color="auto"/>
              <w:right w:val="single" w:sz="4" w:space="0" w:color="auto"/>
            </w:tcBorders>
            <w:vAlign w:val="center"/>
          </w:tcPr>
          <w:p w14:paraId="232883AE" w14:textId="77777777" w:rsidR="0045124F" w:rsidRPr="00411C53" w:rsidRDefault="0045124F" w:rsidP="0045124F">
            <w:pPr>
              <w:widowControl w:val="0"/>
              <w:ind w:right="142"/>
              <w:jc w:val="center"/>
              <w:rPr>
                <w:rFonts w:ascii="Arial" w:eastAsiaTheme="minorHAnsi" w:hAnsi="Arial" w:cs="Arial"/>
                <w:color w:val="000000" w:themeColor="text1"/>
                <w:sz w:val="20"/>
                <w:szCs w:val="20"/>
                <w:lang w:val="en-US" w:eastAsia="en-US"/>
              </w:rPr>
            </w:pPr>
            <w:r w:rsidRPr="00411C53">
              <w:rPr>
                <w:rFonts w:ascii="Arial" w:eastAsiaTheme="minorHAnsi" w:hAnsi="Arial" w:cs="Arial"/>
                <w:color w:val="000000" w:themeColor="text1"/>
                <w:sz w:val="20"/>
                <w:szCs w:val="20"/>
                <w:lang w:val="en-US" w:eastAsia="en-US"/>
              </w:rPr>
              <w:t>246</w:t>
            </w:r>
          </w:p>
        </w:tc>
        <w:tc>
          <w:tcPr>
            <w:tcW w:w="151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45066C0" w14:textId="77777777" w:rsidR="0045124F" w:rsidRPr="00411C53" w:rsidRDefault="0045124F" w:rsidP="0045124F">
            <w:pPr>
              <w:widowControl w:val="0"/>
              <w:jc w:val="center"/>
              <w:rPr>
                <w:rFonts w:ascii="Arial" w:eastAsiaTheme="minorHAnsi" w:hAnsi="Arial" w:cs="Arial"/>
                <w:color w:val="000000" w:themeColor="text1"/>
                <w:sz w:val="20"/>
                <w:szCs w:val="20"/>
                <w:lang w:val="en-US" w:eastAsia="en-US"/>
              </w:rPr>
            </w:pPr>
            <w:r w:rsidRPr="00411C53">
              <w:rPr>
                <w:rFonts w:ascii="Arial" w:eastAsiaTheme="minorHAnsi" w:hAnsi="Arial" w:cs="Arial"/>
                <w:color w:val="000000" w:themeColor="text1"/>
                <w:sz w:val="20"/>
                <w:szCs w:val="20"/>
                <w:lang w:val="en-US" w:eastAsia="en-US"/>
              </w:rPr>
              <w:t>48.8%</w:t>
            </w:r>
          </w:p>
        </w:tc>
      </w:tr>
      <w:tr w:rsidR="0045124F" w:rsidRPr="0045124F" w14:paraId="5685909F" w14:textId="77777777" w:rsidTr="0067349D">
        <w:trPr>
          <w:trHeight w:val="429"/>
        </w:trPr>
        <w:tc>
          <w:tcPr>
            <w:tcW w:w="1857"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14:paraId="63B118D4" w14:textId="77777777" w:rsidR="0045124F" w:rsidRPr="00411C53" w:rsidRDefault="0045124F" w:rsidP="0045124F">
            <w:pPr>
              <w:widowControl w:val="0"/>
              <w:rPr>
                <w:rFonts w:ascii="Arial" w:eastAsiaTheme="minorHAnsi" w:hAnsi="Arial" w:cs="Arial"/>
                <w:color w:val="000000" w:themeColor="text1"/>
                <w:sz w:val="20"/>
                <w:szCs w:val="20"/>
                <w:lang w:val="en-US" w:eastAsia="en-US"/>
              </w:rPr>
            </w:pPr>
            <w:r w:rsidRPr="00411C53">
              <w:rPr>
                <w:rFonts w:ascii="Arial" w:eastAsiaTheme="minorHAnsi" w:hAnsi="Arial" w:cs="Arial"/>
                <w:color w:val="000000" w:themeColor="text1"/>
                <w:sz w:val="20"/>
                <w:szCs w:val="20"/>
                <w:lang w:val="en-US" w:eastAsia="en-US"/>
              </w:rPr>
              <w:t>Option 2</w:t>
            </w:r>
          </w:p>
        </w:tc>
        <w:tc>
          <w:tcPr>
            <w:tcW w:w="1285" w:type="dxa"/>
            <w:tcBorders>
              <w:top w:val="single" w:sz="4" w:space="0" w:color="auto"/>
              <w:left w:val="single" w:sz="4" w:space="0" w:color="auto"/>
              <w:bottom w:val="single" w:sz="4" w:space="0" w:color="auto"/>
              <w:right w:val="single" w:sz="4" w:space="0" w:color="auto"/>
            </w:tcBorders>
            <w:vAlign w:val="center"/>
          </w:tcPr>
          <w:p w14:paraId="1C127893" w14:textId="77777777" w:rsidR="0045124F" w:rsidRPr="00411C53" w:rsidRDefault="0045124F" w:rsidP="0045124F">
            <w:pPr>
              <w:widowControl w:val="0"/>
              <w:ind w:right="142"/>
              <w:jc w:val="center"/>
              <w:rPr>
                <w:rFonts w:ascii="Arial" w:eastAsiaTheme="minorHAnsi" w:hAnsi="Arial" w:cs="Arial"/>
                <w:color w:val="000000" w:themeColor="text1"/>
                <w:sz w:val="20"/>
                <w:szCs w:val="20"/>
                <w:lang w:val="en-US" w:eastAsia="en-US"/>
              </w:rPr>
            </w:pPr>
            <w:r w:rsidRPr="00411C53">
              <w:rPr>
                <w:rFonts w:ascii="Arial" w:eastAsiaTheme="minorHAnsi" w:hAnsi="Arial" w:cs="Arial"/>
                <w:color w:val="000000" w:themeColor="text1"/>
                <w:sz w:val="20"/>
                <w:szCs w:val="20"/>
                <w:lang w:val="en-US" w:eastAsia="en-US"/>
              </w:rPr>
              <w:t>180</w:t>
            </w:r>
          </w:p>
        </w:tc>
        <w:tc>
          <w:tcPr>
            <w:tcW w:w="15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A8670A" w14:textId="77777777" w:rsidR="0045124F" w:rsidRPr="00411C53" w:rsidRDefault="0045124F" w:rsidP="0045124F">
            <w:pPr>
              <w:widowControl w:val="0"/>
              <w:jc w:val="center"/>
              <w:rPr>
                <w:rFonts w:ascii="Arial" w:eastAsiaTheme="minorHAnsi" w:hAnsi="Arial" w:cs="Arial"/>
                <w:color w:val="000000" w:themeColor="text1"/>
                <w:sz w:val="20"/>
                <w:szCs w:val="20"/>
                <w:lang w:val="en-US" w:eastAsia="en-US"/>
              </w:rPr>
            </w:pPr>
            <w:r w:rsidRPr="00411C53">
              <w:rPr>
                <w:rFonts w:ascii="Arial" w:eastAsiaTheme="minorHAnsi" w:hAnsi="Arial" w:cs="Arial"/>
                <w:color w:val="000000" w:themeColor="text1"/>
                <w:sz w:val="20"/>
                <w:szCs w:val="20"/>
                <w:lang w:val="en-US" w:eastAsia="en-US"/>
              </w:rPr>
              <w:t>35.7%</w:t>
            </w:r>
          </w:p>
        </w:tc>
      </w:tr>
      <w:tr w:rsidR="0045124F" w:rsidRPr="0045124F" w14:paraId="4E703923" w14:textId="77777777" w:rsidTr="0067349D">
        <w:trPr>
          <w:trHeight w:val="429"/>
        </w:trPr>
        <w:tc>
          <w:tcPr>
            <w:tcW w:w="1857"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14:paraId="5D0A011F" w14:textId="77777777" w:rsidR="0045124F" w:rsidRPr="00411C53" w:rsidRDefault="0045124F" w:rsidP="0045124F">
            <w:pPr>
              <w:widowControl w:val="0"/>
              <w:rPr>
                <w:rFonts w:ascii="Arial" w:eastAsiaTheme="minorHAnsi" w:hAnsi="Arial" w:cs="Arial"/>
                <w:color w:val="000000" w:themeColor="text1"/>
                <w:sz w:val="20"/>
                <w:szCs w:val="20"/>
                <w:lang w:val="en-US" w:eastAsia="en-US"/>
              </w:rPr>
            </w:pPr>
            <w:r w:rsidRPr="00411C53">
              <w:rPr>
                <w:rFonts w:ascii="Arial" w:eastAsiaTheme="minorHAnsi" w:hAnsi="Arial" w:cs="Arial"/>
                <w:color w:val="000000" w:themeColor="text1"/>
                <w:sz w:val="20"/>
                <w:szCs w:val="20"/>
                <w:lang w:val="en-US" w:eastAsia="en-US"/>
              </w:rPr>
              <w:t>Option 3</w:t>
            </w:r>
          </w:p>
        </w:tc>
        <w:tc>
          <w:tcPr>
            <w:tcW w:w="1285" w:type="dxa"/>
            <w:tcBorders>
              <w:top w:val="single" w:sz="4" w:space="0" w:color="auto"/>
              <w:left w:val="single" w:sz="4" w:space="0" w:color="auto"/>
              <w:bottom w:val="single" w:sz="4" w:space="0" w:color="auto"/>
              <w:right w:val="single" w:sz="4" w:space="0" w:color="auto"/>
            </w:tcBorders>
            <w:vAlign w:val="center"/>
          </w:tcPr>
          <w:p w14:paraId="63D9E889" w14:textId="77777777" w:rsidR="0045124F" w:rsidRPr="00411C53" w:rsidRDefault="0045124F" w:rsidP="0045124F">
            <w:pPr>
              <w:widowControl w:val="0"/>
              <w:ind w:right="142"/>
              <w:jc w:val="center"/>
              <w:rPr>
                <w:rFonts w:ascii="Arial" w:eastAsiaTheme="minorHAnsi" w:hAnsi="Arial" w:cs="Arial"/>
                <w:color w:val="000000" w:themeColor="text1"/>
                <w:sz w:val="20"/>
                <w:szCs w:val="20"/>
                <w:lang w:val="en-US" w:eastAsia="en-US"/>
              </w:rPr>
            </w:pPr>
            <w:r w:rsidRPr="00411C53">
              <w:rPr>
                <w:rFonts w:ascii="Arial" w:eastAsiaTheme="minorHAnsi" w:hAnsi="Arial" w:cs="Arial"/>
                <w:color w:val="000000" w:themeColor="text1"/>
                <w:sz w:val="20"/>
                <w:szCs w:val="20"/>
                <w:lang w:val="en-US" w:eastAsia="en-US"/>
              </w:rPr>
              <w:t>78</w:t>
            </w:r>
          </w:p>
        </w:tc>
        <w:tc>
          <w:tcPr>
            <w:tcW w:w="15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BACDA6" w14:textId="77777777" w:rsidR="0045124F" w:rsidRPr="00411C53" w:rsidRDefault="0045124F" w:rsidP="0045124F">
            <w:pPr>
              <w:widowControl w:val="0"/>
              <w:jc w:val="center"/>
              <w:rPr>
                <w:rFonts w:ascii="Arial" w:eastAsiaTheme="minorHAnsi" w:hAnsi="Arial" w:cs="Arial"/>
                <w:color w:val="000000" w:themeColor="text1"/>
                <w:sz w:val="20"/>
                <w:szCs w:val="20"/>
                <w:lang w:val="en-US" w:eastAsia="en-US"/>
              </w:rPr>
            </w:pPr>
            <w:r w:rsidRPr="00411C53">
              <w:rPr>
                <w:rFonts w:ascii="Arial" w:eastAsiaTheme="minorHAnsi" w:hAnsi="Arial" w:cs="Arial"/>
                <w:color w:val="000000" w:themeColor="text1"/>
                <w:sz w:val="20"/>
                <w:szCs w:val="20"/>
                <w:lang w:val="en-US" w:eastAsia="en-US"/>
              </w:rPr>
              <w:t>15.5%</w:t>
            </w:r>
          </w:p>
        </w:tc>
      </w:tr>
      <w:tr w:rsidR="0045124F" w:rsidRPr="0045124F" w14:paraId="4FE5406D" w14:textId="77777777" w:rsidTr="0067349D">
        <w:trPr>
          <w:trHeight w:val="448"/>
        </w:trPr>
        <w:tc>
          <w:tcPr>
            <w:tcW w:w="1857" w:type="dxa"/>
            <w:tcBorders>
              <w:top w:val="nil"/>
              <w:left w:val="single" w:sz="8" w:space="0" w:color="auto"/>
              <w:bottom w:val="single" w:sz="8" w:space="0" w:color="auto"/>
              <w:right w:val="single" w:sz="4" w:space="0" w:color="auto"/>
            </w:tcBorders>
            <w:tcMar>
              <w:top w:w="0" w:type="dxa"/>
              <w:left w:w="108" w:type="dxa"/>
              <w:bottom w:w="0" w:type="dxa"/>
              <w:right w:w="108" w:type="dxa"/>
            </w:tcMar>
            <w:vAlign w:val="center"/>
            <w:hideMark/>
          </w:tcPr>
          <w:p w14:paraId="424CD9C4" w14:textId="77777777" w:rsidR="0045124F" w:rsidRPr="00411C53" w:rsidRDefault="0045124F" w:rsidP="0045124F">
            <w:pPr>
              <w:widowControl w:val="0"/>
              <w:rPr>
                <w:rFonts w:ascii="Arial" w:eastAsiaTheme="minorHAnsi" w:hAnsi="Arial" w:cs="Arial"/>
                <w:b/>
                <w:color w:val="000000" w:themeColor="text1"/>
                <w:sz w:val="20"/>
                <w:szCs w:val="20"/>
                <w:lang w:val="en-US" w:eastAsia="en-US"/>
              </w:rPr>
            </w:pPr>
            <w:r w:rsidRPr="00411C53">
              <w:rPr>
                <w:rFonts w:ascii="Arial" w:eastAsiaTheme="minorHAnsi" w:hAnsi="Arial" w:cs="Arial"/>
                <w:b/>
                <w:color w:val="000000" w:themeColor="text1"/>
                <w:sz w:val="20"/>
                <w:szCs w:val="20"/>
                <w:lang w:val="en-US" w:eastAsia="en-US"/>
              </w:rPr>
              <w:t>Total</w:t>
            </w:r>
          </w:p>
        </w:tc>
        <w:tc>
          <w:tcPr>
            <w:tcW w:w="1285" w:type="dxa"/>
            <w:tcBorders>
              <w:top w:val="single" w:sz="4" w:space="0" w:color="auto"/>
              <w:left w:val="single" w:sz="4" w:space="0" w:color="auto"/>
              <w:bottom w:val="single" w:sz="4" w:space="0" w:color="auto"/>
              <w:right w:val="single" w:sz="4" w:space="0" w:color="auto"/>
            </w:tcBorders>
            <w:vAlign w:val="center"/>
          </w:tcPr>
          <w:p w14:paraId="194B1D2E" w14:textId="77777777" w:rsidR="0045124F" w:rsidRPr="00411C53" w:rsidRDefault="0045124F" w:rsidP="0045124F">
            <w:pPr>
              <w:widowControl w:val="0"/>
              <w:ind w:right="142"/>
              <w:jc w:val="center"/>
              <w:rPr>
                <w:rFonts w:ascii="Arial" w:eastAsiaTheme="minorHAnsi" w:hAnsi="Arial" w:cs="Arial"/>
                <w:b/>
                <w:color w:val="000000" w:themeColor="text1"/>
                <w:sz w:val="20"/>
                <w:szCs w:val="20"/>
                <w:lang w:val="en-US" w:eastAsia="en-US"/>
              </w:rPr>
            </w:pPr>
            <w:r w:rsidRPr="00411C53">
              <w:rPr>
                <w:rFonts w:ascii="Arial" w:eastAsiaTheme="minorHAnsi" w:hAnsi="Arial" w:cs="Arial"/>
                <w:b/>
                <w:color w:val="000000" w:themeColor="text1"/>
                <w:sz w:val="20"/>
                <w:szCs w:val="20"/>
                <w:lang w:val="en-US" w:eastAsia="en-US"/>
              </w:rPr>
              <w:t>504</w:t>
            </w:r>
          </w:p>
        </w:tc>
        <w:tc>
          <w:tcPr>
            <w:tcW w:w="15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AB338B" w14:textId="77777777" w:rsidR="0045124F" w:rsidRPr="00411C53" w:rsidRDefault="0045124F" w:rsidP="0045124F">
            <w:pPr>
              <w:widowControl w:val="0"/>
              <w:jc w:val="center"/>
              <w:rPr>
                <w:rFonts w:ascii="Arial" w:eastAsiaTheme="minorHAnsi" w:hAnsi="Arial" w:cs="Arial"/>
                <w:b/>
                <w:color w:val="000000" w:themeColor="text1"/>
                <w:sz w:val="20"/>
                <w:szCs w:val="20"/>
                <w:lang w:val="en-US" w:eastAsia="en-US"/>
              </w:rPr>
            </w:pPr>
            <w:r w:rsidRPr="00411C53">
              <w:rPr>
                <w:rFonts w:ascii="Arial" w:eastAsiaTheme="minorHAnsi" w:hAnsi="Arial" w:cs="Arial"/>
                <w:b/>
                <w:color w:val="000000" w:themeColor="text1"/>
                <w:sz w:val="20"/>
                <w:szCs w:val="20"/>
                <w:lang w:val="en-US" w:eastAsia="en-US"/>
              </w:rPr>
              <w:t>100.0%</w:t>
            </w:r>
          </w:p>
        </w:tc>
      </w:tr>
    </w:tbl>
    <w:p w14:paraId="28E562DA" w14:textId="77777777" w:rsidR="0045124F" w:rsidRPr="0045124F" w:rsidRDefault="0045124F" w:rsidP="0045124F">
      <w:pPr>
        <w:jc w:val="both"/>
        <w:rPr>
          <w:rFonts w:ascii="Arial" w:hAnsi="Arial" w:cs="Arial"/>
          <w:b/>
          <w:bCs/>
          <w:szCs w:val="22"/>
          <w:lang w:val="en-US" w:eastAsia="en-US"/>
        </w:rPr>
      </w:pPr>
    </w:p>
    <w:p w14:paraId="030E0317" w14:textId="77777777" w:rsidR="0045124F" w:rsidRPr="0045124F" w:rsidRDefault="0045124F" w:rsidP="0045124F">
      <w:pPr>
        <w:jc w:val="both"/>
        <w:rPr>
          <w:rFonts w:ascii="Arial" w:hAnsi="Arial" w:cs="Arial"/>
          <w:b/>
          <w:bCs/>
          <w:szCs w:val="22"/>
          <w:lang w:val="en-US" w:eastAsia="en-US"/>
        </w:rPr>
      </w:pPr>
    </w:p>
    <w:p w14:paraId="4B993E2E" w14:textId="77777777" w:rsidR="0045124F" w:rsidRPr="0045124F" w:rsidRDefault="0045124F" w:rsidP="0045124F">
      <w:pPr>
        <w:jc w:val="both"/>
        <w:rPr>
          <w:rFonts w:ascii="Arial" w:hAnsi="Arial" w:cs="Arial"/>
          <w:b/>
          <w:bCs/>
          <w:szCs w:val="22"/>
          <w:lang w:val="en-US" w:eastAsia="en-US"/>
        </w:rPr>
      </w:pPr>
    </w:p>
    <w:p w14:paraId="50F346B9" w14:textId="77777777" w:rsidR="0045124F" w:rsidRPr="0045124F" w:rsidRDefault="0045124F" w:rsidP="0045124F">
      <w:pPr>
        <w:jc w:val="both"/>
        <w:rPr>
          <w:rFonts w:ascii="Arial" w:hAnsi="Arial" w:cs="Arial"/>
          <w:b/>
          <w:bCs/>
          <w:szCs w:val="22"/>
          <w:lang w:val="en-US" w:eastAsia="en-US"/>
        </w:rPr>
      </w:pPr>
    </w:p>
    <w:p w14:paraId="1FED1A26" w14:textId="77777777" w:rsidR="0045124F" w:rsidRPr="0045124F" w:rsidRDefault="0045124F" w:rsidP="0045124F">
      <w:pPr>
        <w:jc w:val="both"/>
        <w:rPr>
          <w:rFonts w:ascii="Arial" w:hAnsi="Arial" w:cs="Arial"/>
          <w:b/>
          <w:bCs/>
          <w:szCs w:val="22"/>
          <w:lang w:val="en-US" w:eastAsia="en-US"/>
        </w:rPr>
      </w:pPr>
    </w:p>
    <w:p w14:paraId="6610EFB4" w14:textId="77777777" w:rsidR="0045124F" w:rsidRPr="0045124F" w:rsidRDefault="0045124F" w:rsidP="0045124F">
      <w:pPr>
        <w:jc w:val="both"/>
        <w:rPr>
          <w:rFonts w:ascii="Arial" w:hAnsi="Arial" w:cs="Arial"/>
          <w:b/>
          <w:bCs/>
          <w:szCs w:val="22"/>
          <w:lang w:val="en-US" w:eastAsia="en-US"/>
        </w:rPr>
      </w:pPr>
    </w:p>
    <w:p w14:paraId="32C8CCAB" w14:textId="77777777" w:rsidR="0045124F" w:rsidRPr="0045124F" w:rsidRDefault="0045124F" w:rsidP="0045124F">
      <w:pPr>
        <w:jc w:val="both"/>
        <w:rPr>
          <w:rFonts w:ascii="Arial" w:hAnsi="Arial" w:cs="Arial"/>
          <w:b/>
          <w:bCs/>
          <w:szCs w:val="22"/>
          <w:lang w:val="en-US" w:eastAsia="en-US"/>
        </w:rPr>
      </w:pPr>
    </w:p>
    <w:p w14:paraId="5C6094C3" w14:textId="77777777" w:rsidR="0045124F" w:rsidRPr="0045124F" w:rsidRDefault="0045124F" w:rsidP="0045124F">
      <w:pPr>
        <w:jc w:val="both"/>
        <w:rPr>
          <w:rFonts w:ascii="Arial" w:hAnsi="Arial" w:cs="Arial"/>
          <w:b/>
          <w:bCs/>
          <w:szCs w:val="22"/>
          <w:lang w:val="en-US" w:eastAsia="en-US"/>
        </w:rPr>
      </w:pPr>
    </w:p>
    <w:p w14:paraId="0037D21D" w14:textId="77777777" w:rsidR="0045124F" w:rsidRPr="0045124F" w:rsidRDefault="0045124F" w:rsidP="0045124F">
      <w:pPr>
        <w:jc w:val="both"/>
        <w:rPr>
          <w:rFonts w:ascii="Arial" w:hAnsi="Arial" w:cs="Arial"/>
          <w:b/>
          <w:bCs/>
          <w:szCs w:val="22"/>
          <w:lang w:val="en-US" w:eastAsia="en-US"/>
        </w:rPr>
      </w:pPr>
    </w:p>
    <w:p w14:paraId="78844AC5" w14:textId="77777777" w:rsidR="0045124F" w:rsidRPr="0045124F" w:rsidRDefault="0045124F" w:rsidP="0045124F">
      <w:pPr>
        <w:jc w:val="both"/>
        <w:rPr>
          <w:rFonts w:ascii="Arial" w:hAnsi="Arial" w:cs="Arial"/>
          <w:b/>
          <w:bCs/>
          <w:szCs w:val="22"/>
          <w:lang w:val="en-US" w:eastAsia="en-US"/>
        </w:rPr>
      </w:pPr>
    </w:p>
    <w:p w14:paraId="0635562A" w14:textId="77777777" w:rsidR="0045124F" w:rsidRPr="0045124F" w:rsidRDefault="0045124F" w:rsidP="0045124F">
      <w:pPr>
        <w:jc w:val="both"/>
        <w:rPr>
          <w:rFonts w:ascii="Arial" w:hAnsi="Arial" w:cs="Arial"/>
          <w:b/>
          <w:bCs/>
          <w:szCs w:val="22"/>
          <w:lang w:val="en-US" w:eastAsia="en-US"/>
        </w:rPr>
      </w:pPr>
    </w:p>
    <w:p w14:paraId="78D63FAE" w14:textId="77777777" w:rsidR="00AE4E46" w:rsidRDefault="00AE4E46" w:rsidP="00AE4E46">
      <w:pPr>
        <w:pStyle w:val="BodyText"/>
        <w:spacing w:line="276" w:lineRule="auto"/>
        <w:rPr>
          <w:rFonts w:ascii="Arial" w:hAnsi="Arial" w:cs="Arial"/>
          <w:color w:val="000000"/>
          <w:sz w:val="20"/>
          <w:szCs w:val="20"/>
        </w:rPr>
      </w:pPr>
    </w:p>
    <w:p w14:paraId="75BD5646" w14:textId="58318CC9" w:rsidR="00604054" w:rsidRDefault="00D65400" w:rsidP="00411C53">
      <w:pPr>
        <w:pStyle w:val="BodyText"/>
        <w:spacing w:line="276" w:lineRule="auto"/>
        <w:ind w:left="-142"/>
        <w:rPr>
          <w:rFonts w:ascii="Arial" w:hAnsi="Arial" w:cs="Arial"/>
          <w:color w:val="000000"/>
          <w:sz w:val="20"/>
          <w:szCs w:val="20"/>
        </w:rPr>
      </w:pPr>
      <w:r>
        <w:rPr>
          <w:rFonts w:ascii="Arial" w:hAnsi="Arial" w:cs="Arial"/>
          <w:color w:val="000000"/>
          <w:sz w:val="20"/>
          <w:szCs w:val="20"/>
        </w:rPr>
        <w:t>C</w:t>
      </w:r>
      <w:r w:rsidR="00AE4E46" w:rsidRPr="0045124F">
        <w:rPr>
          <w:rFonts w:ascii="Arial" w:hAnsi="Arial" w:cs="Arial"/>
          <w:color w:val="000000"/>
          <w:sz w:val="20"/>
          <w:szCs w:val="20"/>
        </w:rPr>
        <w:t>ombined support for Options 1 and 2 was 84.5%. In other words, more than eight out of every ten respondents preferred one of the options involving a special variation to rates.</w:t>
      </w:r>
      <w:r w:rsidR="00604054">
        <w:rPr>
          <w:rFonts w:ascii="Arial" w:hAnsi="Arial" w:cs="Arial"/>
          <w:color w:val="000000"/>
          <w:sz w:val="20"/>
          <w:szCs w:val="20"/>
        </w:rPr>
        <w:t xml:space="preserve"> The key reasons survey respondents supported different options are detailed in </w:t>
      </w:r>
      <w:r w:rsidR="00604054" w:rsidRPr="00604054">
        <w:rPr>
          <w:rFonts w:ascii="Arial" w:hAnsi="Arial" w:cs="Arial"/>
          <w:b/>
          <w:color w:val="000000"/>
          <w:sz w:val="20"/>
          <w:szCs w:val="20"/>
        </w:rPr>
        <w:t>Attachment 6b</w:t>
      </w:r>
      <w:r w:rsidR="00604054">
        <w:rPr>
          <w:rFonts w:ascii="Arial" w:hAnsi="Arial" w:cs="Arial"/>
          <w:color w:val="000000"/>
          <w:sz w:val="20"/>
          <w:szCs w:val="20"/>
        </w:rPr>
        <w:t>.</w:t>
      </w:r>
    </w:p>
    <w:p w14:paraId="1D9556E6" w14:textId="1634A6F3" w:rsidR="00A3633E" w:rsidRDefault="00A3633E" w:rsidP="00411C53">
      <w:pPr>
        <w:pStyle w:val="BodyText"/>
        <w:spacing w:line="276" w:lineRule="auto"/>
        <w:ind w:left="-142"/>
        <w:rPr>
          <w:rFonts w:ascii="Arial" w:hAnsi="Arial" w:cs="Arial"/>
          <w:color w:val="000000"/>
          <w:sz w:val="20"/>
          <w:szCs w:val="20"/>
        </w:rPr>
      </w:pPr>
      <w:r>
        <w:rPr>
          <w:rFonts w:ascii="Arial" w:hAnsi="Arial" w:cs="Arial"/>
          <w:color w:val="000000"/>
          <w:sz w:val="20"/>
          <w:szCs w:val="20"/>
        </w:rPr>
        <w:t>The survey also asked respondents how supportive they were of the Environment Levy being continued beyond its expiry in June 2015. A total of 77.4% were highly supportive of this and a further 10.3% had medium support</w:t>
      </w:r>
      <w:r w:rsidR="00072FEB">
        <w:rPr>
          <w:rFonts w:ascii="Arial" w:hAnsi="Arial" w:cs="Arial"/>
          <w:color w:val="000000"/>
          <w:sz w:val="20"/>
          <w:szCs w:val="20"/>
        </w:rPr>
        <w:t xml:space="preserve"> (see </w:t>
      </w:r>
      <w:r w:rsidR="00072FEB" w:rsidRPr="00072FEB">
        <w:rPr>
          <w:rFonts w:ascii="Arial" w:hAnsi="Arial" w:cs="Arial"/>
          <w:b/>
          <w:color w:val="000000"/>
          <w:sz w:val="20"/>
          <w:szCs w:val="20"/>
        </w:rPr>
        <w:t>Attachment 6b</w:t>
      </w:r>
      <w:r w:rsidR="00072FEB">
        <w:rPr>
          <w:rFonts w:ascii="Arial" w:hAnsi="Arial" w:cs="Arial"/>
          <w:color w:val="000000"/>
          <w:sz w:val="20"/>
          <w:szCs w:val="20"/>
        </w:rPr>
        <w:t>, page 13)</w:t>
      </w:r>
      <w:r>
        <w:rPr>
          <w:rFonts w:ascii="Arial" w:hAnsi="Arial" w:cs="Arial"/>
          <w:color w:val="000000"/>
          <w:sz w:val="20"/>
          <w:szCs w:val="20"/>
        </w:rPr>
        <w:t>.</w:t>
      </w:r>
    </w:p>
    <w:p w14:paraId="266EAFC4" w14:textId="0D987612" w:rsidR="009E5E38" w:rsidRPr="009E5E38" w:rsidRDefault="009E5E38" w:rsidP="009C388A">
      <w:pPr>
        <w:pStyle w:val="Heading3"/>
        <w:tabs>
          <w:tab w:val="clear" w:pos="1844"/>
          <w:tab w:val="num" w:pos="567"/>
        </w:tabs>
        <w:ind w:hanging="1986"/>
      </w:pPr>
      <w:r w:rsidRPr="009E5E38">
        <w:t>Implementation of five Area Community Workshops</w:t>
      </w:r>
    </w:p>
    <w:p w14:paraId="1362E620" w14:textId="550F7BDD" w:rsidR="007F2ABA" w:rsidRPr="007F2ABA" w:rsidRDefault="007F2ABA" w:rsidP="00FF78B3">
      <w:pPr>
        <w:pStyle w:val="BodyText"/>
        <w:spacing w:line="276" w:lineRule="auto"/>
        <w:ind w:left="-142"/>
        <w:rPr>
          <w:rFonts w:ascii="Arial" w:hAnsi="Arial" w:cs="Arial"/>
          <w:b/>
          <w:color w:val="000000"/>
          <w:sz w:val="20"/>
          <w:szCs w:val="20"/>
        </w:rPr>
      </w:pPr>
      <w:r w:rsidRPr="007F2ABA">
        <w:rPr>
          <w:rFonts w:ascii="Arial" w:hAnsi="Arial" w:cs="Arial"/>
          <w:b/>
          <w:color w:val="000000"/>
          <w:sz w:val="20"/>
          <w:szCs w:val="20"/>
        </w:rPr>
        <w:t xml:space="preserve">Results from Area Community Workshops </w:t>
      </w:r>
    </w:p>
    <w:p w14:paraId="54230695" w14:textId="7E240D3D" w:rsidR="007F2ABA" w:rsidRPr="007F2ABA" w:rsidRDefault="007F2ABA" w:rsidP="00FF78B3">
      <w:pPr>
        <w:pStyle w:val="BodyText"/>
        <w:spacing w:before="0" w:line="276" w:lineRule="auto"/>
        <w:ind w:left="-142"/>
        <w:rPr>
          <w:rFonts w:ascii="Arial" w:hAnsi="Arial" w:cs="Arial"/>
          <w:color w:val="000000"/>
          <w:sz w:val="20"/>
          <w:szCs w:val="20"/>
        </w:rPr>
      </w:pPr>
      <w:r w:rsidRPr="007F2ABA">
        <w:rPr>
          <w:rFonts w:ascii="Arial" w:hAnsi="Arial" w:cs="Arial"/>
          <w:color w:val="000000"/>
          <w:sz w:val="20"/>
          <w:szCs w:val="20"/>
        </w:rPr>
        <w:t xml:space="preserve">In August and September 2014 five Area Community Workshops were conducted across the Mountains </w:t>
      </w:r>
      <w:r w:rsidR="00BD5FD3">
        <w:rPr>
          <w:rFonts w:ascii="Arial" w:hAnsi="Arial" w:cs="Arial"/>
          <w:color w:val="000000"/>
          <w:sz w:val="20"/>
          <w:szCs w:val="20"/>
        </w:rPr>
        <w:t xml:space="preserve">(in Blackheath, Katoomba, Lawson, Springwood and Blaxland) </w:t>
      </w:r>
      <w:r w:rsidRPr="007F2ABA">
        <w:rPr>
          <w:rFonts w:ascii="Arial" w:hAnsi="Arial" w:cs="Arial"/>
          <w:color w:val="000000"/>
          <w:sz w:val="20"/>
          <w:szCs w:val="20"/>
        </w:rPr>
        <w:t xml:space="preserve">to assess the views of a randomly selected cross-section of residents on the three resourcing options. IRIS Research recruited a total of 230 participants who confirmed they would be attending the workshops. A total of 91 however, actually participated in the workshops, with 84 filling out key components of workbooks capturing views on preferred service levels and resourcing option. </w:t>
      </w:r>
    </w:p>
    <w:p w14:paraId="147E0BCE" w14:textId="5DDD7C1B" w:rsidR="007F2ABA" w:rsidRPr="007F2ABA" w:rsidRDefault="007F2ABA" w:rsidP="00FF78B3">
      <w:pPr>
        <w:pStyle w:val="BodyText"/>
        <w:spacing w:line="276" w:lineRule="auto"/>
        <w:ind w:left="-142"/>
        <w:rPr>
          <w:rFonts w:ascii="Arial" w:hAnsi="Arial" w:cs="Arial"/>
          <w:color w:val="000000"/>
          <w:sz w:val="20"/>
          <w:szCs w:val="20"/>
        </w:rPr>
      </w:pPr>
      <w:r w:rsidRPr="007F2ABA">
        <w:rPr>
          <w:rFonts w:ascii="Arial" w:hAnsi="Arial" w:cs="Arial"/>
          <w:color w:val="000000"/>
          <w:sz w:val="20"/>
          <w:szCs w:val="20"/>
        </w:rPr>
        <w:t xml:space="preserve">The workshops were independently facilitated and documented by IRIS Research and ran for 3 to 3.5 hours. They included a comprehensive interactive presentation on </w:t>
      </w:r>
      <w:r w:rsidRPr="007F2ABA">
        <w:rPr>
          <w:rFonts w:ascii="Arial" w:hAnsi="Arial" w:cs="Arial"/>
          <w:i/>
          <w:color w:val="000000"/>
          <w:sz w:val="20"/>
          <w:szCs w:val="20"/>
        </w:rPr>
        <w:t>Resourcing Our Future</w:t>
      </w:r>
      <w:r w:rsidRPr="007F2ABA">
        <w:rPr>
          <w:rFonts w:ascii="Arial" w:hAnsi="Arial" w:cs="Arial"/>
          <w:color w:val="000000"/>
          <w:sz w:val="20"/>
          <w:szCs w:val="20"/>
        </w:rPr>
        <w:t xml:space="preserve"> options </w:t>
      </w:r>
      <w:r>
        <w:rPr>
          <w:rFonts w:ascii="Arial" w:hAnsi="Arial" w:cs="Arial"/>
          <w:color w:val="000000"/>
          <w:sz w:val="20"/>
          <w:szCs w:val="20"/>
        </w:rPr>
        <w:t xml:space="preserve">(provided in Attachment 5c) </w:t>
      </w:r>
      <w:r w:rsidRPr="007F2ABA">
        <w:rPr>
          <w:rFonts w:ascii="Arial" w:hAnsi="Arial" w:cs="Arial"/>
          <w:color w:val="000000"/>
          <w:sz w:val="20"/>
          <w:szCs w:val="20"/>
        </w:rPr>
        <w:t xml:space="preserve">and background information on the City context, challenges and strategy for becoming financially sustainable. In addition, participants were also briefed on the Council’s Draft Waste Resource Strategy which was on public exhibition at the time of the workshops. </w:t>
      </w:r>
      <w:r>
        <w:rPr>
          <w:rFonts w:ascii="Arial" w:hAnsi="Arial" w:cs="Arial"/>
          <w:color w:val="000000"/>
          <w:sz w:val="20"/>
          <w:szCs w:val="20"/>
        </w:rPr>
        <w:t>Attachment 6c</w:t>
      </w:r>
      <w:r w:rsidRPr="007F2ABA">
        <w:rPr>
          <w:rFonts w:ascii="Arial" w:hAnsi="Arial" w:cs="Arial"/>
          <w:color w:val="000000"/>
          <w:sz w:val="20"/>
          <w:szCs w:val="20"/>
        </w:rPr>
        <w:t xml:space="preserve"> presents a comprehensive report on the results of the workshops.</w:t>
      </w:r>
    </w:p>
    <w:p w14:paraId="477E4D19" w14:textId="27932494" w:rsidR="00874DD3" w:rsidRPr="007F2ABA" w:rsidRDefault="00D65400" w:rsidP="00FF78B3">
      <w:pPr>
        <w:pStyle w:val="BodyText"/>
        <w:spacing w:line="276" w:lineRule="auto"/>
        <w:ind w:left="-142"/>
        <w:rPr>
          <w:rFonts w:ascii="Arial" w:hAnsi="Arial" w:cs="Arial"/>
          <w:color w:val="000000"/>
          <w:sz w:val="20"/>
          <w:szCs w:val="20"/>
        </w:rPr>
      </w:pPr>
      <w:r>
        <w:rPr>
          <w:rFonts w:ascii="Arial" w:hAnsi="Arial" w:cs="Arial"/>
          <w:color w:val="000000"/>
          <w:sz w:val="20"/>
          <w:szCs w:val="20"/>
        </w:rPr>
        <w:t xml:space="preserve">A full report on the results of the workshops is provided in </w:t>
      </w:r>
      <w:r w:rsidRPr="00D65400">
        <w:rPr>
          <w:rFonts w:ascii="Arial" w:hAnsi="Arial" w:cs="Arial"/>
          <w:b/>
          <w:color w:val="000000"/>
          <w:sz w:val="20"/>
          <w:szCs w:val="20"/>
        </w:rPr>
        <w:t>Attachment 6c</w:t>
      </w:r>
      <w:r>
        <w:rPr>
          <w:rFonts w:ascii="Arial" w:hAnsi="Arial" w:cs="Arial"/>
          <w:color w:val="000000"/>
          <w:sz w:val="20"/>
          <w:szCs w:val="20"/>
        </w:rPr>
        <w:t xml:space="preserve">. </w:t>
      </w:r>
      <w:r w:rsidR="007F2ABA" w:rsidRPr="007F2ABA">
        <w:rPr>
          <w:rFonts w:ascii="Arial" w:hAnsi="Arial" w:cs="Arial"/>
          <w:color w:val="000000"/>
          <w:sz w:val="20"/>
          <w:szCs w:val="20"/>
        </w:rPr>
        <w:t xml:space="preserve">In summary, 58.3% of workshop participants nominated Option 1 as their preferred level of service </w:t>
      </w:r>
      <w:r>
        <w:rPr>
          <w:rFonts w:ascii="Arial" w:hAnsi="Arial" w:cs="Arial"/>
          <w:color w:val="000000"/>
          <w:sz w:val="20"/>
          <w:szCs w:val="20"/>
        </w:rPr>
        <w:t xml:space="preserve">at the end of the workshop, </w:t>
      </w:r>
      <w:r w:rsidR="007F2ABA" w:rsidRPr="007F2ABA">
        <w:rPr>
          <w:rFonts w:ascii="Arial" w:hAnsi="Arial" w:cs="Arial"/>
          <w:color w:val="000000"/>
          <w:sz w:val="20"/>
          <w:szCs w:val="20"/>
        </w:rPr>
        <w:t xml:space="preserve">and more than nine out of every ten workshop participants (94%) indicated support for either Option 1 or Option 2. </w:t>
      </w:r>
    </w:p>
    <w:p w14:paraId="51739DD7" w14:textId="52EF0E6B" w:rsidR="00604054" w:rsidRDefault="00604054" w:rsidP="007F2ABA">
      <w:pPr>
        <w:widowControl w:val="0"/>
        <w:tabs>
          <w:tab w:val="left" w:pos="851"/>
        </w:tabs>
        <w:spacing w:after="120" w:line="274" w:lineRule="auto"/>
        <w:ind w:left="284" w:right="301"/>
        <w:rPr>
          <w:rFonts w:asciiTheme="minorHAnsi" w:hAnsiTheme="minorHAnsi" w:cs="Arial"/>
          <w:b/>
          <w:sz w:val="18"/>
          <w:szCs w:val="18"/>
        </w:rPr>
      </w:pPr>
      <w:r w:rsidRPr="00725530">
        <w:rPr>
          <w:rFonts w:asciiTheme="minorHAnsi" w:hAnsiTheme="minorHAnsi" w:cs="Arial"/>
          <w:b/>
          <w:noProof/>
          <w:sz w:val="18"/>
          <w:szCs w:val="18"/>
        </w:rPr>
        <w:drawing>
          <wp:anchor distT="0" distB="0" distL="114300" distR="114300" simplePos="0" relativeHeight="251873280" behindDoc="1" locked="0" layoutInCell="1" allowOverlap="1" wp14:anchorId="566E36D1" wp14:editId="3808F1BE">
            <wp:simplePos x="0" y="0"/>
            <wp:positionH relativeFrom="column">
              <wp:posOffset>3001645</wp:posOffset>
            </wp:positionH>
            <wp:positionV relativeFrom="paragraph">
              <wp:posOffset>89535</wp:posOffset>
            </wp:positionV>
            <wp:extent cx="2511425" cy="1846580"/>
            <wp:effectExtent l="0" t="0" r="0" b="0"/>
            <wp:wrapNone/>
            <wp:docPr id="2072" name="Chart 207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page">
              <wp14:pctWidth>0</wp14:pctWidth>
            </wp14:sizeRelH>
            <wp14:sizeRelV relativeFrom="page">
              <wp14:pctHeight>0</wp14:pctHeight>
            </wp14:sizeRelV>
          </wp:anchor>
        </w:drawing>
      </w:r>
    </w:p>
    <w:p w14:paraId="0C314D71" w14:textId="1D3863FC" w:rsidR="007F2ABA" w:rsidRPr="00AD2D16" w:rsidRDefault="007F2ABA" w:rsidP="007F2ABA">
      <w:pPr>
        <w:widowControl w:val="0"/>
        <w:tabs>
          <w:tab w:val="left" w:pos="851"/>
        </w:tabs>
        <w:spacing w:after="120" w:line="274" w:lineRule="auto"/>
        <w:ind w:left="284" w:right="301"/>
        <w:rPr>
          <w:rFonts w:ascii="Arial" w:hAnsi="Arial" w:cs="Arial"/>
          <w:i/>
          <w:color w:val="000000" w:themeColor="text1"/>
          <w:sz w:val="20"/>
          <w:szCs w:val="20"/>
          <w:lang w:eastAsia="en-US"/>
        </w:rPr>
      </w:pPr>
      <w:r w:rsidRPr="00AD2D16">
        <w:rPr>
          <w:rFonts w:ascii="Arial" w:hAnsi="Arial" w:cs="Arial"/>
          <w:b/>
          <w:sz w:val="18"/>
          <w:szCs w:val="18"/>
        </w:rPr>
        <w:t xml:space="preserve">Table </w:t>
      </w:r>
      <w:r w:rsidR="00725530" w:rsidRPr="00AD2D16">
        <w:rPr>
          <w:rFonts w:ascii="Arial" w:hAnsi="Arial" w:cs="Arial"/>
          <w:b/>
          <w:sz w:val="18"/>
          <w:szCs w:val="18"/>
        </w:rPr>
        <w:t>4.13</w:t>
      </w:r>
      <w:r w:rsidRPr="00AD2D16">
        <w:rPr>
          <w:rFonts w:ascii="Arial" w:hAnsi="Arial" w:cs="Arial"/>
          <w:b/>
          <w:sz w:val="18"/>
          <w:szCs w:val="18"/>
        </w:rPr>
        <w:t>: Preferred option from the area workshops</w:t>
      </w:r>
    </w:p>
    <w:tbl>
      <w:tblPr>
        <w:tblpPr w:leftFromText="180" w:rightFromText="180" w:vertAnchor="text" w:tblpY="1"/>
        <w:tblOverlap w:val="never"/>
        <w:tblW w:w="0" w:type="auto"/>
        <w:tblInd w:w="392" w:type="dxa"/>
        <w:tblCellMar>
          <w:left w:w="0" w:type="dxa"/>
          <w:right w:w="0" w:type="dxa"/>
        </w:tblCellMar>
        <w:tblLook w:val="04A0" w:firstRow="1" w:lastRow="0" w:firstColumn="1" w:lastColumn="0" w:noHBand="0" w:noVBand="1"/>
      </w:tblPr>
      <w:tblGrid>
        <w:gridCol w:w="1888"/>
        <w:gridCol w:w="1306"/>
        <w:gridCol w:w="1452"/>
      </w:tblGrid>
      <w:tr w:rsidR="007F2ABA" w:rsidRPr="00604054" w14:paraId="6526B042" w14:textId="77777777" w:rsidTr="0067349D">
        <w:trPr>
          <w:trHeight w:val="367"/>
        </w:trPr>
        <w:tc>
          <w:tcPr>
            <w:tcW w:w="1888" w:type="dxa"/>
            <w:tcBorders>
              <w:top w:val="single" w:sz="8" w:space="0" w:color="auto"/>
              <w:left w:val="single" w:sz="8" w:space="0" w:color="auto"/>
              <w:bottom w:val="single" w:sz="8" w:space="0" w:color="auto"/>
              <w:right w:val="single" w:sz="4" w:space="0" w:color="auto"/>
            </w:tcBorders>
            <w:shd w:val="clear" w:color="auto" w:fill="548DD4" w:themeFill="text2" w:themeFillTint="99"/>
            <w:tcMar>
              <w:top w:w="0" w:type="dxa"/>
              <w:left w:w="108" w:type="dxa"/>
              <w:bottom w:w="0" w:type="dxa"/>
              <w:right w:w="108" w:type="dxa"/>
            </w:tcMar>
            <w:vAlign w:val="center"/>
          </w:tcPr>
          <w:p w14:paraId="5A7496BB" w14:textId="77777777" w:rsidR="007F2ABA" w:rsidRPr="00604054" w:rsidRDefault="007F2ABA" w:rsidP="007F2ABA">
            <w:pPr>
              <w:widowControl w:val="0"/>
              <w:rPr>
                <w:rFonts w:ascii="Arial" w:eastAsiaTheme="minorHAnsi" w:hAnsi="Arial" w:cs="Arial"/>
                <w:b/>
                <w:color w:val="FFFFFF" w:themeColor="background1"/>
                <w:sz w:val="18"/>
                <w:szCs w:val="18"/>
                <w:lang w:val="en-US" w:eastAsia="en-US"/>
              </w:rPr>
            </w:pPr>
            <w:r w:rsidRPr="00604054">
              <w:rPr>
                <w:rFonts w:ascii="Arial" w:eastAsiaTheme="minorHAnsi" w:hAnsi="Arial" w:cs="Arial"/>
                <w:b/>
                <w:color w:val="FFFFFF" w:themeColor="background1"/>
                <w:sz w:val="18"/>
                <w:szCs w:val="18"/>
                <w:lang w:val="en-US" w:eastAsia="en-US"/>
              </w:rPr>
              <w:t>Preferred Option</w:t>
            </w:r>
          </w:p>
        </w:tc>
        <w:tc>
          <w:tcPr>
            <w:tcW w:w="1306"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45C763FE" w14:textId="77777777" w:rsidR="007F2ABA" w:rsidRPr="00604054" w:rsidRDefault="007F2ABA" w:rsidP="007F2ABA">
            <w:pPr>
              <w:widowControl w:val="0"/>
              <w:ind w:right="142"/>
              <w:jc w:val="center"/>
              <w:rPr>
                <w:rFonts w:ascii="Arial" w:eastAsiaTheme="minorHAnsi" w:hAnsi="Arial" w:cs="Arial"/>
                <w:b/>
                <w:color w:val="FFFFFF" w:themeColor="background1"/>
                <w:sz w:val="18"/>
                <w:szCs w:val="18"/>
                <w:lang w:val="en-US" w:eastAsia="en-US"/>
              </w:rPr>
            </w:pPr>
            <w:r w:rsidRPr="00604054">
              <w:rPr>
                <w:rFonts w:ascii="Arial" w:eastAsiaTheme="minorHAnsi" w:hAnsi="Arial" w:cs="Arial"/>
                <w:b/>
                <w:color w:val="FFFFFF" w:themeColor="background1"/>
                <w:sz w:val="18"/>
                <w:szCs w:val="18"/>
                <w:lang w:val="en-US" w:eastAsia="en-US"/>
              </w:rPr>
              <w:t>No.</w:t>
            </w:r>
          </w:p>
        </w:tc>
        <w:tc>
          <w:tcPr>
            <w:tcW w:w="1452" w:type="dxa"/>
            <w:tcBorders>
              <w:top w:val="single" w:sz="4" w:space="0" w:color="auto"/>
              <w:left w:val="single" w:sz="4" w:space="0" w:color="auto"/>
              <w:bottom w:val="single" w:sz="4" w:space="0" w:color="auto"/>
              <w:right w:val="single" w:sz="4" w:space="0" w:color="auto"/>
            </w:tcBorders>
            <w:shd w:val="clear" w:color="auto" w:fill="548DD4" w:themeFill="text2" w:themeFillTint="99"/>
            <w:tcMar>
              <w:top w:w="0" w:type="dxa"/>
              <w:left w:w="108" w:type="dxa"/>
              <w:bottom w:w="0" w:type="dxa"/>
              <w:right w:w="108" w:type="dxa"/>
            </w:tcMar>
            <w:vAlign w:val="center"/>
          </w:tcPr>
          <w:p w14:paraId="0D53DBDF" w14:textId="77777777" w:rsidR="007F2ABA" w:rsidRPr="00604054" w:rsidRDefault="007F2ABA" w:rsidP="007F2ABA">
            <w:pPr>
              <w:widowControl w:val="0"/>
              <w:jc w:val="center"/>
              <w:rPr>
                <w:rFonts w:ascii="Arial" w:eastAsiaTheme="minorHAnsi" w:hAnsi="Arial" w:cs="Arial"/>
                <w:b/>
                <w:color w:val="FFFFFF" w:themeColor="background1"/>
                <w:sz w:val="18"/>
                <w:szCs w:val="18"/>
                <w:lang w:val="en-US" w:eastAsia="en-US"/>
              </w:rPr>
            </w:pPr>
            <w:r w:rsidRPr="00604054">
              <w:rPr>
                <w:rFonts w:ascii="Arial" w:eastAsiaTheme="minorHAnsi" w:hAnsi="Arial" w:cs="Arial"/>
                <w:b/>
                <w:color w:val="FFFFFF" w:themeColor="background1"/>
                <w:sz w:val="18"/>
                <w:szCs w:val="18"/>
                <w:lang w:val="en-US" w:eastAsia="en-US"/>
              </w:rPr>
              <w:t>%</w:t>
            </w:r>
          </w:p>
        </w:tc>
      </w:tr>
      <w:tr w:rsidR="007F2ABA" w:rsidRPr="00604054" w14:paraId="60145D66" w14:textId="77777777" w:rsidTr="0067349D">
        <w:trPr>
          <w:trHeight w:val="367"/>
        </w:trPr>
        <w:tc>
          <w:tcPr>
            <w:tcW w:w="1888" w:type="dxa"/>
            <w:tcBorders>
              <w:top w:val="single" w:sz="8"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14:paraId="1844C14D" w14:textId="77777777" w:rsidR="007F2ABA" w:rsidRPr="00604054" w:rsidRDefault="007F2ABA" w:rsidP="007F2ABA">
            <w:pPr>
              <w:widowControl w:val="0"/>
              <w:rPr>
                <w:rFonts w:ascii="Arial" w:eastAsiaTheme="minorHAnsi" w:hAnsi="Arial" w:cs="Arial"/>
                <w:color w:val="000000" w:themeColor="text1"/>
                <w:sz w:val="18"/>
                <w:szCs w:val="18"/>
                <w:lang w:val="en-US" w:eastAsia="en-US"/>
              </w:rPr>
            </w:pPr>
            <w:r w:rsidRPr="00604054">
              <w:rPr>
                <w:rFonts w:ascii="Arial" w:eastAsiaTheme="minorHAnsi" w:hAnsi="Arial" w:cs="Arial"/>
                <w:color w:val="000000" w:themeColor="text1"/>
                <w:sz w:val="18"/>
                <w:szCs w:val="18"/>
                <w:lang w:val="en-US" w:eastAsia="en-US"/>
              </w:rPr>
              <w:t>Option 1</w:t>
            </w:r>
          </w:p>
        </w:tc>
        <w:tc>
          <w:tcPr>
            <w:tcW w:w="1306" w:type="dxa"/>
            <w:tcBorders>
              <w:top w:val="single" w:sz="4" w:space="0" w:color="auto"/>
              <w:left w:val="single" w:sz="4" w:space="0" w:color="auto"/>
              <w:bottom w:val="single" w:sz="4" w:space="0" w:color="auto"/>
              <w:right w:val="single" w:sz="4" w:space="0" w:color="auto"/>
            </w:tcBorders>
            <w:vAlign w:val="center"/>
          </w:tcPr>
          <w:p w14:paraId="20B85AFA" w14:textId="77777777" w:rsidR="007F2ABA" w:rsidRPr="00604054" w:rsidRDefault="007F2ABA" w:rsidP="007F2ABA">
            <w:pPr>
              <w:widowControl w:val="0"/>
              <w:ind w:right="142"/>
              <w:jc w:val="center"/>
              <w:rPr>
                <w:rFonts w:ascii="Arial" w:eastAsiaTheme="minorHAnsi" w:hAnsi="Arial" w:cs="Arial"/>
                <w:color w:val="000000" w:themeColor="text1"/>
                <w:sz w:val="18"/>
                <w:szCs w:val="18"/>
                <w:lang w:val="en-US" w:eastAsia="en-US"/>
              </w:rPr>
            </w:pPr>
            <w:r w:rsidRPr="00604054">
              <w:rPr>
                <w:rFonts w:ascii="Arial" w:eastAsiaTheme="minorHAnsi" w:hAnsi="Arial" w:cs="Arial"/>
                <w:color w:val="000000" w:themeColor="text1"/>
                <w:sz w:val="18"/>
                <w:szCs w:val="18"/>
                <w:lang w:val="en-US" w:eastAsia="en-US"/>
              </w:rPr>
              <w:t>49</w:t>
            </w:r>
          </w:p>
        </w:tc>
        <w:tc>
          <w:tcPr>
            <w:tcW w:w="145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B86DE8B" w14:textId="77777777" w:rsidR="007F2ABA" w:rsidRPr="00604054" w:rsidRDefault="007F2ABA" w:rsidP="007F2ABA">
            <w:pPr>
              <w:widowControl w:val="0"/>
              <w:jc w:val="center"/>
              <w:rPr>
                <w:rFonts w:ascii="Arial" w:eastAsiaTheme="minorHAnsi" w:hAnsi="Arial" w:cs="Arial"/>
                <w:color w:val="000000" w:themeColor="text1"/>
                <w:sz w:val="18"/>
                <w:szCs w:val="18"/>
                <w:lang w:val="en-US" w:eastAsia="en-US"/>
              </w:rPr>
            </w:pPr>
            <w:r w:rsidRPr="00604054">
              <w:rPr>
                <w:rFonts w:ascii="Arial" w:eastAsiaTheme="minorHAnsi" w:hAnsi="Arial" w:cs="Arial"/>
                <w:color w:val="000000" w:themeColor="text1"/>
                <w:sz w:val="18"/>
                <w:szCs w:val="18"/>
                <w:lang w:val="en-US" w:eastAsia="en-US"/>
              </w:rPr>
              <w:t>58.3%</w:t>
            </w:r>
          </w:p>
        </w:tc>
      </w:tr>
      <w:tr w:rsidR="007F2ABA" w:rsidRPr="00604054" w14:paraId="26A18E8F" w14:textId="77777777" w:rsidTr="0067349D">
        <w:trPr>
          <w:trHeight w:val="352"/>
        </w:trPr>
        <w:tc>
          <w:tcPr>
            <w:tcW w:w="1888"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14:paraId="08500945" w14:textId="77777777" w:rsidR="007F2ABA" w:rsidRPr="00604054" w:rsidRDefault="007F2ABA" w:rsidP="007F2ABA">
            <w:pPr>
              <w:widowControl w:val="0"/>
              <w:rPr>
                <w:rFonts w:ascii="Arial" w:eastAsiaTheme="minorHAnsi" w:hAnsi="Arial" w:cs="Arial"/>
                <w:color w:val="000000" w:themeColor="text1"/>
                <w:sz w:val="18"/>
                <w:szCs w:val="18"/>
                <w:lang w:val="en-US" w:eastAsia="en-US"/>
              </w:rPr>
            </w:pPr>
            <w:r w:rsidRPr="00604054">
              <w:rPr>
                <w:rFonts w:ascii="Arial" w:eastAsiaTheme="minorHAnsi" w:hAnsi="Arial" w:cs="Arial"/>
                <w:color w:val="000000" w:themeColor="text1"/>
                <w:sz w:val="18"/>
                <w:szCs w:val="18"/>
                <w:lang w:val="en-US" w:eastAsia="en-US"/>
              </w:rPr>
              <w:t>Option 2</w:t>
            </w:r>
          </w:p>
        </w:tc>
        <w:tc>
          <w:tcPr>
            <w:tcW w:w="1306" w:type="dxa"/>
            <w:tcBorders>
              <w:top w:val="single" w:sz="4" w:space="0" w:color="auto"/>
              <w:left w:val="single" w:sz="4" w:space="0" w:color="auto"/>
              <w:bottom w:val="single" w:sz="4" w:space="0" w:color="auto"/>
              <w:right w:val="single" w:sz="4" w:space="0" w:color="auto"/>
            </w:tcBorders>
            <w:vAlign w:val="center"/>
          </w:tcPr>
          <w:p w14:paraId="01804F2C" w14:textId="77777777" w:rsidR="007F2ABA" w:rsidRPr="00604054" w:rsidRDefault="007F2ABA" w:rsidP="007F2ABA">
            <w:pPr>
              <w:widowControl w:val="0"/>
              <w:ind w:right="142"/>
              <w:jc w:val="center"/>
              <w:rPr>
                <w:rFonts w:ascii="Arial" w:eastAsiaTheme="minorHAnsi" w:hAnsi="Arial" w:cs="Arial"/>
                <w:color w:val="000000" w:themeColor="text1"/>
                <w:sz w:val="18"/>
                <w:szCs w:val="18"/>
                <w:lang w:val="en-US" w:eastAsia="en-US"/>
              </w:rPr>
            </w:pPr>
            <w:r w:rsidRPr="00604054">
              <w:rPr>
                <w:rFonts w:ascii="Arial" w:eastAsiaTheme="minorHAnsi" w:hAnsi="Arial" w:cs="Arial"/>
                <w:color w:val="000000" w:themeColor="text1"/>
                <w:sz w:val="18"/>
                <w:szCs w:val="18"/>
                <w:lang w:val="en-US" w:eastAsia="en-US"/>
              </w:rPr>
              <w:t>30</w:t>
            </w:r>
          </w:p>
        </w:tc>
        <w:tc>
          <w:tcPr>
            <w:tcW w:w="14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69F9D1" w14:textId="77777777" w:rsidR="007F2ABA" w:rsidRPr="00604054" w:rsidRDefault="007F2ABA" w:rsidP="007F2ABA">
            <w:pPr>
              <w:widowControl w:val="0"/>
              <w:jc w:val="center"/>
              <w:rPr>
                <w:rFonts w:ascii="Arial" w:eastAsiaTheme="minorHAnsi" w:hAnsi="Arial" w:cs="Arial"/>
                <w:color w:val="000000" w:themeColor="text1"/>
                <w:sz w:val="18"/>
                <w:szCs w:val="18"/>
                <w:lang w:val="en-US" w:eastAsia="en-US"/>
              </w:rPr>
            </w:pPr>
            <w:r w:rsidRPr="00604054">
              <w:rPr>
                <w:rFonts w:ascii="Arial" w:eastAsiaTheme="minorHAnsi" w:hAnsi="Arial" w:cs="Arial"/>
                <w:color w:val="000000" w:themeColor="text1"/>
                <w:sz w:val="18"/>
                <w:szCs w:val="18"/>
                <w:lang w:val="en-US" w:eastAsia="en-US"/>
              </w:rPr>
              <w:t>35.7%</w:t>
            </w:r>
          </w:p>
        </w:tc>
      </w:tr>
      <w:tr w:rsidR="007F2ABA" w:rsidRPr="00604054" w14:paraId="7C0D132B" w14:textId="77777777" w:rsidTr="0067349D">
        <w:trPr>
          <w:trHeight w:val="352"/>
        </w:trPr>
        <w:tc>
          <w:tcPr>
            <w:tcW w:w="1888"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14:paraId="1EE6DBCE" w14:textId="77777777" w:rsidR="007F2ABA" w:rsidRPr="00604054" w:rsidRDefault="007F2ABA" w:rsidP="007F2ABA">
            <w:pPr>
              <w:widowControl w:val="0"/>
              <w:rPr>
                <w:rFonts w:ascii="Arial" w:eastAsiaTheme="minorHAnsi" w:hAnsi="Arial" w:cs="Arial"/>
                <w:color w:val="000000" w:themeColor="text1"/>
                <w:sz w:val="18"/>
                <w:szCs w:val="18"/>
                <w:lang w:val="en-US" w:eastAsia="en-US"/>
              </w:rPr>
            </w:pPr>
            <w:r w:rsidRPr="00604054">
              <w:rPr>
                <w:rFonts w:ascii="Arial" w:eastAsiaTheme="minorHAnsi" w:hAnsi="Arial" w:cs="Arial"/>
                <w:color w:val="000000" w:themeColor="text1"/>
                <w:sz w:val="18"/>
                <w:szCs w:val="18"/>
                <w:lang w:val="en-US" w:eastAsia="en-US"/>
              </w:rPr>
              <w:t>Option 3</w:t>
            </w:r>
          </w:p>
        </w:tc>
        <w:tc>
          <w:tcPr>
            <w:tcW w:w="1306" w:type="dxa"/>
            <w:tcBorders>
              <w:top w:val="single" w:sz="4" w:space="0" w:color="auto"/>
              <w:left w:val="single" w:sz="4" w:space="0" w:color="auto"/>
              <w:bottom w:val="single" w:sz="4" w:space="0" w:color="auto"/>
              <w:right w:val="single" w:sz="4" w:space="0" w:color="auto"/>
            </w:tcBorders>
            <w:vAlign w:val="center"/>
          </w:tcPr>
          <w:p w14:paraId="198B337C" w14:textId="77777777" w:rsidR="007F2ABA" w:rsidRPr="00604054" w:rsidRDefault="007F2ABA" w:rsidP="007F2ABA">
            <w:pPr>
              <w:widowControl w:val="0"/>
              <w:ind w:right="142"/>
              <w:jc w:val="center"/>
              <w:rPr>
                <w:rFonts w:ascii="Arial" w:eastAsiaTheme="minorHAnsi" w:hAnsi="Arial" w:cs="Arial"/>
                <w:color w:val="000000" w:themeColor="text1"/>
                <w:sz w:val="18"/>
                <w:szCs w:val="18"/>
                <w:lang w:val="en-US" w:eastAsia="en-US"/>
              </w:rPr>
            </w:pPr>
            <w:r w:rsidRPr="00604054">
              <w:rPr>
                <w:rFonts w:ascii="Arial" w:eastAsiaTheme="minorHAnsi" w:hAnsi="Arial" w:cs="Arial"/>
                <w:color w:val="000000" w:themeColor="text1"/>
                <w:sz w:val="18"/>
                <w:szCs w:val="18"/>
                <w:lang w:val="en-US" w:eastAsia="en-US"/>
              </w:rPr>
              <w:t>5</w:t>
            </w:r>
          </w:p>
        </w:tc>
        <w:tc>
          <w:tcPr>
            <w:tcW w:w="14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C42DC60" w14:textId="77777777" w:rsidR="007F2ABA" w:rsidRPr="00604054" w:rsidRDefault="007F2ABA" w:rsidP="007F2ABA">
            <w:pPr>
              <w:widowControl w:val="0"/>
              <w:jc w:val="center"/>
              <w:rPr>
                <w:rFonts w:ascii="Arial" w:eastAsiaTheme="minorHAnsi" w:hAnsi="Arial" w:cs="Arial"/>
                <w:color w:val="000000" w:themeColor="text1"/>
                <w:sz w:val="18"/>
                <w:szCs w:val="18"/>
                <w:lang w:val="en-US" w:eastAsia="en-US"/>
              </w:rPr>
            </w:pPr>
            <w:r w:rsidRPr="00604054">
              <w:rPr>
                <w:rFonts w:ascii="Arial" w:eastAsiaTheme="minorHAnsi" w:hAnsi="Arial" w:cs="Arial"/>
                <w:color w:val="000000" w:themeColor="text1"/>
                <w:sz w:val="18"/>
                <w:szCs w:val="18"/>
                <w:lang w:val="en-US" w:eastAsia="en-US"/>
              </w:rPr>
              <w:t>6.0%</w:t>
            </w:r>
          </w:p>
        </w:tc>
      </w:tr>
      <w:tr w:rsidR="007F2ABA" w:rsidRPr="00604054" w14:paraId="240F1992" w14:textId="77777777" w:rsidTr="0067349D">
        <w:trPr>
          <w:trHeight w:val="367"/>
        </w:trPr>
        <w:tc>
          <w:tcPr>
            <w:tcW w:w="1888" w:type="dxa"/>
            <w:tcBorders>
              <w:top w:val="nil"/>
              <w:left w:val="single" w:sz="8" w:space="0" w:color="auto"/>
              <w:bottom w:val="single" w:sz="8" w:space="0" w:color="auto"/>
              <w:right w:val="single" w:sz="4" w:space="0" w:color="auto"/>
            </w:tcBorders>
            <w:tcMar>
              <w:top w:w="0" w:type="dxa"/>
              <w:left w:w="108" w:type="dxa"/>
              <w:bottom w:w="0" w:type="dxa"/>
              <w:right w:w="108" w:type="dxa"/>
            </w:tcMar>
            <w:vAlign w:val="center"/>
            <w:hideMark/>
          </w:tcPr>
          <w:p w14:paraId="1CA55B56" w14:textId="77777777" w:rsidR="007F2ABA" w:rsidRPr="00604054" w:rsidRDefault="007F2ABA" w:rsidP="007F2ABA">
            <w:pPr>
              <w:widowControl w:val="0"/>
              <w:rPr>
                <w:rFonts w:ascii="Arial" w:eastAsiaTheme="minorHAnsi" w:hAnsi="Arial" w:cs="Arial"/>
                <w:bCs/>
                <w:color w:val="000000" w:themeColor="text1"/>
                <w:sz w:val="18"/>
                <w:szCs w:val="18"/>
                <w:lang w:val="en-US" w:eastAsia="en-US"/>
              </w:rPr>
            </w:pPr>
            <w:r w:rsidRPr="00604054">
              <w:rPr>
                <w:rFonts w:ascii="Arial" w:eastAsiaTheme="minorHAnsi" w:hAnsi="Arial" w:cs="Arial"/>
                <w:bCs/>
                <w:color w:val="000000" w:themeColor="text1"/>
                <w:sz w:val="18"/>
                <w:szCs w:val="18"/>
                <w:lang w:val="en-US" w:eastAsia="en-US"/>
              </w:rPr>
              <w:t>Total</w:t>
            </w:r>
          </w:p>
        </w:tc>
        <w:tc>
          <w:tcPr>
            <w:tcW w:w="1306" w:type="dxa"/>
            <w:tcBorders>
              <w:top w:val="single" w:sz="4" w:space="0" w:color="auto"/>
              <w:left w:val="single" w:sz="4" w:space="0" w:color="auto"/>
              <w:bottom w:val="single" w:sz="4" w:space="0" w:color="auto"/>
              <w:right w:val="single" w:sz="4" w:space="0" w:color="auto"/>
            </w:tcBorders>
            <w:vAlign w:val="center"/>
          </w:tcPr>
          <w:p w14:paraId="0EADB3F5" w14:textId="77777777" w:rsidR="007F2ABA" w:rsidRPr="00604054" w:rsidRDefault="007F2ABA" w:rsidP="007F2ABA">
            <w:pPr>
              <w:widowControl w:val="0"/>
              <w:ind w:right="142"/>
              <w:jc w:val="center"/>
              <w:rPr>
                <w:rFonts w:ascii="Arial" w:eastAsiaTheme="minorHAnsi" w:hAnsi="Arial" w:cs="Arial"/>
                <w:bCs/>
                <w:color w:val="000000" w:themeColor="text1"/>
                <w:sz w:val="18"/>
                <w:szCs w:val="18"/>
                <w:lang w:val="en-US" w:eastAsia="en-US"/>
              </w:rPr>
            </w:pPr>
            <w:r w:rsidRPr="00604054">
              <w:rPr>
                <w:rFonts w:ascii="Arial" w:eastAsiaTheme="minorHAnsi" w:hAnsi="Arial" w:cs="Arial"/>
                <w:bCs/>
                <w:color w:val="000000" w:themeColor="text1"/>
                <w:sz w:val="18"/>
                <w:szCs w:val="18"/>
                <w:lang w:val="en-US" w:eastAsia="en-US"/>
              </w:rPr>
              <w:t>84</w:t>
            </w:r>
          </w:p>
        </w:tc>
        <w:tc>
          <w:tcPr>
            <w:tcW w:w="14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DD7CF2" w14:textId="77777777" w:rsidR="007F2ABA" w:rsidRPr="00604054" w:rsidRDefault="007F2ABA" w:rsidP="007F2ABA">
            <w:pPr>
              <w:widowControl w:val="0"/>
              <w:jc w:val="center"/>
              <w:rPr>
                <w:rFonts w:ascii="Arial" w:eastAsiaTheme="minorHAnsi" w:hAnsi="Arial" w:cs="Arial"/>
                <w:bCs/>
                <w:color w:val="000000" w:themeColor="text1"/>
                <w:sz w:val="18"/>
                <w:szCs w:val="18"/>
                <w:lang w:val="en-US" w:eastAsia="en-US"/>
              </w:rPr>
            </w:pPr>
            <w:r w:rsidRPr="00604054">
              <w:rPr>
                <w:rFonts w:ascii="Arial" w:eastAsiaTheme="minorHAnsi" w:hAnsi="Arial" w:cs="Arial"/>
                <w:bCs/>
                <w:color w:val="000000" w:themeColor="text1"/>
                <w:sz w:val="18"/>
                <w:szCs w:val="18"/>
                <w:lang w:val="en-US" w:eastAsia="en-US"/>
              </w:rPr>
              <w:t>100.0%</w:t>
            </w:r>
          </w:p>
        </w:tc>
      </w:tr>
    </w:tbl>
    <w:p w14:paraId="7254BEB7" w14:textId="77777777" w:rsidR="007F2ABA" w:rsidRPr="007F2ABA" w:rsidRDefault="007F2ABA" w:rsidP="007F2ABA">
      <w:pPr>
        <w:widowControl w:val="0"/>
        <w:autoSpaceDE w:val="0"/>
        <w:autoSpaceDN w:val="0"/>
        <w:adjustRightInd w:val="0"/>
        <w:spacing w:after="160" w:line="276" w:lineRule="auto"/>
        <w:ind w:left="426" w:hanging="284"/>
        <w:jc w:val="both"/>
        <w:rPr>
          <w:rFonts w:ascii="Arial" w:eastAsia="MS Mincho" w:hAnsi="Arial" w:cs="Arial"/>
          <w:i/>
          <w:sz w:val="20"/>
          <w:szCs w:val="20"/>
          <w:lang w:eastAsia="en-US"/>
        </w:rPr>
      </w:pPr>
    </w:p>
    <w:p w14:paraId="38257A07" w14:textId="77777777" w:rsidR="007F2ABA" w:rsidRPr="007F2ABA" w:rsidRDefault="007F2ABA" w:rsidP="007F2ABA">
      <w:pPr>
        <w:rPr>
          <w:rFonts w:ascii="Arial" w:eastAsia="MS Mincho" w:hAnsi="Arial" w:cs="Arial"/>
          <w:i/>
          <w:sz w:val="20"/>
          <w:szCs w:val="20"/>
          <w:lang w:eastAsia="en-US"/>
        </w:rPr>
      </w:pPr>
    </w:p>
    <w:p w14:paraId="10C728A6" w14:textId="77777777" w:rsidR="007F2ABA" w:rsidRPr="007F2ABA" w:rsidRDefault="007F2ABA" w:rsidP="007F2ABA">
      <w:pPr>
        <w:rPr>
          <w:rFonts w:ascii="Arial" w:eastAsia="MS Mincho" w:hAnsi="Arial" w:cs="Arial"/>
          <w:i/>
          <w:sz w:val="20"/>
          <w:szCs w:val="20"/>
          <w:lang w:eastAsia="en-US"/>
        </w:rPr>
      </w:pPr>
    </w:p>
    <w:p w14:paraId="436F346F" w14:textId="77777777" w:rsidR="007F2ABA" w:rsidRPr="007F2ABA" w:rsidRDefault="007F2ABA" w:rsidP="007F2ABA">
      <w:pPr>
        <w:rPr>
          <w:rFonts w:ascii="Arial" w:eastAsia="MS Mincho" w:hAnsi="Arial" w:cs="Arial"/>
          <w:i/>
          <w:sz w:val="20"/>
          <w:szCs w:val="20"/>
          <w:lang w:eastAsia="en-US"/>
        </w:rPr>
      </w:pPr>
    </w:p>
    <w:p w14:paraId="1C3B4EC8" w14:textId="708D5250" w:rsidR="007F2ABA" w:rsidRPr="007F2ABA" w:rsidRDefault="007F2ABA" w:rsidP="007F2ABA">
      <w:pPr>
        <w:rPr>
          <w:rFonts w:ascii="Arial" w:eastAsia="MS Mincho" w:hAnsi="Arial" w:cs="Arial"/>
          <w:i/>
          <w:sz w:val="20"/>
          <w:szCs w:val="20"/>
          <w:lang w:eastAsia="en-US"/>
        </w:rPr>
      </w:pPr>
    </w:p>
    <w:p w14:paraId="2A4A1AEF" w14:textId="77777777" w:rsidR="007F2ABA" w:rsidRPr="007F2ABA" w:rsidRDefault="007F2ABA" w:rsidP="007F2ABA">
      <w:pPr>
        <w:rPr>
          <w:rFonts w:ascii="Arial" w:eastAsia="MS Mincho" w:hAnsi="Arial" w:cs="Arial"/>
          <w:i/>
          <w:sz w:val="20"/>
          <w:szCs w:val="20"/>
          <w:lang w:eastAsia="en-US"/>
        </w:rPr>
      </w:pPr>
    </w:p>
    <w:p w14:paraId="77F81937" w14:textId="77777777" w:rsidR="007F2ABA" w:rsidRPr="007F2ABA" w:rsidRDefault="007F2ABA" w:rsidP="007F2ABA">
      <w:pPr>
        <w:rPr>
          <w:rFonts w:ascii="Arial" w:eastAsia="MS Mincho" w:hAnsi="Arial" w:cs="Arial"/>
          <w:i/>
          <w:sz w:val="20"/>
          <w:szCs w:val="20"/>
          <w:lang w:eastAsia="en-US"/>
        </w:rPr>
      </w:pPr>
    </w:p>
    <w:p w14:paraId="03EC3D62" w14:textId="77777777" w:rsidR="007F2ABA" w:rsidRPr="007F2ABA" w:rsidRDefault="007F2ABA" w:rsidP="007F2ABA">
      <w:pPr>
        <w:rPr>
          <w:rFonts w:ascii="Arial" w:eastAsia="MS Mincho" w:hAnsi="Arial" w:cs="Arial"/>
          <w:i/>
          <w:sz w:val="20"/>
          <w:szCs w:val="20"/>
          <w:lang w:eastAsia="en-US"/>
        </w:rPr>
      </w:pPr>
    </w:p>
    <w:p w14:paraId="3D06EBD5" w14:textId="233BFB80" w:rsidR="00B54152" w:rsidRPr="00604054" w:rsidRDefault="00B54152" w:rsidP="00B54152">
      <w:pPr>
        <w:pStyle w:val="BodyText"/>
        <w:rPr>
          <w:rFonts w:ascii="Arial" w:hAnsi="Arial" w:cs="Arial"/>
          <w:b/>
          <w:sz w:val="18"/>
          <w:szCs w:val="18"/>
        </w:rPr>
      </w:pPr>
      <w:r w:rsidRPr="00604054">
        <w:rPr>
          <w:rFonts w:ascii="Arial" w:hAnsi="Arial" w:cs="Arial"/>
          <w:b/>
          <w:sz w:val="18"/>
          <w:szCs w:val="18"/>
        </w:rPr>
        <w:t>Tabl</w:t>
      </w:r>
      <w:r w:rsidR="00FA0E8D" w:rsidRPr="00604054">
        <w:rPr>
          <w:rFonts w:ascii="Arial" w:hAnsi="Arial" w:cs="Arial"/>
          <w:b/>
          <w:sz w:val="18"/>
          <w:szCs w:val="18"/>
        </w:rPr>
        <w:t>e 4.</w:t>
      </w:r>
      <w:r w:rsidR="00725530" w:rsidRPr="00604054">
        <w:rPr>
          <w:rFonts w:ascii="Arial" w:hAnsi="Arial" w:cs="Arial"/>
          <w:b/>
          <w:sz w:val="18"/>
          <w:szCs w:val="18"/>
        </w:rPr>
        <w:t>14</w:t>
      </w:r>
      <w:r w:rsidR="00604054">
        <w:rPr>
          <w:rFonts w:ascii="Arial" w:hAnsi="Arial" w:cs="Arial"/>
          <w:b/>
          <w:sz w:val="18"/>
          <w:szCs w:val="18"/>
        </w:rPr>
        <w:t>:</w:t>
      </w:r>
      <w:r w:rsidRPr="00604054">
        <w:rPr>
          <w:rFonts w:ascii="Arial" w:hAnsi="Arial" w:cs="Arial"/>
          <w:b/>
          <w:sz w:val="18"/>
          <w:szCs w:val="18"/>
        </w:rPr>
        <w:t xml:space="preserve"> Document reference for Assessment Criteria 2</w:t>
      </w:r>
    </w:p>
    <w:tbl>
      <w:tblPr>
        <w:tblStyle w:val="TableGrid"/>
        <w:tblW w:w="0" w:type="auto"/>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418"/>
        <w:gridCol w:w="7087"/>
      </w:tblGrid>
      <w:tr w:rsidR="00B54152" w:rsidRPr="00604054" w14:paraId="282D9E1E" w14:textId="77777777" w:rsidTr="00B54152">
        <w:trPr>
          <w:trHeight w:val="454"/>
        </w:trPr>
        <w:tc>
          <w:tcPr>
            <w:tcW w:w="1418" w:type="dxa"/>
            <w:shd w:val="clear" w:color="auto" w:fill="365F91" w:themeFill="accent1" w:themeFillShade="BF"/>
            <w:vAlign w:val="center"/>
          </w:tcPr>
          <w:p w14:paraId="4D922FAE" w14:textId="755097A0" w:rsidR="00B54152" w:rsidRPr="00604054" w:rsidRDefault="00B54152" w:rsidP="002464F8">
            <w:pPr>
              <w:pStyle w:val="Default"/>
              <w:spacing w:before="40" w:after="40"/>
              <w:jc w:val="center"/>
              <w:rPr>
                <w:rFonts w:asciiTheme="minorHAnsi" w:hAnsiTheme="minorHAnsi"/>
                <w:b/>
                <w:color w:val="FFFFFF" w:themeColor="background1"/>
                <w:sz w:val="20"/>
                <w:szCs w:val="20"/>
              </w:rPr>
            </w:pPr>
            <w:r w:rsidRPr="00604054">
              <w:rPr>
                <w:rFonts w:asciiTheme="minorHAnsi" w:hAnsiTheme="minorHAnsi"/>
                <w:b/>
                <w:color w:val="FFFFFF" w:themeColor="background1"/>
                <w:sz w:val="20"/>
                <w:szCs w:val="20"/>
              </w:rPr>
              <w:t>Attachment No.</w:t>
            </w:r>
          </w:p>
        </w:tc>
        <w:tc>
          <w:tcPr>
            <w:tcW w:w="7087" w:type="dxa"/>
            <w:shd w:val="clear" w:color="auto" w:fill="365F91" w:themeFill="accent1" w:themeFillShade="BF"/>
            <w:vAlign w:val="center"/>
          </w:tcPr>
          <w:p w14:paraId="7C3C163A" w14:textId="69E43590" w:rsidR="00B54152" w:rsidRPr="00604054" w:rsidRDefault="00B54152" w:rsidP="005B4F88">
            <w:pPr>
              <w:pStyle w:val="Default"/>
              <w:spacing w:before="40" w:after="40"/>
              <w:jc w:val="center"/>
              <w:rPr>
                <w:rFonts w:asciiTheme="minorHAnsi" w:hAnsiTheme="minorHAnsi"/>
                <w:b/>
                <w:color w:val="FFFFFF" w:themeColor="background1"/>
                <w:sz w:val="20"/>
                <w:szCs w:val="20"/>
              </w:rPr>
            </w:pPr>
            <w:r w:rsidRPr="00604054">
              <w:rPr>
                <w:rFonts w:asciiTheme="minorHAnsi" w:hAnsiTheme="minorHAnsi"/>
                <w:b/>
                <w:color w:val="FFFFFF" w:themeColor="background1"/>
                <w:sz w:val="20"/>
                <w:szCs w:val="20"/>
              </w:rPr>
              <w:t>Document</w:t>
            </w:r>
          </w:p>
        </w:tc>
      </w:tr>
      <w:tr w:rsidR="00B54152" w:rsidRPr="00604054" w14:paraId="1B6E9989" w14:textId="77777777" w:rsidTr="00B54152">
        <w:tc>
          <w:tcPr>
            <w:tcW w:w="1418" w:type="dxa"/>
            <w:shd w:val="clear" w:color="auto" w:fill="DBE5F1" w:themeFill="accent1" w:themeFillTint="33"/>
            <w:vAlign w:val="center"/>
          </w:tcPr>
          <w:p w14:paraId="79179FB7" w14:textId="0D93C45B" w:rsidR="00B54152" w:rsidRPr="00604054" w:rsidRDefault="00B54152" w:rsidP="00B54152">
            <w:pPr>
              <w:pStyle w:val="Default"/>
              <w:spacing w:before="40" w:after="40"/>
              <w:jc w:val="center"/>
              <w:rPr>
                <w:rFonts w:asciiTheme="minorHAnsi" w:hAnsiTheme="minorHAnsi"/>
                <w:sz w:val="20"/>
                <w:szCs w:val="20"/>
              </w:rPr>
            </w:pPr>
            <w:r w:rsidRPr="00604054">
              <w:rPr>
                <w:rFonts w:asciiTheme="minorHAnsi" w:hAnsiTheme="minorHAnsi"/>
                <w:sz w:val="20"/>
                <w:szCs w:val="20"/>
              </w:rPr>
              <w:t>5</w:t>
            </w:r>
            <w:r w:rsidR="00725530" w:rsidRPr="00604054">
              <w:rPr>
                <w:rFonts w:asciiTheme="minorHAnsi" w:hAnsiTheme="minorHAnsi"/>
                <w:sz w:val="20"/>
                <w:szCs w:val="20"/>
              </w:rPr>
              <w:t>a</w:t>
            </w:r>
          </w:p>
        </w:tc>
        <w:tc>
          <w:tcPr>
            <w:tcW w:w="7087" w:type="dxa"/>
            <w:shd w:val="clear" w:color="auto" w:fill="DBE5F1" w:themeFill="accent1" w:themeFillTint="33"/>
            <w:vAlign w:val="center"/>
          </w:tcPr>
          <w:p w14:paraId="1A571FE0" w14:textId="78E08CDB" w:rsidR="00B54152" w:rsidRPr="00604054" w:rsidRDefault="003F0220" w:rsidP="00B54152">
            <w:pPr>
              <w:pStyle w:val="Default"/>
              <w:spacing w:before="40" w:after="40"/>
              <w:rPr>
                <w:rFonts w:asciiTheme="minorHAnsi" w:hAnsiTheme="minorHAnsi"/>
                <w:sz w:val="20"/>
                <w:szCs w:val="20"/>
              </w:rPr>
            </w:pPr>
            <w:r w:rsidRPr="00604054">
              <w:rPr>
                <w:rFonts w:asciiTheme="minorHAnsi" w:hAnsiTheme="minorHAnsi"/>
                <w:sz w:val="20"/>
                <w:szCs w:val="20"/>
              </w:rPr>
              <w:t>Resourcing Our Future Community Engagement</w:t>
            </w:r>
            <w:r w:rsidR="00725530" w:rsidRPr="00604054">
              <w:rPr>
                <w:rFonts w:asciiTheme="minorHAnsi" w:hAnsiTheme="minorHAnsi"/>
                <w:sz w:val="20"/>
                <w:szCs w:val="20"/>
              </w:rPr>
              <w:t xml:space="preserve"> Strategy</w:t>
            </w:r>
          </w:p>
        </w:tc>
      </w:tr>
      <w:tr w:rsidR="00725530" w:rsidRPr="00604054" w14:paraId="1C28D505" w14:textId="77777777" w:rsidTr="00B54152">
        <w:tc>
          <w:tcPr>
            <w:tcW w:w="1418" w:type="dxa"/>
            <w:shd w:val="clear" w:color="auto" w:fill="DBE5F1" w:themeFill="accent1" w:themeFillTint="33"/>
            <w:vAlign w:val="center"/>
          </w:tcPr>
          <w:p w14:paraId="171B1079" w14:textId="6580D976" w:rsidR="00725530" w:rsidRPr="00604054" w:rsidRDefault="00725530" w:rsidP="00B54152">
            <w:pPr>
              <w:pStyle w:val="Default"/>
              <w:spacing w:before="40" w:after="40"/>
              <w:jc w:val="center"/>
              <w:rPr>
                <w:rFonts w:asciiTheme="minorHAnsi" w:hAnsiTheme="minorHAnsi"/>
                <w:sz w:val="20"/>
                <w:szCs w:val="20"/>
              </w:rPr>
            </w:pPr>
            <w:r w:rsidRPr="00604054">
              <w:rPr>
                <w:rFonts w:asciiTheme="minorHAnsi" w:hAnsiTheme="minorHAnsi"/>
                <w:sz w:val="20"/>
                <w:szCs w:val="20"/>
              </w:rPr>
              <w:t>5b</w:t>
            </w:r>
          </w:p>
        </w:tc>
        <w:tc>
          <w:tcPr>
            <w:tcW w:w="7087" w:type="dxa"/>
            <w:shd w:val="clear" w:color="auto" w:fill="DBE5F1" w:themeFill="accent1" w:themeFillTint="33"/>
            <w:vAlign w:val="center"/>
          </w:tcPr>
          <w:p w14:paraId="0453C13C" w14:textId="58EE970E" w:rsidR="00725530" w:rsidRPr="00604054" w:rsidRDefault="00725530" w:rsidP="003F0220">
            <w:pPr>
              <w:pStyle w:val="Default"/>
              <w:spacing w:before="40" w:after="40"/>
              <w:rPr>
                <w:rFonts w:asciiTheme="minorHAnsi" w:hAnsiTheme="minorHAnsi"/>
                <w:sz w:val="20"/>
                <w:szCs w:val="20"/>
              </w:rPr>
            </w:pPr>
            <w:r w:rsidRPr="00604054">
              <w:rPr>
                <w:rFonts w:asciiTheme="minorHAnsi" w:hAnsiTheme="minorHAnsi"/>
                <w:sz w:val="20"/>
                <w:szCs w:val="20"/>
              </w:rPr>
              <w:t>Community Engagement Materials</w:t>
            </w:r>
          </w:p>
        </w:tc>
      </w:tr>
      <w:tr w:rsidR="00725530" w:rsidRPr="00604054" w14:paraId="64C53C23" w14:textId="77777777" w:rsidTr="00B54152">
        <w:tc>
          <w:tcPr>
            <w:tcW w:w="1418" w:type="dxa"/>
            <w:shd w:val="clear" w:color="auto" w:fill="DBE5F1" w:themeFill="accent1" w:themeFillTint="33"/>
            <w:vAlign w:val="center"/>
          </w:tcPr>
          <w:p w14:paraId="1FF68E6F" w14:textId="1B2369FF" w:rsidR="00725530" w:rsidRPr="00604054" w:rsidRDefault="00725530" w:rsidP="00B54152">
            <w:pPr>
              <w:pStyle w:val="Default"/>
              <w:spacing w:before="40" w:after="40"/>
              <w:jc w:val="center"/>
              <w:rPr>
                <w:rFonts w:asciiTheme="minorHAnsi" w:hAnsiTheme="minorHAnsi"/>
                <w:sz w:val="20"/>
                <w:szCs w:val="20"/>
              </w:rPr>
            </w:pPr>
            <w:r w:rsidRPr="00604054">
              <w:rPr>
                <w:rFonts w:asciiTheme="minorHAnsi" w:hAnsiTheme="minorHAnsi"/>
                <w:sz w:val="20"/>
                <w:szCs w:val="20"/>
              </w:rPr>
              <w:t>5c</w:t>
            </w:r>
          </w:p>
        </w:tc>
        <w:tc>
          <w:tcPr>
            <w:tcW w:w="7087" w:type="dxa"/>
            <w:shd w:val="clear" w:color="auto" w:fill="DBE5F1" w:themeFill="accent1" w:themeFillTint="33"/>
            <w:vAlign w:val="center"/>
          </w:tcPr>
          <w:p w14:paraId="50C305E0" w14:textId="5425D963" w:rsidR="00725530" w:rsidRPr="00604054" w:rsidRDefault="00725530" w:rsidP="003F0220">
            <w:pPr>
              <w:pStyle w:val="Default"/>
              <w:spacing w:before="40" w:after="40"/>
              <w:rPr>
                <w:rFonts w:asciiTheme="minorHAnsi" w:hAnsiTheme="minorHAnsi"/>
                <w:sz w:val="20"/>
                <w:szCs w:val="20"/>
              </w:rPr>
            </w:pPr>
            <w:r w:rsidRPr="00604054">
              <w:rPr>
                <w:rFonts w:asciiTheme="minorHAnsi" w:hAnsiTheme="minorHAnsi"/>
                <w:sz w:val="20"/>
                <w:szCs w:val="20"/>
              </w:rPr>
              <w:t>Community Workshops Presentation</w:t>
            </w:r>
          </w:p>
        </w:tc>
      </w:tr>
      <w:tr w:rsidR="00B54152" w:rsidRPr="00604054" w14:paraId="748022C8" w14:textId="77777777" w:rsidTr="00B54152">
        <w:tc>
          <w:tcPr>
            <w:tcW w:w="1418" w:type="dxa"/>
            <w:shd w:val="clear" w:color="auto" w:fill="DBE5F1" w:themeFill="accent1" w:themeFillTint="33"/>
            <w:vAlign w:val="center"/>
          </w:tcPr>
          <w:p w14:paraId="7D04E958" w14:textId="1AA9B63F" w:rsidR="00B54152" w:rsidRPr="00604054" w:rsidRDefault="00B54152" w:rsidP="00B54152">
            <w:pPr>
              <w:pStyle w:val="Default"/>
              <w:spacing w:before="40" w:after="40"/>
              <w:jc w:val="center"/>
              <w:rPr>
                <w:rFonts w:asciiTheme="minorHAnsi" w:hAnsiTheme="minorHAnsi"/>
                <w:sz w:val="20"/>
                <w:szCs w:val="20"/>
              </w:rPr>
            </w:pPr>
            <w:r w:rsidRPr="00604054">
              <w:rPr>
                <w:rFonts w:asciiTheme="minorHAnsi" w:hAnsiTheme="minorHAnsi"/>
                <w:sz w:val="20"/>
                <w:szCs w:val="20"/>
              </w:rPr>
              <w:t>6</w:t>
            </w:r>
            <w:r w:rsidR="003F0220" w:rsidRPr="00604054">
              <w:rPr>
                <w:rFonts w:asciiTheme="minorHAnsi" w:hAnsiTheme="minorHAnsi"/>
                <w:sz w:val="20"/>
                <w:szCs w:val="20"/>
              </w:rPr>
              <w:t>a</w:t>
            </w:r>
          </w:p>
        </w:tc>
        <w:tc>
          <w:tcPr>
            <w:tcW w:w="7087" w:type="dxa"/>
            <w:shd w:val="clear" w:color="auto" w:fill="DBE5F1" w:themeFill="accent1" w:themeFillTint="33"/>
            <w:vAlign w:val="center"/>
          </w:tcPr>
          <w:p w14:paraId="4078C73C" w14:textId="0963FC2F" w:rsidR="00B54152" w:rsidRPr="00604054" w:rsidRDefault="00B54152" w:rsidP="003F0220">
            <w:pPr>
              <w:pStyle w:val="Default"/>
              <w:spacing w:before="40" w:after="40"/>
              <w:rPr>
                <w:rFonts w:asciiTheme="minorHAnsi" w:hAnsiTheme="minorHAnsi"/>
                <w:sz w:val="20"/>
                <w:szCs w:val="20"/>
              </w:rPr>
            </w:pPr>
            <w:r w:rsidRPr="00604054">
              <w:rPr>
                <w:rFonts w:asciiTheme="minorHAnsi" w:hAnsiTheme="minorHAnsi"/>
                <w:sz w:val="20"/>
                <w:szCs w:val="20"/>
              </w:rPr>
              <w:t>Outcome</w:t>
            </w:r>
            <w:r w:rsidR="003F0220" w:rsidRPr="00604054">
              <w:rPr>
                <w:rFonts w:asciiTheme="minorHAnsi" w:hAnsiTheme="minorHAnsi"/>
                <w:sz w:val="20"/>
                <w:szCs w:val="20"/>
              </w:rPr>
              <w:t>s</w:t>
            </w:r>
            <w:r w:rsidRPr="00604054">
              <w:rPr>
                <w:rFonts w:asciiTheme="minorHAnsi" w:hAnsiTheme="minorHAnsi"/>
                <w:sz w:val="20"/>
                <w:szCs w:val="20"/>
              </w:rPr>
              <w:t xml:space="preserve"> of </w:t>
            </w:r>
            <w:r w:rsidR="003F0220" w:rsidRPr="00604054">
              <w:rPr>
                <w:rFonts w:asciiTheme="minorHAnsi" w:hAnsiTheme="minorHAnsi"/>
                <w:sz w:val="20"/>
                <w:szCs w:val="20"/>
              </w:rPr>
              <w:t>Resourcing Our Future Community Consultation</w:t>
            </w:r>
          </w:p>
        </w:tc>
      </w:tr>
      <w:tr w:rsidR="00B54152" w:rsidRPr="00604054" w14:paraId="48FBD1C9" w14:textId="77777777" w:rsidTr="00B54152">
        <w:tc>
          <w:tcPr>
            <w:tcW w:w="1418" w:type="dxa"/>
            <w:shd w:val="clear" w:color="auto" w:fill="DBE5F1" w:themeFill="accent1" w:themeFillTint="33"/>
            <w:vAlign w:val="center"/>
          </w:tcPr>
          <w:p w14:paraId="01DD29A2" w14:textId="6678C8D1" w:rsidR="00B54152" w:rsidRPr="00604054" w:rsidRDefault="003F0220" w:rsidP="00B54152">
            <w:pPr>
              <w:pStyle w:val="Default"/>
              <w:spacing w:before="40" w:after="40"/>
              <w:jc w:val="center"/>
              <w:rPr>
                <w:rFonts w:asciiTheme="minorHAnsi" w:hAnsiTheme="minorHAnsi"/>
                <w:sz w:val="20"/>
                <w:szCs w:val="20"/>
              </w:rPr>
            </w:pPr>
            <w:r w:rsidRPr="00604054">
              <w:rPr>
                <w:rFonts w:asciiTheme="minorHAnsi" w:hAnsiTheme="minorHAnsi"/>
                <w:sz w:val="20"/>
                <w:szCs w:val="20"/>
              </w:rPr>
              <w:t>6b</w:t>
            </w:r>
          </w:p>
        </w:tc>
        <w:tc>
          <w:tcPr>
            <w:tcW w:w="7087" w:type="dxa"/>
            <w:shd w:val="clear" w:color="auto" w:fill="DBE5F1" w:themeFill="accent1" w:themeFillTint="33"/>
            <w:vAlign w:val="center"/>
          </w:tcPr>
          <w:p w14:paraId="1C92DB82" w14:textId="4355252A" w:rsidR="00B54152" w:rsidRPr="00604054" w:rsidRDefault="002F17BC" w:rsidP="003F0220">
            <w:pPr>
              <w:pStyle w:val="Default"/>
              <w:spacing w:before="40" w:after="40"/>
              <w:rPr>
                <w:rFonts w:asciiTheme="minorHAnsi" w:hAnsiTheme="minorHAnsi"/>
                <w:sz w:val="20"/>
                <w:szCs w:val="20"/>
              </w:rPr>
            </w:pPr>
            <w:r w:rsidRPr="00604054">
              <w:rPr>
                <w:rFonts w:asciiTheme="minorHAnsi" w:hAnsiTheme="minorHAnsi"/>
                <w:sz w:val="20"/>
                <w:szCs w:val="20"/>
              </w:rPr>
              <w:t>Report</w:t>
            </w:r>
            <w:r w:rsidR="003F0220" w:rsidRPr="00604054">
              <w:rPr>
                <w:rFonts w:asciiTheme="minorHAnsi" w:hAnsiTheme="minorHAnsi"/>
                <w:sz w:val="20"/>
                <w:szCs w:val="20"/>
              </w:rPr>
              <w:t xml:space="preserve"> on Resourcing Our Future: Telephone Survey</w:t>
            </w:r>
          </w:p>
        </w:tc>
      </w:tr>
      <w:tr w:rsidR="00B54152" w:rsidRPr="00604054" w14:paraId="6CFD82E3" w14:textId="77777777" w:rsidTr="00B54152">
        <w:tc>
          <w:tcPr>
            <w:tcW w:w="1418" w:type="dxa"/>
            <w:shd w:val="clear" w:color="auto" w:fill="DBE5F1" w:themeFill="accent1" w:themeFillTint="33"/>
            <w:vAlign w:val="center"/>
          </w:tcPr>
          <w:p w14:paraId="7FABE867" w14:textId="480C5454" w:rsidR="00B54152" w:rsidRPr="00604054" w:rsidRDefault="003F0220" w:rsidP="00B54152">
            <w:pPr>
              <w:pStyle w:val="Default"/>
              <w:spacing w:before="40" w:after="40"/>
              <w:jc w:val="center"/>
              <w:rPr>
                <w:rFonts w:asciiTheme="minorHAnsi" w:hAnsiTheme="minorHAnsi"/>
                <w:sz w:val="20"/>
                <w:szCs w:val="20"/>
              </w:rPr>
            </w:pPr>
            <w:r w:rsidRPr="00604054">
              <w:rPr>
                <w:rFonts w:asciiTheme="minorHAnsi" w:hAnsiTheme="minorHAnsi"/>
                <w:sz w:val="20"/>
                <w:szCs w:val="20"/>
              </w:rPr>
              <w:t>6c</w:t>
            </w:r>
          </w:p>
        </w:tc>
        <w:tc>
          <w:tcPr>
            <w:tcW w:w="7087" w:type="dxa"/>
            <w:shd w:val="clear" w:color="auto" w:fill="DBE5F1" w:themeFill="accent1" w:themeFillTint="33"/>
            <w:vAlign w:val="center"/>
          </w:tcPr>
          <w:p w14:paraId="00FFB633" w14:textId="347FA575" w:rsidR="00B54152" w:rsidRPr="00604054" w:rsidRDefault="003F0220" w:rsidP="00B54152">
            <w:pPr>
              <w:pStyle w:val="Default"/>
              <w:spacing w:before="40" w:after="40"/>
              <w:rPr>
                <w:rFonts w:asciiTheme="minorHAnsi" w:hAnsiTheme="minorHAnsi"/>
                <w:sz w:val="20"/>
                <w:szCs w:val="20"/>
              </w:rPr>
            </w:pPr>
            <w:r w:rsidRPr="00604054">
              <w:rPr>
                <w:rFonts w:asciiTheme="minorHAnsi" w:hAnsiTheme="minorHAnsi"/>
                <w:sz w:val="20"/>
                <w:szCs w:val="20"/>
              </w:rPr>
              <w:t>Report on Resourcing Our Future: Community Workshops</w:t>
            </w:r>
          </w:p>
        </w:tc>
      </w:tr>
    </w:tbl>
    <w:p w14:paraId="7B1368EE" w14:textId="77777777" w:rsidR="00F16CDC" w:rsidRDefault="00F16CDC">
      <w:pPr>
        <w:rPr>
          <w:rFonts w:ascii="Arial" w:hAnsi="Arial" w:cs="Arial"/>
          <w:b/>
          <w:bCs/>
          <w:color w:val="00408A"/>
          <w:kern w:val="32"/>
          <w:sz w:val="30"/>
          <w:szCs w:val="30"/>
        </w:rPr>
      </w:pPr>
      <w:r>
        <w:br w:type="page"/>
      </w:r>
    </w:p>
    <w:p w14:paraId="2C73B1FA" w14:textId="77777777" w:rsidR="00D5629A" w:rsidRDefault="00D5629A" w:rsidP="00D5629A">
      <w:pPr>
        <w:pStyle w:val="Heading1"/>
        <w:ind w:left="0" w:firstLine="0"/>
      </w:pPr>
      <w:bookmarkStart w:id="93" w:name="_Toc412798924"/>
      <w:r>
        <w:t>Assessment criterion 3: Impact on ratepayers</w:t>
      </w:r>
      <w:bookmarkEnd w:id="93"/>
    </w:p>
    <w:p w14:paraId="6D7F8B99" w14:textId="77777777" w:rsidR="00D5629A" w:rsidRPr="001353CC" w:rsidRDefault="00D5629A" w:rsidP="00D5629A">
      <w:pPr>
        <w:pStyle w:val="BodyText"/>
        <w:spacing w:after="240"/>
        <w:rPr>
          <w:color w:val="548DD4" w:themeColor="text2" w:themeTint="99"/>
          <w:sz w:val="20"/>
          <w:szCs w:val="20"/>
        </w:rPr>
      </w:pPr>
      <w:r w:rsidRPr="001353CC">
        <w:rPr>
          <w:color w:val="548DD4" w:themeColor="text2" w:themeTint="99"/>
          <w:sz w:val="20"/>
          <w:szCs w:val="20"/>
        </w:rPr>
        <w:t>Criterion 3 within the OLG Guidelines is:</w:t>
      </w:r>
    </w:p>
    <w:p w14:paraId="511B6D3C" w14:textId="77777777" w:rsidR="00D5629A" w:rsidRPr="001353CC" w:rsidRDefault="00D5629A" w:rsidP="00D5629A">
      <w:pPr>
        <w:pStyle w:val="Quote"/>
        <w:ind w:left="0"/>
        <w:rPr>
          <w:rFonts w:ascii="Arial" w:hAnsi="Arial" w:cs="Arial"/>
          <w:i/>
          <w:color w:val="548DD4" w:themeColor="text2" w:themeTint="99"/>
          <w:szCs w:val="20"/>
        </w:rPr>
      </w:pPr>
      <w:r w:rsidRPr="001353CC">
        <w:rPr>
          <w:rFonts w:ascii="Arial" w:hAnsi="Arial" w:cs="Arial"/>
          <w:i/>
          <w:color w:val="548DD4" w:themeColor="text2" w:themeTint="99"/>
          <w:szCs w:val="20"/>
        </w:rPr>
        <w:t>The impact on affected ratepayers must be reasonable, having regard to both the current rate levels, existing ratepayer base and the proposed purpose of the variation.  The IP&amp;R processes should:</w:t>
      </w:r>
    </w:p>
    <w:p w14:paraId="243A6BFE" w14:textId="77777777" w:rsidR="00D5629A" w:rsidRPr="001353CC" w:rsidRDefault="00D5629A" w:rsidP="001353CC">
      <w:pPr>
        <w:pStyle w:val="QuoteBullet"/>
        <w:spacing w:line="240" w:lineRule="auto"/>
        <w:ind w:left="-567" w:firstLine="851"/>
        <w:rPr>
          <w:rFonts w:ascii="Arial" w:hAnsi="Arial" w:cs="Arial"/>
          <w:i/>
          <w:color w:val="548DD4" w:themeColor="text2" w:themeTint="99"/>
          <w:szCs w:val="20"/>
        </w:rPr>
      </w:pPr>
      <w:r w:rsidRPr="001353CC">
        <w:rPr>
          <w:rFonts w:ascii="Arial" w:hAnsi="Arial" w:cs="Arial"/>
          <w:i/>
          <w:color w:val="548DD4" w:themeColor="text2" w:themeTint="99"/>
          <w:szCs w:val="20"/>
        </w:rPr>
        <w:t>clearly show the impact of any rises upon the community</w:t>
      </w:r>
    </w:p>
    <w:p w14:paraId="704DB6E7" w14:textId="77777777" w:rsidR="00D5629A" w:rsidRPr="001353CC" w:rsidRDefault="00D5629A" w:rsidP="001353CC">
      <w:pPr>
        <w:pStyle w:val="QuoteBullet"/>
        <w:spacing w:line="240" w:lineRule="auto"/>
        <w:rPr>
          <w:rFonts w:ascii="Arial" w:hAnsi="Arial" w:cs="Arial"/>
          <w:i/>
          <w:color w:val="548DD4" w:themeColor="text2" w:themeTint="99"/>
          <w:szCs w:val="20"/>
        </w:rPr>
      </w:pPr>
      <w:r w:rsidRPr="001353CC">
        <w:rPr>
          <w:rFonts w:ascii="Arial" w:hAnsi="Arial" w:cs="Arial"/>
          <w:i/>
          <w:color w:val="548DD4" w:themeColor="text2" w:themeTint="99"/>
          <w:szCs w:val="20"/>
        </w:rPr>
        <w:t>include the council’s consideration of the community’s capacity and willingness to pay rates and</w:t>
      </w:r>
    </w:p>
    <w:p w14:paraId="706EAEA1" w14:textId="77777777" w:rsidR="00D5629A" w:rsidRPr="001353CC" w:rsidRDefault="00D5629A" w:rsidP="001353CC">
      <w:pPr>
        <w:pStyle w:val="QuoteBullet"/>
        <w:spacing w:line="240" w:lineRule="auto"/>
        <w:rPr>
          <w:rFonts w:ascii="Arial" w:hAnsi="Arial" w:cs="Arial"/>
          <w:i/>
          <w:color w:val="548DD4" w:themeColor="text2" w:themeTint="99"/>
          <w:szCs w:val="20"/>
        </w:rPr>
      </w:pPr>
      <w:r w:rsidRPr="001353CC">
        <w:rPr>
          <w:rFonts w:ascii="Arial" w:hAnsi="Arial" w:cs="Arial"/>
          <w:i/>
          <w:color w:val="548DD4" w:themeColor="text2" w:themeTint="99"/>
          <w:szCs w:val="20"/>
        </w:rPr>
        <w:t>establish that the proposed rate increases are affordable having regard to the local community’s capacity to pay.</w:t>
      </w:r>
    </w:p>
    <w:p w14:paraId="612E5A49" w14:textId="77777777" w:rsidR="00D5629A" w:rsidRPr="001353CC" w:rsidRDefault="00D5629A" w:rsidP="00D5629A">
      <w:pPr>
        <w:pStyle w:val="BodyText"/>
        <w:rPr>
          <w:color w:val="548DD4" w:themeColor="text2" w:themeTint="99"/>
          <w:sz w:val="20"/>
          <w:szCs w:val="20"/>
        </w:rPr>
      </w:pPr>
      <w:r w:rsidRPr="001353CC">
        <w:rPr>
          <w:color w:val="548DD4" w:themeColor="text2" w:themeTint="99"/>
          <w:sz w:val="20"/>
          <w:szCs w:val="20"/>
        </w:rPr>
        <w:t>The impact of the council’s proposed special variation on ratepayers must be reasonable.  To do this, we take into account current rate levels, the existing ratepayer base and the purpose of the special variation.  We also review how the council’s IP&amp;R processes have assessed whether that the proposed rate rises are affordable having regard to the community’s capacity and willingness to pay.</w:t>
      </w:r>
    </w:p>
    <w:p w14:paraId="4A4A8FD7" w14:textId="77777777" w:rsidR="00D5629A" w:rsidRPr="00916FAE" w:rsidRDefault="00D5629A" w:rsidP="00D5629A">
      <w:pPr>
        <w:pStyle w:val="Heading2"/>
      </w:pPr>
      <w:bookmarkStart w:id="94" w:name="_Toc366160417"/>
      <w:bookmarkStart w:id="95" w:name="_Toc412798925"/>
      <w:r w:rsidRPr="00916FAE">
        <w:t>Impact on rates</w:t>
      </w:r>
      <w:bookmarkEnd w:id="94"/>
      <w:bookmarkEnd w:id="95"/>
    </w:p>
    <w:p w14:paraId="297D0578" w14:textId="77777777" w:rsidR="00D5629A" w:rsidRPr="001353CC" w:rsidRDefault="00D5629A" w:rsidP="00D5629A">
      <w:pPr>
        <w:pStyle w:val="BodyText"/>
        <w:rPr>
          <w:color w:val="548DD4" w:themeColor="text2" w:themeTint="99"/>
          <w:sz w:val="20"/>
          <w:szCs w:val="20"/>
        </w:rPr>
      </w:pPr>
      <w:r w:rsidRPr="001353CC">
        <w:rPr>
          <w:color w:val="548DD4" w:themeColor="text2" w:themeTint="99"/>
          <w:sz w:val="20"/>
          <w:szCs w:val="20"/>
        </w:rPr>
        <w:t>Much of the quantitative information we need on the impact of the special variation on (General Fund) rate levels will already be contained in Worksheet 5a and 5b of Part A of the application.</w:t>
      </w:r>
    </w:p>
    <w:p w14:paraId="3C47A8AE" w14:textId="77777777" w:rsidR="00D5629A" w:rsidRPr="001353CC" w:rsidRDefault="00D5629A" w:rsidP="00D5629A">
      <w:pPr>
        <w:pStyle w:val="BodyText"/>
        <w:rPr>
          <w:color w:val="548DD4" w:themeColor="text2" w:themeTint="99"/>
          <w:sz w:val="20"/>
          <w:szCs w:val="20"/>
        </w:rPr>
      </w:pPr>
      <w:r w:rsidRPr="001353CC">
        <w:rPr>
          <w:color w:val="548DD4" w:themeColor="text2" w:themeTint="99"/>
          <w:sz w:val="20"/>
          <w:szCs w:val="20"/>
        </w:rPr>
        <w:t>To assist us further, the application should set out the rating structure under the proposed special variation, and how this may differ from the current rating structure, or that which would apply if the special variation is not approved.</w:t>
      </w:r>
    </w:p>
    <w:p w14:paraId="241EFE1E" w14:textId="77777777" w:rsidR="00D5629A" w:rsidRPr="001353CC" w:rsidRDefault="00D5629A" w:rsidP="00D5629A">
      <w:pPr>
        <w:pStyle w:val="BodyText"/>
        <w:keepNext/>
        <w:keepLines/>
        <w:rPr>
          <w:color w:val="548DD4" w:themeColor="text2" w:themeTint="99"/>
          <w:sz w:val="20"/>
          <w:szCs w:val="20"/>
        </w:rPr>
      </w:pPr>
      <w:r w:rsidRPr="001353CC">
        <w:rPr>
          <w:color w:val="548DD4" w:themeColor="text2" w:themeTint="99"/>
          <w:sz w:val="20"/>
          <w:szCs w:val="20"/>
        </w:rPr>
        <w:t>We recognise that a council may choose to apply an increase differentially among categories of ratepayers.  If so, you should explain the rationale for applying the increase differentially among different categories and/or subcategories of ratepayers.  This will be relevant to our assessment of the reasonableness of the impact on ratepayers.</w:t>
      </w:r>
    </w:p>
    <w:p w14:paraId="540795BF" w14:textId="68089B4A" w:rsidR="001353CC" w:rsidRDefault="00D5629A" w:rsidP="00D5629A">
      <w:pPr>
        <w:pStyle w:val="BodyText"/>
        <w:keepNext/>
        <w:keepLines/>
        <w:rPr>
          <w:color w:val="548DD4" w:themeColor="text2" w:themeTint="99"/>
          <w:sz w:val="20"/>
          <w:szCs w:val="20"/>
        </w:rPr>
      </w:pPr>
      <w:r w:rsidRPr="001353CC">
        <w:rPr>
          <w:color w:val="548DD4" w:themeColor="text2" w:themeTint="99"/>
          <w:sz w:val="20"/>
          <w:szCs w:val="20"/>
        </w:rPr>
        <w:t>Councils should also indicate the impact of any other anticipated changes in the rating structure.</w:t>
      </w:r>
    </w:p>
    <w:p w14:paraId="2D3A4BF0" w14:textId="77777777" w:rsidR="001353CC" w:rsidRDefault="001353CC">
      <w:pPr>
        <w:rPr>
          <w:color w:val="548DD4" w:themeColor="text2" w:themeTint="99"/>
          <w:sz w:val="20"/>
          <w:szCs w:val="20"/>
        </w:rPr>
      </w:pPr>
      <w:r>
        <w:rPr>
          <w:color w:val="548DD4" w:themeColor="text2" w:themeTint="99"/>
          <w:sz w:val="20"/>
          <w:szCs w:val="20"/>
        </w:rPr>
        <w:br w:type="page"/>
      </w:r>
    </w:p>
    <w:p w14:paraId="1E25FDB9" w14:textId="0F887F6F" w:rsidR="00D5629A" w:rsidRPr="00E66B92" w:rsidRDefault="008B1F33" w:rsidP="00AE4E46">
      <w:pPr>
        <w:pStyle w:val="Heading3"/>
        <w:spacing w:line="276" w:lineRule="auto"/>
        <w:ind w:left="709"/>
      </w:pPr>
      <w:r>
        <w:t>C</w:t>
      </w:r>
      <w:r w:rsidR="00D5629A">
        <w:t xml:space="preserve">urrent </w:t>
      </w:r>
      <w:r w:rsidR="008B778A">
        <w:t xml:space="preserve">and Proposed </w:t>
      </w:r>
      <w:r w:rsidR="00D5629A" w:rsidRPr="00E66B92">
        <w:t>Rating Structure</w:t>
      </w:r>
    </w:p>
    <w:p w14:paraId="3F3EE13D" w14:textId="77777777" w:rsidR="008B1F33" w:rsidRDefault="008B1F33" w:rsidP="00AE4E46">
      <w:pPr>
        <w:autoSpaceDE w:val="0"/>
        <w:autoSpaceDN w:val="0"/>
        <w:adjustRightInd w:val="0"/>
        <w:spacing w:line="276" w:lineRule="auto"/>
        <w:jc w:val="both"/>
        <w:rPr>
          <w:rFonts w:ascii="Arial" w:hAnsi="Arial" w:cs="Arial"/>
          <w:color w:val="000000"/>
          <w:sz w:val="20"/>
          <w:szCs w:val="20"/>
        </w:rPr>
      </w:pPr>
    </w:p>
    <w:p w14:paraId="6F474BDD" w14:textId="77777777" w:rsidR="000A4055" w:rsidRPr="004B3156" w:rsidRDefault="000A4055" w:rsidP="00AE4E46">
      <w:pPr>
        <w:autoSpaceDE w:val="0"/>
        <w:autoSpaceDN w:val="0"/>
        <w:adjustRightInd w:val="0"/>
        <w:spacing w:line="276" w:lineRule="auto"/>
        <w:jc w:val="both"/>
        <w:rPr>
          <w:rFonts w:ascii="Arial" w:hAnsi="Arial" w:cs="Arial"/>
          <w:color w:val="000000"/>
          <w:sz w:val="21"/>
          <w:szCs w:val="21"/>
        </w:rPr>
      </w:pPr>
      <w:r w:rsidRPr="004B3156">
        <w:rPr>
          <w:rFonts w:ascii="Arial" w:hAnsi="Arial" w:cs="Arial"/>
          <w:color w:val="000000"/>
          <w:sz w:val="21"/>
          <w:szCs w:val="21"/>
        </w:rPr>
        <w:t xml:space="preserve">The Council uses a differential ad valorem rating system that incorporates minimum rate amounts as its method for rating land, for all rating categories in the City. Land has been categorised in accordance with Sections 515 to 519 of the Local Government Act 1993. </w:t>
      </w:r>
    </w:p>
    <w:p w14:paraId="1D365493" w14:textId="77777777" w:rsidR="000A4055" w:rsidRPr="004B3156" w:rsidRDefault="000A4055" w:rsidP="00AE4E46">
      <w:pPr>
        <w:autoSpaceDE w:val="0"/>
        <w:autoSpaceDN w:val="0"/>
        <w:adjustRightInd w:val="0"/>
        <w:spacing w:line="276" w:lineRule="auto"/>
        <w:jc w:val="both"/>
        <w:rPr>
          <w:rFonts w:ascii="Arial" w:hAnsi="Arial" w:cs="Arial"/>
          <w:color w:val="000000"/>
          <w:sz w:val="21"/>
          <w:szCs w:val="21"/>
        </w:rPr>
      </w:pPr>
    </w:p>
    <w:p w14:paraId="48574579" w14:textId="77777777" w:rsidR="000A4055" w:rsidRPr="004B3156" w:rsidRDefault="000A4055" w:rsidP="00AE4E46">
      <w:pPr>
        <w:autoSpaceDE w:val="0"/>
        <w:autoSpaceDN w:val="0"/>
        <w:adjustRightInd w:val="0"/>
        <w:spacing w:line="276" w:lineRule="auto"/>
        <w:jc w:val="both"/>
        <w:rPr>
          <w:rFonts w:ascii="Arial" w:hAnsi="Arial" w:cs="Arial"/>
          <w:color w:val="000000"/>
          <w:sz w:val="21"/>
          <w:szCs w:val="21"/>
        </w:rPr>
      </w:pPr>
      <w:r w:rsidRPr="004B3156">
        <w:rPr>
          <w:rFonts w:ascii="Arial" w:hAnsi="Arial" w:cs="Arial"/>
          <w:color w:val="000000"/>
          <w:sz w:val="21"/>
          <w:szCs w:val="21"/>
        </w:rPr>
        <w:t xml:space="preserve">The rating structure shown in Table 5.1 applies under the proposed special variation and will also apply if this application is not approved. The proposed special variation, if approved, will be applied equally across each of the rating categories. </w:t>
      </w:r>
    </w:p>
    <w:p w14:paraId="57110407" w14:textId="77777777" w:rsidR="000A4055" w:rsidRPr="00AD2D16" w:rsidRDefault="000A4055" w:rsidP="000A4055">
      <w:pPr>
        <w:pStyle w:val="BodyText"/>
        <w:rPr>
          <w:rFonts w:ascii="Arial" w:hAnsi="Arial" w:cs="Arial"/>
          <w:b/>
          <w:sz w:val="18"/>
          <w:szCs w:val="18"/>
        </w:rPr>
      </w:pPr>
      <w:r w:rsidRPr="00AD2D16">
        <w:rPr>
          <w:rFonts w:ascii="Arial" w:hAnsi="Arial" w:cs="Arial"/>
          <w:b/>
          <w:sz w:val="18"/>
          <w:szCs w:val="18"/>
        </w:rPr>
        <w:t>Table 5.1:  Rating Structure for 2015-16 with Proposed Special Variation</w:t>
      </w:r>
    </w:p>
    <w:tbl>
      <w:tblPr>
        <w:tblW w:w="9087"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149"/>
        <w:gridCol w:w="1134"/>
        <w:gridCol w:w="993"/>
        <w:gridCol w:w="992"/>
        <w:gridCol w:w="992"/>
        <w:gridCol w:w="1418"/>
        <w:gridCol w:w="1275"/>
        <w:gridCol w:w="1134"/>
      </w:tblGrid>
      <w:tr w:rsidR="000A4055" w:rsidRPr="00B30142" w14:paraId="7F5D2087" w14:textId="77777777" w:rsidTr="00CB5D45">
        <w:trPr>
          <w:trHeight w:val="1155"/>
        </w:trPr>
        <w:tc>
          <w:tcPr>
            <w:tcW w:w="1149" w:type="dxa"/>
            <w:shd w:val="clear" w:color="auto" w:fill="4F81BD" w:themeFill="accent1"/>
            <w:vAlign w:val="center"/>
            <w:hideMark/>
          </w:tcPr>
          <w:p w14:paraId="42D46EEA" w14:textId="77777777" w:rsidR="000A4055" w:rsidRPr="00CB5D45" w:rsidRDefault="000A4055" w:rsidP="00162D6E">
            <w:pPr>
              <w:jc w:val="center"/>
              <w:rPr>
                <w:rFonts w:ascii="Arial" w:hAnsi="Arial" w:cs="Arial"/>
                <w:b/>
                <w:bCs/>
                <w:color w:val="FFFFFF" w:themeColor="background1"/>
                <w:sz w:val="17"/>
                <w:szCs w:val="17"/>
              </w:rPr>
            </w:pPr>
            <w:r w:rsidRPr="00CB5D45">
              <w:rPr>
                <w:rFonts w:ascii="Arial" w:hAnsi="Arial" w:cs="Arial"/>
                <w:b/>
                <w:bCs/>
                <w:color w:val="FFFFFF" w:themeColor="background1"/>
                <w:sz w:val="17"/>
                <w:szCs w:val="17"/>
              </w:rPr>
              <w:t>Rating Category   (s514-518)</w:t>
            </w:r>
          </w:p>
        </w:tc>
        <w:tc>
          <w:tcPr>
            <w:tcW w:w="1134" w:type="dxa"/>
            <w:shd w:val="clear" w:color="auto" w:fill="4F81BD" w:themeFill="accent1"/>
            <w:vAlign w:val="center"/>
            <w:hideMark/>
          </w:tcPr>
          <w:p w14:paraId="6AAFCFD6" w14:textId="77777777" w:rsidR="000A4055" w:rsidRPr="00CB5D45" w:rsidRDefault="000A4055" w:rsidP="00162D6E">
            <w:pPr>
              <w:jc w:val="center"/>
              <w:rPr>
                <w:rFonts w:ascii="Arial" w:hAnsi="Arial" w:cs="Arial"/>
                <w:b/>
                <w:bCs/>
                <w:color w:val="FFFFFF" w:themeColor="background1"/>
                <w:sz w:val="17"/>
                <w:szCs w:val="17"/>
              </w:rPr>
            </w:pPr>
            <w:r w:rsidRPr="00CB5D45">
              <w:rPr>
                <w:rFonts w:ascii="Arial" w:hAnsi="Arial" w:cs="Arial"/>
                <w:b/>
                <w:bCs/>
                <w:color w:val="FFFFFF" w:themeColor="background1"/>
                <w:sz w:val="17"/>
                <w:szCs w:val="17"/>
              </w:rPr>
              <w:t>Number of Properties</w:t>
            </w:r>
          </w:p>
        </w:tc>
        <w:tc>
          <w:tcPr>
            <w:tcW w:w="993" w:type="dxa"/>
            <w:shd w:val="clear" w:color="auto" w:fill="4F81BD" w:themeFill="accent1"/>
            <w:vAlign w:val="center"/>
            <w:hideMark/>
          </w:tcPr>
          <w:p w14:paraId="75C533DC" w14:textId="77777777" w:rsidR="000A4055" w:rsidRPr="00CB5D45" w:rsidRDefault="000A4055" w:rsidP="00162D6E">
            <w:pPr>
              <w:jc w:val="center"/>
              <w:rPr>
                <w:rFonts w:ascii="Arial" w:hAnsi="Arial" w:cs="Arial"/>
                <w:b/>
                <w:bCs/>
                <w:color w:val="FFFFFF" w:themeColor="background1"/>
                <w:sz w:val="17"/>
                <w:szCs w:val="17"/>
              </w:rPr>
            </w:pPr>
            <w:r w:rsidRPr="00CB5D45">
              <w:rPr>
                <w:rFonts w:ascii="Arial" w:hAnsi="Arial" w:cs="Arial"/>
                <w:b/>
                <w:bCs/>
                <w:color w:val="FFFFFF" w:themeColor="background1"/>
                <w:sz w:val="17"/>
                <w:szCs w:val="17"/>
              </w:rPr>
              <w:t>Ad Valorem Rate</w:t>
            </w:r>
          </w:p>
        </w:tc>
        <w:tc>
          <w:tcPr>
            <w:tcW w:w="992" w:type="dxa"/>
            <w:shd w:val="clear" w:color="auto" w:fill="4F81BD" w:themeFill="accent1"/>
            <w:vAlign w:val="center"/>
            <w:hideMark/>
          </w:tcPr>
          <w:p w14:paraId="29636713" w14:textId="77777777" w:rsidR="000A4055" w:rsidRPr="00CB5D45" w:rsidRDefault="000A4055" w:rsidP="00162D6E">
            <w:pPr>
              <w:jc w:val="center"/>
              <w:rPr>
                <w:rFonts w:ascii="Arial" w:hAnsi="Arial" w:cs="Arial"/>
                <w:b/>
                <w:bCs/>
                <w:color w:val="FFFFFF" w:themeColor="background1"/>
                <w:sz w:val="17"/>
                <w:szCs w:val="17"/>
              </w:rPr>
            </w:pPr>
            <w:r w:rsidRPr="00CB5D45">
              <w:rPr>
                <w:rFonts w:ascii="Arial" w:hAnsi="Arial" w:cs="Arial"/>
                <w:b/>
                <w:bCs/>
                <w:color w:val="FFFFFF" w:themeColor="background1"/>
                <w:sz w:val="17"/>
                <w:szCs w:val="17"/>
              </w:rPr>
              <w:t>Minimum</w:t>
            </w:r>
            <w:r w:rsidRPr="00CB5D45">
              <w:rPr>
                <w:rFonts w:ascii="Arial" w:hAnsi="Arial" w:cs="Arial"/>
                <w:b/>
                <w:bCs/>
                <w:color w:val="FFFFFF" w:themeColor="background1"/>
                <w:sz w:val="17"/>
                <w:szCs w:val="17"/>
              </w:rPr>
              <w:br/>
              <w:t>Amount</w:t>
            </w:r>
            <w:r w:rsidRPr="00CB5D45">
              <w:rPr>
                <w:rFonts w:ascii="Arial" w:hAnsi="Arial" w:cs="Arial"/>
                <w:b/>
                <w:bCs/>
                <w:color w:val="FFFFFF" w:themeColor="background1"/>
                <w:sz w:val="17"/>
                <w:szCs w:val="17"/>
              </w:rPr>
              <w:br/>
              <w:t>$</w:t>
            </w:r>
          </w:p>
        </w:tc>
        <w:tc>
          <w:tcPr>
            <w:tcW w:w="992" w:type="dxa"/>
            <w:shd w:val="clear" w:color="auto" w:fill="4F81BD" w:themeFill="accent1"/>
            <w:vAlign w:val="center"/>
            <w:hideMark/>
          </w:tcPr>
          <w:p w14:paraId="657609CF" w14:textId="77777777" w:rsidR="000A4055" w:rsidRPr="00CB5D45" w:rsidRDefault="000A4055" w:rsidP="00162D6E">
            <w:pPr>
              <w:jc w:val="center"/>
              <w:rPr>
                <w:rFonts w:ascii="Arial" w:hAnsi="Arial" w:cs="Arial"/>
                <w:b/>
                <w:bCs/>
                <w:color w:val="FFFFFF" w:themeColor="background1"/>
                <w:sz w:val="17"/>
                <w:szCs w:val="17"/>
              </w:rPr>
            </w:pPr>
            <w:r w:rsidRPr="00CB5D45">
              <w:rPr>
                <w:rFonts w:ascii="Arial" w:hAnsi="Arial" w:cs="Arial"/>
                <w:b/>
                <w:bCs/>
                <w:color w:val="FFFFFF" w:themeColor="background1"/>
                <w:sz w:val="17"/>
                <w:szCs w:val="17"/>
              </w:rPr>
              <w:t>Number on Minimum</w:t>
            </w:r>
          </w:p>
        </w:tc>
        <w:tc>
          <w:tcPr>
            <w:tcW w:w="1418" w:type="dxa"/>
            <w:shd w:val="clear" w:color="auto" w:fill="4F81BD" w:themeFill="accent1"/>
            <w:vAlign w:val="center"/>
            <w:hideMark/>
          </w:tcPr>
          <w:p w14:paraId="7C633618" w14:textId="77777777" w:rsidR="000A4055" w:rsidRPr="00CB5D45" w:rsidRDefault="000A4055" w:rsidP="00162D6E">
            <w:pPr>
              <w:jc w:val="center"/>
              <w:rPr>
                <w:rFonts w:ascii="Arial" w:hAnsi="Arial" w:cs="Arial"/>
                <w:b/>
                <w:bCs/>
                <w:color w:val="FFFFFF" w:themeColor="background1"/>
                <w:sz w:val="17"/>
                <w:szCs w:val="17"/>
              </w:rPr>
            </w:pPr>
            <w:r w:rsidRPr="00CB5D45">
              <w:rPr>
                <w:rFonts w:ascii="Arial" w:hAnsi="Arial" w:cs="Arial"/>
                <w:b/>
                <w:bCs/>
                <w:color w:val="FFFFFF" w:themeColor="background1"/>
                <w:sz w:val="17"/>
                <w:szCs w:val="17"/>
              </w:rPr>
              <w:t>Land Value</w:t>
            </w:r>
            <w:r w:rsidRPr="00CB5D45">
              <w:rPr>
                <w:rFonts w:ascii="Arial" w:hAnsi="Arial" w:cs="Arial"/>
                <w:b/>
                <w:bCs/>
                <w:color w:val="FFFFFF" w:themeColor="background1"/>
                <w:sz w:val="17"/>
                <w:szCs w:val="17"/>
              </w:rPr>
              <w:br/>
              <w:t>as at</w:t>
            </w:r>
            <w:r w:rsidRPr="00CB5D45">
              <w:rPr>
                <w:rFonts w:ascii="Arial" w:hAnsi="Arial" w:cs="Arial"/>
                <w:b/>
                <w:bCs/>
                <w:color w:val="FFFFFF" w:themeColor="background1"/>
                <w:sz w:val="17"/>
                <w:szCs w:val="17"/>
              </w:rPr>
              <w:br/>
              <w:t>start of year</w:t>
            </w:r>
          </w:p>
        </w:tc>
        <w:tc>
          <w:tcPr>
            <w:tcW w:w="1275" w:type="dxa"/>
            <w:shd w:val="clear" w:color="auto" w:fill="4F81BD" w:themeFill="accent1"/>
            <w:vAlign w:val="center"/>
            <w:hideMark/>
          </w:tcPr>
          <w:p w14:paraId="051F2624" w14:textId="77777777" w:rsidR="000A4055" w:rsidRPr="00CB5D45" w:rsidRDefault="000A4055" w:rsidP="00162D6E">
            <w:pPr>
              <w:jc w:val="center"/>
              <w:rPr>
                <w:rFonts w:ascii="Arial" w:hAnsi="Arial" w:cs="Arial"/>
                <w:b/>
                <w:bCs/>
                <w:color w:val="FFFFFF" w:themeColor="background1"/>
                <w:sz w:val="17"/>
                <w:szCs w:val="17"/>
              </w:rPr>
            </w:pPr>
            <w:r w:rsidRPr="00CB5D45">
              <w:rPr>
                <w:rFonts w:ascii="Arial" w:hAnsi="Arial" w:cs="Arial"/>
                <w:b/>
                <w:bCs/>
                <w:color w:val="FFFFFF" w:themeColor="background1"/>
                <w:sz w:val="17"/>
                <w:szCs w:val="17"/>
              </w:rPr>
              <w:t>Land Value of Land on Minimum</w:t>
            </w:r>
          </w:p>
        </w:tc>
        <w:tc>
          <w:tcPr>
            <w:tcW w:w="1134" w:type="dxa"/>
            <w:shd w:val="clear" w:color="auto" w:fill="4F81BD" w:themeFill="accent1"/>
            <w:vAlign w:val="center"/>
            <w:hideMark/>
          </w:tcPr>
          <w:p w14:paraId="1706EA74" w14:textId="77777777" w:rsidR="000A4055" w:rsidRPr="00CB5D45" w:rsidRDefault="000A4055" w:rsidP="00162D6E">
            <w:pPr>
              <w:jc w:val="center"/>
              <w:rPr>
                <w:rFonts w:ascii="Arial" w:hAnsi="Arial" w:cs="Arial"/>
                <w:b/>
                <w:bCs/>
                <w:color w:val="FFFFFF" w:themeColor="background1"/>
                <w:sz w:val="17"/>
                <w:szCs w:val="17"/>
              </w:rPr>
            </w:pPr>
            <w:r w:rsidRPr="00CB5D45">
              <w:rPr>
                <w:rFonts w:ascii="Arial" w:hAnsi="Arial" w:cs="Arial"/>
                <w:b/>
                <w:bCs/>
                <w:color w:val="FFFFFF" w:themeColor="background1"/>
                <w:sz w:val="17"/>
                <w:szCs w:val="17"/>
              </w:rPr>
              <w:t>Notional General</w:t>
            </w:r>
            <w:r w:rsidRPr="00CB5D45">
              <w:rPr>
                <w:rFonts w:ascii="Arial" w:hAnsi="Arial" w:cs="Arial"/>
                <w:b/>
                <w:bCs/>
                <w:color w:val="FFFFFF" w:themeColor="background1"/>
                <w:sz w:val="17"/>
                <w:szCs w:val="17"/>
              </w:rPr>
              <w:br/>
              <w:t>Income</w:t>
            </w:r>
          </w:p>
        </w:tc>
      </w:tr>
      <w:tr w:rsidR="000A4055" w:rsidRPr="00B30142" w14:paraId="09BF3DB2" w14:textId="77777777" w:rsidTr="00CB5D45">
        <w:trPr>
          <w:trHeight w:val="255"/>
        </w:trPr>
        <w:tc>
          <w:tcPr>
            <w:tcW w:w="1149" w:type="dxa"/>
            <w:shd w:val="clear" w:color="auto" w:fill="DBE5F1" w:themeFill="accent1" w:themeFillTint="33"/>
            <w:vAlign w:val="center"/>
            <w:hideMark/>
          </w:tcPr>
          <w:p w14:paraId="32B5EAAF" w14:textId="77777777" w:rsidR="000A4055" w:rsidRPr="00CB5D45" w:rsidRDefault="000A4055" w:rsidP="00162D6E">
            <w:pPr>
              <w:jc w:val="center"/>
              <w:rPr>
                <w:rFonts w:ascii="Arial" w:hAnsi="Arial" w:cs="Arial"/>
                <w:sz w:val="17"/>
                <w:szCs w:val="17"/>
              </w:rPr>
            </w:pPr>
            <w:r w:rsidRPr="00CB5D45">
              <w:rPr>
                <w:rFonts w:ascii="Arial" w:hAnsi="Arial" w:cs="Arial"/>
                <w:sz w:val="17"/>
                <w:szCs w:val="17"/>
              </w:rPr>
              <w:t>Residential</w:t>
            </w:r>
          </w:p>
        </w:tc>
        <w:tc>
          <w:tcPr>
            <w:tcW w:w="1134" w:type="dxa"/>
            <w:shd w:val="clear" w:color="auto" w:fill="DBE5F1" w:themeFill="accent1" w:themeFillTint="33"/>
            <w:noWrap/>
            <w:hideMark/>
          </w:tcPr>
          <w:p w14:paraId="07F8F6FF" w14:textId="77777777" w:rsidR="000A4055" w:rsidRPr="00CB5D45" w:rsidRDefault="000A4055" w:rsidP="00162D6E">
            <w:pPr>
              <w:jc w:val="right"/>
              <w:rPr>
                <w:rFonts w:ascii="Arial" w:hAnsi="Arial" w:cs="Arial"/>
                <w:sz w:val="17"/>
                <w:szCs w:val="17"/>
              </w:rPr>
            </w:pPr>
            <w:r w:rsidRPr="00CB5D45">
              <w:rPr>
                <w:rFonts w:ascii="Arial" w:hAnsi="Arial" w:cs="Arial"/>
                <w:sz w:val="17"/>
                <w:szCs w:val="17"/>
              </w:rPr>
              <w:t>34,311</w:t>
            </w:r>
          </w:p>
        </w:tc>
        <w:tc>
          <w:tcPr>
            <w:tcW w:w="993" w:type="dxa"/>
            <w:shd w:val="clear" w:color="auto" w:fill="DBE5F1" w:themeFill="accent1" w:themeFillTint="33"/>
            <w:noWrap/>
            <w:hideMark/>
          </w:tcPr>
          <w:p w14:paraId="752849AF" w14:textId="77777777" w:rsidR="000A4055" w:rsidRPr="00CB5D45" w:rsidRDefault="000A4055" w:rsidP="00162D6E">
            <w:pPr>
              <w:jc w:val="right"/>
              <w:rPr>
                <w:rFonts w:ascii="Arial" w:hAnsi="Arial" w:cs="Arial"/>
                <w:sz w:val="17"/>
                <w:szCs w:val="17"/>
              </w:rPr>
            </w:pPr>
            <w:r w:rsidRPr="00CB5D45">
              <w:rPr>
                <w:rFonts w:ascii="Arial" w:hAnsi="Arial" w:cs="Arial"/>
                <w:sz w:val="17"/>
                <w:szCs w:val="17"/>
              </w:rPr>
              <w:t>0.588866</w:t>
            </w:r>
          </w:p>
        </w:tc>
        <w:tc>
          <w:tcPr>
            <w:tcW w:w="992" w:type="dxa"/>
            <w:shd w:val="clear" w:color="auto" w:fill="DBE5F1" w:themeFill="accent1" w:themeFillTint="33"/>
            <w:noWrap/>
            <w:hideMark/>
          </w:tcPr>
          <w:p w14:paraId="259FAF7E" w14:textId="77777777" w:rsidR="000A4055" w:rsidRPr="00CB5D45" w:rsidRDefault="000A4055" w:rsidP="00162D6E">
            <w:pPr>
              <w:jc w:val="right"/>
              <w:rPr>
                <w:rFonts w:ascii="Arial" w:hAnsi="Arial" w:cs="Arial"/>
                <w:sz w:val="17"/>
                <w:szCs w:val="17"/>
              </w:rPr>
            </w:pPr>
            <w:r w:rsidRPr="00CB5D45">
              <w:rPr>
                <w:rFonts w:ascii="Arial" w:hAnsi="Arial" w:cs="Arial"/>
                <w:sz w:val="17"/>
                <w:szCs w:val="17"/>
              </w:rPr>
              <w:t>536.30</w:t>
            </w:r>
          </w:p>
        </w:tc>
        <w:tc>
          <w:tcPr>
            <w:tcW w:w="992" w:type="dxa"/>
            <w:shd w:val="clear" w:color="auto" w:fill="DBE5F1" w:themeFill="accent1" w:themeFillTint="33"/>
            <w:noWrap/>
            <w:hideMark/>
          </w:tcPr>
          <w:p w14:paraId="7A1C446B" w14:textId="77777777" w:rsidR="000A4055" w:rsidRPr="00CB5D45" w:rsidRDefault="000A4055" w:rsidP="00162D6E">
            <w:pPr>
              <w:jc w:val="right"/>
              <w:rPr>
                <w:rFonts w:ascii="Arial" w:hAnsi="Arial" w:cs="Arial"/>
                <w:sz w:val="17"/>
                <w:szCs w:val="17"/>
              </w:rPr>
            </w:pPr>
            <w:r w:rsidRPr="00CB5D45">
              <w:rPr>
                <w:rFonts w:ascii="Arial" w:hAnsi="Arial" w:cs="Arial"/>
                <w:sz w:val="17"/>
                <w:szCs w:val="17"/>
              </w:rPr>
              <w:t>1,468</w:t>
            </w:r>
          </w:p>
        </w:tc>
        <w:tc>
          <w:tcPr>
            <w:tcW w:w="1418" w:type="dxa"/>
            <w:shd w:val="clear" w:color="auto" w:fill="DBE5F1" w:themeFill="accent1" w:themeFillTint="33"/>
            <w:noWrap/>
            <w:hideMark/>
          </w:tcPr>
          <w:p w14:paraId="2979C04C" w14:textId="77777777" w:rsidR="000A4055" w:rsidRPr="00CB5D45" w:rsidRDefault="000A4055" w:rsidP="00162D6E">
            <w:pPr>
              <w:jc w:val="right"/>
              <w:rPr>
                <w:rFonts w:ascii="Arial" w:hAnsi="Arial" w:cs="Arial"/>
                <w:sz w:val="17"/>
                <w:szCs w:val="17"/>
              </w:rPr>
            </w:pPr>
            <w:r w:rsidRPr="00CB5D45">
              <w:rPr>
                <w:rFonts w:ascii="Arial" w:hAnsi="Arial" w:cs="Arial"/>
                <w:sz w:val="17"/>
                <w:szCs w:val="17"/>
              </w:rPr>
              <w:t>7,594,383,629</w:t>
            </w:r>
          </w:p>
        </w:tc>
        <w:tc>
          <w:tcPr>
            <w:tcW w:w="1275" w:type="dxa"/>
            <w:shd w:val="clear" w:color="auto" w:fill="DBE5F1" w:themeFill="accent1" w:themeFillTint="33"/>
            <w:noWrap/>
            <w:hideMark/>
          </w:tcPr>
          <w:p w14:paraId="3ED2EE03" w14:textId="77777777" w:rsidR="000A4055" w:rsidRPr="00CB5D45" w:rsidRDefault="000A4055" w:rsidP="00162D6E">
            <w:pPr>
              <w:jc w:val="right"/>
              <w:rPr>
                <w:rFonts w:ascii="Arial" w:hAnsi="Arial" w:cs="Arial"/>
                <w:sz w:val="17"/>
                <w:szCs w:val="17"/>
              </w:rPr>
            </w:pPr>
            <w:r w:rsidRPr="00CB5D45">
              <w:rPr>
                <w:rFonts w:ascii="Arial" w:hAnsi="Arial" w:cs="Arial"/>
                <w:sz w:val="17"/>
                <w:szCs w:val="17"/>
              </w:rPr>
              <w:t>87,012,795</w:t>
            </w:r>
          </w:p>
        </w:tc>
        <w:tc>
          <w:tcPr>
            <w:tcW w:w="1134" w:type="dxa"/>
            <w:shd w:val="clear" w:color="auto" w:fill="DBE5F1" w:themeFill="accent1" w:themeFillTint="33"/>
            <w:noWrap/>
            <w:hideMark/>
          </w:tcPr>
          <w:p w14:paraId="3D01D117" w14:textId="77777777" w:rsidR="000A4055" w:rsidRPr="00CB5D45" w:rsidRDefault="000A4055" w:rsidP="00162D6E">
            <w:pPr>
              <w:jc w:val="right"/>
              <w:rPr>
                <w:rFonts w:ascii="Arial" w:hAnsi="Arial" w:cs="Arial"/>
                <w:sz w:val="17"/>
                <w:szCs w:val="17"/>
              </w:rPr>
            </w:pPr>
            <w:r w:rsidRPr="00CB5D45">
              <w:rPr>
                <w:rFonts w:ascii="Arial" w:hAnsi="Arial" w:cs="Arial"/>
                <w:sz w:val="17"/>
                <w:szCs w:val="17"/>
              </w:rPr>
              <w:t>44,995,643</w:t>
            </w:r>
          </w:p>
        </w:tc>
      </w:tr>
      <w:tr w:rsidR="000A4055" w:rsidRPr="00B30142" w14:paraId="1D0DDB0D" w14:textId="77777777" w:rsidTr="00CB5D45">
        <w:trPr>
          <w:trHeight w:val="255"/>
        </w:trPr>
        <w:tc>
          <w:tcPr>
            <w:tcW w:w="1149" w:type="dxa"/>
            <w:shd w:val="clear" w:color="auto" w:fill="DBE5F1" w:themeFill="accent1" w:themeFillTint="33"/>
            <w:vAlign w:val="center"/>
            <w:hideMark/>
          </w:tcPr>
          <w:p w14:paraId="08AE7D14" w14:textId="77777777" w:rsidR="000A4055" w:rsidRPr="00CB5D45" w:rsidRDefault="000A4055" w:rsidP="00162D6E">
            <w:pPr>
              <w:rPr>
                <w:rFonts w:ascii="Arial" w:hAnsi="Arial" w:cs="Arial"/>
                <w:sz w:val="17"/>
                <w:szCs w:val="17"/>
              </w:rPr>
            </w:pPr>
            <w:r w:rsidRPr="00CB5D45">
              <w:rPr>
                <w:rFonts w:ascii="Arial" w:hAnsi="Arial" w:cs="Arial"/>
                <w:sz w:val="17"/>
                <w:szCs w:val="17"/>
              </w:rPr>
              <w:t>Business</w:t>
            </w:r>
          </w:p>
        </w:tc>
        <w:tc>
          <w:tcPr>
            <w:tcW w:w="1134" w:type="dxa"/>
            <w:shd w:val="clear" w:color="auto" w:fill="DBE5F1" w:themeFill="accent1" w:themeFillTint="33"/>
            <w:noWrap/>
            <w:hideMark/>
          </w:tcPr>
          <w:p w14:paraId="29013093" w14:textId="77777777" w:rsidR="000A4055" w:rsidRPr="00CB5D45" w:rsidRDefault="000A4055" w:rsidP="00162D6E">
            <w:pPr>
              <w:jc w:val="right"/>
              <w:rPr>
                <w:rFonts w:ascii="Arial" w:hAnsi="Arial" w:cs="Arial"/>
                <w:sz w:val="17"/>
                <w:szCs w:val="17"/>
              </w:rPr>
            </w:pPr>
            <w:r w:rsidRPr="00CB5D45">
              <w:rPr>
                <w:rFonts w:ascii="Arial" w:hAnsi="Arial" w:cs="Arial"/>
                <w:sz w:val="17"/>
                <w:szCs w:val="17"/>
              </w:rPr>
              <w:t>1,318</w:t>
            </w:r>
          </w:p>
        </w:tc>
        <w:tc>
          <w:tcPr>
            <w:tcW w:w="993" w:type="dxa"/>
            <w:shd w:val="clear" w:color="auto" w:fill="DBE5F1" w:themeFill="accent1" w:themeFillTint="33"/>
            <w:noWrap/>
            <w:hideMark/>
          </w:tcPr>
          <w:p w14:paraId="2DB135BE" w14:textId="77777777" w:rsidR="000A4055" w:rsidRPr="00CB5D45" w:rsidRDefault="000A4055" w:rsidP="00162D6E">
            <w:pPr>
              <w:jc w:val="right"/>
              <w:rPr>
                <w:rFonts w:ascii="Arial" w:hAnsi="Arial" w:cs="Arial"/>
                <w:sz w:val="17"/>
                <w:szCs w:val="17"/>
              </w:rPr>
            </w:pPr>
            <w:r w:rsidRPr="00CB5D45">
              <w:rPr>
                <w:rFonts w:ascii="Arial" w:hAnsi="Arial" w:cs="Arial"/>
                <w:sz w:val="17"/>
                <w:szCs w:val="17"/>
              </w:rPr>
              <w:t>0.907285</w:t>
            </w:r>
          </w:p>
        </w:tc>
        <w:tc>
          <w:tcPr>
            <w:tcW w:w="992" w:type="dxa"/>
            <w:shd w:val="clear" w:color="auto" w:fill="DBE5F1" w:themeFill="accent1" w:themeFillTint="33"/>
            <w:noWrap/>
            <w:hideMark/>
          </w:tcPr>
          <w:p w14:paraId="026798A9" w14:textId="77777777" w:rsidR="000A4055" w:rsidRPr="00CB5D45" w:rsidRDefault="000A4055" w:rsidP="00162D6E">
            <w:pPr>
              <w:jc w:val="right"/>
              <w:rPr>
                <w:rFonts w:ascii="Arial" w:hAnsi="Arial" w:cs="Arial"/>
                <w:sz w:val="17"/>
                <w:szCs w:val="17"/>
              </w:rPr>
            </w:pPr>
            <w:r w:rsidRPr="00CB5D45">
              <w:rPr>
                <w:rFonts w:ascii="Arial" w:hAnsi="Arial" w:cs="Arial"/>
                <w:sz w:val="17"/>
                <w:szCs w:val="17"/>
              </w:rPr>
              <w:t>981.50</w:t>
            </w:r>
          </w:p>
        </w:tc>
        <w:tc>
          <w:tcPr>
            <w:tcW w:w="992" w:type="dxa"/>
            <w:shd w:val="clear" w:color="auto" w:fill="DBE5F1" w:themeFill="accent1" w:themeFillTint="33"/>
            <w:noWrap/>
            <w:hideMark/>
          </w:tcPr>
          <w:p w14:paraId="5B584EAE" w14:textId="77777777" w:rsidR="000A4055" w:rsidRPr="00CB5D45" w:rsidRDefault="000A4055" w:rsidP="00162D6E">
            <w:pPr>
              <w:jc w:val="right"/>
              <w:rPr>
                <w:rFonts w:ascii="Arial" w:hAnsi="Arial" w:cs="Arial"/>
                <w:sz w:val="17"/>
                <w:szCs w:val="17"/>
              </w:rPr>
            </w:pPr>
            <w:r w:rsidRPr="00CB5D45">
              <w:rPr>
                <w:rFonts w:ascii="Arial" w:hAnsi="Arial" w:cs="Arial"/>
                <w:sz w:val="17"/>
                <w:szCs w:val="17"/>
              </w:rPr>
              <w:t>354</w:t>
            </w:r>
          </w:p>
        </w:tc>
        <w:tc>
          <w:tcPr>
            <w:tcW w:w="1418" w:type="dxa"/>
            <w:shd w:val="clear" w:color="auto" w:fill="DBE5F1" w:themeFill="accent1" w:themeFillTint="33"/>
            <w:noWrap/>
            <w:hideMark/>
          </w:tcPr>
          <w:p w14:paraId="65CF4765" w14:textId="77777777" w:rsidR="000A4055" w:rsidRPr="00CB5D45" w:rsidRDefault="000A4055" w:rsidP="00162D6E">
            <w:pPr>
              <w:jc w:val="right"/>
              <w:rPr>
                <w:rFonts w:ascii="Arial" w:hAnsi="Arial" w:cs="Arial"/>
                <w:sz w:val="17"/>
                <w:szCs w:val="17"/>
              </w:rPr>
            </w:pPr>
            <w:r w:rsidRPr="00CB5D45">
              <w:rPr>
                <w:rFonts w:ascii="Arial" w:hAnsi="Arial" w:cs="Arial"/>
                <w:sz w:val="17"/>
                <w:szCs w:val="17"/>
              </w:rPr>
              <w:t>435,553,301</w:t>
            </w:r>
          </w:p>
        </w:tc>
        <w:tc>
          <w:tcPr>
            <w:tcW w:w="1275" w:type="dxa"/>
            <w:shd w:val="clear" w:color="auto" w:fill="DBE5F1" w:themeFill="accent1" w:themeFillTint="33"/>
            <w:noWrap/>
            <w:hideMark/>
          </w:tcPr>
          <w:p w14:paraId="5BF2EAE5" w14:textId="77777777" w:rsidR="000A4055" w:rsidRPr="00CB5D45" w:rsidRDefault="000A4055" w:rsidP="00162D6E">
            <w:pPr>
              <w:jc w:val="right"/>
              <w:rPr>
                <w:rFonts w:ascii="Arial" w:hAnsi="Arial" w:cs="Arial"/>
                <w:sz w:val="17"/>
                <w:szCs w:val="17"/>
              </w:rPr>
            </w:pPr>
            <w:r w:rsidRPr="00CB5D45">
              <w:rPr>
                <w:rFonts w:ascii="Arial" w:hAnsi="Arial" w:cs="Arial"/>
                <w:sz w:val="17"/>
                <w:szCs w:val="17"/>
              </w:rPr>
              <w:t>15,591,836</w:t>
            </w:r>
          </w:p>
        </w:tc>
        <w:tc>
          <w:tcPr>
            <w:tcW w:w="1134" w:type="dxa"/>
            <w:shd w:val="clear" w:color="auto" w:fill="DBE5F1" w:themeFill="accent1" w:themeFillTint="33"/>
            <w:noWrap/>
            <w:hideMark/>
          </w:tcPr>
          <w:p w14:paraId="112A410A" w14:textId="77777777" w:rsidR="000A4055" w:rsidRPr="00CB5D45" w:rsidRDefault="000A4055" w:rsidP="00162D6E">
            <w:pPr>
              <w:jc w:val="right"/>
              <w:rPr>
                <w:rFonts w:ascii="Arial" w:hAnsi="Arial" w:cs="Arial"/>
                <w:sz w:val="17"/>
                <w:szCs w:val="17"/>
              </w:rPr>
            </w:pPr>
            <w:r w:rsidRPr="00CB5D45">
              <w:rPr>
                <w:rFonts w:ascii="Arial" w:hAnsi="Arial" w:cs="Arial"/>
                <w:sz w:val="17"/>
                <w:szCs w:val="17"/>
              </w:rPr>
              <w:t>4,157,698</w:t>
            </w:r>
          </w:p>
        </w:tc>
      </w:tr>
      <w:tr w:rsidR="000A4055" w:rsidRPr="00B30142" w14:paraId="46FC2FC2" w14:textId="77777777" w:rsidTr="00CB5D45">
        <w:trPr>
          <w:trHeight w:val="255"/>
        </w:trPr>
        <w:tc>
          <w:tcPr>
            <w:tcW w:w="1149" w:type="dxa"/>
            <w:shd w:val="clear" w:color="auto" w:fill="DBE5F1" w:themeFill="accent1" w:themeFillTint="33"/>
            <w:vAlign w:val="center"/>
            <w:hideMark/>
          </w:tcPr>
          <w:p w14:paraId="379940F7" w14:textId="77777777" w:rsidR="000A4055" w:rsidRPr="00CB5D45" w:rsidRDefault="000A4055" w:rsidP="00162D6E">
            <w:pPr>
              <w:rPr>
                <w:rFonts w:ascii="Arial" w:hAnsi="Arial" w:cs="Arial"/>
                <w:sz w:val="17"/>
                <w:szCs w:val="17"/>
              </w:rPr>
            </w:pPr>
            <w:r w:rsidRPr="00CB5D45">
              <w:rPr>
                <w:rFonts w:ascii="Arial" w:hAnsi="Arial" w:cs="Arial"/>
                <w:sz w:val="17"/>
                <w:szCs w:val="17"/>
              </w:rPr>
              <w:t>Farmland</w:t>
            </w:r>
          </w:p>
        </w:tc>
        <w:tc>
          <w:tcPr>
            <w:tcW w:w="1134" w:type="dxa"/>
            <w:shd w:val="clear" w:color="auto" w:fill="DBE5F1" w:themeFill="accent1" w:themeFillTint="33"/>
            <w:noWrap/>
            <w:hideMark/>
          </w:tcPr>
          <w:p w14:paraId="0D5E02E6" w14:textId="77777777" w:rsidR="000A4055" w:rsidRPr="00CB5D45" w:rsidRDefault="000A4055" w:rsidP="00162D6E">
            <w:pPr>
              <w:jc w:val="right"/>
              <w:rPr>
                <w:rFonts w:ascii="Arial" w:hAnsi="Arial" w:cs="Arial"/>
                <w:sz w:val="17"/>
                <w:szCs w:val="17"/>
              </w:rPr>
            </w:pPr>
            <w:r w:rsidRPr="00CB5D45">
              <w:rPr>
                <w:rFonts w:ascii="Arial" w:hAnsi="Arial" w:cs="Arial"/>
                <w:sz w:val="17"/>
                <w:szCs w:val="17"/>
              </w:rPr>
              <w:t>138</w:t>
            </w:r>
          </w:p>
        </w:tc>
        <w:tc>
          <w:tcPr>
            <w:tcW w:w="993" w:type="dxa"/>
            <w:shd w:val="clear" w:color="auto" w:fill="DBE5F1" w:themeFill="accent1" w:themeFillTint="33"/>
            <w:noWrap/>
            <w:hideMark/>
          </w:tcPr>
          <w:p w14:paraId="6AA1E9C0" w14:textId="77777777" w:rsidR="000A4055" w:rsidRPr="00CB5D45" w:rsidRDefault="000A4055" w:rsidP="00162D6E">
            <w:pPr>
              <w:jc w:val="right"/>
              <w:rPr>
                <w:rFonts w:ascii="Arial" w:hAnsi="Arial" w:cs="Arial"/>
                <w:sz w:val="17"/>
                <w:szCs w:val="17"/>
              </w:rPr>
            </w:pPr>
            <w:r w:rsidRPr="00CB5D45">
              <w:rPr>
                <w:rFonts w:ascii="Arial" w:hAnsi="Arial" w:cs="Arial"/>
                <w:sz w:val="17"/>
                <w:szCs w:val="17"/>
              </w:rPr>
              <w:t>0.384585</w:t>
            </w:r>
          </w:p>
        </w:tc>
        <w:tc>
          <w:tcPr>
            <w:tcW w:w="992" w:type="dxa"/>
            <w:shd w:val="clear" w:color="auto" w:fill="DBE5F1" w:themeFill="accent1" w:themeFillTint="33"/>
            <w:noWrap/>
            <w:hideMark/>
          </w:tcPr>
          <w:p w14:paraId="60914D6E" w14:textId="77777777" w:rsidR="000A4055" w:rsidRPr="00CB5D45" w:rsidRDefault="000A4055" w:rsidP="00162D6E">
            <w:pPr>
              <w:jc w:val="right"/>
              <w:rPr>
                <w:rFonts w:ascii="Arial" w:hAnsi="Arial" w:cs="Arial"/>
                <w:sz w:val="17"/>
                <w:szCs w:val="17"/>
              </w:rPr>
            </w:pPr>
            <w:r w:rsidRPr="00CB5D45">
              <w:rPr>
                <w:rFonts w:ascii="Arial" w:hAnsi="Arial" w:cs="Arial"/>
                <w:sz w:val="17"/>
                <w:szCs w:val="17"/>
              </w:rPr>
              <w:t>981.50</w:t>
            </w:r>
          </w:p>
        </w:tc>
        <w:tc>
          <w:tcPr>
            <w:tcW w:w="992" w:type="dxa"/>
            <w:shd w:val="clear" w:color="auto" w:fill="DBE5F1" w:themeFill="accent1" w:themeFillTint="33"/>
            <w:noWrap/>
            <w:hideMark/>
          </w:tcPr>
          <w:p w14:paraId="41545744" w14:textId="77777777" w:rsidR="000A4055" w:rsidRPr="00CB5D45" w:rsidRDefault="000A4055" w:rsidP="00162D6E">
            <w:pPr>
              <w:jc w:val="right"/>
              <w:rPr>
                <w:rFonts w:ascii="Arial" w:hAnsi="Arial" w:cs="Arial"/>
                <w:sz w:val="17"/>
                <w:szCs w:val="17"/>
              </w:rPr>
            </w:pPr>
            <w:r w:rsidRPr="00CB5D45">
              <w:rPr>
                <w:rFonts w:ascii="Arial" w:hAnsi="Arial" w:cs="Arial"/>
                <w:sz w:val="17"/>
                <w:szCs w:val="17"/>
              </w:rPr>
              <w:t>5</w:t>
            </w:r>
          </w:p>
        </w:tc>
        <w:tc>
          <w:tcPr>
            <w:tcW w:w="1418" w:type="dxa"/>
            <w:shd w:val="clear" w:color="auto" w:fill="DBE5F1" w:themeFill="accent1" w:themeFillTint="33"/>
            <w:noWrap/>
            <w:hideMark/>
          </w:tcPr>
          <w:p w14:paraId="5BA4B188" w14:textId="77777777" w:rsidR="000A4055" w:rsidRPr="00CB5D45" w:rsidRDefault="000A4055" w:rsidP="00162D6E">
            <w:pPr>
              <w:jc w:val="right"/>
              <w:rPr>
                <w:rFonts w:ascii="Arial" w:hAnsi="Arial" w:cs="Arial"/>
                <w:sz w:val="17"/>
                <w:szCs w:val="17"/>
              </w:rPr>
            </w:pPr>
            <w:r w:rsidRPr="00CB5D45">
              <w:rPr>
                <w:rFonts w:ascii="Arial" w:hAnsi="Arial" w:cs="Arial"/>
                <w:sz w:val="17"/>
                <w:szCs w:val="17"/>
              </w:rPr>
              <w:t>73,602,300</w:t>
            </w:r>
          </w:p>
        </w:tc>
        <w:tc>
          <w:tcPr>
            <w:tcW w:w="1275" w:type="dxa"/>
            <w:shd w:val="clear" w:color="auto" w:fill="DBE5F1" w:themeFill="accent1" w:themeFillTint="33"/>
            <w:noWrap/>
            <w:hideMark/>
          </w:tcPr>
          <w:p w14:paraId="583B827A" w14:textId="77777777" w:rsidR="000A4055" w:rsidRPr="00CB5D45" w:rsidRDefault="000A4055" w:rsidP="00162D6E">
            <w:pPr>
              <w:jc w:val="right"/>
              <w:rPr>
                <w:rFonts w:ascii="Arial" w:hAnsi="Arial" w:cs="Arial"/>
                <w:sz w:val="17"/>
                <w:szCs w:val="17"/>
              </w:rPr>
            </w:pPr>
            <w:r w:rsidRPr="00CB5D45">
              <w:rPr>
                <w:rFonts w:ascii="Arial" w:hAnsi="Arial" w:cs="Arial"/>
                <w:sz w:val="17"/>
                <w:szCs w:val="17"/>
              </w:rPr>
              <w:t>658,300</w:t>
            </w:r>
          </w:p>
        </w:tc>
        <w:tc>
          <w:tcPr>
            <w:tcW w:w="1134" w:type="dxa"/>
            <w:shd w:val="clear" w:color="auto" w:fill="DBE5F1" w:themeFill="accent1" w:themeFillTint="33"/>
            <w:noWrap/>
            <w:hideMark/>
          </w:tcPr>
          <w:p w14:paraId="7E095483" w14:textId="77777777" w:rsidR="000A4055" w:rsidRPr="00CB5D45" w:rsidRDefault="000A4055" w:rsidP="00162D6E">
            <w:pPr>
              <w:jc w:val="right"/>
              <w:rPr>
                <w:rFonts w:ascii="Arial" w:hAnsi="Arial" w:cs="Arial"/>
                <w:sz w:val="17"/>
                <w:szCs w:val="17"/>
              </w:rPr>
            </w:pPr>
            <w:r w:rsidRPr="00CB5D45">
              <w:rPr>
                <w:rFonts w:ascii="Arial" w:hAnsi="Arial" w:cs="Arial"/>
                <w:sz w:val="17"/>
                <w:szCs w:val="17"/>
              </w:rPr>
              <w:t>285,439</w:t>
            </w:r>
          </w:p>
        </w:tc>
      </w:tr>
      <w:tr w:rsidR="000A4055" w:rsidRPr="00B30142" w14:paraId="59D78C06" w14:textId="77777777" w:rsidTr="00CB5D45">
        <w:trPr>
          <w:trHeight w:val="255"/>
        </w:trPr>
        <w:tc>
          <w:tcPr>
            <w:tcW w:w="1149" w:type="dxa"/>
            <w:shd w:val="clear" w:color="auto" w:fill="DBE5F1" w:themeFill="accent1" w:themeFillTint="33"/>
            <w:noWrap/>
            <w:vAlign w:val="center"/>
            <w:hideMark/>
          </w:tcPr>
          <w:p w14:paraId="53C0FD37" w14:textId="77777777" w:rsidR="000A4055" w:rsidRPr="00CB5D45" w:rsidRDefault="000A4055" w:rsidP="00162D6E">
            <w:pPr>
              <w:rPr>
                <w:rFonts w:ascii="Arial" w:hAnsi="Arial" w:cs="Arial"/>
                <w:bCs/>
                <w:sz w:val="17"/>
                <w:szCs w:val="17"/>
              </w:rPr>
            </w:pPr>
            <w:r w:rsidRPr="00CB5D45">
              <w:rPr>
                <w:rFonts w:ascii="Arial" w:hAnsi="Arial" w:cs="Arial"/>
                <w:bCs/>
                <w:sz w:val="17"/>
                <w:szCs w:val="17"/>
              </w:rPr>
              <w:t> Mining</w:t>
            </w:r>
          </w:p>
        </w:tc>
        <w:tc>
          <w:tcPr>
            <w:tcW w:w="1134" w:type="dxa"/>
            <w:shd w:val="clear" w:color="auto" w:fill="DBE5F1" w:themeFill="accent1" w:themeFillTint="33"/>
            <w:noWrap/>
            <w:hideMark/>
          </w:tcPr>
          <w:p w14:paraId="2DBF1BB8" w14:textId="77777777" w:rsidR="000A4055" w:rsidRPr="00CB5D45" w:rsidRDefault="000A4055" w:rsidP="00162D6E">
            <w:pPr>
              <w:jc w:val="right"/>
              <w:rPr>
                <w:rFonts w:ascii="Arial" w:hAnsi="Arial" w:cs="Arial"/>
                <w:bCs/>
                <w:sz w:val="17"/>
                <w:szCs w:val="17"/>
              </w:rPr>
            </w:pPr>
            <w:r w:rsidRPr="00CB5D45">
              <w:rPr>
                <w:rFonts w:ascii="Arial" w:hAnsi="Arial" w:cs="Arial"/>
                <w:bCs/>
                <w:sz w:val="17"/>
                <w:szCs w:val="17"/>
              </w:rPr>
              <w:t>0</w:t>
            </w:r>
          </w:p>
        </w:tc>
        <w:tc>
          <w:tcPr>
            <w:tcW w:w="993" w:type="dxa"/>
            <w:shd w:val="clear" w:color="auto" w:fill="DBE5F1" w:themeFill="accent1" w:themeFillTint="33"/>
            <w:noWrap/>
            <w:hideMark/>
          </w:tcPr>
          <w:p w14:paraId="17973B89" w14:textId="77777777" w:rsidR="000A4055" w:rsidRPr="00CB5D45" w:rsidRDefault="000A4055" w:rsidP="00162D6E">
            <w:pPr>
              <w:jc w:val="right"/>
              <w:rPr>
                <w:rFonts w:ascii="Arial" w:hAnsi="Arial" w:cs="Arial"/>
                <w:bCs/>
                <w:sz w:val="17"/>
                <w:szCs w:val="17"/>
              </w:rPr>
            </w:pPr>
            <w:r w:rsidRPr="00CB5D45">
              <w:rPr>
                <w:rFonts w:ascii="Arial" w:hAnsi="Arial" w:cs="Arial"/>
                <w:bCs/>
                <w:sz w:val="17"/>
                <w:szCs w:val="17"/>
              </w:rPr>
              <w:t> </w:t>
            </w:r>
          </w:p>
        </w:tc>
        <w:tc>
          <w:tcPr>
            <w:tcW w:w="992" w:type="dxa"/>
            <w:shd w:val="clear" w:color="auto" w:fill="DBE5F1" w:themeFill="accent1" w:themeFillTint="33"/>
            <w:noWrap/>
            <w:hideMark/>
          </w:tcPr>
          <w:p w14:paraId="1FD3BA82" w14:textId="77777777" w:rsidR="000A4055" w:rsidRPr="00CB5D45" w:rsidRDefault="000A4055" w:rsidP="00162D6E">
            <w:pPr>
              <w:jc w:val="right"/>
              <w:rPr>
                <w:rFonts w:ascii="Arial" w:hAnsi="Arial" w:cs="Arial"/>
                <w:bCs/>
                <w:sz w:val="17"/>
                <w:szCs w:val="17"/>
              </w:rPr>
            </w:pPr>
            <w:r w:rsidRPr="00CB5D45">
              <w:rPr>
                <w:rFonts w:ascii="Arial" w:hAnsi="Arial" w:cs="Arial"/>
                <w:bCs/>
                <w:sz w:val="17"/>
                <w:szCs w:val="17"/>
              </w:rPr>
              <w:t> </w:t>
            </w:r>
            <w:r w:rsidRPr="00CB5D45">
              <w:rPr>
                <w:rFonts w:ascii="Arial" w:hAnsi="Arial" w:cs="Arial"/>
                <w:sz w:val="17"/>
                <w:szCs w:val="17"/>
              </w:rPr>
              <w:t>981.50</w:t>
            </w:r>
          </w:p>
        </w:tc>
        <w:tc>
          <w:tcPr>
            <w:tcW w:w="992" w:type="dxa"/>
            <w:shd w:val="clear" w:color="auto" w:fill="DBE5F1" w:themeFill="accent1" w:themeFillTint="33"/>
            <w:noWrap/>
            <w:hideMark/>
          </w:tcPr>
          <w:p w14:paraId="18A6C87F" w14:textId="77777777" w:rsidR="000A4055" w:rsidRPr="00CB5D45" w:rsidRDefault="000A4055" w:rsidP="00162D6E">
            <w:pPr>
              <w:jc w:val="right"/>
              <w:rPr>
                <w:rFonts w:ascii="Arial" w:hAnsi="Arial" w:cs="Arial"/>
                <w:bCs/>
                <w:sz w:val="17"/>
                <w:szCs w:val="17"/>
              </w:rPr>
            </w:pPr>
            <w:r w:rsidRPr="00CB5D45">
              <w:rPr>
                <w:rFonts w:ascii="Arial" w:hAnsi="Arial" w:cs="Arial"/>
                <w:bCs/>
                <w:sz w:val="17"/>
                <w:szCs w:val="17"/>
              </w:rPr>
              <w:t>0</w:t>
            </w:r>
          </w:p>
        </w:tc>
        <w:tc>
          <w:tcPr>
            <w:tcW w:w="1418" w:type="dxa"/>
            <w:shd w:val="clear" w:color="auto" w:fill="DBE5F1" w:themeFill="accent1" w:themeFillTint="33"/>
            <w:noWrap/>
            <w:hideMark/>
          </w:tcPr>
          <w:p w14:paraId="51667D9D" w14:textId="77777777" w:rsidR="000A4055" w:rsidRPr="00CB5D45" w:rsidRDefault="000A4055" w:rsidP="00162D6E">
            <w:pPr>
              <w:jc w:val="right"/>
              <w:rPr>
                <w:rFonts w:ascii="Arial" w:hAnsi="Arial" w:cs="Arial"/>
                <w:bCs/>
                <w:sz w:val="17"/>
                <w:szCs w:val="17"/>
              </w:rPr>
            </w:pPr>
            <w:r w:rsidRPr="00CB5D45">
              <w:rPr>
                <w:rFonts w:ascii="Arial" w:hAnsi="Arial" w:cs="Arial"/>
                <w:bCs/>
                <w:sz w:val="17"/>
                <w:szCs w:val="17"/>
              </w:rPr>
              <w:t>0</w:t>
            </w:r>
          </w:p>
        </w:tc>
        <w:tc>
          <w:tcPr>
            <w:tcW w:w="1275" w:type="dxa"/>
            <w:shd w:val="clear" w:color="auto" w:fill="DBE5F1" w:themeFill="accent1" w:themeFillTint="33"/>
            <w:noWrap/>
            <w:hideMark/>
          </w:tcPr>
          <w:p w14:paraId="63EDC2D4" w14:textId="77777777" w:rsidR="000A4055" w:rsidRPr="00CB5D45" w:rsidRDefault="000A4055" w:rsidP="00162D6E">
            <w:pPr>
              <w:jc w:val="right"/>
              <w:rPr>
                <w:rFonts w:ascii="Arial" w:hAnsi="Arial" w:cs="Arial"/>
                <w:bCs/>
                <w:sz w:val="17"/>
                <w:szCs w:val="17"/>
              </w:rPr>
            </w:pPr>
            <w:r w:rsidRPr="00CB5D45">
              <w:rPr>
                <w:rFonts w:ascii="Arial" w:hAnsi="Arial" w:cs="Arial"/>
                <w:bCs/>
                <w:sz w:val="17"/>
                <w:szCs w:val="17"/>
              </w:rPr>
              <w:t>0</w:t>
            </w:r>
          </w:p>
        </w:tc>
        <w:tc>
          <w:tcPr>
            <w:tcW w:w="1134" w:type="dxa"/>
            <w:shd w:val="clear" w:color="auto" w:fill="DBE5F1" w:themeFill="accent1" w:themeFillTint="33"/>
            <w:noWrap/>
            <w:hideMark/>
          </w:tcPr>
          <w:p w14:paraId="33583434" w14:textId="77777777" w:rsidR="000A4055" w:rsidRPr="00CB5D45" w:rsidRDefault="000A4055" w:rsidP="00162D6E">
            <w:pPr>
              <w:jc w:val="right"/>
              <w:rPr>
                <w:rFonts w:ascii="Arial" w:hAnsi="Arial" w:cs="Arial"/>
                <w:bCs/>
                <w:sz w:val="17"/>
                <w:szCs w:val="17"/>
              </w:rPr>
            </w:pPr>
            <w:r w:rsidRPr="00CB5D45">
              <w:rPr>
                <w:rFonts w:ascii="Arial" w:hAnsi="Arial" w:cs="Arial"/>
                <w:bCs/>
                <w:sz w:val="17"/>
                <w:szCs w:val="17"/>
              </w:rPr>
              <w:t>0</w:t>
            </w:r>
          </w:p>
        </w:tc>
      </w:tr>
      <w:tr w:rsidR="000A4055" w:rsidRPr="00B30142" w14:paraId="373733ED" w14:textId="77777777" w:rsidTr="00CB5D45">
        <w:trPr>
          <w:trHeight w:val="255"/>
        </w:trPr>
        <w:tc>
          <w:tcPr>
            <w:tcW w:w="1149" w:type="dxa"/>
            <w:shd w:val="clear" w:color="auto" w:fill="B8CCE4" w:themeFill="accent1" w:themeFillTint="66"/>
            <w:noWrap/>
            <w:vAlign w:val="center"/>
            <w:hideMark/>
          </w:tcPr>
          <w:p w14:paraId="3D23B9EA" w14:textId="77777777" w:rsidR="000A4055" w:rsidRPr="00CB5D45" w:rsidRDefault="000A4055" w:rsidP="00162D6E">
            <w:pPr>
              <w:rPr>
                <w:rFonts w:ascii="Arial" w:hAnsi="Arial" w:cs="Arial"/>
                <w:b/>
                <w:sz w:val="17"/>
                <w:szCs w:val="17"/>
              </w:rPr>
            </w:pPr>
            <w:r w:rsidRPr="00CB5D45">
              <w:rPr>
                <w:rFonts w:ascii="Arial" w:hAnsi="Arial" w:cs="Arial"/>
                <w:b/>
                <w:sz w:val="17"/>
                <w:szCs w:val="17"/>
              </w:rPr>
              <w:t> Total</w:t>
            </w:r>
          </w:p>
        </w:tc>
        <w:tc>
          <w:tcPr>
            <w:tcW w:w="1134" w:type="dxa"/>
            <w:shd w:val="clear" w:color="auto" w:fill="B8CCE4" w:themeFill="accent1" w:themeFillTint="66"/>
            <w:noWrap/>
            <w:hideMark/>
          </w:tcPr>
          <w:p w14:paraId="1EA029E4" w14:textId="77777777" w:rsidR="000A4055" w:rsidRPr="00CB5D45" w:rsidRDefault="000A4055" w:rsidP="00162D6E">
            <w:pPr>
              <w:jc w:val="right"/>
              <w:rPr>
                <w:rFonts w:ascii="Arial" w:hAnsi="Arial" w:cs="Arial"/>
                <w:b/>
                <w:sz w:val="17"/>
                <w:szCs w:val="17"/>
              </w:rPr>
            </w:pPr>
            <w:r w:rsidRPr="00CB5D45">
              <w:rPr>
                <w:rFonts w:ascii="Arial" w:hAnsi="Arial" w:cs="Arial"/>
                <w:b/>
                <w:sz w:val="17"/>
                <w:szCs w:val="17"/>
              </w:rPr>
              <w:t> </w:t>
            </w:r>
            <w:r w:rsidRPr="00CB5D45">
              <w:rPr>
                <w:rFonts w:ascii="Arial" w:hAnsi="Arial" w:cs="Arial"/>
                <w:b/>
                <w:sz w:val="17"/>
                <w:szCs w:val="17"/>
              </w:rPr>
              <w:fldChar w:fldCharType="begin"/>
            </w:r>
            <w:r w:rsidRPr="00CB5D45">
              <w:rPr>
                <w:rFonts w:ascii="Arial" w:hAnsi="Arial" w:cs="Arial"/>
                <w:b/>
                <w:sz w:val="17"/>
                <w:szCs w:val="17"/>
              </w:rPr>
              <w:instrText xml:space="preserve"> =SUM(ABOVE) </w:instrText>
            </w:r>
            <w:r w:rsidRPr="00CB5D45">
              <w:rPr>
                <w:rFonts w:ascii="Arial" w:hAnsi="Arial" w:cs="Arial"/>
                <w:b/>
                <w:sz w:val="17"/>
                <w:szCs w:val="17"/>
              </w:rPr>
              <w:fldChar w:fldCharType="separate"/>
            </w:r>
            <w:r w:rsidRPr="00CB5D45">
              <w:rPr>
                <w:rFonts w:ascii="Arial" w:hAnsi="Arial" w:cs="Arial"/>
                <w:b/>
                <w:noProof/>
                <w:sz w:val="17"/>
                <w:szCs w:val="17"/>
              </w:rPr>
              <w:t>35,767</w:t>
            </w:r>
            <w:r w:rsidRPr="00CB5D45">
              <w:rPr>
                <w:rFonts w:ascii="Arial" w:hAnsi="Arial" w:cs="Arial"/>
                <w:b/>
                <w:sz w:val="17"/>
                <w:szCs w:val="17"/>
              </w:rPr>
              <w:fldChar w:fldCharType="end"/>
            </w:r>
          </w:p>
        </w:tc>
        <w:tc>
          <w:tcPr>
            <w:tcW w:w="993" w:type="dxa"/>
            <w:shd w:val="clear" w:color="auto" w:fill="B8CCE4" w:themeFill="accent1" w:themeFillTint="66"/>
            <w:noWrap/>
            <w:hideMark/>
          </w:tcPr>
          <w:p w14:paraId="0173C82E" w14:textId="77777777" w:rsidR="000A4055" w:rsidRPr="00CB5D45" w:rsidRDefault="000A4055" w:rsidP="00162D6E">
            <w:pPr>
              <w:jc w:val="right"/>
              <w:rPr>
                <w:rFonts w:ascii="Arial" w:hAnsi="Arial" w:cs="Arial"/>
                <w:b/>
                <w:sz w:val="17"/>
                <w:szCs w:val="17"/>
              </w:rPr>
            </w:pPr>
            <w:r w:rsidRPr="00CB5D45">
              <w:rPr>
                <w:rFonts w:ascii="Arial" w:hAnsi="Arial" w:cs="Arial"/>
                <w:b/>
                <w:sz w:val="17"/>
                <w:szCs w:val="17"/>
              </w:rPr>
              <w:t> </w:t>
            </w:r>
          </w:p>
        </w:tc>
        <w:tc>
          <w:tcPr>
            <w:tcW w:w="992" w:type="dxa"/>
            <w:shd w:val="clear" w:color="auto" w:fill="B8CCE4" w:themeFill="accent1" w:themeFillTint="66"/>
            <w:noWrap/>
            <w:hideMark/>
          </w:tcPr>
          <w:p w14:paraId="51D3309A" w14:textId="77777777" w:rsidR="000A4055" w:rsidRPr="00CB5D45" w:rsidRDefault="000A4055" w:rsidP="00162D6E">
            <w:pPr>
              <w:jc w:val="right"/>
              <w:rPr>
                <w:rFonts w:ascii="Arial" w:hAnsi="Arial" w:cs="Arial"/>
                <w:b/>
                <w:sz w:val="17"/>
                <w:szCs w:val="17"/>
              </w:rPr>
            </w:pPr>
            <w:r w:rsidRPr="00CB5D45">
              <w:rPr>
                <w:rFonts w:ascii="Arial" w:hAnsi="Arial" w:cs="Arial"/>
                <w:b/>
                <w:sz w:val="17"/>
                <w:szCs w:val="17"/>
              </w:rPr>
              <w:t> </w:t>
            </w:r>
          </w:p>
        </w:tc>
        <w:tc>
          <w:tcPr>
            <w:tcW w:w="992" w:type="dxa"/>
            <w:shd w:val="clear" w:color="auto" w:fill="B8CCE4" w:themeFill="accent1" w:themeFillTint="66"/>
            <w:noWrap/>
            <w:hideMark/>
          </w:tcPr>
          <w:p w14:paraId="2DFC5E03" w14:textId="77777777" w:rsidR="000A4055" w:rsidRPr="00CB5D45" w:rsidRDefault="000A4055" w:rsidP="00162D6E">
            <w:pPr>
              <w:jc w:val="right"/>
              <w:rPr>
                <w:rFonts w:ascii="Arial" w:hAnsi="Arial" w:cs="Arial"/>
                <w:b/>
                <w:sz w:val="17"/>
                <w:szCs w:val="17"/>
              </w:rPr>
            </w:pPr>
            <w:r w:rsidRPr="00CB5D45">
              <w:rPr>
                <w:rFonts w:ascii="Arial" w:hAnsi="Arial" w:cs="Arial"/>
                <w:b/>
                <w:sz w:val="17"/>
                <w:szCs w:val="17"/>
              </w:rPr>
              <w:t> </w:t>
            </w:r>
            <w:r w:rsidRPr="00CB5D45">
              <w:rPr>
                <w:rFonts w:ascii="Arial" w:hAnsi="Arial" w:cs="Arial"/>
                <w:b/>
                <w:sz w:val="17"/>
                <w:szCs w:val="17"/>
              </w:rPr>
              <w:fldChar w:fldCharType="begin"/>
            </w:r>
            <w:r w:rsidRPr="00CB5D45">
              <w:rPr>
                <w:rFonts w:ascii="Arial" w:hAnsi="Arial" w:cs="Arial"/>
                <w:b/>
                <w:sz w:val="17"/>
                <w:szCs w:val="17"/>
              </w:rPr>
              <w:instrText xml:space="preserve"> =SUM(ABOVE) </w:instrText>
            </w:r>
            <w:r w:rsidRPr="00CB5D45">
              <w:rPr>
                <w:rFonts w:ascii="Arial" w:hAnsi="Arial" w:cs="Arial"/>
                <w:b/>
                <w:sz w:val="17"/>
                <w:szCs w:val="17"/>
              </w:rPr>
              <w:fldChar w:fldCharType="separate"/>
            </w:r>
            <w:r w:rsidRPr="00CB5D45">
              <w:rPr>
                <w:rFonts w:ascii="Arial" w:hAnsi="Arial" w:cs="Arial"/>
                <w:b/>
                <w:noProof/>
                <w:sz w:val="17"/>
                <w:szCs w:val="17"/>
              </w:rPr>
              <w:t>1,827</w:t>
            </w:r>
            <w:r w:rsidRPr="00CB5D45">
              <w:rPr>
                <w:rFonts w:ascii="Arial" w:hAnsi="Arial" w:cs="Arial"/>
                <w:b/>
                <w:sz w:val="17"/>
                <w:szCs w:val="17"/>
              </w:rPr>
              <w:fldChar w:fldCharType="end"/>
            </w:r>
          </w:p>
        </w:tc>
        <w:tc>
          <w:tcPr>
            <w:tcW w:w="1418" w:type="dxa"/>
            <w:shd w:val="clear" w:color="auto" w:fill="B8CCE4" w:themeFill="accent1" w:themeFillTint="66"/>
            <w:noWrap/>
            <w:hideMark/>
          </w:tcPr>
          <w:p w14:paraId="45AF64C4" w14:textId="77777777" w:rsidR="000A4055" w:rsidRPr="00CB5D45" w:rsidRDefault="000A4055" w:rsidP="00162D6E">
            <w:pPr>
              <w:jc w:val="right"/>
              <w:rPr>
                <w:rFonts w:ascii="Arial" w:hAnsi="Arial" w:cs="Arial"/>
                <w:b/>
                <w:sz w:val="17"/>
                <w:szCs w:val="17"/>
              </w:rPr>
            </w:pPr>
            <w:r w:rsidRPr="00CB5D45">
              <w:rPr>
                <w:rFonts w:ascii="Arial" w:hAnsi="Arial" w:cs="Arial"/>
                <w:b/>
                <w:sz w:val="17"/>
                <w:szCs w:val="17"/>
              </w:rPr>
              <w:t> </w:t>
            </w:r>
            <w:r w:rsidRPr="00CB5D45">
              <w:rPr>
                <w:rFonts w:ascii="Arial" w:hAnsi="Arial" w:cs="Arial"/>
                <w:b/>
                <w:sz w:val="17"/>
                <w:szCs w:val="17"/>
              </w:rPr>
              <w:fldChar w:fldCharType="begin"/>
            </w:r>
            <w:r w:rsidRPr="00CB5D45">
              <w:rPr>
                <w:rFonts w:ascii="Arial" w:hAnsi="Arial" w:cs="Arial"/>
                <w:b/>
                <w:sz w:val="17"/>
                <w:szCs w:val="17"/>
              </w:rPr>
              <w:instrText xml:space="preserve"> =SUM(ABOVE) </w:instrText>
            </w:r>
            <w:r w:rsidRPr="00CB5D45">
              <w:rPr>
                <w:rFonts w:ascii="Arial" w:hAnsi="Arial" w:cs="Arial"/>
                <w:b/>
                <w:sz w:val="17"/>
                <w:szCs w:val="17"/>
              </w:rPr>
              <w:fldChar w:fldCharType="separate"/>
            </w:r>
            <w:r w:rsidRPr="00CB5D45">
              <w:rPr>
                <w:rFonts w:ascii="Arial" w:hAnsi="Arial" w:cs="Arial"/>
                <w:b/>
                <w:noProof/>
                <w:sz w:val="17"/>
                <w:szCs w:val="17"/>
              </w:rPr>
              <w:t>8,103,539,230</w:t>
            </w:r>
            <w:r w:rsidRPr="00CB5D45">
              <w:rPr>
                <w:rFonts w:ascii="Arial" w:hAnsi="Arial" w:cs="Arial"/>
                <w:b/>
                <w:sz w:val="17"/>
                <w:szCs w:val="17"/>
              </w:rPr>
              <w:fldChar w:fldCharType="end"/>
            </w:r>
          </w:p>
        </w:tc>
        <w:tc>
          <w:tcPr>
            <w:tcW w:w="1275" w:type="dxa"/>
            <w:shd w:val="clear" w:color="auto" w:fill="B8CCE4" w:themeFill="accent1" w:themeFillTint="66"/>
            <w:noWrap/>
            <w:hideMark/>
          </w:tcPr>
          <w:p w14:paraId="74B99E93" w14:textId="77777777" w:rsidR="000A4055" w:rsidRPr="00CB5D45" w:rsidRDefault="000A4055" w:rsidP="00162D6E">
            <w:pPr>
              <w:jc w:val="right"/>
              <w:rPr>
                <w:rFonts w:ascii="Arial" w:hAnsi="Arial" w:cs="Arial"/>
                <w:b/>
                <w:sz w:val="17"/>
                <w:szCs w:val="17"/>
              </w:rPr>
            </w:pPr>
            <w:r w:rsidRPr="00CB5D45">
              <w:rPr>
                <w:rFonts w:ascii="Arial" w:hAnsi="Arial" w:cs="Arial"/>
                <w:b/>
                <w:sz w:val="17"/>
                <w:szCs w:val="17"/>
              </w:rPr>
              <w:t> </w:t>
            </w:r>
            <w:r w:rsidRPr="00CB5D45">
              <w:rPr>
                <w:rFonts w:ascii="Arial" w:hAnsi="Arial" w:cs="Arial"/>
                <w:b/>
                <w:sz w:val="17"/>
                <w:szCs w:val="17"/>
              </w:rPr>
              <w:fldChar w:fldCharType="begin"/>
            </w:r>
            <w:r w:rsidRPr="00CB5D45">
              <w:rPr>
                <w:rFonts w:ascii="Arial" w:hAnsi="Arial" w:cs="Arial"/>
                <w:b/>
                <w:sz w:val="17"/>
                <w:szCs w:val="17"/>
              </w:rPr>
              <w:instrText xml:space="preserve"> =SUM(ABOVE) </w:instrText>
            </w:r>
            <w:r w:rsidRPr="00CB5D45">
              <w:rPr>
                <w:rFonts w:ascii="Arial" w:hAnsi="Arial" w:cs="Arial"/>
                <w:b/>
                <w:sz w:val="17"/>
                <w:szCs w:val="17"/>
              </w:rPr>
              <w:fldChar w:fldCharType="separate"/>
            </w:r>
            <w:r w:rsidRPr="00CB5D45">
              <w:rPr>
                <w:rFonts w:ascii="Arial" w:hAnsi="Arial" w:cs="Arial"/>
                <w:b/>
                <w:noProof/>
                <w:sz w:val="17"/>
                <w:szCs w:val="17"/>
              </w:rPr>
              <w:t>103,262,931</w:t>
            </w:r>
            <w:r w:rsidRPr="00CB5D45">
              <w:rPr>
                <w:rFonts w:ascii="Arial" w:hAnsi="Arial" w:cs="Arial"/>
                <w:b/>
                <w:sz w:val="17"/>
                <w:szCs w:val="17"/>
              </w:rPr>
              <w:fldChar w:fldCharType="end"/>
            </w:r>
          </w:p>
        </w:tc>
        <w:tc>
          <w:tcPr>
            <w:tcW w:w="1134" w:type="dxa"/>
            <w:shd w:val="clear" w:color="auto" w:fill="B8CCE4" w:themeFill="accent1" w:themeFillTint="66"/>
            <w:noWrap/>
            <w:hideMark/>
          </w:tcPr>
          <w:p w14:paraId="10055269" w14:textId="77777777" w:rsidR="000A4055" w:rsidRPr="00CB5D45" w:rsidRDefault="000A4055" w:rsidP="00162D6E">
            <w:pPr>
              <w:jc w:val="right"/>
              <w:rPr>
                <w:rFonts w:ascii="Arial" w:hAnsi="Arial" w:cs="Arial"/>
                <w:b/>
                <w:sz w:val="17"/>
                <w:szCs w:val="17"/>
              </w:rPr>
            </w:pPr>
            <w:r w:rsidRPr="00CB5D45">
              <w:rPr>
                <w:rFonts w:ascii="Arial" w:hAnsi="Arial" w:cs="Arial"/>
                <w:b/>
                <w:sz w:val="17"/>
                <w:szCs w:val="17"/>
              </w:rPr>
              <w:t> </w:t>
            </w:r>
            <w:r w:rsidRPr="00CB5D45">
              <w:rPr>
                <w:rFonts w:ascii="Arial" w:hAnsi="Arial" w:cs="Arial"/>
                <w:b/>
                <w:sz w:val="17"/>
                <w:szCs w:val="17"/>
              </w:rPr>
              <w:fldChar w:fldCharType="begin"/>
            </w:r>
            <w:r w:rsidRPr="00CB5D45">
              <w:rPr>
                <w:rFonts w:ascii="Arial" w:hAnsi="Arial" w:cs="Arial"/>
                <w:b/>
                <w:sz w:val="17"/>
                <w:szCs w:val="17"/>
              </w:rPr>
              <w:instrText xml:space="preserve"> =SUM(ABOVE) </w:instrText>
            </w:r>
            <w:r w:rsidRPr="00CB5D45">
              <w:rPr>
                <w:rFonts w:ascii="Arial" w:hAnsi="Arial" w:cs="Arial"/>
                <w:b/>
                <w:sz w:val="17"/>
                <w:szCs w:val="17"/>
              </w:rPr>
              <w:fldChar w:fldCharType="separate"/>
            </w:r>
            <w:r w:rsidRPr="00CB5D45">
              <w:rPr>
                <w:rFonts w:ascii="Arial" w:hAnsi="Arial" w:cs="Arial"/>
                <w:b/>
                <w:noProof/>
                <w:sz w:val="17"/>
                <w:szCs w:val="17"/>
              </w:rPr>
              <w:t>49,438,780</w:t>
            </w:r>
            <w:r w:rsidRPr="00CB5D45">
              <w:rPr>
                <w:rFonts w:ascii="Arial" w:hAnsi="Arial" w:cs="Arial"/>
                <w:b/>
                <w:sz w:val="17"/>
                <w:szCs w:val="17"/>
              </w:rPr>
              <w:fldChar w:fldCharType="end"/>
            </w:r>
          </w:p>
        </w:tc>
      </w:tr>
    </w:tbl>
    <w:p w14:paraId="5BCFE443" w14:textId="77777777" w:rsidR="000A4055" w:rsidRDefault="000A4055" w:rsidP="00FF78B3">
      <w:pPr>
        <w:autoSpaceDE w:val="0"/>
        <w:autoSpaceDN w:val="0"/>
        <w:adjustRightInd w:val="0"/>
        <w:spacing w:before="240" w:line="276" w:lineRule="auto"/>
        <w:jc w:val="both"/>
        <w:rPr>
          <w:rFonts w:ascii="Arial" w:hAnsi="Arial" w:cs="Arial"/>
          <w:iCs/>
          <w:color w:val="000000"/>
          <w:sz w:val="20"/>
          <w:szCs w:val="20"/>
        </w:rPr>
      </w:pPr>
    </w:p>
    <w:p w14:paraId="5174BE06" w14:textId="77777777" w:rsidR="000A4055" w:rsidRPr="008035D0" w:rsidRDefault="000A4055" w:rsidP="00FF78B3">
      <w:pPr>
        <w:autoSpaceDE w:val="0"/>
        <w:autoSpaceDN w:val="0"/>
        <w:adjustRightInd w:val="0"/>
        <w:spacing w:line="276" w:lineRule="auto"/>
        <w:jc w:val="both"/>
        <w:rPr>
          <w:rFonts w:ascii="Arial" w:hAnsi="Arial" w:cs="Arial"/>
          <w:color w:val="000000"/>
          <w:sz w:val="20"/>
          <w:szCs w:val="20"/>
        </w:rPr>
      </w:pPr>
      <w:r w:rsidRPr="008035D0">
        <w:rPr>
          <w:rFonts w:ascii="Arial" w:hAnsi="Arial" w:cs="Arial"/>
          <w:color w:val="000000"/>
          <w:sz w:val="20"/>
          <w:szCs w:val="20"/>
        </w:rPr>
        <w:t xml:space="preserve">Prior to July 2012, the Council levied many different rates for different townships and sub-categories within the local government area. With 26 different ad valorem rates and significant inequities in rates between properties of similar value in different parts of the City, this structure was not simple, fair or broadly uniform, and therefore not compliant with the Local Government Act 1993. Following a two year period of extensive analysis and  review of feedback from community engagement with residential, business and farmland ratepayers, the Council resolved in June 2012 to implement a rating reform program. The implementation of this reform was phased and staged over a three year period (2012/13 to 2014/15) to ease the impact of any adjustments on ratepayers. </w:t>
      </w:r>
    </w:p>
    <w:p w14:paraId="06AAC44D" w14:textId="77777777" w:rsidR="000A4055" w:rsidRPr="008035D0" w:rsidRDefault="000A4055" w:rsidP="00FF78B3">
      <w:pPr>
        <w:autoSpaceDE w:val="0"/>
        <w:autoSpaceDN w:val="0"/>
        <w:adjustRightInd w:val="0"/>
        <w:spacing w:line="276" w:lineRule="auto"/>
        <w:jc w:val="both"/>
        <w:rPr>
          <w:rFonts w:ascii="Arial" w:hAnsi="Arial" w:cs="Arial"/>
          <w:color w:val="000000"/>
          <w:sz w:val="20"/>
          <w:szCs w:val="20"/>
        </w:rPr>
      </w:pPr>
    </w:p>
    <w:p w14:paraId="60396276" w14:textId="77777777" w:rsidR="000A4055" w:rsidRPr="008035D0" w:rsidRDefault="000A4055" w:rsidP="00FF78B3">
      <w:pPr>
        <w:autoSpaceDE w:val="0"/>
        <w:autoSpaceDN w:val="0"/>
        <w:adjustRightInd w:val="0"/>
        <w:spacing w:line="276" w:lineRule="auto"/>
        <w:jc w:val="both"/>
        <w:rPr>
          <w:rFonts w:ascii="Arial" w:hAnsi="Arial" w:cs="Arial"/>
          <w:color w:val="000000"/>
          <w:sz w:val="20"/>
          <w:szCs w:val="20"/>
        </w:rPr>
      </w:pPr>
      <w:r w:rsidRPr="008035D0">
        <w:rPr>
          <w:rFonts w:ascii="Arial" w:hAnsi="Arial" w:cs="Arial"/>
          <w:color w:val="000000"/>
          <w:sz w:val="20"/>
          <w:szCs w:val="20"/>
        </w:rPr>
        <w:t>The numerous rating sub-categories were removed for Residential and Business ratepayers, with each category now having a single ad valorem and minimum rate. No changes were made to the Farmland and Mining rating categories. The reform also involved a slight increase to the income raised by Business rates, and a corresponding decrease in the income raised by Residential rates, to reduce the impact of rate adjustments on residents and distribute the rating burden more equitably between Residential and Business ratepayers.</w:t>
      </w:r>
    </w:p>
    <w:p w14:paraId="14833451" w14:textId="77777777" w:rsidR="000A4055" w:rsidRPr="008035D0" w:rsidRDefault="000A4055" w:rsidP="00FF78B3">
      <w:pPr>
        <w:autoSpaceDE w:val="0"/>
        <w:autoSpaceDN w:val="0"/>
        <w:adjustRightInd w:val="0"/>
        <w:spacing w:line="276" w:lineRule="auto"/>
        <w:jc w:val="both"/>
        <w:rPr>
          <w:rFonts w:ascii="Arial" w:hAnsi="Arial" w:cs="Arial"/>
          <w:color w:val="000000"/>
          <w:sz w:val="20"/>
          <w:szCs w:val="20"/>
        </w:rPr>
      </w:pPr>
    </w:p>
    <w:p w14:paraId="087ACD0A" w14:textId="29B0E890" w:rsidR="000A4055" w:rsidRPr="008035D0" w:rsidRDefault="000A4055" w:rsidP="00FF78B3">
      <w:pPr>
        <w:autoSpaceDE w:val="0"/>
        <w:autoSpaceDN w:val="0"/>
        <w:adjustRightInd w:val="0"/>
        <w:spacing w:line="276" w:lineRule="auto"/>
        <w:jc w:val="both"/>
        <w:rPr>
          <w:rFonts w:ascii="Arial" w:hAnsi="Arial" w:cs="Arial"/>
          <w:color w:val="000000"/>
          <w:sz w:val="20"/>
          <w:szCs w:val="20"/>
        </w:rPr>
      </w:pPr>
      <w:r w:rsidRPr="008035D0">
        <w:rPr>
          <w:rFonts w:ascii="Arial" w:hAnsi="Arial" w:cs="Arial"/>
          <w:color w:val="000000"/>
          <w:sz w:val="20"/>
          <w:szCs w:val="20"/>
        </w:rPr>
        <w:t xml:space="preserve">Additionally, the reform resulted in a significant reduction in the minimum rate for most residential properties. This was in recognition that many of those with low residential land valuations are also socio-economically disadvantaged. In particular, the </w:t>
      </w:r>
      <w:r w:rsidR="00E93798">
        <w:rPr>
          <w:rFonts w:ascii="Arial" w:hAnsi="Arial" w:cs="Arial"/>
          <w:color w:val="000000"/>
          <w:sz w:val="20"/>
          <w:szCs w:val="20"/>
        </w:rPr>
        <w:t xml:space="preserve">higher minimum rate for residential </w:t>
      </w:r>
      <w:r w:rsidRPr="008035D0">
        <w:rPr>
          <w:rFonts w:ascii="Arial" w:hAnsi="Arial" w:cs="Arial"/>
          <w:color w:val="000000"/>
          <w:sz w:val="20"/>
          <w:szCs w:val="20"/>
        </w:rPr>
        <w:t>was redu</w:t>
      </w:r>
      <w:r w:rsidR="00E93798">
        <w:rPr>
          <w:rFonts w:ascii="Arial" w:hAnsi="Arial" w:cs="Arial"/>
          <w:color w:val="000000"/>
          <w:sz w:val="20"/>
          <w:szCs w:val="20"/>
        </w:rPr>
        <w:t>ced from $930.50 to $520.10. This</w:t>
      </w:r>
      <w:r w:rsidRPr="008035D0">
        <w:rPr>
          <w:rFonts w:ascii="Arial" w:hAnsi="Arial" w:cs="Arial"/>
          <w:color w:val="000000"/>
          <w:sz w:val="20"/>
          <w:szCs w:val="20"/>
        </w:rPr>
        <w:t xml:space="preserve"> decrease has lowered the rates payable for low land valuation properties and therefore has increased the capacity for these ratepayers to absorb </w:t>
      </w:r>
      <w:r w:rsidR="00E93798">
        <w:rPr>
          <w:rFonts w:ascii="Arial" w:hAnsi="Arial" w:cs="Arial"/>
          <w:color w:val="000000"/>
          <w:sz w:val="20"/>
          <w:szCs w:val="20"/>
        </w:rPr>
        <w:t xml:space="preserve">any </w:t>
      </w:r>
      <w:r w:rsidRPr="008035D0">
        <w:rPr>
          <w:rFonts w:ascii="Arial" w:hAnsi="Arial" w:cs="Arial"/>
          <w:color w:val="000000"/>
          <w:sz w:val="20"/>
          <w:szCs w:val="20"/>
        </w:rPr>
        <w:t>future rate rises. Further detail on the minimum rat</w:t>
      </w:r>
      <w:r w:rsidR="004C59FF">
        <w:rPr>
          <w:rFonts w:ascii="Arial" w:hAnsi="Arial" w:cs="Arial"/>
          <w:color w:val="000000"/>
          <w:sz w:val="20"/>
          <w:szCs w:val="20"/>
        </w:rPr>
        <w:t>es can be found in Section 5.1.3</w:t>
      </w:r>
      <w:r w:rsidRPr="008035D0">
        <w:rPr>
          <w:rFonts w:ascii="Arial" w:hAnsi="Arial" w:cs="Arial"/>
          <w:color w:val="000000"/>
          <w:sz w:val="20"/>
          <w:szCs w:val="20"/>
        </w:rPr>
        <w:t xml:space="preserve">. </w:t>
      </w:r>
    </w:p>
    <w:p w14:paraId="6A18A24A" w14:textId="77777777" w:rsidR="000A4055" w:rsidRPr="008035D0" w:rsidRDefault="000A4055" w:rsidP="00FF78B3">
      <w:pPr>
        <w:autoSpaceDE w:val="0"/>
        <w:autoSpaceDN w:val="0"/>
        <w:adjustRightInd w:val="0"/>
        <w:spacing w:line="276" w:lineRule="auto"/>
        <w:jc w:val="both"/>
        <w:rPr>
          <w:rFonts w:ascii="Arial" w:hAnsi="Arial" w:cs="Arial"/>
          <w:color w:val="000000"/>
          <w:sz w:val="20"/>
          <w:szCs w:val="20"/>
        </w:rPr>
      </w:pPr>
    </w:p>
    <w:p w14:paraId="4E16F0C9" w14:textId="77777777" w:rsidR="000A4055" w:rsidRPr="008035D0" w:rsidRDefault="000A4055" w:rsidP="00FF78B3">
      <w:pPr>
        <w:autoSpaceDE w:val="0"/>
        <w:autoSpaceDN w:val="0"/>
        <w:adjustRightInd w:val="0"/>
        <w:spacing w:line="276" w:lineRule="auto"/>
        <w:jc w:val="both"/>
        <w:rPr>
          <w:rFonts w:ascii="Arial" w:hAnsi="Arial" w:cs="Arial"/>
          <w:color w:val="000000"/>
          <w:sz w:val="20"/>
          <w:szCs w:val="20"/>
        </w:rPr>
      </w:pPr>
      <w:r w:rsidRPr="008035D0">
        <w:rPr>
          <w:rFonts w:ascii="Arial" w:hAnsi="Arial" w:cs="Arial"/>
          <w:color w:val="000000"/>
          <w:sz w:val="20"/>
          <w:szCs w:val="20"/>
        </w:rPr>
        <w:t xml:space="preserve">In summary, the reform has resulted in the current rating structure being simple, fair and broadly uniform, and compliant with the Local Government Act 1993. No further changes are proposed to the rating structure. </w:t>
      </w:r>
    </w:p>
    <w:p w14:paraId="61202B2E" w14:textId="77777777" w:rsidR="000A4055" w:rsidRPr="008035D0" w:rsidRDefault="000A4055" w:rsidP="00FF78B3">
      <w:pPr>
        <w:autoSpaceDE w:val="0"/>
        <w:autoSpaceDN w:val="0"/>
        <w:adjustRightInd w:val="0"/>
        <w:spacing w:line="276" w:lineRule="auto"/>
        <w:jc w:val="both"/>
        <w:rPr>
          <w:rFonts w:ascii="Arial" w:hAnsi="Arial" w:cs="Arial"/>
          <w:color w:val="000000"/>
          <w:sz w:val="20"/>
          <w:szCs w:val="20"/>
        </w:rPr>
      </w:pPr>
    </w:p>
    <w:p w14:paraId="2A256D96" w14:textId="4B706886" w:rsidR="000A4055" w:rsidRPr="008035D0" w:rsidRDefault="000A4055" w:rsidP="00FF78B3">
      <w:pPr>
        <w:autoSpaceDE w:val="0"/>
        <w:autoSpaceDN w:val="0"/>
        <w:adjustRightInd w:val="0"/>
        <w:spacing w:line="276" w:lineRule="auto"/>
        <w:jc w:val="both"/>
        <w:rPr>
          <w:rFonts w:ascii="Arial" w:hAnsi="Arial" w:cs="Arial"/>
          <w:color w:val="000000"/>
          <w:sz w:val="20"/>
          <w:szCs w:val="20"/>
        </w:rPr>
      </w:pPr>
      <w:r w:rsidRPr="008035D0">
        <w:rPr>
          <w:rFonts w:ascii="Arial" w:hAnsi="Arial" w:cs="Arial"/>
          <w:color w:val="000000"/>
          <w:sz w:val="20"/>
          <w:szCs w:val="20"/>
        </w:rPr>
        <w:t>Further detail</w:t>
      </w:r>
      <w:r w:rsidR="008035D0">
        <w:rPr>
          <w:rFonts w:ascii="Arial" w:hAnsi="Arial" w:cs="Arial"/>
          <w:color w:val="000000"/>
          <w:sz w:val="20"/>
          <w:szCs w:val="20"/>
        </w:rPr>
        <w:t>s</w:t>
      </w:r>
      <w:r w:rsidRPr="008035D0">
        <w:rPr>
          <w:rFonts w:ascii="Arial" w:hAnsi="Arial" w:cs="Arial"/>
          <w:color w:val="000000"/>
          <w:sz w:val="20"/>
          <w:szCs w:val="20"/>
        </w:rPr>
        <w:t xml:space="preserve"> on the proposed rating structure and the impact on rates </w:t>
      </w:r>
      <w:r w:rsidR="00CB5D45" w:rsidRPr="008035D0">
        <w:rPr>
          <w:rFonts w:ascii="Arial" w:hAnsi="Arial" w:cs="Arial"/>
          <w:color w:val="000000"/>
          <w:sz w:val="20"/>
          <w:szCs w:val="20"/>
        </w:rPr>
        <w:t>are</w:t>
      </w:r>
      <w:r w:rsidRPr="008035D0">
        <w:rPr>
          <w:rFonts w:ascii="Arial" w:hAnsi="Arial" w:cs="Arial"/>
          <w:color w:val="000000"/>
          <w:sz w:val="20"/>
          <w:szCs w:val="20"/>
        </w:rPr>
        <w:t xml:space="preserve"> contained in </w:t>
      </w:r>
      <w:r w:rsidRPr="001353CC">
        <w:rPr>
          <w:rFonts w:ascii="Arial" w:hAnsi="Arial" w:cs="Arial"/>
          <w:b/>
          <w:color w:val="000000"/>
          <w:sz w:val="20"/>
          <w:szCs w:val="20"/>
        </w:rPr>
        <w:t>Worksheet 5a and 5b of Part A</w:t>
      </w:r>
      <w:r w:rsidRPr="008035D0">
        <w:rPr>
          <w:rFonts w:ascii="Arial" w:hAnsi="Arial" w:cs="Arial"/>
          <w:color w:val="000000"/>
          <w:sz w:val="20"/>
          <w:szCs w:val="20"/>
        </w:rPr>
        <w:t xml:space="preserve"> of this application.</w:t>
      </w:r>
    </w:p>
    <w:p w14:paraId="78E9E037" w14:textId="77777777" w:rsidR="000A4055" w:rsidRDefault="000A4055" w:rsidP="00FF78B3">
      <w:pPr>
        <w:pStyle w:val="Heading3"/>
        <w:tabs>
          <w:tab w:val="num" w:pos="709"/>
        </w:tabs>
        <w:spacing w:line="276" w:lineRule="auto"/>
        <w:ind w:left="709"/>
      </w:pPr>
      <w:r>
        <w:t>Impact of proposed Special Variation on Rates</w:t>
      </w:r>
    </w:p>
    <w:p w14:paraId="3F4B9E2F" w14:textId="77777777" w:rsidR="000A4055" w:rsidRDefault="000A4055" w:rsidP="00FF78B3">
      <w:pPr>
        <w:autoSpaceDE w:val="0"/>
        <w:autoSpaceDN w:val="0"/>
        <w:adjustRightInd w:val="0"/>
        <w:spacing w:line="276" w:lineRule="auto"/>
        <w:jc w:val="both"/>
        <w:rPr>
          <w:rFonts w:ascii="Arial" w:hAnsi="Arial" w:cs="Arial"/>
          <w:color w:val="000000"/>
          <w:sz w:val="21"/>
          <w:szCs w:val="21"/>
        </w:rPr>
      </w:pPr>
    </w:p>
    <w:p w14:paraId="530042D2" w14:textId="052B1345" w:rsidR="000A4055" w:rsidRPr="008035D0" w:rsidRDefault="000A4055" w:rsidP="00FF78B3">
      <w:pPr>
        <w:autoSpaceDE w:val="0"/>
        <w:autoSpaceDN w:val="0"/>
        <w:adjustRightInd w:val="0"/>
        <w:spacing w:line="276" w:lineRule="auto"/>
        <w:jc w:val="both"/>
        <w:rPr>
          <w:rFonts w:ascii="Arial" w:hAnsi="Arial" w:cs="Arial"/>
          <w:color w:val="000000"/>
          <w:sz w:val="20"/>
          <w:szCs w:val="20"/>
        </w:rPr>
      </w:pPr>
      <w:r w:rsidRPr="008035D0">
        <w:rPr>
          <w:rFonts w:ascii="Arial" w:hAnsi="Arial" w:cs="Arial"/>
          <w:color w:val="000000"/>
          <w:sz w:val="20"/>
          <w:szCs w:val="20"/>
        </w:rPr>
        <w:t xml:space="preserve">The impact of the proposed special variation on average residential, business and farmland rates is outlined in the Council’s Supplementary Delivery Program (see </w:t>
      </w:r>
      <w:r w:rsidRPr="001353CC">
        <w:rPr>
          <w:rFonts w:ascii="Arial" w:hAnsi="Arial" w:cs="Arial"/>
          <w:b/>
          <w:color w:val="000000"/>
          <w:sz w:val="20"/>
          <w:szCs w:val="20"/>
        </w:rPr>
        <w:t>Attachment 2</w:t>
      </w:r>
      <w:r w:rsidRPr="008035D0">
        <w:rPr>
          <w:rFonts w:ascii="Arial" w:hAnsi="Arial" w:cs="Arial"/>
          <w:color w:val="000000"/>
          <w:sz w:val="20"/>
          <w:szCs w:val="20"/>
        </w:rPr>
        <w:t xml:space="preserve"> pages 51-58). This document also presents the Rates and Annual Charges statement for each funding option over the period of the proposed special variation (2015/16 to 2018/19). </w:t>
      </w:r>
    </w:p>
    <w:p w14:paraId="4C1052A5" w14:textId="77777777" w:rsidR="000A4055" w:rsidRPr="008035D0" w:rsidRDefault="000A4055" w:rsidP="00FF78B3">
      <w:pPr>
        <w:autoSpaceDE w:val="0"/>
        <w:autoSpaceDN w:val="0"/>
        <w:adjustRightInd w:val="0"/>
        <w:spacing w:line="276" w:lineRule="auto"/>
        <w:jc w:val="both"/>
        <w:rPr>
          <w:rFonts w:ascii="Arial" w:hAnsi="Arial" w:cs="Arial"/>
          <w:color w:val="000000"/>
          <w:sz w:val="20"/>
          <w:szCs w:val="20"/>
        </w:rPr>
      </w:pPr>
    </w:p>
    <w:p w14:paraId="293F7469" w14:textId="45000B62" w:rsidR="000A4055" w:rsidRPr="008035D0" w:rsidRDefault="000A4055" w:rsidP="00FF78B3">
      <w:pPr>
        <w:autoSpaceDE w:val="0"/>
        <w:autoSpaceDN w:val="0"/>
        <w:adjustRightInd w:val="0"/>
        <w:spacing w:line="276" w:lineRule="auto"/>
        <w:jc w:val="both"/>
        <w:rPr>
          <w:rFonts w:ascii="Arial" w:hAnsi="Arial" w:cs="Arial"/>
          <w:color w:val="000000"/>
          <w:sz w:val="20"/>
          <w:szCs w:val="20"/>
        </w:rPr>
      </w:pPr>
      <w:r w:rsidRPr="008035D0">
        <w:rPr>
          <w:rFonts w:ascii="Arial" w:hAnsi="Arial" w:cs="Arial"/>
          <w:color w:val="000000"/>
          <w:sz w:val="20"/>
          <w:szCs w:val="20"/>
        </w:rPr>
        <w:t xml:space="preserve">The impact of the proposed special variation on a range of Residential, Business and Farmland land values is also provided in </w:t>
      </w:r>
      <w:r w:rsidRPr="001353CC">
        <w:rPr>
          <w:rFonts w:ascii="Arial" w:hAnsi="Arial" w:cs="Arial"/>
          <w:b/>
          <w:color w:val="000000"/>
          <w:sz w:val="20"/>
          <w:szCs w:val="20"/>
        </w:rPr>
        <w:t>Attachment 5b</w:t>
      </w:r>
      <w:r w:rsidRPr="008035D0">
        <w:rPr>
          <w:rFonts w:ascii="Arial" w:hAnsi="Arial" w:cs="Arial"/>
          <w:color w:val="000000"/>
          <w:sz w:val="20"/>
          <w:szCs w:val="20"/>
        </w:rPr>
        <w:t xml:space="preserve"> (see Information Sheet 1 pages </w:t>
      </w:r>
      <w:r w:rsidR="003114B4">
        <w:rPr>
          <w:rFonts w:ascii="Arial" w:hAnsi="Arial" w:cs="Arial"/>
          <w:color w:val="000000"/>
          <w:sz w:val="20"/>
          <w:szCs w:val="20"/>
        </w:rPr>
        <w:t>18-20</w:t>
      </w:r>
      <w:r w:rsidRPr="008035D0">
        <w:rPr>
          <w:rFonts w:ascii="Arial" w:hAnsi="Arial" w:cs="Arial"/>
          <w:color w:val="000000"/>
          <w:sz w:val="20"/>
          <w:szCs w:val="20"/>
        </w:rPr>
        <w:t>).</w:t>
      </w:r>
    </w:p>
    <w:p w14:paraId="0261AC47" w14:textId="77777777" w:rsidR="000A4055" w:rsidRPr="008035D0" w:rsidRDefault="000A4055" w:rsidP="00FF78B3">
      <w:pPr>
        <w:autoSpaceDE w:val="0"/>
        <w:autoSpaceDN w:val="0"/>
        <w:adjustRightInd w:val="0"/>
        <w:spacing w:line="276" w:lineRule="auto"/>
        <w:jc w:val="both"/>
        <w:rPr>
          <w:rFonts w:ascii="Arial" w:hAnsi="Arial" w:cs="Arial"/>
          <w:color w:val="000000"/>
          <w:sz w:val="20"/>
          <w:szCs w:val="20"/>
        </w:rPr>
      </w:pPr>
    </w:p>
    <w:p w14:paraId="781AC1E2" w14:textId="1E38F6A8" w:rsidR="000A4055" w:rsidRPr="008035D0" w:rsidRDefault="000A4055" w:rsidP="00FF78B3">
      <w:pPr>
        <w:autoSpaceDE w:val="0"/>
        <w:autoSpaceDN w:val="0"/>
        <w:adjustRightInd w:val="0"/>
        <w:spacing w:line="276" w:lineRule="auto"/>
        <w:jc w:val="both"/>
        <w:rPr>
          <w:rFonts w:ascii="Arial" w:hAnsi="Arial" w:cs="Arial"/>
          <w:color w:val="000000"/>
          <w:sz w:val="20"/>
          <w:szCs w:val="20"/>
        </w:rPr>
      </w:pPr>
      <w:r w:rsidRPr="00AE4E46">
        <w:rPr>
          <w:rFonts w:ascii="Arial" w:hAnsi="Arial" w:cs="Arial"/>
          <w:b/>
          <w:color w:val="000000"/>
          <w:sz w:val="20"/>
          <w:szCs w:val="20"/>
        </w:rPr>
        <w:t>Table 5.2</w:t>
      </w:r>
      <w:r w:rsidRPr="008035D0">
        <w:rPr>
          <w:rFonts w:ascii="Arial" w:hAnsi="Arial" w:cs="Arial"/>
          <w:color w:val="000000"/>
          <w:sz w:val="20"/>
          <w:szCs w:val="20"/>
        </w:rPr>
        <w:t xml:space="preserve"> below</w:t>
      </w:r>
      <w:r w:rsidR="00721638">
        <w:rPr>
          <w:rFonts w:ascii="Arial" w:hAnsi="Arial" w:cs="Arial"/>
          <w:color w:val="000000"/>
          <w:sz w:val="20"/>
          <w:szCs w:val="20"/>
        </w:rPr>
        <w:t xml:space="preserve"> shows the annual increases</w:t>
      </w:r>
      <w:r w:rsidRPr="008035D0">
        <w:rPr>
          <w:rFonts w:ascii="Arial" w:hAnsi="Arial" w:cs="Arial"/>
          <w:color w:val="000000"/>
          <w:sz w:val="20"/>
          <w:szCs w:val="20"/>
        </w:rPr>
        <w:t xml:space="preserve"> </w:t>
      </w:r>
      <w:r w:rsidR="00721638">
        <w:rPr>
          <w:rFonts w:ascii="Arial" w:hAnsi="Arial" w:cs="Arial"/>
          <w:color w:val="000000"/>
          <w:sz w:val="20"/>
          <w:szCs w:val="20"/>
        </w:rPr>
        <w:t>in average rates over the four-year period of the special variation.</w:t>
      </w:r>
    </w:p>
    <w:p w14:paraId="358CEDBF" w14:textId="77777777" w:rsidR="000A4055" w:rsidRPr="00AD2D16" w:rsidRDefault="000A4055" w:rsidP="000A4055">
      <w:pPr>
        <w:pStyle w:val="BodyText"/>
        <w:rPr>
          <w:rFonts w:ascii="Arial" w:hAnsi="Arial" w:cs="Arial"/>
          <w:b/>
          <w:sz w:val="18"/>
          <w:szCs w:val="18"/>
        </w:rPr>
      </w:pPr>
      <w:r w:rsidRPr="00AD2D16">
        <w:rPr>
          <w:rFonts w:ascii="Arial" w:hAnsi="Arial" w:cs="Arial"/>
          <w:b/>
          <w:sz w:val="18"/>
          <w:szCs w:val="18"/>
        </w:rPr>
        <w:t>Table 5.2:  Annual Rate Increases with Proposed Special Variation (including Rate Peg)</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09"/>
        <w:gridCol w:w="1155"/>
        <w:gridCol w:w="1162"/>
        <w:gridCol w:w="1106"/>
        <w:gridCol w:w="992"/>
        <w:gridCol w:w="1681"/>
      </w:tblGrid>
      <w:tr w:rsidR="000A4055" w14:paraId="71C648FC" w14:textId="77777777" w:rsidTr="00555301">
        <w:tc>
          <w:tcPr>
            <w:tcW w:w="1809" w:type="dxa"/>
            <w:shd w:val="clear" w:color="auto" w:fill="4F81BD" w:themeFill="accent1"/>
            <w:vAlign w:val="center"/>
          </w:tcPr>
          <w:p w14:paraId="7A897F57" w14:textId="77777777" w:rsidR="000A4055" w:rsidRPr="00C502D7" w:rsidRDefault="000A4055" w:rsidP="00CB5D45">
            <w:pPr>
              <w:autoSpaceDE w:val="0"/>
              <w:autoSpaceDN w:val="0"/>
              <w:adjustRightInd w:val="0"/>
              <w:spacing w:line="276" w:lineRule="auto"/>
              <w:jc w:val="center"/>
              <w:rPr>
                <w:rFonts w:ascii="Arial" w:hAnsi="Arial" w:cs="Arial"/>
                <w:b/>
                <w:iCs/>
                <w:color w:val="FFFFFF" w:themeColor="background1"/>
                <w:sz w:val="20"/>
                <w:szCs w:val="20"/>
              </w:rPr>
            </w:pPr>
            <w:r w:rsidRPr="00C502D7">
              <w:rPr>
                <w:rFonts w:ascii="Arial" w:hAnsi="Arial" w:cs="Arial"/>
                <w:b/>
                <w:iCs/>
                <w:color w:val="FFFFFF" w:themeColor="background1"/>
                <w:sz w:val="20"/>
                <w:szCs w:val="20"/>
              </w:rPr>
              <w:t>Rating Category</w:t>
            </w:r>
          </w:p>
        </w:tc>
        <w:tc>
          <w:tcPr>
            <w:tcW w:w="1155" w:type="dxa"/>
            <w:shd w:val="clear" w:color="auto" w:fill="4F81BD" w:themeFill="accent1"/>
            <w:vAlign w:val="center"/>
          </w:tcPr>
          <w:p w14:paraId="07E72D56" w14:textId="77777777" w:rsidR="000A4055" w:rsidRPr="00C502D7" w:rsidRDefault="000A4055" w:rsidP="00CB5D45">
            <w:pPr>
              <w:autoSpaceDE w:val="0"/>
              <w:autoSpaceDN w:val="0"/>
              <w:adjustRightInd w:val="0"/>
              <w:spacing w:line="276" w:lineRule="auto"/>
              <w:jc w:val="center"/>
              <w:rPr>
                <w:rFonts w:ascii="Arial" w:hAnsi="Arial" w:cs="Arial"/>
                <w:b/>
                <w:iCs/>
                <w:color w:val="FFFFFF" w:themeColor="background1"/>
                <w:sz w:val="20"/>
                <w:szCs w:val="20"/>
              </w:rPr>
            </w:pPr>
            <w:r w:rsidRPr="00C502D7">
              <w:rPr>
                <w:rFonts w:ascii="Arial" w:hAnsi="Arial" w:cs="Arial"/>
                <w:b/>
                <w:iCs/>
                <w:color w:val="FFFFFF" w:themeColor="background1"/>
                <w:sz w:val="20"/>
                <w:szCs w:val="20"/>
              </w:rPr>
              <w:t>2015/16</w:t>
            </w:r>
          </w:p>
        </w:tc>
        <w:tc>
          <w:tcPr>
            <w:tcW w:w="1162" w:type="dxa"/>
            <w:shd w:val="clear" w:color="auto" w:fill="4F81BD" w:themeFill="accent1"/>
            <w:vAlign w:val="center"/>
          </w:tcPr>
          <w:p w14:paraId="4AC2F1F7" w14:textId="77777777" w:rsidR="000A4055" w:rsidRPr="00C502D7" w:rsidRDefault="000A4055" w:rsidP="00CB5D45">
            <w:pPr>
              <w:autoSpaceDE w:val="0"/>
              <w:autoSpaceDN w:val="0"/>
              <w:adjustRightInd w:val="0"/>
              <w:spacing w:line="276" w:lineRule="auto"/>
              <w:jc w:val="center"/>
              <w:rPr>
                <w:rFonts w:ascii="Arial" w:hAnsi="Arial" w:cs="Arial"/>
                <w:b/>
                <w:iCs/>
                <w:color w:val="FFFFFF" w:themeColor="background1"/>
                <w:sz w:val="20"/>
                <w:szCs w:val="20"/>
              </w:rPr>
            </w:pPr>
            <w:r w:rsidRPr="00C502D7">
              <w:rPr>
                <w:rFonts w:ascii="Arial" w:hAnsi="Arial" w:cs="Arial"/>
                <w:b/>
                <w:iCs/>
                <w:color w:val="FFFFFF" w:themeColor="background1"/>
                <w:sz w:val="20"/>
                <w:szCs w:val="20"/>
              </w:rPr>
              <w:t>2016/2017</w:t>
            </w:r>
          </w:p>
        </w:tc>
        <w:tc>
          <w:tcPr>
            <w:tcW w:w="1106" w:type="dxa"/>
            <w:shd w:val="clear" w:color="auto" w:fill="4F81BD" w:themeFill="accent1"/>
            <w:vAlign w:val="center"/>
          </w:tcPr>
          <w:p w14:paraId="33C973A3" w14:textId="77777777" w:rsidR="000A4055" w:rsidRPr="00C502D7" w:rsidRDefault="000A4055" w:rsidP="00CB5D45">
            <w:pPr>
              <w:autoSpaceDE w:val="0"/>
              <w:autoSpaceDN w:val="0"/>
              <w:adjustRightInd w:val="0"/>
              <w:spacing w:line="276" w:lineRule="auto"/>
              <w:jc w:val="center"/>
              <w:rPr>
                <w:rFonts w:ascii="Arial" w:hAnsi="Arial" w:cs="Arial"/>
                <w:b/>
                <w:iCs/>
                <w:color w:val="FFFFFF" w:themeColor="background1"/>
                <w:sz w:val="20"/>
                <w:szCs w:val="20"/>
              </w:rPr>
            </w:pPr>
            <w:r w:rsidRPr="00C502D7">
              <w:rPr>
                <w:rFonts w:ascii="Arial" w:hAnsi="Arial" w:cs="Arial"/>
                <w:b/>
                <w:iCs/>
                <w:color w:val="FFFFFF" w:themeColor="background1"/>
                <w:sz w:val="20"/>
                <w:szCs w:val="20"/>
              </w:rPr>
              <w:t>2017/18</w:t>
            </w:r>
          </w:p>
        </w:tc>
        <w:tc>
          <w:tcPr>
            <w:tcW w:w="992" w:type="dxa"/>
            <w:shd w:val="clear" w:color="auto" w:fill="4F81BD" w:themeFill="accent1"/>
            <w:vAlign w:val="center"/>
          </w:tcPr>
          <w:p w14:paraId="52660510" w14:textId="77777777" w:rsidR="000A4055" w:rsidRPr="00C502D7" w:rsidRDefault="000A4055" w:rsidP="00CB5D45">
            <w:pPr>
              <w:autoSpaceDE w:val="0"/>
              <w:autoSpaceDN w:val="0"/>
              <w:adjustRightInd w:val="0"/>
              <w:spacing w:line="276" w:lineRule="auto"/>
              <w:jc w:val="center"/>
              <w:rPr>
                <w:rFonts w:ascii="Arial" w:hAnsi="Arial" w:cs="Arial"/>
                <w:b/>
                <w:iCs/>
                <w:color w:val="FFFFFF" w:themeColor="background1"/>
                <w:sz w:val="20"/>
                <w:szCs w:val="20"/>
              </w:rPr>
            </w:pPr>
            <w:r w:rsidRPr="00C502D7">
              <w:rPr>
                <w:rFonts w:ascii="Arial" w:hAnsi="Arial" w:cs="Arial"/>
                <w:b/>
                <w:iCs/>
                <w:color w:val="FFFFFF" w:themeColor="background1"/>
                <w:sz w:val="20"/>
                <w:szCs w:val="20"/>
              </w:rPr>
              <w:t>2019/19</w:t>
            </w:r>
          </w:p>
        </w:tc>
        <w:tc>
          <w:tcPr>
            <w:tcW w:w="1681" w:type="dxa"/>
            <w:shd w:val="clear" w:color="auto" w:fill="4F81BD" w:themeFill="accent1"/>
            <w:vAlign w:val="center"/>
          </w:tcPr>
          <w:p w14:paraId="2EDD1047" w14:textId="77777777" w:rsidR="000A4055" w:rsidRPr="00C502D7" w:rsidRDefault="000A4055" w:rsidP="00CB5D45">
            <w:pPr>
              <w:autoSpaceDE w:val="0"/>
              <w:autoSpaceDN w:val="0"/>
              <w:adjustRightInd w:val="0"/>
              <w:spacing w:line="276" w:lineRule="auto"/>
              <w:jc w:val="center"/>
              <w:rPr>
                <w:rFonts w:ascii="Arial" w:hAnsi="Arial" w:cs="Arial"/>
                <w:b/>
                <w:iCs/>
                <w:color w:val="FFFFFF" w:themeColor="background1"/>
                <w:sz w:val="20"/>
                <w:szCs w:val="20"/>
              </w:rPr>
            </w:pPr>
            <w:r w:rsidRPr="00C502D7">
              <w:rPr>
                <w:rFonts w:ascii="Arial" w:hAnsi="Arial" w:cs="Arial"/>
                <w:b/>
                <w:iCs/>
                <w:color w:val="FFFFFF" w:themeColor="background1"/>
                <w:sz w:val="20"/>
                <w:szCs w:val="20"/>
              </w:rPr>
              <w:t>Total Increase over 4 years</w:t>
            </w:r>
          </w:p>
        </w:tc>
      </w:tr>
      <w:tr w:rsidR="000A4055" w14:paraId="765DA876" w14:textId="77777777" w:rsidTr="00555301">
        <w:tc>
          <w:tcPr>
            <w:tcW w:w="1809" w:type="dxa"/>
            <w:shd w:val="clear" w:color="auto" w:fill="DBE5F1" w:themeFill="accent1" w:themeFillTint="33"/>
          </w:tcPr>
          <w:p w14:paraId="5EEAD98A" w14:textId="77777777" w:rsidR="000A4055" w:rsidRPr="00C502D7" w:rsidRDefault="000A4055" w:rsidP="00162D6E">
            <w:pPr>
              <w:autoSpaceDE w:val="0"/>
              <w:autoSpaceDN w:val="0"/>
              <w:adjustRightInd w:val="0"/>
              <w:spacing w:line="276" w:lineRule="auto"/>
              <w:rPr>
                <w:rFonts w:ascii="Arial" w:hAnsi="Arial" w:cs="Arial"/>
                <w:b/>
                <w:iCs/>
                <w:color w:val="000000"/>
                <w:sz w:val="20"/>
                <w:szCs w:val="20"/>
              </w:rPr>
            </w:pPr>
            <w:r w:rsidRPr="00C502D7">
              <w:rPr>
                <w:rFonts w:ascii="Arial" w:hAnsi="Arial" w:cs="Arial"/>
                <w:b/>
                <w:iCs/>
                <w:color w:val="000000"/>
                <w:sz w:val="20"/>
                <w:szCs w:val="20"/>
              </w:rPr>
              <w:t>Residential</w:t>
            </w:r>
          </w:p>
        </w:tc>
        <w:tc>
          <w:tcPr>
            <w:tcW w:w="1155" w:type="dxa"/>
            <w:shd w:val="clear" w:color="auto" w:fill="DBE5F1" w:themeFill="accent1" w:themeFillTint="33"/>
          </w:tcPr>
          <w:p w14:paraId="72A875D8" w14:textId="77777777" w:rsidR="000A4055" w:rsidRDefault="000A4055" w:rsidP="00162D6E">
            <w:pPr>
              <w:autoSpaceDE w:val="0"/>
              <w:autoSpaceDN w:val="0"/>
              <w:adjustRightInd w:val="0"/>
              <w:spacing w:line="276" w:lineRule="auto"/>
              <w:jc w:val="right"/>
              <w:rPr>
                <w:rFonts w:ascii="Arial" w:hAnsi="Arial" w:cs="Arial"/>
                <w:iCs/>
                <w:color w:val="000000"/>
                <w:sz w:val="20"/>
                <w:szCs w:val="20"/>
              </w:rPr>
            </w:pPr>
            <w:r>
              <w:rPr>
                <w:rFonts w:ascii="Arial" w:hAnsi="Arial" w:cs="Arial"/>
                <w:iCs/>
                <w:color w:val="000000"/>
                <w:sz w:val="20"/>
                <w:szCs w:val="20"/>
              </w:rPr>
              <w:t>$38</w:t>
            </w:r>
          </w:p>
        </w:tc>
        <w:tc>
          <w:tcPr>
            <w:tcW w:w="1162" w:type="dxa"/>
            <w:shd w:val="clear" w:color="auto" w:fill="DBE5F1" w:themeFill="accent1" w:themeFillTint="33"/>
          </w:tcPr>
          <w:p w14:paraId="43BDE331" w14:textId="77777777" w:rsidR="000A4055" w:rsidRDefault="000A4055" w:rsidP="00162D6E">
            <w:pPr>
              <w:autoSpaceDE w:val="0"/>
              <w:autoSpaceDN w:val="0"/>
              <w:adjustRightInd w:val="0"/>
              <w:spacing w:line="276" w:lineRule="auto"/>
              <w:jc w:val="right"/>
              <w:rPr>
                <w:rFonts w:ascii="Arial" w:hAnsi="Arial" w:cs="Arial"/>
                <w:iCs/>
                <w:color w:val="000000"/>
                <w:sz w:val="20"/>
                <w:szCs w:val="20"/>
              </w:rPr>
            </w:pPr>
            <w:r>
              <w:rPr>
                <w:rFonts w:ascii="Arial" w:hAnsi="Arial" w:cs="Arial"/>
                <w:iCs/>
                <w:color w:val="000000"/>
                <w:sz w:val="20"/>
                <w:szCs w:val="20"/>
              </w:rPr>
              <w:t>$126</w:t>
            </w:r>
          </w:p>
        </w:tc>
        <w:tc>
          <w:tcPr>
            <w:tcW w:w="1106" w:type="dxa"/>
            <w:shd w:val="clear" w:color="auto" w:fill="DBE5F1" w:themeFill="accent1" w:themeFillTint="33"/>
          </w:tcPr>
          <w:p w14:paraId="66C1B513" w14:textId="77777777" w:rsidR="000A4055" w:rsidRDefault="000A4055" w:rsidP="00162D6E">
            <w:pPr>
              <w:autoSpaceDE w:val="0"/>
              <w:autoSpaceDN w:val="0"/>
              <w:adjustRightInd w:val="0"/>
              <w:spacing w:line="276" w:lineRule="auto"/>
              <w:jc w:val="right"/>
              <w:rPr>
                <w:rFonts w:ascii="Arial" w:hAnsi="Arial" w:cs="Arial"/>
                <w:iCs/>
                <w:color w:val="000000"/>
                <w:sz w:val="20"/>
                <w:szCs w:val="20"/>
              </w:rPr>
            </w:pPr>
            <w:r>
              <w:rPr>
                <w:rFonts w:ascii="Arial" w:hAnsi="Arial" w:cs="Arial"/>
                <w:iCs/>
                <w:color w:val="000000"/>
                <w:sz w:val="20"/>
                <w:szCs w:val="20"/>
              </w:rPr>
              <w:t>$138</w:t>
            </w:r>
          </w:p>
        </w:tc>
        <w:tc>
          <w:tcPr>
            <w:tcW w:w="992" w:type="dxa"/>
            <w:shd w:val="clear" w:color="auto" w:fill="DBE5F1" w:themeFill="accent1" w:themeFillTint="33"/>
          </w:tcPr>
          <w:p w14:paraId="304C97C8" w14:textId="77777777" w:rsidR="000A4055" w:rsidRDefault="000A4055" w:rsidP="00162D6E">
            <w:pPr>
              <w:autoSpaceDE w:val="0"/>
              <w:autoSpaceDN w:val="0"/>
              <w:adjustRightInd w:val="0"/>
              <w:spacing w:line="276" w:lineRule="auto"/>
              <w:jc w:val="right"/>
              <w:rPr>
                <w:rFonts w:ascii="Arial" w:hAnsi="Arial" w:cs="Arial"/>
                <w:iCs/>
                <w:color w:val="000000"/>
                <w:sz w:val="20"/>
                <w:szCs w:val="20"/>
              </w:rPr>
            </w:pPr>
            <w:r>
              <w:rPr>
                <w:rFonts w:ascii="Arial" w:hAnsi="Arial" w:cs="Arial"/>
                <w:iCs/>
                <w:color w:val="000000"/>
                <w:sz w:val="20"/>
                <w:szCs w:val="20"/>
              </w:rPr>
              <w:t>$151</w:t>
            </w:r>
          </w:p>
        </w:tc>
        <w:tc>
          <w:tcPr>
            <w:tcW w:w="1681" w:type="dxa"/>
            <w:shd w:val="clear" w:color="auto" w:fill="DBE5F1" w:themeFill="accent1" w:themeFillTint="33"/>
          </w:tcPr>
          <w:p w14:paraId="0567B37E" w14:textId="77777777" w:rsidR="000A4055" w:rsidRDefault="000A4055" w:rsidP="00162D6E">
            <w:pPr>
              <w:autoSpaceDE w:val="0"/>
              <w:autoSpaceDN w:val="0"/>
              <w:adjustRightInd w:val="0"/>
              <w:spacing w:line="276" w:lineRule="auto"/>
              <w:jc w:val="right"/>
              <w:rPr>
                <w:rFonts w:ascii="Arial" w:hAnsi="Arial" w:cs="Arial"/>
                <w:iCs/>
                <w:color w:val="000000"/>
                <w:sz w:val="20"/>
                <w:szCs w:val="20"/>
              </w:rPr>
            </w:pPr>
            <w:r>
              <w:rPr>
                <w:rFonts w:ascii="Arial" w:hAnsi="Arial" w:cs="Arial"/>
                <w:iCs/>
                <w:color w:val="000000"/>
                <w:sz w:val="20"/>
                <w:szCs w:val="20"/>
              </w:rPr>
              <w:t>$453</w:t>
            </w:r>
          </w:p>
        </w:tc>
      </w:tr>
      <w:tr w:rsidR="000A4055" w14:paraId="576EFA13" w14:textId="77777777" w:rsidTr="00555301">
        <w:tc>
          <w:tcPr>
            <w:tcW w:w="1809" w:type="dxa"/>
            <w:shd w:val="clear" w:color="auto" w:fill="DBE5F1" w:themeFill="accent1" w:themeFillTint="33"/>
          </w:tcPr>
          <w:p w14:paraId="02149FD9" w14:textId="77777777" w:rsidR="000A4055" w:rsidRPr="00C502D7" w:rsidRDefault="000A4055" w:rsidP="00162D6E">
            <w:pPr>
              <w:autoSpaceDE w:val="0"/>
              <w:autoSpaceDN w:val="0"/>
              <w:adjustRightInd w:val="0"/>
              <w:spacing w:line="276" w:lineRule="auto"/>
              <w:rPr>
                <w:rFonts w:ascii="Arial" w:hAnsi="Arial" w:cs="Arial"/>
                <w:b/>
                <w:iCs/>
                <w:color w:val="000000"/>
                <w:sz w:val="20"/>
                <w:szCs w:val="20"/>
              </w:rPr>
            </w:pPr>
            <w:r w:rsidRPr="00C502D7">
              <w:rPr>
                <w:rFonts w:ascii="Arial" w:hAnsi="Arial" w:cs="Arial"/>
                <w:b/>
                <w:iCs/>
                <w:color w:val="000000"/>
                <w:sz w:val="20"/>
                <w:szCs w:val="20"/>
              </w:rPr>
              <w:t>Business</w:t>
            </w:r>
          </w:p>
        </w:tc>
        <w:tc>
          <w:tcPr>
            <w:tcW w:w="1155" w:type="dxa"/>
            <w:shd w:val="clear" w:color="auto" w:fill="DBE5F1" w:themeFill="accent1" w:themeFillTint="33"/>
          </w:tcPr>
          <w:p w14:paraId="6C44E760" w14:textId="77777777" w:rsidR="000A4055" w:rsidRDefault="000A4055" w:rsidP="00162D6E">
            <w:pPr>
              <w:autoSpaceDE w:val="0"/>
              <w:autoSpaceDN w:val="0"/>
              <w:adjustRightInd w:val="0"/>
              <w:spacing w:line="276" w:lineRule="auto"/>
              <w:jc w:val="right"/>
              <w:rPr>
                <w:rFonts w:ascii="Arial" w:hAnsi="Arial" w:cs="Arial"/>
                <w:iCs/>
                <w:color w:val="000000"/>
                <w:sz w:val="20"/>
                <w:szCs w:val="20"/>
              </w:rPr>
            </w:pPr>
            <w:r>
              <w:rPr>
                <w:rFonts w:ascii="Arial" w:hAnsi="Arial" w:cs="Arial"/>
                <w:iCs/>
                <w:color w:val="000000"/>
                <w:sz w:val="20"/>
                <w:szCs w:val="20"/>
              </w:rPr>
              <w:t>$92</w:t>
            </w:r>
          </w:p>
        </w:tc>
        <w:tc>
          <w:tcPr>
            <w:tcW w:w="1162" w:type="dxa"/>
            <w:shd w:val="clear" w:color="auto" w:fill="DBE5F1" w:themeFill="accent1" w:themeFillTint="33"/>
          </w:tcPr>
          <w:p w14:paraId="2A6D39C7" w14:textId="77777777" w:rsidR="000A4055" w:rsidRDefault="000A4055" w:rsidP="00162D6E">
            <w:pPr>
              <w:autoSpaceDE w:val="0"/>
              <w:autoSpaceDN w:val="0"/>
              <w:adjustRightInd w:val="0"/>
              <w:spacing w:line="276" w:lineRule="auto"/>
              <w:jc w:val="right"/>
              <w:rPr>
                <w:rFonts w:ascii="Arial" w:hAnsi="Arial" w:cs="Arial"/>
                <w:iCs/>
                <w:color w:val="000000"/>
                <w:sz w:val="20"/>
                <w:szCs w:val="20"/>
              </w:rPr>
            </w:pPr>
            <w:r>
              <w:rPr>
                <w:rFonts w:ascii="Arial" w:hAnsi="Arial" w:cs="Arial"/>
                <w:iCs/>
                <w:color w:val="000000"/>
                <w:sz w:val="20"/>
                <w:szCs w:val="20"/>
              </w:rPr>
              <w:t>$303</w:t>
            </w:r>
          </w:p>
        </w:tc>
        <w:tc>
          <w:tcPr>
            <w:tcW w:w="1106" w:type="dxa"/>
            <w:shd w:val="clear" w:color="auto" w:fill="DBE5F1" w:themeFill="accent1" w:themeFillTint="33"/>
          </w:tcPr>
          <w:p w14:paraId="3B4E40EA" w14:textId="77777777" w:rsidR="000A4055" w:rsidRDefault="000A4055" w:rsidP="00162D6E">
            <w:pPr>
              <w:autoSpaceDE w:val="0"/>
              <w:autoSpaceDN w:val="0"/>
              <w:adjustRightInd w:val="0"/>
              <w:spacing w:line="276" w:lineRule="auto"/>
              <w:jc w:val="right"/>
              <w:rPr>
                <w:rFonts w:ascii="Arial" w:hAnsi="Arial" w:cs="Arial"/>
                <w:iCs/>
                <w:color w:val="000000"/>
                <w:sz w:val="20"/>
                <w:szCs w:val="20"/>
              </w:rPr>
            </w:pPr>
            <w:r>
              <w:rPr>
                <w:rFonts w:ascii="Arial" w:hAnsi="Arial" w:cs="Arial"/>
                <w:iCs/>
                <w:color w:val="000000"/>
                <w:sz w:val="20"/>
                <w:szCs w:val="20"/>
              </w:rPr>
              <w:t>$333</w:t>
            </w:r>
          </w:p>
        </w:tc>
        <w:tc>
          <w:tcPr>
            <w:tcW w:w="992" w:type="dxa"/>
            <w:shd w:val="clear" w:color="auto" w:fill="DBE5F1" w:themeFill="accent1" w:themeFillTint="33"/>
          </w:tcPr>
          <w:p w14:paraId="441D1EA2" w14:textId="77777777" w:rsidR="000A4055" w:rsidRDefault="000A4055" w:rsidP="00162D6E">
            <w:pPr>
              <w:autoSpaceDE w:val="0"/>
              <w:autoSpaceDN w:val="0"/>
              <w:adjustRightInd w:val="0"/>
              <w:spacing w:line="276" w:lineRule="auto"/>
              <w:jc w:val="right"/>
              <w:rPr>
                <w:rFonts w:ascii="Arial" w:hAnsi="Arial" w:cs="Arial"/>
                <w:iCs/>
                <w:color w:val="000000"/>
                <w:sz w:val="20"/>
                <w:szCs w:val="20"/>
              </w:rPr>
            </w:pPr>
            <w:r>
              <w:rPr>
                <w:rFonts w:ascii="Arial" w:hAnsi="Arial" w:cs="Arial"/>
                <w:iCs/>
                <w:color w:val="000000"/>
                <w:sz w:val="20"/>
                <w:szCs w:val="20"/>
              </w:rPr>
              <w:t>$365</w:t>
            </w:r>
          </w:p>
        </w:tc>
        <w:tc>
          <w:tcPr>
            <w:tcW w:w="1681" w:type="dxa"/>
            <w:shd w:val="clear" w:color="auto" w:fill="DBE5F1" w:themeFill="accent1" w:themeFillTint="33"/>
          </w:tcPr>
          <w:p w14:paraId="2C2D0D96" w14:textId="77777777" w:rsidR="000A4055" w:rsidRDefault="000A4055" w:rsidP="00162D6E">
            <w:pPr>
              <w:autoSpaceDE w:val="0"/>
              <w:autoSpaceDN w:val="0"/>
              <w:adjustRightInd w:val="0"/>
              <w:spacing w:line="276" w:lineRule="auto"/>
              <w:jc w:val="right"/>
              <w:rPr>
                <w:rFonts w:ascii="Arial" w:hAnsi="Arial" w:cs="Arial"/>
                <w:iCs/>
                <w:color w:val="000000"/>
                <w:sz w:val="20"/>
                <w:szCs w:val="20"/>
              </w:rPr>
            </w:pPr>
            <w:r>
              <w:rPr>
                <w:rFonts w:ascii="Arial" w:hAnsi="Arial" w:cs="Arial"/>
                <w:iCs/>
                <w:color w:val="000000"/>
                <w:sz w:val="20"/>
                <w:szCs w:val="20"/>
              </w:rPr>
              <w:t>$1,093</w:t>
            </w:r>
          </w:p>
        </w:tc>
      </w:tr>
      <w:tr w:rsidR="000A4055" w14:paraId="37ECE724" w14:textId="77777777" w:rsidTr="00555301">
        <w:tc>
          <w:tcPr>
            <w:tcW w:w="1809" w:type="dxa"/>
            <w:shd w:val="clear" w:color="auto" w:fill="DBE5F1" w:themeFill="accent1" w:themeFillTint="33"/>
          </w:tcPr>
          <w:p w14:paraId="577C88C9" w14:textId="77777777" w:rsidR="000A4055" w:rsidRPr="00C502D7" w:rsidRDefault="000A4055" w:rsidP="00162D6E">
            <w:pPr>
              <w:autoSpaceDE w:val="0"/>
              <w:autoSpaceDN w:val="0"/>
              <w:adjustRightInd w:val="0"/>
              <w:spacing w:line="276" w:lineRule="auto"/>
              <w:rPr>
                <w:rFonts w:ascii="Arial" w:hAnsi="Arial" w:cs="Arial"/>
                <w:b/>
                <w:iCs/>
                <w:color w:val="000000"/>
                <w:sz w:val="20"/>
                <w:szCs w:val="20"/>
              </w:rPr>
            </w:pPr>
            <w:r w:rsidRPr="00C502D7">
              <w:rPr>
                <w:rFonts w:ascii="Arial" w:hAnsi="Arial" w:cs="Arial"/>
                <w:b/>
                <w:iCs/>
                <w:color w:val="000000"/>
                <w:sz w:val="20"/>
                <w:szCs w:val="20"/>
              </w:rPr>
              <w:t>Farmland</w:t>
            </w:r>
          </w:p>
        </w:tc>
        <w:tc>
          <w:tcPr>
            <w:tcW w:w="1155" w:type="dxa"/>
            <w:shd w:val="clear" w:color="auto" w:fill="DBE5F1" w:themeFill="accent1" w:themeFillTint="33"/>
          </w:tcPr>
          <w:p w14:paraId="5F9877B6" w14:textId="77777777" w:rsidR="000A4055" w:rsidRDefault="000A4055" w:rsidP="00162D6E">
            <w:pPr>
              <w:autoSpaceDE w:val="0"/>
              <w:autoSpaceDN w:val="0"/>
              <w:adjustRightInd w:val="0"/>
              <w:spacing w:line="276" w:lineRule="auto"/>
              <w:jc w:val="right"/>
              <w:rPr>
                <w:rFonts w:ascii="Arial" w:hAnsi="Arial" w:cs="Arial"/>
                <w:iCs/>
                <w:color w:val="000000"/>
                <w:sz w:val="20"/>
                <w:szCs w:val="20"/>
              </w:rPr>
            </w:pPr>
            <w:r>
              <w:rPr>
                <w:rFonts w:ascii="Arial" w:hAnsi="Arial" w:cs="Arial"/>
                <w:iCs/>
                <w:color w:val="000000"/>
                <w:sz w:val="20"/>
                <w:szCs w:val="20"/>
              </w:rPr>
              <w:t>$60</w:t>
            </w:r>
          </w:p>
        </w:tc>
        <w:tc>
          <w:tcPr>
            <w:tcW w:w="1162" w:type="dxa"/>
            <w:shd w:val="clear" w:color="auto" w:fill="DBE5F1" w:themeFill="accent1" w:themeFillTint="33"/>
          </w:tcPr>
          <w:p w14:paraId="77356225" w14:textId="77777777" w:rsidR="000A4055" w:rsidRDefault="000A4055" w:rsidP="00162D6E">
            <w:pPr>
              <w:autoSpaceDE w:val="0"/>
              <w:autoSpaceDN w:val="0"/>
              <w:adjustRightInd w:val="0"/>
              <w:spacing w:line="276" w:lineRule="auto"/>
              <w:jc w:val="right"/>
              <w:rPr>
                <w:rFonts w:ascii="Arial" w:hAnsi="Arial" w:cs="Arial"/>
                <w:iCs/>
                <w:color w:val="000000"/>
                <w:sz w:val="20"/>
                <w:szCs w:val="20"/>
              </w:rPr>
            </w:pPr>
            <w:r>
              <w:rPr>
                <w:rFonts w:ascii="Arial" w:hAnsi="Arial" w:cs="Arial"/>
                <w:iCs/>
                <w:color w:val="000000"/>
                <w:sz w:val="20"/>
                <w:szCs w:val="20"/>
              </w:rPr>
              <w:t>$200</w:t>
            </w:r>
          </w:p>
        </w:tc>
        <w:tc>
          <w:tcPr>
            <w:tcW w:w="1106" w:type="dxa"/>
            <w:shd w:val="clear" w:color="auto" w:fill="DBE5F1" w:themeFill="accent1" w:themeFillTint="33"/>
          </w:tcPr>
          <w:p w14:paraId="56032E42" w14:textId="77777777" w:rsidR="000A4055" w:rsidRDefault="000A4055" w:rsidP="00162D6E">
            <w:pPr>
              <w:autoSpaceDE w:val="0"/>
              <w:autoSpaceDN w:val="0"/>
              <w:adjustRightInd w:val="0"/>
              <w:spacing w:line="276" w:lineRule="auto"/>
              <w:jc w:val="right"/>
              <w:rPr>
                <w:rFonts w:ascii="Arial" w:hAnsi="Arial" w:cs="Arial"/>
                <w:iCs/>
                <w:color w:val="000000"/>
                <w:sz w:val="20"/>
                <w:szCs w:val="20"/>
              </w:rPr>
            </w:pPr>
            <w:r>
              <w:rPr>
                <w:rFonts w:ascii="Arial" w:hAnsi="Arial" w:cs="Arial"/>
                <w:iCs/>
                <w:color w:val="000000"/>
                <w:sz w:val="20"/>
                <w:szCs w:val="20"/>
              </w:rPr>
              <w:t>$219</w:t>
            </w:r>
          </w:p>
        </w:tc>
        <w:tc>
          <w:tcPr>
            <w:tcW w:w="992" w:type="dxa"/>
            <w:shd w:val="clear" w:color="auto" w:fill="DBE5F1" w:themeFill="accent1" w:themeFillTint="33"/>
          </w:tcPr>
          <w:p w14:paraId="53128DBD" w14:textId="77777777" w:rsidR="000A4055" w:rsidRDefault="000A4055" w:rsidP="00162D6E">
            <w:pPr>
              <w:autoSpaceDE w:val="0"/>
              <w:autoSpaceDN w:val="0"/>
              <w:adjustRightInd w:val="0"/>
              <w:spacing w:line="276" w:lineRule="auto"/>
              <w:jc w:val="right"/>
              <w:rPr>
                <w:rFonts w:ascii="Arial" w:hAnsi="Arial" w:cs="Arial"/>
                <w:iCs/>
                <w:color w:val="000000"/>
                <w:sz w:val="20"/>
                <w:szCs w:val="20"/>
              </w:rPr>
            </w:pPr>
            <w:r>
              <w:rPr>
                <w:rFonts w:ascii="Arial" w:hAnsi="Arial" w:cs="Arial"/>
                <w:iCs/>
                <w:color w:val="000000"/>
                <w:sz w:val="20"/>
                <w:szCs w:val="20"/>
              </w:rPr>
              <w:t>$240</w:t>
            </w:r>
          </w:p>
        </w:tc>
        <w:tc>
          <w:tcPr>
            <w:tcW w:w="1681" w:type="dxa"/>
            <w:shd w:val="clear" w:color="auto" w:fill="DBE5F1" w:themeFill="accent1" w:themeFillTint="33"/>
          </w:tcPr>
          <w:p w14:paraId="09D47DDB" w14:textId="77777777" w:rsidR="000A4055" w:rsidRDefault="000A4055" w:rsidP="00162D6E">
            <w:pPr>
              <w:autoSpaceDE w:val="0"/>
              <w:autoSpaceDN w:val="0"/>
              <w:adjustRightInd w:val="0"/>
              <w:spacing w:line="276" w:lineRule="auto"/>
              <w:jc w:val="right"/>
              <w:rPr>
                <w:rFonts w:ascii="Arial" w:hAnsi="Arial" w:cs="Arial"/>
                <w:iCs/>
                <w:color w:val="000000"/>
                <w:sz w:val="20"/>
                <w:szCs w:val="20"/>
              </w:rPr>
            </w:pPr>
            <w:r>
              <w:rPr>
                <w:rFonts w:ascii="Arial" w:hAnsi="Arial" w:cs="Arial"/>
                <w:iCs/>
                <w:color w:val="000000"/>
                <w:sz w:val="20"/>
                <w:szCs w:val="20"/>
              </w:rPr>
              <w:t>$719</w:t>
            </w:r>
          </w:p>
        </w:tc>
      </w:tr>
    </w:tbl>
    <w:p w14:paraId="166C2CD8" w14:textId="77777777" w:rsidR="000A4055" w:rsidRPr="00E66B92" w:rsidRDefault="000A4055" w:rsidP="000A4055">
      <w:pPr>
        <w:pStyle w:val="Heading3"/>
        <w:tabs>
          <w:tab w:val="num" w:pos="709"/>
        </w:tabs>
        <w:ind w:left="709"/>
      </w:pPr>
      <w:r w:rsidRPr="00E66B92">
        <w:t>Minimum Rates</w:t>
      </w:r>
    </w:p>
    <w:p w14:paraId="4F010900" w14:textId="77777777" w:rsidR="000A4055" w:rsidRPr="00E66B92" w:rsidRDefault="000A4055" w:rsidP="000A4055">
      <w:pPr>
        <w:spacing w:before="240" w:line="360" w:lineRule="auto"/>
        <w:jc w:val="both"/>
        <w:rPr>
          <w:color w:val="548DD4" w:themeColor="text2" w:themeTint="99"/>
          <w:szCs w:val="21"/>
        </w:rPr>
      </w:pPr>
      <w:r w:rsidRPr="00E66B92">
        <w:rPr>
          <w:color w:val="548DD4" w:themeColor="text2" w:themeTint="99"/>
          <w:szCs w:val="21"/>
        </w:rPr>
        <w:t>The special variation may affect ordinary rates, special rates and/or minimum rates.</w:t>
      </w:r>
    </w:p>
    <w:p w14:paraId="75C3171E" w14:textId="77777777" w:rsidR="000A4055" w:rsidRPr="00E66B92" w:rsidRDefault="000A4055" w:rsidP="000A4055">
      <w:pPr>
        <w:spacing w:line="360" w:lineRule="auto"/>
        <w:jc w:val="both"/>
        <w:rPr>
          <w:color w:val="548DD4" w:themeColor="text2" w:themeTint="99"/>
          <w:szCs w:val="21"/>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1701"/>
        <w:gridCol w:w="1242"/>
      </w:tblGrid>
      <w:tr w:rsidR="000A4055" w:rsidRPr="00E66B92" w14:paraId="77F8C01B" w14:textId="77777777" w:rsidTr="00162D6E">
        <w:tc>
          <w:tcPr>
            <w:tcW w:w="5211" w:type="dxa"/>
          </w:tcPr>
          <w:p w14:paraId="585ADD19" w14:textId="77777777" w:rsidR="000A4055" w:rsidRPr="00E66B92" w:rsidRDefault="000A4055" w:rsidP="00162D6E">
            <w:pPr>
              <w:keepLines/>
              <w:spacing w:before="40" w:after="40"/>
              <w:rPr>
                <w:rFonts w:ascii="Arial" w:hAnsi="Arial"/>
                <w:sz w:val="19"/>
                <w:szCs w:val="19"/>
                <w:lang w:eastAsia="en-US"/>
              </w:rPr>
            </w:pPr>
            <w:r w:rsidRPr="00E66B92">
              <w:rPr>
                <w:rFonts w:ascii="Arial" w:hAnsi="Arial"/>
                <w:sz w:val="19"/>
                <w:szCs w:val="19"/>
                <w:lang w:eastAsia="en-US"/>
              </w:rPr>
              <w:t>Does the council have residential minimum rates?</w:t>
            </w:r>
          </w:p>
        </w:tc>
        <w:tc>
          <w:tcPr>
            <w:tcW w:w="1701" w:type="dxa"/>
          </w:tcPr>
          <w:p w14:paraId="30E0E405" w14:textId="77777777" w:rsidR="000A4055" w:rsidRPr="00E66B92" w:rsidRDefault="000A4055" w:rsidP="00162D6E">
            <w:pPr>
              <w:keepLines/>
              <w:spacing w:before="40" w:after="40"/>
              <w:rPr>
                <w:rFonts w:ascii="Arial" w:hAnsi="Arial"/>
                <w:sz w:val="19"/>
                <w:szCs w:val="19"/>
                <w:lang w:eastAsia="en-US"/>
              </w:rPr>
            </w:pPr>
            <w:r w:rsidRPr="00E66B92">
              <w:rPr>
                <w:rFonts w:ascii="Arial" w:hAnsi="Arial"/>
                <w:sz w:val="19"/>
                <w:szCs w:val="19"/>
                <w:lang w:eastAsia="en-US"/>
              </w:rPr>
              <w:t xml:space="preserve">Yes </w:t>
            </w:r>
            <w:r w:rsidRPr="00E66B92">
              <w:rPr>
                <w:rFonts w:ascii="Arial" w:hAnsi="Arial"/>
                <w:noProof/>
                <w:sz w:val="19"/>
                <w:szCs w:val="19"/>
              </w:rPr>
              <w:drawing>
                <wp:anchor distT="0" distB="0" distL="114300" distR="114300" simplePos="0" relativeHeight="251813888" behindDoc="1" locked="0" layoutInCell="1" allowOverlap="1" wp14:anchorId="35DF39F1" wp14:editId="4FBE966F">
                  <wp:simplePos x="0" y="0"/>
                  <wp:positionH relativeFrom="column">
                    <wp:posOffset>243840</wp:posOffset>
                  </wp:positionH>
                  <wp:positionV relativeFrom="paragraph">
                    <wp:posOffset>22225</wp:posOffset>
                  </wp:positionV>
                  <wp:extent cx="176530" cy="163195"/>
                  <wp:effectExtent l="0" t="0" r="0" b="8255"/>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PNG"/>
                          <pic:cNvPicPr/>
                        </pic:nvPicPr>
                        <pic:blipFill>
                          <a:blip r:embed="rId86" cstate="email">
                            <a:extLst>
                              <a:ext uri="{28A0092B-C50C-407E-A947-70E740481C1C}">
                                <a14:useLocalDpi xmlns:a14="http://schemas.microsoft.com/office/drawing/2010/main"/>
                              </a:ext>
                            </a:extLst>
                          </a:blip>
                          <a:stretch>
                            <a:fillRect/>
                          </a:stretch>
                        </pic:blipFill>
                        <pic:spPr>
                          <a:xfrm>
                            <a:off x="0" y="0"/>
                            <a:ext cx="176530" cy="163195"/>
                          </a:xfrm>
                          <a:prstGeom prst="rect">
                            <a:avLst/>
                          </a:prstGeom>
                        </pic:spPr>
                      </pic:pic>
                    </a:graphicData>
                  </a:graphic>
                  <wp14:sizeRelH relativeFrom="page">
                    <wp14:pctWidth>0</wp14:pctWidth>
                  </wp14:sizeRelH>
                  <wp14:sizeRelV relativeFrom="page">
                    <wp14:pctHeight>0</wp14:pctHeight>
                  </wp14:sizeRelV>
                </wp:anchor>
              </w:drawing>
            </w:r>
          </w:p>
        </w:tc>
        <w:tc>
          <w:tcPr>
            <w:tcW w:w="1242" w:type="dxa"/>
          </w:tcPr>
          <w:p w14:paraId="3E9868C9" w14:textId="77777777" w:rsidR="000A4055" w:rsidRPr="00E66B92" w:rsidRDefault="000A4055" w:rsidP="00162D6E">
            <w:pPr>
              <w:keepLines/>
              <w:spacing w:before="40" w:after="40"/>
              <w:rPr>
                <w:rFonts w:ascii="Myriad Pro" w:hAnsi="Myriad Pro"/>
                <w:sz w:val="24"/>
                <w:szCs w:val="19"/>
                <w:lang w:eastAsia="en-US"/>
              </w:rPr>
            </w:pPr>
            <w:r w:rsidRPr="00E66B92">
              <w:rPr>
                <w:rFonts w:ascii="Arial" w:hAnsi="Arial"/>
                <w:sz w:val="19"/>
                <w:szCs w:val="19"/>
                <w:lang w:eastAsia="en-US"/>
              </w:rPr>
              <w:t xml:space="preserve">No </w:t>
            </w:r>
            <w:r w:rsidRPr="00E66B92">
              <w:rPr>
                <w:rFonts w:ascii="Arial" w:hAnsi="Arial"/>
                <w:sz w:val="19"/>
                <w:szCs w:val="19"/>
                <w:lang w:eastAsia="en-US"/>
              </w:rPr>
              <w:fldChar w:fldCharType="begin">
                <w:ffData>
                  <w:name w:val="Check7"/>
                  <w:enabled/>
                  <w:calcOnExit w:val="0"/>
                  <w:checkBox>
                    <w:sizeAuto/>
                    <w:default w:val="0"/>
                  </w:checkBox>
                </w:ffData>
              </w:fldChar>
            </w:r>
            <w:r w:rsidRPr="00E66B92">
              <w:rPr>
                <w:rFonts w:ascii="Arial" w:hAnsi="Arial"/>
                <w:sz w:val="19"/>
                <w:szCs w:val="19"/>
                <w:lang w:eastAsia="en-US"/>
              </w:rPr>
              <w:instrText xml:space="preserve"> FORMCHECKBOX </w:instrText>
            </w:r>
            <w:r w:rsidR="004217BA">
              <w:rPr>
                <w:rFonts w:ascii="Arial" w:hAnsi="Arial"/>
                <w:sz w:val="19"/>
                <w:szCs w:val="19"/>
                <w:lang w:eastAsia="en-US"/>
              </w:rPr>
            </w:r>
            <w:r w:rsidR="004217BA">
              <w:rPr>
                <w:rFonts w:ascii="Arial" w:hAnsi="Arial"/>
                <w:sz w:val="19"/>
                <w:szCs w:val="19"/>
                <w:lang w:eastAsia="en-US"/>
              </w:rPr>
              <w:fldChar w:fldCharType="separate"/>
            </w:r>
            <w:r w:rsidRPr="00E66B92">
              <w:rPr>
                <w:rFonts w:ascii="Arial" w:hAnsi="Arial"/>
                <w:sz w:val="19"/>
                <w:szCs w:val="19"/>
                <w:lang w:eastAsia="en-US"/>
              </w:rPr>
              <w:fldChar w:fldCharType="end"/>
            </w:r>
          </w:p>
        </w:tc>
      </w:tr>
    </w:tbl>
    <w:p w14:paraId="1CEECAE4" w14:textId="77777777" w:rsidR="000A4055" w:rsidRPr="00E66B92" w:rsidRDefault="000A4055" w:rsidP="000A4055">
      <w:pPr>
        <w:keepLines/>
        <w:spacing w:before="40" w:after="40"/>
        <w:rPr>
          <w:rFonts w:ascii="Arial" w:hAnsi="Arial"/>
          <w:sz w:val="19"/>
          <w:szCs w:val="19"/>
          <w:lang w:eastAsia="en-US"/>
        </w:rPr>
      </w:pPr>
    </w:p>
    <w:p w14:paraId="0FEA42B4" w14:textId="77777777" w:rsidR="000A4055" w:rsidRPr="00E66B92" w:rsidRDefault="000A4055" w:rsidP="000A4055">
      <w:pPr>
        <w:keepLines/>
        <w:spacing w:before="40" w:after="40"/>
        <w:rPr>
          <w:rFonts w:ascii="Arial" w:hAnsi="Arial"/>
          <w:sz w:val="19"/>
          <w:szCs w:val="19"/>
          <w:lang w:eastAsia="en-US"/>
        </w:rPr>
      </w:pPr>
      <w:r w:rsidRPr="00E66B92">
        <w:rPr>
          <w:rFonts w:ascii="Arial" w:hAnsi="Arial"/>
          <w:sz w:val="19"/>
          <w:szCs w:val="19"/>
          <w:lang w:eastAsia="en-US"/>
        </w:rPr>
        <w:t xml:space="preserve">If </w:t>
      </w:r>
      <w:r w:rsidRPr="00E66B92">
        <w:rPr>
          <w:rFonts w:ascii="Arial" w:hAnsi="Arial"/>
          <w:i/>
          <w:sz w:val="19"/>
          <w:szCs w:val="19"/>
          <w:lang w:eastAsia="en-US"/>
        </w:rPr>
        <w:t>Yes</w:t>
      </w:r>
      <w:r w:rsidRPr="00E66B92">
        <w:rPr>
          <w:rFonts w:ascii="Arial" w:hAnsi="Arial"/>
          <w:sz w:val="19"/>
          <w:szCs w:val="19"/>
          <w:lang w:eastAsia="en-US"/>
        </w:rPr>
        <w:t>, Does the council propose to increase the minimum residential rate by:</w:t>
      </w:r>
    </w:p>
    <w:p w14:paraId="0F39DC9F" w14:textId="77777777" w:rsidR="000A4055" w:rsidRPr="00E66B92" w:rsidRDefault="000A4055" w:rsidP="000A4055">
      <w:pPr>
        <w:keepLines/>
        <w:spacing w:before="40" w:after="40"/>
        <w:ind w:firstLine="284"/>
        <w:rPr>
          <w:rFonts w:ascii="Arial" w:hAnsi="Arial"/>
          <w:sz w:val="19"/>
          <w:szCs w:val="19"/>
          <w:lang w:eastAsia="en-US"/>
        </w:rPr>
      </w:pPr>
      <w:r w:rsidRPr="00E66B92">
        <w:rPr>
          <w:rFonts w:ascii="Arial" w:hAnsi="Arial"/>
          <w:noProof/>
          <w:sz w:val="19"/>
          <w:szCs w:val="19"/>
        </w:rPr>
        <w:drawing>
          <wp:anchor distT="0" distB="0" distL="114300" distR="114300" simplePos="0" relativeHeight="251814912" behindDoc="1" locked="0" layoutInCell="1" allowOverlap="1" wp14:anchorId="5D9E0FE4" wp14:editId="13D4896E">
            <wp:simplePos x="0" y="0"/>
            <wp:positionH relativeFrom="column">
              <wp:posOffset>1957521</wp:posOffset>
            </wp:positionH>
            <wp:positionV relativeFrom="paragraph">
              <wp:posOffset>149860</wp:posOffset>
            </wp:positionV>
            <wp:extent cx="170180" cy="165100"/>
            <wp:effectExtent l="0" t="0" r="1270" b="635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PNG"/>
                    <pic:cNvPicPr/>
                  </pic:nvPicPr>
                  <pic:blipFill>
                    <a:blip r:embed="rId87" cstate="email">
                      <a:extLst>
                        <a:ext uri="{28A0092B-C50C-407E-A947-70E740481C1C}">
                          <a14:useLocalDpi xmlns:a14="http://schemas.microsoft.com/office/drawing/2010/main"/>
                        </a:ext>
                      </a:extLst>
                    </a:blip>
                    <a:stretch>
                      <a:fillRect/>
                    </a:stretch>
                  </pic:blipFill>
                  <pic:spPr>
                    <a:xfrm>
                      <a:off x="0" y="0"/>
                      <a:ext cx="170180" cy="165100"/>
                    </a:xfrm>
                    <a:prstGeom prst="rect">
                      <a:avLst/>
                    </a:prstGeom>
                  </pic:spPr>
                </pic:pic>
              </a:graphicData>
            </a:graphic>
            <wp14:sizeRelH relativeFrom="page">
              <wp14:pctWidth>0</wp14:pctWidth>
            </wp14:sizeRelH>
            <wp14:sizeRelV relativeFrom="page">
              <wp14:pctHeight>0</wp14:pctHeight>
            </wp14:sizeRelV>
          </wp:anchor>
        </w:drawing>
      </w:r>
      <w:r w:rsidRPr="00E66B92">
        <w:rPr>
          <w:rFonts w:ascii="Arial" w:hAnsi="Arial"/>
          <w:sz w:val="19"/>
          <w:szCs w:val="19"/>
          <w:lang w:eastAsia="en-US"/>
        </w:rPr>
        <w:t xml:space="preserve">The rate peg percentage  </w:t>
      </w:r>
      <w:r w:rsidRPr="00E66B92">
        <w:rPr>
          <w:rFonts w:ascii="Arial" w:hAnsi="Arial"/>
          <w:sz w:val="19"/>
          <w:szCs w:val="19"/>
          <w:lang w:eastAsia="en-US"/>
        </w:rPr>
        <w:fldChar w:fldCharType="begin">
          <w:ffData>
            <w:name w:val="Check6"/>
            <w:enabled/>
            <w:calcOnExit w:val="0"/>
            <w:checkBox>
              <w:sizeAuto/>
              <w:default w:val="0"/>
            </w:checkBox>
          </w:ffData>
        </w:fldChar>
      </w:r>
      <w:r w:rsidRPr="00E66B92">
        <w:rPr>
          <w:rFonts w:ascii="Arial" w:hAnsi="Arial"/>
          <w:sz w:val="19"/>
          <w:szCs w:val="19"/>
          <w:lang w:eastAsia="en-US"/>
        </w:rPr>
        <w:instrText xml:space="preserve"> FORMCHECKBOX </w:instrText>
      </w:r>
      <w:r w:rsidR="004217BA">
        <w:rPr>
          <w:rFonts w:ascii="Arial" w:hAnsi="Arial"/>
          <w:sz w:val="19"/>
          <w:szCs w:val="19"/>
          <w:lang w:eastAsia="en-US"/>
        </w:rPr>
      </w:r>
      <w:r w:rsidR="004217BA">
        <w:rPr>
          <w:rFonts w:ascii="Arial" w:hAnsi="Arial"/>
          <w:sz w:val="19"/>
          <w:szCs w:val="19"/>
          <w:lang w:eastAsia="en-US"/>
        </w:rPr>
        <w:fldChar w:fldCharType="separate"/>
      </w:r>
      <w:r w:rsidRPr="00E66B92">
        <w:rPr>
          <w:rFonts w:ascii="Arial" w:hAnsi="Arial"/>
          <w:sz w:val="19"/>
          <w:szCs w:val="19"/>
          <w:lang w:eastAsia="en-US"/>
        </w:rPr>
        <w:fldChar w:fldCharType="end"/>
      </w:r>
      <w:r w:rsidRPr="00E66B92">
        <w:rPr>
          <w:rFonts w:ascii="Arial" w:hAnsi="Arial"/>
          <w:sz w:val="19"/>
          <w:szCs w:val="19"/>
          <w:lang w:eastAsia="en-US"/>
        </w:rPr>
        <w:t xml:space="preserve">   </w:t>
      </w:r>
    </w:p>
    <w:p w14:paraId="39D1739D" w14:textId="77777777" w:rsidR="000A4055" w:rsidRPr="00E66B92" w:rsidRDefault="000A4055" w:rsidP="000A4055">
      <w:pPr>
        <w:keepLines/>
        <w:spacing w:before="40" w:after="40"/>
        <w:ind w:firstLine="284"/>
        <w:rPr>
          <w:rFonts w:ascii="Arial" w:hAnsi="Arial"/>
          <w:sz w:val="19"/>
          <w:szCs w:val="19"/>
          <w:lang w:eastAsia="en-US"/>
        </w:rPr>
      </w:pPr>
      <w:r w:rsidRPr="00E66B92">
        <w:rPr>
          <w:rFonts w:ascii="Arial" w:hAnsi="Arial"/>
          <w:sz w:val="19"/>
          <w:szCs w:val="19"/>
          <w:lang w:eastAsia="en-US"/>
        </w:rPr>
        <w:t xml:space="preserve">The special variation percentage </w:t>
      </w:r>
    </w:p>
    <w:p w14:paraId="334D1C30" w14:textId="77777777" w:rsidR="000A4055" w:rsidRPr="00E66B92" w:rsidRDefault="000A4055" w:rsidP="000A4055">
      <w:pPr>
        <w:keepLines/>
        <w:spacing w:before="40" w:after="40"/>
        <w:ind w:firstLine="284"/>
        <w:rPr>
          <w:rFonts w:ascii="Arial" w:hAnsi="Arial"/>
          <w:sz w:val="19"/>
          <w:szCs w:val="19"/>
          <w:lang w:eastAsia="en-US"/>
        </w:rPr>
      </w:pPr>
      <w:r w:rsidRPr="00E66B92">
        <w:rPr>
          <w:rFonts w:ascii="Arial" w:hAnsi="Arial"/>
          <w:sz w:val="19"/>
          <w:szCs w:val="19"/>
          <w:lang w:eastAsia="en-US"/>
        </w:rPr>
        <w:t xml:space="preserve">Another amount  </w:t>
      </w:r>
      <w:r w:rsidRPr="00E66B92">
        <w:rPr>
          <w:rFonts w:ascii="Arial" w:hAnsi="Arial"/>
          <w:sz w:val="19"/>
          <w:szCs w:val="19"/>
          <w:lang w:eastAsia="en-US"/>
        </w:rPr>
        <w:fldChar w:fldCharType="begin">
          <w:ffData>
            <w:name w:val="Check6"/>
            <w:enabled/>
            <w:calcOnExit w:val="0"/>
            <w:checkBox>
              <w:sizeAuto/>
              <w:default w:val="0"/>
            </w:checkBox>
          </w:ffData>
        </w:fldChar>
      </w:r>
      <w:r w:rsidRPr="00E66B92">
        <w:rPr>
          <w:rFonts w:ascii="Arial" w:hAnsi="Arial"/>
          <w:sz w:val="19"/>
          <w:szCs w:val="19"/>
          <w:lang w:eastAsia="en-US"/>
        </w:rPr>
        <w:instrText xml:space="preserve"> FORMCHECKBOX </w:instrText>
      </w:r>
      <w:r w:rsidR="004217BA">
        <w:rPr>
          <w:rFonts w:ascii="Arial" w:hAnsi="Arial"/>
          <w:sz w:val="19"/>
          <w:szCs w:val="19"/>
          <w:lang w:eastAsia="en-US"/>
        </w:rPr>
      </w:r>
      <w:r w:rsidR="004217BA">
        <w:rPr>
          <w:rFonts w:ascii="Arial" w:hAnsi="Arial"/>
          <w:sz w:val="19"/>
          <w:szCs w:val="19"/>
          <w:lang w:eastAsia="en-US"/>
        </w:rPr>
        <w:fldChar w:fldCharType="separate"/>
      </w:r>
      <w:r w:rsidRPr="00E66B92">
        <w:rPr>
          <w:rFonts w:ascii="Arial" w:hAnsi="Arial"/>
          <w:sz w:val="19"/>
          <w:szCs w:val="19"/>
          <w:lang w:eastAsia="en-US"/>
        </w:rPr>
        <w:fldChar w:fldCharType="end"/>
      </w:r>
      <w:r w:rsidRPr="00E66B92">
        <w:rPr>
          <w:rFonts w:ascii="Arial" w:hAnsi="Arial"/>
          <w:sz w:val="19"/>
          <w:szCs w:val="19"/>
          <w:lang w:eastAsia="en-US"/>
        </w:rPr>
        <w:t xml:space="preserve">   Indicate this amount _____________</w:t>
      </w:r>
    </w:p>
    <w:p w14:paraId="303F2239" w14:textId="77777777" w:rsidR="000A4055" w:rsidRPr="00E66B92" w:rsidRDefault="000A4055" w:rsidP="000A4055">
      <w:pPr>
        <w:keepLines/>
        <w:spacing w:before="40" w:after="40"/>
        <w:rPr>
          <w:rFonts w:ascii="Arial" w:hAnsi="Arial"/>
          <w:sz w:val="19"/>
          <w:szCs w:val="19"/>
          <w:lang w:eastAsia="en-US"/>
        </w:rPr>
      </w:pPr>
    </w:p>
    <w:p w14:paraId="0110B4CF" w14:textId="77777777" w:rsidR="000A4055" w:rsidRPr="00E66B92" w:rsidRDefault="000A4055" w:rsidP="000A4055">
      <w:pPr>
        <w:keepLines/>
        <w:spacing w:before="40" w:after="40"/>
        <w:rPr>
          <w:rFonts w:ascii="Arial" w:hAnsi="Arial"/>
          <w:sz w:val="19"/>
          <w:szCs w:val="19"/>
          <w:lang w:eastAsia="en-US"/>
        </w:rPr>
      </w:pPr>
      <w:r w:rsidRPr="00E66B92">
        <w:rPr>
          <w:rFonts w:ascii="Arial" w:hAnsi="Arial"/>
          <w:sz w:val="19"/>
          <w:szCs w:val="19"/>
          <w:lang w:eastAsia="en-US"/>
        </w:rPr>
        <w:t xml:space="preserve">What will the residential minimum rate be after the increase?  </w:t>
      </w:r>
      <w:r w:rsidRPr="00E66B92">
        <w:rPr>
          <w:rFonts w:ascii="Arial" w:hAnsi="Arial"/>
          <w:sz w:val="19"/>
          <w:szCs w:val="19"/>
          <w:lang w:eastAsia="en-US"/>
        </w:rPr>
        <w:tab/>
      </w:r>
      <w:r>
        <w:rPr>
          <w:rFonts w:ascii="Arial" w:hAnsi="Arial"/>
          <w:sz w:val="19"/>
          <w:szCs w:val="19"/>
          <w:lang w:eastAsia="en-US"/>
        </w:rPr>
        <w:tab/>
      </w:r>
      <w:r w:rsidRPr="00E66B92">
        <w:rPr>
          <w:rFonts w:ascii="Arial" w:hAnsi="Arial"/>
          <w:sz w:val="19"/>
          <w:szCs w:val="19"/>
          <w:lang w:eastAsia="en-US"/>
        </w:rPr>
        <w:t>$536.30 for 2015/16</w:t>
      </w:r>
    </w:p>
    <w:p w14:paraId="78F52357" w14:textId="77777777" w:rsidR="000A4055" w:rsidRPr="00E66B92" w:rsidRDefault="000A4055" w:rsidP="000A4055">
      <w:pPr>
        <w:keepLines/>
        <w:spacing w:before="40" w:after="40"/>
        <w:rPr>
          <w:rFonts w:ascii="Arial" w:hAnsi="Arial"/>
          <w:sz w:val="19"/>
          <w:szCs w:val="19"/>
          <w:lang w:eastAsia="en-US"/>
        </w:rPr>
      </w:pPr>
      <w:r w:rsidRPr="00E66B92">
        <w:rPr>
          <w:rFonts w:ascii="Arial" w:hAnsi="Arial"/>
          <w:sz w:val="19"/>
          <w:szCs w:val="19"/>
          <w:lang w:eastAsia="en-US"/>
        </w:rPr>
        <w:tab/>
      </w:r>
      <w:r w:rsidRPr="00E66B92">
        <w:rPr>
          <w:rFonts w:ascii="Arial" w:hAnsi="Arial"/>
          <w:sz w:val="19"/>
          <w:szCs w:val="19"/>
          <w:lang w:eastAsia="en-US"/>
        </w:rPr>
        <w:tab/>
      </w:r>
      <w:r w:rsidRPr="00E66B92">
        <w:rPr>
          <w:rFonts w:ascii="Arial" w:hAnsi="Arial"/>
          <w:sz w:val="19"/>
          <w:szCs w:val="19"/>
          <w:lang w:eastAsia="en-US"/>
        </w:rPr>
        <w:tab/>
      </w:r>
      <w:r w:rsidRPr="00E66B92">
        <w:rPr>
          <w:rFonts w:ascii="Arial" w:hAnsi="Arial"/>
          <w:sz w:val="19"/>
          <w:szCs w:val="19"/>
          <w:lang w:eastAsia="en-US"/>
        </w:rPr>
        <w:tab/>
      </w:r>
      <w:r w:rsidRPr="00E66B92">
        <w:rPr>
          <w:rFonts w:ascii="Arial" w:hAnsi="Arial"/>
          <w:sz w:val="19"/>
          <w:szCs w:val="19"/>
          <w:lang w:eastAsia="en-US"/>
        </w:rPr>
        <w:tab/>
      </w:r>
      <w:r w:rsidRPr="00E66B92">
        <w:rPr>
          <w:rFonts w:ascii="Arial" w:hAnsi="Arial"/>
          <w:sz w:val="19"/>
          <w:szCs w:val="19"/>
          <w:lang w:eastAsia="en-US"/>
        </w:rPr>
        <w:tab/>
      </w:r>
      <w:r w:rsidRPr="00E66B92">
        <w:rPr>
          <w:rFonts w:ascii="Arial" w:hAnsi="Arial"/>
          <w:sz w:val="19"/>
          <w:szCs w:val="19"/>
          <w:lang w:eastAsia="en-US"/>
        </w:rPr>
        <w:tab/>
      </w:r>
      <w:r w:rsidRPr="00E66B92">
        <w:rPr>
          <w:rFonts w:ascii="Arial" w:hAnsi="Arial"/>
          <w:sz w:val="19"/>
          <w:szCs w:val="19"/>
          <w:lang w:eastAsia="en-US"/>
        </w:rPr>
        <w:tab/>
      </w:r>
      <w:r w:rsidRPr="00E66B92">
        <w:rPr>
          <w:rFonts w:ascii="Arial" w:hAnsi="Arial"/>
          <w:sz w:val="19"/>
          <w:szCs w:val="19"/>
          <w:lang w:eastAsia="en-US"/>
        </w:rPr>
        <w:tab/>
      </w:r>
      <w:r w:rsidRPr="00E66B92">
        <w:rPr>
          <w:rFonts w:ascii="Arial" w:hAnsi="Arial"/>
          <w:sz w:val="19"/>
          <w:szCs w:val="19"/>
          <w:lang w:eastAsia="en-US"/>
        </w:rPr>
        <w:tab/>
      </w:r>
      <w:r w:rsidRPr="00E66B92">
        <w:rPr>
          <w:rFonts w:ascii="Arial" w:hAnsi="Arial"/>
          <w:sz w:val="19"/>
          <w:szCs w:val="19"/>
          <w:lang w:eastAsia="en-US"/>
        </w:rPr>
        <w:tab/>
      </w:r>
      <w:r w:rsidRPr="00E66B92">
        <w:rPr>
          <w:rFonts w:ascii="Arial" w:hAnsi="Arial"/>
          <w:sz w:val="19"/>
          <w:szCs w:val="19"/>
          <w:lang w:eastAsia="en-US"/>
        </w:rPr>
        <w:tab/>
      </w:r>
      <w:r w:rsidRPr="00E66B92">
        <w:rPr>
          <w:rFonts w:ascii="Arial" w:hAnsi="Arial"/>
          <w:sz w:val="19"/>
          <w:szCs w:val="19"/>
          <w:lang w:eastAsia="en-US"/>
        </w:rPr>
        <w:tab/>
      </w:r>
      <w:r w:rsidRPr="00E66B92">
        <w:rPr>
          <w:rFonts w:ascii="Arial" w:hAnsi="Arial"/>
          <w:sz w:val="19"/>
          <w:szCs w:val="19"/>
          <w:lang w:eastAsia="en-US"/>
        </w:rPr>
        <w:tab/>
      </w:r>
      <w:r w:rsidRPr="00E66B92">
        <w:rPr>
          <w:rFonts w:ascii="Arial" w:hAnsi="Arial"/>
          <w:sz w:val="19"/>
          <w:szCs w:val="19"/>
          <w:lang w:eastAsia="en-US"/>
        </w:rPr>
        <w:tab/>
      </w:r>
      <w:r w:rsidRPr="00E66B92">
        <w:rPr>
          <w:rFonts w:ascii="Arial" w:hAnsi="Arial"/>
          <w:sz w:val="19"/>
          <w:szCs w:val="19"/>
          <w:lang w:eastAsia="en-US"/>
        </w:rPr>
        <w:tab/>
      </w:r>
      <w:r w:rsidRPr="00E66B92">
        <w:rPr>
          <w:rFonts w:ascii="Arial" w:hAnsi="Arial"/>
          <w:sz w:val="19"/>
          <w:szCs w:val="19"/>
          <w:lang w:eastAsia="en-US"/>
        </w:rPr>
        <w:tab/>
      </w:r>
      <w:r w:rsidRPr="00E66B92">
        <w:rPr>
          <w:rFonts w:ascii="Arial" w:hAnsi="Arial"/>
          <w:sz w:val="19"/>
          <w:szCs w:val="19"/>
          <w:lang w:eastAsia="en-US"/>
        </w:rPr>
        <w:tab/>
      </w:r>
      <w:r w:rsidRPr="00E66B92">
        <w:rPr>
          <w:rFonts w:ascii="Arial" w:hAnsi="Arial"/>
          <w:sz w:val="19"/>
          <w:szCs w:val="19"/>
          <w:lang w:eastAsia="en-US"/>
        </w:rPr>
        <w:tab/>
      </w:r>
      <w:r>
        <w:rPr>
          <w:rFonts w:ascii="Arial" w:hAnsi="Arial"/>
          <w:sz w:val="19"/>
          <w:szCs w:val="19"/>
          <w:lang w:eastAsia="en-US"/>
        </w:rPr>
        <w:tab/>
      </w:r>
      <w:r w:rsidRPr="00E66B92">
        <w:rPr>
          <w:rFonts w:ascii="Arial" w:hAnsi="Arial"/>
          <w:sz w:val="19"/>
          <w:szCs w:val="19"/>
          <w:lang w:eastAsia="en-US"/>
        </w:rPr>
        <w:t>$587.75 for 2016/17</w:t>
      </w:r>
    </w:p>
    <w:p w14:paraId="6F59BF02" w14:textId="77777777" w:rsidR="000A4055" w:rsidRPr="00E66B92" w:rsidRDefault="000A4055" w:rsidP="000A4055">
      <w:pPr>
        <w:keepLines/>
        <w:spacing w:before="40" w:after="40"/>
        <w:rPr>
          <w:rFonts w:ascii="Arial" w:hAnsi="Arial"/>
          <w:sz w:val="19"/>
          <w:szCs w:val="19"/>
          <w:lang w:eastAsia="en-US"/>
        </w:rPr>
      </w:pPr>
      <w:r w:rsidRPr="00E66B92">
        <w:rPr>
          <w:rFonts w:ascii="Arial" w:hAnsi="Arial"/>
          <w:sz w:val="19"/>
          <w:szCs w:val="19"/>
          <w:lang w:eastAsia="en-US"/>
        </w:rPr>
        <w:tab/>
      </w:r>
      <w:r w:rsidRPr="00E66B92">
        <w:rPr>
          <w:rFonts w:ascii="Arial" w:hAnsi="Arial"/>
          <w:sz w:val="19"/>
          <w:szCs w:val="19"/>
          <w:lang w:eastAsia="en-US"/>
        </w:rPr>
        <w:tab/>
      </w:r>
      <w:r w:rsidRPr="00E66B92">
        <w:rPr>
          <w:rFonts w:ascii="Arial" w:hAnsi="Arial"/>
          <w:sz w:val="19"/>
          <w:szCs w:val="19"/>
          <w:lang w:eastAsia="en-US"/>
        </w:rPr>
        <w:tab/>
      </w:r>
      <w:r w:rsidRPr="00E66B92">
        <w:rPr>
          <w:rFonts w:ascii="Arial" w:hAnsi="Arial"/>
          <w:sz w:val="19"/>
          <w:szCs w:val="19"/>
          <w:lang w:eastAsia="en-US"/>
        </w:rPr>
        <w:tab/>
      </w:r>
      <w:r w:rsidRPr="00E66B92">
        <w:rPr>
          <w:rFonts w:ascii="Arial" w:hAnsi="Arial"/>
          <w:sz w:val="19"/>
          <w:szCs w:val="19"/>
          <w:lang w:eastAsia="en-US"/>
        </w:rPr>
        <w:tab/>
      </w:r>
      <w:r w:rsidRPr="00E66B92">
        <w:rPr>
          <w:rFonts w:ascii="Arial" w:hAnsi="Arial"/>
          <w:sz w:val="19"/>
          <w:szCs w:val="19"/>
          <w:lang w:eastAsia="en-US"/>
        </w:rPr>
        <w:tab/>
      </w:r>
      <w:r w:rsidRPr="00E66B92">
        <w:rPr>
          <w:rFonts w:ascii="Arial" w:hAnsi="Arial"/>
          <w:sz w:val="19"/>
          <w:szCs w:val="19"/>
          <w:lang w:eastAsia="en-US"/>
        </w:rPr>
        <w:tab/>
      </w:r>
      <w:r w:rsidRPr="00E66B92">
        <w:rPr>
          <w:rFonts w:ascii="Arial" w:hAnsi="Arial"/>
          <w:sz w:val="19"/>
          <w:szCs w:val="19"/>
          <w:lang w:eastAsia="en-US"/>
        </w:rPr>
        <w:tab/>
      </w:r>
      <w:r w:rsidRPr="00E66B92">
        <w:rPr>
          <w:rFonts w:ascii="Arial" w:hAnsi="Arial"/>
          <w:sz w:val="19"/>
          <w:szCs w:val="19"/>
          <w:lang w:eastAsia="en-US"/>
        </w:rPr>
        <w:tab/>
      </w:r>
      <w:r w:rsidRPr="00E66B92">
        <w:rPr>
          <w:rFonts w:ascii="Arial" w:hAnsi="Arial"/>
          <w:sz w:val="19"/>
          <w:szCs w:val="19"/>
          <w:lang w:eastAsia="en-US"/>
        </w:rPr>
        <w:tab/>
      </w:r>
      <w:r w:rsidRPr="00E66B92">
        <w:rPr>
          <w:rFonts w:ascii="Arial" w:hAnsi="Arial"/>
          <w:sz w:val="19"/>
          <w:szCs w:val="19"/>
          <w:lang w:eastAsia="en-US"/>
        </w:rPr>
        <w:tab/>
      </w:r>
      <w:r w:rsidRPr="00E66B92">
        <w:rPr>
          <w:rFonts w:ascii="Arial" w:hAnsi="Arial"/>
          <w:sz w:val="19"/>
          <w:szCs w:val="19"/>
          <w:lang w:eastAsia="en-US"/>
        </w:rPr>
        <w:tab/>
      </w:r>
      <w:r w:rsidRPr="00E66B92">
        <w:rPr>
          <w:rFonts w:ascii="Arial" w:hAnsi="Arial"/>
          <w:sz w:val="19"/>
          <w:szCs w:val="19"/>
          <w:lang w:eastAsia="en-US"/>
        </w:rPr>
        <w:tab/>
      </w:r>
      <w:r w:rsidRPr="00E66B92">
        <w:rPr>
          <w:rFonts w:ascii="Arial" w:hAnsi="Arial"/>
          <w:sz w:val="19"/>
          <w:szCs w:val="19"/>
          <w:lang w:eastAsia="en-US"/>
        </w:rPr>
        <w:tab/>
      </w:r>
      <w:r w:rsidRPr="00E66B92">
        <w:rPr>
          <w:rFonts w:ascii="Arial" w:hAnsi="Arial"/>
          <w:sz w:val="19"/>
          <w:szCs w:val="19"/>
          <w:lang w:eastAsia="en-US"/>
        </w:rPr>
        <w:tab/>
      </w:r>
      <w:r w:rsidRPr="00E66B92">
        <w:rPr>
          <w:rFonts w:ascii="Arial" w:hAnsi="Arial"/>
          <w:sz w:val="19"/>
          <w:szCs w:val="19"/>
          <w:lang w:eastAsia="en-US"/>
        </w:rPr>
        <w:tab/>
      </w:r>
      <w:r w:rsidRPr="00E66B92">
        <w:rPr>
          <w:rFonts w:ascii="Arial" w:hAnsi="Arial"/>
          <w:sz w:val="19"/>
          <w:szCs w:val="19"/>
          <w:lang w:eastAsia="en-US"/>
        </w:rPr>
        <w:tab/>
      </w:r>
      <w:r w:rsidRPr="00E66B92">
        <w:rPr>
          <w:rFonts w:ascii="Arial" w:hAnsi="Arial"/>
          <w:sz w:val="19"/>
          <w:szCs w:val="19"/>
          <w:lang w:eastAsia="en-US"/>
        </w:rPr>
        <w:tab/>
      </w:r>
      <w:r w:rsidRPr="00E66B92">
        <w:rPr>
          <w:rFonts w:ascii="Arial" w:hAnsi="Arial"/>
          <w:sz w:val="19"/>
          <w:szCs w:val="19"/>
          <w:lang w:eastAsia="en-US"/>
        </w:rPr>
        <w:tab/>
      </w:r>
      <w:r>
        <w:rPr>
          <w:rFonts w:ascii="Arial" w:hAnsi="Arial"/>
          <w:sz w:val="19"/>
          <w:szCs w:val="19"/>
          <w:lang w:eastAsia="en-US"/>
        </w:rPr>
        <w:tab/>
      </w:r>
      <w:r w:rsidRPr="00E66B92">
        <w:rPr>
          <w:rFonts w:ascii="Arial" w:hAnsi="Arial"/>
          <w:sz w:val="19"/>
          <w:szCs w:val="19"/>
          <w:lang w:eastAsia="en-US"/>
        </w:rPr>
        <w:t>$644.20 for 2017/18</w:t>
      </w:r>
    </w:p>
    <w:p w14:paraId="6101A570" w14:textId="77777777" w:rsidR="000A4055" w:rsidRPr="00E66B92" w:rsidRDefault="000A4055" w:rsidP="000A4055">
      <w:pPr>
        <w:keepLines/>
        <w:spacing w:before="40" w:after="40"/>
        <w:rPr>
          <w:rFonts w:ascii="Arial" w:hAnsi="Arial"/>
          <w:sz w:val="19"/>
          <w:szCs w:val="19"/>
          <w:lang w:eastAsia="en-US"/>
        </w:rPr>
      </w:pPr>
      <w:r w:rsidRPr="00E66B92">
        <w:rPr>
          <w:rFonts w:ascii="Arial" w:hAnsi="Arial"/>
          <w:sz w:val="19"/>
          <w:szCs w:val="19"/>
          <w:lang w:eastAsia="en-US"/>
        </w:rPr>
        <w:tab/>
      </w:r>
      <w:r w:rsidRPr="00E66B92">
        <w:rPr>
          <w:rFonts w:ascii="Arial" w:hAnsi="Arial"/>
          <w:sz w:val="19"/>
          <w:szCs w:val="19"/>
          <w:lang w:eastAsia="en-US"/>
        </w:rPr>
        <w:tab/>
      </w:r>
      <w:r w:rsidRPr="00E66B92">
        <w:rPr>
          <w:rFonts w:ascii="Arial" w:hAnsi="Arial"/>
          <w:sz w:val="19"/>
          <w:szCs w:val="19"/>
          <w:lang w:eastAsia="en-US"/>
        </w:rPr>
        <w:tab/>
      </w:r>
      <w:r w:rsidRPr="00E66B92">
        <w:rPr>
          <w:rFonts w:ascii="Arial" w:hAnsi="Arial"/>
          <w:sz w:val="19"/>
          <w:szCs w:val="19"/>
          <w:lang w:eastAsia="en-US"/>
        </w:rPr>
        <w:tab/>
      </w:r>
      <w:r w:rsidRPr="00E66B92">
        <w:rPr>
          <w:rFonts w:ascii="Arial" w:hAnsi="Arial"/>
          <w:sz w:val="19"/>
          <w:szCs w:val="19"/>
          <w:lang w:eastAsia="en-US"/>
        </w:rPr>
        <w:tab/>
      </w:r>
      <w:r w:rsidRPr="00E66B92">
        <w:rPr>
          <w:rFonts w:ascii="Arial" w:hAnsi="Arial"/>
          <w:sz w:val="19"/>
          <w:szCs w:val="19"/>
          <w:lang w:eastAsia="en-US"/>
        </w:rPr>
        <w:tab/>
      </w:r>
      <w:r w:rsidRPr="00E66B92">
        <w:rPr>
          <w:rFonts w:ascii="Arial" w:hAnsi="Arial"/>
          <w:sz w:val="19"/>
          <w:szCs w:val="19"/>
          <w:lang w:eastAsia="en-US"/>
        </w:rPr>
        <w:tab/>
      </w:r>
      <w:r w:rsidRPr="00E66B92">
        <w:rPr>
          <w:rFonts w:ascii="Arial" w:hAnsi="Arial"/>
          <w:sz w:val="19"/>
          <w:szCs w:val="19"/>
          <w:lang w:eastAsia="en-US"/>
        </w:rPr>
        <w:tab/>
      </w:r>
      <w:r w:rsidRPr="00E66B92">
        <w:rPr>
          <w:rFonts w:ascii="Arial" w:hAnsi="Arial"/>
          <w:sz w:val="19"/>
          <w:szCs w:val="19"/>
          <w:lang w:eastAsia="en-US"/>
        </w:rPr>
        <w:tab/>
      </w:r>
      <w:r w:rsidRPr="00E66B92">
        <w:rPr>
          <w:rFonts w:ascii="Arial" w:hAnsi="Arial"/>
          <w:sz w:val="19"/>
          <w:szCs w:val="19"/>
          <w:lang w:eastAsia="en-US"/>
        </w:rPr>
        <w:tab/>
      </w:r>
      <w:r w:rsidRPr="00E66B92">
        <w:rPr>
          <w:rFonts w:ascii="Arial" w:hAnsi="Arial"/>
          <w:sz w:val="19"/>
          <w:szCs w:val="19"/>
          <w:lang w:eastAsia="en-US"/>
        </w:rPr>
        <w:tab/>
      </w:r>
      <w:r w:rsidRPr="00E66B92">
        <w:rPr>
          <w:rFonts w:ascii="Arial" w:hAnsi="Arial"/>
          <w:sz w:val="19"/>
          <w:szCs w:val="19"/>
          <w:lang w:eastAsia="en-US"/>
        </w:rPr>
        <w:tab/>
      </w:r>
      <w:r w:rsidRPr="00E66B92">
        <w:rPr>
          <w:rFonts w:ascii="Arial" w:hAnsi="Arial"/>
          <w:sz w:val="19"/>
          <w:szCs w:val="19"/>
          <w:lang w:eastAsia="en-US"/>
        </w:rPr>
        <w:tab/>
      </w:r>
      <w:r w:rsidRPr="00E66B92">
        <w:rPr>
          <w:rFonts w:ascii="Arial" w:hAnsi="Arial"/>
          <w:sz w:val="19"/>
          <w:szCs w:val="19"/>
          <w:lang w:eastAsia="en-US"/>
        </w:rPr>
        <w:tab/>
      </w:r>
      <w:r w:rsidRPr="00E66B92">
        <w:rPr>
          <w:rFonts w:ascii="Arial" w:hAnsi="Arial"/>
          <w:sz w:val="19"/>
          <w:szCs w:val="19"/>
          <w:lang w:eastAsia="en-US"/>
        </w:rPr>
        <w:tab/>
      </w:r>
      <w:r w:rsidRPr="00E66B92">
        <w:rPr>
          <w:rFonts w:ascii="Arial" w:hAnsi="Arial"/>
          <w:sz w:val="19"/>
          <w:szCs w:val="19"/>
          <w:lang w:eastAsia="en-US"/>
        </w:rPr>
        <w:tab/>
      </w:r>
      <w:r w:rsidRPr="00E66B92">
        <w:rPr>
          <w:rFonts w:ascii="Arial" w:hAnsi="Arial"/>
          <w:sz w:val="19"/>
          <w:szCs w:val="19"/>
          <w:lang w:eastAsia="en-US"/>
        </w:rPr>
        <w:tab/>
      </w:r>
      <w:r w:rsidRPr="00E66B92">
        <w:rPr>
          <w:rFonts w:ascii="Arial" w:hAnsi="Arial"/>
          <w:sz w:val="19"/>
          <w:szCs w:val="19"/>
          <w:lang w:eastAsia="en-US"/>
        </w:rPr>
        <w:tab/>
      </w:r>
      <w:r w:rsidRPr="00E66B92">
        <w:rPr>
          <w:rFonts w:ascii="Arial" w:hAnsi="Arial"/>
          <w:sz w:val="19"/>
          <w:szCs w:val="19"/>
          <w:lang w:eastAsia="en-US"/>
        </w:rPr>
        <w:tab/>
      </w:r>
      <w:r>
        <w:rPr>
          <w:rFonts w:ascii="Arial" w:hAnsi="Arial"/>
          <w:sz w:val="19"/>
          <w:szCs w:val="19"/>
          <w:lang w:eastAsia="en-US"/>
        </w:rPr>
        <w:tab/>
      </w:r>
      <w:r w:rsidRPr="00E66B92">
        <w:rPr>
          <w:rFonts w:ascii="Arial" w:hAnsi="Arial"/>
          <w:sz w:val="19"/>
          <w:szCs w:val="19"/>
          <w:lang w:eastAsia="en-US"/>
        </w:rPr>
        <w:t>$706.05 for 2018/19.</w:t>
      </w:r>
    </w:p>
    <w:p w14:paraId="1734A151" w14:textId="77777777" w:rsidR="000A4055" w:rsidRPr="001353CC" w:rsidRDefault="000A4055" w:rsidP="000A4055">
      <w:pPr>
        <w:spacing w:before="240" w:line="280" w:lineRule="atLeast"/>
        <w:jc w:val="both"/>
        <w:rPr>
          <w:color w:val="548DD4" w:themeColor="text2" w:themeTint="99"/>
          <w:sz w:val="20"/>
          <w:szCs w:val="20"/>
        </w:rPr>
      </w:pPr>
      <w:r w:rsidRPr="001353CC">
        <w:rPr>
          <w:color w:val="548DD4" w:themeColor="text2" w:themeTint="99"/>
          <w:sz w:val="20"/>
          <w:szCs w:val="20"/>
        </w:rPr>
        <w:t>The council must explain how the proposed special variation will apply to the minimum rate of any ordinary and special rate, and any change to the proportion of ratepayers on the minimum rate for all relevant rating categories that will occur as a result.</w:t>
      </w:r>
    </w:p>
    <w:p w14:paraId="591D5BEB" w14:textId="77777777" w:rsidR="000A4055" w:rsidRPr="001353CC" w:rsidRDefault="000A4055" w:rsidP="000A4055">
      <w:pPr>
        <w:spacing w:before="240" w:line="280" w:lineRule="atLeast"/>
        <w:jc w:val="both"/>
        <w:rPr>
          <w:color w:val="548DD4" w:themeColor="text2" w:themeTint="99"/>
          <w:sz w:val="20"/>
          <w:szCs w:val="20"/>
        </w:rPr>
      </w:pPr>
      <w:r w:rsidRPr="001353CC">
        <w:rPr>
          <w:color w:val="548DD4" w:themeColor="text2" w:themeTint="99"/>
          <w:sz w:val="20"/>
          <w:szCs w:val="20"/>
        </w:rPr>
        <w:t>You should also explain the types of ratepayers or properties currently paying minimum rates, and the rationale for the application of the special variation to minimum rate levels.</w:t>
      </w:r>
    </w:p>
    <w:p w14:paraId="565C28C0" w14:textId="77777777" w:rsidR="000A4055" w:rsidRDefault="000A4055" w:rsidP="000A4055">
      <w:pPr>
        <w:pStyle w:val="Default"/>
        <w:spacing w:line="360" w:lineRule="auto"/>
        <w:jc w:val="both"/>
        <w:rPr>
          <w:sz w:val="20"/>
          <w:szCs w:val="20"/>
        </w:rPr>
      </w:pPr>
    </w:p>
    <w:p w14:paraId="28943A8C" w14:textId="77777777" w:rsidR="000A4055" w:rsidRPr="008035D0" w:rsidRDefault="000A4055" w:rsidP="00AE4E46">
      <w:pPr>
        <w:pStyle w:val="Default"/>
        <w:spacing w:line="276" w:lineRule="auto"/>
        <w:jc w:val="both"/>
        <w:rPr>
          <w:sz w:val="20"/>
          <w:szCs w:val="20"/>
        </w:rPr>
      </w:pPr>
      <w:r w:rsidRPr="008035D0">
        <w:rPr>
          <w:sz w:val="20"/>
          <w:szCs w:val="20"/>
        </w:rPr>
        <w:t>In order to maintain the same relative distribution of the rating burden between minimum rate ratepayers and other ratepayers, the proposed special variation percentage increases will be applied equally to minimum rates as well as to general income.</w:t>
      </w:r>
    </w:p>
    <w:p w14:paraId="5996DCCE" w14:textId="77777777" w:rsidR="000A4055" w:rsidRPr="008035D0" w:rsidRDefault="000A4055" w:rsidP="00AE4E46">
      <w:pPr>
        <w:pStyle w:val="Default"/>
        <w:spacing w:line="276" w:lineRule="auto"/>
        <w:jc w:val="both"/>
        <w:rPr>
          <w:sz w:val="20"/>
          <w:szCs w:val="20"/>
        </w:rPr>
      </w:pPr>
    </w:p>
    <w:p w14:paraId="0BA1C3C6" w14:textId="77777777" w:rsidR="000A4055" w:rsidRPr="008035D0" w:rsidRDefault="000A4055" w:rsidP="00AE4E46">
      <w:pPr>
        <w:pStyle w:val="Default"/>
        <w:spacing w:line="276" w:lineRule="auto"/>
        <w:jc w:val="both"/>
        <w:rPr>
          <w:sz w:val="20"/>
          <w:szCs w:val="20"/>
        </w:rPr>
      </w:pPr>
      <w:r w:rsidRPr="008035D0">
        <w:rPr>
          <w:sz w:val="20"/>
          <w:szCs w:val="20"/>
        </w:rPr>
        <w:t>In 2014-15, 1,468 ratepayers were on the Residential minimum, 354 ratepayers were on the Business minimum and five ratepayers are on the Farmland minimum. This equates to 5.1% of rateable assessments. The proposed special variation will not change this proportion of ratepayers on the minimum amount.</w:t>
      </w:r>
    </w:p>
    <w:p w14:paraId="508B3A55" w14:textId="761AA81C" w:rsidR="000A4055" w:rsidRPr="008035D0" w:rsidRDefault="000A4055" w:rsidP="00AE4E46">
      <w:pPr>
        <w:pStyle w:val="Default"/>
        <w:spacing w:line="276" w:lineRule="auto"/>
        <w:jc w:val="both"/>
        <w:rPr>
          <w:sz w:val="20"/>
          <w:szCs w:val="20"/>
        </w:rPr>
      </w:pPr>
      <w:r w:rsidRPr="008035D0">
        <w:rPr>
          <w:sz w:val="20"/>
          <w:szCs w:val="20"/>
        </w:rPr>
        <w:t>The capacity to pay principle suggests the higher the land value the greater the capacity to pay and vice versa. The reform of the rating structure, which included a significant reduction in the Residential minimum rate, acknowledges this principle. This reform provides further rationale for applying the proposed special variation increases to minimum rate levels, as the significant reduction in Residential minimum rates was purposefully planned for 2014-15, prior to the 201</w:t>
      </w:r>
      <w:r w:rsidR="00EB3850">
        <w:rPr>
          <w:sz w:val="20"/>
          <w:szCs w:val="20"/>
        </w:rPr>
        <w:t>5 special variation application, providing a greater capacity to pay for those ratepayers.</w:t>
      </w:r>
    </w:p>
    <w:p w14:paraId="08499F21" w14:textId="77777777" w:rsidR="000A4055" w:rsidRPr="00E66B92" w:rsidRDefault="000A4055" w:rsidP="000A4055">
      <w:pPr>
        <w:pStyle w:val="Heading2"/>
      </w:pPr>
      <w:bookmarkStart w:id="96" w:name="_Toc412798926"/>
      <w:r w:rsidRPr="00E66B92">
        <w:t>Consideration of affordability and the community’s capacity and willingness to pay</w:t>
      </w:r>
      <w:bookmarkEnd w:id="96"/>
    </w:p>
    <w:p w14:paraId="0B6A7D13" w14:textId="77777777" w:rsidR="000A4055" w:rsidRPr="001353CC" w:rsidRDefault="000A4055" w:rsidP="000A4055">
      <w:pPr>
        <w:spacing w:before="240" w:line="280" w:lineRule="atLeast"/>
        <w:jc w:val="both"/>
        <w:rPr>
          <w:color w:val="548DD4" w:themeColor="text2" w:themeTint="99"/>
          <w:sz w:val="20"/>
          <w:szCs w:val="20"/>
        </w:rPr>
      </w:pPr>
      <w:r w:rsidRPr="001353CC">
        <w:rPr>
          <w:color w:val="548DD4" w:themeColor="text2" w:themeTint="99"/>
          <w:sz w:val="20"/>
          <w:szCs w:val="20"/>
        </w:rPr>
        <w:t>The council is required to provide evidence in its IP&amp;R documents of how it assessed the community’s capacity and willingness to pay the special variation’s rate increases.  This is to include an explanation of how the council established that the proposed rate rises are affordable for the community.</w:t>
      </w:r>
    </w:p>
    <w:p w14:paraId="0F4CEB57" w14:textId="77777777" w:rsidR="000A4055" w:rsidRPr="001353CC" w:rsidRDefault="000A4055" w:rsidP="000A4055">
      <w:pPr>
        <w:spacing w:before="240" w:line="280" w:lineRule="atLeast"/>
        <w:jc w:val="both"/>
        <w:rPr>
          <w:color w:val="548DD4" w:themeColor="text2" w:themeTint="99"/>
          <w:sz w:val="20"/>
          <w:szCs w:val="20"/>
        </w:rPr>
      </w:pPr>
      <w:r w:rsidRPr="001353CC">
        <w:rPr>
          <w:color w:val="548DD4" w:themeColor="text2" w:themeTint="99"/>
          <w:sz w:val="20"/>
          <w:szCs w:val="20"/>
        </w:rPr>
        <w:t xml:space="preserve">Evidence about capacity to pay could include a discussion of such indicators as SEIFA rankings, land values, average rates, disposable incomes, the outstanding rates ratio and rates as a proportion of household/business/farmland income and expenditure, and how these measures relate to those in comparable or neighbouring council areas.  </w:t>
      </w:r>
    </w:p>
    <w:p w14:paraId="14ED2D3E" w14:textId="77777777" w:rsidR="000A4055" w:rsidRPr="001353CC" w:rsidRDefault="000A4055" w:rsidP="000A4055">
      <w:pPr>
        <w:spacing w:before="240" w:line="280" w:lineRule="atLeast"/>
        <w:jc w:val="both"/>
        <w:rPr>
          <w:color w:val="548DD4" w:themeColor="text2" w:themeTint="99"/>
          <w:sz w:val="20"/>
          <w:szCs w:val="20"/>
        </w:rPr>
      </w:pPr>
      <w:r w:rsidRPr="001353CC">
        <w:rPr>
          <w:color w:val="548DD4" w:themeColor="text2" w:themeTint="99"/>
          <w:sz w:val="20"/>
          <w:szCs w:val="20"/>
        </w:rPr>
        <w:t>As many of these measures are highly aggregated, it may also be useful to discuss other factors that could better explain the impact on ratepayers affected by the proposed rate increases, particularly if the impact varies across different categories of ratepayers.</w:t>
      </w:r>
    </w:p>
    <w:p w14:paraId="69ED65AF" w14:textId="77777777" w:rsidR="000A4055" w:rsidRPr="001353CC" w:rsidRDefault="000A4055" w:rsidP="000A4055">
      <w:pPr>
        <w:spacing w:before="240" w:line="280" w:lineRule="atLeast"/>
        <w:jc w:val="both"/>
        <w:rPr>
          <w:color w:val="548DD4" w:themeColor="text2" w:themeTint="99"/>
          <w:sz w:val="20"/>
          <w:szCs w:val="20"/>
        </w:rPr>
      </w:pPr>
      <w:r w:rsidRPr="001353CC">
        <w:rPr>
          <w:color w:val="548DD4" w:themeColor="text2" w:themeTint="99"/>
          <w:sz w:val="20"/>
          <w:szCs w:val="20"/>
        </w:rPr>
        <w:t>We may also consider how the council’s hardship policy (see Section 5.3 below) might reduce the impact on socio-economically disadvantaged ratepayers.</w:t>
      </w:r>
    </w:p>
    <w:p w14:paraId="04C505CC" w14:textId="77777777" w:rsidR="009F4B68" w:rsidRPr="0089206A" w:rsidRDefault="009F4B68" w:rsidP="009F4B68">
      <w:pPr>
        <w:spacing w:before="40"/>
        <w:ind w:right="142"/>
        <w:jc w:val="both"/>
        <w:rPr>
          <w:rFonts w:ascii="Arial" w:hAnsi="Arial" w:cs="Arial"/>
          <w:b/>
          <w:color w:val="FF0000"/>
          <w:sz w:val="20"/>
          <w:szCs w:val="20"/>
          <w:lang w:val="en-US" w:eastAsia="en-US"/>
        </w:rPr>
      </w:pPr>
    </w:p>
    <w:p w14:paraId="157C1BAF" w14:textId="77777777" w:rsidR="009F4B68" w:rsidRPr="00014704" w:rsidRDefault="009F4B68" w:rsidP="009F4B68">
      <w:pPr>
        <w:pStyle w:val="Heading3"/>
        <w:tabs>
          <w:tab w:val="clear" w:pos="1844"/>
          <w:tab w:val="num" w:pos="709"/>
        </w:tabs>
        <w:spacing w:before="0"/>
        <w:ind w:left="709"/>
      </w:pPr>
      <w:r w:rsidRPr="00014704">
        <w:t xml:space="preserve">Capacity to Pay Assessment </w:t>
      </w:r>
    </w:p>
    <w:p w14:paraId="15EF1BD0" w14:textId="77777777" w:rsidR="00086AAD" w:rsidRDefault="009F4B68" w:rsidP="00AE4E46">
      <w:pPr>
        <w:spacing w:before="240" w:line="276" w:lineRule="auto"/>
        <w:ind w:right="142"/>
        <w:jc w:val="both"/>
        <w:rPr>
          <w:rFonts w:ascii="Arial" w:hAnsi="Arial" w:cs="Arial"/>
          <w:sz w:val="20"/>
          <w:szCs w:val="20"/>
          <w:lang w:val="en-US" w:eastAsia="en-US"/>
        </w:rPr>
      </w:pPr>
      <w:r>
        <w:rPr>
          <w:rFonts w:ascii="Arial" w:hAnsi="Arial" w:cs="Arial"/>
          <w:sz w:val="20"/>
          <w:szCs w:val="20"/>
          <w:lang w:val="en-US" w:eastAsia="en-US"/>
        </w:rPr>
        <w:t>The</w:t>
      </w:r>
      <w:r w:rsidRPr="008035D0">
        <w:rPr>
          <w:rFonts w:ascii="Arial" w:hAnsi="Arial" w:cs="Arial"/>
          <w:sz w:val="20"/>
          <w:szCs w:val="20"/>
          <w:lang w:val="en-US" w:eastAsia="en-US"/>
        </w:rPr>
        <w:t xml:space="preserve"> decision to seek a rate variation was only made aft</w:t>
      </w:r>
      <w:r>
        <w:rPr>
          <w:rFonts w:ascii="Arial" w:hAnsi="Arial" w:cs="Arial"/>
          <w:sz w:val="20"/>
          <w:szCs w:val="20"/>
          <w:lang w:val="en-US" w:eastAsia="en-US"/>
        </w:rPr>
        <w:t>er significant effort was invested in improving</w:t>
      </w:r>
      <w:r w:rsidRPr="008035D0">
        <w:rPr>
          <w:rFonts w:ascii="Arial" w:hAnsi="Arial" w:cs="Arial"/>
          <w:sz w:val="20"/>
          <w:szCs w:val="20"/>
          <w:lang w:val="en-US" w:eastAsia="en-US"/>
        </w:rPr>
        <w:t xml:space="preserve"> </w:t>
      </w:r>
      <w:r w:rsidR="00086AAD">
        <w:rPr>
          <w:rFonts w:ascii="Arial" w:hAnsi="Arial" w:cs="Arial"/>
          <w:sz w:val="20"/>
          <w:szCs w:val="20"/>
          <w:lang w:val="en-US" w:eastAsia="en-US"/>
        </w:rPr>
        <w:t xml:space="preserve">Council </w:t>
      </w:r>
      <w:r w:rsidRPr="008035D0">
        <w:rPr>
          <w:rFonts w:ascii="Arial" w:hAnsi="Arial" w:cs="Arial"/>
          <w:sz w:val="20"/>
          <w:szCs w:val="20"/>
          <w:lang w:val="en-US" w:eastAsia="en-US"/>
        </w:rPr>
        <w:t xml:space="preserve">efficiencies so as to minimise the need for additional income through rates. </w:t>
      </w:r>
    </w:p>
    <w:p w14:paraId="553EC15E" w14:textId="110ABE60" w:rsidR="009F4B68" w:rsidRPr="008035D0" w:rsidRDefault="009F4B68" w:rsidP="00AE4E46">
      <w:pPr>
        <w:spacing w:before="240" w:line="276" w:lineRule="auto"/>
        <w:ind w:right="142"/>
        <w:jc w:val="both"/>
        <w:rPr>
          <w:rFonts w:ascii="Arial" w:hAnsi="Arial" w:cs="Arial"/>
          <w:sz w:val="20"/>
          <w:szCs w:val="20"/>
          <w:lang w:val="en-US" w:eastAsia="en-US"/>
        </w:rPr>
      </w:pPr>
      <w:r w:rsidRPr="008035D0">
        <w:rPr>
          <w:rFonts w:ascii="Arial" w:hAnsi="Arial" w:cs="Arial"/>
          <w:sz w:val="20"/>
          <w:szCs w:val="20"/>
          <w:lang w:val="en-US" w:eastAsia="en-US"/>
        </w:rPr>
        <w:t xml:space="preserve">In determining the proposed special variation percentage increase, and its phased implementation over four years, ratepayers’ </w:t>
      </w:r>
      <w:r>
        <w:rPr>
          <w:rFonts w:ascii="Arial" w:hAnsi="Arial" w:cs="Arial"/>
          <w:sz w:val="20"/>
          <w:szCs w:val="20"/>
          <w:lang w:val="en-US" w:eastAsia="en-US"/>
        </w:rPr>
        <w:t>capacity to pay was assessed as</w:t>
      </w:r>
      <w:r w:rsidRPr="008035D0">
        <w:rPr>
          <w:rFonts w:ascii="Arial" w:hAnsi="Arial" w:cs="Arial"/>
          <w:sz w:val="20"/>
          <w:szCs w:val="20"/>
          <w:lang w:val="en-US" w:eastAsia="en-US"/>
        </w:rPr>
        <w:t xml:space="preserve"> was the impact of affordable levels of service provision on the community.</w:t>
      </w:r>
    </w:p>
    <w:p w14:paraId="638D2736" w14:textId="77777777" w:rsidR="009F4B68" w:rsidRPr="008035D0" w:rsidRDefault="009F4B68" w:rsidP="00AE4E46">
      <w:pPr>
        <w:spacing w:before="40" w:line="276" w:lineRule="auto"/>
        <w:ind w:right="142"/>
        <w:jc w:val="both"/>
        <w:rPr>
          <w:rFonts w:ascii="Arial" w:hAnsi="Arial" w:cs="Arial"/>
          <w:sz w:val="20"/>
          <w:szCs w:val="20"/>
          <w:lang w:val="en-US" w:eastAsia="en-US"/>
        </w:rPr>
      </w:pPr>
    </w:p>
    <w:p w14:paraId="77EF65DD" w14:textId="77777777" w:rsidR="00086AAD" w:rsidRDefault="009F4B68" w:rsidP="00AE4E46">
      <w:pPr>
        <w:spacing w:before="40" w:line="276" w:lineRule="auto"/>
        <w:ind w:right="142"/>
        <w:jc w:val="both"/>
        <w:rPr>
          <w:rFonts w:ascii="Arial" w:hAnsi="Arial" w:cs="Arial"/>
          <w:color w:val="000000"/>
          <w:sz w:val="20"/>
          <w:szCs w:val="20"/>
        </w:rPr>
      </w:pPr>
      <w:r w:rsidRPr="008035D0">
        <w:rPr>
          <w:rFonts w:ascii="Arial" w:hAnsi="Arial" w:cs="Arial"/>
          <w:sz w:val="20"/>
          <w:szCs w:val="20"/>
          <w:lang w:val="en-US" w:eastAsia="en-US"/>
        </w:rPr>
        <w:t xml:space="preserve">This section summarises the analysis undertaken on whether the proposed special variation is affordable and has a reasonable impact on ratepayers. </w:t>
      </w:r>
      <w:r w:rsidRPr="008035D0">
        <w:rPr>
          <w:rFonts w:ascii="Arial" w:hAnsi="Arial" w:cs="Arial"/>
          <w:color w:val="000000"/>
          <w:sz w:val="20"/>
          <w:szCs w:val="20"/>
        </w:rPr>
        <w:t xml:space="preserve">For a more detailed assessment of socio-economic indicators and </w:t>
      </w:r>
      <w:r w:rsidRPr="00FA0E8D">
        <w:rPr>
          <w:rFonts w:ascii="Arial" w:hAnsi="Arial" w:cs="Arial"/>
          <w:color w:val="000000"/>
          <w:sz w:val="20"/>
          <w:szCs w:val="20"/>
        </w:rPr>
        <w:t xml:space="preserve">comparisons with other councils, see sections 2.7, 2.8 and 2.9 of the </w:t>
      </w:r>
      <w:r w:rsidRPr="00FA0E8D">
        <w:rPr>
          <w:rFonts w:ascii="Arial" w:hAnsi="Arial" w:cs="Arial"/>
          <w:i/>
          <w:color w:val="000000"/>
          <w:sz w:val="20"/>
          <w:szCs w:val="20"/>
        </w:rPr>
        <w:t>Resourcing Strategy 2014-2024</w:t>
      </w:r>
      <w:r w:rsidRPr="00FA0E8D">
        <w:rPr>
          <w:rFonts w:ascii="Arial" w:hAnsi="Arial" w:cs="Arial"/>
          <w:color w:val="000000"/>
          <w:sz w:val="20"/>
          <w:szCs w:val="20"/>
        </w:rPr>
        <w:t xml:space="preserve"> (</w:t>
      </w:r>
      <w:r w:rsidRPr="00086AAD">
        <w:rPr>
          <w:rFonts w:ascii="Arial" w:hAnsi="Arial" w:cs="Arial"/>
          <w:b/>
          <w:color w:val="000000"/>
          <w:sz w:val="20"/>
          <w:szCs w:val="20"/>
        </w:rPr>
        <w:t>Attachment 13</w:t>
      </w:r>
      <w:r w:rsidRPr="00FA0E8D">
        <w:rPr>
          <w:rFonts w:ascii="Arial" w:hAnsi="Arial" w:cs="Arial"/>
          <w:color w:val="000000"/>
          <w:sz w:val="20"/>
          <w:szCs w:val="20"/>
        </w:rPr>
        <w:t>).</w:t>
      </w:r>
      <w:r w:rsidRPr="008035D0">
        <w:rPr>
          <w:rFonts w:ascii="Arial" w:hAnsi="Arial" w:cs="Arial"/>
          <w:color w:val="000000"/>
          <w:sz w:val="20"/>
          <w:szCs w:val="20"/>
        </w:rPr>
        <w:t xml:space="preserve">  </w:t>
      </w:r>
    </w:p>
    <w:p w14:paraId="15DECB8A" w14:textId="77777777" w:rsidR="00086AAD" w:rsidRDefault="00086AAD" w:rsidP="00AE4E46">
      <w:pPr>
        <w:spacing w:before="40" w:line="276" w:lineRule="auto"/>
        <w:ind w:right="142"/>
        <w:jc w:val="both"/>
        <w:rPr>
          <w:rFonts w:ascii="Arial" w:hAnsi="Arial" w:cs="Arial"/>
          <w:color w:val="000000"/>
          <w:sz w:val="20"/>
          <w:szCs w:val="20"/>
        </w:rPr>
      </w:pPr>
    </w:p>
    <w:p w14:paraId="39262A52" w14:textId="3623C8E5" w:rsidR="009F4B68" w:rsidRPr="008035D0" w:rsidRDefault="009F4B68" w:rsidP="00AE4E46">
      <w:pPr>
        <w:spacing w:before="40" w:line="276" w:lineRule="auto"/>
        <w:ind w:right="142"/>
        <w:jc w:val="both"/>
        <w:rPr>
          <w:rFonts w:ascii="Arial" w:hAnsi="Arial" w:cs="Arial"/>
          <w:sz w:val="20"/>
          <w:szCs w:val="20"/>
          <w:lang w:val="en-US" w:eastAsia="en-US"/>
        </w:rPr>
      </w:pPr>
      <w:r w:rsidRPr="008035D0">
        <w:rPr>
          <w:rFonts w:ascii="Arial" w:hAnsi="Arial" w:cs="Arial"/>
          <w:color w:val="000000"/>
          <w:sz w:val="20"/>
          <w:szCs w:val="20"/>
        </w:rPr>
        <w:t xml:space="preserve">In addition to this desktop analysis, </w:t>
      </w:r>
      <w:r w:rsidRPr="008035D0">
        <w:rPr>
          <w:rFonts w:ascii="Arial" w:hAnsi="Arial" w:cs="Arial"/>
          <w:sz w:val="20"/>
          <w:szCs w:val="20"/>
          <w:lang w:val="en-US" w:eastAsia="en-US"/>
        </w:rPr>
        <w:t xml:space="preserve">the Council tested community willingness and capacity to pay through a comprehensive and extensive community consultation process. </w:t>
      </w:r>
    </w:p>
    <w:p w14:paraId="08324E41" w14:textId="77777777" w:rsidR="009F4B68" w:rsidRPr="008035D0" w:rsidRDefault="009F4B68" w:rsidP="00AE4E46">
      <w:pPr>
        <w:autoSpaceDE w:val="0"/>
        <w:autoSpaceDN w:val="0"/>
        <w:adjustRightInd w:val="0"/>
        <w:spacing w:line="276" w:lineRule="auto"/>
        <w:jc w:val="both"/>
        <w:rPr>
          <w:rFonts w:ascii="Arial" w:hAnsi="Arial" w:cs="Arial"/>
          <w:color w:val="000000"/>
          <w:sz w:val="20"/>
          <w:szCs w:val="20"/>
        </w:rPr>
      </w:pPr>
    </w:p>
    <w:p w14:paraId="0CF0CB83" w14:textId="0B0BC918" w:rsidR="009F4B68" w:rsidRPr="008035D0" w:rsidRDefault="009F4B68" w:rsidP="00AE4E46">
      <w:pPr>
        <w:spacing w:before="40" w:line="276" w:lineRule="auto"/>
        <w:ind w:right="142"/>
        <w:jc w:val="both"/>
        <w:rPr>
          <w:rFonts w:ascii="Arial" w:hAnsi="Arial" w:cs="Arial"/>
          <w:sz w:val="20"/>
          <w:szCs w:val="20"/>
          <w:lang w:val="en-US" w:eastAsia="en-US"/>
        </w:rPr>
      </w:pPr>
      <w:r w:rsidRPr="008035D0">
        <w:rPr>
          <w:rFonts w:ascii="Arial" w:hAnsi="Arial" w:cs="Arial"/>
          <w:sz w:val="20"/>
          <w:szCs w:val="20"/>
          <w:lang w:val="en-US" w:eastAsia="en-US"/>
        </w:rPr>
        <w:t>This assessment, and community feedback, indicates that the majority of residents within the City appear to have capacity to pay additional rates, though a small number are experiencing some level of financially challenge</w:t>
      </w:r>
      <w:r w:rsidR="00086AAD">
        <w:rPr>
          <w:rFonts w:ascii="Arial" w:hAnsi="Arial" w:cs="Arial"/>
          <w:sz w:val="20"/>
          <w:szCs w:val="20"/>
          <w:lang w:val="en-US" w:eastAsia="en-US"/>
        </w:rPr>
        <w:t>.</w:t>
      </w:r>
      <w:r w:rsidRPr="008035D0">
        <w:rPr>
          <w:rFonts w:ascii="Arial" w:hAnsi="Arial" w:cs="Arial"/>
          <w:sz w:val="20"/>
          <w:szCs w:val="20"/>
          <w:lang w:val="en-US" w:eastAsia="en-US"/>
        </w:rPr>
        <w:t xml:space="preserve"> </w:t>
      </w:r>
    </w:p>
    <w:p w14:paraId="0CBC2767" w14:textId="77777777" w:rsidR="009F4B68" w:rsidRPr="008035D0" w:rsidRDefault="009F4B68" w:rsidP="00AE4E46">
      <w:pPr>
        <w:pStyle w:val="Default"/>
        <w:spacing w:line="276" w:lineRule="auto"/>
        <w:rPr>
          <w:sz w:val="20"/>
          <w:szCs w:val="20"/>
        </w:rPr>
      </w:pPr>
    </w:p>
    <w:p w14:paraId="2940407C" w14:textId="623768D3" w:rsidR="009F4B68" w:rsidRPr="008035D0" w:rsidRDefault="00086AAD" w:rsidP="00AE4E46">
      <w:pPr>
        <w:pStyle w:val="Default"/>
        <w:spacing w:line="276" w:lineRule="auto"/>
        <w:jc w:val="both"/>
        <w:rPr>
          <w:sz w:val="20"/>
          <w:szCs w:val="20"/>
        </w:rPr>
      </w:pPr>
      <w:r>
        <w:rPr>
          <w:sz w:val="20"/>
          <w:szCs w:val="20"/>
        </w:rPr>
        <w:t>T</w:t>
      </w:r>
      <w:r w:rsidR="009F4B68" w:rsidRPr="008035D0">
        <w:rPr>
          <w:sz w:val="20"/>
          <w:szCs w:val="20"/>
        </w:rPr>
        <w:t xml:space="preserve">he Blue Mountains is </w:t>
      </w:r>
      <w:r>
        <w:rPr>
          <w:sz w:val="20"/>
          <w:szCs w:val="20"/>
        </w:rPr>
        <w:t xml:space="preserve">in general </w:t>
      </w:r>
      <w:r w:rsidR="009F4B68" w:rsidRPr="008035D0">
        <w:rPr>
          <w:sz w:val="20"/>
          <w:szCs w:val="20"/>
        </w:rPr>
        <w:t xml:space="preserve">a middle income area, with relatively less disadvantage when compared to Sydney, the state and other similar local government areas. Trends show that income levels are improving over time. </w:t>
      </w:r>
    </w:p>
    <w:p w14:paraId="2E72BC3F" w14:textId="70CC9626" w:rsidR="009F4B68" w:rsidRPr="008035D0" w:rsidRDefault="009F4B68" w:rsidP="00AE4E46">
      <w:pPr>
        <w:autoSpaceDE w:val="0"/>
        <w:autoSpaceDN w:val="0"/>
        <w:adjustRightInd w:val="0"/>
        <w:spacing w:line="276" w:lineRule="auto"/>
        <w:jc w:val="both"/>
        <w:rPr>
          <w:rFonts w:ascii="Arial" w:hAnsi="Arial" w:cs="Arial"/>
          <w:color w:val="000000"/>
          <w:sz w:val="20"/>
          <w:szCs w:val="20"/>
        </w:rPr>
      </w:pPr>
      <w:r w:rsidRPr="008035D0">
        <w:rPr>
          <w:rFonts w:ascii="Arial" w:hAnsi="Arial" w:cs="Arial"/>
          <w:color w:val="000000"/>
          <w:sz w:val="20"/>
          <w:szCs w:val="20"/>
        </w:rPr>
        <w:t xml:space="preserve">However there are pockets of disadvantage within the City, particularly within Katoomba. The Council has spent significant revenue in recent years to boost employment prospects within the City through initiatives such as the renovation of Echo Point and the building of the Blue Mountains Culture Centre which includes a regional gallery and state-of-the-art library. </w:t>
      </w:r>
      <w:r w:rsidRPr="008035D0">
        <w:rPr>
          <w:rFonts w:ascii="Arial" w:hAnsi="Arial" w:cs="Arial"/>
          <w:sz w:val="20"/>
          <w:szCs w:val="20"/>
        </w:rPr>
        <w:t>In addition, the Council successfully sought and obtained a grant of $3.4 million to develop a business park at Lawson, again, to boost local employment prospects.</w:t>
      </w:r>
      <w:r w:rsidR="00086AAD">
        <w:rPr>
          <w:rFonts w:ascii="Arial" w:hAnsi="Arial" w:cs="Arial"/>
          <w:sz w:val="20"/>
          <w:szCs w:val="20"/>
        </w:rPr>
        <w:t xml:space="preserve"> The Council has also sponsored and supported targeted health, housing and employment initiatives for the upper Mountains with the NSW Depart of Health in past years. </w:t>
      </w:r>
    </w:p>
    <w:p w14:paraId="02AC94C8" w14:textId="77777777" w:rsidR="009F4B68" w:rsidRPr="008035D0" w:rsidRDefault="009F4B68" w:rsidP="00AE4E46">
      <w:pPr>
        <w:pStyle w:val="Default"/>
        <w:spacing w:line="276" w:lineRule="auto"/>
        <w:jc w:val="both"/>
        <w:rPr>
          <w:sz w:val="20"/>
          <w:szCs w:val="20"/>
        </w:rPr>
      </w:pPr>
      <w:r w:rsidRPr="008035D0">
        <w:rPr>
          <w:sz w:val="20"/>
          <w:szCs w:val="20"/>
        </w:rPr>
        <w:t xml:space="preserve"> </w:t>
      </w:r>
    </w:p>
    <w:p w14:paraId="31D4729B" w14:textId="77777777" w:rsidR="009F4B68" w:rsidRPr="008035D0" w:rsidRDefault="009F4B68" w:rsidP="00AE4E46">
      <w:pPr>
        <w:pStyle w:val="Default"/>
        <w:spacing w:line="276" w:lineRule="auto"/>
        <w:jc w:val="both"/>
        <w:rPr>
          <w:sz w:val="20"/>
          <w:szCs w:val="20"/>
        </w:rPr>
      </w:pPr>
      <w:r w:rsidRPr="008035D0">
        <w:rPr>
          <w:sz w:val="20"/>
          <w:szCs w:val="20"/>
        </w:rPr>
        <w:t xml:space="preserve">Despite these efforts, a minority of ratepayers are likely to have limited capacity to pay increased rates and may require special </w:t>
      </w:r>
      <w:r>
        <w:rPr>
          <w:sz w:val="20"/>
          <w:szCs w:val="20"/>
        </w:rPr>
        <w:t xml:space="preserve">support and </w:t>
      </w:r>
      <w:r w:rsidRPr="008035D0">
        <w:rPr>
          <w:sz w:val="20"/>
          <w:szCs w:val="20"/>
        </w:rPr>
        <w:t xml:space="preserve">consideration or other measures under </w:t>
      </w:r>
      <w:r>
        <w:rPr>
          <w:sz w:val="20"/>
          <w:szCs w:val="20"/>
        </w:rPr>
        <w:t xml:space="preserve">the Council’s Hardship Policy, </w:t>
      </w:r>
      <w:r w:rsidRPr="008035D0">
        <w:rPr>
          <w:sz w:val="20"/>
          <w:szCs w:val="20"/>
        </w:rPr>
        <w:t xml:space="preserve">detailed in </w:t>
      </w:r>
      <w:r>
        <w:rPr>
          <w:sz w:val="20"/>
          <w:szCs w:val="20"/>
        </w:rPr>
        <w:t>S</w:t>
      </w:r>
      <w:r w:rsidRPr="008035D0">
        <w:rPr>
          <w:sz w:val="20"/>
          <w:szCs w:val="20"/>
        </w:rPr>
        <w:t>ection 5.3</w:t>
      </w:r>
      <w:r>
        <w:rPr>
          <w:sz w:val="20"/>
          <w:szCs w:val="20"/>
        </w:rPr>
        <w:t xml:space="preserve"> below</w:t>
      </w:r>
      <w:r w:rsidRPr="008035D0">
        <w:rPr>
          <w:sz w:val="20"/>
          <w:szCs w:val="20"/>
        </w:rPr>
        <w:t xml:space="preserve">. </w:t>
      </w:r>
    </w:p>
    <w:p w14:paraId="3E3D75C2" w14:textId="77777777" w:rsidR="009F4B68" w:rsidRPr="008035D0" w:rsidRDefault="009F4B68" w:rsidP="00AE4E46">
      <w:pPr>
        <w:autoSpaceDE w:val="0"/>
        <w:autoSpaceDN w:val="0"/>
        <w:adjustRightInd w:val="0"/>
        <w:spacing w:line="276" w:lineRule="auto"/>
        <w:jc w:val="both"/>
        <w:rPr>
          <w:rFonts w:ascii="Arial" w:hAnsi="Arial" w:cs="Arial"/>
          <w:color w:val="000000"/>
          <w:sz w:val="20"/>
          <w:szCs w:val="20"/>
        </w:rPr>
      </w:pPr>
    </w:p>
    <w:p w14:paraId="56DB6EF7" w14:textId="77777777" w:rsidR="009F4B68" w:rsidRPr="008035D0" w:rsidRDefault="009F4B68" w:rsidP="00AE4E46">
      <w:pPr>
        <w:autoSpaceDE w:val="0"/>
        <w:autoSpaceDN w:val="0"/>
        <w:adjustRightInd w:val="0"/>
        <w:spacing w:line="276" w:lineRule="auto"/>
        <w:jc w:val="both"/>
        <w:rPr>
          <w:rFonts w:ascii="Arial" w:hAnsi="Arial" w:cs="Arial"/>
          <w:color w:val="000000"/>
          <w:sz w:val="20"/>
          <w:szCs w:val="20"/>
        </w:rPr>
      </w:pPr>
      <w:r w:rsidRPr="008035D0">
        <w:rPr>
          <w:rFonts w:ascii="Arial" w:hAnsi="Arial" w:cs="Arial"/>
          <w:color w:val="000000"/>
          <w:sz w:val="20"/>
          <w:szCs w:val="20"/>
        </w:rPr>
        <w:t xml:space="preserve">The analysis has included comparisons against other councils on an Office of Local Government group basis or against Greater Sydney, or the state as a whole. It is important to note, however, that the comparative performance of the Blue Mountains against other local government areas is difficult to assess since the Blue Mountains is the only council in NSW with the classification ‘urban fringe large’ (with just over 78,000 residents), as other councils in its OLG group number are considered ‘urban fringe very large’ (with a minimum of 120,000 residents). </w:t>
      </w:r>
    </w:p>
    <w:p w14:paraId="3B3CCB41" w14:textId="77777777" w:rsidR="009F4B68" w:rsidRPr="008035D0" w:rsidRDefault="009F4B68" w:rsidP="00AE4E46">
      <w:pPr>
        <w:autoSpaceDE w:val="0"/>
        <w:autoSpaceDN w:val="0"/>
        <w:adjustRightInd w:val="0"/>
        <w:spacing w:line="276" w:lineRule="auto"/>
        <w:jc w:val="both"/>
        <w:rPr>
          <w:rFonts w:ascii="Arial" w:hAnsi="Arial" w:cs="Arial"/>
          <w:color w:val="000000"/>
          <w:sz w:val="20"/>
          <w:szCs w:val="20"/>
        </w:rPr>
      </w:pPr>
    </w:p>
    <w:p w14:paraId="264E4811" w14:textId="3D65086E" w:rsidR="009F4B68" w:rsidRDefault="009F4B68" w:rsidP="00AE4E46">
      <w:pPr>
        <w:autoSpaceDE w:val="0"/>
        <w:autoSpaceDN w:val="0"/>
        <w:adjustRightInd w:val="0"/>
        <w:spacing w:line="276" w:lineRule="auto"/>
        <w:jc w:val="both"/>
        <w:rPr>
          <w:rFonts w:ascii="Arial" w:hAnsi="Arial" w:cs="Arial"/>
          <w:color w:val="000000"/>
          <w:sz w:val="20"/>
          <w:szCs w:val="20"/>
        </w:rPr>
      </w:pPr>
      <w:r w:rsidRPr="008035D0">
        <w:rPr>
          <w:rFonts w:ascii="Arial" w:hAnsi="Arial" w:cs="Arial"/>
          <w:color w:val="000000"/>
          <w:sz w:val="20"/>
          <w:szCs w:val="20"/>
        </w:rPr>
        <w:t xml:space="preserve">As well, </w:t>
      </w:r>
      <w:r>
        <w:rPr>
          <w:rFonts w:ascii="Arial" w:hAnsi="Arial" w:cs="Arial"/>
          <w:color w:val="000000"/>
          <w:sz w:val="20"/>
          <w:szCs w:val="20"/>
        </w:rPr>
        <w:t xml:space="preserve">rating comparisons are difficult due </w:t>
      </w:r>
      <w:r w:rsidR="00086AAD">
        <w:rPr>
          <w:rFonts w:ascii="Arial" w:hAnsi="Arial" w:cs="Arial"/>
          <w:color w:val="000000"/>
          <w:sz w:val="20"/>
          <w:szCs w:val="20"/>
        </w:rPr>
        <w:t xml:space="preserve">if not appropriate given the </w:t>
      </w:r>
      <w:r w:rsidRPr="008035D0">
        <w:rPr>
          <w:rFonts w:ascii="Arial" w:hAnsi="Arial" w:cs="Arial"/>
          <w:color w:val="000000"/>
          <w:sz w:val="20"/>
          <w:szCs w:val="20"/>
        </w:rPr>
        <w:t>unique characteristics of the City</w:t>
      </w:r>
      <w:r>
        <w:rPr>
          <w:rFonts w:ascii="Arial" w:hAnsi="Arial" w:cs="Arial"/>
          <w:color w:val="000000"/>
          <w:sz w:val="20"/>
          <w:szCs w:val="20"/>
        </w:rPr>
        <w:t xml:space="preserve"> - in </w:t>
      </w:r>
      <w:r w:rsidRPr="008035D0">
        <w:rPr>
          <w:rFonts w:ascii="Arial" w:hAnsi="Arial" w:cs="Arial"/>
          <w:color w:val="000000"/>
          <w:sz w:val="20"/>
          <w:szCs w:val="20"/>
        </w:rPr>
        <w:t>particular its ribbon development and the resulting need for service duplication</w:t>
      </w:r>
      <w:r>
        <w:rPr>
          <w:rFonts w:ascii="Arial" w:hAnsi="Arial" w:cs="Arial"/>
          <w:color w:val="000000"/>
          <w:sz w:val="20"/>
          <w:szCs w:val="20"/>
        </w:rPr>
        <w:t xml:space="preserve"> (as sought by the community) (refer to </w:t>
      </w:r>
      <w:r w:rsidRPr="00086AAD">
        <w:rPr>
          <w:rFonts w:ascii="Arial" w:hAnsi="Arial" w:cs="Arial"/>
          <w:b/>
          <w:color w:val="000000"/>
          <w:sz w:val="20"/>
          <w:szCs w:val="20"/>
        </w:rPr>
        <w:t>Figure 5.1</w:t>
      </w:r>
      <w:r>
        <w:rPr>
          <w:rFonts w:ascii="Arial" w:hAnsi="Arial" w:cs="Arial"/>
          <w:color w:val="000000"/>
          <w:sz w:val="20"/>
          <w:szCs w:val="20"/>
        </w:rPr>
        <w:t xml:space="preserve"> below)</w:t>
      </w:r>
      <w:r w:rsidRPr="008035D0">
        <w:rPr>
          <w:rFonts w:ascii="Arial" w:hAnsi="Arial" w:cs="Arial"/>
          <w:color w:val="000000"/>
          <w:sz w:val="20"/>
          <w:szCs w:val="20"/>
        </w:rPr>
        <w:t xml:space="preserve">, World Heritage responsibilities, being a major international and domestic tourism and </w:t>
      </w:r>
      <w:r w:rsidR="00086AAD">
        <w:rPr>
          <w:rFonts w:ascii="Arial" w:hAnsi="Arial" w:cs="Arial"/>
          <w:color w:val="000000"/>
          <w:sz w:val="20"/>
          <w:szCs w:val="20"/>
        </w:rPr>
        <w:t xml:space="preserve">the </w:t>
      </w:r>
      <w:r w:rsidRPr="008035D0">
        <w:rPr>
          <w:rFonts w:ascii="Arial" w:hAnsi="Arial" w:cs="Arial"/>
          <w:color w:val="000000"/>
          <w:sz w:val="20"/>
          <w:szCs w:val="20"/>
        </w:rPr>
        <w:t xml:space="preserve">vulnerability </w:t>
      </w:r>
      <w:r w:rsidR="00086AAD">
        <w:rPr>
          <w:rFonts w:ascii="Arial" w:hAnsi="Arial" w:cs="Arial"/>
          <w:color w:val="000000"/>
          <w:sz w:val="20"/>
          <w:szCs w:val="20"/>
        </w:rPr>
        <w:t xml:space="preserve">of the Blue Mountains </w:t>
      </w:r>
      <w:r w:rsidRPr="008035D0">
        <w:rPr>
          <w:rFonts w:ascii="Arial" w:hAnsi="Arial" w:cs="Arial"/>
          <w:color w:val="000000"/>
          <w:sz w:val="20"/>
          <w:szCs w:val="20"/>
        </w:rPr>
        <w:t>to natural disasters such as bushfires, windstorms and flooding</w:t>
      </w:r>
      <w:r>
        <w:rPr>
          <w:rFonts w:ascii="Arial" w:hAnsi="Arial" w:cs="Arial"/>
          <w:color w:val="000000"/>
          <w:sz w:val="20"/>
          <w:szCs w:val="20"/>
        </w:rPr>
        <w:t xml:space="preserve"> (refer to </w:t>
      </w:r>
      <w:r w:rsidRPr="00086AAD">
        <w:rPr>
          <w:rFonts w:ascii="Arial" w:hAnsi="Arial" w:cs="Arial"/>
          <w:b/>
          <w:color w:val="000000"/>
          <w:sz w:val="20"/>
          <w:szCs w:val="20"/>
        </w:rPr>
        <w:t>Figure 5.2</w:t>
      </w:r>
      <w:r>
        <w:rPr>
          <w:rFonts w:ascii="Arial" w:hAnsi="Arial" w:cs="Arial"/>
          <w:color w:val="000000"/>
          <w:sz w:val="20"/>
          <w:szCs w:val="20"/>
        </w:rPr>
        <w:t xml:space="preserve"> below)</w:t>
      </w:r>
      <w:r w:rsidRPr="008035D0">
        <w:rPr>
          <w:rFonts w:ascii="Arial" w:hAnsi="Arial" w:cs="Arial"/>
          <w:color w:val="000000"/>
          <w:sz w:val="20"/>
          <w:szCs w:val="20"/>
        </w:rPr>
        <w:t xml:space="preserve">. Any higher than average rates when compared to other councils, are due to additional expenses faced by the Council due to these characteristics. </w:t>
      </w:r>
    </w:p>
    <w:p w14:paraId="242F8AA5" w14:textId="77777777" w:rsidR="009F4B68" w:rsidRDefault="009F4B68" w:rsidP="00AE4E46">
      <w:pPr>
        <w:autoSpaceDE w:val="0"/>
        <w:autoSpaceDN w:val="0"/>
        <w:adjustRightInd w:val="0"/>
        <w:spacing w:line="276" w:lineRule="auto"/>
        <w:jc w:val="both"/>
        <w:rPr>
          <w:rFonts w:ascii="Arial" w:hAnsi="Arial" w:cs="Arial"/>
          <w:color w:val="000000"/>
          <w:sz w:val="20"/>
          <w:szCs w:val="20"/>
        </w:rPr>
      </w:pPr>
    </w:p>
    <w:p w14:paraId="4EE6A6F2" w14:textId="150A6841" w:rsidR="009F4B68" w:rsidRPr="00931F58" w:rsidRDefault="009F4B68" w:rsidP="00AE4E46">
      <w:pPr>
        <w:autoSpaceDE w:val="0"/>
        <w:autoSpaceDN w:val="0"/>
        <w:adjustRightInd w:val="0"/>
        <w:spacing w:line="276" w:lineRule="auto"/>
        <w:jc w:val="both"/>
        <w:rPr>
          <w:rFonts w:ascii="Arial" w:hAnsi="Arial" w:cs="Arial"/>
          <w:b/>
          <w:color w:val="000000"/>
          <w:sz w:val="20"/>
          <w:szCs w:val="20"/>
        </w:rPr>
      </w:pPr>
      <w:r w:rsidRPr="00931F58">
        <w:rPr>
          <w:rFonts w:ascii="Arial" w:hAnsi="Arial" w:cs="Arial"/>
          <w:b/>
          <w:color w:val="000000"/>
          <w:sz w:val="20"/>
          <w:szCs w:val="20"/>
        </w:rPr>
        <w:t xml:space="preserve">Duplication </w:t>
      </w:r>
      <w:r w:rsidR="00FF78B3">
        <w:rPr>
          <w:rFonts w:ascii="Arial" w:hAnsi="Arial" w:cs="Arial"/>
          <w:b/>
          <w:color w:val="000000"/>
          <w:sz w:val="20"/>
          <w:szCs w:val="20"/>
        </w:rPr>
        <w:t xml:space="preserve">of </w:t>
      </w:r>
      <w:r w:rsidRPr="00931F58">
        <w:rPr>
          <w:rFonts w:ascii="Arial" w:hAnsi="Arial" w:cs="Arial"/>
          <w:b/>
          <w:color w:val="000000"/>
          <w:sz w:val="20"/>
          <w:szCs w:val="20"/>
        </w:rPr>
        <w:t>Services &amp; Facilities</w:t>
      </w:r>
    </w:p>
    <w:p w14:paraId="019F64F0" w14:textId="77777777" w:rsidR="009F4B68" w:rsidRDefault="009F4B68" w:rsidP="00AE4E46">
      <w:pPr>
        <w:autoSpaceDE w:val="0"/>
        <w:autoSpaceDN w:val="0"/>
        <w:adjustRightInd w:val="0"/>
        <w:spacing w:line="276" w:lineRule="auto"/>
        <w:jc w:val="both"/>
        <w:rPr>
          <w:rFonts w:ascii="Arial" w:hAnsi="Arial" w:cs="Arial"/>
          <w:color w:val="000000"/>
          <w:sz w:val="20"/>
          <w:szCs w:val="20"/>
        </w:rPr>
      </w:pPr>
      <w:r>
        <w:rPr>
          <w:rFonts w:ascii="Arial" w:hAnsi="Arial" w:cs="Arial"/>
          <w:color w:val="000000"/>
          <w:sz w:val="20"/>
          <w:szCs w:val="20"/>
        </w:rPr>
        <w:t xml:space="preserve">The Council incurs significant costs due to providing more services and facilities per head than many councils due to having 27 towns and villages spread along 100kms of mountainous terrain. As shown below, the Council has more public toilets, RFS/SES buildings, libraries and pools than more compact councils with similar populations to the Blue Mountains. </w:t>
      </w:r>
    </w:p>
    <w:p w14:paraId="5AF0088D" w14:textId="77777777" w:rsidR="009F4B68" w:rsidRDefault="009F4B68" w:rsidP="009F4B68">
      <w:pPr>
        <w:autoSpaceDE w:val="0"/>
        <w:autoSpaceDN w:val="0"/>
        <w:adjustRightInd w:val="0"/>
        <w:spacing w:line="360" w:lineRule="auto"/>
        <w:jc w:val="both"/>
        <w:rPr>
          <w:rFonts w:ascii="Arial" w:hAnsi="Arial" w:cs="Arial"/>
          <w:color w:val="000000"/>
          <w:sz w:val="20"/>
          <w:szCs w:val="20"/>
        </w:rPr>
      </w:pPr>
    </w:p>
    <w:p w14:paraId="72EEB039" w14:textId="77777777" w:rsidR="00AD2D16" w:rsidRDefault="009F4B68" w:rsidP="009F4B68">
      <w:pPr>
        <w:spacing w:before="40"/>
        <w:ind w:left="709" w:right="142"/>
        <w:jc w:val="center"/>
        <w:rPr>
          <w:rFonts w:ascii="Arial" w:hAnsi="Arial" w:cs="Arial"/>
          <w:b/>
          <w:sz w:val="18"/>
          <w:szCs w:val="18"/>
          <w:lang w:val="en-US" w:eastAsia="en-US"/>
        </w:rPr>
      </w:pPr>
      <w:r w:rsidRPr="00AD2D16">
        <w:rPr>
          <w:rFonts w:ascii="Arial" w:hAnsi="Arial" w:cs="Arial"/>
          <w:b/>
          <w:sz w:val="18"/>
          <w:szCs w:val="18"/>
          <w:lang w:val="en-US" w:eastAsia="en-US"/>
        </w:rPr>
        <w:t>Figure 5.1</w:t>
      </w:r>
      <w:r w:rsidR="00086AAD" w:rsidRPr="00AD2D16">
        <w:rPr>
          <w:rFonts w:ascii="Arial" w:hAnsi="Arial" w:cs="Arial"/>
          <w:b/>
          <w:sz w:val="18"/>
          <w:szCs w:val="18"/>
          <w:lang w:val="en-US" w:eastAsia="en-US"/>
        </w:rPr>
        <w:t>:</w:t>
      </w:r>
      <w:r w:rsidRPr="00AD2D16">
        <w:rPr>
          <w:rFonts w:ascii="Arial" w:hAnsi="Arial" w:cs="Arial"/>
          <w:b/>
          <w:sz w:val="18"/>
          <w:szCs w:val="18"/>
          <w:lang w:val="en-US" w:eastAsia="en-US"/>
        </w:rPr>
        <w:t xml:space="preserve"> Comparison of Number of Blue Mountains Assets with </w:t>
      </w:r>
    </w:p>
    <w:p w14:paraId="4585005C" w14:textId="49EB71B1" w:rsidR="009F4B68" w:rsidRPr="00AD2D16" w:rsidRDefault="009F4B68" w:rsidP="009F4B68">
      <w:pPr>
        <w:spacing w:before="40"/>
        <w:ind w:left="709" w:right="142"/>
        <w:jc w:val="center"/>
        <w:rPr>
          <w:rFonts w:ascii="Arial" w:hAnsi="Arial" w:cs="Arial"/>
          <w:b/>
          <w:sz w:val="18"/>
          <w:szCs w:val="18"/>
          <w:lang w:val="en-US" w:eastAsia="en-US"/>
        </w:rPr>
      </w:pPr>
      <w:r w:rsidRPr="00AD2D16">
        <w:rPr>
          <w:rFonts w:ascii="Arial" w:hAnsi="Arial" w:cs="Arial"/>
          <w:b/>
          <w:sz w:val="18"/>
          <w:szCs w:val="18"/>
          <w:lang w:val="en-US" w:eastAsia="en-US"/>
        </w:rPr>
        <w:t>Other Council Areas of Similar Populations</w:t>
      </w:r>
    </w:p>
    <w:p w14:paraId="1A6BA762" w14:textId="77777777" w:rsidR="009F4B68" w:rsidRDefault="009F4B68" w:rsidP="009F4B68">
      <w:pPr>
        <w:autoSpaceDE w:val="0"/>
        <w:autoSpaceDN w:val="0"/>
        <w:adjustRightInd w:val="0"/>
        <w:spacing w:line="360" w:lineRule="auto"/>
        <w:jc w:val="both"/>
        <w:rPr>
          <w:rFonts w:ascii="Arial" w:hAnsi="Arial" w:cs="Arial"/>
          <w:color w:val="000000"/>
          <w:sz w:val="20"/>
          <w:szCs w:val="20"/>
        </w:rPr>
      </w:pPr>
      <w:r>
        <w:rPr>
          <w:rFonts w:ascii="Arial" w:hAnsi="Arial" w:cs="Arial"/>
          <w:noProof/>
          <w:color w:val="000000"/>
          <w:sz w:val="20"/>
          <w:szCs w:val="20"/>
        </w:rPr>
        <w:drawing>
          <wp:inline distT="0" distB="0" distL="0" distR="0" wp14:anchorId="2E48672D" wp14:editId="2AAB0297">
            <wp:extent cx="5400675" cy="2489835"/>
            <wp:effectExtent l="0" t="0" r="9525"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5400675" cy="2489835"/>
                    </a:xfrm>
                    <a:prstGeom prst="rect">
                      <a:avLst/>
                    </a:prstGeom>
                    <a:noFill/>
                    <a:ln>
                      <a:noFill/>
                    </a:ln>
                  </pic:spPr>
                </pic:pic>
              </a:graphicData>
            </a:graphic>
          </wp:inline>
        </w:drawing>
      </w:r>
    </w:p>
    <w:p w14:paraId="144D8065" w14:textId="77777777" w:rsidR="00086AAD" w:rsidRPr="00824AEE" w:rsidRDefault="00086AAD" w:rsidP="00086AAD">
      <w:pPr>
        <w:autoSpaceDE w:val="0"/>
        <w:autoSpaceDN w:val="0"/>
        <w:adjustRightInd w:val="0"/>
        <w:ind w:left="568" w:firstLine="284"/>
        <w:jc w:val="center"/>
        <w:rPr>
          <w:rFonts w:ascii="Arial" w:hAnsi="Arial" w:cs="Arial"/>
          <w:i/>
          <w:color w:val="000000"/>
          <w:sz w:val="16"/>
          <w:szCs w:val="16"/>
        </w:rPr>
      </w:pPr>
      <w:r w:rsidRPr="00824AEE">
        <w:rPr>
          <w:rFonts w:ascii="Arial" w:hAnsi="Arial" w:cs="Arial"/>
          <w:i/>
          <w:color w:val="000000"/>
          <w:sz w:val="16"/>
          <w:szCs w:val="16"/>
        </w:rPr>
        <w:t>Source: OLG Comparative Information on NSW Local Government Councils 2010-2011</w:t>
      </w:r>
    </w:p>
    <w:p w14:paraId="680148AA" w14:textId="77777777" w:rsidR="00086AAD" w:rsidRDefault="00086AAD" w:rsidP="00AE4E46">
      <w:pPr>
        <w:autoSpaceDE w:val="0"/>
        <w:autoSpaceDN w:val="0"/>
        <w:adjustRightInd w:val="0"/>
        <w:spacing w:line="276" w:lineRule="auto"/>
        <w:jc w:val="both"/>
        <w:rPr>
          <w:rFonts w:ascii="Arial" w:hAnsi="Arial" w:cs="Arial"/>
          <w:b/>
          <w:color w:val="000000"/>
          <w:sz w:val="20"/>
          <w:szCs w:val="20"/>
        </w:rPr>
      </w:pPr>
    </w:p>
    <w:p w14:paraId="2F012BE6" w14:textId="61138B8C" w:rsidR="009F4B68" w:rsidRPr="00824AEE" w:rsidRDefault="009F4B68" w:rsidP="00AE4E46">
      <w:pPr>
        <w:autoSpaceDE w:val="0"/>
        <w:autoSpaceDN w:val="0"/>
        <w:adjustRightInd w:val="0"/>
        <w:spacing w:line="276" w:lineRule="auto"/>
        <w:jc w:val="both"/>
        <w:rPr>
          <w:rFonts w:ascii="Arial" w:hAnsi="Arial" w:cs="Arial"/>
          <w:b/>
          <w:color w:val="000000"/>
          <w:sz w:val="20"/>
          <w:szCs w:val="20"/>
        </w:rPr>
      </w:pPr>
      <w:r w:rsidRPr="00824AEE">
        <w:rPr>
          <w:rFonts w:ascii="Arial" w:hAnsi="Arial" w:cs="Arial"/>
          <w:b/>
          <w:color w:val="000000"/>
          <w:sz w:val="20"/>
          <w:szCs w:val="20"/>
        </w:rPr>
        <w:t>Additional Expenditure Requirements</w:t>
      </w:r>
    </w:p>
    <w:p w14:paraId="5AFDF377" w14:textId="77777777" w:rsidR="009F4B68" w:rsidRDefault="009F4B68" w:rsidP="00AE4E46">
      <w:pPr>
        <w:autoSpaceDE w:val="0"/>
        <w:autoSpaceDN w:val="0"/>
        <w:adjustRightInd w:val="0"/>
        <w:spacing w:line="276" w:lineRule="auto"/>
        <w:jc w:val="both"/>
        <w:rPr>
          <w:rFonts w:ascii="Arial" w:hAnsi="Arial" w:cs="Arial"/>
          <w:color w:val="000000"/>
          <w:sz w:val="20"/>
          <w:szCs w:val="20"/>
        </w:rPr>
      </w:pPr>
      <w:r>
        <w:rPr>
          <w:rFonts w:ascii="Arial" w:hAnsi="Arial" w:cs="Arial"/>
          <w:color w:val="000000"/>
          <w:sz w:val="20"/>
          <w:szCs w:val="20"/>
        </w:rPr>
        <w:t xml:space="preserve">The chart below shows that the Council’s higher than average expenditure on environment and emergency management in comparison to the NSW State average. </w:t>
      </w:r>
    </w:p>
    <w:p w14:paraId="1F0DD14E" w14:textId="77777777" w:rsidR="00086AAD" w:rsidRDefault="00086AAD" w:rsidP="00086AAD">
      <w:pPr>
        <w:spacing w:before="40"/>
        <w:ind w:left="1845" w:right="142" w:firstLine="143"/>
        <w:rPr>
          <w:rFonts w:ascii="Arial" w:hAnsi="Arial" w:cs="Arial"/>
          <w:b/>
          <w:sz w:val="20"/>
          <w:szCs w:val="20"/>
          <w:lang w:val="en-US" w:eastAsia="en-US"/>
        </w:rPr>
      </w:pPr>
    </w:p>
    <w:p w14:paraId="3F52D2B1" w14:textId="145CD0C5" w:rsidR="009F4B68" w:rsidRPr="00AD2D16" w:rsidRDefault="00086AAD" w:rsidP="00086AAD">
      <w:pPr>
        <w:spacing w:before="40"/>
        <w:ind w:right="142"/>
        <w:rPr>
          <w:rFonts w:ascii="Arial" w:hAnsi="Arial" w:cs="Arial"/>
          <w:b/>
          <w:sz w:val="18"/>
          <w:szCs w:val="18"/>
          <w:lang w:val="en-US" w:eastAsia="en-US"/>
        </w:rPr>
      </w:pPr>
      <w:r>
        <w:rPr>
          <w:rFonts w:ascii="Arial" w:hAnsi="Arial" w:cs="Arial"/>
          <w:b/>
          <w:sz w:val="20"/>
          <w:szCs w:val="20"/>
          <w:lang w:val="en-US" w:eastAsia="en-US"/>
        </w:rPr>
        <w:t xml:space="preserve">                                   </w:t>
      </w:r>
      <w:r w:rsidR="009F4B68" w:rsidRPr="00AD2D16">
        <w:rPr>
          <w:rFonts w:ascii="Arial" w:hAnsi="Arial" w:cs="Arial"/>
          <w:b/>
          <w:sz w:val="18"/>
          <w:szCs w:val="18"/>
          <w:lang w:val="en-US" w:eastAsia="en-US"/>
        </w:rPr>
        <w:t>Figure 5.2</w:t>
      </w:r>
      <w:r w:rsidRPr="00AD2D16">
        <w:rPr>
          <w:rFonts w:ascii="Arial" w:hAnsi="Arial" w:cs="Arial"/>
          <w:b/>
          <w:sz w:val="18"/>
          <w:szCs w:val="18"/>
          <w:lang w:val="en-US" w:eastAsia="en-US"/>
        </w:rPr>
        <w:t>:</w:t>
      </w:r>
      <w:r w:rsidR="009F4B68" w:rsidRPr="00AD2D16">
        <w:rPr>
          <w:rFonts w:ascii="Arial" w:hAnsi="Arial" w:cs="Arial"/>
          <w:b/>
          <w:sz w:val="18"/>
          <w:szCs w:val="18"/>
          <w:lang w:val="en-US" w:eastAsia="en-US"/>
        </w:rPr>
        <w:t xml:space="preserve"> Annual Expenditure </w:t>
      </w:r>
      <w:r w:rsidRPr="00AD2D16">
        <w:rPr>
          <w:rFonts w:ascii="Arial" w:hAnsi="Arial" w:cs="Arial"/>
          <w:b/>
          <w:sz w:val="18"/>
          <w:szCs w:val="18"/>
          <w:lang w:val="en-US" w:eastAsia="en-US"/>
        </w:rPr>
        <w:t xml:space="preserve">($000) </w:t>
      </w:r>
      <w:r w:rsidR="009F4B68" w:rsidRPr="00AD2D16">
        <w:rPr>
          <w:rFonts w:ascii="Arial" w:hAnsi="Arial" w:cs="Arial"/>
          <w:b/>
          <w:sz w:val="18"/>
          <w:szCs w:val="18"/>
          <w:lang w:val="en-US" w:eastAsia="en-US"/>
        </w:rPr>
        <w:t>on Services Per Resident</w:t>
      </w:r>
    </w:p>
    <w:p w14:paraId="6769ADE2" w14:textId="77777777" w:rsidR="009F4B68" w:rsidRDefault="009F4B68" w:rsidP="009F4B68">
      <w:pPr>
        <w:autoSpaceDE w:val="0"/>
        <w:autoSpaceDN w:val="0"/>
        <w:adjustRightInd w:val="0"/>
        <w:spacing w:line="360" w:lineRule="auto"/>
        <w:jc w:val="center"/>
        <w:rPr>
          <w:rFonts w:ascii="Arial" w:hAnsi="Arial" w:cs="Arial"/>
          <w:color w:val="000000"/>
          <w:sz w:val="20"/>
          <w:szCs w:val="20"/>
        </w:rPr>
      </w:pPr>
      <w:r>
        <w:rPr>
          <w:rFonts w:ascii="Arial" w:hAnsi="Arial" w:cs="Arial"/>
          <w:noProof/>
          <w:color w:val="000000"/>
          <w:sz w:val="20"/>
          <w:szCs w:val="20"/>
        </w:rPr>
        <w:drawing>
          <wp:inline distT="0" distB="0" distL="0" distR="0" wp14:anchorId="7D8F1B24" wp14:editId="678EE292">
            <wp:extent cx="3425952" cy="2516333"/>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3439030" cy="2525939"/>
                    </a:xfrm>
                    <a:prstGeom prst="rect">
                      <a:avLst/>
                    </a:prstGeom>
                    <a:noFill/>
                    <a:ln>
                      <a:noFill/>
                    </a:ln>
                  </pic:spPr>
                </pic:pic>
              </a:graphicData>
            </a:graphic>
          </wp:inline>
        </w:drawing>
      </w:r>
    </w:p>
    <w:p w14:paraId="5C40B248" w14:textId="77777777" w:rsidR="009F4B68" w:rsidRPr="00824AEE" w:rsidRDefault="009F4B68" w:rsidP="00AE4E46">
      <w:pPr>
        <w:autoSpaceDE w:val="0"/>
        <w:autoSpaceDN w:val="0"/>
        <w:adjustRightInd w:val="0"/>
        <w:ind w:left="568" w:firstLine="284"/>
        <w:jc w:val="center"/>
        <w:rPr>
          <w:rFonts w:ascii="Arial" w:hAnsi="Arial" w:cs="Arial"/>
          <w:i/>
          <w:color w:val="000000"/>
          <w:sz w:val="16"/>
          <w:szCs w:val="16"/>
        </w:rPr>
      </w:pPr>
      <w:r w:rsidRPr="00824AEE">
        <w:rPr>
          <w:rFonts w:ascii="Arial" w:hAnsi="Arial" w:cs="Arial"/>
          <w:i/>
          <w:color w:val="000000"/>
          <w:sz w:val="16"/>
          <w:szCs w:val="16"/>
        </w:rPr>
        <w:t>Source: OLG Comparative Information on NSW Local Government Councils 2010-2011</w:t>
      </w:r>
    </w:p>
    <w:p w14:paraId="390465AC" w14:textId="77777777" w:rsidR="009F4B68" w:rsidRDefault="009F4B68" w:rsidP="009F4B68">
      <w:pPr>
        <w:autoSpaceDE w:val="0"/>
        <w:autoSpaceDN w:val="0"/>
        <w:adjustRightInd w:val="0"/>
        <w:spacing w:line="360" w:lineRule="auto"/>
        <w:jc w:val="center"/>
        <w:rPr>
          <w:rFonts w:ascii="Arial" w:hAnsi="Arial" w:cs="Arial"/>
          <w:color w:val="000000"/>
          <w:sz w:val="20"/>
          <w:szCs w:val="20"/>
        </w:rPr>
      </w:pPr>
    </w:p>
    <w:p w14:paraId="78BD5870" w14:textId="77777777" w:rsidR="009F4B68" w:rsidRPr="00014704" w:rsidRDefault="009F4B68" w:rsidP="009F4B68">
      <w:pPr>
        <w:autoSpaceDE w:val="0"/>
        <w:autoSpaceDN w:val="0"/>
        <w:adjustRightInd w:val="0"/>
        <w:spacing w:line="360" w:lineRule="auto"/>
        <w:rPr>
          <w:rFonts w:ascii="Arial" w:hAnsi="Arial" w:cs="Arial"/>
          <w:b/>
          <w:sz w:val="20"/>
          <w:szCs w:val="20"/>
        </w:rPr>
      </w:pPr>
      <w:r w:rsidRPr="00014704">
        <w:rPr>
          <w:rFonts w:ascii="Arial" w:hAnsi="Arial" w:cs="Arial"/>
          <w:b/>
          <w:sz w:val="20"/>
          <w:szCs w:val="20"/>
        </w:rPr>
        <w:t>Capacity to Pay Measures</w:t>
      </w:r>
    </w:p>
    <w:p w14:paraId="12F6C28B" w14:textId="77777777" w:rsidR="009F4B68" w:rsidRPr="008035D0" w:rsidRDefault="009F4B68" w:rsidP="00AE4E46">
      <w:pPr>
        <w:spacing w:before="40" w:line="276" w:lineRule="auto"/>
        <w:ind w:right="142"/>
        <w:jc w:val="both"/>
        <w:rPr>
          <w:rFonts w:ascii="Arial" w:hAnsi="Arial" w:cs="Arial"/>
          <w:sz w:val="20"/>
          <w:szCs w:val="20"/>
          <w:lang w:val="en-US" w:eastAsia="en-US"/>
        </w:rPr>
      </w:pPr>
      <w:r w:rsidRPr="008035D0">
        <w:rPr>
          <w:rFonts w:ascii="Arial" w:hAnsi="Arial" w:cs="Arial"/>
          <w:sz w:val="20"/>
          <w:szCs w:val="20"/>
          <w:lang w:val="en-US" w:eastAsia="en-US"/>
        </w:rPr>
        <w:t>The assessment of capacity to pay considered a range of measures including:</w:t>
      </w:r>
    </w:p>
    <w:p w14:paraId="3E264D5B" w14:textId="77777777" w:rsidR="009F4B68" w:rsidRPr="008035D0" w:rsidRDefault="009F4B68" w:rsidP="00086AAD">
      <w:pPr>
        <w:pStyle w:val="ListParagraph"/>
        <w:numPr>
          <w:ilvl w:val="0"/>
          <w:numId w:val="81"/>
        </w:numPr>
        <w:spacing w:before="40" w:line="276" w:lineRule="auto"/>
        <w:ind w:left="284" w:right="142" w:hanging="284"/>
        <w:jc w:val="both"/>
        <w:rPr>
          <w:rFonts w:ascii="Arial" w:hAnsi="Arial" w:cs="Arial"/>
          <w:b/>
          <w:sz w:val="20"/>
          <w:szCs w:val="20"/>
          <w:lang w:val="en-US"/>
        </w:rPr>
      </w:pPr>
      <w:r w:rsidRPr="008035D0">
        <w:rPr>
          <w:rFonts w:ascii="Arial" w:hAnsi="Arial" w:cs="Arial"/>
          <w:b/>
          <w:sz w:val="20"/>
          <w:szCs w:val="20"/>
          <w:lang w:val="en-US"/>
        </w:rPr>
        <w:t xml:space="preserve">Population </w:t>
      </w:r>
    </w:p>
    <w:p w14:paraId="5E726E67" w14:textId="77777777" w:rsidR="009F4B68" w:rsidRPr="008035D0" w:rsidRDefault="009F4B68" w:rsidP="00086AAD">
      <w:pPr>
        <w:suppressAutoHyphens/>
        <w:autoSpaceDE w:val="0"/>
        <w:autoSpaceDN w:val="0"/>
        <w:adjustRightInd w:val="0"/>
        <w:spacing w:line="276" w:lineRule="auto"/>
        <w:ind w:left="284" w:hanging="284"/>
        <w:textAlignment w:val="center"/>
        <w:rPr>
          <w:rFonts w:ascii="Arial" w:hAnsi="Arial" w:cs="Arial"/>
          <w:sz w:val="20"/>
          <w:szCs w:val="20"/>
          <w:lang w:val="en-US"/>
        </w:rPr>
      </w:pPr>
      <w:r w:rsidRPr="008035D0">
        <w:rPr>
          <w:rFonts w:ascii="Arial" w:hAnsi="Arial" w:cs="Arial"/>
          <w:sz w:val="20"/>
          <w:szCs w:val="20"/>
          <w:lang w:val="en-US"/>
        </w:rPr>
        <w:t>In 2011, the City had a population of approximately 75,942 people:</w:t>
      </w:r>
    </w:p>
    <w:p w14:paraId="67025728" w14:textId="77777777" w:rsidR="009F4B68" w:rsidRPr="008035D0" w:rsidRDefault="009F4B68" w:rsidP="00086AAD">
      <w:pPr>
        <w:pStyle w:val="ListParagraph"/>
        <w:numPr>
          <w:ilvl w:val="0"/>
          <w:numId w:val="82"/>
        </w:numPr>
        <w:spacing w:after="60" w:line="276" w:lineRule="auto"/>
        <w:ind w:left="284" w:hanging="284"/>
        <w:jc w:val="both"/>
        <w:rPr>
          <w:rFonts w:ascii="Arial" w:hAnsi="Arial" w:cs="Arial"/>
          <w:sz w:val="20"/>
          <w:szCs w:val="20"/>
        </w:rPr>
      </w:pPr>
      <w:r w:rsidRPr="008035D0">
        <w:rPr>
          <w:rFonts w:ascii="Arial" w:hAnsi="Arial" w:cs="Arial"/>
          <w:sz w:val="20"/>
          <w:szCs w:val="20"/>
        </w:rPr>
        <w:t>Average age: 42</w:t>
      </w:r>
    </w:p>
    <w:p w14:paraId="5FD68F64" w14:textId="77777777" w:rsidR="009F4B68" w:rsidRPr="008035D0" w:rsidRDefault="009F4B68" w:rsidP="00086AAD">
      <w:pPr>
        <w:pStyle w:val="ListParagraph"/>
        <w:numPr>
          <w:ilvl w:val="0"/>
          <w:numId w:val="82"/>
        </w:numPr>
        <w:spacing w:after="60" w:line="276" w:lineRule="auto"/>
        <w:ind w:left="284" w:hanging="284"/>
        <w:jc w:val="both"/>
        <w:rPr>
          <w:rFonts w:ascii="Arial" w:hAnsi="Arial" w:cs="Arial"/>
          <w:sz w:val="20"/>
          <w:szCs w:val="20"/>
        </w:rPr>
      </w:pPr>
      <w:r w:rsidRPr="008035D0">
        <w:rPr>
          <w:rFonts w:ascii="Arial" w:hAnsi="Arial" w:cs="Arial"/>
          <w:sz w:val="20"/>
          <w:szCs w:val="20"/>
        </w:rPr>
        <w:t>Average household size: 2.5 persons</w:t>
      </w:r>
    </w:p>
    <w:p w14:paraId="4547E4D1" w14:textId="77777777" w:rsidR="009F4B68" w:rsidRPr="008035D0" w:rsidRDefault="009F4B68" w:rsidP="00086AAD">
      <w:pPr>
        <w:pStyle w:val="ListParagraph"/>
        <w:numPr>
          <w:ilvl w:val="0"/>
          <w:numId w:val="82"/>
        </w:numPr>
        <w:spacing w:after="60" w:line="276" w:lineRule="auto"/>
        <w:ind w:left="284" w:hanging="284"/>
        <w:jc w:val="both"/>
        <w:rPr>
          <w:rFonts w:ascii="Arial" w:hAnsi="Arial" w:cs="Arial"/>
          <w:sz w:val="20"/>
          <w:szCs w:val="20"/>
        </w:rPr>
      </w:pPr>
      <w:r w:rsidRPr="008035D0">
        <w:rPr>
          <w:rFonts w:ascii="Arial" w:hAnsi="Arial" w:cs="Arial"/>
          <w:sz w:val="20"/>
          <w:szCs w:val="20"/>
        </w:rPr>
        <w:t>Average number of persons per bedroom: 1.1</w:t>
      </w:r>
    </w:p>
    <w:p w14:paraId="7221F892" w14:textId="77777777" w:rsidR="009F4B68" w:rsidRPr="008035D0" w:rsidRDefault="009F4B68" w:rsidP="00086AAD">
      <w:pPr>
        <w:pStyle w:val="ListParagraph"/>
        <w:numPr>
          <w:ilvl w:val="0"/>
          <w:numId w:val="82"/>
        </w:numPr>
        <w:spacing w:after="60" w:line="276" w:lineRule="auto"/>
        <w:ind w:left="284" w:hanging="284"/>
        <w:jc w:val="both"/>
        <w:rPr>
          <w:rFonts w:ascii="Arial" w:hAnsi="Arial" w:cs="Arial"/>
          <w:sz w:val="20"/>
          <w:szCs w:val="20"/>
        </w:rPr>
      </w:pPr>
      <w:r w:rsidRPr="008035D0">
        <w:rPr>
          <w:rFonts w:ascii="Arial" w:hAnsi="Arial" w:cs="Arial"/>
          <w:sz w:val="20"/>
          <w:szCs w:val="20"/>
        </w:rPr>
        <w:t>Average motor vehicles per dwelling: 1.7</w:t>
      </w:r>
    </w:p>
    <w:p w14:paraId="592E5C42" w14:textId="1EB164F7" w:rsidR="009F4B68" w:rsidRDefault="009F4B68" w:rsidP="00086AAD">
      <w:pPr>
        <w:spacing w:before="40" w:line="276" w:lineRule="auto"/>
        <w:ind w:right="142"/>
        <w:jc w:val="both"/>
        <w:rPr>
          <w:rFonts w:ascii="Arial" w:hAnsi="Arial" w:cs="Arial"/>
          <w:sz w:val="20"/>
          <w:szCs w:val="20"/>
          <w:lang w:val="en-US" w:eastAsia="en-US"/>
        </w:rPr>
      </w:pPr>
      <w:r w:rsidRPr="008035D0">
        <w:rPr>
          <w:rFonts w:ascii="Arial" w:hAnsi="Arial" w:cs="Arial"/>
          <w:sz w:val="20"/>
          <w:szCs w:val="20"/>
          <w:lang w:val="en-US" w:eastAsia="en-US"/>
        </w:rPr>
        <w:t xml:space="preserve">Demographic trends over the period 2001 – 2011 indicate that the population of those aged 49 and under is reducing, while there is a </w:t>
      </w:r>
      <w:r w:rsidR="00086AAD">
        <w:rPr>
          <w:rFonts w:ascii="Arial" w:hAnsi="Arial" w:cs="Arial"/>
          <w:sz w:val="20"/>
          <w:szCs w:val="20"/>
          <w:lang w:val="en-US" w:eastAsia="en-US"/>
        </w:rPr>
        <w:t xml:space="preserve">relatively </w:t>
      </w:r>
      <w:r w:rsidRPr="008035D0">
        <w:rPr>
          <w:rFonts w:ascii="Arial" w:hAnsi="Arial" w:cs="Arial"/>
          <w:sz w:val="20"/>
          <w:szCs w:val="20"/>
          <w:lang w:val="en-US" w:eastAsia="en-US"/>
        </w:rPr>
        <w:t>large</w:t>
      </w:r>
      <w:r w:rsidR="00086AAD">
        <w:rPr>
          <w:rFonts w:ascii="Arial" w:hAnsi="Arial" w:cs="Arial"/>
          <w:sz w:val="20"/>
          <w:szCs w:val="20"/>
          <w:lang w:val="en-US" w:eastAsia="en-US"/>
        </w:rPr>
        <w:t>r</w:t>
      </w:r>
      <w:r w:rsidRPr="008035D0">
        <w:rPr>
          <w:rFonts w:ascii="Arial" w:hAnsi="Arial" w:cs="Arial"/>
          <w:sz w:val="20"/>
          <w:szCs w:val="20"/>
          <w:lang w:val="en-US" w:eastAsia="en-US"/>
        </w:rPr>
        <w:t xml:space="preserve"> increase in the population of those aged 50 and over.  </w:t>
      </w:r>
    </w:p>
    <w:p w14:paraId="495D658E" w14:textId="77777777" w:rsidR="00AE4E46" w:rsidRPr="008035D0" w:rsidRDefault="00AE4E46" w:rsidP="00AE4E46">
      <w:pPr>
        <w:spacing w:before="40" w:line="276" w:lineRule="auto"/>
        <w:ind w:left="709" w:right="142"/>
        <w:jc w:val="both"/>
        <w:rPr>
          <w:rFonts w:ascii="Arial" w:hAnsi="Arial" w:cs="Arial"/>
          <w:sz w:val="20"/>
          <w:szCs w:val="20"/>
          <w:lang w:val="en-US" w:eastAsia="en-US"/>
        </w:rPr>
      </w:pPr>
    </w:p>
    <w:p w14:paraId="3A2D364A" w14:textId="77777777" w:rsidR="009F4B68" w:rsidRPr="008035D0" w:rsidRDefault="009F4B68" w:rsidP="00086AAD">
      <w:pPr>
        <w:pStyle w:val="ListParagraph"/>
        <w:numPr>
          <w:ilvl w:val="0"/>
          <w:numId w:val="81"/>
        </w:numPr>
        <w:spacing w:before="40" w:line="276" w:lineRule="auto"/>
        <w:ind w:left="284" w:right="142" w:hanging="284"/>
        <w:jc w:val="both"/>
        <w:rPr>
          <w:rFonts w:ascii="Arial" w:hAnsi="Arial" w:cs="Arial"/>
          <w:b/>
          <w:sz w:val="20"/>
          <w:szCs w:val="20"/>
          <w:lang w:val="en-US"/>
        </w:rPr>
      </w:pPr>
      <w:r w:rsidRPr="008035D0">
        <w:rPr>
          <w:rFonts w:ascii="Arial" w:hAnsi="Arial" w:cs="Arial"/>
          <w:b/>
          <w:sz w:val="20"/>
          <w:szCs w:val="20"/>
          <w:lang w:val="en-US"/>
        </w:rPr>
        <w:t>SEIFA Index of Disadvantage</w:t>
      </w:r>
    </w:p>
    <w:p w14:paraId="167B24FC" w14:textId="77777777" w:rsidR="00086AAD" w:rsidRDefault="009F4B68" w:rsidP="00086AAD">
      <w:pPr>
        <w:spacing w:before="40" w:line="276" w:lineRule="auto"/>
        <w:ind w:right="142"/>
        <w:jc w:val="both"/>
        <w:rPr>
          <w:rFonts w:ascii="Arial" w:hAnsi="Arial" w:cs="Arial"/>
          <w:sz w:val="20"/>
          <w:szCs w:val="20"/>
          <w:lang w:val="en-US" w:eastAsia="en-US"/>
        </w:rPr>
      </w:pPr>
      <w:r w:rsidRPr="008035D0">
        <w:rPr>
          <w:rFonts w:ascii="Arial" w:hAnsi="Arial" w:cs="Arial"/>
          <w:sz w:val="20"/>
          <w:szCs w:val="20"/>
          <w:lang w:val="en-US" w:eastAsia="en-US"/>
        </w:rPr>
        <w:t xml:space="preserve">The Index of Relative Socio-Economic Disadvantage (IRSD) is one of four socio-economic indexes for areas (SEIFA) prepared by the ABS. </w:t>
      </w:r>
    </w:p>
    <w:p w14:paraId="67DFC4E0" w14:textId="77777777" w:rsidR="00086AAD" w:rsidRDefault="00086AAD" w:rsidP="00086AAD">
      <w:pPr>
        <w:spacing w:before="40" w:line="276" w:lineRule="auto"/>
        <w:ind w:right="142"/>
        <w:jc w:val="both"/>
        <w:rPr>
          <w:rFonts w:ascii="Arial" w:hAnsi="Arial" w:cs="Arial"/>
          <w:sz w:val="20"/>
          <w:szCs w:val="20"/>
          <w:lang w:val="en-US" w:eastAsia="en-US"/>
        </w:rPr>
      </w:pPr>
    </w:p>
    <w:p w14:paraId="73889670" w14:textId="0D469571" w:rsidR="009F4B68" w:rsidRPr="008035D0" w:rsidRDefault="009F4B68" w:rsidP="00086AAD">
      <w:pPr>
        <w:spacing w:before="40" w:line="276" w:lineRule="auto"/>
        <w:ind w:right="142"/>
        <w:jc w:val="both"/>
        <w:rPr>
          <w:rFonts w:ascii="Arial" w:hAnsi="Arial" w:cs="Arial"/>
          <w:sz w:val="20"/>
          <w:szCs w:val="20"/>
          <w:lang w:val="en-US" w:eastAsia="en-US"/>
        </w:rPr>
      </w:pPr>
      <w:r w:rsidRPr="008035D0">
        <w:rPr>
          <w:rFonts w:ascii="Arial" w:hAnsi="Arial" w:cs="Arial"/>
          <w:sz w:val="20"/>
          <w:szCs w:val="20"/>
          <w:lang w:val="en-US" w:eastAsia="en-US"/>
        </w:rPr>
        <w:t xml:space="preserve">The IRSD summarises a range of economic and social factors of people and households within an area to derive a score. A high score indicates a relative lack of disadvantage in general. </w:t>
      </w:r>
    </w:p>
    <w:p w14:paraId="5D8C2EE6" w14:textId="72C00058" w:rsidR="00086AAD" w:rsidRDefault="00086AAD">
      <w:pPr>
        <w:rPr>
          <w:rFonts w:ascii="Arial" w:hAnsi="Arial" w:cs="Arial"/>
          <w:b/>
          <w:sz w:val="20"/>
          <w:szCs w:val="20"/>
          <w:lang w:val="en-US" w:eastAsia="en-US"/>
        </w:rPr>
      </w:pPr>
    </w:p>
    <w:p w14:paraId="54C6CBF1" w14:textId="30DB6F48" w:rsidR="009F4B68" w:rsidRDefault="009F4B68" w:rsidP="009F4B68">
      <w:pPr>
        <w:spacing w:before="40" w:line="360" w:lineRule="auto"/>
        <w:ind w:left="709" w:right="142"/>
        <w:jc w:val="center"/>
        <w:rPr>
          <w:rFonts w:ascii="Arial" w:hAnsi="Arial" w:cs="Arial"/>
          <w:b/>
          <w:sz w:val="20"/>
          <w:szCs w:val="20"/>
          <w:lang w:val="en-US" w:eastAsia="en-US"/>
        </w:rPr>
      </w:pPr>
      <w:r>
        <w:rPr>
          <w:rFonts w:ascii="Arial" w:hAnsi="Arial" w:cs="Arial"/>
          <w:b/>
          <w:sz w:val="20"/>
          <w:szCs w:val="20"/>
          <w:lang w:val="en-US" w:eastAsia="en-US"/>
        </w:rPr>
        <w:t>Figure 5.3</w:t>
      </w:r>
      <w:r w:rsidR="00086AAD">
        <w:rPr>
          <w:rFonts w:ascii="Arial" w:hAnsi="Arial" w:cs="Arial"/>
          <w:b/>
          <w:sz w:val="20"/>
          <w:szCs w:val="20"/>
          <w:lang w:val="en-US" w:eastAsia="en-US"/>
        </w:rPr>
        <w:t>:</w:t>
      </w:r>
      <w:r>
        <w:rPr>
          <w:rFonts w:ascii="Arial" w:hAnsi="Arial" w:cs="Arial"/>
          <w:b/>
          <w:sz w:val="20"/>
          <w:szCs w:val="20"/>
          <w:lang w:val="en-US" w:eastAsia="en-US"/>
        </w:rPr>
        <w:t xml:space="preserve"> </w:t>
      </w:r>
      <w:r w:rsidRPr="008D55C3">
        <w:rPr>
          <w:rFonts w:ascii="Arial" w:hAnsi="Arial" w:cs="Arial"/>
          <w:b/>
          <w:sz w:val="20"/>
          <w:szCs w:val="20"/>
          <w:lang w:val="en-US" w:eastAsia="en-US"/>
        </w:rPr>
        <w:t xml:space="preserve">Interpretation of Index Scores </w:t>
      </w:r>
      <w:r>
        <w:rPr>
          <w:rFonts w:ascii="Arial" w:hAnsi="Arial" w:cs="Arial"/>
          <w:b/>
          <w:sz w:val="20"/>
          <w:szCs w:val="20"/>
          <w:lang w:val="en-US" w:eastAsia="en-US"/>
        </w:rPr>
        <w:t>- Blue Mountains</w:t>
      </w:r>
    </w:p>
    <w:p w14:paraId="698AB1F8" w14:textId="77777777" w:rsidR="009F4B68" w:rsidRDefault="009F4B68" w:rsidP="009F4B68">
      <w:pPr>
        <w:spacing w:before="40" w:line="360" w:lineRule="auto"/>
        <w:ind w:left="709" w:right="142"/>
        <w:jc w:val="both"/>
        <w:rPr>
          <w:rFonts w:ascii="Arial" w:hAnsi="Arial" w:cs="Arial"/>
          <w:sz w:val="21"/>
          <w:szCs w:val="21"/>
          <w:lang w:val="en-US" w:eastAsia="en-US"/>
        </w:rPr>
      </w:pPr>
      <w:r>
        <w:rPr>
          <w:rFonts w:ascii="Arial" w:hAnsi="Arial" w:cs="Arial"/>
          <w:noProof/>
          <w:sz w:val="21"/>
          <w:szCs w:val="21"/>
        </w:rPr>
        <mc:AlternateContent>
          <mc:Choice Requires="wps">
            <w:drawing>
              <wp:anchor distT="0" distB="0" distL="114300" distR="114300" simplePos="0" relativeHeight="251885568" behindDoc="0" locked="0" layoutInCell="1" allowOverlap="1" wp14:anchorId="0C2F49FE" wp14:editId="0D365DE2">
                <wp:simplePos x="0" y="0"/>
                <wp:positionH relativeFrom="column">
                  <wp:posOffset>501015</wp:posOffset>
                </wp:positionH>
                <wp:positionV relativeFrom="paragraph">
                  <wp:posOffset>82550</wp:posOffset>
                </wp:positionV>
                <wp:extent cx="5114925" cy="314325"/>
                <wp:effectExtent l="0" t="0" r="9525" b="9525"/>
                <wp:wrapNone/>
                <wp:docPr id="2086" name="Text Box 2086"/>
                <wp:cNvGraphicFramePr/>
                <a:graphic xmlns:a="http://schemas.openxmlformats.org/drawingml/2006/main">
                  <a:graphicData uri="http://schemas.microsoft.com/office/word/2010/wordprocessingShape">
                    <wps:wsp>
                      <wps:cNvSpPr txBox="1"/>
                      <wps:spPr>
                        <a:xfrm>
                          <a:off x="0" y="0"/>
                          <a:ext cx="511492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5DB1A0" w14:textId="77777777" w:rsidR="005864FD" w:rsidRPr="00DB6DCB" w:rsidRDefault="005864FD" w:rsidP="009F4B68">
                            <w:pPr>
                              <w:spacing w:before="40" w:line="360" w:lineRule="auto"/>
                              <w:ind w:left="-142" w:right="142"/>
                              <w:rPr>
                                <w:rFonts w:ascii="Arial" w:hAnsi="Arial" w:cs="Arial"/>
                                <w:b/>
                                <w:i/>
                                <w:color w:val="4F81BD" w:themeColor="accent1"/>
                                <w:sz w:val="16"/>
                                <w:szCs w:val="16"/>
                                <w:lang w:val="en-US" w:eastAsia="en-US"/>
                              </w:rPr>
                            </w:pPr>
                            <w:r w:rsidRPr="00DB6DCB">
                              <w:rPr>
                                <w:rFonts w:ascii="Arial" w:hAnsi="Arial" w:cs="Arial"/>
                                <w:b/>
                                <w:i/>
                                <w:color w:val="4F81BD" w:themeColor="accent1"/>
                                <w:sz w:val="16"/>
                                <w:szCs w:val="16"/>
                                <w:lang w:val="en-US" w:eastAsia="en-US"/>
                              </w:rPr>
                              <w:t xml:space="preserve">Most Disadvantaged                                                                                                </w:t>
                            </w:r>
                            <w:r>
                              <w:rPr>
                                <w:rFonts w:ascii="Arial" w:hAnsi="Arial" w:cs="Arial"/>
                                <w:b/>
                                <w:i/>
                                <w:color w:val="4F81BD" w:themeColor="accent1"/>
                                <w:sz w:val="16"/>
                                <w:szCs w:val="16"/>
                                <w:lang w:val="en-US" w:eastAsia="en-US"/>
                              </w:rPr>
                              <w:t xml:space="preserve">    </w:t>
                            </w:r>
                            <w:r w:rsidRPr="00DB6DCB">
                              <w:rPr>
                                <w:rFonts w:ascii="Arial" w:hAnsi="Arial" w:cs="Arial"/>
                                <w:b/>
                                <w:i/>
                                <w:color w:val="4F81BD" w:themeColor="accent1"/>
                                <w:sz w:val="16"/>
                                <w:szCs w:val="16"/>
                                <w:lang w:val="en-US" w:eastAsia="en-US"/>
                              </w:rPr>
                              <w:t xml:space="preserve">   Least Disadvantaged</w:t>
                            </w:r>
                          </w:p>
                          <w:p w14:paraId="32743CD7" w14:textId="77777777" w:rsidR="005864FD" w:rsidRDefault="005864FD" w:rsidP="009F4B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86" o:spid="_x0000_s1045" type="#_x0000_t202" style="position:absolute;left:0;text-align:left;margin-left:39.45pt;margin-top:6.5pt;width:402.75pt;height:24.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" fillcolor="white [3201]" stroked="f" strokeweight=".5pt">
                <v:textbox>
                  <w:txbxContent>
                    <w:p w14:paraId="715DB1A0" w14:textId="77777777" w:rsidR="005864FD" w:rsidRPr="00DB6DCB" w:rsidRDefault="005864FD" w:rsidP="009F4B68">
                      <w:pPr>
                        <w:spacing w:before="40" w:line="360" w:lineRule="auto"/>
                        <w:ind w:left="-142" w:right="142"/>
                        <w:rPr>
                          <w:rFonts w:ascii="Arial" w:hAnsi="Arial" w:cs="Arial"/>
                          <w:b/>
                          <w:i/>
                          <w:color w:val="4F81BD" w:themeColor="accent1"/>
                          <w:sz w:val="16"/>
                          <w:szCs w:val="16"/>
                          <w:lang w:val="en-US" w:eastAsia="en-US"/>
                        </w:rPr>
                      </w:pPr>
                      <w:r w:rsidRPr="00DB6DCB">
                        <w:rPr>
                          <w:rFonts w:ascii="Arial" w:hAnsi="Arial" w:cs="Arial"/>
                          <w:b/>
                          <w:i/>
                          <w:color w:val="4F81BD" w:themeColor="accent1"/>
                          <w:sz w:val="16"/>
                          <w:szCs w:val="16"/>
                          <w:lang w:val="en-US" w:eastAsia="en-US"/>
                        </w:rPr>
                        <w:t xml:space="preserve">Most Disadvantaged                                                                                                </w:t>
                      </w:r>
                      <w:r>
                        <w:rPr>
                          <w:rFonts w:ascii="Arial" w:hAnsi="Arial" w:cs="Arial"/>
                          <w:b/>
                          <w:i/>
                          <w:color w:val="4F81BD" w:themeColor="accent1"/>
                          <w:sz w:val="16"/>
                          <w:szCs w:val="16"/>
                          <w:lang w:val="en-US" w:eastAsia="en-US"/>
                        </w:rPr>
                        <w:t xml:space="preserve">    </w:t>
                      </w:r>
                      <w:r w:rsidRPr="00DB6DCB">
                        <w:rPr>
                          <w:rFonts w:ascii="Arial" w:hAnsi="Arial" w:cs="Arial"/>
                          <w:b/>
                          <w:i/>
                          <w:color w:val="4F81BD" w:themeColor="accent1"/>
                          <w:sz w:val="16"/>
                          <w:szCs w:val="16"/>
                          <w:lang w:val="en-US" w:eastAsia="en-US"/>
                        </w:rPr>
                        <w:t xml:space="preserve">   Least Disadvantaged</w:t>
                      </w:r>
                    </w:p>
                    <w:p w14:paraId="32743CD7" w14:textId="77777777" w:rsidR="005864FD" w:rsidRDefault="005864FD" w:rsidP="009F4B68"/>
                  </w:txbxContent>
                </v:textbox>
              </v:shape>
            </w:pict>
          </mc:Fallback>
        </mc:AlternateContent>
      </w:r>
      <w:r>
        <w:rPr>
          <w:rFonts w:ascii="Arial" w:hAnsi="Arial" w:cs="Arial"/>
          <w:noProof/>
          <w:sz w:val="21"/>
          <w:szCs w:val="21"/>
        </w:rPr>
        <mc:AlternateContent>
          <mc:Choice Requires="wps">
            <w:drawing>
              <wp:anchor distT="0" distB="0" distL="114300" distR="114300" simplePos="0" relativeHeight="251877376" behindDoc="0" locked="0" layoutInCell="1" allowOverlap="1" wp14:anchorId="79BC5AF3" wp14:editId="49FA10CA">
                <wp:simplePos x="0" y="0"/>
                <wp:positionH relativeFrom="column">
                  <wp:posOffset>424815</wp:posOffset>
                </wp:positionH>
                <wp:positionV relativeFrom="paragraph">
                  <wp:posOffset>48260</wp:posOffset>
                </wp:positionV>
                <wp:extent cx="5238750" cy="1095375"/>
                <wp:effectExtent l="0" t="0" r="19050" b="28575"/>
                <wp:wrapNone/>
                <wp:docPr id="2083" name="Text Box 2083"/>
                <wp:cNvGraphicFramePr/>
                <a:graphic xmlns:a="http://schemas.openxmlformats.org/drawingml/2006/main">
                  <a:graphicData uri="http://schemas.microsoft.com/office/word/2010/wordprocessingShape">
                    <wps:wsp>
                      <wps:cNvSpPr txBox="1"/>
                      <wps:spPr>
                        <a:xfrm>
                          <a:off x="0" y="0"/>
                          <a:ext cx="5238750" cy="1095375"/>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304EC55F" w14:textId="77777777" w:rsidR="005864FD" w:rsidRDefault="005864FD" w:rsidP="009F4B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83" o:spid="_x0000_s1046" type="#_x0000_t202" style="position:absolute;left:0;text-align:left;margin-left:33.45pt;margin-top:3.8pt;width:412.5pt;height:86.25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" fillcolor="white [3201]" strokecolor="#4f81bd [3204]" strokeweight=".5pt">
                <v:textbox>
                  <w:txbxContent>
                    <w:p w14:paraId="304EC55F" w14:textId="77777777" w:rsidR="005864FD" w:rsidRDefault="005864FD" w:rsidP="009F4B68"/>
                  </w:txbxContent>
                </v:textbox>
              </v:shape>
            </w:pict>
          </mc:Fallback>
        </mc:AlternateContent>
      </w:r>
    </w:p>
    <w:p w14:paraId="08DA53A2" w14:textId="77777777" w:rsidR="009F4B68" w:rsidRDefault="009F4B68" w:rsidP="009F4B68">
      <w:pPr>
        <w:spacing w:before="40" w:line="360" w:lineRule="auto"/>
        <w:ind w:left="709" w:right="142"/>
        <w:jc w:val="both"/>
        <w:rPr>
          <w:rFonts w:ascii="Arial" w:hAnsi="Arial" w:cs="Arial"/>
          <w:sz w:val="21"/>
          <w:szCs w:val="21"/>
          <w:lang w:val="en-US" w:eastAsia="en-US"/>
        </w:rPr>
      </w:pPr>
      <w:r>
        <w:rPr>
          <w:rFonts w:ascii="Arial" w:hAnsi="Arial" w:cs="Arial"/>
          <w:noProof/>
          <w:sz w:val="21"/>
          <w:szCs w:val="21"/>
        </w:rPr>
        <mc:AlternateContent>
          <mc:Choice Requires="wps">
            <w:drawing>
              <wp:anchor distT="0" distB="0" distL="114300" distR="114300" simplePos="0" relativeHeight="251881472" behindDoc="0" locked="0" layoutInCell="1" allowOverlap="1" wp14:anchorId="1963009C" wp14:editId="061B1161">
                <wp:simplePos x="0" y="0"/>
                <wp:positionH relativeFrom="column">
                  <wp:posOffset>501015</wp:posOffset>
                </wp:positionH>
                <wp:positionV relativeFrom="paragraph">
                  <wp:posOffset>179070</wp:posOffset>
                </wp:positionV>
                <wp:extent cx="5048250" cy="0"/>
                <wp:effectExtent l="38100" t="76200" r="19050" b="114300"/>
                <wp:wrapNone/>
                <wp:docPr id="2088" name="Straight Arrow Connector 2088"/>
                <wp:cNvGraphicFramePr/>
                <a:graphic xmlns:a="http://schemas.openxmlformats.org/drawingml/2006/main">
                  <a:graphicData uri="http://schemas.microsoft.com/office/word/2010/wordprocessingShape">
                    <wps:wsp>
                      <wps:cNvCnPr/>
                      <wps:spPr>
                        <a:xfrm>
                          <a:off x="0" y="0"/>
                          <a:ext cx="5048250" cy="0"/>
                        </a:xfrm>
                        <a:prstGeom prst="straightConnector1">
                          <a:avLst/>
                        </a:prstGeom>
                        <a:ln w="19050">
                          <a:solidFill>
                            <a:schemeClr val="accent1">
                              <a:lumMod val="75000"/>
                            </a:schemeClr>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88" o:spid="_x0000_s1026" type="#_x0000_t32" style="position:absolute;margin-left:39.45pt;margin-top:14.1pt;width:397.5pt;height: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" strokecolor="#365f91 [2404]" strokeweight="1.5pt">
                <v:stroke startarrow="open" endarrow="open"/>
              </v:shape>
            </w:pict>
          </mc:Fallback>
        </mc:AlternateContent>
      </w:r>
      <w:r>
        <w:rPr>
          <w:rFonts w:ascii="Arial" w:hAnsi="Arial" w:cs="Arial"/>
          <w:noProof/>
          <w:sz w:val="21"/>
          <w:szCs w:val="21"/>
        </w:rPr>
        <mc:AlternateContent>
          <mc:Choice Requires="wps">
            <w:drawing>
              <wp:anchor distT="0" distB="0" distL="114300" distR="114300" simplePos="0" relativeHeight="251882496" behindDoc="0" locked="0" layoutInCell="1" allowOverlap="1" wp14:anchorId="57766C43" wp14:editId="75241EC1">
                <wp:simplePos x="0" y="0"/>
                <wp:positionH relativeFrom="column">
                  <wp:posOffset>501015</wp:posOffset>
                </wp:positionH>
                <wp:positionV relativeFrom="paragraph">
                  <wp:posOffset>241935</wp:posOffset>
                </wp:positionV>
                <wp:extent cx="5048250" cy="295275"/>
                <wp:effectExtent l="0" t="0" r="0" b="9525"/>
                <wp:wrapNone/>
                <wp:docPr id="2087" name="Text Box 2087"/>
                <wp:cNvGraphicFramePr/>
                <a:graphic xmlns:a="http://schemas.openxmlformats.org/drawingml/2006/main">
                  <a:graphicData uri="http://schemas.microsoft.com/office/word/2010/wordprocessingShape">
                    <wps:wsp>
                      <wps:cNvSpPr txBox="1"/>
                      <wps:spPr>
                        <a:xfrm>
                          <a:off x="0" y="0"/>
                          <a:ext cx="50482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8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5"/>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726"/>
                              <w:gridCol w:w="236"/>
                              <w:gridCol w:w="236"/>
                              <w:gridCol w:w="236"/>
                              <w:gridCol w:w="236"/>
                              <w:gridCol w:w="709"/>
                            </w:tblGrid>
                            <w:tr w:rsidR="005864FD" w:rsidRPr="008D55C3" w14:paraId="6285DF81" w14:textId="77777777" w:rsidTr="00162D6E">
                              <w:tc>
                                <w:tcPr>
                                  <w:tcW w:w="475" w:type="dxa"/>
                                </w:tcPr>
                                <w:p w14:paraId="58F68901"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r w:rsidRPr="00DB6DCB">
                                    <w:rPr>
                                      <w:rFonts w:ascii="Arial" w:hAnsi="Arial" w:cs="Arial"/>
                                      <w:b/>
                                      <w:color w:val="365F91" w:themeColor="accent1" w:themeShade="BF"/>
                                      <w:sz w:val="21"/>
                                      <w:szCs w:val="21"/>
                                      <w:lang w:val="en-US" w:eastAsia="en-US"/>
                                    </w:rPr>
                                    <w:t>1</w:t>
                                  </w:r>
                                </w:p>
                              </w:tc>
                              <w:tc>
                                <w:tcPr>
                                  <w:tcW w:w="236" w:type="dxa"/>
                                </w:tcPr>
                                <w:p w14:paraId="04F2CDC0"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p>
                              </w:tc>
                              <w:tc>
                                <w:tcPr>
                                  <w:tcW w:w="236" w:type="dxa"/>
                                </w:tcPr>
                                <w:p w14:paraId="71CBDED1"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p>
                              </w:tc>
                              <w:tc>
                                <w:tcPr>
                                  <w:tcW w:w="236" w:type="dxa"/>
                                </w:tcPr>
                                <w:p w14:paraId="352FEE3D"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p>
                              </w:tc>
                              <w:tc>
                                <w:tcPr>
                                  <w:tcW w:w="236" w:type="dxa"/>
                                </w:tcPr>
                                <w:p w14:paraId="0AD36CCF"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p>
                              </w:tc>
                              <w:tc>
                                <w:tcPr>
                                  <w:tcW w:w="236" w:type="dxa"/>
                                </w:tcPr>
                                <w:p w14:paraId="6C020216"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p>
                              </w:tc>
                              <w:tc>
                                <w:tcPr>
                                  <w:tcW w:w="236" w:type="dxa"/>
                                </w:tcPr>
                                <w:p w14:paraId="2416EB5F"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p>
                              </w:tc>
                              <w:tc>
                                <w:tcPr>
                                  <w:tcW w:w="236" w:type="dxa"/>
                                </w:tcPr>
                                <w:p w14:paraId="1E506C36"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p>
                              </w:tc>
                              <w:tc>
                                <w:tcPr>
                                  <w:tcW w:w="236" w:type="dxa"/>
                                </w:tcPr>
                                <w:p w14:paraId="0E541F26"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p>
                              </w:tc>
                              <w:tc>
                                <w:tcPr>
                                  <w:tcW w:w="236" w:type="dxa"/>
                                </w:tcPr>
                                <w:p w14:paraId="4C3BABE0"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p>
                              </w:tc>
                              <w:tc>
                                <w:tcPr>
                                  <w:tcW w:w="236" w:type="dxa"/>
                                </w:tcPr>
                                <w:p w14:paraId="283D9D9F"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p>
                              </w:tc>
                              <w:tc>
                                <w:tcPr>
                                  <w:tcW w:w="236" w:type="dxa"/>
                                </w:tcPr>
                                <w:p w14:paraId="5ED4B028"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p>
                              </w:tc>
                              <w:tc>
                                <w:tcPr>
                                  <w:tcW w:w="236" w:type="dxa"/>
                                </w:tcPr>
                                <w:p w14:paraId="2076CEBE"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p>
                              </w:tc>
                              <w:tc>
                                <w:tcPr>
                                  <w:tcW w:w="236" w:type="dxa"/>
                                </w:tcPr>
                                <w:p w14:paraId="08E60B32"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p>
                              </w:tc>
                              <w:tc>
                                <w:tcPr>
                                  <w:tcW w:w="236" w:type="dxa"/>
                                </w:tcPr>
                                <w:p w14:paraId="7C482B2B"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p>
                              </w:tc>
                              <w:tc>
                                <w:tcPr>
                                  <w:tcW w:w="236" w:type="dxa"/>
                                </w:tcPr>
                                <w:p w14:paraId="77ACFEB0"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p>
                              </w:tc>
                              <w:tc>
                                <w:tcPr>
                                  <w:tcW w:w="236" w:type="dxa"/>
                                </w:tcPr>
                                <w:p w14:paraId="42B39FB2"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p>
                              </w:tc>
                              <w:tc>
                                <w:tcPr>
                                  <w:tcW w:w="236" w:type="dxa"/>
                                </w:tcPr>
                                <w:p w14:paraId="00024FF3"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p>
                              </w:tc>
                              <w:tc>
                                <w:tcPr>
                                  <w:tcW w:w="236" w:type="dxa"/>
                                </w:tcPr>
                                <w:p w14:paraId="73C1E069"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p>
                              </w:tc>
                              <w:tc>
                                <w:tcPr>
                                  <w:tcW w:w="236" w:type="dxa"/>
                                </w:tcPr>
                                <w:p w14:paraId="6FCB12C1"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p>
                              </w:tc>
                              <w:tc>
                                <w:tcPr>
                                  <w:tcW w:w="236" w:type="dxa"/>
                                </w:tcPr>
                                <w:p w14:paraId="5C9B726B"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p>
                              </w:tc>
                              <w:tc>
                                <w:tcPr>
                                  <w:tcW w:w="236" w:type="dxa"/>
                                </w:tcPr>
                                <w:p w14:paraId="528159E6"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p>
                              </w:tc>
                              <w:tc>
                                <w:tcPr>
                                  <w:tcW w:w="236" w:type="dxa"/>
                                </w:tcPr>
                                <w:p w14:paraId="47629D07"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p>
                              </w:tc>
                              <w:tc>
                                <w:tcPr>
                                  <w:tcW w:w="726" w:type="dxa"/>
                                </w:tcPr>
                                <w:p w14:paraId="2D2EF288"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r w:rsidRPr="00DB6DCB">
                                    <w:rPr>
                                      <w:rFonts w:ascii="Arial" w:hAnsi="Arial" w:cs="Arial"/>
                                      <w:b/>
                                      <w:color w:val="365F91" w:themeColor="accent1" w:themeShade="BF"/>
                                      <w:sz w:val="21"/>
                                      <w:szCs w:val="21"/>
                                      <w:lang w:val="en-US" w:eastAsia="en-US"/>
                                    </w:rPr>
                                    <w:t>128</w:t>
                                  </w:r>
                                </w:p>
                              </w:tc>
                              <w:tc>
                                <w:tcPr>
                                  <w:tcW w:w="236" w:type="dxa"/>
                                </w:tcPr>
                                <w:p w14:paraId="7D1B0ED7"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p>
                              </w:tc>
                              <w:tc>
                                <w:tcPr>
                                  <w:tcW w:w="236" w:type="dxa"/>
                                </w:tcPr>
                                <w:p w14:paraId="12153A3B"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p>
                              </w:tc>
                              <w:tc>
                                <w:tcPr>
                                  <w:tcW w:w="236" w:type="dxa"/>
                                </w:tcPr>
                                <w:p w14:paraId="5367A11B"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p>
                              </w:tc>
                              <w:tc>
                                <w:tcPr>
                                  <w:tcW w:w="236" w:type="dxa"/>
                                </w:tcPr>
                                <w:p w14:paraId="499C6113"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p>
                              </w:tc>
                              <w:tc>
                                <w:tcPr>
                                  <w:tcW w:w="709" w:type="dxa"/>
                                </w:tcPr>
                                <w:p w14:paraId="0F44EEB2"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r w:rsidRPr="00DB6DCB">
                                    <w:rPr>
                                      <w:rFonts w:ascii="Arial" w:hAnsi="Arial" w:cs="Arial"/>
                                      <w:b/>
                                      <w:color w:val="365F91" w:themeColor="accent1" w:themeShade="BF"/>
                                      <w:sz w:val="21"/>
                                      <w:szCs w:val="21"/>
                                      <w:lang w:val="en-US" w:eastAsia="en-US"/>
                                    </w:rPr>
                                    <w:t>153</w:t>
                                  </w:r>
                                </w:p>
                              </w:tc>
                            </w:tr>
                          </w:tbl>
                          <w:p w14:paraId="44DC4496" w14:textId="77777777" w:rsidR="005864FD" w:rsidRDefault="005864FD" w:rsidP="009F4B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087" o:spid="_x0000_s1047" type="#_x0000_t202" style="position:absolute;left:0;text-align:left;margin-left:39.45pt;margin-top:19.05pt;width:397.5pt;height:23.25pt;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" fillcolor="white [3201]" stroked="f" strokeweight=".5pt">
                <v:textbox>
                  <w:txbxContent>
                    <w:tbl>
                      <w:tblPr>
                        <w:tblStyle w:val="TableGrid"/>
                        <w:tblW w:w="8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5"/>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726"/>
                        <w:gridCol w:w="236"/>
                        <w:gridCol w:w="236"/>
                        <w:gridCol w:w="236"/>
                        <w:gridCol w:w="236"/>
                        <w:gridCol w:w="709"/>
                      </w:tblGrid>
                      <w:tr w:rsidR="005864FD" w:rsidRPr="008D55C3" w14:paraId="6285DF81" w14:textId="77777777" w:rsidTr="00162D6E">
                        <w:tc>
                          <w:tcPr>
                            <w:tcW w:w="475" w:type="dxa"/>
                          </w:tcPr>
                          <w:p w14:paraId="58F68901"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r w:rsidRPr="00DB6DCB">
                              <w:rPr>
                                <w:rFonts w:ascii="Arial" w:hAnsi="Arial" w:cs="Arial"/>
                                <w:b/>
                                <w:color w:val="365F91" w:themeColor="accent1" w:themeShade="BF"/>
                                <w:sz w:val="21"/>
                                <w:szCs w:val="21"/>
                                <w:lang w:val="en-US" w:eastAsia="en-US"/>
                              </w:rPr>
                              <w:t>1</w:t>
                            </w:r>
                          </w:p>
                        </w:tc>
                        <w:tc>
                          <w:tcPr>
                            <w:tcW w:w="236" w:type="dxa"/>
                          </w:tcPr>
                          <w:p w14:paraId="04F2CDC0"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p>
                        </w:tc>
                        <w:tc>
                          <w:tcPr>
                            <w:tcW w:w="236" w:type="dxa"/>
                          </w:tcPr>
                          <w:p w14:paraId="71CBDED1"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p>
                        </w:tc>
                        <w:tc>
                          <w:tcPr>
                            <w:tcW w:w="236" w:type="dxa"/>
                          </w:tcPr>
                          <w:p w14:paraId="352FEE3D"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p>
                        </w:tc>
                        <w:tc>
                          <w:tcPr>
                            <w:tcW w:w="236" w:type="dxa"/>
                          </w:tcPr>
                          <w:p w14:paraId="0AD36CCF"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p>
                        </w:tc>
                        <w:tc>
                          <w:tcPr>
                            <w:tcW w:w="236" w:type="dxa"/>
                          </w:tcPr>
                          <w:p w14:paraId="6C020216"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p>
                        </w:tc>
                        <w:tc>
                          <w:tcPr>
                            <w:tcW w:w="236" w:type="dxa"/>
                          </w:tcPr>
                          <w:p w14:paraId="2416EB5F"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p>
                        </w:tc>
                        <w:tc>
                          <w:tcPr>
                            <w:tcW w:w="236" w:type="dxa"/>
                          </w:tcPr>
                          <w:p w14:paraId="1E506C36"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p>
                        </w:tc>
                        <w:tc>
                          <w:tcPr>
                            <w:tcW w:w="236" w:type="dxa"/>
                          </w:tcPr>
                          <w:p w14:paraId="0E541F26"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p>
                        </w:tc>
                        <w:tc>
                          <w:tcPr>
                            <w:tcW w:w="236" w:type="dxa"/>
                          </w:tcPr>
                          <w:p w14:paraId="4C3BABE0"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p>
                        </w:tc>
                        <w:tc>
                          <w:tcPr>
                            <w:tcW w:w="236" w:type="dxa"/>
                          </w:tcPr>
                          <w:p w14:paraId="283D9D9F"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p>
                        </w:tc>
                        <w:tc>
                          <w:tcPr>
                            <w:tcW w:w="236" w:type="dxa"/>
                          </w:tcPr>
                          <w:p w14:paraId="5ED4B028"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p>
                        </w:tc>
                        <w:tc>
                          <w:tcPr>
                            <w:tcW w:w="236" w:type="dxa"/>
                          </w:tcPr>
                          <w:p w14:paraId="2076CEBE"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p>
                        </w:tc>
                        <w:tc>
                          <w:tcPr>
                            <w:tcW w:w="236" w:type="dxa"/>
                          </w:tcPr>
                          <w:p w14:paraId="08E60B32"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p>
                        </w:tc>
                        <w:tc>
                          <w:tcPr>
                            <w:tcW w:w="236" w:type="dxa"/>
                          </w:tcPr>
                          <w:p w14:paraId="7C482B2B"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p>
                        </w:tc>
                        <w:tc>
                          <w:tcPr>
                            <w:tcW w:w="236" w:type="dxa"/>
                          </w:tcPr>
                          <w:p w14:paraId="77ACFEB0"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p>
                        </w:tc>
                        <w:tc>
                          <w:tcPr>
                            <w:tcW w:w="236" w:type="dxa"/>
                          </w:tcPr>
                          <w:p w14:paraId="42B39FB2"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p>
                        </w:tc>
                        <w:tc>
                          <w:tcPr>
                            <w:tcW w:w="236" w:type="dxa"/>
                          </w:tcPr>
                          <w:p w14:paraId="00024FF3"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p>
                        </w:tc>
                        <w:tc>
                          <w:tcPr>
                            <w:tcW w:w="236" w:type="dxa"/>
                          </w:tcPr>
                          <w:p w14:paraId="73C1E069"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p>
                        </w:tc>
                        <w:tc>
                          <w:tcPr>
                            <w:tcW w:w="236" w:type="dxa"/>
                          </w:tcPr>
                          <w:p w14:paraId="6FCB12C1"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p>
                        </w:tc>
                        <w:tc>
                          <w:tcPr>
                            <w:tcW w:w="236" w:type="dxa"/>
                          </w:tcPr>
                          <w:p w14:paraId="5C9B726B"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p>
                        </w:tc>
                        <w:tc>
                          <w:tcPr>
                            <w:tcW w:w="236" w:type="dxa"/>
                          </w:tcPr>
                          <w:p w14:paraId="528159E6"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p>
                        </w:tc>
                        <w:tc>
                          <w:tcPr>
                            <w:tcW w:w="236" w:type="dxa"/>
                          </w:tcPr>
                          <w:p w14:paraId="47629D07"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p>
                        </w:tc>
                        <w:tc>
                          <w:tcPr>
                            <w:tcW w:w="726" w:type="dxa"/>
                          </w:tcPr>
                          <w:p w14:paraId="2D2EF288"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r w:rsidRPr="00DB6DCB">
                              <w:rPr>
                                <w:rFonts w:ascii="Arial" w:hAnsi="Arial" w:cs="Arial"/>
                                <w:b/>
                                <w:color w:val="365F91" w:themeColor="accent1" w:themeShade="BF"/>
                                <w:sz w:val="21"/>
                                <w:szCs w:val="21"/>
                                <w:lang w:val="en-US" w:eastAsia="en-US"/>
                              </w:rPr>
                              <w:t>128</w:t>
                            </w:r>
                          </w:p>
                        </w:tc>
                        <w:tc>
                          <w:tcPr>
                            <w:tcW w:w="236" w:type="dxa"/>
                          </w:tcPr>
                          <w:p w14:paraId="7D1B0ED7"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p>
                        </w:tc>
                        <w:tc>
                          <w:tcPr>
                            <w:tcW w:w="236" w:type="dxa"/>
                          </w:tcPr>
                          <w:p w14:paraId="12153A3B"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p>
                        </w:tc>
                        <w:tc>
                          <w:tcPr>
                            <w:tcW w:w="236" w:type="dxa"/>
                          </w:tcPr>
                          <w:p w14:paraId="5367A11B"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p>
                        </w:tc>
                        <w:tc>
                          <w:tcPr>
                            <w:tcW w:w="236" w:type="dxa"/>
                          </w:tcPr>
                          <w:p w14:paraId="499C6113"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p>
                        </w:tc>
                        <w:tc>
                          <w:tcPr>
                            <w:tcW w:w="709" w:type="dxa"/>
                          </w:tcPr>
                          <w:p w14:paraId="0F44EEB2" w14:textId="77777777" w:rsidR="005864FD" w:rsidRPr="00DB6DCB" w:rsidRDefault="005864FD" w:rsidP="00162D6E">
                            <w:pPr>
                              <w:spacing w:before="40" w:line="360" w:lineRule="auto"/>
                              <w:ind w:right="142"/>
                              <w:jc w:val="center"/>
                              <w:rPr>
                                <w:rFonts w:ascii="Arial" w:hAnsi="Arial" w:cs="Arial"/>
                                <w:b/>
                                <w:color w:val="365F91" w:themeColor="accent1" w:themeShade="BF"/>
                                <w:sz w:val="21"/>
                                <w:szCs w:val="21"/>
                                <w:lang w:val="en-US" w:eastAsia="en-US"/>
                              </w:rPr>
                            </w:pPr>
                            <w:r w:rsidRPr="00DB6DCB">
                              <w:rPr>
                                <w:rFonts w:ascii="Arial" w:hAnsi="Arial" w:cs="Arial"/>
                                <w:b/>
                                <w:color w:val="365F91" w:themeColor="accent1" w:themeShade="BF"/>
                                <w:sz w:val="21"/>
                                <w:szCs w:val="21"/>
                                <w:lang w:val="en-US" w:eastAsia="en-US"/>
                              </w:rPr>
                              <w:t>153</w:t>
                            </w:r>
                          </w:p>
                        </w:tc>
                      </w:tr>
                    </w:tbl>
                    <w:p w14:paraId="44DC4496" w14:textId="77777777" w:rsidR="005864FD" w:rsidRDefault="005864FD" w:rsidP="009F4B68"/>
                  </w:txbxContent>
                </v:textbox>
              </v:shape>
            </w:pict>
          </mc:Fallback>
        </mc:AlternateContent>
      </w:r>
    </w:p>
    <w:p w14:paraId="3AC72DD7" w14:textId="77777777" w:rsidR="009F4B68" w:rsidRDefault="009F4B68" w:rsidP="009F4B68">
      <w:pPr>
        <w:spacing w:before="40" w:line="360" w:lineRule="auto"/>
        <w:ind w:left="709" w:right="142"/>
        <w:jc w:val="both"/>
        <w:rPr>
          <w:rFonts w:ascii="Arial" w:hAnsi="Arial" w:cs="Arial"/>
          <w:sz w:val="21"/>
          <w:szCs w:val="21"/>
          <w:lang w:val="en-US" w:eastAsia="en-US"/>
        </w:rPr>
      </w:pPr>
      <w:r>
        <w:rPr>
          <w:rFonts w:ascii="Arial" w:hAnsi="Arial" w:cs="Arial"/>
          <w:noProof/>
          <w:sz w:val="21"/>
          <w:szCs w:val="21"/>
        </w:rPr>
        <mc:AlternateContent>
          <mc:Choice Requires="wps">
            <w:drawing>
              <wp:anchor distT="0" distB="0" distL="114300" distR="114300" simplePos="0" relativeHeight="251883520" behindDoc="0" locked="0" layoutInCell="1" allowOverlap="1" wp14:anchorId="05BCB8D8" wp14:editId="340BEB25">
                <wp:simplePos x="0" y="0"/>
                <wp:positionH relativeFrom="column">
                  <wp:posOffset>4291965</wp:posOffset>
                </wp:positionH>
                <wp:positionV relativeFrom="paragraph">
                  <wp:posOffset>225425</wp:posOffset>
                </wp:positionV>
                <wp:extent cx="66675" cy="152400"/>
                <wp:effectExtent l="0" t="0" r="28575" b="19050"/>
                <wp:wrapNone/>
                <wp:docPr id="2089" name="Isosceles Triangle 2089"/>
                <wp:cNvGraphicFramePr/>
                <a:graphic xmlns:a="http://schemas.openxmlformats.org/drawingml/2006/main">
                  <a:graphicData uri="http://schemas.microsoft.com/office/word/2010/wordprocessingShape">
                    <wps:wsp>
                      <wps:cNvSpPr/>
                      <wps:spPr>
                        <a:xfrm>
                          <a:off x="0" y="0"/>
                          <a:ext cx="66675" cy="1524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089" o:spid="_x0000_s1026" type="#_x0000_t5" style="position:absolute;margin-left:337.95pt;margin-top:17.75pt;width:5.25pt;height:12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" fillcolor="#4f81bd [3204]" strokecolor="#243f60 [1604]" strokeweight="2pt"/>
            </w:pict>
          </mc:Fallback>
        </mc:AlternateContent>
      </w:r>
    </w:p>
    <w:p w14:paraId="06366F98" w14:textId="77777777" w:rsidR="009F4B68" w:rsidRDefault="009F4B68" w:rsidP="009F4B68">
      <w:pPr>
        <w:spacing w:before="40" w:line="360" w:lineRule="auto"/>
        <w:ind w:left="709" w:right="142"/>
        <w:jc w:val="both"/>
        <w:rPr>
          <w:rFonts w:ascii="Arial" w:hAnsi="Arial" w:cs="Arial"/>
          <w:sz w:val="21"/>
          <w:szCs w:val="21"/>
          <w:lang w:val="en-US" w:eastAsia="en-US"/>
        </w:rPr>
      </w:pPr>
      <w:r>
        <w:rPr>
          <w:rFonts w:ascii="Arial" w:hAnsi="Arial" w:cs="Arial"/>
          <w:b/>
          <w:noProof/>
          <w:sz w:val="21"/>
          <w:szCs w:val="21"/>
        </w:rPr>
        <mc:AlternateContent>
          <mc:Choice Requires="wps">
            <w:drawing>
              <wp:anchor distT="0" distB="0" distL="114300" distR="114300" simplePos="0" relativeHeight="251884544" behindDoc="0" locked="0" layoutInCell="1" allowOverlap="1" wp14:anchorId="4848B884" wp14:editId="41FA8865">
                <wp:simplePos x="0" y="0"/>
                <wp:positionH relativeFrom="column">
                  <wp:posOffset>3989832</wp:posOffset>
                </wp:positionH>
                <wp:positionV relativeFrom="paragraph">
                  <wp:posOffset>146558</wp:posOffset>
                </wp:positionV>
                <wp:extent cx="1054608" cy="228600"/>
                <wp:effectExtent l="0" t="0" r="0" b="0"/>
                <wp:wrapNone/>
                <wp:docPr id="2090" name="Text Box 2090"/>
                <wp:cNvGraphicFramePr/>
                <a:graphic xmlns:a="http://schemas.openxmlformats.org/drawingml/2006/main">
                  <a:graphicData uri="http://schemas.microsoft.com/office/word/2010/wordprocessingShape">
                    <wps:wsp>
                      <wps:cNvSpPr txBox="1"/>
                      <wps:spPr>
                        <a:xfrm>
                          <a:off x="0" y="0"/>
                          <a:ext cx="1054608"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3FF779" w14:textId="77777777" w:rsidR="005864FD" w:rsidRPr="00086AAD" w:rsidRDefault="005864FD" w:rsidP="009F4B68">
                            <w:pPr>
                              <w:rPr>
                                <w:rFonts w:ascii="Arial" w:hAnsi="Arial" w:cs="Arial"/>
                                <w:b/>
                                <w:color w:val="4F81BD" w:themeColor="accent1"/>
                                <w:sz w:val="16"/>
                                <w:szCs w:val="16"/>
                              </w:rPr>
                            </w:pPr>
                            <w:r w:rsidRPr="00086AAD">
                              <w:rPr>
                                <w:rFonts w:ascii="Arial" w:hAnsi="Arial" w:cs="Arial"/>
                                <w:b/>
                                <w:color w:val="4F81BD" w:themeColor="accent1"/>
                                <w:sz w:val="16"/>
                                <w:szCs w:val="16"/>
                              </w:rPr>
                              <w:t>Blue Mountains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90" o:spid="_x0000_s1048" type="#_x0000_t202" style="position:absolute;left:0;text-align:left;margin-left:314.15pt;margin-top:11.55pt;width:83.05pt;height:18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" fillcolor="white [3201]" stroked="f" strokeweight=".5pt">
                <v:textbox>
                  <w:txbxContent>
                    <w:p w14:paraId="513FF779" w14:textId="77777777" w:rsidR="005864FD" w:rsidRPr="00086AAD" w:rsidRDefault="005864FD" w:rsidP="009F4B68">
                      <w:pPr>
                        <w:rPr>
                          <w:rFonts w:ascii="Arial" w:hAnsi="Arial" w:cs="Arial"/>
                          <w:b/>
                          <w:color w:val="4F81BD" w:themeColor="accent1"/>
                          <w:sz w:val="16"/>
                          <w:szCs w:val="16"/>
                        </w:rPr>
                      </w:pPr>
                      <w:r w:rsidRPr="00086AAD">
                        <w:rPr>
                          <w:rFonts w:ascii="Arial" w:hAnsi="Arial" w:cs="Arial"/>
                          <w:b/>
                          <w:color w:val="4F81BD" w:themeColor="accent1"/>
                          <w:sz w:val="16"/>
                          <w:szCs w:val="16"/>
                        </w:rPr>
                        <w:t>Blue Mountains</w:t>
                      </w:r>
                    </w:p>
                  </w:txbxContent>
                </v:textbox>
              </v:shape>
            </w:pict>
          </mc:Fallback>
        </mc:AlternateContent>
      </w:r>
    </w:p>
    <w:p w14:paraId="7163CF91" w14:textId="77777777" w:rsidR="009F4B68" w:rsidRDefault="009F4B68" w:rsidP="009F4B68">
      <w:pPr>
        <w:spacing w:before="40" w:line="360" w:lineRule="auto"/>
        <w:ind w:left="709" w:right="142"/>
        <w:jc w:val="both"/>
        <w:rPr>
          <w:rFonts w:ascii="Arial" w:hAnsi="Arial" w:cs="Arial"/>
          <w:sz w:val="21"/>
          <w:szCs w:val="21"/>
          <w:lang w:val="en-US" w:eastAsia="en-US"/>
        </w:rPr>
      </w:pPr>
    </w:p>
    <w:p w14:paraId="42BBCEF9" w14:textId="77777777" w:rsidR="009F4B68" w:rsidRPr="00086AAD" w:rsidRDefault="009F4B68" w:rsidP="000F67C8">
      <w:pPr>
        <w:spacing w:before="40" w:line="276" w:lineRule="auto"/>
        <w:ind w:left="709" w:right="142"/>
        <w:jc w:val="both"/>
        <w:rPr>
          <w:rFonts w:ascii="Arial" w:hAnsi="Arial" w:cs="Arial"/>
          <w:b/>
          <w:sz w:val="20"/>
          <w:szCs w:val="20"/>
          <w:lang w:val="en-US" w:eastAsia="en-US"/>
        </w:rPr>
      </w:pPr>
      <w:r w:rsidRPr="00EE74E3">
        <w:rPr>
          <w:rFonts w:ascii="Arial" w:hAnsi="Arial" w:cs="Arial"/>
          <w:sz w:val="20"/>
          <w:szCs w:val="20"/>
          <w:lang w:val="en-US" w:eastAsia="en-US"/>
        </w:rPr>
        <w:t xml:space="preserve">The IRSD index ranks the Blue Mountains at 128 out of 153, </w:t>
      </w:r>
      <w:r w:rsidRPr="00086AAD">
        <w:rPr>
          <w:rFonts w:ascii="Arial" w:hAnsi="Arial" w:cs="Arial"/>
          <w:b/>
          <w:sz w:val="20"/>
          <w:szCs w:val="20"/>
          <w:u w:val="single"/>
          <w:lang w:val="en-US" w:eastAsia="en-US"/>
        </w:rPr>
        <w:t>making it one of the least disadvantaged areas in NSW</w:t>
      </w:r>
      <w:r w:rsidRPr="00086AAD">
        <w:rPr>
          <w:rFonts w:ascii="Arial" w:hAnsi="Arial" w:cs="Arial"/>
          <w:b/>
          <w:sz w:val="20"/>
          <w:szCs w:val="20"/>
          <w:lang w:val="en-US" w:eastAsia="en-US"/>
        </w:rPr>
        <w:t xml:space="preserve">. </w:t>
      </w:r>
    </w:p>
    <w:p w14:paraId="3A000504" w14:textId="77777777" w:rsidR="009F4B68" w:rsidRPr="00086AAD" w:rsidRDefault="009F4B68" w:rsidP="000F67C8">
      <w:pPr>
        <w:spacing w:line="276" w:lineRule="auto"/>
        <w:rPr>
          <w:rFonts w:ascii="Arial" w:hAnsi="Arial" w:cs="Arial"/>
          <w:b/>
          <w:sz w:val="20"/>
          <w:szCs w:val="20"/>
          <w:lang w:val="en-US"/>
        </w:rPr>
      </w:pPr>
    </w:p>
    <w:p w14:paraId="2DCD4D23" w14:textId="77777777" w:rsidR="009F4B68" w:rsidRPr="00454EE0" w:rsidRDefault="009F4B68" w:rsidP="000F67C8">
      <w:pPr>
        <w:pStyle w:val="ListParagraph"/>
        <w:numPr>
          <w:ilvl w:val="0"/>
          <w:numId w:val="81"/>
        </w:numPr>
        <w:spacing w:before="40" w:line="276" w:lineRule="auto"/>
        <w:ind w:right="142"/>
        <w:jc w:val="both"/>
        <w:rPr>
          <w:rFonts w:ascii="Arial" w:hAnsi="Arial" w:cs="Arial"/>
          <w:b/>
          <w:sz w:val="20"/>
          <w:szCs w:val="20"/>
          <w:lang w:val="en-US"/>
        </w:rPr>
      </w:pPr>
      <w:r w:rsidRPr="00454EE0">
        <w:rPr>
          <w:rFonts w:ascii="Arial" w:hAnsi="Arial" w:cs="Arial"/>
          <w:b/>
          <w:sz w:val="20"/>
          <w:szCs w:val="20"/>
          <w:lang w:val="en-US"/>
        </w:rPr>
        <w:t xml:space="preserve">Income &amp; Expenditure Comparisons </w:t>
      </w:r>
    </w:p>
    <w:p w14:paraId="3814F3A9" w14:textId="434F6787" w:rsidR="009F4B68" w:rsidRPr="00EE74E3" w:rsidRDefault="009F4B68" w:rsidP="000F67C8">
      <w:pPr>
        <w:spacing w:before="40" w:line="276" w:lineRule="auto"/>
        <w:ind w:left="709" w:right="142"/>
        <w:jc w:val="both"/>
        <w:rPr>
          <w:rFonts w:ascii="Arial" w:hAnsi="Arial" w:cs="Arial"/>
          <w:sz w:val="20"/>
          <w:szCs w:val="20"/>
          <w:lang w:val="en-US"/>
        </w:rPr>
      </w:pPr>
      <w:r w:rsidRPr="00EE74E3">
        <w:rPr>
          <w:rFonts w:ascii="Arial" w:hAnsi="Arial" w:cs="Arial"/>
          <w:sz w:val="20"/>
          <w:szCs w:val="20"/>
          <w:lang w:val="en-US"/>
        </w:rPr>
        <w:t>Census data from 2011 provides a comparison of the Blue Mountains compared to Greater Sydney and the State (see table below). Of note is that Blue Mountains has</w:t>
      </w:r>
      <w:r w:rsidR="00086AAD">
        <w:rPr>
          <w:rFonts w:ascii="Arial" w:hAnsi="Arial" w:cs="Arial"/>
          <w:sz w:val="20"/>
          <w:szCs w:val="20"/>
          <w:lang w:val="en-US"/>
        </w:rPr>
        <w:t xml:space="preserve"> the</w:t>
      </w:r>
      <w:r w:rsidRPr="00EE74E3">
        <w:rPr>
          <w:rFonts w:ascii="Arial" w:hAnsi="Arial" w:cs="Arial"/>
          <w:sz w:val="20"/>
          <w:szCs w:val="20"/>
          <w:lang w:val="en-US"/>
        </w:rPr>
        <w:t>:</w:t>
      </w:r>
    </w:p>
    <w:p w14:paraId="16D459DD" w14:textId="77777777" w:rsidR="009F4B68" w:rsidRPr="00EE74E3" w:rsidRDefault="009F4B68" w:rsidP="000F67C8">
      <w:pPr>
        <w:pStyle w:val="ListParagraph"/>
        <w:numPr>
          <w:ilvl w:val="0"/>
          <w:numId w:val="100"/>
        </w:numPr>
        <w:spacing w:before="40" w:line="276" w:lineRule="auto"/>
        <w:ind w:right="142"/>
        <w:jc w:val="both"/>
        <w:rPr>
          <w:rFonts w:ascii="Arial" w:hAnsi="Arial" w:cs="Arial"/>
          <w:sz w:val="20"/>
          <w:szCs w:val="20"/>
          <w:lang w:val="en-US"/>
        </w:rPr>
      </w:pPr>
      <w:r w:rsidRPr="00EE74E3">
        <w:rPr>
          <w:rFonts w:ascii="Arial" w:hAnsi="Arial" w:cs="Arial"/>
          <w:sz w:val="20"/>
          <w:szCs w:val="20"/>
          <w:lang w:val="en-US"/>
        </w:rPr>
        <w:t>Second highest average weekly income</w:t>
      </w:r>
    </w:p>
    <w:p w14:paraId="6B8820FD" w14:textId="77777777" w:rsidR="009F4B68" w:rsidRPr="00EE74E3" w:rsidRDefault="009F4B68" w:rsidP="000F67C8">
      <w:pPr>
        <w:pStyle w:val="ListParagraph"/>
        <w:numPr>
          <w:ilvl w:val="0"/>
          <w:numId w:val="100"/>
        </w:numPr>
        <w:spacing w:before="40" w:line="276" w:lineRule="auto"/>
        <w:ind w:right="142"/>
        <w:jc w:val="both"/>
        <w:rPr>
          <w:rFonts w:ascii="Arial" w:hAnsi="Arial" w:cs="Arial"/>
          <w:sz w:val="20"/>
          <w:szCs w:val="20"/>
          <w:lang w:val="en-US"/>
        </w:rPr>
      </w:pPr>
      <w:r w:rsidRPr="00EE74E3">
        <w:rPr>
          <w:rFonts w:ascii="Arial" w:hAnsi="Arial" w:cs="Arial"/>
          <w:sz w:val="20"/>
          <w:szCs w:val="20"/>
          <w:lang w:val="en-US"/>
        </w:rPr>
        <w:t>Lowest rates of unemployment</w:t>
      </w:r>
    </w:p>
    <w:p w14:paraId="60668278" w14:textId="77777777" w:rsidR="009F4B68" w:rsidRPr="00EE74E3" w:rsidRDefault="009F4B68" w:rsidP="000F67C8">
      <w:pPr>
        <w:pStyle w:val="ListParagraph"/>
        <w:numPr>
          <w:ilvl w:val="0"/>
          <w:numId w:val="100"/>
        </w:numPr>
        <w:spacing w:before="40" w:line="276" w:lineRule="auto"/>
        <w:ind w:right="142"/>
        <w:jc w:val="both"/>
        <w:rPr>
          <w:rFonts w:ascii="Arial" w:hAnsi="Arial" w:cs="Arial"/>
          <w:sz w:val="20"/>
          <w:szCs w:val="20"/>
          <w:lang w:val="en-US"/>
        </w:rPr>
      </w:pPr>
      <w:r w:rsidRPr="00EE74E3">
        <w:rPr>
          <w:rFonts w:ascii="Arial" w:hAnsi="Arial" w:cs="Arial"/>
          <w:sz w:val="20"/>
          <w:szCs w:val="20"/>
          <w:lang w:val="en-US"/>
        </w:rPr>
        <w:t>Lowest rental stress</w:t>
      </w:r>
    </w:p>
    <w:p w14:paraId="57A81979" w14:textId="77777777" w:rsidR="009F4B68" w:rsidRPr="00EE74E3" w:rsidRDefault="009F4B68" w:rsidP="000F67C8">
      <w:pPr>
        <w:pStyle w:val="ListParagraph"/>
        <w:numPr>
          <w:ilvl w:val="0"/>
          <w:numId w:val="100"/>
        </w:numPr>
        <w:spacing w:before="40" w:line="276" w:lineRule="auto"/>
        <w:ind w:right="142"/>
        <w:jc w:val="both"/>
        <w:rPr>
          <w:rFonts w:ascii="Arial" w:hAnsi="Arial" w:cs="Arial"/>
          <w:sz w:val="20"/>
          <w:szCs w:val="20"/>
          <w:lang w:val="en-US"/>
        </w:rPr>
      </w:pPr>
      <w:r w:rsidRPr="00EE74E3">
        <w:rPr>
          <w:rFonts w:ascii="Arial" w:hAnsi="Arial" w:cs="Arial"/>
          <w:sz w:val="20"/>
          <w:szCs w:val="20"/>
          <w:lang w:val="en-US"/>
        </w:rPr>
        <w:t>A high rate of full home ownership</w:t>
      </w:r>
    </w:p>
    <w:p w14:paraId="66E615AA" w14:textId="77777777" w:rsidR="009F4B68" w:rsidRPr="00196197" w:rsidRDefault="009F4B68" w:rsidP="000F67C8">
      <w:pPr>
        <w:pStyle w:val="ListParagraph"/>
        <w:numPr>
          <w:ilvl w:val="0"/>
          <w:numId w:val="100"/>
        </w:numPr>
        <w:spacing w:before="40" w:line="276" w:lineRule="auto"/>
        <w:ind w:right="142"/>
        <w:jc w:val="both"/>
        <w:rPr>
          <w:rFonts w:ascii="Arial" w:hAnsi="Arial" w:cs="Arial"/>
          <w:sz w:val="20"/>
          <w:szCs w:val="20"/>
          <w:lang w:val="en-US"/>
        </w:rPr>
      </w:pPr>
      <w:r w:rsidRPr="00EE74E3">
        <w:rPr>
          <w:rFonts w:ascii="Arial" w:hAnsi="Arial" w:cs="Arial"/>
          <w:sz w:val="20"/>
          <w:szCs w:val="20"/>
          <w:lang w:val="en-US"/>
        </w:rPr>
        <w:t xml:space="preserve">Medium </w:t>
      </w:r>
      <w:r>
        <w:rPr>
          <w:rFonts w:ascii="Arial" w:hAnsi="Arial" w:cs="Arial"/>
          <w:sz w:val="20"/>
          <w:szCs w:val="20"/>
          <w:lang w:val="en-US"/>
        </w:rPr>
        <w:t xml:space="preserve">level of </w:t>
      </w:r>
      <w:r w:rsidRPr="00EE74E3">
        <w:rPr>
          <w:rFonts w:ascii="Arial" w:hAnsi="Arial" w:cs="Arial"/>
          <w:sz w:val="20"/>
          <w:szCs w:val="20"/>
          <w:lang w:val="en-US"/>
        </w:rPr>
        <w:t>mortgage stress</w:t>
      </w:r>
      <w:r w:rsidRPr="00196197">
        <w:rPr>
          <w:rFonts w:ascii="Arial" w:hAnsi="Arial" w:cs="Arial"/>
          <w:sz w:val="20"/>
          <w:szCs w:val="20"/>
          <w:lang w:val="en-US"/>
        </w:rPr>
        <w:t xml:space="preserve">. </w:t>
      </w:r>
    </w:p>
    <w:p w14:paraId="23DA0B61" w14:textId="77777777" w:rsidR="009F4B68" w:rsidRDefault="009F4B68" w:rsidP="000F67C8">
      <w:pPr>
        <w:pStyle w:val="ListParagraph"/>
        <w:spacing w:before="40" w:line="276" w:lineRule="auto"/>
        <w:ind w:left="1429" w:right="142"/>
        <w:jc w:val="both"/>
        <w:rPr>
          <w:rFonts w:ascii="Arial" w:hAnsi="Arial" w:cs="Arial"/>
          <w:b/>
          <w:bCs/>
          <w:sz w:val="20"/>
          <w:szCs w:val="20"/>
        </w:rPr>
      </w:pPr>
    </w:p>
    <w:p w14:paraId="7EF33BEF" w14:textId="584381E7" w:rsidR="009F4B68" w:rsidRDefault="009F4B68" w:rsidP="000F67C8">
      <w:pPr>
        <w:pStyle w:val="ListParagraph"/>
        <w:spacing w:before="40" w:line="276" w:lineRule="auto"/>
        <w:ind w:left="1429" w:right="142" w:hanging="862"/>
        <w:jc w:val="both"/>
        <w:rPr>
          <w:rFonts w:ascii="Arial" w:hAnsi="Arial" w:cs="Arial"/>
          <w:b/>
          <w:bCs/>
          <w:sz w:val="20"/>
          <w:szCs w:val="20"/>
        </w:rPr>
      </w:pPr>
      <w:r>
        <w:rPr>
          <w:rFonts w:ascii="Arial" w:hAnsi="Arial" w:cs="Arial"/>
          <w:b/>
          <w:bCs/>
          <w:sz w:val="20"/>
          <w:szCs w:val="20"/>
        </w:rPr>
        <w:t>Table 5.3</w:t>
      </w:r>
      <w:r w:rsidR="00086AAD">
        <w:rPr>
          <w:rFonts w:ascii="Arial" w:hAnsi="Arial" w:cs="Arial"/>
          <w:b/>
          <w:bCs/>
          <w:sz w:val="20"/>
          <w:szCs w:val="20"/>
        </w:rPr>
        <w:t>:</w:t>
      </w:r>
      <w:r>
        <w:rPr>
          <w:rFonts w:ascii="Arial" w:hAnsi="Arial" w:cs="Arial"/>
          <w:b/>
          <w:bCs/>
          <w:sz w:val="20"/>
          <w:szCs w:val="20"/>
        </w:rPr>
        <w:t>  Income &amp; Expenditure Comparisons with Sydney and NSW 2011</w:t>
      </w:r>
    </w:p>
    <w:tbl>
      <w:tblPr>
        <w:tblW w:w="6901" w:type="dxa"/>
        <w:tblInd w:w="720" w:type="dxa"/>
        <w:tblCellMar>
          <w:left w:w="0" w:type="dxa"/>
          <w:right w:w="0" w:type="dxa"/>
        </w:tblCellMar>
        <w:tblLook w:val="04A0" w:firstRow="1" w:lastRow="0" w:firstColumn="1" w:lastColumn="0" w:noHBand="0" w:noVBand="1"/>
      </w:tblPr>
      <w:tblGrid>
        <w:gridCol w:w="3216"/>
        <w:gridCol w:w="1275"/>
        <w:gridCol w:w="1276"/>
        <w:gridCol w:w="1134"/>
      </w:tblGrid>
      <w:tr w:rsidR="009F4B68" w14:paraId="6E45C5D8" w14:textId="77777777" w:rsidTr="00ED6D3D">
        <w:trPr>
          <w:trHeight w:val="523"/>
        </w:trPr>
        <w:tc>
          <w:tcPr>
            <w:tcW w:w="3216" w:type="dxa"/>
            <w:tcBorders>
              <w:top w:val="single" w:sz="8" w:space="0" w:color="auto"/>
              <w:left w:val="single" w:sz="8" w:space="0" w:color="auto"/>
              <w:bottom w:val="single" w:sz="8" w:space="0" w:color="FFFFFF"/>
              <w:right w:val="single" w:sz="8" w:space="0" w:color="auto"/>
            </w:tcBorders>
            <w:shd w:val="clear" w:color="auto" w:fill="4F81BD"/>
            <w:tcMar>
              <w:top w:w="0" w:type="dxa"/>
              <w:left w:w="108" w:type="dxa"/>
              <w:bottom w:w="0" w:type="dxa"/>
              <w:right w:w="108" w:type="dxa"/>
            </w:tcMar>
            <w:vAlign w:val="center"/>
            <w:hideMark/>
          </w:tcPr>
          <w:p w14:paraId="544F4CC3" w14:textId="77777777" w:rsidR="009F4B68" w:rsidRDefault="009F4B68" w:rsidP="000F67C8">
            <w:pPr>
              <w:pStyle w:val="ListParagraph"/>
              <w:spacing w:line="276" w:lineRule="auto"/>
              <w:ind w:left="0"/>
              <w:jc w:val="center"/>
              <w:rPr>
                <w:rFonts w:ascii="Arial" w:hAnsi="Arial" w:cs="Arial"/>
                <w:b/>
                <w:bCs/>
                <w:color w:val="FFFFFF"/>
                <w:sz w:val="20"/>
                <w:szCs w:val="20"/>
                <w:lang w:val="en-US"/>
              </w:rPr>
            </w:pPr>
            <w:r>
              <w:rPr>
                <w:rFonts w:ascii="Arial" w:hAnsi="Arial" w:cs="Arial"/>
                <w:b/>
                <w:bCs/>
                <w:color w:val="FFFFFF"/>
                <w:sz w:val="20"/>
                <w:szCs w:val="20"/>
                <w:lang w:val="en-US"/>
              </w:rPr>
              <w:t>Measure</w:t>
            </w:r>
          </w:p>
        </w:tc>
        <w:tc>
          <w:tcPr>
            <w:tcW w:w="1275" w:type="dxa"/>
            <w:tcBorders>
              <w:top w:val="single" w:sz="8" w:space="0" w:color="auto"/>
              <w:left w:val="nil"/>
              <w:bottom w:val="single" w:sz="8" w:space="0" w:color="FFFFFF"/>
              <w:right w:val="single" w:sz="8" w:space="0" w:color="auto"/>
            </w:tcBorders>
            <w:shd w:val="clear" w:color="auto" w:fill="4F81BD"/>
            <w:tcMar>
              <w:top w:w="0" w:type="dxa"/>
              <w:left w:w="108" w:type="dxa"/>
              <w:bottom w:w="0" w:type="dxa"/>
              <w:right w:w="108" w:type="dxa"/>
            </w:tcMar>
            <w:vAlign w:val="center"/>
            <w:hideMark/>
          </w:tcPr>
          <w:p w14:paraId="0140C84F" w14:textId="77777777" w:rsidR="009F4B68" w:rsidRDefault="009F4B68" w:rsidP="000F67C8">
            <w:pPr>
              <w:pStyle w:val="ListParagraph"/>
              <w:spacing w:line="276" w:lineRule="auto"/>
              <w:ind w:left="0"/>
              <w:jc w:val="center"/>
              <w:rPr>
                <w:rFonts w:ascii="Arial" w:hAnsi="Arial" w:cs="Arial"/>
                <w:b/>
                <w:bCs/>
                <w:color w:val="FFFFFF"/>
                <w:sz w:val="20"/>
                <w:szCs w:val="20"/>
                <w:lang w:val="en-US"/>
              </w:rPr>
            </w:pPr>
            <w:r>
              <w:rPr>
                <w:rFonts w:ascii="Arial" w:hAnsi="Arial" w:cs="Arial"/>
                <w:b/>
                <w:bCs/>
                <w:color w:val="FFFFFF"/>
                <w:sz w:val="20"/>
                <w:szCs w:val="20"/>
                <w:lang w:val="en-US"/>
              </w:rPr>
              <w:t>Blue Mountains</w:t>
            </w:r>
          </w:p>
        </w:tc>
        <w:tc>
          <w:tcPr>
            <w:tcW w:w="1276" w:type="dxa"/>
            <w:tcBorders>
              <w:top w:val="single" w:sz="8" w:space="0" w:color="auto"/>
              <w:left w:val="nil"/>
              <w:bottom w:val="single" w:sz="8" w:space="0" w:color="FFFFFF"/>
              <w:right w:val="single" w:sz="8" w:space="0" w:color="auto"/>
            </w:tcBorders>
            <w:shd w:val="clear" w:color="auto" w:fill="4F81BD"/>
            <w:tcMar>
              <w:top w:w="0" w:type="dxa"/>
              <w:left w:w="108" w:type="dxa"/>
              <w:bottom w:w="0" w:type="dxa"/>
              <w:right w:w="108" w:type="dxa"/>
            </w:tcMar>
            <w:vAlign w:val="center"/>
            <w:hideMark/>
          </w:tcPr>
          <w:p w14:paraId="2D512EA8" w14:textId="77777777" w:rsidR="009F4B68" w:rsidRDefault="009F4B68" w:rsidP="000F67C8">
            <w:pPr>
              <w:pStyle w:val="ListParagraph"/>
              <w:spacing w:line="276" w:lineRule="auto"/>
              <w:ind w:left="0"/>
              <w:jc w:val="center"/>
              <w:rPr>
                <w:rFonts w:ascii="Arial" w:hAnsi="Arial" w:cs="Arial"/>
                <w:b/>
                <w:bCs/>
                <w:color w:val="FFFFFF"/>
                <w:sz w:val="20"/>
                <w:szCs w:val="20"/>
                <w:lang w:val="en-US"/>
              </w:rPr>
            </w:pPr>
            <w:r>
              <w:rPr>
                <w:rFonts w:ascii="Arial" w:hAnsi="Arial" w:cs="Arial"/>
                <w:b/>
                <w:bCs/>
                <w:color w:val="FFFFFF"/>
                <w:sz w:val="20"/>
                <w:szCs w:val="20"/>
                <w:lang w:val="en-US"/>
              </w:rPr>
              <w:t>Greater Sydney</w:t>
            </w:r>
          </w:p>
        </w:tc>
        <w:tc>
          <w:tcPr>
            <w:tcW w:w="1134" w:type="dxa"/>
            <w:tcBorders>
              <w:top w:val="single" w:sz="8" w:space="0" w:color="auto"/>
              <w:left w:val="nil"/>
              <w:bottom w:val="single" w:sz="8" w:space="0" w:color="FFFFFF"/>
              <w:right w:val="single" w:sz="8" w:space="0" w:color="auto"/>
            </w:tcBorders>
            <w:shd w:val="clear" w:color="auto" w:fill="4F81BD"/>
            <w:tcMar>
              <w:top w:w="0" w:type="dxa"/>
              <w:left w:w="108" w:type="dxa"/>
              <w:bottom w:w="0" w:type="dxa"/>
              <w:right w:w="108" w:type="dxa"/>
            </w:tcMar>
            <w:vAlign w:val="center"/>
            <w:hideMark/>
          </w:tcPr>
          <w:p w14:paraId="1E77A01A" w14:textId="77777777" w:rsidR="009F4B68" w:rsidRDefault="009F4B68" w:rsidP="000F67C8">
            <w:pPr>
              <w:pStyle w:val="ListParagraph"/>
              <w:spacing w:line="276" w:lineRule="auto"/>
              <w:ind w:left="0"/>
              <w:jc w:val="center"/>
              <w:rPr>
                <w:rFonts w:ascii="Arial" w:hAnsi="Arial" w:cs="Arial"/>
                <w:b/>
                <w:bCs/>
                <w:color w:val="FFFFFF"/>
                <w:sz w:val="20"/>
                <w:szCs w:val="20"/>
                <w:lang w:val="en-US"/>
              </w:rPr>
            </w:pPr>
            <w:r>
              <w:rPr>
                <w:rFonts w:ascii="Arial" w:hAnsi="Arial" w:cs="Arial"/>
                <w:b/>
                <w:bCs/>
                <w:color w:val="FFFFFF"/>
                <w:sz w:val="20"/>
                <w:szCs w:val="20"/>
                <w:lang w:val="en-US"/>
              </w:rPr>
              <w:t>NSW</w:t>
            </w:r>
          </w:p>
        </w:tc>
      </w:tr>
      <w:tr w:rsidR="009F4B68" w14:paraId="4B5F64C0" w14:textId="77777777" w:rsidTr="00ED6D3D">
        <w:tc>
          <w:tcPr>
            <w:tcW w:w="3216" w:type="dxa"/>
            <w:tcBorders>
              <w:top w:val="nil"/>
              <w:left w:val="single" w:sz="8" w:space="0" w:color="FFFFFF"/>
              <w:bottom w:val="single" w:sz="8" w:space="0" w:color="FFFFFF"/>
              <w:right w:val="single" w:sz="8" w:space="0" w:color="FFFFFF"/>
            </w:tcBorders>
            <w:shd w:val="clear" w:color="auto" w:fill="DBE5F1"/>
            <w:tcMar>
              <w:top w:w="0" w:type="dxa"/>
              <w:left w:w="108" w:type="dxa"/>
              <w:bottom w:w="0" w:type="dxa"/>
              <w:right w:w="108" w:type="dxa"/>
            </w:tcMar>
            <w:hideMark/>
          </w:tcPr>
          <w:p w14:paraId="05C3E11A" w14:textId="77777777" w:rsidR="009F4B68" w:rsidRDefault="009F4B68" w:rsidP="000F67C8">
            <w:pPr>
              <w:pStyle w:val="ListParagraph"/>
              <w:spacing w:line="276" w:lineRule="auto"/>
              <w:ind w:left="0"/>
              <w:rPr>
                <w:rFonts w:ascii="Arial" w:hAnsi="Arial" w:cs="Arial"/>
                <w:sz w:val="20"/>
                <w:szCs w:val="20"/>
                <w:lang w:val="en-US"/>
              </w:rPr>
            </w:pPr>
            <w:r>
              <w:rPr>
                <w:rFonts w:ascii="Arial" w:hAnsi="Arial" w:cs="Arial"/>
                <w:sz w:val="20"/>
                <w:szCs w:val="20"/>
                <w:lang w:val="en-US"/>
              </w:rPr>
              <w:t>Unemployment</w:t>
            </w:r>
          </w:p>
        </w:tc>
        <w:tc>
          <w:tcPr>
            <w:tcW w:w="1275" w:type="dxa"/>
            <w:tcBorders>
              <w:top w:val="nil"/>
              <w:left w:val="nil"/>
              <w:bottom w:val="single" w:sz="8" w:space="0" w:color="FFFFFF"/>
              <w:right w:val="single" w:sz="8" w:space="0" w:color="FFFFFF"/>
            </w:tcBorders>
            <w:shd w:val="clear" w:color="auto" w:fill="DBE5F1"/>
            <w:tcMar>
              <w:top w:w="0" w:type="dxa"/>
              <w:left w:w="108" w:type="dxa"/>
              <w:bottom w:w="0" w:type="dxa"/>
              <w:right w:w="108" w:type="dxa"/>
            </w:tcMar>
            <w:hideMark/>
          </w:tcPr>
          <w:p w14:paraId="469F5446" w14:textId="77777777" w:rsidR="009F4B68" w:rsidRDefault="009F4B68" w:rsidP="000F67C8">
            <w:pPr>
              <w:pStyle w:val="ListParagraph"/>
              <w:spacing w:line="276" w:lineRule="auto"/>
              <w:ind w:left="0"/>
              <w:jc w:val="right"/>
              <w:rPr>
                <w:rFonts w:ascii="Arial" w:hAnsi="Arial" w:cs="Arial"/>
                <w:sz w:val="20"/>
                <w:szCs w:val="20"/>
                <w:lang w:val="en-US"/>
              </w:rPr>
            </w:pPr>
            <w:r>
              <w:rPr>
                <w:rFonts w:ascii="Arial" w:hAnsi="Arial" w:cs="Arial"/>
                <w:sz w:val="20"/>
                <w:szCs w:val="20"/>
                <w:lang w:val="en-US"/>
              </w:rPr>
              <w:t>4.9%</w:t>
            </w:r>
          </w:p>
        </w:tc>
        <w:tc>
          <w:tcPr>
            <w:tcW w:w="1276" w:type="dxa"/>
            <w:tcBorders>
              <w:top w:val="nil"/>
              <w:left w:val="nil"/>
              <w:bottom w:val="single" w:sz="8" w:space="0" w:color="FFFFFF"/>
              <w:right w:val="single" w:sz="8" w:space="0" w:color="FFFFFF"/>
            </w:tcBorders>
            <w:shd w:val="clear" w:color="auto" w:fill="DBE5F1"/>
            <w:tcMar>
              <w:top w:w="0" w:type="dxa"/>
              <w:left w:w="108" w:type="dxa"/>
              <w:bottom w:w="0" w:type="dxa"/>
              <w:right w:w="108" w:type="dxa"/>
            </w:tcMar>
            <w:hideMark/>
          </w:tcPr>
          <w:p w14:paraId="6970D340" w14:textId="77777777" w:rsidR="009F4B68" w:rsidRDefault="009F4B68" w:rsidP="000F67C8">
            <w:pPr>
              <w:pStyle w:val="ListParagraph"/>
              <w:spacing w:line="276" w:lineRule="auto"/>
              <w:ind w:left="0"/>
              <w:jc w:val="right"/>
              <w:rPr>
                <w:rFonts w:ascii="Arial" w:hAnsi="Arial" w:cs="Arial"/>
                <w:sz w:val="20"/>
                <w:szCs w:val="20"/>
                <w:lang w:val="en-US"/>
              </w:rPr>
            </w:pPr>
            <w:r>
              <w:rPr>
                <w:rFonts w:ascii="Arial" w:hAnsi="Arial" w:cs="Arial"/>
                <w:sz w:val="20"/>
                <w:szCs w:val="20"/>
                <w:lang w:val="en-US"/>
              </w:rPr>
              <w:t>5.7%</w:t>
            </w:r>
          </w:p>
        </w:tc>
        <w:tc>
          <w:tcPr>
            <w:tcW w:w="1134" w:type="dxa"/>
            <w:tcBorders>
              <w:top w:val="nil"/>
              <w:left w:val="nil"/>
              <w:bottom w:val="single" w:sz="8" w:space="0" w:color="FFFFFF"/>
              <w:right w:val="single" w:sz="8" w:space="0" w:color="FFFFFF"/>
            </w:tcBorders>
            <w:shd w:val="clear" w:color="auto" w:fill="DBE5F1"/>
            <w:tcMar>
              <w:top w:w="0" w:type="dxa"/>
              <w:left w:w="108" w:type="dxa"/>
              <w:bottom w:w="0" w:type="dxa"/>
              <w:right w:w="108" w:type="dxa"/>
            </w:tcMar>
            <w:hideMark/>
          </w:tcPr>
          <w:p w14:paraId="28652594" w14:textId="77777777" w:rsidR="009F4B68" w:rsidRDefault="009F4B68" w:rsidP="000F67C8">
            <w:pPr>
              <w:pStyle w:val="ListParagraph"/>
              <w:spacing w:line="276" w:lineRule="auto"/>
              <w:ind w:left="0"/>
              <w:jc w:val="right"/>
              <w:rPr>
                <w:rFonts w:ascii="Arial" w:hAnsi="Arial" w:cs="Arial"/>
                <w:sz w:val="20"/>
                <w:szCs w:val="20"/>
                <w:lang w:val="en-US"/>
              </w:rPr>
            </w:pPr>
            <w:r>
              <w:rPr>
                <w:rFonts w:ascii="Arial" w:hAnsi="Arial" w:cs="Arial"/>
                <w:sz w:val="20"/>
                <w:szCs w:val="20"/>
                <w:lang w:val="en-US"/>
              </w:rPr>
              <w:t>65.9%</w:t>
            </w:r>
          </w:p>
        </w:tc>
      </w:tr>
      <w:tr w:rsidR="009F4B68" w14:paraId="23CF2E4C" w14:textId="77777777" w:rsidTr="00ED6D3D">
        <w:tc>
          <w:tcPr>
            <w:tcW w:w="3216" w:type="dxa"/>
            <w:tcBorders>
              <w:top w:val="nil"/>
              <w:left w:val="single" w:sz="8" w:space="0" w:color="FFFFFF"/>
              <w:bottom w:val="single" w:sz="8" w:space="0" w:color="FFFFFF"/>
              <w:right w:val="single" w:sz="8" w:space="0" w:color="FFFFFF"/>
            </w:tcBorders>
            <w:shd w:val="clear" w:color="auto" w:fill="DBE5F1"/>
            <w:tcMar>
              <w:top w:w="0" w:type="dxa"/>
              <w:left w:w="108" w:type="dxa"/>
              <w:bottom w:w="0" w:type="dxa"/>
              <w:right w:w="108" w:type="dxa"/>
            </w:tcMar>
            <w:hideMark/>
          </w:tcPr>
          <w:p w14:paraId="25A8E641" w14:textId="77777777" w:rsidR="009F4B68" w:rsidRDefault="009F4B68" w:rsidP="000F67C8">
            <w:pPr>
              <w:pStyle w:val="ListParagraph"/>
              <w:spacing w:line="276" w:lineRule="auto"/>
              <w:ind w:left="0"/>
              <w:rPr>
                <w:rFonts w:ascii="Arial" w:hAnsi="Arial" w:cs="Arial"/>
                <w:sz w:val="20"/>
                <w:szCs w:val="20"/>
                <w:lang w:val="en-US"/>
              </w:rPr>
            </w:pPr>
            <w:r>
              <w:rPr>
                <w:rFonts w:ascii="Arial" w:hAnsi="Arial" w:cs="Arial"/>
                <w:sz w:val="20"/>
                <w:szCs w:val="20"/>
                <w:lang w:val="en-US"/>
              </w:rPr>
              <w:t>Average weekly house income</w:t>
            </w:r>
          </w:p>
        </w:tc>
        <w:tc>
          <w:tcPr>
            <w:tcW w:w="1275" w:type="dxa"/>
            <w:tcBorders>
              <w:top w:val="nil"/>
              <w:left w:val="nil"/>
              <w:bottom w:val="single" w:sz="8" w:space="0" w:color="FFFFFF"/>
              <w:right w:val="single" w:sz="8" w:space="0" w:color="FFFFFF"/>
            </w:tcBorders>
            <w:shd w:val="clear" w:color="auto" w:fill="DBE5F1"/>
            <w:tcMar>
              <w:top w:w="0" w:type="dxa"/>
              <w:left w:w="108" w:type="dxa"/>
              <w:bottom w:w="0" w:type="dxa"/>
              <w:right w:w="108" w:type="dxa"/>
            </w:tcMar>
            <w:hideMark/>
          </w:tcPr>
          <w:p w14:paraId="5B96108C" w14:textId="77777777" w:rsidR="009F4B68" w:rsidRDefault="009F4B68" w:rsidP="000F67C8">
            <w:pPr>
              <w:pStyle w:val="ListParagraph"/>
              <w:spacing w:line="276" w:lineRule="auto"/>
              <w:ind w:left="0"/>
              <w:jc w:val="right"/>
              <w:rPr>
                <w:rFonts w:ascii="Arial" w:hAnsi="Arial" w:cs="Arial"/>
                <w:sz w:val="20"/>
                <w:szCs w:val="20"/>
                <w:lang w:val="en-US"/>
              </w:rPr>
            </w:pPr>
            <w:r>
              <w:rPr>
                <w:rFonts w:ascii="Arial" w:hAnsi="Arial" w:cs="Arial"/>
                <w:sz w:val="20"/>
                <w:szCs w:val="20"/>
                <w:lang w:val="en-US"/>
              </w:rPr>
              <w:t>$1,270</w:t>
            </w:r>
          </w:p>
        </w:tc>
        <w:tc>
          <w:tcPr>
            <w:tcW w:w="1276" w:type="dxa"/>
            <w:tcBorders>
              <w:top w:val="nil"/>
              <w:left w:val="nil"/>
              <w:bottom w:val="single" w:sz="8" w:space="0" w:color="FFFFFF"/>
              <w:right w:val="single" w:sz="8" w:space="0" w:color="FFFFFF"/>
            </w:tcBorders>
            <w:shd w:val="clear" w:color="auto" w:fill="DBE5F1"/>
            <w:tcMar>
              <w:top w:w="0" w:type="dxa"/>
              <w:left w:w="108" w:type="dxa"/>
              <w:bottom w:w="0" w:type="dxa"/>
              <w:right w:w="108" w:type="dxa"/>
            </w:tcMar>
            <w:hideMark/>
          </w:tcPr>
          <w:p w14:paraId="2705A8E5" w14:textId="77777777" w:rsidR="009F4B68" w:rsidRDefault="009F4B68" w:rsidP="000F67C8">
            <w:pPr>
              <w:pStyle w:val="ListParagraph"/>
              <w:spacing w:line="276" w:lineRule="auto"/>
              <w:ind w:left="0"/>
              <w:jc w:val="right"/>
              <w:rPr>
                <w:rFonts w:ascii="Arial" w:hAnsi="Arial" w:cs="Arial"/>
                <w:sz w:val="20"/>
                <w:szCs w:val="20"/>
                <w:lang w:val="en-US"/>
              </w:rPr>
            </w:pPr>
            <w:r>
              <w:rPr>
                <w:rFonts w:ascii="Arial" w:hAnsi="Arial" w:cs="Arial"/>
                <w:sz w:val="20"/>
                <w:szCs w:val="20"/>
                <w:lang w:val="en-US"/>
              </w:rPr>
              <w:t>$1,447</w:t>
            </w:r>
          </w:p>
        </w:tc>
        <w:tc>
          <w:tcPr>
            <w:tcW w:w="1134" w:type="dxa"/>
            <w:tcBorders>
              <w:top w:val="nil"/>
              <w:left w:val="nil"/>
              <w:bottom w:val="single" w:sz="8" w:space="0" w:color="FFFFFF"/>
              <w:right w:val="single" w:sz="8" w:space="0" w:color="FFFFFF"/>
            </w:tcBorders>
            <w:shd w:val="clear" w:color="auto" w:fill="DBE5F1"/>
            <w:tcMar>
              <w:top w:w="0" w:type="dxa"/>
              <w:left w:w="108" w:type="dxa"/>
              <w:bottom w:w="0" w:type="dxa"/>
              <w:right w:w="108" w:type="dxa"/>
            </w:tcMar>
            <w:hideMark/>
          </w:tcPr>
          <w:p w14:paraId="1F2D3176" w14:textId="77777777" w:rsidR="009F4B68" w:rsidRDefault="009F4B68" w:rsidP="000F67C8">
            <w:pPr>
              <w:pStyle w:val="ListParagraph"/>
              <w:spacing w:line="276" w:lineRule="auto"/>
              <w:ind w:left="0"/>
              <w:jc w:val="right"/>
              <w:rPr>
                <w:rFonts w:ascii="Arial" w:hAnsi="Arial" w:cs="Arial"/>
                <w:sz w:val="20"/>
                <w:szCs w:val="20"/>
                <w:lang w:val="en-US"/>
              </w:rPr>
            </w:pPr>
            <w:r>
              <w:rPr>
                <w:rFonts w:ascii="Arial" w:hAnsi="Arial" w:cs="Arial"/>
                <w:sz w:val="20"/>
                <w:szCs w:val="20"/>
                <w:lang w:val="en-US"/>
              </w:rPr>
              <w:t>$1,237</w:t>
            </w:r>
          </w:p>
        </w:tc>
      </w:tr>
      <w:tr w:rsidR="009F4B68" w14:paraId="3B27C0C9" w14:textId="77777777" w:rsidTr="00ED6D3D">
        <w:tc>
          <w:tcPr>
            <w:tcW w:w="3216" w:type="dxa"/>
            <w:tcBorders>
              <w:top w:val="nil"/>
              <w:left w:val="single" w:sz="8" w:space="0" w:color="FFFFFF"/>
              <w:bottom w:val="single" w:sz="8" w:space="0" w:color="FFFFFF"/>
              <w:right w:val="single" w:sz="8" w:space="0" w:color="FFFFFF"/>
            </w:tcBorders>
            <w:shd w:val="clear" w:color="auto" w:fill="DBE5F1"/>
            <w:tcMar>
              <w:top w:w="0" w:type="dxa"/>
              <w:left w:w="108" w:type="dxa"/>
              <w:bottom w:w="0" w:type="dxa"/>
              <w:right w:w="108" w:type="dxa"/>
            </w:tcMar>
            <w:hideMark/>
          </w:tcPr>
          <w:p w14:paraId="5E2FD673" w14:textId="77777777" w:rsidR="009F4B68" w:rsidRDefault="009F4B68" w:rsidP="000F67C8">
            <w:pPr>
              <w:pStyle w:val="ListParagraph"/>
              <w:spacing w:line="276" w:lineRule="auto"/>
              <w:ind w:left="0"/>
              <w:rPr>
                <w:rFonts w:ascii="Arial" w:hAnsi="Arial" w:cs="Arial"/>
                <w:sz w:val="20"/>
                <w:szCs w:val="20"/>
                <w:lang w:val="en-US"/>
              </w:rPr>
            </w:pPr>
            <w:r>
              <w:rPr>
                <w:rFonts w:ascii="Arial" w:hAnsi="Arial" w:cs="Arial"/>
                <w:sz w:val="20"/>
                <w:szCs w:val="20"/>
                <w:lang w:val="en-US"/>
              </w:rPr>
              <w:t xml:space="preserve">Homes fully owned </w:t>
            </w:r>
          </w:p>
        </w:tc>
        <w:tc>
          <w:tcPr>
            <w:tcW w:w="1275" w:type="dxa"/>
            <w:tcBorders>
              <w:top w:val="nil"/>
              <w:left w:val="nil"/>
              <w:bottom w:val="single" w:sz="8" w:space="0" w:color="FFFFFF"/>
              <w:right w:val="single" w:sz="8" w:space="0" w:color="FFFFFF"/>
            </w:tcBorders>
            <w:shd w:val="clear" w:color="auto" w:fill="DBE5F1"/>
            <w:tcMar>
              <w:top w:w="0" w:type="dxa"/>
              <w:left w:w="108" w:type="dxa"/>
              <w:bottom w:w="0" w:type="dxa"/>
              <w:right w:w="108" w:type="dxa"/>
            </w:tcMar>
            <w:hideMark/>
          </w:tcPr>
          <w:p w14:paraId="6C42E67F" w14:textId="77777777" w:rsidR="009F4B68" w:rsidRDefault="009F4B68" w:rsidP="000F67C8">
            <w:pPr>
              <w:pStyle w:val="ListParagraph"/>
              <w:spacing w:line="276" w:lineRule="auto"/>
              <w:ind w:left="0"/>
              <w:jc w:val="right"/>
              <w:rPr>
                <w:rFonts w:ascii="Arial" w:hAnsi="Arial" w:cs="Arial"/>
                <w:sz w:val="20"/>
                <w:szCs w:val="20"/>
                <w:lang w:val="en-US"/>
              </w:rPr>
            </w:pPr>
            <w:r>
              <w:rPr>
                <w:rFonts w:ascii="Arial" w:hAnsi="Arial" w:cs="Arial"/>
                <w:sz w:val="20"/>
                <w:szCs w:val="20"/>
                <w:lang w:val="en-US"/>
              </w:rPr>
              <w:t>37.4%</w:t>
            </w:r>
          </w:p>
        </w:tc>
        <w:tc>
          <w:tcPr>
            <w:tcW w:w="1276" w:type="dxa"/>
            <w:tcBorders>
              <w:top w:val="nil"/>
              <w:left w:val="nil"/>
              <w:bottom w:val="single" w:sz="8" w:space="0" w:color="FFFFFF"/>
              <w:right w:val="single" w:sz="8" w:space="0" w:color="FFFFFF"/>
            </w:tcBorders>
            <w:shd w:val="clear" w:color="auto" w:fill="DBE5F1"/>
            <w:tcMar>
              <w:top w:w="0" w:type="dxa"/>
              <w:left w:w="108" w:type="dxa"/>
              <w:bottom w:w="0" w:type="dxa"/>
              <w:right w:w="108" w:type="dxa"/>
            </w:tcMar>
            <w:hideMark/>
          </w:tcPr>
          <w:p w14:paraId="5D91857B" w14:textId="77777777" w:rsidR="009F4B68" w:rsidRDefault="009F4B68" w:rsidP="000F67C8">
            <w:pPr>
              <w:pStyle w:val="ListParagraph"/>
              <w:spacing w:line="276" w:lineRule="auto"/>
              <w:ind w:left="0"/>
              <w:jc w:val="right"/>
              <w:rPr>
                <w:rFonts w:ascii="Arial" w:hAnsi="Arial" w:cs="Arial"/>
                <w:sz w:val="20"/>
                <w:szCs w:val="20"/>
                <w:lang w:val="en-US"/>
              </w:rPr>
            </w:pPr>
            <w:r>
              <w:rPr>
                <w:rFonts w:ascii="Arial" w:hAnsi="Arial" w:cs="Arial"/>
                <w:sz w:val="20"/>
                <w:szCs w:val="20"/>
                <w:lang w:val="en-US"/>
              </w:rPr>
              <w:t>30.4%</w:t>
            </w:r>
          </w:p>
        </w:tc>
        <w:tc>
          <w:tcPr>
            <w:tcW w:w="1134" w:type="dxa"/>
            <w:tcBorders>
              <w:top w:val="nil"/>
              <w:left w:val="nil"/>
              <w:bottom w:val="single" w:sz="8" w:space="0" w:color="FFFFFF"/>
              <w:right w:val="single" w:sz="8" w:space="0" w:color="FFFFFF"/>
            </w:tcBorders>
            <w:shd w:val="clear" w:color="auto" w:fill="DBE5F1"/>
            <w:tcMar>
              <w:top w:w="0" w:type="dxa"/>
              <w:left w:w="108" w:type="dxa"/>
              <w:bottom w:w="0" w:type="dxa"/>
              <w:right w:w="108" w:type="dxa"/>
            </w:tcMar>
            <w:hideMark/>
          </w:tcPr>
          <w:p w14:paraId="32BA9660" w14:textId="77777777" w:rsidR="009F4B68" w:rsidRDefault="009F4B68" w:rsidP="000F67C8">
            <w:pPr>
              <w:pStyle w:val="ListParagraph"/>
              <w:spacing w:line="276" w:lineRule="auto"/>
              <w:ind w:left="0"/>
              <w:jc w:val="right"/>
              <w:rPr>
                <w:rFonts w:ascii="Arial" w:hAnsi="Arial" w:cs="Arial"/>
                <w:sz w:val="20"/>
                <w:szCs w:val="20"/>
                <w:lang w:val="en-US"/>
              </w:rPr>
            </w:pPr>
            <w:r>
              <w:rPr>
                <w:rFonts w:ascii="Arial" w:hAnsi="Arial" w:cs="Arial"/>
                <w:sz w:val="20"/>
                <w:szCs w:val="20"/>
                <w:lang w:val="en-US"/>
              </w:rPr>
              <w:t>33.2%</w:t>
            </w:r>
          </w:p>
        </w:tc>
      </w:tr>
      <w:tr w:rsidR="009F4B68" w14:paraId="15FF5FD9" w14:textId="77777777" w:rsidTr="00ED6D3D">
        <w:tc>
          <w:tcPr>
            <w:tcW w:w="3216" w:type="dxa"/>
            <w:tcBorders>
              <w:top w:val="nil"/>
              <w:left w:val="single" w:sz="8" w:space="0" w:color="FFFFFF"/>
              <w:bottom w:val="single" w:sz="8" w:space="0" w:color="FFFFFF"/>
              <w:right w:val="single" w:sz="8" w:space="0" w:color="FFFFFF"/>
            </w:tcBorders>
            <w:shd w:val="clear" w:color="auto" w:fill="DBE5F1"/>
            <w:tcMar>
              <w:top w:w="0" w:type="dxa"/>
              <w:left w:w="108" w:type="dxa"/>
              <w:bottom w:w="0" w:type="dxa"/>
              <w:right w:w="108" w:type="dxa"/>
            </w:tcMar>
            <w:hideMark/>
          </w:tcPr>
          <w:p w14:paraId="7F1BA5AC" w14:textId="77777777" w:rsidR="009F4B68" w:rsidRDefault="009F4B68" w:rsidP="000F67C8">
            <w:pPr>
              <w:pStyle w:val="ListParagraph"/>
              <w:spacing w:line="276" w:lineRule="auto"/>
              <w:ind w:left="0"/>
              <w:rPr>
                <w:rFonts w:ascii="Arial" w:hAnsi="Arial" w:cs="Arial"/>
                <w:sz w:val="20"/>
                <w:szCs w:val="20"/>
                <w:lang w:val="en-US"/>
              </w:rPr>
            </w:pPr>
            <w:r>
              <w:rPr>
                <w:rFonts w:ascii="Arial" w:hAnsi="Arial" w:cs="Arial"/>
                <w:sz w:val="20"/>
                <w:szCs w:val="20"/>
                <w:lang w:val="en-US"/>
              </w:rPr>
              <w:t>Mortgage stress</w:t>
            </w:r>
          </w:p>
        </w:tc>
        <w:tc>
          <w:tcPr>
            <w:tcW w:w="1275" w:type="dxa"/>
            <w:tcBorders>
              <w:top w:val="nil"/>
              <w:left w:val="nil"/>
              <w:bottom w:val="single" w:sz="8" w:space="0" w:color="FFFFFF"/>
              <w:right w:val="single" w:sz="8" w:space="0" w:color="FFFFFF"/>
            </w:tcBorders>
            <w:shd w:val="clear" w:color="auto" w:fill="DBE5F1"/>
            <w:tcMar>
              <w:top w:w="0" w:type="dxa"/>
              <w:left w:w="108" w:type="dxa"/>
              <w:bottom w:w="0" w:type="dxa"/>
              <w:right w:w="108" w:type="dxa"/>
            </w:tcMar>
            <w:hideMark/>
          </w:tcPr>
          <w:p w14:paraId="62AFC2B3" w14:textId="77777777" w:rsidR="009F4B68" w:rsidRDefault="009F4B68" w:rsidP="000F67C8">
            <w:pPr>
              <w:pStyle w:val="ListParagraph"/>
              <w:spacing w:line="276" w:lineRule="auto"/>
              <w:ind w:left="0"/>
              <w:jc w:val="right"/>
              <w:rPr>
                <w:rFonts w:ascii="Arial" w:hAnsi="Arial" w:cs="Arial"/>
                <w:sz w:val="20"/>
                <w:szCs w:val="20"/>
                <w:lang w:val="en-US"/>
              </w:rPr>
            </w:pPr>
            <w:r>
              <w:rPr>
                <w:rFonts w:ascii="Arial" w:hAnsi="Arial" w:cs="Arial"/>
                <w:sz w:val="20"/>
                <w:szCs w:val="20"/>
                <w:lang w:val="en-US"/>
              </w:rPr>
              <w:t>10.5%</w:t>
            </w:r>
          </w:p>
        </w:tc>
        <w:tc>
          <w:tcPr>
            <w:tcW w:w="1276" w:type="dxa"/>
            <w:tcBorders>
              <w:top w:val="nil"/>
              <w:left w:val="nil"/>
              <w:bottom w:val="single" w:sz="8" w:space="0" w:color="FFFFFF"/>
              <w:right w:val="single" w:sz="8" w:space="0" w:color="FFFFFF"/>
            </w:tcBorders>
            <w:shd w:val="clear" w:color="auto" w:fill="DBE5F1"/>
            <w:tcMar>
              <w:top w:w="0" w:type="dxa"/>
              <w:left w:w="108" w:type="dxa"/>
              <w:bottom w:w="0" w:type="dxa"/>
              <w:right w:w="108" w:type="dxa"/>
            </w:tcMar>
            <w:hideMark/>
          </w:tcPr>
          <w:p w14:paraId="0BCD399A" w14:textId="77777777" w:rsidR="009F4B68" w:rsidRDefault="009F4B68" w:rsidP="000F67C8">
            <w:pPr>
              <w:pStyle w:val="ListParagraph"/>
              <w:spacing w:line="276" w:lineRule="auto"/>
              <w:ind w:left="0"/>
              <w:jc w:val="right"/>
              <w:rPr>
                <w:rFonts w:ascii="Arial" w:hAnsi="Arial" w:cs="Arial"/>
                <w:sz w:val="20"/>
                <w:szCs w:val="20"/>
                <w:lang w:val="en-US"/>
              </w:rPr>
            </w:pPr>
            <w:r>
              <w:rPr>
                <w:rFonts w:ascii="Arial" w:hAnsi="Arial" w:cs="Arial"/>
                <w:sz w:val="20"/>
                <w:szCs w:val="20"/>
                <w:lang w:val="en-US"/>
              </w:rPr>
              <w:t>12%</w:t>
            </w:r>
          </w:p>
        </w:tc>
        <w:tc>
          <w:tcPr>
            <w:tcW w:w="1134" w:type="dxa"/>
            <w:tcBorders>
              <w:top w:val="nil"/>
              <w:left w:val="nil"/>
              <w:bottom w:val="single" w:sz="8" w:space="0" w:color="FFFFFF"/>
              <w:right w:val="single" w:sz="8" w:space="0" w:color="FFFFFF"/>
            </w:tcBorders>
            <w:shd w:val="clear" w:color="auto" w:fill="DBE5F1"/>
            <w:tcMar>
              <w:top w:w="0" w:type="dxa"/>
              <w:left w:w="108" w:type="dxa"/>
              <w:bottom w:w="0" w:type="dxa"/>
              <w:right w:w="108" w:type="dxa"/>
            </w:tcMar>
            <w:hideMark/>
          </w:tcPr>
          <w:p w14:paraId="5B2783FD" w14:textId="77777777" w:rsidR="009F4B68" w:rsidRDefault="009F4B68" w:rsidP="000F67C8">
            <w:pPr>
              <w:pStyle w:val="ListParagraph"/>
              <w:spacing w:line="276" w:lineRule="auto"/>
              <w:ind w:left="0"/>
              <w:jc w:val="right"/>
              <w:rPr>
                <w:rFonts w:ascii="Arial" w:hAnsi="Arial" w:cs="Arial"/>
                <w:sz w:val="20"/>
                <w:szCs w:val="20"/>
                <w:lang w:val="en-US"/>
              </w:rPr>
            </w:pPr>
            <w:r>
              <w:rPr>
                <w:rFonts w:ascii="Arial" w:hAnsi="Arial" w:cs="Arial"/>
                <w:sz w:val="20"/>
                <w:szCs w:val="20"/>
                <w:lang w:val="en-US"/>
              </w:rPr>
              <w:t>10.5%</w:t>
            </w:r>
          </w:p>
        </w:tc>
      </w:tr>
      <w:tr w:rsidR="009F4B68" w14:paraId="6CC98A9A" w14:textId="77777777" w:rsidTr="00ED6D3D">
        <w:tc>
          <w:tcPr>
            <w:tcW w:w="3216" w:type="dxa"/>
            <w:tcBorders>
              <w:top w:val="nil"/>
              <w:left w:val="single" w:sz="8" w:space="0" w:color="FFFFFF"/>
              <w:bottom w:val="single" w:sz="8" w:space="0" w:color="FFFFFF"/>
              <w:right w:val="single" w:sz="8" w:space="0" w:color="FFFFFF"/>
            </w:tcBorders>
            <w:shd w:val="clear" w:color="auto" w:fill="DBE5F1"/>
            <w:tcMar>
              <w:top w:w="0" w:type="dxa"/>
              <w:left w:w="108" w:type="dxa"/>
              <w:bottom w:w="0" w:type="dxa"/>
              <w:right w:w="108" w:type="dxa"/>
            </w:tcMar>
            <w:hideMark/>
          </w:tcPr>
          <w:p w14:paraId="010CC0A2" w14:textId="77777777" w:rsidR="009F4B68" w:rsidRDefault="009F4B68" w:rsidP="000F67C8">
            <w:pPr>
              <w:pStyle w:val="ListParagraph"/>
              <w:spacing w:line="276" w:lineRule="auto"/>
              <w:ind w:left="0"/>
              <w:rPr>
                <w:rFonts w:ascii="Arial" w:hAnsi="Arial" w:cs="Arial"/>
                <w:sz w:val="20"/>
                <w:szCs w:val="20"/>
                <w:lang w:val="en-US"/>
              </w:rPr>
            </w:pPr>
            <w:r>
              <w:rPr>
                <w:rFonts w:ascii="Arial" w:hAnsi="Arial" w:cs="Arial"/>
                <w:sz w:val="20"/>
                <w:szCs w:val="20"/>
                <w:lang w:val="en-US"/>
              </w:rPr>
              <w:t>Rental stress</w:t>
            </w:r>
          </w:p>
        </w:tc>
        <w:tc>
          <w:tcPr>
            <w:tcW w:w="1275" w:type="dxa"/>
            <w:tcBorders>
              <w:top w:val="nil"/>
              <w:left w:val="nil"/>
              <w:bottom w:val="single" w:sz="8" w:space="0" w:color="FFFFFF"/>
              <w:right w:val="single" w:sz="8" w:space="0" w:color="FFFFFF"/>
            </w:tcBorders>
            <w:shd w:val="clear" w:color="auto" w:fill="DBE5F1"/>
            <w:tcMar>
              <w:top w:w="0" w:type="dxa"/>
              <w:left w:w="108" w:type="dxa"/>
              <w:bottom w:w="0" w:type="dxa"/>
              <w:right w:w="108" w:type="dxa"/>
            </w:tcMar>
            <w:hideMark/>
          </w:tcPr>
          <w:p w14:paraId="6146AE30" w14:textId="77777777" w:rsidR="009F4B68" w:rsidRDefault="009F4B68" w:rsidP="000F67C8">
            <w:pPr>
              <w:pStyle w:val="ListParagraph"/>
              <w:spacing w:line="276" w:lineRule="auto"/>
              <w:ind w:left="0"/>
              <w:jc w:val="right"/>
              <w:rPr>
                <w:rFonts w:ascii="Arial" w:hAnsi="Arial" w:cs="Arial"/>
                <w:sz w:val="20"/>
                <w:szCs w:val="20"/>
                <w:lang w:val="en-US"/>
              </w:rPr>
            </w:pPr>
            <w:r>
              <w:rPr>
                <w:rFonts w:ascii="Arial" w:hAnsi="Arial" w:cs="Arial"/>
                <w:sz w:val="20"/>
                <w:szCs w:val="20"/>
                <w:lang w:val="en-US"/>
              </w:rPr>
              <w:t>8.4%</w:t>
            </w:r>
          </w:p>
        </w:tc>
        <w:tc>
          <w:tcPr>
            <w:tcW w:w="1276" w:type="dxa"/>
            <w:tcBorders>
              <w:top w:val="nil"/>
              <w:left w:val="nil"/>
              <w:bottom w:val="single" w:sz="8" w:space="0" w:color="FFFFFF"/>
              <w:right w:val="single" w:sz="8" w:space="0" w:color="FFFFFF"/>
            </w:tcBorders>
            <w:shd w:val="clear" w:color="auto" w:fill="DBE5F1"/>
            <w:tcMar>
              <w:top w:w="0" w:type="dxa"/>
              <w:left w:w="108" w:type="dxa"/>
              <w:bottom w:w="0" w:type="dxa"/>
              <w:right w:w="108" w:type="dxa"/>
            </w:tcMar>
            <w:hideMark/>
          </w:tcPr>
          <w:p w14:paraId="6F954F23" w14:textId="77777777" w:rsidR="009F4B68" w:rsidRDefault="009F4B68" w:rsidP="000F67C8">
            <w:pPr>
              <w:pStyle w:val="ListParagraph"/>
              <w:spacing w:line="276" w:lineRule="auto"/>
              <w:ind w:left="0"/>
              <w:jc w:val="right"/>
              <w:rPr>
                <w:rFonts w:ascii="Arial" w:hAnsi="Arial" w:cs="Arial"/>
                <w:sz w:val="20"/>
                <w:szCs w:val="20"/>
                <w:lang w:val="en-US"/>
              </w:rPr>
            </w:pPr>
            <w:r>
              <w:rPr>
                <w:rFonts w:ascii="Arial" w:hAnsi="Arial" w:cs="Arial"/>
                <w:sz w:val="20"/>
                <w:szCs w:val="20"/>
                <w:lang w:val="en-US"/>
              </w:rPr>
              <w:t>12.6%</w:t>
            </w:r>
          </w:p>
        </w:tc>
        <w:tc>
          <w:tcPr>
            <w:tcW w:w="1134" w:type="dxa"/>
            <w:tcBorders>
              <w:top w:val="nil"/>
              <w:left w:val="nil"/>
              <w:bottom w:val="single" w:sz="8" w:space="0" w:color="FFFFFF"/>
              <w:right w:val="single" w:sz="8" w:space="0" w:color="FFFFFF"/>
            </w:tcBorders>
            <w:shd w:val="clear" w:color="auto" w:fill="DBE5F1"/>
            <w:tcMar>
              <w:top w:w="0" w:type="dxa"/>
              <w:left w:w="108" w:type="dxa"/>
              <w:bottom w:w="0" w:type="dxa"/>
              <w:right w:w="108" w:type="dxa"/>
            </w:tcMar>
            <w:hideMark/>
          </w:tcPr>
          <w:p w14:paraId="4E09E601" w14:textId="77777777" w:rsidR="009F4B68" w:rsidRDefault="009F4B68" w:rsidP="000F67C8">
            <w:pPr>
              <w:pStyle w:val="ListParagraph"/>
              <w:spacing w:line="276" w:lineRule="auto"/>
              <w:ind w:left="0"/>
              <w:jc w:val="right"/>
              <w:rPr>
                <w:rFonts w:ascii="Arial" w:hAnsi="Arial" w:cs="Arial"/>
                <w:sz w:val="20"/>
                <w:szCs w:val="20"/>
                <w:lang w:val="en-US"/>
              </w:rPr>
            </w:pPr>
            <w:r>
              <w:rPr>
                <w:rFonts w:ascii="Arial" w:hAnsi="Arial" w:cs="Arial"/>
                <w:sz w:val="20"/>
                <w:szCs w:val="20"/>
                <w:lang w:val="en-US"/>
              </w:rPr>
              <w:t>11.6%</w:t>
            </w:r>
          </w:p>
        </w:tc>
      </w:tr>
    </w:tbl>
    <w:p w14:paraId="0AD738C6" w14:textId="77777777" w:rsidR="009F4B68" w:rsidRDefault="009F4B68" w:rsidP="000F67C8">
      <w:pPr>
        <w:pStyle w:val="ListParagraph"/>
        <w:spacing w:line="276" w:lineRule="auto"/>
        <w:rPr>
          <w:rFonts w:ascii="Arial" w:hAnsi="Arial" w:cs="Arial"/>
          <w:sz w:val="20"/>
          <w:szCs w:val="20"/>
          <w:lang w:val="en-US"/>
        </w:rPr>
      </w:pPr>
    </w:p>
    <w:p w14:paraId="7DA9BCF2" w14:textId="77777777" w:rsidR="009F4B68" w:rsidRPr="00EE74E3" w:rsidRDefault="009F4B68" w:rsidP="000F67C8">
      <w:pPr>
        <w:spacing w:before="40" w:line="276" w:lineRule="auto"/>
        <w:ind w:left="709" w:right="142"/>
        <w:jc w:val="both"/>
        <w:rPr>
          <w:rFonts w:ascii="Arial" w:hAnsi="Arial" w:cs="Arial"/>
          <w:sz w:val="20"/>
          <w:szCs w:val="20"/>
          <w:lang w:val="en-US"/>
        </w:rPr>
      </w:pPr>
      <w:r w:rsidRPr="00EE74E3">
        <w:rPr>
          <w:rFonts w:ascii="Arial" w:hAnsi="Arial" w:cs="Arial"/>
          <w:sz w:val="20"/>
          <w:szCs w:val="20"/>
          <w:lang w:val="en-US"/>
        </w:rPr>
        <w:t>This data indicates that Blue Mountains residents have a relatively high ability to manage to pay additional rates.</w:t>
      </w:r>
    </w:p>
    <w:p w14:paraId="73C298E1" w14:textId="77777777" w:rsidR="009F4B68" w:rsidRPr="00EE74E3" w:rsidRDefault="009F4B68" w:rsidP="000F67C8">
      <w:pPr>
        <w:spacing w:before="40" w:line="276" w:lineRule="auto"/>
        <w:ind w:right="142"/>
        <w:jc w:val="both"/>
        <w:rPr>
          <w:rFonts w:ascii="Arial" w:hAnsi="Arial" w:cs="Arial"/>
          <w:sz w:val="20"/>
          <w:szCs w:val="20"/>
          <w:lang w:val="en-US"/>
        </w:rPr>
      </w:pPr>
    </w:p>
    <w:p w14:paraId="0B6FF171" w14:textId="77777777" w:rsidR="009F4B68" w:rsidRPr="00EE74E3" w:rsidRDefault="009F4B68" w:rsidP="000F67C8">
      <w:pPr>
        <w:pStyle w:val="ListParagraph"/>
        <w:numPr>
          <w:ilvl w:val="0"/>
          <w:numId w:val="81"/>
        </w:numPr>
        <w:spacing w:before="40" w:line="276" w:lineRule="auto"/>
        <w:ind w:right="142"/>
        <w:jc w:val="both"/>
        <w:rPr>
          <w:rFonts w:ascii="Arial" w:hAnsi="Arial" w:cs="Arial"/>
          <w:b/>
          <w:sz w:val="20"/>
          <w:szCs w:val="20"/>
          <w:lang w:val="en-US"/>
        </w:rPr>
      </w:pPr>
      <w:r w:rsidRPr="00EE74E3">
        <w:rPr>
          <w:rFonts w:ascii="Arial" w:hAnsi="Arial" w:cs="Arial"/>
          <w:b/>
          <w:sz w:val="20"/>
          <w:szCs w:val="20"/>
          <w:lang w:val="en-US"/>
        </w:rPr>
        <w:t>Outstanding rate debt</w:t>
      </w:r>
    </w:p>
    <w:p w14:paraId="608E3FB6" w14:textId="162B3F94" w:rsidR="009F4B68" w:rsidRPr="00EE74E3" w:rsidRDefault="009F4B68" w:rsidP="000F67C8">
      <w:pPr>
        <w:spacing w:before="40" w:line="276" w:lineRule="auto"/>
        <w:ind w:left="709" w:right="142"/>
        <w:jc w:val="both"/>
        <w:rPr>
          <w:rFonts w:ascii="Arial" w:hAnsi="Arial" w:cs="Arial"/>
          <w:sz w:val="20"/>
          <w:szCs w:val="20"/>
          <w:lang w:val="en-US"/>
        </w:rPr>
      </w:pPr>
      <w:r w:rsidRPr="00EE74E3">
        <w:rPr>
          <w:rFonts w:ascii="Arial" w:hAnsi="Arial" w:cs="Arial"/>
          <w:sz w:val="20"/>
          <w:szCs w:val="20"/>
          <w:lang w:val="en-US"/>
        </w:rPr>
        <w:t xml:space="preserve">As shown in </w:t>
      </w:r>
      <w:r w:rsidRPr="00086AAD">
        <w:rPr>
          <w:rFonts w:ascii="Arial" w:hAnsi="Arial" w:cs="Arial"/>
          <w:b/>
          <w:sz w:val="20"/>
          <w:szCs w:val="20"/>
          <w:lang w:val="en-US"/>
        </w:rPr>
        <w:t>Figure 5.2</w:t>
      </w:r>
      <w:r w:rsidRPr="00EE74E3">
        <w:rPr>
          <w:rFonts w:ascii="Arial" w:hAnsi="Arial" w:cs="Arial"/>
          <w:sz w:val="20"/>
          <w:szCs w:val="20"/>
          <w:lang w:val="en-US"/>
        </w:rPr>
        <w:t xml:space="preserve"> below, outstanding debts have trended downwards from a rate of over 6.5% in 2002/03 to the current rate of less than </w:t>
      </w:r>
      <w:r w:rsidR="004823B9">
        <w:rPr>
          <w:rFonts w:ascii="Arial" w:hAnsi="Arial" w:cs="Arial"/>
          <w:sz w:val="20"/>
          <w:szCs w:val="20"/>
          <w:lang w:val="en-US"/>
        </w:rPr>
        <w:t>3.8</w:t>
      </w:r>
      <w:r w:rsidRPr="00EE74E3">
        <w:rPr>
          <w:rFonts w:ascii="Arial" w:hAnsi="Arial" w:cs="Arial"/>
          <w:sz w:val="20"/>
          <w:szCs w:val="20"/>
          <w:lang w:val="en-US"/>
        </w:rPr>
        <w:t>%. This is less than the Office of Local Government recommended level of 5% and the average of OLG Group 7 councils of 4.8%.</w:t>
      </w:r>
    </w:p>
    <w:p w14:paraId="4C2F03C8" w14:textId="77777777" w:rsidR="009F4B68" w:rsidRPr="00EE74E3" w:rsidRDefault="009F4B68" w:rsidP="000F67C8">
      <w:pPr>
        <w:spacing w:before="40" w:line="276" w:lineRule="auto"/>
        <w:ind w:left="709" w:right="142"/>
        <w:jc w:val="both"/>
        <w:rPr>
          <w:rFonts w:ascii="Arial" w:hAnsi="Arial" w:cs="Arial"/>
          <w:sz w:val="20"/>
          <w:szCs w:val="20"/>
          <w:lang w:val="en-US"/>
        </w:rPr>
      </w:pPr>
    </w:p>
    <w:p w14:paraId="42B0E141" w14:textId="1D10731C" w:rsidR="009F4B68" w:rsidRPr="00AD2D16" w:rsidRDefault="009F4B68" w:rsidP="009F4B68">
      <w:pPr>
        <w:keepNext/>
        <w:spacing w:before="40" w:line="276" w:lineRule="auto"/>
        <w:ind w:left="709" w:right="142"/>
        <w:jc w:val="both"/>
        <w:rPr>
          <w:rFonts w:ascii="Arial" w:hAnsi="Arial" w:cs="Arial"/>
          <w:b/>
          <w:sz w:val="18"/>
          <w:szCs w:val="18"/>
          <w:lang w:val="en-US"/>
        </w:rPr>
      </w:pPr>
      <w:r w:rsidRPr="00AD2D16">
        <w:rPr>
          <w:rFonts w:ascii="Arial" w:hAnsi="Arial" w:cs="Arial"/>
          <w:b/>
          <w:sz w:val="18"/>
          <w:szCs w:val="18"/>
          <w:lang w:val="en-US"/>
        </w:rPr>
        <w:t>Figure 5.4</w:t>
      </w:r>
      <w:r w:rsidR="00AD2D16">
        <w:rPr>
          <w:rFonts w:ascii="Arial" w:hAnsi="Arial" w:cs="Arial"/>
          <w:b/>
          <w:sz w:val="18"/>
          <w:szCs w:val="18"/>
          <w:lang w:val="en-US"/>
        </w:rPr>
        <w:t>:</w:t>
      </w:r>
      <w:r w:rsidRPr="00AD2D16">
        <w:rPr>
          <w:rFonts w:ascii="Arial" w:hAnsi="Arial" w:cs="Arial"/>
          <w:b/>
          <w:sz w:val="18"/>
          <w:szCs w:val="18"/>
          <w:lang w:val="en-US"/>
        </w:rPr>
        <w:t xml:space="preserve"> Ten Year Debt Recovery Ratio</w:t>
      </w:r>
    </w:p>
    <w:p w14:paraId="16BE4D0A" w14:textId="77777777" w:rsidR="009F4B68" w:rsidRPr="00D63561" w:rsidRDefault="009F4B68" w:rsidP="009F4B68">
      <w:pPr>
        <w:spacing w:before="40" w:line="360" w:lineRule="auto"/>
        <w:ind w:left="709" w:right="142"/>
        <w:jc w:val="both"/>
        <w:rPr>
          <w:rFonts w:ascii="Arial" w:hAnsi="Arial" w:cs="Arial"/>
          <w:sz w:val="20"/>
          <w:szCs w:val="20"/>
          <w:lang w:val="en-US"/>
        </w:rPr>
      </w:pPr>
      <w:r w:rsidRPr="00E66B92">
        <w:rPr>
          <w:rFonts w:ascii="Arial" w:hAnsi="Arial" w:cs="Arial"/>
          <w:noProof/>
          <w:sz w:val="20"/>
          <w:szCs w:val="20"/>
        </w:rPr>
        <w:drawing>
          <wp:inline distT="0" distB="0" distL="0" distR="0" wp14:anchorId="0868E093" wp14:editId="3A7C212C">
            <wp:extent cx="4972050" cy="2543175"/>
            <wp:effectExtent l="0" t="0" r="19050" b="9525"/>
            <wp:docPr id="2091" name="Chart 209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1D9E249E" w14:textId="77777777" w:rsidR="009F4B68" w:rsidRDefault="009F4B68" w:rsidP="009F4B68">
      <w:pPr>
        <w:spacing w:before="40" w:line="360" w:lineRule="auto"/>
        <w:ind w:left="709" w:right="142"/>
        <w:jc w:val="both"/>
        <w:rPr>
          <w:rFonts w:ascii="Arial" w:hAnsi="Arial" w:cs="Arial"/>
          <w:sz w:val="21"/>
          <w:szCs w:val="21"/>
          <w:lang w:val="en-US"/>
        </w:rPr>
      </w:pPr>
    </w:p>
    <w:p w14:paraId="56EF8CC6" w14:textId="621C81B4" w:rsidR="009F4B68" w:rsidRPr="00EE74E3" w:rsidRDefault="009F4B68" w:rsidP="000F67C8">
      <w:pPr>
        <w:spacing w:before="40" w:line="276" w:lineRule="auto"/>
        <w:ind w:left="709" w:right="142"/>
        <w:jc w:val="both"/>
        <w:rPr>
          <w:rFonts w:ascii="Arial" w:hAnsi="Arial" w:cs="Arial"/>
          <w:sz w:val="20"/>
          <w:szCs w:val="20"/>
          <w:lang w:val="en-US"/>
        </w:rPr>
      </w:pPr>
      <w:r w:rsidRPr="00EE74E3">
        <w:rPr>
          <w:rFonts w:ascii="Arial" w:hAnsi="Arial" w:cs="Arial"/>
          <w:sz w:val="20"/>
          <w:szCs w:val="20"/>
          <w:lang w:val="en-US"/>
        </w:rPr>
        <w:t>This downward trend has occurred despite special variation increases to rates in 2005 and 2010 and the continuation of an existing variation in 2013. This indicates that these rate increases have been managed by ratepayers.</w:t>
      </w:r>
    </w:p>
    <w:p w14:paraId="3EF87DCB" w14:textId="77777777" w:rsidR="009F4B68" w:rsidRPr="00EE74E3" w:rsidRDefault="009F4B68" w:rsidP="000F67C8">
      <w:pPr>
        <w:spacing w:before="40" w:line="276" w:lineRule="auto"/>
        <w:ind w:right="142"/>
        <w:jc w:val="both"/>
        <w:rPr>
          <w:rFonts w:ascii="Arial" w:hAnsi="Arial" w:cs="Arial"/>
          <w:sz w:val="20"/>
          <w:szCs w:val="20"/>
          <w:lang w:val="en-US"/>
        </w:rPr>
      </w:pPr>
    </w:p>
    <w:p w14:paraId="5DFEA3DE" w14:textId="77777777" w:rsidR="009F4B68" w:rsidRPr="00EE74E3" w:rsidRDefault="009F4B68" w:rsidP="000F67C8">
      <w:pPr>
        <w:pStyle w:val="ListParagraph"/>
        <w:widowControl w:val="0"/>
        <w:numPr>
          <w:ilvl w:val="0"/>
          <w:numId w:val="81"/>
        </w:numPr>
        <w:spacing w:before="40" w:line="276" w:lineRule="auto"/>
        <w:ind w:right="142"/>
        <w:jc w:val="both"/>
        <w:rPr>
          <w:rFonts w:ascii="Arial" w:hAnsi="Arial" w:cs="Arial"/>
          <w:b/>
          <w:sz w:val="20"/>
          <w:szCs w:val="20"/>
          <w:lang w:val="en-US"/>
        </w:rPr>
      </w:pPr>
      <w:r w:rsidRPr="00EE74E3">
        <w:rPr>
          <w:rFonts w:ascii="Arial" w:hAnsi="Arial" w:cs="Arial"/>
          <w:b/>
          <w:sz w:val="20"/>
          <w:szCs w:val="20"/>
          <w:lang w:val="en-US"/>
        </w:rPr>
        <w:t>Rating competitiveness</w:t>
      </w:r>
    </w:p>
    <w:p w14:paraId="0CE174A9" w14:textId="77777777" w:rsidR="009F4B68" w:rsidRPr="00EE74E3" w:rsidRDefault="009F4B68" w:rsidP="000F67C8">
      <w:pPr>
        <w:pStyle w:val="Default"/>
        <w:spacing w:line="276" w:lineRule="auto"/>
        <w:ind w:left="709"/>
        <w:jc w:val="both"/>
        <w:rPr>
          <w:sz w:val="20"/>
          <w:szCs w:val="20"/>
        </w:rPr>
      </w:pPr>
      <w:r w:rsidRPr="00EE74E3">
        <w:rPr>
          <w:sz w:val="20"/>
          <w:szCs w:val="20"/>
        </w:rPr>
        <w:t>A study of rates with other councils of similar geographic and socio-economic characteristics highlights that current rates are competitive with other councils. The following table summarises the comparative findings.</w:t>
      </w:r>
    </w:p>
    <w:p w14:paraId="40453848" w14:textId="77777777" w:rsidR="009F4B68" w:rsidRPr="00AD2D16" w:rsidRDefault="009F4B68" w:rsidP="009F4B68">
      <w:pPr>
        <w:pStyle w:val="BodyText"/>
        <w:spacing w:line="276" w:lineRule="auto"/>
        <w:ind w:left="709"/>
        <w:rPr>
          <w:rFonts w:ascii="Arial" w:hAnsi="Arial" w:cs="Arial"/>
          <w:b/>
          <w:sz w:val="18"/>
          <w:szCs w:val="18"/>
        </w:rPr>
      </w:pPr>
      <w:r w:rsidRPr="00AD2D16">
        <w:rPr>
          <w:rFonts w:ascii="Arial" w:hAnsi="Arial" w:cs="Arial"/>
          <w:b/>
          <w:sz w:val="18"/>
          <w:szCs w:val="18"/>
        </w:rPr>
        <w:t>Table 5.4 Blue Mountains Council Rating Competitiveness</w:t>
      </w:r>
    </w:p>
    <w:tbl>
      <w:tblPr>
        <w:tblStyle w:val="TableGrid"/>
        <w:tblW w:w="8026" w:type="dxa"/>
        <w:tblInd w:w="729"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700"/>
        <w:gridCol w:w="1365"/>
        <w:gridCol w:w="4961"/>
      </w:tblGrid>
      <w:tr w:rsidR="009F4B68" w:rsidRPr="0073245C" w14:paraId="42E29ECF" w14:textId="77777777" w:rsidTr="00ED6D3D">
        <w:trPr>
          <w:trHeight w:val="626"/>
          <w:tblHeader/>
        </w:trPr>
        <w:tc>
          <w:tcPr>
            <w:tcW w:w="1700" w:type="dxa"/>
            <w:shd w:val="clear" w:color="auto" w:fill="4F81BD" w:themeFill="accent1"/>
            <w:vAlign w:val="center"/>
          </w:tcPr>
          <w:p w14:paraId="3A8D0789" w14:textId="77777777" w:rsidR="009F4B68" w:rsidRPr="0073245C" w:rsidRDefault="009F4B68" w:rsidP="00ED6D3D">
            <w:pPr>
              <w:pStyle w:val="Default"/>
              <w:spacing w:before="40" w:after="40" w:line="276" w:lineRule="auto"/>
              <w:jc w:val="center"/>
              <w:rPr>
                <w:b/>
                <w:color w:val="FFFFFF" w:themeColor="background1"/>
                <w:sz w:val="18"/>
                <w:szCs w:val="18"/>
              </w:rPr>
            </w:pPr>
            <w:r w:rsidRPr="0073245C">
              <w:rPr>
                <w:b/>
                <w:color w:val="FFFFFF" w:themeColor="background1"/>
                <w:sz w:val="18"/>
                <w:szCs w:val="18"/>
              </w:rPr>
              <w:t>Rating Category</w:t>
            </w:r>
          </w:p>
        </w:tc>
        <w:tc>
          <w:tcPr>
            <w:tcW w:w="1365" w:type="dxa"/>
            <w:shd w:val="clear" w:color="auto" w:fill="4F81BD" w:themeFill="accent1"/>
          </w:tcPr>
          <w:p w14:paraId="4F66E364" w14:textId="28F6FF81" w:rsidR="009F4B68" w:rsidRPr="0073245C" w:rsidRDefault="009F4B68" w:rsidP="0073245C">
            <w:pPr>
              <w:pStyle w:val="Default"/>
              <w:spacing w:before="40" w:after="40" w:line="276" w:lineRule="auto"/>
              <w:ind w:left="34"/>
              <w:jc w:val="center"/>
              <w:rPr>
                <w:rStyle w:val="Strong"/>
                <w:color w:val="FFFFFF" w:themeColor="background1"/>
                <w:sz w:val="18"/>
                <w:szCs w:val="18"/>
              </w:rPr>
            </w:pPr>
            <w:r w:rsidRPr="0073245C">
              <w:rPr>
                <w:rStyle w:val="Strong"/>
                <w:color w:val="FFFFFF" w:themeColor="background1"/>
                <w:sz w:val="18"/>
                <w:szCs w:val="18"/>
              </w:rPr>
              <w:t>Blue Mountains Average Rates</w:t>
            </w:r>
            <w:r w:rsidR="0073245C">
              <w:rPr>
                <w:rStyle w:val="Strong"/>
                <w:color w:val="FFFFFF" w:themeColor="background1"/>
                <w:sz w:val="18"/>
                <w:szCs w:val="18"/>
              </w:rPr>
              <w:t xml:space="preserve"> (2014/15)</w:t>
            </w:r>
          </w:p>
        </w:tc>
        <w:tc>
          <w:tcPr>
            <w:tcW w:w="4961" w:type="dxa"/>
            <w:shd w:val="clear" w:color="auto" w:fill="4F81BD" w:themeFill="accent1"/>
            <w:vAlign w:val="center"/>
          </w:tcPr>
          <w:p w14:paraId="392E5E40" w14:textId="77777777" w:rsidR="009F4B68" w:rsidRPr="0073245C" w:rsidRDefault="009F4B68" w:rsidP="00ED6D3D">
            <w:pPr>
              <w:pStyle w:val="Default"/>
              <w:spacing w:before="40" w:after="40" w:line="276" w:lineRule="auto"/>
              <w:ind w:left="34"/>
              <w:jc w:val="center"/>
              <w:rPr>
                <w:rStyle w:val="Strong"/>
                <w:color w:val="FFFFFF" w:themeColor="background1"/>
                <w:sz w:val="18"/>
                <w:szCs w:val="18"/>
              </w:rPr>
            </w:pPr>
            <w:r w:rsidRPr="0073245C">
              <w:rPr>
                <w:rStyle w:val="Strong"/>
                <w:color w:val="FFFFFF" w:themeColor="background1"/>
                <w:sz w:val="18"/>
                <w:szCs w:val="18"/>
              </w:rPr>
              <w:t>Assessment</w:t>
            </w:r>
          </w:p>
        </w:tc>
      </w:tr>
      <w:tr w:rsidR="009F4B68" w:rsidRPr="0073245C" w14:paraId="4B66A711" w14:textId="77777777" w:rsidTr="00ED6D3D">
        <w:trPr>
          <w:trHeight w:val="898"/>
        </w:trPr>
        <w:tc>
          <w:tcPr>
            <w:tcW w:w="1700" w:type="dxa"/>
            <w:shd w:val="clear" w:color="auto" w:fill="DBE5F1" w:themeFill="accent1" w:themeFillTint="33"/>
            <w:vAlign w:val="center"/>
          </w:tcPr>
          <w:p w14:paraId="0AF331B6" w14:textId="77777777" w:rsidR="009F4B68" w:rsidRPr="0073245C" w:rsidRDefault="009F4B68" w:rsidP="00ED6D3D">
            <w:pPr>
              <w:pStyle w:val="Default"/>
              <w:spacing w:line="276" w:lineRule="auto"/>
              <w:jc w:val="center"/>
              <w:rPr>
                <w:b/>
                <w:sz w:val="18"/>
                <w:szCs w:val="18"/>
              </w:rPr>
            </w:pPr>
            <w:r w:rsidRPr="0073245C">
              <w:rPr>
                <w:b/>
                <w:sz w:val="18"/>
                <w:szCs w:val="18"/>
              </w:rPr>
              <w:t>Residential</w:t>
            </w:r>
          </w:p>
          <w:p w14:paraId="2EC6C3AC" w14:textId="77777777" w:rsidR="009F4B68" w:rsidRPr="0073245C" w:rsidRDefault="009F4B68" w:rsidP="00ED6D3D">
            <w:pPr>
              <w:pStyle w:val="Default"/>
              <w:spacing w:line="276" w:lineRule="auto"/>
              <w:jc w:val="center"/>
              <w:rPr>
                <w:sz w:val="18"/>
                <w:szCs w:val="18"/>
              </w:rPr>
            </w:pPr>
            <w:r w:rsidRPr="0073245C">
              <w:rPr>
                <w:sz w:val="18"/>
                <w:szCs w:val="18"/>
              </w:rPr>
              <w:t>34,311 assessments</w:t>
            </w:r>
          </w:p>
        </w:tc>
        <w:tc>
          <w:tcPr>
            <w:tcW w:w="1365" w:type="dxa"/>
            <w:shd w:val="clear" w:color="auto" w:fill="DBE5F1" w:themeFill="accent1" w:themeFillTint="33"/>
            <w:vAlign w:val="center"/>
          </w:tcPr>
          <w:p w14:paraId="1A4D6BF0" w14:textId="77777777" w:rsidR="009F4B68" w:rsidRPr="0073245C" w:rsidRDefault="009F4B68" w:rsidP="00ED6D3D">
            <w:pPr>
              <w:pStyle w:val="Default"/>
              <w:spacing w:line="276" w:lineRule="auto"/>
              <w:jc w:val="center"/>
              <w:rPr>
                <w:rStyle w:val="Strong"/>
                <w:b w:val="0"/>
                <w:color w:val="auto"/>
                <w:sz w:val="18"/>
                <w:szCs w:val="18"/>
              </w:rPr>
            </w:pPr>
            <w:r w:rsidRPr="0073245C">
              <w:rPr>
                <w:rStyle w:val="Strong"/>
                <w:b w:val="0"/>
                <w:color w:val="auto"/>
                <w:sz w:val="18"/>
                <w:szCs w:val="18"/>
              </w:rPr>
              <w:t>$1,272</w:t>
            </w:r>
          </w:p>
          <w:p w14:paraId="2732907C" w14:textId="77777777" w:rsidR="009F4B68" w:rsidRPr="0073245C" w:rsidRDefault="009F4B68" w:rsidP="00ED6D3D">
            <w:pPr>
              <w:pStyle w:val="Default"/>
              <w:spacing w:line="276" w:lineRule="auto"/>
              <w:jc w:val="center"/>
              <w:rPr>
                <w:rStyle w:val="Strong"/>
                <w:b w:val="0"/>
                <w:color w:val="auto"/>
                <w:sz w:val="18"/>
                <w:szCs w:val="18"/>
              </w:rPr>
            </w:pPr>
          </w:p>
        </w:tc>
        <w:tc>
          <w:tcPr>
            <w:tcW w:w="4961" w:type="dxa"/>
            <w:shd w:val="clear" w:color="auto" w:fill="DBE5F1" w:themeFill="accent1" w:themeFillTint="33"/>
            <w:vAlign w:val="center"/>
          </w:tcPr>
          <w:p w14:paraId="59DDA4A9" w14:textId="77777777" w:rsidR="009F4B68" w:rsidRPr="0073245C" w:rsidRDefault="009F4B68" w:rsidP="00695720">
            <w:pPr>
              <w:pStyle w:val="Default"/>
              <w:numPr>
                <w:ilvl w:val="0"/>
                <w:numId w:val="78"/>
              </w:numPr>
              <w:spacing w:line="276" w:lineRule="auto"/>
              <w:ind w:left="459" w:hanging="284"/>
              <w:rPr>
                <w:rStyle w:val="Strong"/>
                <w:b w:val="0"/>
                <w:color w:val="auto"/>
                <w:sz w:val="18"/>
                <w:szCs w:val="18"/>
              </w:rPr>
            </w:pPr>
            <w:r w:rsidRPr="0073245C">
              <w:rPr>
                <w:rStyle w:val="Strong"/>
                <w:b w:val="0"/>
                <w:color w:val="auto"/>
                <w:sz w:val="18"/>
                <w:szCs w:val="18"/>
              </w:rPr>
              <w:t>On par with other councils</w:t>
            </w:r>
          </w:p>
          <w:p w14:paraId="2702C967" w14:textId="77777777" w:rsidR="009F4B68" w:rsidRPr="0073245C" w:rsidRDefault="009F4B68" w:rsidP="00695720">
            <w:pPr>
              <w:pStyle w:val="Default"/>
              <w:numPr>
                <w:ilvl w:val="0"/>
                <w:numId w:val="78"/>
              </w:numPr>
              <w:spacing w:line="276" w:lineRule="auto"/>
              <w:ind w:left="459" w:hanging="284"/>
              <w:rPr>
                <w:rStyle w:val="Strong"/>
                <w:b w:val="0"/>
                <w:color w:val="auto"/>
                <w:sz w:val="18"/>
                <w:szCs w:val="18"/>
              </w:rPr>
            </w:pPr>
            <w:r w:rsidRPr="0073245C">
              <w:rPr>
                <w:rStyle w:val="Strong"/>
                <w:b w:val="0"/>
                <w:color w:val="auto"/>
                <w:sz w:val="18"/>
                <w:szCs w:val="18"/>
              </w:rPr>
              <w:t>Lower than Camden $1,291, Wollondilly $1,376</w:t>
            </w:r>
          </w:p>
          <w:p w14:paraId="30F53E60" w14:textId="77777777" w:rsidR="009F4B68" w:rsidRPr="0073245C" w:rsidRDefault="009F4B68" w:rsidP="00695720">
            <w:pPr>
              <w:pStyle w:val="Default"/>
              <w:numPr>
                <w:ilvl w:val="0"/>
                <w:numId w:val="78"/>
              </w:numPr>
              <w:spacing w:line="276" w:lineRule="auto"/>
              <w:ind w:left="459" w:hanging="284"/>
              <w:rPr>
                <w:rStyle w:val="Strong"/>
                <w:b w:val="0"/>
                <w:color w:val="auto"/>
                <w:sz w:val="18"/>
                <w:szCs w:val="18"/>
              </w:rPr>
            </w:pPr>
            <w:r w:rsidRPr="0073245C">
              <w:rPr>
                <w:rStyle w:val="Strong"/>
                <w:b w:val="0"/>
                <w:color w:val="auto"/>
                <w:sz w:val="18"/>
                <w:szCs w:val="18"/>
              </w:rPr>
              <w:t>Higher than Hawkesbury $1,073</w:t>
            </w:r>
          </w:p>
        </w:tc>
      </w:tr>
      <w:tr w:rsidR="009F4B68" w:rsidRPr="0073245C" w14:paraId="4AAD661D" w14:textId="77777777" w:rsidTr="00ED6D3D">
        <w:trPr>
          <w:trHeight w:val="1406"/>
        </w:trPr>
        <w:tc>
          <w:tcPr>
            <w:tcW w:w="1700" w:type="dxa"/>
            <w:shd w:val="clear" w:color="auto" w:fill="DBE5F1" w:themeFill="accent1" w:themeFillTint="33"/>
            <w:vAlign w:val="center"/>
          </w:tcPr>
          <w:p w14:paraId="3C2407E0" w14:textId="77777777" w:rsidR="009F4B68" w:rsidRPr="0073245C" w:rsidRDefault="009F4B68" w:rsidP="00ED6D3D">
            <w:pPr>
              <w:pStyle w:val="Default"/>
              <w:spacing w:line="276" w:lineRule="auto"/>
              <w:jc w:val="center"/>
              <w:rPr>
                <w:b/>
                <w:sz w:val="18"/>
                <w:szCs w:val="18"/>
              </w:rPr>
            </w:pPr>
            <w:r w:rsidRPr="0073245C">
              <w:rPr>
                <w:b/>
                <w:sz w:val="18"/>
                <w:szCs w:val="18"/>
              </w:rPr>
              <w:t>Business</w:t>
            </w:r>
          </w:p>
          <w:p w14:paraId="4D4EE7E7" w14:textId="77777777" w:rsidR="009F4B68" w:rsidRPr="0073245C" w:rsidRDefault="009F4B68" w:rsidP="00ED6D3D">
            <w:pPr>
              <w:pStyle w:val="Default"/>
              <w:spacing w:line="276" w:lineRule="auto"/>
              <w:jc w:val="center"/>
              <w:rPr>
                <w:sz w:val="18"/>
                <w:szCs w:val="18"/>
              </w:rPr>
            </w:pPr>
            <w:r w:rsidRPr="0073245C">
              <w:rPr>
                <w:sz w:val="18"/>
                <w:szCs w:val="18"/>
              </w:rPr>
              <w:t>1,138 assessments</w:t>
            </w:r>
          </w:p>
        </w:tc>
        <w:tc>
          <w:tcPr>
            <w:tcW w:w="1365" w:type="dxa"/>
            <w:shd w:val="clear" w:color="auto" w:fill="DBE5F1" w:themeFill="accent1" w:themeFillTint="33"/>
            <w:vAlign w:val="center"/>
          </w:tcPr>
          <w:p w14:paraId="6723665A" w14:textId="77777777" w:rsidR="009F4B68" w:rsidRPr="0073245C" w:rsidRDefault="009F4B68" w:rsidP="00ED6D3D">
            <w:pPr>
              <w:pStyle w:val="Default"/>
              <w:spacing w:line="276" w:lineRule="auto"/>
              <w:jc w:val="center"/>
              <w:rPr>
                <w:color w:val="auto"/>
                <w:sz w:val="18"/>
                <w:szCs w:val="18"/>
              </w:rPr>
            </w:pPr>
            <w:r w:rsidRPr="0073245C">
              <w:rPr>
                <w:color w:val="auto"/>
                <w:sz w:val="18"/>
                <w:szCs w:val="18"/>
              </w:rPr>
              <w:t>$3,071</w:t>
            </w:r>
          </w:p>
          <w:p w14:paraId="541A77F1" w14:textId="77777777" w:rsidR="009F4B68" w:rsidRPr="0073245C" w:rsidRDefault="009F4B68" w:rsidP="00ED6D3D">
            <w:pPr>
              <w:pStyle w:val="Default"/>
              <w:spacing w:line="276" w:lineRule="auto"/>
              <w:jc w:val="center"/>
              <w:rPr>
                <w:color w:val="auto"/>
                <w:sz w:val="18"/>
                <w:szCs w:val="18"/>
              </w:rPr>
            </w:pPr>
          </w:p>
        </w:tc>
        <w:tc>
          <w:tcPr>
            <w:tcW w:w="4961" w:type="dxa"/>
            <w:shd w:val="clear" w:color="auto" w:fill="DBE5F1" w:themeFill="accent1" w:themeFillTint="33"/>
            <w:vAlign w:val="center"/>
          </w:tcPr>
          <w:p w14:paraId="16782BF3" w14:textId="77777777" w:rsidR="009F4B68" w:rsidRPr="0073245C" w:rsidRDefault="009F4B68" w:rsidP="00695720">
            <w:pPr>
              <w:pStyle w:val="Default"/>
              <w:numPr>
                <w:ilvl w:val="0"/>
                <w:numId w:val="79"/>
              </w:numPr>
              <w:spacing w:line="276" w:lineRule="auto"/>
              <w:ind w:left="459" w:hanging="284"/>
              <w:rPr>
                <w:color w:val="auto"/>
                <w:sz w:val="18"/>
                <w:szCs w:val="18"/>
              </w:rPr>
            </w:pPr>
            <w:r w:rsidRPr="0073245C">
              <w:rPr>
                <w:color w:val="auto"/>
                <w:sz w:val="18"/>
                <w:szCs w:val="18"/>
              </w:rPr>
              <w:t>In middle range for urban fringe councils</w:t>
            </w:r>
          </w:p>
          <w:p w14:paraId="1B3AC320" w14:textId="77777777" w:rsidR="009F4B68" w:rsidRPr="0073245C" w:rsidRDefault="009F4B68" w:rsidP="00695720">
            <w:pPr>
              <w:pStyle w:val="Default"/>
              <w:numPr>
                <w:ilvl w:val="0"/>
                <w:numId w:val="79"/>
              </w:numPr>
              <w:spacing w:line="276" w:lineRule="auto"/>
              <w:ind w:left="459" w:hanging="284"/>
              <w:rPr>
                <w:color w:val="auto"/>
                <w:sz w:val="18"/>
                <w:szCs w:val="18"/>
              </w:rPr>
            </w:pPr>
            <w:r w:rsidRPr="0073245C">
              <w:rPr>
                <w:color w:val="auto"/>
                <w:sz w:val="18"/>
                <w:szCs w:val="18"/>
              </w:rPr>
              <w:t>Lower than Penrith $6,773, Camden $4,599, Wyong $3,491</w:t>
            </w:r>
          </w:p>
          <w:p w14:paraId="385C5ECB" w14:textId="77777777" w:rsidR="009F4B68" w:rsidRPr="0073245C" w:rsidRDefault="009F4B68" w:rsidP="00695720">
            <w:pPr>
              <w:pStyle w:val="Default"/>
              <w:numPr>
                <w:ilvl w:val="0"/>
                <w:numId w:val="79"/>
              </w:numPr>
              <w:spacing w:line="276" w:lineRule="auto"/>
              <w:ind w:left="459" w:hanging="284"/>
              <w:rPr>
                <w:color w:val="auto"/>
                <w:sz w:val="18"/>
                <w:szCs w:val="18"/>
              </w:rPr>
            </w:pPr>
            <w:r w:rsidRPr="0073245C">
              <w:rPr>
                <w:color w:val="auto"/>
                <w:sz w:val="18"/>
                <w:szCs w:val="18"/>
              </w:rPr>
              <w:t>Higher than Wollondilly $2,092, Hawkesbury $1,906</w:t>
            </w:r>
          </w:p>
        </w:tc>
      </w:tr>
      <w:tr w:rsidR="009F4B68" w:rsidRPr="0073245C" w14:paraId="67E4FB52" w14:textId="77777777" w:rsidTr="00ED6D3D">
        <w:trPr>
          <w:trHeight w:val="828"/>
        </w:trPr>
        <w:tc>
          <w:tcPr>
            <w:tcW w:w="1700" w:type="dxa"/>
            <w:shd w:val="clear" w:color="auto" w:fill="DBE5F1" w:themeFill="accent1" w:themeFillTint="33"/>
            <w:vAlign w:val="center"/>
          </w:tcPr>
          <w:p w14:paraId="7933549A" w14:textId="77777777" w:rsidR="009F4B68" w:rsidRPr="0073245C" w:rsidRDefault="009F4B68" w:rsidP="00ED6D3D">
            <w:pPr>
              <w:pStyle w:val="Default"/>
              <w:spacing w:line="276" w:lineRule="auto"/>
              <w:jc w:val="center"/>
              <w:rPr>
                <w:b/>
                <w:sz w:val="18"/>
                <w:szCs w:val="18"/>
              </w:rPr>
            </w:pPr>
            <w:r w:rsidRPr="0073245C">
              <w:rPr>
                <w:b/>
                <w:sz w:val="18"/>
                <w:szCs w:val="18"/>
              </w:rPr>
              <w:t>Farmland</w:t>
            </w:r>
          </w:p>
          <w:p w14:paraId="414191A1" w14:textId="77777777" w:rsidR="009F4B68" w:rsidRPr="0073245C" w:rsidRDefault="009F4B68" w:rsidP="00ED6D3D">
            <w:pPr>
              <w:pStyle w:val="Default"/>
              <w:spacing w:line="276" w:lineRule="auto"/>
              <w:jc w:val="center"/>
              <w:rPr>
                <w:sz w:val="18"/>
                <w:szCs w:val="18"/>
              </w:rPr>
            </w:pPr>
            <w:r w:rsidRPr="0073245C">
              <w:rPr>
                <w:sz w:val="18"/>
                <w:szCs w:val="18"/>
              </w:rPr>
              <w:t>138 assessments</w:t>
            </w:r>
          </w:p>
        </w:tc>
        <w:tc>
          <w:tcPr>
            <w:tcW w:w="1365" w:type="dxa"/>
            <w:shd w:val="clear" w:color="auto" w:fill="DBE5F1" w:themeFill="accent1" w:themeFillTint="33"/>
            <w:vAlign w:val="center"/>
          </w:tcPr>
          <w:p w14:paraId="0B7CA6BB" w14:textId="77777777" w:rsidR="009F4B68" w:rsidRPr="0073245C" w:rsidRDefault="009F4B68" w:rsidP="00ED6D3D">
            <w:pPr>
              <w:pStyle w:val="Default"/>
              <w:spacing w:line="276" w:lineRule="auto"/>
              <w:jc w:val="center"/>
              <w:rPr>
                <w:color w:val="auto"/>
                <w:sz w:val="18"/>
                <w:szCs w:val="18"/>
              </w:rPr>
            </w:pPr>
            <w:r w:rsidRPr="0073245C">
              <w:rPr>
                <w:color w:val="auto"/>
                <w:sz w:val="18"/>
                <w:szCs w:val="18"/>
              </w:rPr>
              <w:t>$2,021</w:t>
            </w:r>
          </w:p>
          <w:p w14:paraId="48151439" w14:textId="77777777" w:rsidR="009F4B68" w:rsidRPr="0073245C" w:rsidRDefault="009F4B68" w:rsidP="00ED6D3D">
            <w:pPr>
              <w:pStyle w:val="Default"/>
              <w:spacing w:line="276" w:lineRule="auto"/>
              <w:jc w:val="center"/>
              <w:rPr>
                <w:color w:val="auto"/>
                <w:sz w:val="18"/>
                <w:szCs w:val="18"/>
              </w:rPr>
            </w:pPr>
          </w:p>
        </w:tc>
        <w:tc>
          <w:tcPr>
            <w:tcW w:w="4961" w:type="dxa"/>
            <w:shd w:val="clear" w:color="auto" w:fill="DBE5F1" w:themeFill="accent1" w:themeFillTint="33"/>
            <w:vAlign w:val="center"/>
          </w:tcPr>
          <w:p w14:paraId="6BB5A2B3" w14:textId="77777777" w:rsidR="009F4B68" w:rsidRPr="0073245C" w:rsidRDefault="009F4B68" w:rsidP="00695720">
            <w:pPr>
              <w:pStyle w:val="Default"/>
              <w:numPr>
                <w:ilvl w:val="0"/>
                <w:numId w:val="80"/>
              </w:numPr>
              <w:spacing w:line="276" w:lineRule="auto"/>
              <w:ind w:left="459" w:hanging="284"/>
              <w:rPr>
                <w:color w:val="auto"/>
                <w:sz w:val="18"/>
                <w:szCs w:val="18"/>
              </w:rPr>
            </w:pPr>
            <w:r w:rsidRPr="0073245C">
              <w:rPr>
                <w:color w:val="auto"/>
                <w:sz w:val="18"/>
                <w:szCs w:val="18"/>
              </w:rPr>
              <w:t>Lower than Hawkesbury $2321, Wollondilly $2,489, Camden $2,768</w:t>
            </w:r>
          </w:p>
          <w:p w14:paraId="322F9E9F" w14:textId="77777777" w:rsidR="009F4B68" w:rsidRPr="0073245C" w:rsidRDefault="009F4B68" w:rsidP="00695720">
            <w:pPr>
              <w:pStyle w:val="Default"/>
              <w:numPr>
                <w:ilvl w:val="0"/>
                <w:numId w:val="80"/>
              </w:numPr>
              <w:spacing w:line="276" w:lineRule="auto"/>
              <w:ind w:left="459" w:hanging="284"/>
              <w:rPr>
                <w:color w:val="auto"/>
                <w:sz w:val="18"/>
                <w:szCs w:val="18"/>
              </w:rPr>
            </w:pPr>
            <w:r w:rsidRPr="0073245C">
              <w:rPr>
                <w:color w:val="auto"/>
                <w:sz w:val="18"/>
                <w:szCs w:val="18"/>
              </w:rPr>
              <w:t>Competitive with other areas</w:t>
            </w:r>
          </w:p>
        </w:tc>
      </w:tr>
    </w:tbl>
    <w:p w14:paraId="568A7685" w14:textId="77777777" w:rsidR="009F4B68" w:rsidRPr="00EE74E3" w:rsidRDefault="009F4B68" w:rsidP="009F4B68">
      <w:pPr>
        <w:pStyle w:val="Default"/>
        <w:jc w:val="both"/>
        <w:rPr>
          <w:sz w:val="20"/>
          <w:szCs w:val="20"/>
        </w:rPr>
      </w:pPr>
    </w:p>
    <w:p w14:paraId="18F19E37" w14:textId="77777777" w:rsidR="009F4B68" w:rsidRPr="00EE74E3" w:rsidRDefault="009F4B68" w:rsidP="009F4B68">
      <w:pPr>
        <w:autoSpaceDE w:val="0"/>
        <w:autoSpaceDN w:val="0"/>
        <w:adjustRightInd w:val="0"/>
        <w:jc w:val="both"/>
        <w:rPr>
          <w:rFonts w:ascii="Arial" w:hAnsi="Arial" w:cs="Arial"/>
          <w:color w:val="000000"/>
          <w:sz w:val="20"/>
          <w:szCs w:val="20"/>
        </w:rPr>
      </w:pPr>
    </w:p>
    <w:p w14:paraId="084F6BEA" w14:textId="77777777" w:rsidR="009F4B68" w:rsidRDefault="009F4B68" w:rsidP="00695720">
      <w:pPr>
        <w:pStyle w:val="ListParagraph"/>
        <w:widowControl w:val="0"/>
        <w:numPr>
          <w:ilvl w:val="0"/>
          <w:numId w:val="81"/>
        </w:numPr>
        <w:spacing w:before="40" w:line="360" w:lineRule="auto"/>
        <w:ind w:right="142"/>
        <w:jc w:val="both"/>
        <w:rPr>
          <w:rFonts w:ascii="Arial" w:hAnsi="Arial" w:cs="Arial"/>
          <w:b/>
          <w:sz w:val="20"/>
          <w:szCs w:val="20"/>
          <w:lang w:val="en-US"/>
        </w:rPr>
      </w:pPr>
      <w:r>
        <w:rPr>
          <w:rFonts w:ascii="Arial" w:hAnsi="Arial" w:cs="Arial"/>
          <w:b/>
          <w:sz w:val="20"/>
          <w:szCs w:val="20"/>
          <w:lang w:val="en-US"/>
        </w:rPr>
        <w:t>Residential Rate as a Proportion of Household Income</w:t>
      </w:r>
    </w:p>
    <w:p w14:paraId="69EBB1DE" w14:textId="0D94098B" w:rsidR="009F4B68" w:rsidRDefault="009F4B68" w:rsidP="000F67C8">
      <w:pPr>
        <w:pStyle w:val="ListParagraph"/>
        <w:widowControl w:val="0"/>
        <w:spacing w:before="40" w:line="276" w:lineRule="auto"/>
        <w:ind w:right="142"/>
        <w:jc w:val="both"/>
        <w:rPr>
          <w:rFonts w:ascii="Arial" w:hAnsi="Arial" w:cs="Arial"/>
          <w:sz w:val="20"/>
          <w:szCs w:val="20"/>
          <w:lang w:val="en-US"/>
        </w:rPr>
      </w:pPr>
      <w:r w:rsidRPr="00B453B9">
        <w:rPr>
          <w:rFonts w:ascii="Arial" w:hAnsi="Arial" w:cs="Arial"/>
          <w:sz w:val="20"/>
          <w:szCs w:val="20"/>
          <w:lang w:val="en-US"/>
        </w:rPr>
        <w:t xml:space="preserve">As shown in </w:t>
      </w:r>
      <w:r w:rsidR="00EA29AF" w:rsidRPr="004823B9">
        <w:rPr>
          <w:rFonts w:ascii="Arial" w:hAnsi="Arial" w:cs="Arial"/>
          <w:b/>
          <w:sz w:val="20"/>
          <w:szCs w:val="20"/>
          <w:lang w:val="en-US"/>
        </w:rPr>
        <w:t>T</w:t>
      </w:r>
      <w:r w:rsidRPr="004823B9">
        <w:rPr>
          <w:rFonts w:ascii="Arial" w:hAnsi="Arial" w:cs="Arial"/>
          <w:b/>
          <w:sz w:val="20"/>
          <w:szCs w:val="20"/>
          <w:lang w:val="en-US"/>
        </w:rPr>
        <w:t xml:space="preserve">able </w:t>
      </w:r>
      <w:r w:rsidR="00EA29AF" w:rsidRPr="004823B9">
        <w:rPr>
          <w:rFonts w:ascii="Arial" w:hAnsi="Arial" w:cs="Arial"/>
          <w:b/>
          <w:sz w:val="20"/>
          <w:szCs w:val="20"/>
          <w:lang w:val="en-US"/>
        </w:rPr>
        <w:t>5.5</w:t>
      </w:r>
      <w:r w:rsidR="00EA29AF">
        <w:rPr>
          <w:rFonts w:ascii="Arial" w:hAnsi="Arial" w:cs="Arial"/>
          <w:sz w:val="20"/>
          <w:szCs w:val="20"/>
          <w:lang w:val="en-US"/>
        </w:rPr>
        <w:t xml:space="preserve"> </w:t>
      </w:r>
      <w:r w:rsidRPr="00B453B9">
        <w:rPr>
          <w:rFonts w:ascii="Arial" w:hAnsi="Arial" w:cs="Arial"/>
          <w:sz w:val="20"/>
          <w:szCs w:val="20"/>
          <w:lang w:val="en-US"/>
        </w:rPr>
        <w:t xml:space="preserve">below, </w:t>
      </w:r>
      <w:r>
        <w:rPr>
          <w:rFonts w:ascii="Arial" w:hAnsi="Arial" w:cs="Arial"/>
          <w:sz w:val="20"/>
          <w:szCs w:val="20"/>
          <w:lang w:val="en-US"/>
        </w:rPr>
        <w:t xml:space="preserve">the percentage of average income spent on rates (which is a form of taxation) is </w:t>
      </w:r>
      <w:r w:rsidR="00EA29AF">
        <w:rPr>
          <w:rFonts w:ascii="Arial" w:hAnsi="Arial" w:cs="Arial"/>
          <w:sz w:val="20"/>
          <w:szCs w:val="20"/>
          <w:lang w:val="en-US"/>
        </w:rPr>
        <w:t xml:space="preserve">relatively </w:t>
      </w:r>
      <w:r>
        <w:rPr>
          <w:rFonts w:ascii="Arial" w:hAnsi="Arial" w:cs="Arial"/>
          <w:sz w:val="20"/>
          <w:szCs w:val="20"/>
          <w:lang w:val="en-US"/>
        </w:rPr>
        <w:t xml:space="preserve">minimal. </w:t>
      </w:r>
      <w:r w:rsidR="002C3346">
        <w:rPr>
          <w:rFonts w:ascii="Arial" w:hAnsi="Arial" w:cs="Arial"/>
          <w:sz w:val="20"/>
          <w:szCs w:val="20"/>
          <w:lang w:val="en-US"/>
        </w:rPr>
        <w:t xml:space="preserve"> </w:t>
      </w:r>
      <w:r>
        <w:rPr>
          <w:rFonts w:ascii="Arial" w:hAnsi="Arial" w:cs="Arial"/>
          <w:sz w:val="20"/>
          <w:szCs w:val="20"/>
          <w:lang w:val="en-US"/>
        </w:rPr>
        <w:t>Even using 2011 census household income figures</w:t>
      </w:r>
      <w:r w:rsidR="002C3346">
        <w:rPr>
          <w:rFonts w:ascii="Arial" w:hAnsi="Arial" w:cs="Arial"/>
          <w:sz w:val="20"/>
          <w:szCs w:val="20"/>
          <w:lang w:val="en-US"/>
        </w:rPr>
        <w:t>,</w:t>
      </w:r>
      <w:r>
        <w:rPr>
          <w:rFonts w:ascii="Arial" w:hAnsi="Arial" w:cs="Arial"/>
          <w:sz w:val="20"/>
          <w:szCs w:val="20"/>
          <w:lang w:val="en-US"/>
        </w:rPr>
        <w:t xml:space="preserve"> in 2014-15 Blue Mountains residents pay on average, </w:t>
      </w:r>
      <w:r w:rsidR="004823B9">
        <w:rPr>
          <w:rFonts w:ascii="Arial" w:hAnsi="Arial" w:cs="Arial"/>
          <w:sz w:val="20"/>
          <w:szCs w:val="20"/>
          <w:lang w:val="en-US"/>
        </w:rPr>
        <w:t>only</w:t>
      </w:r>
      <w:r w:rsidR="00675A6A">
        <w:rPr>
          <w:rFonts w:ascii="Arial" w:hAnsi="Arial" w:cs="Arial"/>
          <w:sz w:val="20"/>
          <w:szCs w:val="20"/>
          <w:lang w:val="en-US"/>
        </w:rPr>
        <w:t xml:space="preserve"> </w:t>
      </w:r>
      <w:r>
        <w:rPr>
          <w:rFonts w:ascii="Arial" w:hAnsi="Arial" w:cs="Arial"/>
          <w:sz w:val="20"/>
          <w:szCs w:val="20"/>
          <w:lang w:val="en-US"/>
        </w:rPr>
        <w:t>1.93% of annual income on rates</w:t>
      </w:r>
      <w:r w:rsidR="00EB27AC">
        <w:rPr>
          <w:rFonts w:ascii="Arial" w:hAnsi="Arial" w:cs="Arial"/>
          <w:sz w:val="20"/>
          <w:szCs w:val="20"/>
          <w:lang w:val="en-US"/>
        </w:rPr>
        <w:t xml:space="preserve">. If this table used </w:t>
      </w:r>
      <w:r>
        <w:rPr>
          <w:rFonts w:ascii="Arial" w:hAnsi="Arial" w:cs="Arial"/>
          <w:sz w:val="20"/>
          <w:szCs w:val="20"/>
          <w:lang w:val="en-US"/>
        </w:rPr>
        <w:t xml:space="preserve">2015 income figures, this percentage would </w:t>
      </w:r>
      <w:r w:rsidR="00EB27AC">
        <w:rPr>
          <w:rFonts w:ascii="Arial" w:hAnsi="Arial" w:cs="Arial"/>
          <w:sz w:val="20"/>
          <w:szCs w:val="20"/>
          <w:lang w:val="en-US"/>
        </w:rPr>
        <w:t xml:space="preserve">likely be </w:t>
      </w:r>
      <w:r>
        <w:rPr>
          <w:rFonts w:ascii="Arial" w:hAnsi="Arial" w:cs="Arial"/>
          <w:sz w:val="20"/>
          <w:szCs w:val="20"/>
          <w:lang w:val="en-US"/>
        </w:rPr>
        <w:t>less.</w:t>
      </w:r>
    </w:p>
    <w:p w14:paraId="121384E4" w14:textId="77777777" w:rsidR="009F4B68" w:rsidRDefault="009F4B68" w:rsidP="000F67C8">
      <w:pPr>
        <w:pStyle w:val="ListParagraph"/>
        <w:widowControl w:val="0"/>
        <w:spacing w:before="40" w:line="276" w:lineRule="auto"/>
        <w:ind w:right="142"/>
        <w:jc w:val="both"/>
        <w:rPr>
          <w:rFonts w:ascii="Arial" w:hAnsi="Arial" w:cs="Arial"/>
          <w:sz w:val="20"/>
          <w:szCs w:val="20"/>
          <w:lang w:val="en-US"/>
        </w:rPr>
      </w:pPr>
    </w:p>
    <w:p w14:paraId="11DDE03E" w14:textId="43475A8C" w:rsidR="009F4B68" w:rsidRPr="00B453B9" w:rsidRDefault="009F4B68" w:rsidP="000F67C8">
      <w:pPr>
        <w:pStyle w:val="ListParagraph"/>
        <w:widowControl w:val="0"/>
        <w:spacing w:before="40" w:line="276" w:lineRule="auto"/>
        <w:ind w:right="142"/>
        <w:jc w:val="both"/>
        <w:rPr>
          <w:rFonts w:ascii="Arial" w:hAnsi="Arial" w:cs="Arial"/>
          <w:sz w:val="20"/>
          <w:szCs w:val="20"/>
          <w:lang w:val="en-US"/>
        </w:rPr>
      </w:pPr>
      <w:r>
        <w:rPr>
          <w:rFonts w:ascii="Arial" w:hAnsi="Arial" w:cs="Arial"/>
          <w:sz w:val="20"/>
          <w:szCs w:val="20"/>
          <w:lang w:val="en-US"/>
        </w:rPr>
        <w:t xml:space="preserve">When comparing the percentage of household income spent on average rates, Blue Mountains residents spend less (1.93%) than Wyong (2.05%), Coffs Harbour (2.27%), Shoalhaven (2.27%) and Greater Taree (2.56%), which is significant given that each of these areas have considerably greater disadvantage than Blue Mountains. </w:t>
      </w:r>
    </w:p>
    <w:p w14:paraId="007B15D4" w14:textId="1089455A" w:rsidR="000F67C8" w:rsidRDefault="000F67C8">
      <w:pPr>
        <w:rPr>
          <w:rFonts w:ascii="Arial" w:eastAsiaTheme="minorHAnsi" w:hAnsi="Arial" w:cs="Arial"/>
          <w:b/>
          <w:sz w:val="20"/>
          <w:szCs w:val="20"/>
          <w:lang w:val="en-US" w:eastAsia="en-US"/>
        </w:rPr>
      </w:pPr>
    </w:p>
    <w:p w14:paraId="2E9D31C8" w14:textId="5D80F2CE" w:rsidR="009F4B68" w:rsidRPr="00AD2D16" w:rsidRDefault="009F4B68" w:rsidP="009F4B68">
      <w:pPr>
        <w:pStyle w:val="ListParagraph"/>
        <w:widowControl w:val="0"/>
        <w:spacing w:before="40"/>
        <w:ind w:right="142"/>
        <w:jc w:val="both"/>
        <w:rPr>
          <w:rFonts w:ascii="Arial" w:hAnsi="Arial" w:cs="Arial"/>
          <w:b/>
          <w:sz w:val="18"/>
          <w:szCs w:val="18"/>
          <w:lang w:val="en-US"/>
        </w:rPr>
      </w:pPr>
      <w:r w:rsidRPr="00AD2D16">
        <w:rPr>
          <w:rFonts w:ascii="Arial" w:hAnsi="Arial" w:cs="Arial"/>
          <w:b/>
          <w:sz w:val="18"/>
          <w:szCs w:val="18"/>
          <w:lang w:val="en-US"/>
        </w:rPr>
        <w:t>Table 5.5</w:t>
      </w:r>
      <w:r w:rsidR="00AD2D16" w:rsidRPr="00AD2D16">
        <w:rPr>
          <w:rFonts w:ascii="Arial" w:hAnsi="Arial" w:cs="Arial"/>
          <w:b/>
          <w:sz w:val="18"/>
          <w:szCs w:val="18"/>
          <w:lang w:val="en-US"/>
        </w:rPr>
        <w:t>:</w:t>
      </w:r>
      <w:r w:rsidRPr="00AD2D16">
        <w:rPr>
          <w:rFonts w:ascii="Arial" w:hAnsi="Arial" w:cs="Arial"/>
          <w:b/>
          <w:sz w:val="18"/>
          <w:szCs w:val="18"/>
          <w:lang w:val="en-US"/>
        </w:rPr>
        <w:t xml:space="preserve"> Average residential rates 2014/15 as Percentage of Average Household Income (Census 2011)</w:t>
      </w:r>
    </w:p>
    <w:tbl>
      <w:tblPr>
        <w:tblStyle w:val="TableGrid"/>
        <w:tblW w:w="8206" w:type="dxa"/>
        <w:tblInd w:w="720" w:type="dxa"/>
        <w:tblLook w:val="04A0" w:firstRow="1" w:lastRow="0" w:firstColumn="1" w:lastColumn="0" w:noHBand="0" w:noVBand="1"/>
      </w:tblPr>
      <w:tblGrid>
        <w:gridCol w:w="1940"/>
        <w:gridCol w:w="1601"/>
        <w:gridCol w:w="1477"/>
        <w:gridCol w:w="1586"/>
        <w:gridCol w:w="1602"/>
      </w:tblGrid>
      <w:tr w:rsidR="009F4B68" w:rsidRPr="000F67C8" w14:paraId="169ACDE1" w14:textId="77777777" w:rsidTr="00ED6D3D">
        <w:trPr>
          <w:tblHeader/>
        </w:trPr>
        <w:tc>
          <w:tcPr>
            <w:tcW w:w="1940" w:type="dxa"/>
            <w:shd w:val="clear" w:color="auto" w:fill="4F81BD" w:themeFill="accent1"/>
            <w:vAlign w:val="center"/>
          </w:tcPr>
          <w:p w14:paraId="5F8B8CD6" w14:textId="77777777" w:rsidR="009F4B68" w:rsidRPr="000F67C8" w:rsidRDefault="009F4B68" w:rsidP="00ED6D3D">
            <w:pPr>
              <w:pStyle w:val="ListParagraph"/>
              <w:widowControl w:val="0"/>
              <w:ind w:left="0" w:right="142"/>
              <w:jc w:val="center"/>
              <w:rPr>
                <w:rFonts w:ascii="Arial" w:hAnsi="Arial" w:cs="Arial"/>
                <w:b/>
                <w:color w:val="FFFFFF" w:themeColor="background1"/>
                <w:sz w:val="18"/>
                <w:szCs w:val="18"/>
                <w:lang w:val="en-US"/>
              </w:rPr>
            </w:pPr>
            <w:r w:rsidRPr="000F67C8">
              <w:rPr>
                <w:rFonts w:ascii="Arial" w:hAnsi="Arial" w:cs="Arial"/>
                <w:b/>
                <w:color w:val="FFFFFF" w:themeColor="background1"/>
                <w:sz w:val="18"/>
                <w:szCs w:val="18"/>
                <w:lang w:val="en-US"/>
              </w:rPr>
              <w:t>LGA</w:t>
            </w:r>
          </w:p>
        </w:tc>
        <w:tc>
          <w:tcPr>
            <w:tcW w:w="1601" w:type="dxa"/>
            <w:shd w:val="clear" w:color="auto" w:fill="4F81BD" w:themeFill="accent1"/>
            <w:vAlign w:val="center"/>
          </w:tcPr>
          <w:p w14:paraId="07A6DD04" w14:textId="77777777" w:rsidR="009F4B68" w:rsidRPr="000F67C8" w:rsidRDefault="009F4B68" w:rsidP="00ED6D3D">
            <w:pPr>
              <w:pStyle w:val="ListParagraph"/>
              <w:widowControl w:val="0"/>
              <w:ind w:left="0" w:right="142"/>
              <w:jc w:val="center"/>
              <w:rPr>
                <w:rFonts w:ascii="Arial" w:hAnsi="Arial" w:cs="Arial"/>
                <w:b/>
                <w:color w:val="FFFFFF" w:themeColor="background1"/>
                <w:sz w:val="18"/>
                <w:szCs w:val="18"/>
                <w:lang w:val="en-US"/>
              </w:rPr>
            </w:pPr>
            <w:r w:rsidRPr="000F67C8">
              <w:rPr>
                <w:rFonts w:ascii="Arial" w:hAnsi="Arial" w:cs="Arial"/>
                <w:b/>
                <w:color w:val="FFFFFF" w:themeColor="background1"/>
                <w:sz w:val="18"/>
                <w:szCs w:val="18"/>
                <w:lang w:val="en-US"/>
              </w:rPr>
              <w:t>Residential annual rates (2014/15)</w:t>
            </w:r>
          </w:p>
        </w:tc>
        <w:tc>
          <w:tcPr>
            <w:tcW w:w="1477" w:type="dxa"/>
            <w:shd w:val="clear" w:color="auto" w:fill="4F81BD" w:themeFill="accent1"/>
            <w:vAlign w:val="center"/>
          </w:tcPr>
          <w:p w14:paraId="27798BD1" w14:textId="77777777" w:rsidR="009F4B68" w:rsidRPr="000F67C8" w:rsidRDefault="009F4B68" w:rsidP="00ED6D3D">
            <w:pPr>
              <w:pStyle w:val="ListParagraph"/>
              <w:widowControl w:val="0"/>
              <w:ind w:left="0" w:right="142"/>
              <w:jc w:val="center"/>
              <w:rPr>
                <w:rFonts w:ascii="Arial" w:hAnsi="Arial" w:cs="Arial"/>
                <w:b/>
                <w:color w:val="FFFFFF" w:themeColor="background1"/>
                <w:sz w:val="18"/>
                <w:szCs w:val="18"/>
                <w:lang w:val="en-US"/>
              </w:rPr>
            </w:pPr>
            <w:r w:rsidRPr="000F67C8">
              <w:rPr>
                <w:rFonts w:ascii="Arial" w:hAnsi="Arial" w:cs="Arial"/>
                <w:b/>
                <w:color w:val="FFFFFF" w:themeColor="background1"/>
                <w:sz w:val="18"/>
                <w:szCs w:val="18"/>
                <w:lang w:val="en-US"/>
              </w:rPr>
              <w:t>SEIFA Ranking</w:t>
            </w:r>
          </w:p>
        </w:tc>
        <w:tc>
          <w:tcPr>
            <w:tcW w:w="1586" w:type="dxa"/>
            <w:shd w:val="clear" w:color="auto" w:fill="4F81BD" w:themeFill="accent1"/>
            <w:vAlign w:val="center"/>
          </w:tcPr>
          <w:p w14:paraId="7CF58E97" w14:textId="77777777" w:rsidR="009F4B68" w:rsidRPr="000F67C8" w:rsidRDefault="009F4B68" w:rsidP="00ED6D3D">
            <w:pPr>
              <w:pStyle w:val="ListParagraph"/>
              <w:widowControl w:val="0"/>
              <w:ind w:left="0" w:right="142"/>
              <w:jc w:val="center"/>
              <w:rPr>
                <w:rFonts w:ascii="Arial" w:hAnsi="Arial" w:cs="Arial"/>
                <w:b/>
                <w:color w:val="FFFFFF" w:themeColor="background1"/>
                <w:sz w:val="18"/>
                <w:szCs w:val="18"/>
                <w:lang w:val="en-US"/>
              </w:rPr>
            </w:pPr>
            <w:r w:rsidRPr="000F67C8">
              <w:rPr>
                <w:rFonts w:ascii="Arial" w:hAnsi="Arial" w:cs="Arial"/>
                <w:b/>
                <w:color w:val="FFFFFF" w:themeColor="background1"/>
                <w:sz w:val="18"/>
                <w:szCs w:val="18"/>
                <w:lang w:val="en-US"/>
              </w:rPr>
              <w:t>Median Annual Household Income (2011)</w:t>
            </w:r>
          </w:p>
        </w:tc>
        <w:tc>
          <w:tcPr>
            <w:tcW w:w="1602" w:type="dxa"/>
            <w:shd w:val="clear" w:color="auto" w:fill="4F81BD" w:themeFill="accent1"/>
            <w:vAlign w:val="center"/>
          </w:tcPr>
          <w:p w14:paraId="736C2380" w14:textId="77777777" w:rsidR="009F4B68" w:rsidRPr="000F67C8" w:rsidRDefault="009F4B68" w:rsidP="00ED6D3D">
            <w:pPr>
              <w:pStyle w:val="ListParagraph"/>
              <w:widowControl w:val="0"/>
              <w:ind w:left="0" w:right="142"/>
              <w:jc w:val="center"/>
              <w:rPr>
                <w:rFonts w:ascii="Arial" w:hAnsi="Arial" w:cs="Arial"/>
                <w:b/>
                <w:color w:val="FFFFFF" w:themeColor="background1"/>
                <w:sz w:val="18"/>
                <w:szCs w:val="18"/>
                <w:lang w:val="en-US"/>
              </w:rPr>
            </w:pPr>
            <w:r w:rsidRPr="000F67C8">
              <w:rPr>
                <w:rFonts w:ascii="Arial" w:hAnsi="Arial" w:cs="Arial"/>
                <w:b/>
                <w:color w:val="FFFFFF" w:themeColor="background1"/>
                <w:sz w:val="18"/>
                <w:szCs w:val="18"/>
                <w:lang w:val="en-US"/>
              </w:rPr>
              <w:t>Average % of household income (2011) spent on Residential 2014-15 rates</w:t>
            </w:r>
          </w:p>
        </w:tc>
      </w:tr>
      <w:tr w:rsidR="009F4B68" w:rsidRPr="000F67C8" w14:paraId="66B9489C" w14:textId="77777777" w:rsidTr="00ED6D3D">
        <w:tc>
          <w:tcPr>
            <w:tcW w:w="1940" w:type="dxa"/>
          </w:tcPr>
          <w:p w14:paraId="4BD8E543" w14:textId="77777777" w:rsidR="009F4B68" w:rsidRPr="000F67C8" w:rsidRDefault="009F4B68" w:rsidP="00ED6D3D">
            <w:pPr>
              <w:pStyle w:val="ListParagraph"/>
              <w:widowControl w:val="0"/>
              <w:spacing w:before="40" w:line="276" w:lineRule="auto"/>
              <w:ind w:left="0" w:right="142"/>
              <w:jc w:val="both"/>
              <w:rPr>
                <w:rFonts w:ascii="Arial" w:hAnsi="Arial" w:cs="Arial"/>
                <w:b/>
                <w:sz w:val="18"/>
                <w:szCs w:val="18"/>
                <w:lang w:val="en-US"/>
              </w:rPr>
            </w:pPr>
            <w:r w:rsidRPr="000F67C8">
              <w:rPr>
                <w:rFonts w:ascii="Arial" w:hAnsi="Arial" w:cs="Arial"/>
                <w:b/>
                <w:sz w:val="18"/>
                <w:szCs w:val="18"/>
                <w:lang w:val="en-US"/>
              </w:rPr>
              <w:t>The Hills</w:t>
            </w:r>
          </w:p>
        </w:tc>
        <w:tc>
          <w:tcPr>
            <w:tcW w:w="1601" w:type="dxa"/>
          </w:tcPr>
          <w:p w14:paraId="5AE021D7"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$1,018</w:t>
            </w:r>
          </w:p>
        </w:tc>
        <w:tc>
          <w:tcPr>
            <w:tcW w:w="1477" w:type="dxa"/>
          </w:tcPr>
          <w:p w14:paraId="637F2186"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148</w:t>
            </w:r>
          </w:p>
        </w:tc>
        <w:tc>
          <w:tcPr>
            <w:tcW w:w="1586" w:type="dxa"/>
            <w:vAlign w:val="bottom"/>
          </w:tcPr>
          <w:p w14:paraId="1F360B84"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$106,288</w:t>
            </w:r>
          </w:p>
        </w:tc>
        <w:tc>
          <w:tcPr>
            <w:tcW w:w="1602" w:type="dxa"/>
          </w:tcPr>
          <w:p w14:paraId="776487C3"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0.96%</w:t>
            </w:r>
          </w:p>
        </w:tc>
      </w:tr>
      <w:tr w:rsidR="009F4B68" w:rsidRPr="000F67C8" w14:paraId="2CDC66BE" w14:textId="77777777" w:rsidTr="00ED6D3D">
        <w:tc>
          <w:tcPr>
            <w:tcW w:w="1940" w:type="dxa"/>
          </w:tcPr>
          <w:p w14:paraId="6D2383C7" w14:textId="77777777" w:rsidR="009F4B68" w:rsidRPr="000F67C8" w:rsidRDefault="009F4B68" w:rsidP="00ED6D3D">
            <w:pPr>
              <w:pStyle w:val="ListParagraph"/>
              <w:widowControl w:val="0"/>
              <w:spacing w:before="40" w:line="276" w:lineRule="auto"/>
              <w:ind w:left="0" w:right="142"/>
              <w:jc w:val="both"/>
              <w:rPr>
                <w:rFonts w:ascii="Arial" w:hAnsi="Arial" w:cs="Arial"/>
                <w:b/>
                <w:sz w:val="18"/>
                <w:szCs w:val="18"/>
                <w:lang w:val="en-US"/>
              </w:rPr>
            </w:pPr>
            <w:r w:rsidRPr="000F67C8">
              <w:rPr>
                <w:rFonts w:ascii="Arial" w:hAnsi="Arial" w:cs="Arial"/>
                <w:b/>
                <w:sz w:val="18"/>
                <w:szCs w:val="18"/>
                <w:lang w:val="en-US"/>
              </w:rPr>
              <w:t>Oberon</w:t>
            </w:r>
          </w:p>
        </w:tc>
        <w:tc>
          <w:tcPr>
            <w:tcW w:w="1601" w:type="dxa"/>
          </w:tcPr>
          <w:p w14:paraId="068353D8"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$532</w:t>
            </w:r>
          </w:p>
        </w:tc>
        <w:tc>
          <w:tcPr>
            <w:tcW w:w="1477" w:type="dxa"/>
          </w:tcPr>
          <w:p w14:paraId="7734442E"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87</w:t>
            </w:r>
          </w:p>
        </w:tc>
        <w:tc>
          <w:tcPr>
            <w:tcW w:w="1586" w:type="dxa"/>
            <w:vAlign w:val="bottom"/>
          </w:tcPr>
          <w:p w14:paraId="2B289A30"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$51,376</w:t>
            </w:r>
          </w:p>
        </w:tc>
        <w:tc>
          <w:tcPr>
            <w:tcW w:w="1602" w:type="dxa"/>
          </w:tcPr>
          <w:p w14:paraId="4FAFF87B"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1.04%</w:t>
            </w:r>
          </w:p>
        </w:tc>
      </w:tr>
      <w:tr w:rsidR="009F4B68" w:rsidRPr="000F67C8" w14:paraId="711DA239" w14:textId="77777777" w:rsidTr="00ED6D3D">
        <w:tc>
          <w:tcPr>
            <w:tcW w:w="1940" w:type="dxa"/>
          </w:tcPr>
          <w:p w14:paraId="1E5E5B9F" w14:textId="77777777" w:rsidR="009F4B68" w:rsidRPr="000F67C8" w:rsidRDefault="009F4B68" w:rsidP="00ED6D3D">
            <w:pPr>
              <w:pStyle w:val="ListParagraph"/>
              <w:widowControl w:val="0"/>
              <w:spacing w:before="40" w:line="276" w:lineRule="auto"/>
              <w:ind w:left="0" w:right="142"/>
              <w:jc w:val="both"/>
              <w:rPr>
                <w:rFonts w:ascii="Arial" w:hAnsi="Arial" w:cs="Arial"/>
                <w:b/>
                <w:sz w:val="18"/>
                <w:szCs w:val="18"/>
                <w:lang w:val="en-US"/>
              </w:rPr>
            </w:pPr>
            <w:r w:rsidRPr="000F67C8">
              <w:rPr>
                <w:rFonts w:ascii="Arial" w:hAnsi="Arial" w:cs="Arial"/>
                <w:b/>
                <w:sz w:val="18"/>
                <w:szCs w:val="18"/>
                <w:lang w:val="en-US"/>
              </w:rPr>
              <w:t>Hornsby</w:t>
            </w:r>
          </w:p>
        </w:tc>
        <w:tc>
          <w:tcPr>
            <w:tcW w:w="1601" w:type="dxa"/>
          </w:tcPr>
          <w:p w14:paraId="24ED9903"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$1,190</w:t>
            </w:r>
          </w:p>
        </w:tc>
        <w:tc>
          <w:tcPr>
            <w:tcW w:w="1477" w:type="dxa"/>
          </w:tcPr>
          <w:p w14:paraId="4A13CF0C"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144</w:t>
            </w:r>
          </w:p>
        </w:tc>
        <w:tc>
          <w:tcPr>
            <w:tcW w:w="1586" w:type="dxa"/>
            <w:vAlign w:val="bottom"/>
          </w:tcPr>
          <w:p w14:paraId="74FAD9B8"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$94,848</w:t>
            </w:r>
          </w:p>
        </w:tc>
        <w:tc>
          <w:tcPr>
            <w:tcW w:w="1602" w:type="dxa"/>
          </w:tcPr>
          <w:p w14:paraId="567F6A4B"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1.25%</w:t>
            </w:r>
          </w:p>
        </w:tc>
      </w:tr>
      <w:tr w:rsidR="009F4B68" w:rsidRPr="000F67C8" w14:paraId="7C6D4E1B" w14:textId="77777777" w:rsidTr="00ED6D3D">
        <w:tc>
          <w:tcPr>
            <w:tcW w:w="1940" w:type="dxa"/>
          </w:tcPr>
          <w:p w14:paraId="18E562E4" w14:textId="77777777" w:rsidR="009F4B68" w:rsidRPr="000F67C8" w:rsidRDefault="009F4B68" w:rsidP="00ED6D3D">
            <w:pPr>
              <w:pStyle w:val="ListParagraph"/>
              <w:widowControl w:val="0"/>
              <w:spacing w:before="40" w:line="276" w:lineRule="auto"/>
              <w:ind w:left="0" w:right="142"/>
              <w:jc w:val="both"/>
              <w:rPr>
                <w:rFonts w:ascii="Arial" w:hAnsi="Arial" w:cs="Arial"/>
                <w:b/>
                <w:sz w:val="18"/>
                <w:szCs w:val="18"/>
                <w:lang w:val="en-US"/>
              </w:rPr>
            </w:pPr>
            <w:r w:rsidRPr="000F67C8">
              <w:rPr>
                <w:rFonts w:ascii="Arial" w:hAnsi="Arial" w:cs="Arial"/>
                <w:b/>
                <w:sz w:val="18"/>
                <w:szCs w:val="18"/>
                <w:lang w:val="en-US"/>
              </w:rPr>
              <w:t>Camden</w:t>
            </w:r>
          </w:p>
        </w:tc>
        <w:tc>
          <w:tcPr>
            <w:tcW w:w="1601" w:type="dxa"/>
          </w:tcPr>
          <w:p w14:paraId="330F73CF"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$1,291</w:t>
            </w:r>
          </w:p>
        </w:tc>
        <w:tc>
          <w:tcPr>
            <w:tcW w:w="1477" w:type="dxa"/>
          </w:tcPr>
          <w:p w14:paraId="72DAA1C4"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132</w:t>
            </w:r>
          </w:p>
        </w:tc>
        <w:tc>
          <w:tcPr>
            <w:tcW w:w="1586" w:type="dxa"/>
            <w:vAlign w:val="bottom"/>
          </w:tcPr>
          <w:p w14:paraId="487CC6AD"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$89,804</w:t>
            </w:r>
          </w:p>
        </w:tc>
        <w:tc>
          <w:tcPr>
            <w:tcW w:w="1602" w:type="dxa"/>
          </w:tcPr>
          <w:p w14:paraId="75DEB908"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1.44%</w:t>
            </w:r>
          </w:p>
        </w:tc>
      </w:tr>
      <w:tr w:rsidR="009F4B68" w:rsidRPr="000F67C8" w14:paraId="4F2554C0" w14:textId="77777777" w:rsidTr="00ED6D3D">
        <w:tc>
          <w:tcPr>
            <w:tcW w:w="1940" w:type="dxa"/>
          </w:tcPr>
          <w:p w14:paraId="085A58B9" w14:textId="77777777" w:rsidR="009F4B68" w:rsidRPr="000F67C8" w:rsidRDefault="009F4B68" w:rsidP="00ED6D3D">
            <w:pPr>
              <w:pStyle w:val="ListParagraph"/>
              <w:widowControl w:val="0"/>
              <w:spacing w:before="40" w:line="276" w:lineRule="auto"/>
              <w:ind w:left="0" w:right="142"/>
              <w:jc w:val="both"/>
              <w:rPr>
                <w:rFonts w:ascii="Arial" w:hAnsi="Arial" w:cs="Arial"/>
                <w:b/>
                <w:sz w:val="18"/>
                <w:szCs w:val="18"/>
                <w:lang w:val="en-US"/>
              </w:rPr>
            </w:pPr>
            <w:r w:rsidRPr="000F67C8">
              <w:rPr>
                <w:rFonts w:ascii="Arial" w:hAnsi="Arial" w:cs="Arial"/>
                <w:b/>
                <w:sz w:val="18"/>
                <w:szCs w:val="18"/>
                <w:lang w:val="en-US"/>
              </w:rPr>
              <w:t>Hawkesbury</w:t>
            </w:r>
          </w:p>
        </w:tc>
        <w:tc>
          <w:tcPr>
            <w:tcW w:w="1601" w:type="dxa"/>
          </w:tcPr>
          <w:p w14:paraId="0D0A6EE0"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$1,073</w:t>
            </w:r>
          </w:p>
        </w:tc>
        <w:tc>
          <w:tcPr>
            <w:tcW w:w="1477" w:type="dxa"/>
          </w:tcPr>
          <w:p w14:paraId="644C4DA8"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121</w:t>
            </w:r>
          </w:p>
        </w:tc>
        <w:tc>
          <w:tcPr>
            <w:tcW w:w="1586" w:type="dxa"/>
            <w:vAlign w:val="bottom"/>
          </w:tcPr>
          <w:p w14:paraId="5E4C0E68"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$72,020</w:t>
            </w:r>
          </w:p>
        </w:tc>
        <w:tc>
          <w:tcPr>
            <w:tcW w:w="1602" w:type="dxa"/>
          </w:tcPr>
          <w:p w14:paraId="26D18699"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1.49%</w:t>
            </w:r>
          </w:p>
        </w:tc>
      </w:tr>
      <w:tr w:rsidR="009F4B68" w:rsidRPr="000F67C8" w14:paraId="47A7FC73" w14:textId="77777777" w:rsidTr="00ED6D3D">
        <w:tc>
          <w:tcPr>
            <w:tcW w:w="1940" w:type="dxa"/>
          </w:tcPr>
          <w:p w14:paraId="66313A4A" w14:textId="77777777" w:rsidR="009F4B68" w:rsidRPr="000F67C8" w:rsidRDefault="009F4B68" w:rsidP="00ED6D3D">
            <w:pPr>
              <w:pStyle w:val="ListParagraph"/>
              <w:widowControl w:val="0"/>
              <w:spacing w:before="40" w:line="276" w:lineRule="auto"/>
              <w:ind w:left="0" w:right="142"/>
              <w:jc w:val="both"/>
              <w:rPr>
                <w:rFonts w:ascii="Arial" w:hAnsi="Arial" w:cs="Arial"/>
                <w:b/>
                <w:sz w:val="18"/>
                <w:szCs w:val="18"/>
                <w:lang w:val="en-US"/>
              </w:rPr>
            </w:pPr>
            <w:r w:rsidRPr="000F67C8">
              <w:rPr>
                <w:rFonts w:ascii="Arial" w:hAnsi="Arial" w:cs="Arial"/>
                <w:b/>
                <w:sz w:val="18"/>
                <w:szCs w:val="18"/>
                <w:lang w:val="en-US"/>
              </w:rPr>
              <w:t>Lithgow</w:t>
            </w:r>
          </w:p>
        </w:tc>
        <w:tc>
          <w:tcPr>
            <w:tcW w:w="1601" w:type="dxa"/>
          </w:tcPr>
          <w:p w14:paraId="09962258"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$700</w:t>
            </w:r>
          </w:p>
        </w:tc>
        <w:tc>
          <w:tcPr>
            <w:tcW w:w="1477" w:type="dxa"/>
          </w:tcPr>
          <w:p w14:paraId="5FB04E4D"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23</w:t>
            </w:r>
          </w:p>
        </w:tc>
        <w:tc>
          <w:tcPr>
            <w:tcW w:w="1586" w:type="dxa"/>
            <w:vAlign w:val="bottom"/>
          </w:tcPr>
          <w:p w14:paraId="09B8D2FE"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$46,592</w:t>
            </w:r>
          </w:p>
        </w:tc>
        <w:tc>
          <w:tcPr>
            <w:tcW w:w="1602" w:type="dxa"/>
          </w:tcPr>
          <w:p w14:paraId="128306C9"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1.50%</w:t>
            </w:r>
          </w:p>
        </w:tc>
      </w:tr>
      <w:tr w:rsidR="009F4B68" w:rsidRPr="000F67C8" w14:paraId="2B3CBC4F" w14:textId="77777777" w:rsidTr="00ED6D3D">
        <w:tc>
          <w:tcPr>
            <w:tcW w:w="1940" w:type="dxa"/>
          </w:tcPr>
          <w:p w14:paraId="128CA0CC" w14:textId="77777777" w:rsidR="009F4B68" w:rsidRPr="000F67C8" w:rsidRDefault="009F4B68" w:rsidP="00ED6D3D">
            <w:pPr>
              <w:pStyle w:val="ListParagraph"/>
              <w:widowControl w:val="0"/>
              <w:spacing w:before="40" w:line="276" w:lineRule="auto"/>
              <w:ind w:left="0" w:right="142"/>
              <w:jc w:val="both"/>
              <w:rPr>
                <w:rFonts w:ascii="Arial" w:hAnsi="Arial" w:cs="Arial"/>
                <w:b/>
                <w:sz w:val="18"/>
                <w:szCs w:val="18"/>
                <w:lang w:val="en-US"/>
              </w:rPr>
            </w:pPr>
            <w:r w:rsidRPr="000F67C8">
              <w:rPr>
                <w:rFonts w:ascii="Arial" w:hAnsi="Arial" w:cs="Arial"/>
                <w:b/>
                <w:sz w:val="18"/>
                <w:szCs w:val="18"/>
                <w:lang w:val="en-US"/>
              </w:rPr>
              <w:t>Penrith</w:t>
            </w:r>
          </w:p>
        </w:tc>
        <w:tc>
          <w:tcPr>
            <w:tcW w:w="1601" w:type="dxa"/>
          </w:tcPr>
          <w:p w14:paraId="38015D7E"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$1,114</w:t>
            </w:r>
          </w:p>
        </w:tc>
        <w:tc>
          <w:tcPr>
            <w:tcW w:w="1477" w:type="dxa"/>
          </w:tcPr>
          <w:p w14:paraId="276C8B22"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110</w:t>
            </w:r>
          </w:p>
        </w:tc>
        <w:tc>
          <w:tcPr>
            <w:tcW w:w="1586" w:type="dxa"/>
            <w:vAlign w:val="bottom"/>
          </w:tcPr>
          <w:p w14:paraId="0A226176"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$72,696</w:t>
            </w:r>
          </w:p>
        </w:tc>
        <w:tc>
          <w:tcPr>
            <w:tcW w:w="1602" w:type="dxa"/>
          </w:tcPr>
          <w:p w14:paraId="640191A1"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1.53%</w:t>
            </w:r>
          </w:p>
        </w:tc>
      </w:tr>
      <w:tr w:rsidR="009F4B68" w:rsidRPr="000F67C8" w14:paraId="2A09CAB3" w14:textId="77777777" w:rsidTr="00ED6D3D">
        <w:tc>
          <w:tcPr>
            <w:tcW w:w="1940" w:type="dxa"/>
          </w:tcPr>
          <w:p w14:paraId="5410EEFA" w14:textId="77777777" w:rsidR="009F4B68" w:rsidRPr="000F67C8" w:rsidRDefault="009F4B68" w:rsidP="00ED6D3D">
            <w:pPr>
              <w:pStyle w:val="ListParagraph"/>
              <w:widowControl w:val="0"/>
              <w:spacing w:before="40" w:line="276" w:lineRule="auto"/>
              <w:ind w:left="0" w:right="142"/>
              <w:jc w:val="both"/>
              <w:rPr>
                <w:rFonts w:ascii="Arial" w:hAnsi="Arial" w:cs="Arial"/>
                <w:b/>
                <w:sz w:val="18"/>
                <w:szCs w:val="18"/>
                <w:lang w:val="en-US"/>
              </w:rPr>
            </w:pPr>
            <w:r w:rsidRPr="000F67C8">
              <w:rPr>
                <w:rFonts w:ascii="Arial" w:hAnsi="Arial" w:cs="Arial"/>
                <w:b/>
                <w:sz w:val="18"/>
                <w:szCs w:val="18"/>
                <w:lang w:val="en-US"/>
              </w:rPr>
              <w:t>Campbelltown</w:t>
            </w:r>
          </w:p>
        </w:tc>
        <w:tc>
          <w:tcPr>
            <w:tcW w:w="1601" w:type="dxa"/>
          </w:tcPr>
          <w:p w14:paraId="28ACC337"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$1,005</w:t>
            </w:r>
          </w:p>
        </w:tc>
        <w:tc>
          <w:tcPr>
            <w:tcW w:w="1477" w:type="dxa"/>
          </w:tcPr>
          <w:p w14:paraId="06C9D905"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42</w:t>
            </w:r>
          </w:p>
        </w:tc>
        <w:tc>
          <w:tcPr>
            <w:tcW w:w="1586" w:type="dxa"/>
            <w:vAlign w:val="bottom"/>
          </w:tcPr>
          <w:p w14:paraId="08974599"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$65,052</w:t>
            </w:r>
          </w:p>
        </w:tc>
        <w:tc>
          <w:tcPr>
            <w:tcW w:w="1602" w:type="dxa"/>
          </w:tcPr>
          <w:p w14:paraId="2E55BB93"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1.54%</w:t>
            </w:r>
          </w:p>
        </w:tc>
      </w:tr>
      <w:tr w:rsidR="009F4B68" w:rsidRPr="000F67C8" w14:paraId="443132DF" w14:textId="77777777" w:rsidTr="00ED6D3D">
        <w:tc>
          <w:tcPr>
            <w:tcW w:w="1940" w:type="dxa"/>
          </w:tcPr>
          <w:p w14:paraId="54B1F5C4" w14:textId="77777777" w:rsidR="009F4B68" w:rsidRPr="000F67C8" w:rsidRDefault="009F4B68" w:rsidP="00ED6D3D">
            <w:pPr>
              <w:pStyle w:val="ListParagraph"/>
              <w:widowControl w:val="0"/>
              <w:spacing w:before="40" w:line="276" w:lineRule="auto"/>
              <w:ind w:left="0" w:right="142"/>
              <w:jc w:val="both"/>
              <w:rPr>
                <w:rFonts w:ascii="Arial" w:hAnsi="Arial" w:cs="Arial"/>
                <w:b/>
                <w:sz w:val="18"/>
                <w:szCs w:val="18"/>
                <w:lang w:val="en-US"/>
              </w:rPr>
            </w:pPr>
            <w:r w:rsidRPr="000F67C8">
              <w:rPr>
                <w:rFonts w:ascii="Arial" w:hAnsi="Arial" w:cs="Arial"/>
                <w:b/>
                <w:sz w:val="18"/>
                <w:szCs w:val="18"/>
                <w:lang w:val="en-US"/>
              </w:rPr>
              <w:t>Liverpool</w:t>
            </w:r>
          </w:p>
        </w:tc>
        <w:tc>
          <w:tcPr>
            <w:tcW w:w="1601" w:type="dxa"/>
          </w:tcPr>
          <w:p w14:paraId="4A2E37A5"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$1,077</w:t>
            </w:r>
          </w:p>
        </w:tc>
        <w:tc>
          <w:tcPr>
            <w:tcW w:w="1477" w:type="dxa"/>
          </w:tcPr>
          <w:p w14:paraId="6A198DCE"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51</w:t>
            </w:r>
          </w:p>
        </w:tc>
        <w:tc>
          <w:tcPr>
            <w:tcW w:w="1586" w:type="dxa"/>
            <w:vAlign w:val="bottom"/>
          </w:tcPr>
          <w:p w14:paraId="71620202"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$67,548</w:t>
            </w:r>
          </w:p>
        </w:tc>
        <w:tc>
          <w:tcPr>
            <w:tcW w:w="1602" w:type="dxa"/>
          </w:tcPr>
          <w:p w14:paraId="57F3EF53"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1.59%</w:t>
            </w:r>
          </w:p>
        </w:tc>
      </w:tr>
      <w:tr w:rsidR="009F4B68" w:rsidRPr="000F67C8" w14:paraId="1B40E274" w14:textId="77777777" w:rsidTr="00ED6D3D">
        <w:tc>
          <w:tcPr>
            <w:tcW w:w="1940" w:type="dxa"/>
          </w:tcPr>
          <w:p w14:paraId="2E79682F" w14:textId="77777777" w:rsidR="009F4B68" w:rsidRPr="000F67C8" w:rsidRDefault="009F4B68" w:rsidP="00ED6D3D">
            <w:pPr>
              <w:pStyle w:val="ListParagraph"/>
              <w:widowControl w:val="0"/>
              <w:spacing w:before="40" w:line="276" w:lineRule="auto"/>
              <w:ind w:left="0" w:right="142"/>
              <w:jc w:val="both"/>
              <w:rPr>
                <w:rFonts w:ascii="Arial" w:hAnsi="Arial" w:cs="Arial"/>
                <w:b/>
                <w:sz w:val="18"/>
                <w:szCs w:val="18"/>
                <w:lang w:val="en-US"/>
              </w:rPr>
            </w:pPr>
            <w:r w:rsidRPr="000F67C8">
              <w:rPr>
                <w:rFonts w:ascii="Arial" w:hAnsi="Arial" w:cs="Arial"/>
                <w:b/>
                <w:sz w:val="18"/>
                <w:szCs w:val="18"/>
                <w:lang w:val="en-US"/>
              </w:rPr>
              <w:t>Gosford</w:t>
            </w:r>
          </w:p>
        </w:tc>
        <w:tc>
          <w:tcPr>
            <w:tcW w:w="1601" w:type="dxa"/>
          </w:tcPr>
          <w:p w14:paraId="029E9E62"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$936</w:t>
            </w:r>
          </w:p>
        </w:tc>
        <w:tc>
          <w:tcPr>
            <w:tcW w:w="1477" w:type="dxa"/>
          </w:tcPr>
          <w:p w14:paraId="1A2EB7C6"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115</w:t>
            </w:r>
          </w:p>
        </w:tc>
        <w:tc>
          <w:tcPr>
            <w:tcW w:w="1586" w:type="dxa"/>
            <w:vAlign w:val="bottom"/>
          </w:tcPr>
          <w:p w14:paraId="0D4CD3D1"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$56,628</w:t>
            </w:r>
          </w:p>
        </w:tc>
        <w:tc>
          <w:tcPr>
            <w:tcW w:w="1602" w:type="dxa"/>
          </w:tcPr>
          <w:p w14:paraId="5766BBD6"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1.65%</w:t>
            </w:r>
          </w:p>
        </w:tc>
      </w:tr>
      <w:tr w:rsidR="009F4B68" w:rsidRPr="000F67C8" w14:paraId="4DAD4104" w14:textId="77777777" w:rsidTr="00EB27AC">
        <w:tc>
          <w:tcPr>
            <w:tcW w:w="1940" w:type="dxa"/>
            <w:tcBorders>
              <w:bottom w:val="single" w:sz="4" w:space="0" w:color="auto"/>
            </w:tcBorders>
          </w:tcPr>
          <w:p w14:paraId="233C2A39" w14:textId="77777777" w:rsidR="009F4B68" w:rsidRPr="000F67C8" w:rsidRDefault="009F4B68" w:rsidP="00ED6D3D">
            <w:pPr>
              <w:pStyle w:val="ListParagraph"/>
              <w:widowControl w:val="0"/>
              <w:spacing w:before="40" w:line="276" w:lineRule="auto"/>
              <w:ind w:left="0" w:right="142"/>
              <w:jc w:val="both"/>
              <w:rPr>
                <w:rFonts w:ascii="Arial" w:hAnsi="Arial" w:cs="Arial"/>
                <w:b/>
                <w:sz w:val="18"/>
                <w:szCs w:val="18"/>
                <w:lang w:val="en-US"/>
              </w:rPr>
            </w:pPr>
            <w:r w:rsidRPr="000F67C8">
              <w:rPr>
                <w:rFonts w:ascii="Arial" w:hAnsi="Arial" w:cs="Arial"/>
                <w:b/>
                <w:sz w:val="18"/>
                <w:szCs w:val="18"/>
                <w:lang w:val="en-US"/>
              </w:rPr>
              <w:t>Wollondilly</w:t>
            </w:r>
          </w:p>
        </w:tc>
        <w:tc>
          <w:tcPr>
            <w:tcW w:w="1601" w:type="dxa"/>
            <w:tcBorders>
              <w:bottom w:val="single" w:sz="4" w:space="0" w:color="auto"/>
            </w:tcBorders>
          </w:tcPr>
          <w:p w14:paraId="562C9B61"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$1,376</w:t>
            </w:r>
          </w:p>
        </w:tc>
        <w:tc>
          <w:tcPr>
            <w:tcW w:w="1477" w:type="dxa"/>
            <w:tcBorders>
              <w:bottom w:val="single" w:sz="4" w:space="0" w:color="auto"/>
            </w:tcBorders>
          </w:tcPr>
          <w:p w14:paraId="0851CDCE"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126</w:t>
            </w:r>
          </w:p>
        </w:tc>
        <w:tc>
          <w:tcPr>
            <w:tcW w:w="1586" w:type="dxa"/>
            <w:tcBorders>
              <w:bottom w:val="single" w:sz="4" w:space="0" w:color="auto"/>
            </w:tcBorders>
            <w:vAlign w:val="bottom"/>
          </w:tcPr>
          <w:p w14:paraId="45510B16"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$76,856</w:t>
            </w:r>
          </w:p>
        </w:tc>
        <w:tc>
          <w:tcPr>
            <w:tcW w:w="1602" w:type="dxa"/>
            <w:tcBorders>
              <w:bottom w:val="single" w:sz="4" w:space="0" w:color="auto"/>
            </w:tcBorders>
          </w:tcPr>
          <w:p w14:paraId="51232E1F"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1.79%</w:t>
            </w:r>
          </w:p>
        </w:tc>
      </w:tr>
      <w:tr w:rsidR="009F4B68" w:rsidRPr="000F67C8" w14:paraId="3D47B06B" w14:textId="77777777" w:rsidTr="00EB27AC">
        <w:tc>
          <w:tcPr>
            <w:tcW w:w="1940" w:type="dxa"/>
            <w:shd w:val="clear" w:color="auto" w:fill="FBD4B4" w:themeFill="accent6" w:themeFillTint="66"/>
          </w:tcPr>
          <w:p w14:paraId="0AA4038F" w14:textId="77777777" w:rsidR="009F4B68" w:rsidRPr="000F67C8" w:rsidRDefault="009F4B68" w:rsidP="00ED6D3D">
            <w:pPr>
              <w:pStyle w:val="ListParagraph"/>
              <w:widowControl w:val="0"/>
              <w:spacing w:before="40" w:line="276" w:lineRule="auto"/>
              <w:ind w:left="0" w:right="142"/>
              <w:jc w:val="both"/>
              <w:rPr>
                <w:rFonts w:ascii="Arial" w:hAnsi="Arial" w:cs="Arial"/>
                <w:b/>
                <w:sz w:val="18"/>
                <w:szCs w:val="18"/>
                <w:lang w:val="en-US"/>
              </w:rPr>
            </w:pPr>
            <w:r w:rsidRPr="000F67C8">
              <w:rPr>
                <w:rFonts w:ascii="Arial" w:hAnsi="Arial" w:cs="Arial"/>
                <w:b/>
                <w:sz w:val="18"/>
                <w:szCs w:val="18"/>
                <w:lang w:val="en-US"/>
              </w:rPr>
              <w:t>Blue Mountains</w:t>
            </w:r>
          </w:p>
        </w:tc>
        <w:tc>
          <w:tcPr>
            <w:tcW w:w="1601" w:type="dxa"/>
            <w:shd w:val="clear" w:color="auto" w:fill="FBD4B4" w:themeFill="accent6" w:themeFillTint="66"/>
          </w:tcPr>
          <w:p w14:paraId="512934E7" w14:textId="77777777" w:rsidR="009F4B68" w:rsidRPr="000F67C8" w:rsidRDefault="009F4B68" w:rsidP="00ED6D3D">
            <w:pPr>
              <w:pStyle w:val="ListParagraph"/>
              <w:widowControl w:val="0"/>
              <w:spacing w:before="40" w:line="276" w:lineRule="auto"/>
              <w:ind w:left="0" w:right="142"/>
              <w:jc w:val="right"/>
              <w:rPr>
                <w:rFonts w:ascii="Arial" w:hAnsi="Arial" w:cs="Arial"/>
                <w:b/>
                <w:sz w:val="18"/>
                <w:szCs w:val="18"/>
                <w:lang w:val="en-US"/>
              </w:rPr>
            </w:pPr>
            <w:r w:rsidRPr="000F67C8">
              <w:rPr>
                <w:rFonts w:ascii="Arial" w:hAnsi="Arial" w:cs="Arial"/>
                <w:b/>
                <w:sz w:val="18"/>
                <w:szCs w:val="18"/>
                <w:lang w:val="en-US"/>
              </w:rPr>
              <w:t>$1,272</w:t>
            </w:r>
          </w:p>
        </w:tc>
        <w:tc>
          <w:tcPr>
            <w:tcW w:w="1477" w:type="dxa"/>
            <w:shd w:val="clear" w:color="auto" w:fill="FBD4B4" w:themeFill="accent6" w:themeFillTint="66"/>
          </w:tcPr>
          <w:p w14:paraId="34DF6559" w14:textId="77777777" w:rsidR="009F4B68" w:rsidRPr="000F67C8" w:rsidRDefault="009F4B68" w:rsidP="00ED6D3D">
            <w:pPr>
              <w:pStyle w:val="ListParagraph"/>
              <w:widowControl w:val="0"/>
              <w:spacing w:before="40" w:line="276" w:lineRule="auto"/>
              <w:ind w:left="0" w:right="142"/>
              <w:jc w:val="right"/>
              <w:rPr>
                <w:rFonts w:ascii="Arial" w:hAnsi="Arial" w:cs="Arial"/>
                <w:b/>
                <w:sz w:val="18"/>
                <w:szCs w:val="18"/>
                <w:lang w:val="en-US"/>
              </w:rPr>
            </w:pPr>
            <w:r w:rsidRPr="000F67C8">
              <w:rPr>
                <w:rFonts w:ascii="Arial" w:hAnsi="Arial" w:cs="Arial"/>
                <w:b/>
                <w:sz w:val="18"/>
                <w:szCs w:val="18"/>
                <w:lang w:val="en-US"/>
              </w:rPr>
              <w:t>128</w:t>
            </w:r>
          </w:p>
        </w:tc>
        <w:tc>
          <w:tcPr>
            <w:tcW w:w="1586" w:type="dxa"/>
            <w:shd w:val="clear" w:color="auto" w:fill="FBD4B4" w:themeFill="accent6" w:themeFillTint="66"/>
            <w:vAlign w:val="bottom"/>
          </w:tcPr>
          <w:p w14:paraId="793FE297" w14:textId="77777777" w:rsidR="009F4B68" w:rsidRPr="000F67C8" w:rsidRDefault="009F4B68" w:rsidP="00ED6D3D">
            <w:pPr>
              <w:pStyle w:val="ListParagraph"/>
              <w:widowControl w:val="0"/>
              <w:spacing w:before="40" w:line="276" w:lineRule="auto"/>
              <w:ind w:left="0" w:right="142"/>
              <w:jc w:val="right"/>
              <w:rPr>
                <w:rFonts w:ascii="Arial" w:hAnsi="Arial" w:cs="Arial"/>
                <w:b/>
                <w:sz w:val="18"/>
                <w:szCs w:val="18"/>
                <w:lang w:val="en-US"/>
              </w:rPr>
            </w:pPr>
            <w:r w:rsidRPr="000F67C8">
              <w:rPr>
                <w:rFonts w:ascii="Arial" w:hAnsi="Arial" w:cs="Arial"/>
                <w:b/>
                <w:sz w:val="18"/>
                <w:szCs w:val="18"/>
                <w:lang w:val="en-US"/>
              </w:rPr>
              <w:t>$66,040</w:t>
            </w:r>
          </w:p>
        </w:tc>
        <w:tc>
          <w:tcPr>
            <w:tcW w:w="1602" w:type="dxa"/>
            <w:shd w:val="clear" w:color="auto" w:fill="FBD4B4" w:themeFill="accent6" w:themeFillTint="66"/>
          </w:tcPr>
          <w:p w14:paraId="22E4C433" w14:textId="77777777" w:rsidR="009F4B68" w:rsidRPr="000F67C8" w:rsidRDefault="009F4B68" w:rsidP="00ED6D3D">
            <w:pPr>
              <w:pStyle w:val="ListParagraph"/>
              <w:widowControl w:val="0"/>
              <w:spacing w:before="40" w:line="276" w:lineRule="auto"/>
              <w:ind w:left="0" w:right="142"/>
              <w:jc w:val="right"/>
              <w:rPr>
                <w:rFonts w:ascii="Arial" w:hAnsi="Arial" w:cs="Arial"/>
                <w:b/>
                <w:sz w:val="18"/>
                <w:szCs w:val="18"/>
                <w:lang w:val="en-US"/>
              </w:rPr>
            </w:pPr>
            <w:r w:rsidRPr="000F67C8">
              <w:rPr>
                <w:rFonts w:ascii="Arial" w:hAnsi="Arial" w:cs="Arial"/>
                <w:b/>
                <w:sz w:val="18"/>
                <w:szCs w:val="18"/>
                <w:lang w:val="en-US"/>
              </w:rPr>
              <w:t>1.93%</w:t>
            </w:r>
          </w:p>
        </w:tc>
      </w:tr>
      <w:tr w:rsidR="009F4B68" w:rsidRPr="000F67C8" w14:paraId="39EB4BD8" w14:textId="77777777" w:rsidTr="00ED6D3D">
        <w:tc>
          <w:tcPr>
            <w:tcW w:w="1940" w:type="dxa"/>
          </w:tcPr>
          <w:p w14:paraId="0247D530" w14:textId="77777777" w:rsidR="009F4B68" w:rsidRPr="000F67C8" w:rsidRDefault="009F4B68" w:rsidP="00ED6D3D">
            <w:pPr>
              <w:pStyle w:val="ListParagraph"/>
              <w:widowControl w:val="0"/>
              <w:spacing w:before="40" w:line="276" w:lineRule="auto"/>
              <w:ind w:left="0" w:right="142"/>
              <w:jc w:val="both"/>
              <w:rPr>
                <w:rFonts w:ascii="Arial" w:hAnsi="Arial" w:cs="Arial"/>
                <w:b/>
                <w:sz w:val="18"/>
                <w:szCs w:val="18"/>
                <w:lang w:val="en-US"/>
              </w:rPr>
            </w:pPr>
            <w:r w:rsidRPr="000F67C8">
              <w:rPr>
                <w:rFonts w:ascii="Arial" w:hAnsi="Arial" w:cs="Arial"/>
                <w:b/>
                <w:sz w:val="18"/>
                <w:szCs w:val="18"/>
                <w:lang w:val="en-US"/>
              </w:rPr>
              <w:t>Wyong</w:t>
            </w:r>
          </w:p>
        </w:tc>
        <w:tc>
          <w:tcPr>
            <w:tcW w:w="1601" w:type="dxa"/>
          </w:tcPr>
          <w:p w14:paraId="18CA3D86"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$997</w:t>
            </w:r>
          </w:p>
        </w:tc>
        <w:tc>
          <w:tcPr>
            <w:tcW w:w="1477" w:type="dxa"/>
          </w:tcPr>
          <w:p w14:paraId="21A7022B"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55</w:t>
            </w:r>
          </w:p>
        </w:tc>
        <w:tc>
          <w:tcPr>
            <w:tcW w:w="1586" w:type="dxa"/>
            <w:vAlign w:val="bottom"/>
          </w:tcPr>
          <w:p w14:paraId="1F0AF6DA"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$48,568</w:t>
            </w:r>
          </w:p>
        </w:tc>
        <w:tc>
          <w:tcPr>
            <w:tcW w:w="1602" w:type="dxa"/>
          </w:tcPr>
          <w:p w14:paraId="02ACCAC3"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2.05%</w:t>
            </w:r>
          </w:p>
        </w:tc>
      </w:tr>
      <w:tr w:rsidR="009F4B68" w:rsidRPr="000F67C8" w14:paraId="54B9FF57" w14:textId="77777777" w:rsidTr="00ED6D3D">
        <w:tc>
          <w:tcPr>
            <w:tcW w:w="1940" w:type="dxa"/>
          </w:tcPr>
          <w:p w14:paraId="12C96F5F" w14:textId="77777777" w:rsidR="009F4B68" w:rsidRPr="000F67C8" w:rsidRDefault="009F4B68" w:rsidP="00ED6D3D">
            <w:pPr>
              <w:pStyle w:val="ListParagraph"/>
              <w:widowControl w:val="0"/>
              <w:spacing w:before="40" w:line="276" w:lineRule="auto"/>
              <w:ind w:left="0" w:right="142"/>
              <w:jc w:val="both"/>
              <w:rPr>
                <w:rFonts w:ascii="Arial" w:hAnsi="Arial" w:cs="Arial"/>
                <w:b/>
                <w:sz w:val="18"/>
                <w:szCs w:val="18"/>
                <w:lang w:val="en-US"/>
              </w:rPr>
            </w:pPr>
            <w:r w:rsidRPr="000F67C8">
              <w:rPr>
                <w:rFonts w:ascii="Arial" w:hAnsi="Arial" w:cs="Arial"/>
                <w:b/>
                <w:sz w:val="18"/>
                <w:szCs w:val="18"/>
                <w:lang w:val="en-US"/>
              </w:rPr>
              <w:t>Coffs Harbour</w:t>
            </w:r>
          </w:p>
        </w:tc>
        <w:tc>
          <w:tcPr>
            <w:tcW w:w="1601" w:type="dxa"/>
          </w:tcPr>
          <w:p w14:paraId="54C24815"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$1,066</w:t>
            </w:r>
          </w:p>
        </w:tc>
        <w:tc>
          <w:tcPr>
            <w:tcW w:w="1477" w:type="dxa"/>
          </w:tcPr>
          <w:p w14:paraId="3C542CCA"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67</w:t>
            </w:r>
          </w:p>
        </w:tc>
        <w:tc>
          <w:tcPr>
            <w:tcW w:w="1586" w:type="dxa"/>
            <w:vAlign w:val="bottom"/>
          </w:tcPr>
          <w:p w14:paraId="04470F16"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$46,904</w:t>
            </w:r>
          </w:p>
        </w:tc>
        <w:tc>
          <w:tcPr>
            <w:tcW w:w="1602" w:type="dxa"/>
          </w:tcPr>
          <w:p w14:paraId="351A8055"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2.27%</w:t>
            </w:r>
          </w:p>
        </w:tc>
      </w:tr>
      <w:tr w:rsidR="009F4B68" w:rsidRPr="000F67C8" w14:paraId="140EE03B" w14:textId="77777777" w:rsidTr="00ED6D3D">
        <w:tc>
          <w:tcPr>
            <w:tcW w:w="1940" w:type="dxa"/>
          </w:tcPr>
          <w:p w14:paraId="7E858ADD" w14:textId="77777777" w:rsidR="009F4B68" w:rsidRPr="000F67C8" w:rsidRDefault="009F4B68" w:rsidP="00ED6D3D">
            <w:pPr>
              <w:pStyle w:val="ListParagraph"/>
              <w:widowControl w:val="0"/>
              <w:spacing w:before="40" w:line="276" w:lineRule="auto"/>
              <w:ind w:left="0" w:right="142"/>
              <w:jc w:val="both"/>
              <w:rPr>
                <w:rFonts w:ascii="Arial" w:hAnsi="Arial" w:cs="Arial"/>
                <w:b/>
                <w:sz w:val="18"/>
                <w:szCs w:val="18"/>
                <w:lang w:val="en-US"/>
              </w:rPr>
            </w:pPr>
            <w:r w:rsidRPr="000F67C8">
              <w:rPr>
                <w:rFonts w:ascii="Arial" w:hAnsi="Arial" w:cs="Arial"/>
                <w:b/>
                <w:sz w:val="18"/>
                <w:szCs w:val="18"/>
                <w:lang w:val="en-US"/>
              </w:rPr>
              <w:t>Shoalhaven</w:t>
            </w:r>
          </w:p>
        </w:tc>
        <w:tc>
          <w:tcPr>
            <w:tcW w:w="1601" w:type="dxa"/>
          </w:tcPr>
          <w:p w14:paraId="642D2D74"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$970</w:t>
            </w:r>
          </w:p>
        </w:tc>
        <w:tc>
          <w:tcPr>
            <w:tcW w:w="1477" w:type="dxa"/>
          </w:tcPr>
          <w:p w14:paraId="3435AE02"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62</w:t>
            </w:r>
          </w:p>
        </w:tc>
        <w:tc>
          <w:tcPr>
            <w:tcW w:w="1586" w:type="dxa"/>
            <w:vAlign w:val="bottom"/>
          </w:tcPr>
          <w:p w14:paraId="0A6147AA"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$42,744</w:t>
            </w:r>
          </w:p>
        </w:tc>
        <w:tc>
          <w:tcPr>
            <w:tcW w:w="1602" w:type="dxa"/>
          </w:tcPr>
          <w:p w14:paraId="5106FC6E"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2.27%</w:t>
            </w:r>
          </w:p>
        </w:tc>
      </w:tr>
      <w:tr w:rsidR="009F4B68" w:rsidRPr="000F67C8" w14:paraId="39D14BEA" w14:textId="77777777" w:rsidTr="00ED6D3D">
        <w:tc>
          <w:tcPr>
            <w:tcW w:w="1940" w:type="dxa"/>
          </w:tcPr>
          <w:p w14:paraId="19BCE9DD" w14:textId="77777777" w:rsidR="009F4B68" w:rsidRPr="000F67C8" w:rsidRDefault="009F4B68" w:rsidP="00ED6D3D">
            <w:pPr>
              <w:pStyle w:val="ListParagraph"/>
              <w:widowControl w:val="0"/>
              <w:spacing w:before="40" w:line="276" w:lineRule="auto"/>
              <w:ind w:left="0" w:right="142"/>
              <w:jc w:val="both"/>
              <w:rPr>
                <w:rFonts w:ascii="Arial" w:hAnsi="Arial" w:cs="Arial"/>
                <w:b/>
                <w:sz w:val="18"/>
                <w:szCs w:val="18"/>
                <w:lang w:val="en-US"/>
              </w:rPr>
            </w:pPr>
            <w:r w:rsidRPr="000F67C8">
              <w:rPr>
                <w:rFonts w:ascii="Arial" w:hAnsi="Arial" w:cs="Arial"/>
                <w:b/>
                <w:sz w:val="18"/>
                <w:szCs w:val="18"/>
                <w:lang w:val="en-US"/>
              </w:rPr>
              <w:t>Greater Taree</w:t>
            </w:r>
          </w:p>
        </w:tc>
        <w:tc>
          <w:tcPr>
            <w:tcW w:w="1601" w:type="dxa"/>
          </w:tcPr>
          <w:p w14:paraId="7F648020"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$1,026</w:t>
            </w:r>
          </w:p>
        </w:tc>
        <w:tc>
          <w:tcPr>
            <w:tcW w:w="1477" w:type="dxa"/>
          </w:tcPr>
          <w:p w14:paraId="4D943858"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14</w:t>
            </w:r>
          </w:p>
        </w:tc>
        <w:tc>
          <w:tcPr>
            <w:tcW w:w="1586" w:type="dxa"/>
            <w:vAlign w:val="bottom"/>
          </w:tcPr>
          <w:p w14:paraId="4A427763"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$40,040</w:t>
            </w:r>
          </w:p>
        </w:tc>
        <w:tc>
          <w:tcPr>
            <w:tcW w:w="1602" w:type="dxa"/>
          </w:tcPr>
          <w:p w14:paraId="72EAEE9F" w14:textId="77777777" w:rsidR="009F4B68" w:rsidRPr="000F67C8" w:rsidRDefault="009F4B68" w:rsidP="00ED6D3D">
            <w:pPr>
              <w:pStyle w:val="ListParagraph"/>
              <w:widowControl w:val="0"/>
              <w:spacing w:before="40" w:line="276" w:lineRule="auto"/>
              <w:ind w:left="0" w:right="142"/>
              <w:jc w:val="right"/>
              <w:rPr>
                <w:rFonts w:ascii="Arial" w:hAnsi="Arial" w:cs="Arial"/>
                <w:sz w:val="18"/>
                <w:szCs w:val="18"/>
                <w:lang w:val="en-US"/>
              </w:rPr>
            </w:pPr>
            <w:r w:rsidRPr="000F67C8">
              <w:rPr>
                <w:rFonts w:ascii="Arial" w:hAnsi="Arial" w:cs="Arial"/>
                <w:sz w:val="18"/>
                <w:szCs w:val="18"/>
                <w:lang w:val="en-US"/>
              </w:rPr>
              <w:t>2.56%</w:t>
            </w:r>
          </w:p>
        </w:tc>
      </w:tr>
    </w:tbl>
    <w:p w14:paraId="2D5A171E" w14:textId="77777777" w:rsidR="009F4B68" w:rsidRDefault="009F4B68" w:rsidP="000F67C8">
      <w:pPr>
        <w:pStyle w:val="ListParagraph"/>
        <w:widowControl w:val="0"/>
        <w:spacing w:before="40" w:line="276" w:lineRule="auto"/>
        <w:ind w:right="142"/>
        <w:jc w:val="both"/>
        <w:rPr>
          <w:rFonts w:ascii="Arial" w:hAnsi="Arial" w:cs="Arial"/>
          <w:b/>
          <w:sz w:val="20"/>
          <w:szCs w:val="20"/>
          <w:lang w:val="en-US"/>
        </w:rPr>
      </w:pPr>
    </w:p>
    <w:p w14:paraId="74359BD5" w14:textId="77777777" w:rsidR="009F4B68" w:rsidRPr="00EE74E3" w:rsidRDefault="009F4B68" w:rsidP="000F67C8">
      <w:pPr>
        <w:pStyle w:val="ListParagraph"/>
        <w:widowControl w:val="0"/>
        <w:numPr>
          <w:ilvl w:val="0"/>
          <w:numId w:val="81"/>
        </w:numPr>
        <w:spacing w:before="40" w:line="276" w:lineRule="auto"/>
        <w:ind w:right="142"/>
        <w:jc w:val="both"/>
        <w:rPr>
          <w:rFonts w:ascii="Arial" w:hAnsi="Arial" w:cs="Arial"/>
          <w:b/>
          <w:sz w:val="20"/>
          <w:szCs w:val="20"/>
          <w:lang w:val="en-US"/>
        </w:rPr>
      </w:pPr>
      <w:r w:rsidRPr="00EE74E3">
        <w:rPr>
          <w:rFonts w:ascii="Arial" w:hAnsi="Arial" w:cs="Arial"/>
          <w:b/>
          <w:sz w:val="20"/>
          <w:szCs w:val="20"/>
          <w:lang w:val="en-US"/>
        </w:rPr>
        <w:t>Reforms to the rating structure</w:t>
      </w:r>
    </w:p>
    <w:p w14:paraId="47A83496" w14:textId="6034F6C5" w:rsidR="009F4B68" w:rsidRPr="00EE74E3" w:rsidRDefault="009F4B68" w:rsidP="000F67C8">
      <w:pPr>
        <w:widowControl w:val="0"/>
        <w:spacing w:before="40" w:line="276" w:lineRule="auto"/>
        <w:ind w:left="709" w:right="142"/>
        <w:jc w:val="both"/>
        <w:rPr>
          <w:rFonts w:ascii="Arial" w:hAnsi="Arial" w:cs="Arial"/>
          <w:sz w:val="20"/>
          <w:szCs w:val="20"/>
          <w:lang w:val="en-US" w:eastAsia="en-US"/>
        </w:rPr>
      </w:pPr>
      <w:r w:rsidRPr="00EE74E3">
        <w:rPr>
          <w:rFonts w:ascii="Arial" w:hAnsi="Arial" w:cs="Arial"/>
          <w:sz w:val="20"/>
          <w:szCs w:val="20"/>
        </w:rPr>
        <w:t xml:space="preserve">The reforms to the rating structure have provided a fairer rating system for all ratepayers, particularly those socio-economically disadvantaged that typically own low land value properties </w:t>
      </w:r>
      <w:r w:rsidR="00580912">
        <w:rPr>
          <w:rFonts w:ascii="Arial" w:hAnsi="Arial" w:cs="Arial"/>
          <w:sz w:val="20"/>
          <w:szCs w:val="20"/>
        </w:rPr>
        <w:t xml:space="preserve">- </w:t>
      </w:r>
      <w:r w:rsidRPr="00EE74E3">
        <w:rPr>
          <w:rFonts w:ascii="Arial" w:hAnsi="Arial" w:cs="Arial"/>
          <w:sz w:val="20"/>
          <w:szCs w:val="20"/>
        </w:rPr>
        <w:t>due to the significant reduction in the minimum amount rate</w:t>
      </w:r>
      <w:r w:rsidR="00580912">
        <w:rPr>
          <w:rFonts w:ascii="Arial" w:hAnsi="Arial" w:cs="Arial"/>
          <w:sz w:val="20"/>
          <w:szCs w:val="20"/>
        </w:rPr>
        <w:t>.</w:t>
      </w:r>
    </w:p>
    <w:p w14:paraId="1AF64239" w14:textId="77777777" w:rsidR="009F4B68" w:rsidRPr="00EE74E3" w:rsidRDefault="009F4B68" w:rsidP="000F67C8">
      <w:pPr>
        <w:widowControl w:val="0"/>
        <w:spacing w:before="40" w:line="276" w:lineRule="auto"/>
        <w:ind w:left="426" w:right="142"/>
        <w:jc w:val="both"/>
        <w:rPr>
          <w:rFonts w:ascii="Arial" w:hAnsi="Arial" w:cs="Arial"/>
          <w:bCs/>
          <w:sz w:val="20"/>
          <w:szCs w:val="20"/>
          <w:lang w:val="en-US" w:eastAsia="en-US"/>
        </w:rPr>
      </w:pPr>
    </w:p>
    <w:p w14:paraId="7457557A" w14:textId="77777777" w:rsidR="009F4B68" w:rsidRPr="00EE74E3" w:rsidRDefault="009F4B68" w:rsidP="000F67C8">
      <w:pPr>
        <w:pStyle w:val="ListParagraph"/>
        <w:numPr>
          <w:ilvl w:val="0"/>
          <w:numId w:val="81"/>
        </w:numPr>
        <w:autoSpaceDE w:val="0"/>
        <w:autoSpaceDN w:val="0"/>
        <w:adjustRightInd w:val="0"/>
        <w:spacing w:line="276" w:lineRule="auto"/>
        <w:jc w:val="both"/>
        <w:rPr>
          <w:rFonts w:ascii="Arial" w:hAnsi="Arial" w:cs="Arial"/>
          <w:b/>
          <w:color w:val="000000"/>
          <w:sz w:val="20"/>
          <w:szCs w:val="20"/>
        </w:rPr>
      </w:pPr>
      <w:r w:rsidRPr="00EE74E3">
        <w:rPr>
          <w:rFonts w:ascii="Arial" w:hAnsi="Arial" w:cs="Arial"/>
          <w:b/>
          <w:color w:val="000000"/>
          <w:sz w:val="20"/>
          <w:szCs w:val="20"/>
        </w:rPr>
        <w:t>Special variation staged over four years to ease burden on ratepayers</w:t>
      </w:r>
    </w:p>
    <w:p w14:paraId="5577222E" w14:textId="77777777" w:rsidR="009F4B68" w:rsidRPr="00EE74E3" w:rsidRDefault="009F4B68" w:rsidP="000F67C8">
      <w:pPr>
        <w:autoSpaceDE w:val="0"/>
        <w:autoSpaceDN w:val="0"/>
        <w:adjustRightInd w:val="0"/>
        <w:spacing w:line="276" w:lineRule="auto"/>
        <w:ind w:left="709"/>
        <w:jc w:val="both"/>
        <w:rPr>
          <w:rFonts w:ascii="Arial" w:hAnsi="Arial" w:cs="Arial"/>
          <w:color w:val="000000"/>
          <w:sz w:val="20"/>
          <w:szCs w:val="20"/>
        </w:rPr>
      </w:pPr>
      <w:r w:rsidRPr="00EE74E3">
        <w:rPr>
          <w:rFonts w:ascii="Arial" w:hAnsi="Arial" w:cs="Arial"/>
          <w:color w:val="000000"/>
          <w:sz w:val="20"/>
          <w:szCs w:val="20"/>
        </w:rPr>
        <w:t>The staging of the special variation over a four year period rather than seeking a large one-off increase is a deliberate strategy to assist the community in managing the additional cost of rates.</w:t>
      </w:r>
    </w:p>
    <w:p w14:paraId="56671819" w14:textId="77777777" w:rsidR="009F4B68" w:rsidRPr="00EE74E3" w:rsidRDefault="009F4B68" w:rsidP="000F67C8">
      <w:pPr>
        <w:autoSpaceDE w:val="0"/>
        <w:autoSpaceDN w:val="0"/>
        <w:adjustRightInd w:val="0"/>
        <w:spacing w:line="276" w:lineRule="auto"/>
        <w:jc w:val="both"/>
        <w:rPr>
          <w:rFonts w:ascii="Arial" w:hAnsi="Arial" w:cs="Arial"/>
          <w:color w:val="000000"/>
          <w:sz w:val="20"/>
          <w:szCs w:val="20"/>
        </w:rPr>
      </w:pPr>
    </w:p>
    <w:p w14:paraId="4C146BAC" w14:textId="77777777" w:rsidR="009F4B68" w:rsidRPr="00EE74E3" w:rsidRDefault="009F4B68" w:rsidP="000F67C8">
      <w:pPr>
        <w:autoSpaceDE w:val="0"/>
        <w:autoSpaceDN w:val="0"/>
        <w:adjustRightInd w:val="0"/>
        <w:spacing w:line="276" w:lineRule="auto"/>
        <w:ind w:left="709"/>
        <w:jc w:val="both"/>
        <w:rPr>
          <w:rFonts w:ascii="Arial" w:hAnsi="Arial" w:cs="Arial"/>
          <w:color w:val="000000"/>
          <w:sz w:val="20"/>
          <w:szCs w:val="20"/>
        </w:rPr>
      </w:pPr>
      <w:r w:rsidRPr="00EE74E3">
        <w:rPr>
          <w:rFonts w:ascii="Arial" w:hAnsi="Arial" w:cs="Arial"/>
          <w:color w:val="000000"/>
          <w:sz w:val="20"/>
          <w:szCs w:val="20"/>
        </w:rPr>
        <w:t xml:space="preserve">In its first year, the proposed variation seeks only to continue an existing variation, at its current level. As this is already a part of rates, in 2016-17 ratepayers will only experience an increase due to rate peg. Increases above the allowable rate peg amount only occur in subsequent years of the variation (i.e. 2016-17 to 2018-19), at an amount which is considered affordable, rather than a larger increase in a single year. </w:t>
      </w:r>
    </w:p>
    <w:p w14:paraId="4673713D" w14:textId="77777777" w:rsidR="009F4B68" w:rsidRPr="00EE74E3" w:rsidRDefault="009F4B68" w:rsidP="000F67C8">
      <w:pPr>
        <w:widowControl w:val="0"/>
        <w:spacing w:before="40" w:line="276" w:lineRule="auto"/>
        <w:ind w:left="426" w:right="142"/>
        <w:jc w:val="both"/>
        <w:rPr>
          <w:rFonts w:ascii="Arial" w:hAnsi="Arial" w:cs="Arial"/>
          <w:bCs/>
          <w:sz w:val="20"/>
          <w:szCs w:val="20"/>
          <w:lang w:val="en-US" w:eastAsia="en-US"/>
        </w:rPr>
      </w:pPr>
    </w:p>
    <w:p w14:paraId="55CBFD23" w14:textId="77777777" w:rsidR="009F4B68" w:rsidRPr="00EE74E3" w:rsidRDefault="009F4B68" w:rsidP="000F67C8">
      <w:pPr>
        <w:pStyle w:val="ListParagraph"/>
        <w:widowControl w:val="0"/>
        <w:numPr>
          <w:ilvl w:val="0"/>
          <w:numId w:val="81"/>
        </w:numPr>
        <w:spacing w:before="40" w:line="276" w:lineRule="auto"/>
        <w:ind w:right="142"/>
        <w:jc w:val="both"/>
        <w:rPr>
          <w:rFonts w:ascii="Arial" w:hAnsi="Arial" w:cs="Arial"/>
          <w:b/>
          <w:bCs/>
          <w:sz w:val="20"/>
          <w:szCs w:val="20"/>
          <w:lang w:val="en-US"/>
        </w:rPr>
      </w:pPr>
      <w:r w:rsidRPr="00EE74E3">
        <w:rPr>
          <w:rFonts w:ascii="Arial" w:hAnsi="Arial" w:cs="Arial"/>
          <w:b/>
          <w:sz w:val="20"/>
          <w:szCs w:val="20"/>
          <w:lang w:val="en-US"/>
        </w:rPr>
        <w:t>Relief available to those in genuine hardship</w:t>
      </w:r>
    </w:p>
    <w:p w14:paraId="0DBB089A" w14:textId="77777777" w:rsidR="009F4B68" w:rsidRPr="00EE74E3" w:rsidRDefault="009F4B68" w:rsidP="000F67C8">
      <w:pPr>
        <w:widowControl w:val="0"/>
        <w:spacing w:before="40" w:line="276" w:lineRule="auto"/>
        <w:ind w:left="709" w:right="142"/>
        <w:jc w:val="both"/>
        <w:rPr>
          <w:rFonts w:ascii="Arial" w:hAnsi="Arial" w:cs="Arial"/>
          <w:sz w:val="20"/>
          <w:szCs w:val="20"/>
          <w:lang w:val="en-US" w:eastAsia="en-US"/>
        </w:rPr>
      </w:pPr>
      <w:r w:rsidRPr="00EE74E3">
        <w:rPr>
          <w:rFonts w:ascii="Arial" w:hAnsi="Arial" w:cs="Arial"/>
          <w:sz w:val="20"/>
          <w:szCs w:val="20"/>
          <w:lang w:val="en-US" w:eastAsia="en-US"/>
        </w:rPr>
        <w:t>Assistance to those ratepayers who can evidence genuine, long term hardship has been maintained at an average of seven hardship claims per annum since 2008/09. Of this, only 10 applications were received in 2010-11 despite the introduction of a special variation in July 2010 and only two applications were received for 2013-14 rates, despite the approval to continue the earlier variation on a permanent basis.</w:t>
      </w:r>
    </w:p>
    <w:p w14:paraId="5B45AA1A" w14:textId="77777777" w:rsidR="009F4B68" w:rsidRPr="00EE74E3" w:rsidRDefault="009F4B68" w:rsidP="000F67C8">
      <w:pPr>
        <w:widowControl w:val="0"/>
        <w:spacing w:before="40" w:line="276" w:lineRule="auto"/>
        <w:ind w:left="709" w:right="142"/>
        <w:jc w:val="both"/>
        <w:rPr>
          <w:rFonts w:ascii="Arial" w:hAnsi="Arial" w:cs="Arial"/>
          <w:sz w:val="20"/>
          <w:szCs w:val="20"/>
          <w:lang w:val="en-US"/>
        </w:rPr>
      </w:pPr>
    </w:p>
    <w:p w14:paraId="1A9B7D17" w14:textId="77777777" w:rsidR="009F4B68" w:rsidRPr="00EE74E3" w:rsidRDefault="009F4B68" w:rsidP="000F67C8">
      <w:pPr>
        <w:widowControl w:val="0"/>
        <w:spacing w:before="40" w:line="276" w:lineRule="auto"/>
        <w:ind w:left="709" w:right="142"/>
        <w:jc w:val="both"/>
        <w:rPr>
          <w:rFonts w:ascii="Arial" w:hAnsi="Arial" w:cs="Arial"/>
          <w:sz w:val="20"/>
          <w:szCs w:val="20"/>
          <w:lang w:val="en-US"/>
        </w:rPr>
      </w:pPr>
      <w:r w:rsidRPr="00EE74E3">
        <w:rPr>
          <w:rFonts w:ascii="Arial" w:hAnsi="Arial" w:cs="Arial"/>
          <w:sz w:val="20"/>
          <w:szCs w:val="20"/>
          <w:lang w:val="en-US"/>
        </w:rPr>
        <w:t>This data supports the view that only a small minority of ratepayers will have difficulty to manage the continuation of the existing rate variation in 2015/16 and the subsequent rate increases from 2016/17.</w:t>
      </w:r>
    </w:p>
    <w:p w14:paraId="5A1AA66F" w14:textId="77777777" w:rsidR="009F4B68" w:rsidRPr="00EE74E3" w:rsidRDefault="009F4B68" w:rsidP="000F67C8">
      <w:pPr>
        <w:widowControl w:val="0"/>
        <w:spacing w:before="40" w:line="276" w:lineRule="auto"/>
        <w:ind w:left="709" w:right="142"/>
        <w:jc w:val="both"/>
        <w:rPr>
          <w:rFonts w:ascii="Arial" w:hAnsi="Arial" w:cs="Arial"/>
          <w:sz w:val="20"/>
          <w:szCs w:val="20"/>
          <w:lang w:val="en-US" w:eastAsia="en-US"/>
        </w:rPr>
      </w:pPr>
    </w:p>
    <w:p w14:paraId="4B6FCA50" w14:textId="77777777" w:rsidR="009F4B68" w:rsidRPr="00EE74E3" w:rsidRDefault="009F4B68" w:rsidP="000F67C8">
      <w:pPr>
        <w:widowControl w:val="0"/>
        <w:spacing w:before="40" w:line="276" w:lineRule="auto"/>
        <w:ind w:left="709" w:right="142"/>
        <w:jc w:val="both"/>
        <w:rPr>
          <w:rFonts w:ascii="Arial" w:hAnsi="Arial" w:cs="Arial"/>
          <w:sz w:val="20"/>
          <w:szCs w:val="20"/>
          <w:lang w:val="en-US" w:eastAsia="en-US"/>
        </w:rPr>
      </w:pPr>
      <w:r w:rsidRPr="00EE74E3">
        <w:rPr>
          <w:rFonts w:ascii="Arial" w:hAnsi="Arial" w:cs="Arial"/>
          <w:sz w:val="20"/>
          <w:szCs w:val="20"/>
          <w:lang w:val="en-US" w:eastAsia="en-US"/>
        </w:rPr>
        <w:t>The low numbers of applications for hardship are considered a successful reflection that some cases of hardship are addressed through early intervention. This includes for example development of Care Plans involving the support of multiple agencies (e.g. Mental Health Team and Aged Care Assessment Team)  and development of affordable payment options, supported by the Council’s Aged and Disability Officer and the Revenue staff (as detailed below). The Council is committed to continuing this type of early and supported intervention, into the future and particularly in the context of a possible variation rate increase.</w:t>
      </w:r>
    </w:p>
    <w:p w14:paraId="1AB13EAC" w14:textId="77777777" w:rsidR="009F4B68" w:rsidRPr="00EE74E3" w:rsidRDefault="009F4B68" w:rsidP="000F67C8">
      <w:pPr>
        <w:spacing w:line="276" w:lineRule="auto"/>
        <w:rPr>
          <w:rFonts w:ascii="Arial" w:hAnsi="Arial" w:cs="Arial"/>
          <w:color w:val="000000"/>
          <w:sz w:val="20"/>
          <w:szCs w:val="20"/>
        </w:rPr>
      </w:pPr>
    </w:p>
    <w:p w14:paraId="1CBE1DA2" w14:textId="77777777" w:rsidR="009F4B68" w:rsidRPr="00EE74E3" w:rsidRDefault="009F4B68" w:rsidP="000F67C8">
      <w:pPr>
        <w:pStyle w:val="ListParagraph"/>
        <w:numPr>
          <w:ilvl w:val="0"/>
          <w:numId w:val="81"/>
        </w:numPr>
        <w:spacing w:line="276" w:lineRule="auto"/>
        <w:jc w:val="both"/>
        <w:rPr>
          <w:rFonts w:ascii="Arial" w:hAnsi="Arial" w:cs="Arial"/>
          <w:b/>
          <w:color w:val="000000" w:themeColor="text1"/>
          <w:sz w:val="20"/>
          <w:szCs w:val="20"/>
        </w:rPr>
      </w:pPr>
      <w:r w:rsidRPr="00EE74E3">
        <w:rPr>
          <w:rFonts w:ascii="Arial" w:hAnsi="Arial" w:cs="Arial"/>
          <w:b/>
          <w:color w:val="000000" w:themeColor="text1"/>
          <w:sz w:val="20"/>
          <w:szCs w:val="20"/>
        </w:rPr>
        <w:t>Planned Reduction to Domestic Waste Management Annual Charge</w:t>
      </w:r>
    </w:p>
    <w:p w14:paraId="44839ED3" w14:textId="77777777" w:rsidR="009F4B68" w:rsidRPr="00EE74E3" w:rsidRDefault="009F4B68" w:rsidP="000F67C8">
      <w:pPr>
        <w:spacing w:line="276" w:lineRule="auto"/>
        <w:ind w:left="709"/>
        <w:jc w:val="both"/>
        <w:rPr>
          <w:rFonts w:ascii="Arial" w:hAnsi="Arial" w:cs="Arial"/>
          <w:sz w:val="20"/>
          <w:szCs w:val="20"/>
        </w:rPr>
      </w:pPr>
      <w:r w:rsidRPr="00EE74E3">
        <w:rPr>
          <w:rFonts w:ascii="Arial" w:hAnsi="Arial" w:cs="Arial"/>
          <w:sz w:val="20"/>
          <w:szCs w:val="20"/>
        </w:rPr>
        <w:t>With the intent of continuing to give the community better value for money and efficiency, the Council has implemented a number of resource recovery and waste management initiatives including participation in a joint tender with seven other NetWaste councils for waste and recycling services.</w:t>
      </w:r>
    </w:p>
    <w:p w14:paraId="0870EFBB" w14:textId="77777777" w:rsidR="009F4B68" w:rsidRPr="00EE74E3" w:rsidRDefault="009F4B68" w:rsidP="000F67C8">
      <w:pPr>
        <w:spacing w:line="276" w:lineRule="auto"/>
        <w:jc w:val="both"/>
        <w:rPr>
          <w:rFonts w:ascii="Arial" w:hAnsi="Arial" w:cs="Arial"/>
          <w:sz w:val="20"/>
          <w:szCs w:val="20"/>
        </w:rPr>
      </w:pPr>
    </w:p>
    <w:p w14:paraId="6FA97BB3" w14:textId="602CADF3" w:rsidR="009F4B68" w:rsidRPr="00EE74E3" w:rsidRDefault="009F4B68" w:rsidP="000F67C8">
      <w:pPr>
        <w:spacing w:line="276" w:lineRule="auto"/>
        <w:ind w:left="709"/>
        <w:jc w:val="both"/>
        <w:rPr>
          <w:rFonts w:ascii="Arial" w:hAnsi="Arial" w:cs="Arial"/>
          <w:sz w:val="20"/>
          <w:szCs w:val="20"/>
        </w:rPr>
      </w:pPr>
      <w:r w:rsidRPr="00EE74E3">
        <w:rPr>
          <w:rFonts w:ascii="Arial" w:hAnsi="Arial" w:cs="Arial"/>
          <w:sz w:val="20"/>
          <w:szCs w:val="20"/>
        </w:rPr>
        <w:t>Through the joint NetWaste tender, significant savings will be achieved by changing from the current weekly 140 litre kerbside recycling service to a fortnightly 240 litre kerbside recycling service. Over the term of the contract (almost 10 years), this will achieve a total saving of almost $10M or $300 per household</w:t>
      </w:r>
      <w:r w:rsidR="009E727F">
        <w:rPr>
          <w:rFonts w:ascii="Arial" w:hAnsi="Arial" w:cs="Arial"/>
          <w:sz w:val="20"/>
          <w:szCs w:val="20"/>
        </w:rPr>
        <w:t>.</w:t>
      </w:r>
      <w:r w:rsidRPr="00EE74E3">
        <w:rPr>
          <w:rFonts w:ascii="Arial" w:hAnsi="Arial" w:cs="Arial"/>
          <w:sz w:val="20"/>
          <w:szCs w:val="20"/>
        </w:rPr>
        <w:t xml:space="preserve"> This in term will reduce the annual charge to residents for domestic waste by approximately $30 </w:t>
      </w:r>
      <w:r w:rsidR="009E727F">
        <w:rPr>
          <w:rFonts w:ascii="Arial" w:hAnsi="Arial" w:cs="Arial"/>
          <w:sz w:val="20"/>
          <w:szCs w:val="20"/>
        </w:rPr>
        <w:t>for each residential rate payer per annum commencing July 2</w:t>
      </w:r>
      <w:r w:rsidRPr="00EE74E3">
        <w:rPr>
          <w:rFonts w:ascii="Arial" w:hAnsi="Arial" w:cs="Arial"/>
          <w:sz w:val="20"/>
          <w:szCs w:val="20"/>
        </w:rPr>
        <w:t xml:space="preserve">016. </w:t>
      </w:r>
    </w:p>
    <w:p w14:paraId="53FB66A8" w14:textId="77777777" w:rsidR="009F4B68" w:rsidRPr="00EE74E3" w:rsidRDefault="009F4B68" w:rsidP="000F67C8">
      <w:pPr>
        <w:spacing w:line="276" w:lineRule="auto"/>
        <w:ind w:left="709"/>
        <w:jc w:val="both"/>
        <w:rPr>
          <w:rFonts w:ascii="Arial" w:hAnsi="Arial" w:cs="Arial"/>
          <w:sz w:val="20"/>
          <w:szCs w:val="20"/>
        </w:rPr>
      </w:pPr>
      <w:r w:rsidRPr="00EE74E3">
        <w:rPr>
          <w:rFonts w:ascii="Arial" w:hAnsi="Arial" w:cs="Arial"/>
          <w:sz w:val="20"/>
          <w:szCs w:val="20"/>
        </w:rPr>
        <w:t xml:space="preserve"> </w:t>
      </w:r>
    </w:p>
    <w:p w14:paraId="6E9E12C5" w14:textId="6CEC53DA" w:rsidR="009F4B68" w:rsidRPr="00EE74E3" w:rsidRDefault="009F4B68" w:rsidP="000F67C8">
      <w:pPr>
        <w:spacing w:line="276" w:lineRule="auto"/>
        <w:ind w:left="709"/>
        <w:jc w:val="both"/>
        <w:rPr>
          <w:rFonts w:ascii="Arial" w:hAnsi="Arial" w:cs="Arial"/>
          <w:sz w:val="20"/>
          <w:szCs w:val="20"/>
        </w:rPr>
      </w:pPr>
      <w:r w:rsidRPr="00EE74E3">
        <w:rPr>
          <w:rFonts w:ascii="Arial" w:hAnsi="Arial" w:cs="Arial"/>
          <w:sz w:val="20"/>
          <w:szCs w:val="20"/>
        </w:rPr>
        <w:t xml:space="preserve">Further, from 1 July 2015, following business case assessment, the Council </w:t>
      </w:r>
      <w:r w:rsidR="009E727F">
        <w:rPr>
          <w:rFonts w:ascii="Arial" w:hAnsi="Arial" w:cs="Arial"/>
          <w:sz w:val="20"/>
          <w:szCs w:val="20"/>
        </w:rPr>
        <w:t xml:space="preserve">has resolved to </w:t>
      </w:r>
      <w:r w:rsidRPr="00EE74E3">
        <w:rPr>
          <w:rFonts w:ascii="Arial" w:hAnsi="Arial" w:cs="Arial"/>
          <w:sz w:val="20"/>
          <w:szCs w:val="20"/>
        </w:rPr>
        <w:t xml:space="preserve">bring management of the Blaxland Resource Recovery and Waste Management Facility in-house. This will allow for greater efficiencies and greater flexibility going forward with energy technologies for resource recovery and waste management. This will also result in ongoing operating savings of which approximately 50% will contribute to further reductions in the Domestic Waste Annual Charge. </w:t>
      </w:r>
    </w:p>
    <w:p w14:paraId="4143044E" w14:textId="77777777" w:rsidR="009F4B68" w:rsidRPr="00EE74E3" w:rsidRDefault="009F4B68" w:rsidP="000F67C8">
      <w:pPr>
        <w:spacing w:line="276" w:lineRule="auto"/>
        <w:jc w:val="both"/>
        <w:rPr>
          <w:rFonts w:ascii="Arial" w:hAnsi="Arial" w:cs="Arial"/>
          <w:sz w:val="20"/>
          <w:szCs w:val="20"/>
        </w:rPr>
      </w:pPr>
    </w:p>
    <w:p w14:paraId="4308FE06" w14:textId="77777777" w:rsidR="009F4B68" w:rsidRDefault="009F4B68" w:rsidP="000F67C8">
      <w:pPr>
        <w:spacing w:line="276" w:lineRule="auto"/>
        <w:ind w:left="709"/>
        <w:jc w:val="both"/>
        <w:rPr>
          <w:rFonts w:ascii="Arial" w:hAnsi="Arial" w:cs="Arial"/>
          <w:sz w:val="20"/>
          <w:szCs w:val="20"/>
        </w:rPr>
      </w:pPr>
      <w:r w:rsidRPr="00EE74E3">
        <w:rPr>
          <w:rFonts w:ascii="Arial" w:hAnsi="Arial" w:cs="Arial"/>
          <w:sz w:val="20"/>
          <w:szCs w:val="20"/>
        </w:rPr>
        <w:t>These Council initiatives will therefore have a favourable impact on the affordability of the proposed special variation increase and the community’s capacity to pay additional rates due to decreasing annual charges.</w:t>
      </w:r>
    </w:p>
    <w:p w14:paraId="7353C9DB" w14:textId="4159D4DF" w:rsidR="00EB27AC" w:rsidRDefault="00EB27AC">
      <w:pPr>
        <w:rPr>
          <w:rFonts w:ascii="Arial" w:hAnsi="Arial" w:cs="Arial"/>
          <w:b/>
          <w:sz w:val="20"/>
          <w:szCs w:val="20"/>
        </w:rPr>
      </w:pPr>
    </w:p>
    <w:p w14:paraId="4391836D" w14:textId="73E6ABA5" w:rsidR="009F4B68" w:rsidRPr="00E24957" w:rsidRDefault="009F4B68" w:rsidP="000F67C8">
      <w:pPr>
        <w:autoSpaceDE w:val="0"/>
        <w:autoSpaceDN w:val="0"/>
        <w:adjustRightInd w:val="0"/>
        <w:spacing w:line="276" w:lineRule="auto"/>
        <w:rPr>
          <w:rFonts w:ascii="Arial" w:hAnsi="Arial" w:cs="Arial"/>
          <w:b/>
          <w:sz w:val="20"/>
          <w:szCs w:val="20"/>
        </w:rPr>
      </w:pPr>
      <w:r w:rsidRPr="00E24957">
        <w:rPr>
          <w:rFonts w:ascii="Arial" w:hAnsi="Arial" w:cs="Arial"/>
          <w:b/>
          <w:sz w:val="20"/>
          <w:szCs w:val="20"/>
        </w:rPr>
        <w:t>Summary</w:t>
      </w:r>
    </w:p>
    <w:p w14:paraId="406BBA13" w14:textId="01866DA2" w:rsidR="009F4B68" w:rsidRDefault="009F4B68" w:rsidP="000F67C8">
      <w:pPr>
        <w:spacing w:line="276" w:lineRule="auto"/>
        <w:jc w:val="both"/>
        <w:rPr>
          <w:rFonts w:ascii="Arial" w:hAnsi="Arial" w:cs="Arial"/>
          <w:sz w:val="20"/>
          <w:szCs w:val="20"/>
        </w:rPr>
      </w:pPr>
      <w:r>
        <w:rPr>
          <w:rFonts w:ascii="Arial" w:hAnsi="Arial" w:cs="Arial"/>
          <w:sz w:val="20"/>
          <w:szCs w:val="20"/>
        </w:rPr>
        <w:t xml:space="preserve">This </w:t>
      </w:r>
      <w:r w:rsidR="009E727F">
        <w:rPr>
          <w:rFonts w:ascii="Arial" w:hAnsi="Arial" w:cs="Arial"/>
          <w:sz w:val="20"/>
          <w:szCs w:val="20"/>
        </w:rPr>
        <w:t xml:space="preserve">Section </w:t>
      </w:r>
      <w:r>
        <w:rPr>
          <w:rFonts w:ascii="Arial" w:hAnsi="Arial" w:cs="Arial"/>
          <w:sz w:val="20"/>
          <w:szCs w:val="20"/>
        </w:rPr>
        <w:t>concludes that Blue Mountains ratepayers have the capacity to pay higher rates based on the following rationale:</w:t>
      </w:r>
    </w:p>
    <w:p w14:paraId="0D196AC2" w14:textId="77777777" w:rsidR="009F4B68" w:rsidRDefault="009F4B68" w:rsidP="000F67C8">
      <w:pPr>
        <w:spacing w:line="276" w:lineRule="auto"/>
        <w:jc w:val="both"/>
        <w:rPr>
          <w:rFonts w:ascii="Arial" w:hAnsi="Arial" w:cs="Arial"/>
          <w:sz w:val="20"/>
          <w:szCs w:val="20"/>
        </w:rPr>
      </w:pPr>
    </w:p>
    <w:p w14:paraId="2621CADB" w14:textId="69B579C3" w:rsidR="009F4B68" w:rsidRPr="00EB27AC" w:rsidRDefault="009F4B68" w:rsidP="000F67C8">
      <w:pPr>
        <w:spacing w:line="276" w:lineRule="auto"/>
        <w:jc w:val="both"/>
        <w:rPr>
          <w:rFonts w:ascii="Arial" w:hAnsi="Arial" w:cs="Arial"/>
          <w:b/>
          <w:sz w:val="18"/>
          <w:szCs w:val="18"/>
        </w:rPr>
      </w:pPr>
      <w:r w:rsidRPr="00EB27AC">
        <w:rPr>
          <w:rFonts w:ascii="Arial" w:hAnsi="Arial" w:cs="Arial"/>
          <w:b/>
          <w:sz w:val="18"/>
          <w:szCs w:val="18"/>
        </w:rPr>
        <w:t>Table 5.5</w:t>
      </w:r>
      <w:r w:rsidR="00EB27AC">
        <w:rPr>
          <w:rFonts w:ascii="Arial" w:hAnsi="Arial" w:cs="Arial"/>
          <w:b/>
          <w:sz w:val="18"/>
          <w:szCs w:val="18"/>
        </w:rPr>
        <w:t>:</w:t>
      </w:r>
      <w:r w:rsidRPr="00EB27AC">
        <w:rPr>
          <w:rFonts w:ascii="Arial" w:hAnsi="Arial" w:cs="Arial"/>
          <w:b/>
          <w:sz w:val="18"/>
          <w:szCs w:val="18"/>
        </w:rPr>
        <w:t xml:space="preserve"> Evidence of Capacity </w:t>
      </w:r>
      <w:r w:rsidR="009E727F">
        <w:rPr>
          <w:rFonts w:ascii="Arial" w:hAnsi="Arial" w:cs="Arial"/>
          <w:b/>
          <w:sz w:val="18"/>
          <w:szCs w:val="18"/>
        </w:rPr>
        <w:t xml:space="preserve">of Blue Mountains Ratepayers </w:t>
      </w:r>
      <w:r w:rsidRPr="00EB27AC">
        <w:rPr>
          <w:rFonts w:ascii="Arial" w:hAnsi="Arial" w:cs="Arial"/>
          <w:b/>
          <w:sz w:val="18"/>
          <w:szCs w:val="18"/>
        </w:rPr>
        <w:t>to Pay</w:t>
      </w:r>
    </w:p>
    <w:tbl>
      <w:tblPr>
        <w:tblStyle w:val="TableGrid"/>
        <w:tblW w:w="0" w:type="auto"/>
        <w:tblLook w:val="04A0" w:firstRow="1" w:lastRow="0" w:firstColumn="1" w:lastColumn="0" w:noHBand="0" w:noVBand="1"/>
      </w:tblPr>
      <w:tblGrid>
        <w:gridCol w:w="577"/>
        <w:gridCol w:w="2665"/>
        <w:gridCol w:w="2665"/>
        <w:gridCol w:w="2665"/>
      </w:tblGrid>
      <w:tr w:rsidR="009F4B68" w:rsidRPr="00EB27AC" w14:paraId="2BE99048" w14:textId="77777777" w:rsidTr="009E727F">
        <w:trPr>
          <w:trHeight w:val="1586"/>
        </w:trPr>
        <w:tc>
          <w:tcPr>
            <w:tcW w:w="577" w:type="dxa"/>
            <w:vMerge w:val="restart"/>
            <w:shd w:val="clear" w:color="auto" w:fill="4F81BD" w:themeFill="accent1"/>
            <w:textDirection w:val="btLr"/>
          </w:tcPr>
          <w:p w14:paraId="796FEA54" w14:textId="77777777" w:rsidR="009F4B68" w:rsidRPr="00EB27AC" w:rsidRDefault="009F4B68" w:rsidP="000F67C8">
            <w:pPr>
              <w:spacing w:line="276" w:lineRule="auto"/>
              <w:ind w:left="113" w:right="113"/>
              <w:jc w:val="center"/>
              <w:rPr>
                <w:rFonts w:ascii="Arial" w:hAnsi="Arial" w:cs="Arial"/>
                <w:b/>
                <w:sz w:val="18"/>
                <w:szCs w:val="18"/>
              </w:rPr>
            </w:pPr>
            <w:r w:rsidRPr="00EB27AC">
              <w:rPr>
                <w:rFonts w:ascii="Arial" w:hAnsi="Arial" w:cs="Arial"/>
                <w:b/>
                <w:color w:val="FFFFFF" w:themeColor="background1"/>
                <w:sz w:val="18"/>
                <w:szCs w:val="18"/>
              </w:rPr>
              <w:t>EVIDENCE OF CAPACITY TO PAY</w:t>
            </w:r>
          </w:p>
        </w:tc>
        <w:tc>
          <w:tcPr>
            <w:tcW w:w="2665" w:type="dxa"/>
          </w:tcPr>
          <w:p w14:paraId="379666AC" w14:textId="77777777" w:rsidR="009E727F" w:rsidRDefault="009E727F" w:rsidP="009E727F">
            <w:pPr>
              <w:spacing w:line="276" w:lineRule="auto"/>
              <w:rPr>
                <w:rFonts w:ascii="Arial" w:hAnsi="Arial" w:cs="Arial"/>
                <w:sz w:val="18"/>
                <w:szCs w:val="18"/>
              </w:rPr>
            </w:pPr>
          </w:p>
          <w:p w14:paraId="557D9040" w14:textId="77777777" w:rsidR="009F4B68" w:rsidRPr="009E727F" w:rsidRDefault="009F4B68" w:rsidP="009E727F">
            <w:pPr>
              <w:spacing w:line="276" w:lineRule="auto"/>
              <w:rPr>
                <w:rFonts w:ascii="Arial" w:hAnsi="Arial" w:cs="Arial"/>
                <w:sz w:val="18"/>
                <w:szCs w:val="18"/>
              </w:rPr>
            </w:pPr>
            <w:r w:rsidRPr="009E727F">
              <w:rPr>
                <w:rFonts w:ascii="Arial" w:hAnsi="Arial" w:cs="Arial"/>
                <w:sz w:val="18"/>
                <w:szCs w:val="18"/>
              </w:rPr>
              <w:t>SEIFA ranking is among the top 20% of least disadvantaged LGAs</w:t>
            </w:r>
          </w:p>
        </w:tc>
        <w:tc>
          <w:tcPr>
            <w:tcW w:w="2665" w:type="dxa"/>
          </w:tcPr>
          <w:p w14:paraId="1FEDAEA0" w14:textId="77777777" w:rsidR="009E727F" w:rsidRDefault="009E727F" w:rsidP="009E727F">
            <w:pPr>
              <w:spacing w:line="276" w:lineRule="auto"/>
              <w:rPr>
                <w:rFonts w:ascii="Arial" w:hAnsi="Arial" w:cs="Arial"/>
                <w:sz w:val="18"/>
                <w:szCs w:val="18"/>
              </w:rPr>
            </w:pPr>
          </w:p>
          <w:p w14:paraId="4D13CB21" w14:textId="77777777" w:rsidR="009F4B68" w:rsidRPr="009E727F" w:rsidRDefault="009F4B68" w:rsidP="009E727F">
            <w:pPr>
              <w:spacing w:line="276" w:lineRule="auto"/>
              <w:rPr>
                <w:rFonts w:ascii="Arial" w:hAnsi="Arial" w:cs="Arial"/>
                <w:sz w:val="18"/>
                <w:szCs w:val="18"/>
              </w:rPr>
            </w:pPr>
            <w:r w:rsidRPr="009E727F">
              <w:rPr>
                <w:rFonts w:ascii="Arial" w:hAnsi="Arial" w:cs="Arial"/>
                <w:sz w:val="18"/>
                <w:szCs w:val="18"/>
              </w:rPr>
              <w:t>Lower unemployment rate (4.9%) compared to NSW average (5.9%) and Sydney (5.7%)</w:t>
            </w:r>
          </w:p>
        </w:tc>
        <w:tc>
          <w:tcPr>
            <w:tcW w:w="2665" w:type="dxa"/>
          </w:tcPr>
          <w:p w14:paraId="7C50F74E" w14:textId="77777777" w:rsidR="009E727F" w:rsidRDefault="009E727F" w:rsidP="009E727F">
            <w:pPr>
              <w:spacing w:line="276" w:lineRule="auto"/>
              <w:rPr>
                <w:rFonts w:ascii="Arial" w:hAnsi="Arial" w:cs="Arial"/>
                <w:sz w:val="18"/>
                <w:szCs w:val="18"/>
              </w:rPr>
            </w:pPr>
          </w:p>
          <w:p w14:paraId="0B648FB4" w14:textId="5F761ABD" w:rsidR="009F4B68" w:rsidRPr="009E727F" w:rsidRDefault="009F4B68" w:rsidP="009E727F">
            <w:pPr>
              <w:spacing w:line="276" w:lineRule="auto"/>
              <w:rPr>
                <w:rFonts w:ascii="Arial" w:hAnsi="Arial" w:cs="Arial"/>
                <w:sz w:val="18"/>
                <w:szCs w:val="18"/>
              </w:rPr>
            </w:pPr>
            <w:r w:rsidRPr="009E727F">
              <w:rPr>
                <w:rFonts w:ascii="Arial" w:hAnsi="Arial" w:cs="Arial"/>
                <w:sz w:val="18"/>
                <w:szCs w:val="18"/>
              </w:rPr>
              <w:t>Outstanding rate recovery and financial hardship levels are very low</w:t>
            </w:r>
            <w:r w:rsidR="001B7713">
              <w:rPr>
                <w:rFonts w:ascii="Arial" w:hAnsi="Arial" w:cs="Arial"/>
                <w:sz w:val="18"/>
                <w:szCs w:val="18"/>
              </w:rPr>
              <w:t xml:space="preserve"> and Council is very proactive in providing a range of support mechanisms for financially challenged ratepayers (see </w:t>
            </w:r>
            <w:r w:rsidR="001B7713" w:rsidRPr="001B7713">
              <w:rPr>
                <w:rFonts w:ascii="Arial" w:hAnsi="Arial" w:cs="Arial"/>
                <w:b/>
                <w:sz w:val="18"/>
                <w:szCs w:val="18"/>
              </w:rPr>
              <w:t>Section 5.3</w:t>
            </w:r>
            <w:r w:rsidR="001B7713">
              <w:rPr>
                <w:rFonts w:ascii="Arial" w:hAnsi="Arial" w:cs="Arial"/>
                <w:sz w:val="18"/>
                <w:szCs w:val="18"/>
              </w:rPr>
              <w:t xml:space="preserve"> below)</w:t>
            </w:r>
          </w:p>
        </w:tc>
      </w:tr>
      <w:tr w:rsidR="009F4B68" w:rsidRPr="00EB27AC" w14:paraId="49D9A0FD" w14:textId="77777777" w:rsidTr="009E727F">
        <w:trPr>
          <w:trHeight w:val="1269"/>
        </w:trPr>
        <w:tc>
          <w:tcPr>
            <w:tcW w:w="577" w:type="dxa"/>
            <w:vMerge/>
            <w:shd w:val="clear" w:color="auto" w:fill="4F81BD" w:themeFill="accent1"/>
          </w:tcPr>
          <w:p w14:paraId="3A50F439" w14:textId="77777777" w:rsidR="009F4B68" w:rsidRPr="00EB27AC" w:rsidRDefault="009F4B68" w:rsidP="000F67C8">
            <w:pPr>
              <w:spacing w:line="276" w:lineRule="auto"/>
              <w:jc w:val="both"/>
              <w:rPr>
                <w:rFonts w:ascii="Arial" w:hAnsi="Arial" w:cs="Arial"/>
                <w:sz w:val="18"/>
                <w:szCs w:val="18"/>
              </w:rPr>
            </w:pPr>
          </w:p>
        </w:tc>
        <w:tc>
          <w:tcPr>
            <w:tcW w:w="2665" w:type="dxa"/>
          </w:tcPr>
          <w:p w14:paraId="492C5A9B" w14:textId="77777777" w:rsidR="009E727F" w:rsidRDefault="009E727F" w:rsidP="009E727F">
            <w:pPr>
              <w:spacing w:line="276" w:lineRule="auto"/>
              <w:rPr>
                <w:rFonts w:ascii="Arial" w:hAnsi="Arial" w:cs="Arial"/>
                <w:sz w:val="18"/>
                <w:szCs w:val="18"/>
              </w:rPr>
            </w:pPr>
          </w:p>
          <w:p w14:paraId="4EB5EEEC" w14:textId="77777777" w:rsidR="009F4B68" w:rsidRPr="009E727F" w:rsidRDefault="009F4B68" w:rsidP="009E727F">
            <w:pPr>
              <w:spacing w:line="276" w:lineRule="auto"/>
              <w:rPr>
                <w:rFonts w:ascii="Arial" w:hAnsi="Arial" w:cs="Arial"/>
                <w:sz w:val="18"/>
                <w:szCs w:val="18"/>
              </w:rPr>
            </w:pPr>
            <w:r w:rsidRPr="009E727F">
              <w:rPr>
                <w:rFonts w:ascii="Arial" w:hAnsi="Arial" w:cs="Arial"/>
                <w:sz w:val="18"/>
                <w:szCs w:val="18"/>
              </w:rPr>
              <w:t>Mortgage stress is equivalent to NSW average (10.5%) but much lower than other Sydney (12%)</w:t>
            </w:r>
          </w:p>
        </w:tc>
        <w:tc>
          <w:tcPr>
            <w:tcW w:w="2665" w:type="dxa"/>
          </w:tcPr>
          <w:p w14:paraId="459CBC1B" w14:textId="77777777" w:rsidR="009E727F" w:rsidRDefault="009E727F" w:rsidP="009E727F">
            <w:pPr>
              <w:spacing w:line="276" w:lineRule="auto"/>
              <w:rPr>
                <w:rFonts w:ascii="Arial" w:hAnsi="Arial" w:cs="Arial"/>
                <w:sz w:val="18"/>
                <w:szCs w:val="18"/>
              </w:rPr>
            </w:pPr>
          </w:p>
          <w:p w14:paraId="349BA0C3" w14:textId="77777777" w:rsidR="009F4B68" w:rsidRPr="009E727F" w:rsidRDefault="009F4B68" w:rsidP="009E727F">
            <w:pPr>
              <w:spacing w:line="276" w:lineRule="auto"/>
              <w:rPr>
                <w:rFonts w:ascii="Arial" w:hAnsi="Arial" w:cs="Arial"/>
                <w:sz w:val="18"/>
                <w:szCs w:val="18"/>
              </w:rPr>
            </w:pPr>
            <w:r w:rsidRPr="009E727F">
              <w:rPr>
                <w:rFonts w:ascii="Arial" w:hAnsi="Arial" w:cs="Arial"/>
                <w:sz w:val="18"/>
                <w:szCs w:val="18"/>
              </w:rPr>
              <w:t>Low rental stress (8.4%) compared to NSW average (11.6%) and Sydney (12.6%)</w:t>
            </w:r>
          </w:p>
        </w:tc>
        <w:tc>
          <w:tcPr>
            <w:tcW w:w="2665" w:type="dxa"/>
          </w:tcPr>
          <w:p w14:paraId="28E942CF" w14:textId="77777777" w:rsidR="009E727F" w:rsidRDefault="009E727F" w:rsidP="009E727F">
            <w:pPr>
              <w:spacing w:line="276" w:lineRule="auto"/>
              <w:rPr>
                <w:rFonts w:ascii="Arial" w:hAnsi="Arial" w:cs="Arial"/>
                <w:sz w:val="18"/>
                <w:szCs w:val="18"/>
              </w:rPr>
            </w:pPr>
          </w:p>
          <w:p w14:paraId="51732830" w14:textId="77777777" w:rsidR="009F4B68" w:rsidRPr="009E727F" w:rsidRDefault="009F4B68" w:rsidP="009E727F">
            <w:pPr>
              <w:spacing w:line="276" w:lineRule="auto"/>
              <w:rPr>
                <w:rFonts w:ascii="Arial" w:hAnsi="Arial" w:cs="Arial"/>
                <w:sz w:val="18"/>
                <w:szCs w:val="18"/>
              </w:rPr>
            </w:pPr>
            <w:r w:rsidRPr="009E727F">
              <w:rPr>
                <w:rFonts w:ascii="Arial" w:hAnsi="Arial" w:cs="Arial"/>
                <w:sz w:val="18"/>
                <w:szCs w:val="18"/>
              </w:rPr>
              <w:t>Blue Mountains has greater home ownership (37.4%) than NSW average (33.2%) and Sydney (30.4%)</w:t>
            </w:r>
          </w:p>
        </w:tc>
      </w:tr>
      <w:tr w:rsidR="009F4B68" w:rsidRPr="00EB27AC" w14:paraId="664D459D" w14:textId="77777777" w:rsidTr="009E727F">
        <w:trPr>
          <w:trHeight w:val="1851"/>
        </w:trPr>
        <w:tc>
          <w:tcPr>
            <w:tcW w:w="577" w:type="dxa"/>
            <w:vMerge/>
            <w:shd w:val="clear" w:color="auto" w:fill="4F81BD" w:themeFill="accent1"/>
          </w:tcPr>
          <w:p w14:paraId="3D01E4CC" w14:textId="77777777" w:rsidR="009F4B68" w:rsidRPr="00EB27AC" w:rsidRDefault="009F4B68" w:rsidP="000F67C8">
            <w:pPr>
              <w:spacing w:line="276" w:lineRule="auto"/>
              <w:jc w:val="both"/>
              <w:rPr>
                <w:rFonts w:ascii="Arial" w:hAnsi="Arial" w:cs="Arial"/>
                <w:sz w:val="18"/>
                <w:szCs w:val="18"/>
              </w:rPr>
            </w:pPr>
          </w:p>
        </w:tc>
        <w:tc>
          <w:tcPr>
            <w:tcW w:w="2665" w:type="dxa"/>
          </w:tcPr>
          <w:p w14:paraId="5F5048B8" w14:textId="77777777" w:rsidR="009E727F" w:rsidRDefault="009E727F" w:rsidP="009E727F">
            <w:pPr>
              <w:spacing w:line="276" w:lineRule="auto"/>
              <w:rPr>
                <w:rFonts w:ascii="Arial" w:hAnsi="Arial" w:cs="Arial"/>
                <w:sz w:val="18"/>
                <w:szCs w:val="18"/>
              </w:rPr>
            </w:pPr>
          </w:p>
          <w:p w14:paraId="0CB34C9D" w14:textId="4FBDA4D4" w:rsidR="009F4B68" w:rsidRPr="009E727F" w:rsidRDefault="009F4B68" w:rsidP="009E727F">
            <w:pPr>
              <w:spacing w:line="276" w:lineRule="auto"/>
              <w:rPr>
                <w:rFonts w:ascii="Arial" w:hAnsi="Arial" w:cs="Arial"/>
                <w:sz w:val="18"/>
                <w:szCs w:val="18"/>
              </w:rPr>
            </w:pPr>
            <w:r w:rsidRPr="009E727F">
              <w:rPr>
                <w:rFonts w:ascii="Arial" w:hAnsi="Arial" w:cs="Arial"/>
                <w:sz w:val="18"/>
                <w:szCs w:val="18"/>
              </w:rPr>
              <w:t xml:space="preserve">Rating reform has provided a </w:t>
            </w:r>
            <w:r w:rsidR="009E727F">
              <w:rPr>
                <w:rFonts w:ascii="Arial" w:hAnsi="Arial" w:cs="Arial"/>
                <w:sz w:val="18"/>
                <w:szCs w:val="18"/>
              </w:rPr>
              <w:t xml:space="preserve">significantly </w:t>
            </w:r>
            <w:r w:rsidRPr="009E727F">
              <w:rPr>
                <w:rFonts w:ascii="Arial" w:hAnsi="Arial" w:cs="Arial"/>
                <w:sz w:val="18"/>
                <w:szCs w:val="18"/>
              </w:rPr>
              <w:t>fairer rating system</w:t>
            </w:r>
            <w:r w:rsidR="009E727F">
              <w:rPr>
                <w:rFonts w:ascii="Arial" w:hAnsi="Arial" w:cs="Arial"/>
                <w:sz w:val="18"/>
                <w:szCs w:val="18"/>
              </w:rPr>
              <w:t xml:space="preserve"> including lower minimums for residential lower value properties</w:t>
            </w:r>
          </w:p>
        </w:tc>
        <w:tc>
          <w:tcPr>
            <w:tcW w:w="2665" w:type="dxa"/>
          </w:tcPr>
          <w:p w14:paraId="3969296A" w14:textId="77777777" w:rsidR="009E727F" w:rsidRDefault="009E727F" w:rsidP="009E727F">
            <w:pPr>
              <w:spacing w:line="276" w:lineRule="auto"/>
              <w:rPr>
                <w:rFonts w:ascii="Arial" w:hAnsi="Arial" w:cs="Arial"/>
                <w:sz w:val="18"/>
                <w:szCs w:val="18"/>
              </w:rPr>
            </w:pPr>
          </w:p>
          <w:p w14:paraId="558EE918" w14:textId="77777777" w:rsidR="009F4B68" w:rsidRPr="009E727F" w:rsidRDefault="009F4B68" w:rsidP="009E727F">
            <w:pPr>
              <w:spacing w:line="276" w:lineRule="auto"/>
              <w:rPr>
                <w:rFonts w:ascii="Arial" w:hAnsi="Arial" w:cs="Arial"/>
                <w:sz w:val="18"/>
                <w:szCs w:val="18"/>
              </w:rPr>
            </w:pPr>
            <w:r w:rsidRPr="009E727F">
              <w:rPr>
                <w:rFonts w:ascii="Arial" w:hAnsi="Arial" w:cs="Arial"/>
                <w:sz w:val="18"/>
                <w:szCs w:val="18"/>
              </w:rPr>
              <w:t>Weekly household income ($1,270) is above NSW average</w:t>
            </w:r>
          </w:p>
        </w:tc>
        <w:tc>
          <w:tcPr>
            <w:tcW w:w="2665" w:type="dxa"/>
          </w:tcPr>
          <w:p w14:paraId="12669D87" w14:textId="77777777" w:rsidR="009E727F" w:rsidRDefault="009E727F" w:rsidP="009E727F">
            <w:pPr>
              <w:spacing w:line="276" w:lineRule="auto"/>
              <w:rPr>
                <w:rFonts w:ascii="Arial" w:hAnsi="Arial" w:cs="Arial"/>
                <w:sz w:val="18"/>
                <w:szCs w:val="18"/>
              </w:rPr>
            </w:pPr>
          </w:p>
          <w:p w14:paraId="66911130" w14:textId="77777777" w:rsidR="009F4B68" w:rsidRPr="009E727F" w:rsidRDefault="009F4B68" w:rsidP="009E727F">
            <w:pPr>
              <w:spacing w:line="276" w:lineRule="auto"/>
              <w:rPr>
                <w:rFonts w:ascii="Arial" w:hAnsi="Arial" w:cs="Arial"/>
                <w:sz w:val="18"/>
                <w:szCs w:val="18"/>
              </w:rPr>
            </w:pPr>
            <w:r w:rsidRPr="009E727F">
              <w:rPr>
                <w:rFonts w:ascii="Arial" w:hAnsi="Arial" w:cs="Arial"/>
                <w:sz w:val="18"/>
                <w:szCs w:val="18"/>
              </w:rPr>
              <w:t>Residential rates ($1,272) are on par with many councils, lower than Camden ($1,291) and Wollondilly ($1,376) but higher than Hawkesbury ($1,073)</w:t>
            </w:r>
          </w:p>
        </w:tc>
      </w:tr>
    </w:tbl>
    <w:p w14:paraId="3D747672" w14:textId="77777777" w:rsidR="009F4B68" w:rsidRPr="00E66B92" w:rsidRDefault="009F4B68" w:rsidP="009F4B68">
      <w:pPr>
        <w:pStyle w:val="Heading2"/>
      </w:pPr>
      <w:bookmarkStart w:id="97" w:name="_Toc412798927"/>
      <w:r>
        <w:t>A</w:t>
      </w:r>
      <w:r w:rsidRPr="00E66B92">
        <w:t>ddressing hardship</w:t>
      </w:r>
      <w:bookmarkEnd w:id="97"/>
    </w:p>
    <w:p w14:paraId="37F0C829" w14:textId="77777777" w:rsidR="009F4B68" w:rsidRPr="00E66B92" w:rsidRDefault="009F4B68" w:rsidP="009F4B68">
      <w:pPr>
        <w:spacing w:before="240" w:line="280" w:lineRule="atLeast"/>
        <w:jc w:val="both"/>
        <w:rPr>
          <w:szCs w:val="21"/>
        </w:rPr>
      </w:pPr>
      <w:r w:rsidRPr="00E66B92">
        <w:rPr>
          <w:color w:val="548DD4" w:themeColor="text2" w:themeTint="99"/>
          <w:szCs w:val="21"/>
        </w:rPr>
        <w:t>In addition to the statutory requirement for pensioner rebates, most councils have a policy, formal or otherwise to address issues of hardship.</w:t>
      </w:r>
    </w:p>
    <w:p w14:paraId="2B3B9115" w14:textId="77777777" w:rsidR="009F4B68" w:rsidRPr="00E66B92" w:rsidRDefault="009F4B68" w:rsidP="009F4B68">
      <w:pPr>
        <w:keepNext/>
        <w:spacing w:line="360" w:lineRule="auto"/>
        <w:jc w:val="both"/>
        <w:rPr>
          <w:szCs w:val="21"/>
        </w:rPr>
      </w:pPr>
    </w:p>
    <w:tbl>
      <w:tblPr>
        <w:tblW w:w="0" w:type="auto"/>
        <w:tblLook w:val="01E0" w:firstRow="1" w:lastRow="1" w:firstColumn="1" w:lastColumn="1" w:noHBand="0" w:noVBand="0"/>
      </w:tblPr>
      <w:tblGrid>
        <w:gridCol w:w="6487"/>
        <w:gridCol w:w="851"/>
        <w:gridCol w:w="816"/>
      </w:tblGrid>
      <w:tr w:rsidR="009F4B68" w:rsidRPr="00E66B92" w14:paraId="4609F08B" w14:textId="77777777" w:rsidTr="00ED6D3D">
        <w:tc>
          <w:tcPr>
            <w:tcW w:w="6487" w:type="dxa"/>
            <w:hideMark/>
          </w:tcPr>
          <w:p w14:paraId="27399159" w14:textId="77777777" w:rsidR="009F4B68" w:rsidRPr="00E66B92" w:rsidRDefault="009F4B68" w:rsidP="00ED6D3D">
            <w:pPr>
              <w:keepLines/>
              <w:spacing w:before="40" w:after="40" w:line="360" w:lineRule="auto"/>
              <w:rPr>
                <w:rFonts w:ascii="Arial" w:hAnsi="Arial"/>
                <w:sz w:val="19"/>
                <w:szCs w:val="19"/>
                <w:lang w:eastAsia="en-US"/>
              </w:rPr>
            </w:pPr>
            <w:r w:rsidRPr="00E66B92">
              <w:rPr>
                <w:rFonts w:ascii="Arial" w:hAnsi="Arial"/>
                <w:sz w:val="19"/>
                <w:szCs w:val="19"/>
                <w:lang w:eastAsia="en-US"/>
              </w:rPr>
              <w:t>Does the council have a Hardship Policy?</w:t>
            </w:r>
          </w:p>
        </w:tc>
        <w:tc>
          <w:tcPr>
            <w:tcW w:w="851" w:type="dxa"/>
            <w:hideMark/>
          </w:tcPr>
          <w:p w14:paraId="6689B814" w14:textId="77777777" w:rsidR="009F4B68" w:rsidRPr="00E66B92" w:rsidRDefault="009F4B68" w:rsidP="00ED6D3D">
            <w:pPr>
              <w:keepLines/>
              <w:spacing w:before="40" w:after="40" w:line="360" w:lineRule="auto"/>
              <w:rPr>
                <w:rFonts w:ascii="Arial" w:hAnsi="Arial" w:cs="Arial"/>
                <w:sz w:val="19"/>
                <w:szCs w:val="19"/>
                <w:lang w:eastAsia="en-US"/>
              </w:rPr>
            </w:pPr>
            <w:r w:rsidRPr="00E66B92">
              <w:rPr>
                <w:rFonts w:cs="Arial"/>
                <w:noProof/>
                <w:szCs w:val="21"/>
              </w:rPr>
              <w:drawing>
                <wp:anchor distT="0" distB="0" distL="114300" distR="114300" simplePos="0" relativeHeight="251878400" behindDoc="1" locked="0" layoutInCell="1" allowOverlap="1" wp14:anchorId="4711708C" wp14:editId="0317835B">
                  <wp:simplePos x="0" y="0"/>
                  <wp:positionH relativeFrom="column">
                    <wp:posOffset>227965</wp:posOffset>
                  </wp:positionH>
                  <wp:positionV relativeFrom="paragraph">
                    <wp:posOffset>-1270</wp:posOffset>
                  </wp:positionV>
                  <wp:extent cx="205105" cy="199390"/>
                  <wp:effectExtent l="0" t="0" r="4445"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PNG"/>
                          <pic:cNvPicPr/>
                        </pic:nvPicPr>
                        <pic:blipFill>
                          <a:blip r:embed="rId91" cstate="email">
                            <a:extLst>
                              <a:ext uri="{28A0092B-C50C-407E-A947-70E740481C1C}">
                                <a14:useLocalDpi xmlns:a14="http://schemas.microsoft.com/office/drawing/2010/main"/>
                              </a:ext>
                            </a:extLst>
                          </a:blip>
                          <a:stretch>
                            <a:fillRect/>
                          </a:stretch>
                        </pic:blipFill>
                        <pic:spPr>
                          <a:xfrm>
                            <a:off x="0" y="0"/>
                            <a:ext cx="205105" cy="199390"/>
                          </a:xfrm>
                          <a:prstGeom prst="rect">
                            <a:avLst/>
                          </a:prstGeom>
                        </pic:spPr>
                      </pic:pic>
                    </a:graphicData>
                  </a:graphic>
                  <wp14:sizeRelH relativeFrom="page">
                    <wp14:pctWidth>0</wp14:pctWidth>
                  </wp14:sizeRelH>
                  <wp14:sizeRelV relativeFrom="page">
                    <wp14:pctHeight>0</wp14:pctHeight>
                  </wp14:sizeRelV>
                </wp:anchor>
              </w:drawing>
            </w:r>
            <w:r w:rsidRPr="00E66B92">
              <w:rPr>
                <w:rFonts w:ascii="Arial" w:hAnsi="Arial" w:cs="Arial"/>
                <w:sz w:val="19"/>
                <w:szCs w:val="19"/>
                <w:lang w:eastAsia="en-US"/>
              </w:rPr>
              <w:t xml:space="preserve">Yes </w:t>
            </w:r>
          </w:p>
        </w:tc>
        <w:tc>
          <w:tcPr>
            <w:tcW w:w="816" w:type="dxa"/>
            <w:vAlign w:val="bottom"/>
            <w:hideMark/>
          </w:tcPr>
          <w:p w14:paraId="4C67D2AC" w14:textId="77777777" w:rsidR="009F4B68" w:rsidRPr="00E66B92" w:rsidRDefault="009F4B68" w:rsidP="00ED6D3D">
            <w:pPr>
              <w:keepLines/>
              <w:spacing w:before="40" w:after="40" w:line="360" w:lineRule="auto"/>
              <w:rPr>
                <w:rFonts w:ascii="Arial" w:hAnsi="Arial"/>
                <w:sz w:val="19"/>
                <w:szCs w:val="19"/>
                <w:lang w:eastAsia="en-US"/>
              </w:rPr>
            </w:pPr>
            <w:r w:rsidRPr="00E66B92">
              <w:rPr>
                <w:rFonts w:ascii="Arial" w:hAnsi="Arial" w:cs="Arial"/>
                <w:sz w:val="19"/>
                <w:szCs w:val="19"/>
                <w:lang w:eastAsia="en-US"/>
              </w:rPr>
              <w:t xml:space="preserve">No </w:t>
            </w:r>
            <w:r w:rsidRPr="00E66B92">
              <w:rPr>
                <w:rFonts w:ascii="Arial" w:hAnsi="Arial" w:cs="Arial"/>
                <w:sz w:val="19"/>
                <w:szCs w:val="19"/>
                <w:lang w:eastAsia="en-US"/>
              </w:rPr>
              <w:fldChar w:fldCharType="begin">
                <w:ffData>
                  <w:name w:val="Check7"/>
                  <w:enabled/>
                  <w:calcOnExit w:val="0"/>
                  <w:checkBox>
                    <w:sizeAuto/>
                    <w:default w:val="0"/>
                  </w:checkBox>
                </w:ffData>
              </w:fldChar>
            </w:r>
            <w:r w:rsidRPr="00E66B92">
              <w:rPr>
                <w:rFonts w:ascii="Arial" w:hAnsi="Arial" w:cs="Arial"/>
                <w:sz w:val="19"/>
                <w:szCs w:val="19"/>
                <w:lang w:eastAsia="en-US"/>
              </w:rPr>
              <w:instrText xml:space="preserve"> FORMCHECKBOX </w:instrText>
            </w:r>
            <w:r w:rsidR="004217BA">
              <w:rPr>
                <w:rFonts w:ascii="Arial" w:hAnsi="Arial" w:cs="Arial"/>
                <w:sz w:val="19"/>
                <w:szCs w:val="19"/>
                <w:lang w:eastAsia="en-US"/>
              </w:rPr>
            </w:r>
            <w:r w:rsidR="004217BA">
              <w:rPr>
                <w:rFonts w:ascii="Arial" w:hAnsi="Arial" w:cs="Arial"/>
                <w:sz w:val="19"/>
                <w:szCs w:val="19"/>
                <w:lang w:eastAsia="en-US"/>
              </w:rPr>
              <w:fldChar w:fldCharType="separate"/>
            </w:r>
            <w:r w:rsidRPr="00E66B92">
              <w:rPr>
                <w:rFonts w:ascii="Arial" w:hAnsi="Arial" w:cs="Arial"/>
                <w:sz w:val="19"/>
                <w:szCs w:val="19"/>
                <w:lang w:eastAsia="en-US"/>
              </w:rPr>
              <w:fldChar w:fldCharType="end"/>
            </w:r>
          </w:p>
        </w:tc>
      </w:tr>
      <w:tr w:rsidR="009F4B68" w:rsidRPr="00E66B92" w14:paraId="2DB9D516" w14:textId="77777777" w:rsidTr="00ED6D3D">
        <w:tc>
          <w:tcPr>
            <w:tcW w:w="6487" w:type="dxa"/>
            <w:hideMark/>
          </w:tcPr>
          <w:p w14:paraId="065DD918" w14:textId="77777777" w:rsidR="009F4B68" w:rsidRPr="00E66B92" w:rsidRDefault="009F4B68" w:rsidP="00ED6D3D">
            <w:pPr>
              <w:keepLines/>
              <w:spacing w:before="40" w:after="40" w:line="360" w:lineRule="auto"/>
              <w:rPr>
                <w:rFonts w:ascii="Arial" w:hAnsi="Arial" w:cs="Arial"/>
                <w:sz w:val="19"/>
                <w:szCs w:val="19"/>
                <w:lang w:eastAsia="en-US"/>
              </w:rPr>
            </w:pPr>
            <w:r w:rsidRPr="00E66B92">
              <w:rPr>
                <w:rFonts w:ascii="Arial" w:hAnsi="Arial" w:cs="Arial"/>
                <w:sz w:val="19"/>
                <w:szCs w:val="19"/>
                <w:lang w:eastAsia="en-US"/>
              </w:rPr>
              <w:t>If Yes, is an interest charge applied to late rate payments?</w:t>
            </w:r>
          </w:p>
        </w:tc>
        <w:tc>
          <w:tcPr>
            <w:tcW w:w="851" w:type="dxa"/>
            <w:hideMark/>
          </w:tcPr>
          <w:p w14:paraId="595E23F7" w14:textId="77777777" w:rsidR="009F4B68" w:rsidRPr="00E66B92" w:rsidRDefault="009F4B68" w:rsidP="00ED6D3D">
            <w:pPr>
              <w:keepLines/>
              <w:spacing w:before="40" w:after="40" w:line="360" w:lineRule="auto"/>
              <w:rPr>
                <w:rFonts w:ascii="Arial" w:hAnsi="Arial" w:cs="Arial"/>
                <w:sz w:val="19"/>
                <w:szCs w:val="19"/>
                <w:lang w:eastAsia="en-US"/>
              </w:rPr>
            </w:pPr>
            <w:r w:rsidRPr="00E66B92">
              <w:rPr>
                <w:rFonts w:ascii="Arial" w:hAnsi="Arial" w:cs="Arial"/>
                <w:noProof/>
                <w:sz w:val="19"/>
                <w:szCs w:val="19"/>
              </w:rPr>
              <w:drawing>
                <wp:anchor distT="0" distB="0" distL="114300" distR="114300" simplePos="0" relativeHeight="251879424" behindDoc="1" locked="0" layoutInCell="1" allowOverlap="1" wp14:anchorId="3816DB07" wp14:editId="5FDD7263">
                  <wp:simplePos x="0" y="0"/>
                  <wp:positionH relativeFrom="column">
                    <wp:posOffset>224790</wp:posOffset>
                  </wp:positionH>
                  <wp:positionV relativeFrom="paragraph">
                    <wp:posOffset>-1270</wp:posOffset>
                  </wp:positionV>
                  <wp:extent cx="205105" cy="199390"/>
                  <wp:effectExtent l="0" t="0" r="4445"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PNG"/>
                          <pic:cNvPicPr/>
                        </pic:nvPicPr>
                        <pic:blipFill>
                          <a:blip r:embed="rId91" cstate="email">
                            <a:extLst>
                              <a:ext uri="{28A0092B-C50C-407E-A947-70E740481C1C}">
                                <a14:useLocalDpi xmlns:a14="http://schemas.microsoft.com/office/drawing/2010/main"/>
                              </a:ext>
                            </a:extLst>
                          </a:blip>
                          <a:stretch>
                            <a:fillRect/>
                          </a:stretch>
                        </pic:blipFill>
                        <pic:spPr>
                          <a:xfrm>
                            <a:off x="0" y="0"/>
                            <a:ext cx="205105" cy="199390"/>
                          </a:xfrm>
                          <a:prstGeom prst="rect">
                            <a:avLst/>
                          </a:prstGeom>
                        </pic:spPr>
                      </pic:pic>
                    </a:graphicData>
                  </a:graphic>
                  <wp14:sizeRelH relativeFrom="page">
                    <wp14:pctWidth>0</wp14:pctWidth>
                  </wp14:sizeRelH>
                  <wp14:sizeRelV relativeFrom="page">
                    <wp14:pctHeight>0</wp14:pctHeight>
                  </wp14:sizeRelV>
                </wp:anchor>
              </w:drawing>
            </w:r>
            <w:r w:rsidRPr="00E66B92">
              <w:rPr>
                <w:rFonts w:ascii="Arial" w:hAnsi="Arial" w:cs="Arial"/>
                <w:sz w:val="19"/>
                <w:szCs w:val="19"/>
                <w:lang w:eastAsia="en-US"/>
              </w:rPr>
              <w:t xml:space="preserve">Yes </w:t>
            </w:r>
          </w:p>
        </w:tc>
        <w:tc>
          <w:tcPr>
            <w:tcW w:w="816" w:type="dxa"/>
            <w:vAlign w:val="bottom"/>
            <w:hideMark/>
          </w:tcPr>
          <w:p w14:paraId="0B96A80E" w14:textId="77777777" w:rsidR="009F4B68" w:rsidRPr="00E66B92" w:rsidRDefault="009F4B68" w:rsidP="00ED6D3D">
            <w:pPr>
              <w:keepLines/>
              <w:spacing w:before="40" w:after="40" w:line="360" w:lineRule="auto"/>
              <w:rPr>
                <w:rFonts w:ascii="Arial" w:hAnsi="Arial"/>
                <w:sz w:val="19"/>
                <w:szCs w:val="19"/>
                <w:lang w:eastAsia="en-US"/>
              </w:rPr>
            </w:pPr>
            <w:r w:rsidRPr="00E66B92">
              <w:rPr>
                <w:rFonts w:ascii="Arial" w:hAnsi="Arial" w:cs="Arial"/>
                <w:sz w:val="19"/>
                <w:szCs w:val="19"/>
                <w:lang w:eastAsia="en-US"/>
              </w:rPr>
              <w:t xml:space="preserve">No </w:t>
            </w:r>
            <w:r w:rsidRPr="00E66B92">
              <w:rPr>
                <w:rFonts w:ascii="Arial" w:hAnsi="Arial" w:cs="Arial"/>
                <w:sz w:val="19"/>
                <w:szCs w:val="19"/>
                <w:lang w:eastAsia="en-US"/>
              </w:rPr>
              <w:fldChar w:fldCharType="begin">
                <w:ffData>
                  <w:name w:val="Check7"/>
                  <w:enabled/>
                  <w:calcOnExit w:val="0"/>
                  <w:checkBox>
                    <w:sizeAuto/>
                    <w:default w:val="0"/>
                  </w:checkBox>
                </w:ffData>
              </w:fldChar>
            </w:r>
            <w:r w:rsidRPr="00E66B92">
              <w:rPr>
                <w:rFonts w:ascii="Arial" w:hAnsi="Arial" w:cs="Arial"/>
                <w:sz w:val="19"/>
                <w:szCs w:val="19"/>
                <w:lang w:eastAsia="en-US"/>
              </w:rPr>
              <w:instrText xml:space="preserve"> FORMCHECKBOX </w:instrText>
            </w:r>
            <w:r w:rsidR="004217BA">
              <w:rPr>
                <w:rFonts w:ascii="Arial" w:hAnsi="Arial" w:cs="Arial"/>
                <w:sz w:val="19"/>
                <w:szCs w:val="19"/>
                <w:lang w:eastAsia="en-US"/>
              </w:rPr>
            </w:r>
            <w:r w:rsidR="004217BA">
              <w:rPr>
                <w:rFonts w:ascii="Arial" w:hAnsi="Arial" w:cs="Arial"/>
                <w:sz w:val="19"/>
                <w:szCs w:val="19"/>
                <w:lang w:eastAsia="en-US"/>
              </w:rPr>
              <w:fldChar w:fldCharType="separate"/>
            </w:r>
            <w:r w:rsidRPr="00E66B92">
              <w:rPr>
                <w:rFonts w:ascii="Arial" w:hAnsi="Arial" w:cs="Arial"/>
                <w:sz w:val="19"/>
                <w:szCs w:val="19"/>
                <w:lang w:eastAsia="en-US"/>
              </w:rPr>
              <w:fldChar w:fldCharType="end"/>
            </w:r>
          </w:p>
        </w:tc>
      </w:tr>
      <w:tr w:rsidR="009F4B68" w:rsidRPr="00E66B92" w14:paraId="2F2B52AA" w14:textId="77777777" w:rsidTr="00ED6D3D">
        <w:tc>
          <w:tcPr>
            <w:tcW w:w="6487" w:type="dxa"/>
            <w:hideMark/>
          </w:tcPr>
          <w:p w14:paraId="4D308914" w14:textId="77777777" w:rsidR="009F4B68" w:rsidRPr="00E66B92" w:rsidRDefault="009F4B68" w:rsidP="00ED6D3D">
            <w:pPr>
              <w:keepLines/>
              <w:spacing w:before="40" w:after="40" w:line="360" w:lineRule="auto"/>
              <w:rPr>
                <w:rFonts w:ascii="Arial" w:hAnsi="Arial"/>
                <w:sz w:val="19"/>
                <w:szCs w:val="19"/>
                <w:lang w:eastAsia="en-US"/>
              </w:rPr>
            </w:pPr>
            <w:r w:rsidRPr="00E66B92">
              <w:rPr>
                <w:rFonts w:ascii="Arial" w:hAnsi="Arial"/>
                <w:sz w:val="19"/>
                <w:szCs w:val="19"/>
                <w:lang w:eastAsia="en-US"/>
              </w:rPr>
              <w:t>Does the council propose to introduce any measures to limit the impact of the proposed special variation on specific groups in the community?</w:t>
            </w:r>
          </w:p>
        </w:tc>
        <w:tc>
          <w:tcPr>
            <w:tcW w:w="851" w:type="dxa"/>
            <w:hideMark/>
          </w:tcPr>
          <w:p w14:paraId="5A07A72B" w14:textId="77777777" w:rsidR="009F4B68" w:rsidRDefault="009F4B68" w:rsidP="00ED6D3D">
            <w:pPr>
              <w:keepLines/>
              <w:spacing w:before="40" w:after="40" w:line="360" w:lineRule="auto"/>
              <w:rPr>
                <w:rFonts w:ascii="Arial" w:hAnsi="Arial" w:cs="Arial"/>
                <w:sz w:val="19"/>
                <w:szCs w:val="19"/>
                <w:lang w:eastAsia="en-US"/>
              </w:rPr>
            </w:pPr>
            <w:r w:rsidRPr="00E66B92">
              <w:rPr>
                <w:rFonts w:ascii="Arial" w:hAnsi="Arial" w:cs="Arial"/>
                <w:sz w:val="19"/>
                <w:szCs w:val="19"/>
                <w:lang w:eastAsia="en-US"/>
              </w:rPr>
              <w:t xml:space="preserve">Yes </w:t>
            </w:r>
            <w:r w:rsidRPr="00E66B92">
              <w:rPr>
                <w:rFonts w:ascii="Arial" w:hAnsi="Arial" w:cs="Arial"/>
                <w:sz w:val="19"/>
                <w:szCs w:val="19"/>
                <w:lang w:eastAsia="en-US"/>
              </w:rPr>
              <w:fldChar w:fldCharType="begin">
                <w:ffData>
                  <w:name w:val="Check6"/>
                  <w:enabled/>
                  <w:calcOnExit w:val="0"/>
                  <w:checkBox>
                    <w:sizeAuto/>
                    <w:default w:val="0"/>
                  </w:checkBox>
                </w:ffData>
              </w:fldChar>
            </w:r>
            <w:r w:rsidRPr="00E66B92">
              <w:rPr>
                <w:rFonts w:ascii="Arial" w:hAnsi="Arial" w:cs="Arial"/>
                <w:sz w:val="19"/>
                <w:szCs w:val="19"/>
                <w:lang w:eastAsia="en-US"/>
              </w:rPr>
              <w:instrText xml:space="preserve"> FORMCHECKBOX </w:instrText>
            </w:r>
            <w:r w:rsidR="004217BA">
              <w:rPr>
                <w:rFonts w:ascii="Arial" w:hAnsi="Arial" w:cs="Arial"/>
                <w:sz w:val="19"/>
                <w:szCs w:val="19"/>
                <w:lang w:eastAsia="en-US"/>
              </w:rPr>
            </w:r>
            <w:r w:rsidR="004217BA">
              <w:rPr>
                <w:rFonts w:ascii="Arial" w:hAnsi="Arial" w:cs="Arial"/>
                <w:sz w:val="19"/>
                <w:szCs w:val="19"/>
                <w:lang w:eastAsia="en-US"/>
              </w:rPr>
              <w:fldChar w:fldCharType="separate"/>
            </w:r>
            <w:r w:rsidRPr="00E66B92">
              <w:rPr>
                <w:rFonts w:ascii="Arial" w:hAnsi="Arial" w:cs="Arial"/>
                <w:sz w:val="19"/>
                <w:szCs w:val="19"/>
                <w:lang w:eastAsia="en-US"/>
              </w:rPr>
              <w:fldChar w:fldCharType="end"/>
            </w:r>
          </w:p>
          <w:p w14:paraId="72A513D4" w14:textId="77777777" w:rsidR="009F4B68" w:rsidRPr="00E66B92" w:rsidRDefault="009F4B68" w:rsidP="00ED6D3D">
            <w:pPr>
              <w:keepLines/>
              <w:spacing w:before="40" w:after="40" w:line="360" w:lineRule="auto"/>
              <w:rPr>
                <w:rFonts w:ascii="Arial" w:hAnsi="Arial"/>
                <w:sz w:val="19"/>
                <w:szCs w:val="19"/>
                <w:lang w:eastAsia="en-US"/>
              </w:rPr>
            </w:pPr>
          </w:p>
        </w:tc>
        <w:tc>
          <w:tcPr>
            <w:tcW w:w="816" w:type="dxa"/>
          </w:tcPr>
          <w:p w14:paraId="41F6ABD8" w14:textId="77777777" w:rsidR="009F4B68" w:rsidRPr="00E66B92" w:rsidRDefault="009F4B68" w:rsidP="00ED6D3D">
            <w:pPr>
              <w:keepLines/>
              <w:spacing w:before="40" w:after="40" w:line="360" w:lineRule="auto"/>
              <w:rPr>
                <w:rFonts w:ascii="Arial" w:hAnsi="Arial"/>
                <w:sz w:val="19"/>
                <w:szCs w:val="19"/>
                <w:lang w:eastAsia="en-US"/>
              </w:rPr>
            </w:pPr>
            <w:r w:rsidRPr="00E66B92">
              <w:rPr>
                <w:rFonts w:ascii="Arial" w:hAnsi="Arial" w:cs="Arial"/>
                <w:noProof/>
                <w:sz w:val="19"/>
                <w:szCs w:val="19"/>
              </w:rPr>
              <w:drawing>
                <wp:anchor distT="0" distB="0" distL="114300" distR="114300" simplePos="0" relativeHeight="251880448" behindDoc="1" locked="0" layoutInCell="1" allowOverlap="1" wp14:anchorId="4D7A1E73" wp14:editId="60EEFD7D">
                  <wp:simplePos x="0" y="0"/>
                  <wp:positionH relativeFrom="column">
                    <wp:posOffset>151130</wp:posOffset>
                  </wp:positionH>
                  <wp:positionV relativeFrom="paragraph">
                    <wp:posOffset>-2540</wp:posOffset>
                  </wp:positionV>
                  <wp:extent cx="205105" cy="199390"/>
                  <wp:effectExtent l="0" t="0" r="4445" b="0"/>
                  <wp:wrapNone/>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PNG"/>
                          <pic:cNvPicPr/>
                        </pic:nvPicPr>
                        <pic:blipFill>
                          <a:blip r:embed="rId91" cstate="email">
                            <a:extLst>
                              <a:ext uri="{28A0092B-C50C-407E-A947-70E740481C1C}">
                                <a14:useLocalDpi xmlns:a14="http://schemas.microsoft.com/office/drawing/2010/main"/>
                              </a:ext>
                            </a:extLst>
                          </a:blip>
                          <a:stretch>
                            <a:fillRect/>
                          </a:stretch>
                        </pic:blipFill>
                        <pic:spPr>
                          <a:xfrm>
                            <a:off x="0" y="0"/>
                            <a:ext cx="205105" cy="199390"/>
                          </a:xfrm>
                          <a:prstGeom prst="rect">
                            <a:avLst/>
                          </a:prstGeom>
                        </pic:spPr>
                      </pic:pic>
                    </a:graphicData>
                  </a:graphic>
                  <wp14:sizeRelH relativeFrom="page">
                    <wp14:pctWidth>0</wp14:pctWidth>
                  </wp14:sizeRelH>
                  <wp14:sizeRelV relativeFrom="page">
                    <wp14:pctHeight>0</wp14:pctHeight>
                  </wp14:sizeRelV>
                </wp:anchor>
              </w:drawing>
            </w:r>
          </w:p>
        </w:tc>
      </w:tr>
    </w:tbl>
    <w:p w14:paraId="2C0F0B64" w14:textId="77777777" w:rsidR="009F4B68" w:rsidRPr="00E66B92" w:rsidRDefault="009F4B68" w:rsidP="009F4B68">
      <w:pPr>
        <w:spacing w:before="240" w:line="280" w:lineRule="atLeast"/>
        <w:jc w:val="both"/>
        <w:rPr>
          <w:color w:val="548DD4" w:themeColor="text2" w:themeTint="99"/>
          <w:szCs w:val="21"/>
        </w:rPr>
      </w:pPr>
      <w:r w:rsidRPr="009D75CB">
        <w:rPr>
          <w:color w:val="548DD4" w:themeColor="text2" w:themeTint="99"/>
          <w:szCs w:val="21"/>
        </w:rPr>
        <w:t xml:space="preserve">You should attach a copy </w:t>
      </w:r>
      <w:r w:rsidRPr="00E66B92">
        <w:rPr>
          <w:color w:val="548DD4" w:themeColor="text2" w:themeTint="99"/>
          <w:szCs w:val="21"/>
        </w:rPr>
        <w:t>of the Hardship Policy and explain below who the potential beneficiaries are and how they are assisted.</w:t>
      </w:r>
    </w:p>
    <w:p w14:paraId="5834C7AE" w14:textId="77777777" w:rsidR="009F4B68" w:rsidRPr="00E66B92" w:rsidRDefault="009F4B68" w:rsidP="009F4B68">
      <w:pPr>
        <w:spacing w:before="240" w:line="280" w:lineRule="atLeast"/>
        <w:jc w:val="both"/>
        <w:rPr>
          <w:color w:val="548DD4" w:themeColor="text2" w:themeTint="99"/>
          <w:szCs w:val="21"/>
        </w:rPr>
      </w:pPr>
      <w:r w:rsidRPr="00E66B92">
        <w:rPr>
          <w:color w:val="548DD4" w:themeColor="text2" w:themeTint="99"/>
          <w:szCs w:val="21"/>
        </w:rPr>
        <w:t>Please provide details of any other measures addressing hardship to be adopted, or alternatively, explain why no measures are proposed.</w:t>
      </w:r>
    </w:p>
    <w:p w14:paraId="7BDD3B91" w14:textId="77777777" w:rsidR="009F4B68" w:rsidRPr="00E66B92" w:rsidRDefault="009F4B68" w:rsidP="009F4B68">
      <w:pPr>
        <w:spacing w:before="240" w:line="280" w:lineRule="atLeast"/>
        <w:jc w:val="both"/>
        <w:rPr>
          <w:color w:val="548DD4" w:themeColor="text2" w:themeTint="99"/>
          <w:szCs w:val="21"/>
        </w:rPr>
      </w:pPr>
      <w:r w:rsidRPr="00E66B92">
        <w:rPr>
          <w:color w:val="548DD4" w:themeColor="text2" w:themeTint="99"/>
          <w:szCs w:val="21"/>
        </w:rPr>
        <w:t>The council is also to indicate whether the policy or other measures are referenced in the council’s IP&amp;R documents (with relevant page reference or extract provided).</w:t>
      </w:r>
    </w:p>
    <w:p w14:paraId="71433650" w14:textId="77777777" w:rsidR="009F4B68" w:rsidRDefault="009F4B68" w:rsidP="009F4B68">
      <w:pPr>
        <w:pStyle w:val="Heading3"/>
        <w:spacing w:after="240"/>
        <w:ind w:left="709"/>
      </w:pPr>
      <w:r>
        <w:t>How the Council is Addressing Hardship</w:t>
      </w:r>
    </w:p>
    <w:p w14:paraId="3A879905" w14:textId="77777777" w:rsidR="009F4B68" w:rsidRPr="0089206A" w:rsidRDefault="009F4B68" w:rsidP="000F67C8">
      <w:pPr>
        <w:autoSpaceDE w:val="0"/>
        <w:autoSpaceDN w:val="0"/>
        <w:adjustRightInd w:val="0"/>
        <w:spacing w:line="276" w:lineRule="auto"/>
        <w:jc w:val="both"/>
        <w:rPr>
          <w:rFonts w:ascii="Arial" w:hAnsi="Arial" w:cs="Arial"/>
          <w:color w:val="000000"/>
          <w:sz w:val="20"/>
          <w:szCs w:val="20"/>
        </w:rPr>
      </w:pPr>
      <w:r w:rsidRPr="0089206A">
        <w:rPr>
          <w:rFonts w:ascii="Arial" w:hAnsi="Arial" w:cs="Arial"/>
          <w:color w:val="000000"/>
          <w:sz w:val="20"/>
          <w:szCs w:val="20"/>
        </w:rPr>
        <w:t>The Council is pro-actively addressing the issue of financial hardship which may potentially arise within some parts of the community as a result of the proposed special variation. At the ordinary meeting of the Council on 9 December 2014, it resolved:</w:t>
      </w:r>
    </w:p>
    <w:p w14:paraId="7F061553" w14:textId="77777777" w:rsidR="009F4B68" w:rsidRPr="0089206A" w:rsidRDefault="009F4B68" w:rsidP="000F67C8">
      <w:pPr>
        <w:autoSpaceDE w:val="0"/>
        <w:autoSpaceDN w:val="0"/>
        <w:adjustRightInd w:val="0"/>
        <w:spacing w:line="276" w:lineRule="auto"/>
        <w:jc w:val="both"/>
        <w:rPr>
          <w:rFonts w:ascii="Arial" w:hAnsi="Arial" w:cs="Arial"/>
          <w:color w:val="000000"/>
          <w:sz w:val="20"/>
          <w:szCs w:val="20"/>
        </w:rPr>
      </w:pPr>
    </w:p>
    <w:p w14:paraId="276D206B" w14:textId="77777777" w:rsidR="009F4B68" w:rsidRPr="0089206A" w:rsidRDefault="009F4B68" w:rsidP="000F67C8">
      <w:pPr>
        <w:autoSpaceDE w:val="0"/>
        <w:autoSpaceDN w:val="0"/>
        <w:adjustRightInd w:val="0"/>
        <w:spacing w:line="276" w:lineRule="auto"/>
        <w:jc w:val="both"/>
        <w:rPr>
          <w:rFonts w:ascii="Arial" w:hAnsi="Arial" w:cs="Arial"/>
          <w:i/>
          <w:color w:val="000000"/>
          <w:sz w:val="20"/>
          <w:szCs w:val="20"/>
        </w:rPr>
      </w:pPr>
      <w:r w:rsidRPr="0089206A">
        <w:rPr>
          <w:rFonts w:ascii="Arial" w:hAnsi="Arial" w:cs="Arial"/>
          <w:i/>
          <w:color w:val="000000"/>
          <w:sz w:val="20"/>
          <w:szCs w:val="20"/>
        </w:rPr>
        <w:t>“That the Council receives a report on the Council’s Hardship Relief Policy and any other relevant policies for the purpose of identifying options to ensure that ample consideration is extended to low income and pensioner ratepayers.”</w:t>
      </w:r>
    </w:p>
    <w:p w14:paraId="208167BD" w14:textId="77777777" w:rsidR="009F4B68" w:rsidRPr="0089206A" w:rsidRDefault="009F4B68" w:rsidP="000F67C8">
      <w:pPr>
        <w:spacing w:line="276" w:lineRule="auto"/>
        <w:jc w:val="right"/>
        <w:rPr>
          <w:rFonts w:ascii="Arial" w:hAnsi="Arial" w:cs="Arial"/>
          <w:bCs/>
          <w:sz w:val="20"/>
          <w:szCs w:val="20"/>
        </w:rPr>
      </w:pPr>
      <w:r w:rsidRPr="0089206A">
        <w:rPr>
          <w:rFonts w:ascii="Arial" w:hAnsi="Arial" w:cs="Arial"/>
          <w:bCs/>
          <w:sz w:val="20"/>
          <w:szCs w:val="20"/>
        </w:rPr>
        <w:t>[Minute No: 1254]</w:t>
      </w:r>
    </w:p>
    <w:p w14:paraId="1F758059" w14:textId="77777777" w:rsidR="009F4B68" w:rsidRPr="00E60C75" w:rsidRDefault="009F4B68" w:rsidP="000F67C8">
      <w:pPr>
        <w:spacing w:line="276" w:lineRule="auto"/>
        <w:jc w:val="right"/>
        <w:rPr>
          <w:rFonts w:ascii="Arial" w:hAnsi="Arial" w:cs="Arial"/>
          <w:bCs/>
          <w:sz w:val="21"/>
          <w:szCs w:val="21"/>
        </w:rPr>
      </w:pPr>
    </w:p>
    <w:p w14:paraId="79C9A321" w14:textId="77777777" w:rsidR="009F4B68" w:rsidRPr="008035D0" w:rsidRDefault="009F4B68" w:rsidP="000F67C8">
      <w:pPr>
        <w:spacing w:line="276" w:lineRule="auto"/>
        <w:jc w:val="both"/>
        <w:rPr>
          <w:rFonts w:ascii="Arial" w:hAnsi="Arial"/>
          <w:sz w:val="20"/>
          <w:szCs w:val="20"/>
          <w:lang w:val="en-US" w:eastAsia="en-US"/>
        </w:rPr>
      </w:pPr>
      <w:r w:rsidRPr="008035D0">
        <w:rPr>
          <w:rFonts w:ascii="Arial" w:hAnsi="Arial"/>
          <w:sz w:val="20"/>
          <w:szCs w:val="20"/>
          <w:lang w:val="en-US" w:eastAsia="en-US"/>
        </w:rPr>
        <w:t>This report, being presented to the Council Meeting of 24 February 2015, provides an outline of the current Hardship Relief Policy and assistance provided to address hardship experienced by ratepayers, including low income earners and pensioners.  It will also make the following recommendations:</w:t>
      </w:r>
    </w:p>
    <w:p w14:paraId="47843029" w14:textId="77777777" w:rsidR="009F4B68" w:rsidRPr="008035D0" w:rsidRDefault="009F4B68" w:rsidP="000F67C8">
      <w:pPr>
        <w:spacing w:line="276" w:lineRule="auto"/>
        <w:jc w:val="both"/>
        <w:rPr>
          <w:rFonts w:ascii="Arial" w:hAnsi="Arial" w:cs="Arial"/>
          <w:bCs/>
          <w:sz w:val="20"/>
          <w:szCs w:val="20"/>
          <w:lang w:val="en-US" w:eastAsia="en-US"/>
        </w:rPr>
      </w:pPr>
    </w:p>
    <w:p w14:paraId="35386272" w14:textId="77777777" w:rsidR="009F4B68" w:rsidRPr="008035D0" w:rsidRDefault="009F4B68" w:rsidP="000F67C8">
      <w:pPr>
        <w:pStyle w:val="ListParagraph"/>
        <w:numPr>
          <w:ilvl w:val="0"/>
          <w:numId w:val="70"/>
        </w:numPr>
        <w:spacing w:line="276" w:lineRule="auto"/>
        <w:jc w:val="both"/>
        <w:rPr>
          <w:rFonts w:ascii="Arial" w:hAnsi="Arial"/>
          <w:i/>
          <w:sz w:val="20"/>
          <w:szCs w:val="20"/>
          <w:lang w:val="en-US"/>
        </w:rPr>
      </w:pPr>
      <w:r w:rsidRPr="008035D0">
        <w:rPr>
          <w:rFonts w:ascii="Arial" w:hAnsi="Arial"/>
          <w:i/>
          <w:sz w:val="20"/>
          <w:szCs w:val="20"/>
          <w:lang w:val="en-US"/>
        </w:rPr>
        <w:t>That the Council notes how the current Hardship Relief Policy and other forms of assistance, noted in this report, proactively address genuine hardship experienced by any ratepayer, including low income and pensioner ratepayers;</w:t>
      </w:r>
    </w:p>
    <w:p w14:paraId="4F25892D" w14:textId="77777777" w:rsidR="009F4B68" w:rsidRPr="008035D0" w:rsidRDefault="009F4B68" w:rsidP="000F67C8">
      <w:pPr>
        <w:pStyle w:val="ListParagraph"/>
        <w:numPr>
          <w:ilvl w:val="0"/>
          <w:numId w:val="70"/>
        </w:numPr>
        <w:spacing w:line="276" w:lineRule="auto"/>
        <w:jc w:val="both"/>
        <w:rPr>
          <w:rFonts w:ascii="Arial" w:hAnsi="Arial"/>
          <w:i/>
          <w:sz w:val="20"/>
          <w:szCs w:val="20"/>
          <w:lang w:val="en-US"/>
        </w:rPr>
      </w:pPr>
      <w:r>
        <w:rPr>
          <w:rFonts w:ascii="Arial" w:hAnsi="Arial"/>
          <w:i/>
          <w:sz w:val="20"/>
          <w:szCs w:val="20"/>
          <w:lang w:val="en-US"/>
        </w:rPr>
        <w:t>That the Hardship R</w:t>
      </w:r>
      <w:r w:rsidRPr="008035D0">
        <w:rPr>
          <w:rFonts w:ascii="Arial" w:hAnsi="Arial"/>
          <w:i/>
          <w:sz w:val="20"/>
          <w:szCs w:val="20"/>
          <w:lang w:val="en-US"/>
        </w:rPr>
        <w:t xml:space="preserve">elief Policy will be reviewed and brought back to the Council in June 2015 to coincide with SV2; and </w:t>
      </w:r>
    </w:p>
    <w:p w14:paraId="6E0C7469" w14:textId="77777777" w:rsidR="009F4B68" w:rsidRPr="008035D0" w:rsidRDefault="009F4B68" w:rsidP="000F67C8">
      <w:pPr>
        <w:pStyle w:val="ListParagraph"/>
        <w:numPr>
          <w:ilvl w:val="0"/>
          <w:numId w:val="70"/>
        </w:numPr>
        <w:spacing w:line="276" w:lineRule="auto"/>
        <w:jc w:val="both"/>
        <w:rPr>
          <w:rFonts w:ascii="Arial" w:hAnsi="Arial"/>
          <w:i/>
          <w:sz w:val="20"/>
          <w:szCs w:val="20"/>
          <w:lang w:val="en-US"/>
        </w:rPr>
      </w:pPr>
      <w:r w:rsidRPr="008035D0">
        <w:rPr>
          <w:rFonts w:ascii="Arial" w:hAnsi="Arial"/>
          <w:i/>
          <w:sz w:val="20"/>
          <w:szCs w:val="20"/>
          <w:lang w:val="en-US"/>
        </w:rPr>
        <w:t>That the Council, in partnership with Local Government NSW, continues to advocate for an increase in the Pensioner Concession rate.</w:t>
      </w:r>
    </w:p>
    <w:p w14:paraId="6EDAE404" w14:textId="77777777" w:rsidR="009F4B68" w:rsidRPr="008035D0" w:rsidRDefault="009F4B68" w:rsidP="000F67C8">
      <w:pPr>
        <w:autoSpaceDE w:val="0"/>
        <w:autoSpaceDN w:val="0"/>
        <w:adjustRightInd w:val="0"/>
        <w:spacing w:line="276" w:lineRule="auto"/>
        <w:jc w:val="both"/>
        <w:rPr>
          <w:rFonts w:ascii="Arial" w:hAnsi="Arial" w:cs="Arial"/>
          <w:color w:val="000000"/>
          <w:sz w:val="20"/>
          <w:szCs w:val="20"/>
        </w:rPr>
      </w:pPr>
    </w:p>
    <w:p w14:paraId="5E6A61AA" w14:textId="77777777" w:rsidR="009F4B68" w:rsidRPr="008035D0" w:rsidRDefault="009F4B68" w:rsidP="000F67C8">
      <w:pPr>
        <w:spacing w:line="276" w:lineRule="auto"/>
        <w:jc w:val="both"/>
        <w:rPr>
          <w:rFonts w:ascii="Arial" w:hAnsi="Arial" w:cs="Arial"/>
          <w:color w:val="000000"/>
          <w:sz w:val="20"/>
          <w:szCs w:val="20"/>
        </w:rPr>
      </w:pPr>
      <w:r w:rsidRPr="008035D0">
        <w:rPr>
          <w:rFonts w:ascii="Arial" w:hAnsi="Arial" w:cs="Arial"/>
          <w:color w:val="000000"/>
          <w:sz w:val="20"/>
          <w:szCs w:val="20"/>
        </w:rPr>
        <w:t xml:space="preserve">This report supports the significant investment the Council has made in recent years in changing how the organisation, as a whole, responds to, and works with, vulnerable residents and ratepayers. </w:t>
      </w:r>
    </w:p>
    <w:p w14:paraId="3231AC79" w14:textId="77777777" w:rsidR="009F4B68" w:rsidRPr="008035D0" w:rsidRDefault="009F4B68" w:rsidP="000F67C8">
      <w:pPr>
        <w:spacing w:line="276" w:lineRule="auto"/>
        <w:jc w:val="both"/>
        <w:rPr>
          <w:rFonts w:ascii="Arial" w:hAnsi="Arial" w:cs="Arial"/>
          <w:color w:val="000000"/>
          <w:sz w:val="20"/>
          <w:szCs w:val="20"/>
        </w:rPr>
      </w:pPr>
    </w:p>
    <w:p w14:paraId="61876501" w14:textId="77777777" w:rsidR="00FC0FE6" w:rsidRDefault="00FC0FE6">
      <w:pPr>
        <w:rPr>
          <w:rFonts w:ascii="Arial" w:hAnsi="Arial" w:cs="Arial"/>
          <w:b/>
          <w:sz w:val="20"/>
          <w:szCs w:val="20"/>
        </w:rPr>
      </w:pPr>
      <w:r>
        <w:rPr>
          <w:rFonts w:ascii="Arial" w:hAnsi="Arial" w:cs="Arial"/>
          <w:b/>
          <w:sz w:val="20"/>
          <w:szCs w:val="20"/>
        </w:rPr>
        <w:br w:type="page"/>
      </w:r>
    </w:p>
    <w:p w14:paraId="36B25F25" w14:textId="2133F695" w:rsidR="009F4B68" w:rsidRPr="0089206A" w:rsidRDefault="009F4B68" w:rsidP="000F67C8">
      <w:pPr>
        <w:spacing w:line="276" w:lineRule="auto"/>
        <w:jc w:val="both"/>
        <w:rPr>
          <w:rFonts w:ascii="Arial" w:hAnsi="Arial" w:cs="Arial"/>
          <w:b/>
          <w:sz w:val="20"/>
          <w:szCs w:val="20"/>
        </w:rPr>
      </w:pPr>
      <w:r w:rsidRPr="0089206A">
        <w:rPr>
          <w:rFonts w:ascii="Arial" w:hAnsi="Arial" w:cs="Arial"/>
          <w:b/>
          <w:sz w:val="20"/>
          <w:szCs w:val="20"/>
        </w:rPr>
        <w:t>Current Hardship Relief Policy</w:t>
      </w:r>
    </w:p>
    <w:p w14:paraId="73F8E954" w14:textId="77777777" w:rsidR="009F4B68" w:rsidRPr="008035D0" w:rsidRDefault="009F4B68" w:rsidP="000F67C8">
      <w:pPr>
        <w:spacing w:line="276" w:lineRule="auto"/>
        <w:jc w:val="both"/>
        <w:rPr>
          <w:rFonts w:ascii="Arial" w:hAnsi="Arial" w:cs="Arial"/>
          <w:sz w:val="20"/>
          <w:szCs w:val="20"/>
          <w:lang w:val="en-US" w:eastAsia="en-US"/>
        </w:rPr>
      </w:pPr>
      <w:r w:rsidRPr="008035D0">
        <w:rPr>
          <w:rFonts w:ascii="Arial" w:hAnsi="Arial" w:cs="Arial"/>
          <w:color w:val="000000"/>
          <w:sz w:val="20"/>
          <w:szCs w:val="20"/>
        </w:rPr>
        <w:t xml:space="preserve">The Hardship Relief Policy was adopted in June 2010 (see </w:t>
      </w:r>
      <w:r w:rsidRPr="00FC0FE6">
        <w:rPr>
          <w:rFonts w:ascii="Arial" w:hAnsi="Arial" w:cs="Arial"/>
          <w:b/>
          <w:color w:val="000000"/>
          <w:sz w:val="20"/>
          <w:szCs w:val="20"/>
        </w:rPr>
        <w:t>Attachment 7</w:t>
      </w:r>
      <w:r w:rsidRPr="008035D0">
        <w:rPr>
          <w:rFonts w:ascii="Arial" w:hAnsi="Arial" w:cs="Arial"/>
          <w:color w:val="000000"/>
          <w:sz w:val="20"/>
          <w:szCs w:val="20"/>
        </w:rPr>
        <w:t xml:space="preserve">).  It </w:t>
      </w:r>
      <w:r w:rsidRPr="008035D0">
        <w:rPr>
          <w:rFonts w:ascii="Arial" w:hAnsi="Arial" w:cs="Arial"/>
          <w:sz w:val="20"/>
          <w:szCs w:val="20"/>
          <w:lang w:val="en-US" w:eastAsia="en-US"/>
        </w:rPr>
        <w:t>provides the framework for providing assistance to residential and farmland ratepayers who are experiencing genuine financial difficulty in paying their annual rates and charges.</w:t>
      </w:r>
    </w:p>
    <w:p w14:paraId="2F1C2205" w14:textId="77777777" w:rsidR="009F4B68" w:rsidRPr="008035D0" w:rsidRDefault="009F4B68" w:rsidP="000F67C8">
      <w:pPr>
        <w:autoSpaceDE w:val="0"/>
        <w:autoSpaceDN w:val="0"/>
        <w:adjustRightInd w:val="0"/>
        <w:spacing w:line="276" w:lineRule="auto"/>
        <w:jc w:val="both"/>
        <w:rPr>
          <w:rFonts w:ascii="Arial" w:hAnsi="Arial" w:cs="Arial"/>
          <w:color w:val="000000"/>
          <w:sz w:val="20"/>
          <w:szCs w:val="20"/>
        </w:rPr>
      </w:pPr>
    </w:p>
    <w:p w14:paraId="6551DFDF" w14:textId="77777777" w:rsidR="009F4B68" w:rsidRPr="008035D0" w:rsidRDefault="009F4B68" w:rsidP="000F67C8">
      <w:pPr>
        <w:spacing w:line="276" w:lineRule="auto"/>
        <w:jc w:val="both"/>
        <w:rPr>
          <w:rFonts w:ascii="Arial" w:hAnsi="Arial" w:cs="Arial"/>
          <w:sz w:val="20"/>
          <w:szCs w:val="20"/>
          <w:lang w:val="en-US" w:eastAsia="en-US"/>
        </w:rPr>
      </w:pPr>
      <w:r w:rsidRPr="008035D0">
        <w:rPr>
          <w:rFonts w:ascii="Arial" w:hAnsi="Arial" w:cs="Arial"/>
          <w:sz w:val="20"/>
          <w:szCs w:val="20"/>
          <w:lang w:val="en-US" w:eastAsia="en-US"/>
        </w:rPr>
        <w:t>In summary, any ratepayer experiencing long term hardship can apply for Special Consideration (financial relief for up to 18 months) or a Financial Hardship (financial relief up to 24 months). Approval of applications are made by the Council’s Chief Financial Officer and Revenue Coordinator, on a case by case basis.</w:t>
      </w:r>
    </w:p>
    <w:p w14:paraId="110667D9" w14:textId="77777777" w:rsidR="009F4B68" w:rsidRPr="008035D0" w:rsidRDefault="009F4B68" w:rsidP="000F67C8">
      <w:pPr>
        <w:spacing w:line="276" w:lineRule="auto"/>
        <w:jc w:val="both"/>
        <w:rPr>
          <w:rFonts w:ascii="Arial" w:hAnsi="Arial" w:cs="Arial"/>
          <w:sz w:val="20"/>
          <w:szCs w:val="20"/>
          <w:lang w:val="en-US" w:eastAsia="en-US"/>
        </w:rPr>
      </w:pPr>
    </w:p>
    <w:p w14:paraId="3DCAB0A5" w14:textId="77777777" w:rsidR="009F4B68" w:rsidRPr="008035D0" w:rsidRDefault="009F4B68" w:rsidP="000F67C8">
      <w:pPr>
        <w:spacing w:line="276" w:lineRule="auto"/>
        <w:jc w:val="both"/>
        <w:rPr>
          <w:rFonts w:ascii="Arial" w:hAnsi="Arial" w:cs="Arial"/>
          <w:sz w:val="20"/>
          <w:szCs w:val="20"/>
          <w:lang w:val="en-US" w:eastAsia="en-US"/>
        </w:rPr>
      </w:pPr>
      <w:r w:rsidRPr="008035D0">
        <w:rPr>
          <w:rFonts w:ascii="Arial" w:hAnsi="Arial" w:cs="Arial"/>
          <w:sz w:val="20"/>
          <w:szCs w:val="20"/>
          <w:lang w:val="en-US" w:eastAsia="en-US"/>
        </w:rPr>
        <w:t>Relief is granted by payment arrangements with the ratepayer at an amount  which is lower than the annual rating liability.  Any outstanding rates and charges then accrue on the land and interest penalties (at the statutory rate) is charged on the overdue amounts.</w:t>
      </w:r>
    </w:p>
    <w:p w14:paraId="23E7885A" w14:textId="77777777" w:rsidR="009F4B68" w:rsidRPr="008035D0" w:rsidRDefault="009F4B68" w:rsidP="000F67C8">
      <w:pPr>
        <w:spacing w:line="276" w:lineRule="auto"/>
        <w:jc w:val="both"/>
        <w:rPr>
          <w:rFonts w:ascii="Arial" w:hAnsi="Arial" w:cs="Arial"/>
          <w:sz w:val="20"/>
          <w:szCs w:val="20"/>
          <w:lang w:val="en-US" w:eastAsia="en-US"/>
        </w:rPr>
      </w:pPr>
    </w:p>
    <w:p w14:paraId="0466B971" w14:textId="77777777" w:rsidR="009F4B68" w:rsidRDefault="009F4B68" w:rsidP="000F67C8">
      <w:pPr>
        <w:spacing w:line="276" w:lineRule="auto"/>
        <w:jc w:val="both"/>
        <w:rPr>
          <w:rFonts w:ascii="Arial" w:hAnsi="Arial" w:cs="Arial"/>
          <w:sz w:val="20"/>
          <w:szCs w:val="20"/>
          <w:lang w:val="en-US" w:eastAsia="en-US"/>
        </w:rPr>
      </w:pPr>
      <w:r w:rsidRPr="008035D0">
        <w:rPr>
          <w:rFonts w:ascii="Arial" w:hAnsi="Arial" w:cs="Arial"/>
          <w:sz w:val="20"/>
          <w:szCs w:val="20"/>
          <w:lang w:val="en-US" w:eastAsia="en-US"/>
        </w:rPr>
        <w:t>The amount and frequency of these payments are agreed with the individual ratepayers and are based on the information provided on the applications. This information enables the Council to assess a ratepayer’s capacity to pay the overdue rates.</w:t>
      </w:r>
    </w:p>
    <w:p w14:paraId="73E4E83C" w14:textId="4C17ABCB" w:rsidR="009F4B68" w:rsidRDefault="009F4B68" w:rsidP="000F67C8">
      <w:pPr>
        <w:spacing w:line="276" w:lineRule="auto"/>
        <w:jc w:val="both"/>
        <w:rPr>
          <w:rFonts w:ascii="Arial" w:hAnsi="Arial" w:cs="Arial"/>
          <w:sz w:val="20"/>
          <w:szCs w:val="20"/>
          <w:lang w:val="en-US" w:eastAsia="en-US"/>
        </w:rPr>
      </w:pPr>
    </w:p>
    <w:p w14:paraId="47AFAE90" w14:textId="43267585" w:rsidR="009F4B68" w:rsidRPr="008035D0" w:rsidRDefault="00FC0FE6" w:rsidP="000F67C8">
      <w:pPr>
        <w:spacing w:line="276" w:lineRule="auto"/>
        <w:jc w:val="both"/>
        <w:rPr>
          <w:rFonts w:ascii="Arial" w:hAnsi="Arial" w:cs="Arial"/>
          <w:bCs/>
          <w:sz w:val="20"/>
          <w:szCs w:val="20"/>
          <w:lang w:val="en-US" w:eastAsia="en-US"/>
        </w:rPr>
      </w:pPr>
      <w:r>
        <w:rPr>
          <w:rFonts w:ascii="Arial" w:hAnsi="Arial" w:cs="Arial"/>
          <w:bCs/>
          <w:noProof/>
          <w:sz w:val="20"/>
          <w:szCs w:val="20"/>
        </w:rPr>
        <mc:AlternateContent>
          <mc:Choice Requires="wps">
            <w:drawing>
              <wp:anchor distT="0" distB="0" distL="114300" distR="114300" simplePos="0" relativeHeight="251886592" behindDoc="0" locked="0" layoutInCell="1" allowOverlap="1" wp14:anchorId="4B7F8AD6" wp14:editId="383DCA39">
                <wp:simplePos x="0" y="0"/>
                <wp:positionH relativeFrom="column">
                  <wp:posOffset>25908</wp:posOffset>
                </wp:positionH>
                <wp:positionV relativeFrom="paragraph">
                  <wp:posOffset>26035</wp:posOffset>
                </wp:positionV>
                <wp:extent cx="5457825" cy="781050"/>
                <wp:effectExtent l="0" t="0" r="28575" b="19050"/>
                <wp:wrapNone/>
                <wp:docPr id="26" name="Text Box 26"/>
                <wp:cNvGraphicFramePr/>
                <a:graphic xmlns:a="http://schemas.openxmlformats.org/drawingml/2006/main">
                  <a:graphicData uri="http://schemas.microsoft.com/office/word/2010/wordprocessingShape">
                    <wps:wsp>
                      <wps:cNvSpPr txBox="1"/>
                      <wps:spPr>
                        <a:xfrm>
                          <a:off x="0" y="0"/>
                          <a:ext cx="5457825" cy="781050"/>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1E05B3A7" w14:textId="18004CCE" w:rsidR="005864FD" w:rsidRPr="00FC0FE6" w:rsidRDefault="005864FD" w:rsidP="009F4B68">
                            <w:pPr>
                              <w:spacing w:line="360" w:lineRule="auto"/>
                              <w:jc w:val="center"/>
                              <w:rPr>
                                <w:rFonts w:ascii="Arial" w:hAnsi="Arial" w:cs="Arial"/>
                                <w:b/>
                                <w:bCs/>
                                <w:sz w:val="18"/>
                                <w:szCs w:val="18"/>
                                <w:lang w:val="en-US" w:eastAsia="en-US"/>
                              </w:rPr>
                            </w:pPr>
                            <w:r w:rsidRPr="00FC0FE6">
                              <w:rPr>
                                <w:rFonts w:ascii="Arial" w:hAnsi="Arial" w:cs="Arial"/>
                                <w:b/>
                                <w:bCs/>
                                <w:sz w:val="18"/>
                                <w:szCs w:val="18"/>
                                <w:lang w:val="en-US" w:eastAsia="en-US"/>
                              </w:rPr>
                              <w:t>Between 2008/09 and 2014/15, the Council received an average each year of:</w:t>
                            </w:r>
                          </w:p>
                          <w:p w14:paraId="5BC9C736" w14:textId="77777777" w:rsidR="005864FD" w:rsidRPr="00FC0FE6" w:rsidRDefault="005864FD" w:rsidP="00695720">
                            <w:pPr>
                              <w:pStyle w:val="ListParagraph"/>
                              <w:numPr>
                                <w:ilvl w:val="0"/>
                                <w:numId w:val="112"/>
                              </w:numPr>
                              <w:spacing w:line="360" w:lineRule="auto"/>
                              <w:jc w:val="center"/>
                              <w:rPr>
                                <w:rFonts w:ascii="Arial" w:hAnsi="Arial" w:cs="Arial"/>
                                <w:b/>
                                <w:bCs/>
                                <w:sz w:val="18"/>
                                <w:szCs w:val="18"/>
                                <w:lang w:val="en-US"/>
                              </w:rPr>
                            </w:pPr>
                            <w:r w:rsidRPr="00FC0FE6">
                              <w:rPr>
                                <w:rFonts w:ascii="Arial" w:hAnsi="Arial" w:cs="Arial"/>
                                <w:b/>
                                <w:bCs/>
                                <w:sz w:val="18"/>
                                <w:szCs w:val="18"/>
                                <w:lang w:val="en-US"/>
                              </w:rPr>
                              <w:t>16 Special Consideration applications, with 100% approved.</w:t>
                            </w:r>
                          </w:p>
                          <w:p w14:paraId="66EC4FA3" w14:textId="7D83305A" w:rsidR="005864FD" w:rsidRPr="00FC0FE6" w:rsidRDefault="005864FD" w:rsidP="00695720">
                            <w:pPr>
                              <w:pStyle w:val="ListParagraph"/>
                              <w:numPr>
                                <w:ilvl w:val="0"/>
                                <w:numId w:val="112"/>
                              </w:numPr>
                              <w:spacing w:line="360" w:lineRule="auto"/>
                              <w:jc w:val="center"/>
                              <w:rPr>
                                <w:rFonts w:ascii="Arial" w:hAnsi="Arial" w:cs="Arial"/>
                                <w:b/>
                                <w:bCs/>
                                <w:sz w:val="18"/>
                                <w:szCs w:val="18"/>
                                <w:lang w:val="en-US"/>
                              </w:rPr>
                            </w:pPr>
                            <w:r w:rsidRPr="00FC0FE6">
                              <w:rPr>
                                <w:rFonts w:ascii="Arial" w:hAnsi="Arial" w:cs="Arial"/>
                                <w:b/>
                                <w:bCs/>
                                <w:sz w:val="18"/>
                                <w:szCs w:val="18"/>
                                <w:lang w:val="en-US"/>
                              </w:rPr>
                              <w:t>Seven Financial Hardship applications, with 96% approved.</w:t>
                            </w:r>
                          </w:p>
                          <w:p w14:paraId="12B80512" w14:textId="77777777" w:rsidR="005864FD" w:rsidRPr="00FC0FE6" w:rsidRDefault="005864FD" w:rsidP="009F4B6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49" type="#_x0000_t202" style="position:absolute;left:0;text-align:left;margin-left:2.05pt;margin-top:2.05pt;width:429.75pt;height:61.5pt;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" fillcolor="white [3201]" strokecolor="#4f81bd [3204]" strokeweight=".5pt">
                <v:textbox>
                  <w:txbxContent>
                    <w:p w14:paraId="1E05B3A7" w14:textId="18004CCE" w:rsidR="005864FD" w:rsidRPr="00FC0FE6" w:rsidRDefault="005864FD" w:rsidP="009F4B68">
                      <w:pPr>
                        <w:spacing w:line="360" w:lineRule="auto"/>
                        <w:jc w:val="center"/>
                        <w:rPr>
                          <w:rFonts w:ascii="Arial" w:hAnsi="Arial" w:cs="Arial"/>
                          <w:b/>
                          <w:bCs/>
                          <w:sz w:val="18"/>
                          <w:szCs w:val="18"/>
                          <w:lang w:val="en-US" w:eastAsia="en-US"/>
                        </w:rPr>
                      </w:pPr>
                      <w:r w:rsidRPr="00FC0FE6">
                        <w:rPr>
                          <w:rFonts w:ascii="Arial" w:hAnsi="Arial" w:cs="Arial"/>
                          <w:b/>
                          <w:bCs/>
                          <w:sz w:val="18"/>
                          <w:szCs w:val="18"/>
                          <w:lang w:val="en-US" w:eastAsia="en-US"/>
                        </w:rPr>
                        <w:t>Between 2008/09 and 2014/15, the Council received an average each year of:</w:t>
                      </w:r>
                    </w:p>
                    <w:p w14:paraId="5BC9C736" w14:textId="77777777" w:rsidR="005864FD" w:rsidRPr="00FC0FE6" w:rsidRDefault="005864FD" w:rsidP="00695720">
                      <w:pPr>
                        <w:pStyle w:val="ListParagraph"/>
                        <w:numPr>
                          <w:ilvl w:val="0"/>
                          <w:numId w:val="112"/>
                        </w:numPr>
                        <w:spacing w:line="360" w:lineRule="auto"/>
                        <w:jc w:val="center"/>
                        <w:rPr>
                          <w:rFonts w:ascii="Arial" w:hAnsi="Arial" w:cs="Arial"/>
                          <w:b/>
                          <w:bCs/>
                          <w:sz w:val="18"/>
                          <w:szCs w:val="18"/>
                          <w:lang w:val="en-US"/>
                        </w:rPr>
                      </w:pPr>
                      <w:r w:rsidRPr="00FC0FE6">
                        <w:rPr>
                          <w:rFonts w:ascii="Arial" w:hAnsi="Arial" w:cs="Arial"/>
                          <w:b/>
                          <w:bCs/>
                          <w:sz w:val="18"/>
                          <w:szCs w:val="18"/>
                          <w:lang w:val="en-US"/>
                        </w:rPr>
                        <w:t>16 Special Consideration applications, with 100% approved.</w:t>
                      </w:r>
                    </w:p>
                    <w:p w14:paraId="66EC4FA3" w14:textId="7D83305A" w:rsidR="005864FD" w:rsidRPr="00FC0FE6" w:rsidRDefault="005864FD" w:rsidP="00695720">
                      <w:pPr>
                        <w:pStyle w:val="ListParagraph"/>
                        <w:numPr>
                          <w:ilvl w:val="0"/>
                          <w:numId w:val="112"/>
                        </w:numPr>
                        <w:spacing w:line="360" w:lineRule="auto"/>
                        <w:jc w:val="center"/>
                        <w:rPr>
                          <w:rFonts w:ascii="Arial" w:hAnsi="Arial" w:cs="Arial"/>
                          <w:b/>
                          <w:bCs/>
                          <w:sz w:val="18"/>
                          <w:szCs w:val="18"/>
                          <w:lang w:val="en-US"/>
                        </w:rPr>
                      </w:pPr>
                      <w:r w:rsidRPr="00FC0FE6">
                        <w:rPr>
                          <w:rFonts w:ascii="Arial" w:hAnsi="Arial" w:cs="Arial"/>
                          <w:b/>
                          <w:bCs/>
                          <w:sz w:val="18"/>
                          <w:szCs w:val="18"/>
                          <w:lang w:val="en-US"/>
                        </w:rPr>
                        <w:t>Seven Financial Hardship applications, with 96% approved.</w:t>
                      </w:r>
                    </w:p>
                    <w:p w14:paraId="12B80512" w14:textId="77777777" w:rsidR="005864FD" w:rsidRPr="00FC0FE6" w:rsidRDefault="005864FD" w:rsidP="009F4B68">
                      <w:pPr>
                        <w:rPr>
                          <w:sz w:val="18"/>
                          <w:szCs w:val="18"/>
                        </w:rPr>
                      </w:pPr>
                    </w:p>
                  </w:txbxContent>
                </v:textbox>
              </v:shape>
            </w:pict>
          </mc:Fallback>
        </mc:AlternateContent>
      </w:r>
    </w:p>
    <w:p w14:paraId="39C8A653" w14:textId="77777777" w:rsidR="009F4B68" w:rsidRDefault="009F4B68" w:rsidP="000F67C8">
      <w:pPr>
        <w:autoSpaceDE w:val="0"/>
        <w:autoSpaceDN w:val="0"/>
        <w:adjustRightInd w:val="0"/>
        <w:spacing w:line="276" w:lineRule="auto"/>
        <w:jc w:val="both"/>
        <w:rPr>
          <w:rFonts w:ascii="Arial" w:hAnsi="Arial" w:cs="Arial"/>
          <w:sz w:val="20"/>
          <w:szCs w:val="20"/>
        </w:rPr>
      </w:pPr>
    </w:p>
    <w:p w14:paraId="61A19A16" w14:textId="77777777" w:rsidR="009F4B68" w:rsidRDefault="009F4B68" w:rsidP="000F67C8">
      <w:pPr>
        <w:autoSpaceDE w:val="0"/>
        <w:autoSpaceDN w:val="0"/>
        <w:adjustRightInd w:val="0"/>
        <w:spacing w:line="276" w:lineRule="auto"/>
        <w:jc w:val="both"/>
        <w:rPr>
          <w:rFonts w:ascii="Arial" w:hAnsi="Arial" w:cs="Arial"/>
          <w:sz w:val="20"/>
          <w:szCs w:val="20"/>
        </w:rPr>
      </w:pPr>
    </w:p>
    <w:p w14:paraId="0FA13954" w14:textId="77777777" w:rsidR="009F4B68" w:rsidRDefault="009F4B68" w:rsidP="000F67C8">
      <w:pPr>
        <w:autoSpaceDE w:val="0"/>
        <w:autoSpaceDN w:val="0"/>
        <w:adjustRightInd w:val="0"/>
        <w:spacing w:line="276" w:lineRule="auto"/>
        <w:jc w:val="both"/>
        <w:rPr>
          <w:rFonts w:ascii="Arial" w:hAnsi="Arial" w:cs="Arial"/>
          <w:sz w:val="20"/>
          <w:szCs w:val="20"/>
        </w:rPr>
      </w:pPr>
    </w:p>
    <w:p w14:paraId="3720FE3E" w14:textId="77777777" w:rsidR="009F4B68" w:rsidRDefault="009F4B68" w:rsidP="000F67C8">
      <w:pPr>
        <w:autoSpaceDE w:val="0"/>
        <w:autoSpaceDN w:val="0"/>
        <w:adjustRightInd w:val="0"/>
        <w:spacing w:line="276" w:lineRule="auto"/>
        <w:jc w:val="both"/>
        <w:rPr>
          <w:rFonts w:ascii="Arial" w:hAnsi="Arial" w:cs="Arial"/>
          <w:sz w:val="20"/>
          <w:szCs w:val="20"/>
        </w:rPr>
      </w:pPr>
    </w:p>
    <w:p w14:paraId="2A2B895F" w14:textId="77777777" w:rsidR="00FC0FE6" w:rsidRDefault="00FC0FE6" w:rsidP="000F67C8">
      <w:pPr>
        <w:autoSpaceDE w:val="0"/>
        <w:autoSpaceDN w:val="0"/>
        <w:adjustRightInd w:val="0"/>
        <w:spacing w:line="276" w:lineRule="auto"/>
        <w:jc w:val="both"/>
        <w:rPr>
          <w:rFonts w:ascii="Arial" w:hAnsi="Arial" w:cs="Arial"/>
          <w:sz w:val="20"/>
          <w:szCs w:val="20"/>
        </w:rPr>
      </w:pPr>
    </w:p>
    <w:p w14:paraId="07C6693E" w14:textId="77777777" w:rsidR="009F4B68" w:rsidRPr="008035D0" w:rsidRDefault="009F4B68" w:rsidP="000F67C8">
      <w:pPr>
        <w:autoSpaceDE w:val="0"/>
        <w:autoSpaceDN w:val="0"/>
        <w:adjustRightInd w:val="0"/>
        <w:spacing w:line="276" w:lineRule="auto"/>
        <w:jc w:val="both"/>
        <w:rPr>
          <w:rFonts w:ascii="Arial" w:hAnsi="Arial" w:cs="Arial"/>
          <w:sz w:val="20"/>
          <w:szCs w:val="20"/>
          <w:lang w:val="en-US" w:eastAsia="en-US"/>
        </w:rPr>
      </w:pPr>
      <w:r w:rsidRPr="008035D0">
        <w:rPr>
          <w:rFonts w:ascii="Arial" w:hAnsi="Arial" w:cs="Arial"/>
          <w:sz w:val="20"/>
          <w:szCs w:val="20"/>
        </w:rPr>
        <w:t xml:space="preserve">Relief is also available for ratepayers who are experiencing short term hardship through an alternative arrangement to pay or through an extension of time. </w:t>
      </w:r>
      <w:r w:rsidRPr="008035D0">
        <w:rPr>
          <w:rFonts w:ascii="Arial" w:hAnsi="Arial" w:cs="Arial"/>
          <w:sz w:val="20"/>
          <w:szCs w:val="20"/>
          <w:lang w:val="en-US" w:eastAsia="en-US"/>
        </w:rPr>
        <w:t>Where a ratepayer complies with an approved Arrangement to Pay, the Council may write off or reduce interest accrued on rates and charges in accordance with Section 564 of the Act.  Arrangements to Pay are considered for financial relief for a period of less than 12 months on a case by case basis.</w:t>
      </w:r>
    </w:p>
    <w:p w14:paraId="61C02565" w14:textId="77777777" w:rsidR="009F4B68" w:rsidRPr="008035D0" w:rsidRDefault="009F4B68" w:rsidP="000F67C8">
      <w:pPr>
        <w:spacing w:line="276" w:lineRule="auto"/>
        <w:jc w:val="both"/>
        <w:rPr>
          <w:rFonts w:ascii="Arial" w:hAnsi="Arial" w:cs="Arial"/>
          <w:sz w:val="20"/>
          <w:szCs w:val="20"/>
          <w:lang w:val="en-US" w:eastAsia="en-US"/>
        </w:rPr>
      </w:pPr>
    </w:p>
    <w:p w14:paraId="23678489" w14:textId="77777777" w:rsidR="009F4B68" w:rsidRPr="008035D0" w:rsidRDefault="009F4B68" w:rsidP="000F67C8">
      <w:pPr>
        <w:spacing w:line="276" w:lineRule="auto"/>
        <w:jc w:val="both"/>
        <w:rPr>
          <w:rFonts w:ascii="Arial" w:hAnsi="Arial" w:cs="Arial"/>
          <w:sz w:val="20"/>
          <w:szCs w:val="20"/>
          <w:lang w:val="en-US" w:eastAsia="en-US"/>
        </w:rPr>
      </w:pPr>
      <w:r w:rsidRPr="008035D0">
        <w:rPr>
          <w:rFonts w:ascii="Arial" w:hAnsi="Arial" w:cs="Arial"/>
          <w:sz w:val="20"/>
          <w:szCs w:val="20"/>
          <w:lang w:val="en-US" w:eastAsia="en-US"/>
        </w:rPr>
        <w:t>The Council accepts weekly, fortnightly or monthly payment arrangements regardless of the status of a rates account because flexible payment plans can assist ratepayers with managing their household budgets. That is, it does not matter whether an account is overdue or not. Ratepayers are encouraged to pay in line with their household income cycle.</w:t>
      </w:r>
    </w:p>
    <w:p w14:paraId="55544460" w14:textId="77777777" w:rsidR="009F4B68" w:rsidRPr="008035D0" w:rsidRDefault="009F4B68" w:rsidP="000F67C8">
      <w:pPr>
        <w:autoSpaceDE w:val="0"/>
        <w:autoSpaceDN w:val="0"/>
        <w:adjustRightInd w:val="0"/>
        <w:spacing w:line="276" w:lineRule="auto"/>
        <w:jc w:val="both"/>
        <w:rPr>
          <w:rFonts w:ascii="Arial" w:hAnsi="Arial" w:cs="Arial"/>
          <w:sz w:val="20"/>
          <w:szCs w:val="20"/>
        </w:rPr>
      </w:pPr>
    </w:p>
    <w:p w14:paraId="1CCFF117" w14:textId="77777777" w:rsidR="009F4B68" w:rsidRPr="008035D0" w:rsidRDefault="009F4B68" w:rsidP="000F67C8">
      <w:pPr>
        <w:spacing w:line="276" w:lineRule="auto"/>
        <w:jc w:val="both"/>
        <w:rPr>
          <w:rFonts w:ascii="Arial" w:hAnsi="Arial" w:cs="Arial"/>
          <w:sz w:val="20"/>
          <w:szCs w:val="20"/>
          <w:lang w:val="en-US" w:eastAsia="en-US"/>
        </w:rPr>
      </w:pPr>
      <w:r w:rsidRPr="008035D0">
        <w:rPr>
          <w:rFonts w:ascii="Arial" w:hAnsi="Arial" w:cs="Arial"/>
          <w:sz w:val="20"/>
          <w:szCs w:val="20"/>
          <w:lang w:val="en-US" w:eastAsia="en-US"/>
        </w:rPr>
        <w:t xml:space="preserve">As Direct Debit offers ease of payment and convenience, over 2,400 ratepayers currently use this method for the payment of their annual rates and charges.                        </w:t>
      </w:r>
    </w:p>
    <w:p w14:paraId="7060CD81" w14:textId="77777777" w:rsidR="009F4B68" w:rsidRPr="008035D0" w:rsidRDefault="009F4B68" w:rsidP="000F67C8">
      <w:pPr>
        <w:spacing w:line="276" w:lineRule="auto"/>
        <w:jc w:val="both"/>
        <w:rPr>
          <w:rFonts w:ascii="Arial" w:hAnsi="Arial" w:cs="Arial"/>
          <w:b/>
          <w:sz w:val="20"/>
          <w:szCs w:val="20"/>
          <w:lang w:val="en-US" w:eastAsia="en-US"/>
        </w:rPr>
      </w:pPr>
    </w:p>
    <w:p w14:paraId="4CB8B903" w14:textId="77777777" w:rsidR="009F4B68" w:rsidRPr="008035D0" w:rsidRDefault="009F4B68" w:rsidP="000F67C8">
      <w:pPr>
        <w:autoSpaceDE w:val="0"/>
        <w:autoSpaceDN w:val="0"/>
        <w:adjustRightInd w:val="0"/>
        <w:spacing w:line="276" w:lineRule="auto"/>
        <w:jc w:val="both"/>
        <w:rPr>
          <w:rFonts w:ascii="Arial" w:hAnsi="Arial" w:cs="Arial"/>
          <w:sz w:val="20"/>
          <w:szCs w:val="20"/>
        </w:rPr>
      </w:pPr>
      <w:r w:rsidRPr="008035D0">
        <w:rPr>
          <w:rFonts w:ascii="Arial" w:hAnsi="Arial" w:cs="Arial"/>
          <w:sz w:val="20"/>
          <w:szCs w:val="20"/>
        </w:rPr>
        <w:t>At all stages of the rates collection process, ratepayers are encouraged to use the numerous payment options and relief options available, which are promoted on rate instalment notices and on the Council’s website.</w:t>
      </w:r>
    </w:p>
    <w:p w14:paraId="659E7830" w14:textId="77777777" w:rsidR="009F4B68" w:rsidRPr="008035D0" w:rsidRDefault="009F4B68" w:rsidP="000F67C8">
      <w:pPr>
        <w:autoSpaceDE w:val="0"/>
        <w:autoSpaceDN w:val="0"/>
        <w:adjustRightInd w:val="0"/>
        <w:spacing w:line="276" w:lineRule="auto"/>
        <w:jc w:val="both"/>
        <w:rPr>
          <w:rFonts w:ascii="Arial" w:hAnsi="Arial" w:cs="Arial"/>
          <w:sz w:val="20"/>
          <w:szCs w:val="20"/>
        </w:rPr>
      </w:pPr>
    </w:p>
    <w:p w14:paraId="6BF2E2EE" w14:textId="77777777" w:rsidR="00FC0FE6" w:rsidRDefault="00FC0FE6" w:rsidP="000F67C8">
      <w:pPr>
        <w:autoSpaceDE w:val="0"/>
        <w:autoSpaceDN w:val="0"/>
        <w:adjustRightInd w:val="0"/>
        <w:spacing w:line="276" w:lineRule="auto"/>
        <w:jc w:val="both"/>
        <w:rPr>
          <w:rFonts w:ascii="Arial" w:hAnsi="Arial" w:cs="Arial"/>
          <w:sz w:val="20"/>
          <w:szCs w:val="20"/>
        </w:rPr>
      </w:pPr>
      <w:r>
        <w:rPr>
          <w:rFonts w:ascii="Arial" w:hAnsi="Arial" w:cs="Arial"/>
          <w:sz w:val="20"/>
          <w:szCs w:val="20"/>
        </w:rPr>
        <w:t>A</w:t>
      </w:r>
      <w:r w:rsidR="009F4B68" w:rsidRPr="008035D0">
        <w:rPr>
          <w:rFonts w:ascii="Arial" w:hAnsi="Arial" w:cs="Arial"/>
          <w:sz w:val="20"/>
          <w:szCs w:val="20"/>
        </w:rPr>
        <w:t>n internal working group</w:t>
      </w:r>
      <w:r w:rsidR="009F4B68">
        <w:rPr>
          <w:rFonts w:ascii="Arial" w:hAnsi="Arial" w:cs="Arial"/>
          <w:sz w:val="20"/>
          <w:szCs w:val="20"/>
        </w:rPr>
        <w:t xml:space="preserve">, </w:t>
      </w:r>
      <w:r w:rsidR="009F4B68" w:rsidRPr="008035D0">
        <w:rPr>
          <w:rFonts w:ascii="Arial" w:hAnsi="Arial" w:cs="Arial"/>
          <w:sz w:val="20"/>
          <w:szCs w:val="20"/>
        </w:rPr>
        <w:t xml:space="preserve">chaired by the Group Manager, Integrated Planning &amp; Finance </w:t>
      </w:r>
      <w:r>
        <w:rPr>
          <w:rFonts w:ascii="Arial" w:hAnsi="Arial" w:cs="Arial"/>
          <w:sz w:val="20"/>
          <w:szCs w:val="20"/>
        </w:rPr>
        <w:t>monitors, reviews and supports the assessment and provision of assistance to ratepayers experiencing financial challenges in making rate payments</w:t>
      </w:r>
      <w:r w:rsidR="009F4B68">
        <w:rPr>
          <w:rFonts w:ascii="Arial" w:hAnsi="Arial" w:cs="Arial"/>
          <w:sz w:val="20"/>
          <w:szCs w:val="20"/>
        </w:rPr>
        <w:t>.</w:t>
      </w:r>
      <w:r w:rsidR="009F4B68" w:rsidRPr="008035D0">
        <w:rPr>
          <w:rFonts w:ascii="Arial" w:hAnsi="Arial" w:cs="Arial"/>
          <w:sz w:val="20"/>
          <w:szCs w:val="20"/>
        </w:rPr>
        <w:t xml:space="preserve"> This working group assess</w:t>
      </w:r>
      <w:r w:rsidR="009F4B68">
        <w:rPr>
          <w:rFonts w:ascii="Arial" w:hAnsi="Arial" w:cs="Arial"/>
          <w:sz w:val="20"/>
          <w:szCs w:val="20"/>
        </w:rPr>
        <w:t>es</w:t>
      </w:r>
      <w:r w:rsidR="009F4B68" w:rsidRPr="008035D0">
        <w:rPr>
          <w:rFonts w:ascii="Arial" w:hAnsi="Arial" w:cs="Arial"/>
          <w:sz w:val="20"/>
          <w:szCs w:val="20"/>
        </w:rPr>
        <w:t xml:space="preserve"> data on the numbers of applications made each year for Special Consideration, Financial Hardship, Arrangements to Pay as well as the number of ratepayers referred for recovery of outstanding debts to ensure </w:t>
      </w:r>
      <w:r w:rsidR="009F4B68">
        <w:rPr>
          <w:rFonts w:ascii="Arial" w:hAnsi="Arial" w:cs="Arial"/>
          <w:sz w:val="20"/>
          <w:szCs w:val="20"/>
        </w:rPr>
        <w:t>a</w:t>
      </w:r>
      <w:r w:rsidR="009F4B68" w:rsidRPr="008035D0">
        <w:rPr>
          <w:rFonts w:ascii="Arial" w:hAnsi="Arial" w:cs="Arial"/>
          <w:sz w:val="20"/>
          <w:szCs w:val="20"/>
        </w:rPr>
        <w:t xml:space="preserve"> fair, equitable </w:t>
      </w:r>
      <w:r w:rsidR="009F4B68">
        <w:rPr>
          <w:rFonts w:ascii="Arial" w:hAnsi="Arial" w:cs="Arial"/>
          <w:sz w:val="20"/>
          <w:szCs w:val="20"/>
        </w:rPr>
        <w:t xml:space="preserve">process that is </w:t>
      </w:r>
      <w:r w:rsidR="009F4B68" w:rsidRPr="008035D0">
        <w:rPr>
          <w:rFonts w:ascii="Arial" w:hAnsi="Arial" w:cs="Arial"/>
          <w:sz w:val="20"/>
          <w:szCs w:val="20"/>
        </w:rPr>
        <w:t xml:space="preserve">based on principles of social justice. </w:t>
      </w:r>
      <w:r>
        <w:rPr>
          <w:rFonts w:ascii="Arial" w:hAnsi="Arial" w:cs="Arial"/>
          <w:sz w:val="20"/>
          <w:szCs w:val="20"/>
        </w:rPr>
        <w:t>It also monitors the number of ratepayers assisted through the Aged and disability Services officer to access support from other agencies such as the Aged care Assessment Team and Mental Health Team.</w:t>
      </w:r>
    </w:p>
    <w:p w14:paraId="0B75A9F3" w14:textId="5FF8A890" w:rsidR="009F4B68" w:rsidRPr="008035D0" w:rsidRDefault="009F4B68" w:rsidP="000F67C8">
      <w:pPr>
        <w:autoSpaceDE w:val="0"/>
        <w:autoSpaceDN w:val="0"/>
        <w:adjustRightInd w:val="0"/>
        <w:spacing w:line="276" w:lineRule="auto"/>
        <w:jc w:val="both"/>
        <w:rPr>
          <w:rFonts w:ascii="Arial" w:hAnsi="Arial" w:cs="Arial"/>
          <w:sz w:val="20"/>
          <w:szCs w:val="20"/>
        </w:rPr>
      </w:pPr>
      <w:r w:rsidRPr="008035D0">
        <w:rPr>
          <w:rFonts w:ascii="Arial" w:hAnsi="Arial" w:cs="Arial"/>
          <w:sz w:val="20"/>
          <w:szCs w:val="20"/>
        </w:rPr>
        <w:t xml:space="preserve">  </w:t>
      </w:r>
    </w:p>
    <w:p w14:paraId="3C0580F5" w14:textId="77777777" w:rsidR="009F4B68" w:rsidRPr="008035D0" w:rsidRDefault="009F4B68" w:rsidP="000F67C8">
      <w:pPr>
        <w:autoSpaceDE w:val="0"/>
        <w:autoSpaceDN w:val="0"/>
        <w:adjustRightInd w:val="0"/>
        <w:spacing w:line="276" w:lineRule="auto"/>
        <w:jc w:val="both"/>
        <w:rPr>
          <w:rFonts w:ascii="Arial" w:hAnsi="Arial" w:cs="Arial"/>
          <w:color w:val="000000"/>
          <w:sz w:val="20"/>
          <w:szCs w:val="20"/>
        </w:rPr>
      </w:pPr>
    </w:p>
    <w:p w14:paraId="3A30FAE4" w14:textId="77777777" w:rsidR="009F4B68" w:rsidRPr="0089206A" w:rsidRDefault="009F4B68" w:rsidP="000F67C8">
      <w:pPr>
        <w:spacing w:line="276" w:lineRule="auto"/>
        <w:jc w:val="both"/>
        <w:rPr>
          <w:rFonts w:ascii="Arial" w:hAnsi="Arial" w:cs="Arial"/>
          <w:b/>
          <w:bCs/>
          <w:sz w:val="20"/>
          <w:szCs w:val="20"/>
          <w:lang w:val="en-US" w:eastAsia="en-US"/>
        </w:rPr>
      </w:pPr>
      <w:r w:rsidRPr="0089206A">
        <w:rPr>
          <w:rFonts w:ascii="Arial" w:hAnsi="Arial" w:cs="Arial"/>
          <w:b/>
          <w:bCs/>
          <w:sz w:val="20"/>
          <w:szCs w:val="20"/>
          <w:lang w:val="en-US" w:eastAsia="en-US"/>
        </w:rPr>
        <w:t>Levels of Hardship Currently being Experienced by Ratepayers</w:t>
      </w:r>
    </w:p>
    <w:p w14:paraId="0415C609" w14:textId="5D45832A" w:rsidR="009F4B68" w:rsidRPr="008035D0" w:rsidRDefault="009F4B68" w:rsidP="000F67C8">
      <w:pPr>
        <w:spacing w:line="276" w:lineRule="auto"/>
        <w:jc w:val="both"/>
        <w:rPr>
          <w:rFonts w:ascii="Arial" w:hAnsi="Arial" w:cs="Arial"/>
          <w:bCs/>
          <w:sz w:val="20"/>
          <w:szCs w:val="20"/>
          <w:lang w:val="en-US" w:eastAsia="en-US"/>
        </w:rPr>
      </w:pPr>
      <w:r w:rsidRPr="008035D0">
        <w:rPr>
          <w:rFonts w:ascii="Arial" w:hAnsi="Arial" w:cs="Arial"/>
          <w:bCs/>
          <w:sz w:val="20"/>
          <w:szCs w:val="20"/>
          <w:lang w:val="en-US" w:eastAsia="en-US"/>
        </w:rPr>
        <w:t>It is important to give context to the low level of financial hardship currently being experienced by ratepayers in respect to the payment of Council rates and charges. The statistics</w:t>
      </w:r>
      <w:r w:rsidR="005171E1">
        <w:rPr>
          <w:rFonts w:ascii="Arial" w:hAnsi="Arial" w:cs="Arial"/>
          <w:bCs/>
          <w:sz w:val="20"/>
          <w:szCs w:val="20"/>
          <w:lang w:val="en-US" w:eastAsia="en-US"/>
        </w:rPr>
        <w:t xml:space="preserve"> in table 5.6 below, </w:t>
      </w:r>
      <w:r w:rsidRPr="008035D0">
        <w:rPr>
          <w:rFonts w:ascii="Arial" w:hAnsi="Arial" w:cs="Arial"/>
          <w:bCs/>
          <w:sz w:val="20"/>
          <w:szCs w:val="20"/>
          <w:lang w:val="en-US" w:eastAsia="en-US"/>
        </w:rPr>
        <w:t>provide some measure of assessment of this</w:t>
      </w:r>
      <w:r w:rsidR="005171E1">
        <w:rPr>
          <w:rFonts w:ascii="Arial" w:hAnsi="Arial" w:cs="Arial"/>
          <w:bCs/>
          <w:sz w:val="20"/>
          <w:szCs w:val="20"/>
          <w:lang w:val="en-US" w:eastAsia="en-US"/>
        </w:rPr>
        <w:t>. While over 500 accounts were referred to legal action</w:t>
      </w:r>
      <w:r>
        <w:rPr>
          <w:rFonts w:ascii="Arial" w:hAnsi="Arial" w:cs="Arial"/>
          <w:bCs/>
          <w:sz w:val="20"/>
          <w:szCs w:val="20"/>
          <w:lang w:val="en-US" w:eastAsia="en-US"/>
        </w:rPr>
        <w:t xml:space="preserve">, no outstanding accounts proceeded to a hearing for debt recovery, as all were paid in full or affordable payment plans </w:t>
      </w:r>
      <w:r w:rsidR="005171E1">
        <w:rPr>
          <w:rFonts w:ascii="Arial" w:hAnsi="Arial" w:cs="Arial"/>
          <w:bCs/>
          <w:sz w:val="20"/>
          <w:szCs w:val="20"/>
          <w:lang w:val="en-US" w:eastAsia="en-US"/>
        </w:rPr>
        <w:t xml:space="preserve">were </w:t>
      </w:r>
      <w:r>
        <w:rPr>
          <w:rFonts w:ascii="Arial" w:hAnsi="Arial" w:cs="Arial"/>
          <w:bCs/>
          <w:sz w:val="20"/>
          <w:szCs w:val="20"/>
          <w:lang w:val="en-US" w:eastAsia="en-US"/>
        </w:rPr>
        <w:t>agreed.</w:t>
      </w:r>
    </w:p>
    <w:p w14:paraId="525B0C81" w14:textId="77777777" w:rsidR="009F4B68" w:rsidRPr="003805F6" w:rsidRDefault="009F4B68" w:rsidP="000F67C8">
      <w:pPr>
        <w:pStyle w:val="BodyText"/>
        <w:spacing w:line="276" w:lineRule="auto"/>
        <w:rPr>
          <w:rFonts w:ascii="Arial" w:hAnsi="Arial" w:cs="Arial"/>
          <w:b/>
          <w:bCs/>
          <w:sz w:val="20"/>
          <w:szCs w:val="20"/>
          <w:lang w:val="en-US" w:eastAsia="en-US"/>
        </w:rPr>
      </w:pPr>
      <w:r w:rsidRPr="003805F6">
        <w:rPr>
          <w:rFonts w:ascii="Arial" w:hAnsi="Arial" w:cs="Arial"/>
          <w:b/>
          <w:sz w:val="20"/>
          <w:szCs w:val="20"/>
        </w:rPr>
        <w:t>Table 5.</w:t>
      </w:r>
      <w:r>
        <w:rPr>
          <w:rFonts w:ascii="Arial" w:hAnsi="Arial" w:cs="Arial"/>
          <w:b/>
          <w:sz w:val="20"/>
          <w:szCs w:val="20"/>
        </w:rPr>
        <w:t>6</w:t>
      </w:r>
      <w:r w:rsidRPr="003805F6">
        <w:rPr>
          <w:rFonts w:ascii="Arial" w:hAnsi="Arial" w:cs="Arial"/>
          <w:b/>
          <w:sz w:val="20"/>
          <w:szCs w:val="20"/>
        </w:rPr>
        <w:t xml:space="preserve"> </w:t>
      </w:r>
      <w:r w:rsidRPr="003805F6">
        <w:rPr>
          <w:rFonts w:ascii="Arial" w:hAnsi="Arial" w:cs="Arial"/>
          <w:b/>
          <w:bCs/>
          <w:sz w:val="20"/>
          <w:szCs w:val="20"/>
          <w:lang w:val="en-US" w:eastAsia="en-US"/>
        </w:rPr>
        <w:t xml:space="preserve">Overdue Rate Accounts - 2013/14  </w:t>
      </w:r>
    </w:p>
    <w:tbl>
      <w:tblPr>
        <w:tblStyle w:val="TableGrid"/>
        <w:tblW w:w="868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062"/>
        <w:gridCol w:w="1276"/>
        <w:gridCol w:w="1349"/>
      </w:tblGrid>
      <w:tr w:rsidR="009F4B68" w14:paraId="39C54016" w14:textId="77777777" w:rsidTr="00ED6D3D">
        <w:trPr>
          <w:tblHeader/>
        </w:trPr>
        <w:tc>
          <w:tcPr>
            <w:tcW w:w="6062" w:type="dxa"/>
            <w:shd w:val="clear" w:color="auto" w:fill="4F81BD" w:themeFill="accent1"/>
          </w:tcPr>
          <w:p w14:paraId="09FB8469" w14:textId="77777777" w:rsidR="009F4B68" w:rsidRPr="00237CC7" w:rsidRDefault="009F4B68" w:rsidP="000F67C8">
            <w:pPr>
              <w:spacing w:line="276" w:lineRule="auto"/>
              <w:jc w:val="center"/>
              <w:rPr>
                <w:rFonts w:ascii="Arial" w:hAnsi="Arial" w:cs="Arial"/>
                <w:b/>
                <w:bCs/>
                <w:color w:val="FFFFFF" w:themeColor="background1"/>
                <w:sz w:val="20"/>
                <w:szCs w:val="20"/>
                <w:lang w:val="en-US" w:eastAsia="en-US"/>
              </w:rPr>
            </w:pPr>
            <w:r w:rsidRPr="00237CC7">
              <w:rPr>
                <w:rFonts w:ascii="Arial" w:hAnsi="Arial" w:cs="Arial"/>
                <w:b/>
                <w:bCs/>
                <w:color w:val="FFFFFF" w:themeColor="background1"/>
                <w:sz w:val="20"/>
                <w:szCs w:val="20"/>
                <w:lang w:val="en-US" w:eastAsia="en-US"/>
              </w:rPr>
              <w:t>Item</w:t>
            </w:r>
          </w:p>
        </w:tc>
        <w:tc>
          <w:tcPr>
            <w:tcW w:w="1276" w:type="dxa"/>
            <w:shd w:val="clear" w:color="auto" w:fill="4F81BD" w:themeFill="accent1"/>
          </w:tcPr>
          <w:p w14:paraId="111377EE" w14:textId="77777777" w:rsidR="009F4B68" w:rsidRPr="00237CC7" w:rsidRDefault="009F4B68" w:rsidP="000F67C8">
            <w:pPr>
              <w:spacing w:line="276" w:lineRule="auto"/>
              <w:jc w:val="center"/>
              <w:rPr>
                <w:rFonts w:ascii="Arial" w:hAnsi="Arial" w:cs="Arial"/>
                <w:b/>
                <w:bCs/>
                <w:color w:val="FFFFFF" w:themeColor="background1"/>
                <w:sz w:val="20"/>
                <w:szCs w:val="20"/>
                <w:lang w:val="en-US" w:eastAsia="en-US"/>
              </w:rPr>
            </w:pPr>
            <w:r w:rsidRPr="00237CC7">
              <w:rPr>
                <w:rFonts w:ascii="Arial" w:hAnsi="Arial" w:cs="Arial"/>
                <w:b/>
                <w:bCs/>
                <w:color w:val="FFFFFF" w:themeColor="background1"/>
                <w:sz w:val="20"/>
                <w:szCs w:val="20"/>
                <w:lang w:val="en-US" w:eastAsia="en-US"/>
              </w:rPr>
              <w:t>Number</w:t>
            </w:r>
          </w:p>
        </w:tc>
        <w:tc>
          <w:tcPr>
            <w:tcW w:w="1349" w:type="dxa"/>
            <w:shd w:val="clear" w:color="auto" w:fill="4F81BD" w:themeFill="accent1"/>
          </w:tcPr>
          <w:p w14:paraId="32EC9963" w14:textId="77777777" w:rsidR="009F4B68" w:rsidRPr="00237CC7" w:rsidRDefault="009F4B68" w:rsidP="000F67C8">
            <w:pPr>
              <w:spacing w:line="276" w:lineRule="auto"/>
              <w:jc w:val="center"/>
              <w:rPr>
                <w:rFonts w:ascii="Arial" w:hAnsi="Arial" w:cs="Arial"/>
                <w:b/>
                <w:bCs/>
                <w:color w:val="FFFFFF" w:themeColor="background1"/>
                <w:sz w:val="20"/>
                <w:szCs w:val="20"/>
                <w:lang w:val="en-US" w:eastAsia="en-US"/>
              </w:rPr>
            </w:pPr>
            <w:r w:rsidRPr="00237CC7">
              <w:rPr>
                <w:rFonts w:ascii="Arial" w:hAnsi="Arial" w:cs="Arial"/>
                <w:b/>
                <w:bCs/>
                <w:color w:val="FFFFFF" w:themeColor="background1"/>
                <w:sz w:val="20"/>
                <w:szCs w:val="20"/>
                <w:lang w:val="en-US" w:eastAsia="en-US"/>
              </w:rPr>
              <w:t>Percentage</w:t>
            </w:r>
          </w:p>
        </w:tc>
      </w:tr>
      <w:tr w:rsidR="009F4B68" w14:paraId="583B5CA1" w14:textId="77777777" w:rsidTr="00ED6D3D">
        <w:tc>
          <w:tcPr>
            <w:tcW w:w="6062" w:type="dxa"/>
            <w:shd w:val="clear" w:color="auto" w:fill="DBE5F1" w:themeFill="accent1" w:themeFillTint="33"/>
          </w:tcPr>
          <w:p w14:paraId="5F384CA7" w14:textId="77777777" w:rsidR="009F4B68" w:rsidRPr="00237CC7" w:rsidRDefault="009F4B68" w:rsidP="000F67C8">
            <w:pPr>
              <w:spacing w:line="276" w:lineRule="auto"/>
              <w:jc w:val="both"/>
              <w:rPr>
                <w:rFonts w:ascii="Arial" w:hAnsi="Arial" w:cs="Arial"/>
                <w:bCs/>
                <w:sz w:val="20"/>
                <w:szCs w:val="20"/>
                <w:lang w:val="en-US" w:eastAsia="en-US"/>
              </w:rPr>
            </w:pPr>
            <w:r w:rsidRPr="00237CC7">
              <w:rPr>
                <w:rFonts w:ascii="Arial" w:hAnsi="Arial" w:cs="Arial"/>
                <w:bCs/>
                <w:sz w:val="20"/>
                <w:szCs w:val="20"/>
                <w:lang w:val="en-US" w:eastAsia="en-US"/>
              </w:rPr>
              <w:t>Total ratepayer accounts</w:t>
            </w:r>
          </w:p>
        </w:tc>
        <w:tc>
          <w:tcPr>
            <w:tcW w:w="1276" w:type="dxa"/>
            <w:shd w:val="clear" w:color="auto" w:fill="DBE5F1" w:themeFill="accent1" w:themeFillTint="33"/>
          </w:tcPr>
          <w:p w14:paraId="0DE19982" w14:textId="77777777" w:rsidR="009F4B68" w:rsidRPr="00237CC7" w:rsidRDefault="009F4B68" w:rsidP="000F67C8">
            <w:pPr>
              <w:spacing w:line="276" w:lineRule="auto"/>
              <w:jc w:val="right"/>
              <w:rPr>
                <w:rFonts w:ascii="Arial" w:hAnsi="Arial" w:cs="Arial"/>
                <w:bCs/>
                <w:sz w:val="20"/>
                <w:szCs w:val="20"/>
                <w:lang w:val="en-US" w:eastAsia="en-US"/>
              </w:rPr>
            </w:pPr>
            <w:r w:rsidRPr="00237CC7">
              <w:rPr>
                <w:rFonts w:ascii="Arial" w:hAnsi="Arial" w:cs="Arial"/>
                <w:bCs/>
                <w:sz w:val="20"/>
                <w:szCs w:val="20"/>
                <w:lang w:val="en-US" w:eastAsia="en-US"/>
              </w:rPr>
              <w:t>35,738</w:t>
            </w:r>
          </w:p>
        </w:tc>
        <w:tc>
          <w:tcPr>
            <w:tcW w:w="1349" w:type="dxa"/>
            <w:shd w:val="clear" w:color="auto" w:fill="DBE5F1" w:themeFill="accent1" w:themeFillTint="33"/>
          </w:tcPr>
          <w:p w14:paraId="22CAC6DA" w14:textId="77777777" w:rsidR="009F4B68" w:rsidRPr="00237CC7" w:rsidRDefault="009F4B68" w:rsidP="000F67C8">
            <w:pPr>
              <w:spacing w:line="276" w:lineRule="auto"/>
              <w:jc w:val="right"/>
              <w:rPr>
                <w:rFonts w:ascii="Arial" w:hAnsi="Arial" w:cs="Arial"/>
                <w:bCs/>
                <w:sz w:val="20"/>
                <w:szCs w:val="20"/>
                <w:lang w:val="en-US" w:eastAsia="en-US"/>
              </w:rPr>
            </w:pPr>
          </w:p>
        </w:tc>
      </w:tr>
      <w:tr w:rsidR="009F4B68" w14:paraId="13EA4CB8" w14:textId="77777777" w:rsidTr="00ED6D3D">
        <w:tc>
          <w:tcPr>
            <w:tcW w:w="6062" w:type="dxa"/>
            <w:shd w:val="clear" w:color="auto" w:fill="DBE5F1" w:themeFill="accent1" w:themeFillTint="33"/>
          </w:tcPr>
          <w:p w14:paraId="785D789B" w14:textId="77777777" w:rsidR="009F4B68" w:rsidRPr="00237CC7" w:rsidRDefault="009F4B68" w:rsidP="000F67C8">
            <w:pPr>
              <w:spacing w:line="276" w:lineRule="auto"/>
              <w:jc w:val="both"/>
              <w:rPr>
                <w:rFonts w:ascii="Arial" w:hAnsi="Arial" w:cs="Arial"/>
                <w:bCs/>
                <w:sz w:val="20"/>
                <w:szCs w:val="20"/>
                <w:lang w:val="en-US" w:eastAsia="en-US"/>
              </w:rPr>
            </w:pPr>
            <w:r w:rsidRPr="00237CC7">
              <w:rPr>
                <w:rFonts w:ascii="Arial" w:hAnsi="Arial" w:cs="Arial"/>
                <w:bCs/>
                <w:sz w:val="20"/>
                <w:szCs w:val="20"/>
                <w:lang w:val="en-US" w:eastAsia="en-US"/>
              </w:rPr>
              <w:t xml:space="preserve">Total overdue accounts (receiving first notification) </w:t>
            </w:r>
          </w:p>
        </w:tc>
        <w:tc>
          <w:tcPr>
            <w:tcW w:w="1276" w:type="dxa"/>
            <w:shd w:val="clear" w:color="auto" w:fill="DBE5F1" w:themeFill="accent1" w:themeFillTint="33"/>
          </w:tcPr>
          <w:p w14:paraId="34E8D6A2" w14:textId="77777777" w:rsidR="009F4B68" w:rsidRPr="00237CC7" w:rsidRDefault="009F4B68" w:rsidP="000F67C8">
            <w:pPr>
              <w:spacing w:line="276" w:lineRule="auto"/>
              <w:jc w:val="right"/>
              <w:rPr>
                <w:rFonts w:ascii="Arial" w:hAnsi="Arial" w:cs="Arial"/>
                <w:bCs/>
                <w:sz w:val="20"/>
                <w:szCs w:val="20"/>
                <w:lang w:val="en-US" w:eastAsia="en-US"/>
              </w:rPr>
            </w:pPr>
            <w:r w:rsidRPr="00237CC7">
              <w:rPr>
                <w:rFonts w:ascii="Arial" w:hAnsi="Arial" w:cs="Arial"/>
                <w:bCs/>
                <w:sz w:val="20"/>
                <w:szCs w:val="20"/>
                <w:lang w:val="en-US" w:eastAsia="en-US"/>
              </w:rPr>
              <w:t>3,006</w:t>
            </w:r>
          </w:p>
        </w:tc>
        <w:tc>
          <w:tcPr>
            <w:tcW w:w="1349" w:type="dxa"/>
            <w:shd w:val="clear" w:color="auto" w:fill="DBE5F1" w:themeFill="accent1" w:themeFillTint="33"/>
          </w:tcPr>
          <w:p w14:paraId="637ED626" w14:textId="77777777" w:rsidR="009F4B68" w:rsidRPr="00237CC7" w:rsidRDefault="009F4B68" w:rsidP="000F67C8">
            <w:pPr>
              <w:spacing w:line="276" w:lineRule="auto"/>
              <w:jc w:val="right"/>
              <w:rPr>
                <w:rFonts w:ascii="Arial" w:hAnsi="Arial" w:cs="Arial"/>
                <w:bCs/>
                <w:sz w:val="20"/>
                <w:szCs w:val="20"/>
                <w:lang w:val="en-US" w:eastAsia="en-US"/>
              </w:rPr>
            </w:pPr>
            <w:r w:rsidRPr="00237CC7">
              <w:rPr>
                <w:rFonts w:ascii="Arial" w:hAnsi="Arial" w:cs="Arial"/>
                <w:bCs/>
                <w:sz w:val="20"/>
                <w:szCs w:val="20"/>
                <w:lang w:val="en-US" w:eastAsia="en-US"/>
              </w:rPr>
              <w:t>8.0%</w:t>
            </w:r>
          </w:p>
        </w:tc>
      </w:tr>
      <w:tr w:rsidR="009F4B68" w14:paraId="351E4F89" w14:textId="77777777" w:rsidTr="00ED6D3D">
        <w:tc>
          <w:tcPr>
            <w:tcW w:w="6062" w:type="dxa"/>
            <w:shd w:val="clear" w:color="auto" w:fill="DBE5F1" w:themeFill="accent1" w:themeFillTint="33"/>
          </w:tcPr>
          <w:p w14:paraId="1E8DEB50" w14:textId="01B9CC83" w:rsidR="009F4B68" w:rsidRPr="00237CC7" w:rsidRDefault="009F4B68" w:rsidP="000F67C8">
            <w:pPr>
              <w:spacing w:line="276" w:lineRule="auto"/>
              <w:jc w:val="both"/>
              <w:rPr>
                <w:rFonts w:ascii="Arial" w:hAnsi="Arial" w:cs="Arial"/>
                <w:bCs/>
                <w:sz w:val="20"/>
                <w:szCs w:val="20"/>
                <w:lang w:val="en-US" w:eastAsia="en-US"/>
              </w:rPr>
            </w:pPr>
            <w:r w:rsidRPr="00237CC7">
              <w:rPr>
                <w:rFonts w:ascii="Arial" w:hAnsi="Arial" w:cs="Arial"/>
                <w:bCs/>
                <w:sz w:val="20"/>
                <w:szCs w:val="20"/>
                <w:lang w:val="en-US" w:eastAsia="en-US"/>
              </w:rPr>
              <w:t>Total overdue accounts referred for legal recovery (i</w:t>
            </w:r>
            <w:r w:rsidR="005171E1">
              <w:rPr>
                <w:rFonts w:ascii="Arial" w:hAnsi="Arial" w:cs="Arial"/>
                <w:bCs/>
                <w:sz w:val="20"/>
                <w:szCs w:val="20"/>
                <w:lang w:val="en-US" w:eastAsia="en-US"/>
              </w:rPr>
              <w:t>.</w:t>
            </w:r>
            <w:r w:rsidRPr="00237CC7">
              <w:rPr>
                <w:rFonts w:ascii="Arial" w:hAnsi="Arial" w:cs="Arial"/>
                <w:bCs/>
                <w:sz w:val="20"/>
                <w:szCs w:val="20"/>
                <w:lang w:val="en-US" w:eastAsia="en-US"/>
              </w:rPr>
              <w:t>e. accounts with more than $500 outstanding)</w:t>
            </w:r>
          </w:p>
        </w:tc>
        <w:tc>
          <w:tcPr>
            <w:tcW w:w="1276" w:type="dxa"/>
            <w:shd w:val="clear" w:color="auto" w:fill="DBE5F1" w:themeFill="accent1" w:themeFillTint="33"/>
          </w:tcPr>
          <w:p w14:paraId="458925F1" w14:textId="77777777" w:rsidR="009F4B68" w:rsidRPr="00237CC7" w:rsidRDefault="009F4B68" w:rsidP="000F67C8">
            <w:pPr>
              <w:spacing w:line="276" w:lineRule="auto"/>
              <w:jc w:val="right"/>
              <w:rPr>
                <w:rFonts w:ascii="Arial" w:hAnsi="Arial" w:cs="Arial"/>
                <w:bCs/>
                <w:sz w:val="20"/>
                <w:szCs w:val="20"/>
                <w:lang w:val="en-US" w:eastAsia="en-US"/>
              </w:rPr>
            </w:pPr>
            <w:r w:rsidRPr="00237CC7">
              <w:rPr>
                <w:rFonts w:ascii="Arial" w:hAnsi="Arial" w:cs="Arial"/>
                <w:bCs/>
                <w:sz w:val="20"/>
                <w:szCs w:val="20"/>
                <w:lang w:val="en-US" w:eastAsia="en-US"/>
              </w:rPr>
              <w:t>578</w:t>
            </w:r>
          </w:p>
        </w:tc>
        <w:tc>
          <w:tcPr>
            <w:tcW w:w="1349" w:type="dxa"/>
            <w:shd w:val="clear" w:color="auto" w:fill="DBE5F1" w:themeFill="accent1" w:themeFillTint="33"/>
          </w:tcPr>
          <w:p w14:paraId="39816C23" w14:textId="77777777" w:rsidR="009F4B68" w:rsidRPr="00237CC7" w:rsidRDefault="009F4B68" w:rsidP="000F67C8">
            <w:pPr>
              <w:spacing w:line="276" w:lineRule="auto"/>
              <w:jc w:val="right"/>
              <w:rPr>
                <w:rFonts w:ascii="Arial" w:hAnsi="Arial" w:cs="Arial"/>
                <w:bCs/>
                <w:sz w:val="20"/>
                <w:szCs w:val="20"/>
                <w:lang w:val="en-US" w:eastAsia="en-US"/>
              </w:rPr>
            </w:pPr>
            <w:r w:rsidRPr="00237CC7">
              <w:rPr>
                <w:rFonts w:ascii="Arial" w:hAnsi="Arial" w:cs="Arial"/>
                <w:bCs/>
                <w:sz w:val="20"/>
                <w:szCs w:val="20"/>
                <w:lang w:val="en-US" w:eastAsia="en-US"/>
              </w:rPr>
              <w:t>1.6%</w:t>
            </w:r>
          </w:p>
        </w:tc>
      </w:tr>
      <w:tr w:rsidR="009F4B68" w14:paraId="1EC41AFB" w14:textId="77777777" w:rsidTr="00ED6D3D">
        <w:tc>
          <w:tcPr>
            <w:tcW w:w="6062" w:type="dxa"/>
            <w:shd w:val="clear" w:color="auto" w:fill="DBE5F1" w:themeFill="accent1" w:themeFillTint="33"/>
          </w:tcPr>
          <w:p w14:paraId="66DE05EC" w14:textId="77777777" w:rsidR="009F4B68" w:rsidRPr="00237CC7" w:rsidRDefault="009F4B68" w:rsidP="000F67C8">
            <w:pPr>
              <w:spacing w:line="276" w:lineRule="auto"/>
              <w:jc w:val="both"/>
              <w:rPr>
                <w:rFonts w:ascii="Arial" w:hAnsi="Arial" w:cs="Arial"/>
                <w:bCs/>
                <w:sz w:val="20"/>
                <w:szCs w:val="20"/>
                <w:lang w:val="en-US" w:eastAsia="en-US"/>
              </w:rPr>
            </w:pPr>
            <w:r w:rsidRPr="00237CC7">
              <w:rPr>
                <w:rFonts w:ascii="Arial" w:hAnsi="Arial" w:cs="Arial"/>
                <w:bCs/>
                <w:sz w:val="20"/>
                <w:szCs w:val="20"/>
                <w:lang w:val="en-US" w:eastAsia="en-US"/>
              </w:rPr>
              <w:t>Total accounts proceeding to court hearing recovery</w:t>
            </w:r>
          </w:p>
        </w:tc>
        <w:tc>
          <w:tcPr>
            <w:tcW w:w="1276" w:type="dxa"/>
            <w:shd w:val="clear" w:color="auto" w:fill="DBE5F1" w:themeFill="accent1" w:themeFillTint="33"/>
          </w:tcPr>
          <w:p w14:paraId="6E960FB0" w14:textId="77777777" w:rsidR="009F4B68" w:rsidRPr="00237CC7" w:rsidRDefault="009F4B68" w:rsidP="000F67C8">
            <w:pPr>
              <w:spacing w:line="276" w:lineRule="auto"/>
              <w:jc w:val="right"/>
              <w:rPr>
                <w:rFonts w:ascii="Arial" w:hAnsi="Arial" w:cs="Arial"/>
                <w:bCs/>
                <w:sz w:val="20"/>
                <w:szCs w:val="20"/>
                <w:lang w:val="en-US" w:eastAsia="en-US"/>
              </w:rPr>
            </w:pPr>
            <w:r w:rsidRPr="00237CC7">
              <w:rPr>
                <w:rFonts w:ascii="Arial" w:hAnsi="Arial" w:cs="Arial"/>
                <w:bCs/>
                <w:sz w:val="20"/>
                <w:szCs w:val="20"/>
                <w:lang w:val="en-US" w:eastAsia="en-US"/>
              </w:rPr>
              <w:t>0</w:t>
            </w:r>
          </w:p>
        </w:tc>
        <w:tc>
          <w:tcPr>
            <w:tcW w:w="1349" w:type="dxa"/>
            <w:shd w:val="clear" w:color="auto" w:fill="DBE5F1" w:themeFill="accent1" w:themeFillTint="33"/>
          </w:tcPr>
          <w:p w14:paraId="0DE4D4CB" w14:textId="77777777" w:rsidR="009F4B68" w:rsidRPr="00237CC7" w:rsidRDefault="009F4B68" w:rsidP="000F67C8">
            <w:pPr>
              <w:spacing w:line="276" w:lineRule="auto"/>
              <w:jc w:val="right"/>
              <w:rPr>
                <w:rFonts w:ascii="Arial" w:hAnsi="Arial" w:cs="Arial"/>
                <w:bCs/>
                <w:sz w:val="20"/>
                <w:szCs w:val="20"/>
                <w:lang w:val="en-US" w:eastAsia="en-US"/>
              </w:rPr>
            </w:pPr>
            <w:r w:rsidRPr="00237CC7">
              <w:rPr>
                <w:rFonts w:ascii="Arial" w:hAnsi="Arial" w:cs="Arial"/>
                <w:bCs/>
                <w:sz w:val="20"/>
                <w:szCs w:val="20"/>
                <w:lang w:val="en-US" w:eastAsia="en-US"/>
              </w:rPr>
              <w:t>0%</w:t>
            </w:r>
          </w:p>
        </w:tc>
      </w:tr>
    </w:tbl>
    <w:p w14:paraId="4EC5CF81" w14:textId="77777777" w:rsidR="005171E1" w:rsidRDefault="005171E1" w:rsidP="000F67C8">
      <w:pPr>
        <w:spacing w:line="276" w:lineRule="auto"/>
        <w:jc w:val="both"/>
        <w:rPr>
          <w:rFonts w:ascii="Arial" w:hAnsi="Arial" w:cs="Arial"/>
          <w:b/>
          <w:sz w:val="20"/>
          <w:szCs w:val="20"/>
          <w:lang w:val="en-US" w:eastAsia="en-US"/>
        </w:rPr>
      </w:pPr>
    </w:p>
    <w:p w14:paraId="4E1AC9A7" w14:textId="77777777" w:rsidR="009F4B68" w:rsidRPr="00317947" w:rsidRDefault="009F4B68" w:rsidP="000F67C8">
      <w:pPr>
        <w:spacing w:line="276" w:lineRule="auto"/>
        <w:jc w:val="both"/>
        <w:rPr>
          <w:rFonts w:ascii="Arial" w:hAnsi="Arial" w:cs="Arial"/>
          <w:b/>
          <w:color w:val="FF0000"/>
          <w:sz w:val="20"/>
          <w:szCs w:val="20"/>
          <w:lang w:val="en-US" w:eastAsia="en-US"/>
        </w:rPr>
      </w:pPr>
      <w:r w:rsidRPr="0089206A">
        <w:rPr>
          <w:rFonts w:ascii="Arial" w:hAnsi="Arial" w:cs="Arial"/>
          <w:b/>
          <w:sz w:val="20"/>
          <w:szCs w:val="20"/>
          <w:lang w:val="en-US" w:eastAsia="en-US"/>
        </w:rPr>
        <w:t xml:space="preserve">Pensioner Concession </w:t>
      </w:r>
    </w:p>
    <w:p w14:paraId="74B6FD68" w14:textId="77777777" w:rsidR="009F4B68" w:rsidRPr="008035D0" w:rsidRDefault="009F4B68" w:rsidP="000F67C8">
      <w:pPr>
        <w:spacing w:line="276" w:lineRule="auto"/>
        <w:jc w:val="both"/>
        <w:rPr>
          <w:rFonts w:ascii="Arial" w:hAnsi="Arial" w:cs="Arial"/>
          <w:sz w:val="20"/>
          <w:szCs w:val="20"/>
          <w:lang w:val="en-US" w:eastAsia="en-US"/>
        </w:rPr>
      </w:pPr>
      <w:r w:rsidRPr="008035D0">
        <w:rPr>
          <w:rFonts w:ascii="Arial" w:hAnsi="Arial" w:cs="Arial"/>
          <w:sz w:val="20"/>
          <w:szCs w:val="20"/>
          <w:lang w:val="en-US" w:eastAsia="en-US"/>
        </w:rPr>
        <w:t>Pensioner rates and charge concessions are available under Sections 575-584 of the Act.  To receive the concessions, an eligible pensioner must apply to Council for a reduction in the ordinary rates and charges for domestic waste management of up to 50 percent, provided this does not exceed $250 (Section 575).</w:t>
      </w:r>
    </w:p>
    <w:p w14:paraId="2B2474A5" w14:textId="77777777" w:rsidR="009F4B68" w:rsidRPr="008035D0" w:rsidRDefault="009F4B68" w:rsidP="000F67C8">
      <w:pPr>
        <w:spacing w:line="276" w:lineRule="auto"/>
        <w:jc w:val="both"/>
        <w:rPr>
          <w:rFonts w:ascii="Arial" w:hAnsi="Arial" w:cs="Arial"/>
          <w:sz w:val="20"/>
          <w:szCs w:val="20"/>
          <w:lang w:val="en-US" w:eastAsia="en-US"/>
        </w:rPr>
      </w:pPr>
      <w:r w:rsidRPr="008035D0">
        <w:rPr>
          <w:rFonts w:ascii="Arial" w:hAnsi="Arial" w:cs="Arial"/>
          <w:sz w:val="20"/>
          <w:szCs w:val="20"/>
          <w:lang w:val="en-US" w:eastAsia="en-US"/>
        </w:rPr>
        <w:t xml:space="preserve"> </w:t>
      </w:r>
    </w:p>
    <w:p w14:paraId="309BAD24" w14:textId="77777777" w:rsidR="009F4B68" w:rsidRPr="008035D0" w:rsidRDefault="009F4B68" w:rsidP="000F67C8">
      <w:pPr>
        <w:spacing w:line="276" w:lineRule="auto"/>
        <w:jc w:val="both"/>
        <w:rPr>
          <w:rFonts w:ascii="Arial" w:hAnsi="Arial" w:cs="Arial"/>
          <w:sz w:val="20"/>
          <w:szCs w:val="20"/>
          <w:lang w:val="en-US" w:eastAsia="en-US"/>
        </w:rPr>
      </w:pPr>
      <w:r w:rsidRPr="008035D0">
        <w:rPr>
          <w:rFonts w:ascii="Arial" w:hAnsi="Arial" w:cs="Arial"/>
          <w:sz w:val="20"/>
          <w:szCs w:val="20"/>
          <w:lang w:val="en-US" w:eastAsia="en-US"/>
        </w:rPr>
        <w:t>Pensioner Concession eligibility checks are undertaken on a quarterly basis. Where a ratepayer becomes eligible for a Pensioner Concession Card during the course of a rating year, a pro rata rebate will be applied dependent on the number of remaining quarters.  In circumstances where a ratepayer has unknowingly become an eligible pension in a preceding rating period, rebates are backdated for a period of up to two rating years.</w:t>
      </w:r>
    </w:p>
    <w:p w14:paraId="5F4E17B1" w14:textId="77777777" w:rsidR="009F4B68" w:rsidRPr="008035D0" w:rsidRDefault="009F4B68" w:rsidP="000F67C8">
      <w:pPr>
        <w:spacing w:line="276" w:lineRule="auto"/>
        <w:jc w:val="both"/>
        <w:rPr>
          <w:rFonts w:ascii="Arial" w:hAnsi="Arial" w:cs="Arial"/>
          <w:sz w:val="20"/>
          <w:szCs w:val="20"/>
          <w:lang w:val="en-US" w:eastAsia="en-US"/>
        </w:rPr>
      </w:pPr>
    </w:p>
    <w:p w14:paraId="51EFC46E" w14:textId="77777777" w:rsidR="009F4B68" w:rsidRPr="008035D0" w:rsidRDefault="009F4B68" w:rsidP="000F67C8">
      <w:pPr>
        <w:spacing w:line="276" w:lineRule="auto"/>
        <w:jc w:val="both"/>
        <w:rPr>
          <w:rFonts w:ascii="Arial" w:hAnsi="Arial" w:cs="Arial"/>
          <w:sz w:val="20"/>
          <w:szCs w:val="20"/>
          <w:lang w:val="en-US" w:eastAsia="en-US"/>
        </w:rPr>
      </w:pPr>
      <w:r w:rsidRPr="008035D0">
        <w:rPr>
          <w:rFonts w:ascii="Arial" w:hAnsi="Arial" w:cs="Arial"/>
          <w:sz w:val="20"/>
          <w:szCs w:val="20"/>
          <w:lang w:val="en-US" w:eastAsia="en-US"/>
        </w:rPr>
        <w:t xml:space="preserve">As the Pensioner Concessioner Rebate has not been indexed by the Federal Government since around 1993, the </w:t>
      </w:r>
      <w:r w:rsidRPr="008035D0">
        <w:rPr>
          <w:rFonts w:ascii="Arial" w:hAnsi="Arial" w:cs="Arial"/>
          <w:bCs/>
          <w:iCs/>
          <w:sz w:val="20"/>
          <w:szCs w:val="20"/>
          <w:lang w:val="en-US" w:eastAsia="en-US"/>
        </w:rPr>
        <w:t>Council, in partnership with Local Government NSW, will continue to advocate for appropriate indexation.</w:t>
      </w:r>
    </w:p>
    <w:p w14:paraId="764F95B6" w14:textId="77777777" w:rsidR="009F4B68" w:rsidRPr="008035D0" w:rsidRDefault="009F4B68" w:rsidP="000F67C8">
      <w:pPr>
        <w:spacing w:line="276" w:lineRule="auto"/>
        <w:jc w:val="both"/>
        <w:rPr>
          <w:rFonts w:ascii="Arial" w:hAnsi="Arial" w:cs="Arial"/>
          <w:sz w:val="20"/>
          <w:szCs w:val="20"/>
          <w:lang w:val="en-US" w:eastAsia="en-US"/>
        </w:rPr>
      </w:pPr>
    </w:p>
    <w:p w14:paraId="662F5A94" w14:textId="77777777" w:rsidR="009F4B68" w:rsidRPr="008035D0" w:rsidRDefault="009F4B68" w:rsidP="000F67C8">
      <w:pPr>
        <w:spacing w:line="276" w:lineRule="auto"/>
        <w:jc w:val="both"/>
        <w:rPr>
          <w:rFonts w:ascii="Arial" w:hAnsi="Arial" w:cs="Arial"/>
          <w:b/>
          <w:sz w:val="20"/>
          <w:szCs w:val="20"/>
          <w:lang w:val="en-US" w:eastAsia="en-US"/>
        </w:rPr>
      </w:pPr>
      <w:r w:rsidRPr="008035D0">
        <w:rPr>
          <w:rFonts w:ascii="Arial" w:hAnsi="Arial" w:cs="Arial"/>
          <w:b/>
          <w:sz w:val="20"/>
          <w:szCs w:val="20"/>
          <w:lang w:val="en-US" w:eastAsia="en-US"/>
        </w:rPr>
        <w:t>Arrangements to Pay</w:t>
      </w:r>
    </w:p>
    <w:p w14:paraId="41B2DC85" w14:textId="77777777" w:rsidR="009F4B68" w:rsidRPr="008035D0" w:rsidRDefault="009F4B68" w:rsidP="000F67C8">
      <w:pPr>
        <w:spacing w:line="276" w:lineRule="auto"/>
        <w:jc w:val="both"/>
        <w:rPr>
          <w:rFonts w:ascii="Arial" w:hAnsi="Arial" w:cs="Arial"/>
          <w:sz w:val="20"/>
          <w:szCs w:val="20"/>
          <w:lang w:val="en-US" w:eastAsia="en-US"/>
        </w:rPr>
      </w:pPr>
      <w:r w:rsidRPr="008035D0">
        <w:rPr>
          <w:rFonts w:ascii="Arial" w:hAnsi="Arial" w:cs="Arial"/>
          <w:sz w:val="20"/>
          <w:szCs w:val="20"/>
          <w:lang w:val="en-US" w:eastAsia="en-US"/>
        </w:rPr>
        <w:t>Where a ratepayer complies with an approved Arrangement to Pay, the Council may write off or reduce interest accrued on rates and charges in accordance with Section 564 of the Act.  Arrangements to Pay are considered for financial relief for a period of less than 12 months on a case by case basis.</w:t>
      </w:r>
    </w:p>
    <w:p w14:paraId="05C2C4B8" w14:textId="77777777" w:rsidR="009F4B68" w:rsidRPr="008035D0" w:rsidRDefault="009F4B68" w:rsidP="000F67C8">
      <w:pPr>
        <w:spacing w:line="276" w:lineRule="auto"/>
        <w:jc w:val="both"/>
        <w:rPr>
          <w:rFonts w:ascii="Arial" w:hAnsi="Arial" w:cs="Arial"/>
          <w:sz w:val="20"/>
          <w:szCs w:val="20"/>
          <w:lang w:val="en-US" w:eastAsia="en-US"/>
        </w:rPr>
      </w:pPr>
    </w:p>
    <w:p w14:paraId="1C0177A0" w14:textId="77777777" w:rsidR="009F4B68" w:rsidRPr="008035D0" w:rsidRDefault="009F4B68" w:rsidP="000F67C8">
      <w:pPr>
        <w:spacing w:line="276" w:lineRule="auto"/>
        <w:jc w:val="both"/>
        <w:rPr>
          <w:rFonts w:ascii="Arial" w:hAnsi="Arial" w:cs="Arial"/>
          <w:sz w:val="20"/>
          <w:szCs w:val="20"/>
          <w:lang w:val="en-US" w:eastAsia="en-US"/>
        </w:rPr>
      </w:pPr>
      <w:r w:rsidRPr="008035D0">
        <w:rPr>
          <w:rFonts w:ascii="Arial" w:hAnsi="Arial" w:cs="Arial"/>
          <w:sz w:val="20"/>
          <w:szCs w:val="20"/>
          <w:lang w:val="en-US" w:eastAsia="en-US"/>
        </w:rPr>
        <w:t>The Council accepts weekly, fortnightly or monthly payment arrangements regardless of the status of a rates account because flexible payment plans can assist ratepayers with managing their household budgets. That is, it does not matter whether an account is overdue or not. Ratepayers are encouraged to pay in line with their household income cycle.</w:t>
      </w:r>
    </w:p>
    <w:p w14:paraId="7F56F21D" w14:textId="77777777" w:rsidR="009F4B68" w:rsidRPr="008035D0" w:rsidRDefault="009F4B68" w:rsidP="000F67C8">
      <w:pPr>
        <w:autoSpaceDE w:val="0"/>
        <w:autoSpaceDN w:val="0"/>
        <w:adjustRightInd w:val="0"/>
        <w:spacing w:line="276" w:lineRule="auto"/>
        <w:jc w:val="both"/>
        <w:rPr>
          <w:rFonts w:ascii="Arial" w:hAnsi="Arial" w:cs="Arial"/>
          <w:sz w:val="20"/>
          <w:szCs w:val="20"/>
        </w:rPr>
      </w:pPr>
    </w:p>
    <w:p w14:paraId="45933D31" w14:textId="77777777" w:rsidR="009F4B68" w:rsidRPr="008035D0" w:rsidRDefault="009F4B68" w:rsidP="000F67C8">
      <w:pPr>
        <w:spacing w:line="276" w:lineRule="auto"/>
        <w:jc w:val="both"/>
        <w:rPr>
          <w:rFonts w:ascii="Arial" w:hAnsi="Arial" w:cs="Arial"/>
          <w:sz w:val="20"/>
          <w:szCs w:val="20"/>
          <w:lang w:val="en-US" w:eastAsia="en-US"/>
        </w:rPr>
      </w:pPr>
      <w:r w:rsidRPr="008035D0">
        <w:rPr>
          <w:rFonts w:ascii="Arial" w:hAnsi="Arial" w:cs="Arial"/>
          <w:sz w:val="20"/>
          <w:szCs w:val="20"/>
          <w:lang w:val="en-US" w:eastAsia="en-US"/>
        </w:rPr>
        <w:t xml:space="preserve">As Direct Debit offers ease of payment and convenience, over 2,400 ratepayers currently use this method for the payment of their annual rates and charges.                        </w:t>
      </w:r>
    </w:p>
    <w:p w14:paraId="3C9F67FA" w14:textId="77777777" w:rsidR="009F4B68" w:rsidRPr="008035D0" w:rsidRDefault="009F4B68" w:rsidP="000F67C8">
      <w:pPr>
        <w:spacing w:line="276" w:lineRule="auto"/>
        <w:jc w:val="both"/>
        <w:rPr>
          <w:rFonts w:ascii="Arial" w:hAnsi="Arial" w:cs="Arial"/>
          <w:b/>
          <w:color w:val="FF0000"/>
          <w:sz w:val="20"/>
          <w:szCs w:val="20"/>
          <w:lang w:val="en-US" w:eastAsia="en-US"/>
        </w:rPr>
      </w:pPr>
    </w:p>
    <w:p w14:paraId="4A64C03B" w14:textId="77777777" w:rsidR="009F4B68" w:rsidRPr="008035D0" w:rsidRDefault="009F4B68" w:rsidP="000F67C8">
      <w:pPr>
        <w:spacing w:line="276" w:lineRule="auto"/>
        <w:jc w:val="both"/>
        <w:rPr>
          <w:rFonts w:ascii="Arial" w:hAnsi="Arial" w:cs="Arial"/>
          <w:sz w:val="20"/>
          <w:szCs w:val="20"/>
          <w:lang w:val="en-US" w:eastAsia="en-US"/>
        </w:rPr>
      </w:pPr>
      <w:r w:rsidRPr="008035D0">
        <w:rPr>
          <w:rFonts w:ascii="Arial" w:hAnsi="Arial" w:cs="Arial"/>
          <w:b/>
          <w:sz w:val="20"/>
          <w:szCs w:val="20"/>
          <w:lang w:val="en-US" w:eastAsia="en-US"/>
        </w:rPr>
        <w:t>Aged &amp; Disability Support Services</w:t>
      </w:r>
    </w:p>
    <w:p w14:paraId="162F6C2E" w14:textId="77777777" w:rsidR="009F4B68" w:rsidRPr="008035D0" w:rsidRDefault="009F4B68" w:rsidP="000F67C8">
      <w:pPr>
        <w:spacing w:line="276" w:lineRule="auto"/>
        <w:jc w:val="both"/>
        <w:rPr>
          <w:rFonts w:ascii="Arial" w:hAnsi="Arial" w:cs="Arial"/>
          <w:sz w:val="20"/>
          <w:szCs w:val="20"/>
          <w:lang w:val="en-US" w:eastAsia="en-US"/>
        </w:rPr>
      </w:pPr>
      <w:r w:rsidRPr="008035D0">
        <w:rPr>
          <w:rFonts w:ascii="Arial" w:hAnsi="Arial" w:cs="Arial"/>
          <w:sz w:val="20"/>
          <w:szCs w:val="20"/>
          <w:lang w:val="en-US" w:eastAsia="en-US"/>
        </w:rPr>
        <w:t xml:space="preserve">In addition to the above, the Council’s Revenue Section maintains a close working relationship with the Council’s Aged and Disability Services Officer where issues arise regarding mental health, physical disabilities and cognitive ability. </w:t>
      </w:r>
    </w:p>
    <w:p w14:paraId="3455E4E6" w14:textId="77777777" w:rsidR="009F4B68" w:rsidRPr="008035D0" w:rsidRDefault="009F4B68" w:rsidP="000F67C8">
      <w:pPr>
        <w:spacing w:line="276" w:lineRule="auto"/>
        <w:jc w:val="both"/>
        <w:rPr>
          <w:rFonts w:ascii="Arial" w:hAnsi="Arial" w:cs="Arial"/>
          <w:sz w:val="20"/>
          <w:szCs w:val="20"/>
          <w:lang w:val="en-US" w:eastAsia="en-US"/>
        </w:rPr>
      </w:pPr>
    </w:p>
    <w:p w14:paraId="5E3B0A45" w14:textId="77777777" w:rsidR="009F4B68" w:rsidRPr="008035D0" w:rsidRDefault="009F4B68" w:rsidP="000F67C8">
      <w:pPr>
        <w:spacing w:line="276" w:lineRule="auto"/>
        <w:jc w:val="both"/>
        <w:rPr>
          <w:rFonts w:ascii="Arial" w:eastAsia="Calibri" w:hAnsi="Arial" w:cs="Arial"/>
          <w:sz w:val="20"/>
          <w:szCs w:val="20"/>
        </w:rPr>
      </w:pPr>
      <w:r w:rsidRPr="008035D0">
        <w:rPr>
          <w:rFonts w:ascii="Arial" w:eastAsia="Calibri" w:hAnsi="Arial" w:cs="Arial"/>
          <w:sz w:val="20"/>
          <w:szCs w:val="20"/>
        </w:rPr>
        <w:t xml:space="preserve">The Council has been a leader in NSW in introducing humane and collaborative ways of supporting vulnerable people in the community living in poverty and squalor, some of whom find it difficult to keep up rate payments, amongst other life challenges. The Council </w:t>
      </w:r>
      <w:r>
        <w:rPr>
          <w:rFonts w:ascii="Arial" w:eastAsia="Calibri" w:hAnsi="Arial" w:cs="Arial"/>
          <w:sz w:val="20"/>
          <w:szCs w:val="20"/>
        </w:rPr>
        <w:t>w</w:t>
      </w:r>
      <w:r w:rsidRPr="008035D0">
        <w:rPr>
          <w:rFonts w:ascii="Arial" w:eastAsia="Calibri" w:hAnsi="Arial" w:cs="Arial"/>
          <w:sz w:val="20"/>
          <w:szCs w:val="20"/>
        </w:rPr>
        <w:t>orks in partnership with agencies such as the Mental Health Team, the Aged Care Assessment Team and the Guardianship Board</w:t>
      </w:r>
      <w:r>
        <w:rPr>
          <w:rFonts w:ascii="Arial" w:eastAsia="Calibri" w:hAnsi="Arial" w:cs="Arial"/>
          <w:sz w:val="20"/>
          <w:szCs w:val="20"/>
        </w:rPr>
        <w:t>,</w:t>
      </w:r>
      <w:r w:rsidRPr="008035D0">
        <w:rPr>
          <w:rFonts w:ascii="Arial" w:eastAsia="Calibri" w:hAnsi="Arial" w:cs="Arial"/>
          <w:sz w:val="20"/>
          <w:szCs w:val="20"/>
        </w:rPr>
        <w:t xml:space="preserve"> to support vulnerable </w:t>
      </w:r>
      <w:r>
        <w:rPr>
          <w:rFonts w:ascii="Arial" w:eastAsia="Calibri" w:hAnsi="Arial" w:cs="Arial"/>
          <w:sz w:val="20"/>
          <w:szCs w:val="20"/>
        </w:rPr>
        <w:t>and financially disadvantaged residents</w:t>
      </w:r>
      <w:r w:rsidRPr="008035D0">
        <w:rPr>
          <w:rFonts w:ascii="Arial" w:eastAsia="Calibri" w:hAnsi="Arial" w:cs="Arial"/>
          <w:sz w:val="20"/>
          <w:szCs w:val="20"/>
        </w:rPr>
        <w:t>, including resolution of rating matters.</w:t>
      </w:r>
    </w:p>
    <w:p w14:paraId="1A05D42F" w14:textId="77777777" w:rsidR="009F4B68" w:rsidRPr="008035D0" w:rsidRDefault="009F4B68" w:rsidP="000F67C8">
      <w:pPr>
        <w:spacing w:line="276" w:lineRule="auto"/>
        <w:jc w:val="both"/>
        <w:rPr>
          <w:rFonts w:ascii="Arial" w:eastAsia="Calibri" w:hAnsi="Arial" w:cs="Arial"/>
          <w:sz w:val="20"/>
          <w:szCs w:val="20"/>
        </w:rPr>
      </w:pPr>
    </w:p>
    <w:p w14:paraId="6CA9BDC1" w14:textId="77777777" w:rsidR="009F4B68" w:rsidRDefault="009F4B68" w:rsidP="000F67C8">
      <w:pPr>
        <w:spacing w:line="276" w:lineRule="auto"/>
        <w:jc w:val="both"/>
        <w:rPr>
          <w:rFonts w:ascii="Arial" w:eastAsia="Calibri" w:hAnsi="Arial" w:cs="Arial"/>
          <w:sz w:val="20"/>
          <w:szCs w:val="20"/>
        </w:rPr>
      </w:pPr>
      <w:r w:rsidRPr="008035D0">
        <w:rPr>
          <w:rFonts w:ascii="Arial" w:eastAsia="Calibri" w:hAnsi="Arial" w:cs="Arial"/>
          <w:sz w:val="20"/>
          <w:szCs w:val="20"/>
        </w:rPr>
        <w:t xml:space="preserve">For example, until 2007 it was not unusual for </w:t>
      </w:r>
      <w:r>
        <w:rPr>
          <w:rFonts w:ascii="Arial" w:eastAsia="Calibri" w:hAnsi="Arial" w:cs="Arial"/>
          <w:sz w:val="20"/>
          <w:szCs w:val="20"/>
        </w:rPr>
        <w:t>BMCC</w:t>
      </w:r>
      <w:r w:rsidRPr="008035D0">
        <w:rPr>
          <w:rFonts w:ascii="Arial" w:eastAsia="Calibri" w:hAnsi="Arial" w:cs="Arial"/>
          <w:sz w:val="20"/>
          <w:szCs w:val="20"/>
        </w:rPr>
        <w:t xml:space="preserve"> to </w:t>
      </w:r>
      <w:r>
        <w:rPr>
          <w:rFonts w:ascii="Arial" w:eastAsia="Calibri" w:hAnsi="Arial" w:cs="Arial"/>
          <w:sz w:val="20"/>
          <w:szCs w:val="20"/>
        </w:rPr>
        <w:t>require</w:t>
      </w:r>
      <w:r w:rsidRPr="008035D0">
        <w:rPr>
          <w:rFonts w:ascii="Arial" w:eastAsia="Calibri" w:hAnsi="Arial" w:cs="Arial"/>
          <w:sz w:val="20"/>
          <w:szCs w:val="20"/>
        </w:rPr>
        <w:t xml:space="preserve"> sale of a property</w:t>
      </w:r>
      <w:r>
        <w:rPr>
          <w:rFonts w:ascii="Arial" w:eastAsia="Calibri" w:hAnsi="Arial" w:cs="Arial"/>
          <w:sz w:val="20"/>
          <w:szCs w:val="20"/>
        </w:rPr>
        <w:t>,</w:t>
      </w:r>
      <w:r w:rsidRPr="008035D0">
        <w:rPr>
          <w:rFonts w:ascii="Arial" w:eastAsia="Calibri" w:hAnsi="Arial" w:cs="Arial"/>
          <w:sz w:val="20"/>
          <w:szCs w:val="20"/>
        </w:rPr>
        <w:t xml:space="preserve"> or take a vulnerable ratepayer to court</w:t>
      </w:r>
      <w:r>
        <w:rPr>
          <w:rFonts w:ascii="Arial" w:eastAsia="Calibri" w:hAnsi="Arial" w:cs="Arial"/>
          <w:sz w:val="20"/>
          <w:szCs w:val="20"/>
        </w:rPr>
        <w:t>,</w:t>
      </w:r>
      <w:r w:rsidRPr="008035D0">
        <w:rPr>
          <w:rFonts w:ascii="Arial" w:eastAsia="Calibri" w:hAnsi="Arial" w:cs="Arial"/>
          <w:sz w:val="20"/>
          <w:szCs w:val="20"/>
        </w:rPr>
        <w:t xml:space="preserve"> if there was significant unpaid rates. </w:t>
      </w:r>
      <w:r>
        <w:rPr>
          <w:rFonts w:ascii="Arial" w:eastAsia="Calibri" w:hAnsi="Arial" w:cs="Arial"/>
          <w:sz w:val="20"/>
          <w:szCs w:val="20"/>
        </w:rPr>
        <w:t>This no longer occurs without a full understanding of the underlying issues as to why a resident is in the predicament. For example in 2007 a resident was in arrears of $16,000 in her rates and living in squalid conditions. It was subsequently identified through Council’s Aged and Disability Officer that the woman had dementia. A care Plan was developed and an affordable repayment program put in place with the support of the Guardianship Tribunal and the Revenue Team.</w:t>
      </w:r>
    </w:p>
    <w:p w14:paraId="46E1752C" w14:textId="77777777" w:rsidR="009F4B68" w:rsidRDefault="009F4B68" w:rsidP="000F67C8">
      <w:pPr>
        <w:spacing w:line="276" w:lineRule="auto"/>
        <w:jc w:val="both"/>
        <w:rPr>
          <w:rFonts w:ascii="Arial" w:eastAsia="Calibri" w:hAnsi="Arial" w:cs="Arial"/>
          <w:sz w:val="20"/>
          <w:szCs w:val="20"/>
        </w:rPr>
      </w:pPr>
    </w:p>
    <w:p w14:paraId="5258ED94" w14:textId="77777777" w:rsidR="009F4B68" w:rsidRDefault="009F4B68" w:rsidP="000F67C8">
      <w:pPr>
        <w:spacing w:line="276" w:lineRule="auto"/>
        <w:jc w:val="both"/>
        <w:rPr>
          <w:rFonts w:ascii="Arial" w:eastAsia="Calibri" w:hAnsi="Arial" w:cs="Arial"/>
          <w:sz w:val="20"/>
          <w:szCs w:val="20"/>
        </w:rPr>
      </w:pPr>
      <w:r>
        <w:rPr>
          <w:rFonts w:ascii="Arial" w:eastAsia="Calibri" w:hAnsi="Arial" w:cs="Arial"/>
          <w:sz w:val="20"/>
          <w:szCs w:val="20"/>
        </w:rPr>
        <w:t xml:space="preserve">By understanding underlying issues, the Council is then in a position to engage with relevant support agencies, to work together in developing appropriate Care Plans and strategies for addressing required outstanding rates. This cultural shift from reacting to proactively managing these people, has now been fully embraced  by all sections of Council. </w:t>
      </w:r>
    </w:p>
    <w:p w14:paraId="389F2361" w14:textId="77777777" w:rsidR="009F4B68" w:rsidRDefault="009F4B68" w:rsidP="000F67C8">
      <w:pPr>
        <w:spacing w:line="276" w:lineRule="auto"/>
        <w:jc w:val="both"/>
        <w:rPr>
          <w:rFonts w:ascii="Arial" w:eastAsia="Calibri" w:hAnsi="Arial" w:cs="Arial"/>
          <w:sz w:val="20"/>
          <w:szCs w:val="20"/>
        </w:rPr>
      </w:pPr>
    </w:p>
    <w:p w14:paraId="4C1D0732" w14:textId="77777777" w:rsidR="009F4B68" w:rsidRPr="008035D0" w:rsidRDefault="009F4B68" w:rsidP="000F67C8">
      <w:pPr>
        <w:spacing w:line="276" w:lineRule="auto"/>
        <w:jc w:val="both"/>
        <w:rPr>
          <w:rFonts w:ascii="Arial" w:eastAsia="Calibri" w:hAnsi="Arial" w:cs="Arial"/>
          <w:sz w:val="20"/>
          <w:szCs w:val="20"/>
        </w:rPr>
      </w:pPr>
      <w:r>
        <w:rPr>
          <w:rFonts w:ascii="Arial" w:eastAsia="Calibri" w:hAnsi="Arial" w:cs="Arial"/>
          <w:sz w:val="20"/>
          <w:szCs w:val="20"/>
        </w:rPr>
        <w:t xml:space="preserve">The Council also assists people experiencing hardship through referral to </w:t>
      </w:r>
      <w:r w:rsidRPr="008035D0">
        <w:rPr>
          <w:rFonts w:ascii="Arial" w:eastAsia="Calibri" w:hAnsi="Arial" w:cs="Arial"/>
          <w:sz w:val="20"/>
          <w:szCs w:val="20"/>
        </w:rPr>
        <w:t xml:space="preserve">support services to assist with food and electricity vouches and developing care plans and programs of easily affordable payments in consultation with the NSW Guardianship Board. </w:t>
      </w:r>
    </w:p>
    <w:p w14:paraId="10A9E388" w14:textId="77777777" w:rsidR="009F4B68" w:rsidRPr="008035D0" w:rsidRDefault="009F4B68" w:rsidP="000F67C8">
      <w:pPr>
        <w:spacing w:before="100" w:beforeAutospacing="1" w:after="100" w:afterAutospacing="1" w:line="276" w:lineRule="auto"/>
        <w:jc w:val="both"/>
        <w:rPr>
          <w:rFonts w:ascii="Arial" w:eastAsia="Calibri" w:hAnsi="Arial" w:cs="Arial"/>
          <w:sz w:val="20"/>
          <w:szCs w:val="20"/>
        </w:rPr>
      </w:pPr>
      <w:r w:rsidRPr="008035D0">
        <w:rPr>
          <w:rFonts w:ascii="Arial" w:eastAsia="Calibri" w:hAnsi="Arial" w:cs="Arial"/>
          <w:sz w:val="20"/>
          <w:szCs w:val="20"/>
        </w:rPr>
        <w:t xml:space="preserve">In February 2009, </w:t>
      </w:r>
      <w:r>
        <w:rPr>
          <w:rFonts w:ascii="Arial" w:eastAsia="Calibri" w:hAnsi="Arial" w:cs="Arial"/>
          <w:sz w:val="20"/>
          <w:szCs w:val="20"/>
        </w:rPr>
        <w:t xml:space="preserve">the </w:t>
      </w:r>
      <w:r w:rsidRPr="008035D0">
        <w:rPr>
          <w:rFonts w:ascii="Arial" w:eastAsia="Calibri" w:hAnsi="Arial" w:cs="Arial"/>
          <w:sz w:val="20"/>
          <w:szCs w:val="20"/>
        </w:rPr>
        <w:t>Council initiated a working</w:t>
      </w:r>
      <w:r>
        <w:rPr>
          <w:rFonts w:ascii="Arial" w:eastAsia="Calibri" w:hAnsi="Arial" w:cs="Arial"/>
          <w:sz w:val="20"/>
          <w:szCs w:val="20"/>
        </w:rPr>
        <w:t xml:space="preserve"> party involving </w:t>
      </w:r>
      <w:r w:rsidRPr="008035D0">
        <w:rPr>
          <w:rFonts w:ascii="Arial" w:eastAsia="Calibri" w:hAnsi="Arial" w:cs="Arial"/>
          <w:sz w:val="20"/>
          <w:szCs w:val="20"/>
        </w:rPr>
        <w:t xml:space="preserve">representatives from the Aged Care Assessment Team, Community Options, </w:t>
      </w:r>
      <w:hyperlink r:id="rId92" w:history="1">
        <w:r w:rsidRPr="008035D0">
          <w:rPr>
            <w:rFonts w:ascii="Arial" w:eastAsia="Calibri" w:hAnsi="Arial" w:cs="Arial"/>
            <w:sz w:val="20"/>
            <w:szCs w:val="20"/>
          </w:rPr>
          <w:t>Housing NSW</w:t>
        </w:r>
      </w:hyperlink>
      <w:r w:rsidRPr="008035D0">
        <w:rPr>
          <w:rFonts w:ascii="Arial" w:eastAsia="Calibri" w:hAnsi="Arial" w:cs="Arial"/>
          <w:sz w:val="20"/>
          <w:szCs w:val="20"/>
        </w:rPr>
        <w:t xml:space="preserve">, </w:t>
      </w:r>
      <w:hyperlink r:id="rId93" w:history="1">
        <w:r w:rsidRPr="008035D0">
          <w:rPr>
            <w:rFonts w:ascii="Arial" w:eastAsia="Calibri" w:hAnsi="Arial" w:cs="Arial"/>
            <w:sz w:val="20"/>
            <w:szCs w:val="20"/>
          </w:rPr>
          <w:t>Eloura Industries</w:t>
        </w:r>
      </w:hyperlink>
      <w:r w:rsidRPr="008035D0">
        <w:rPr>
          <w:rFonts w:ascii="Arial" w:eastAsia="Calibri" w:hAnsi="Arial" w:cs="Arial"/>
          <w:sz w:val="20"/>
          <w:szCs w:val="20"/>
        </w:rPr>
        <w:t xml:space="preserve">, Mental Health Services, Katoomba, </w:t>
      </w:r>
      <w:hyperlink r:id="rId94" w:history="1">
        <w:r w:rsidRPr="008035D0">
          <w:rPr>
            <w:rFonts w:ascii="Arial" w:eastAsia="Calibri" w:hAnsi="Arial" w:cs="Arial"/>
            <w:sz w:val="20"/>
            <w:szCs w:val="20"/>
          </w:rPr>
          <w:t>Home Care NSW</w:t>
        </w:r>
      </w:hyperlink>
      <w:r w:rsidRPr="008035D0">
        <w:rPr>
          <w:rFonts w:ascii="Arial" w:eastAsia="Calibri" w:hAnsi="Arial" w:cs="Arial"/>
          <w:sz w:val="20"/>
          <w:szCs w:val="20"/>
        </w:rPr>
        <w:t xml:space="preserve">, </w:t>
      </w:r>
      <w:hyperlink r:id="rId95" w:history="1">
        <w:r w:rsidRPr="008035D0">
          <w:rPr>
            <w:rFonts w:ascii="Arial" w:eastAsia="Calibri" w:hAnsi="Arial" w:cs="Arial"/>
            <w:sz w:val="20"/>
            <w:szCs w:val="20"/>
          </w:rPr>
          <w:t>RSPCA</w:t>
        </w:r>
      </w:hyperlink>
      <w:r w:rsidRPr="008035D0">
        <w:rPr>
          <w:rFonts w:ascii="Arial" w:eastAsia="Calibri" w:hAnsi="Arial" w:cs="Arial"/>
          <w:sz w:val="20"/>
          <w:szCs w:val="20"/>
        </w:rPr>
        <w:t xml:space="preserve"> and the </w:t>
      </w:r>
      <w:hyperlink r:id="rId96" w:history="1">
        <w:r w:rsidRPr="008035D0">
          <w:rPr>
            <w:rFonts w:ascii="Arial" w:eastAsia="Calibri" w:hAnsi="Arial" w:cs="Arial"/>
            <w:sz w:val="20"/>
            <w:szCs w:val="20"/>
          </w:rPr>
          <w:t>Personal Helpers Mentors Program</w:t>
        </w:r>
      </w:hyperlink>
      <w:r w:rsidRPr="008035D0">
        <w:rPr>
          <w:rFonts w:ascii="Arial" w:eastAsia="Calibri" w:hAnsi="Arial" w:cs="Arial"/>
          <w:sz w:val="20"/>
          <w:szCs w:val="20"/>
        </w:rPr>
        <w:t xml:space="preserve">. A key outcome from this working party was the development of a comprehensive </w:t>
      </w:r>
      <w:r>
        <w:rPr>
          <w:rFonts w:ascii="Arial" w:eastAsia="Calibri" w:hAnsi="Arial" w:cs="Arial"/>
          <w:sz w:val="20"/>
          <w:szCs w:val="20"/>
        </w:rPr>
        <w:t xml:space="preserve">award winning </w:t>
      </w:r>
      <w:r w:rsidRPr="002C2A5E">
        <w:rPr>
          <w:rFonts w:ascii="Arial" w:eastAsia="Calibri" w:hAnsi="Arial" w:cs="Arial"/>
          <w:i/>
          <w:sz w:val="20"/>
          <w:szCs w:val="20"/>
        </w:rPr>
        <w:t>Squalor and Hoarding Information Kit</w:t>
      </w:r>
      <w:r w:rsidRPr="008035D0">
        <w:rPr>
          <w:rFonts w:ascii="Arial" w:eastAsia="Calibri" w:hAnsi="Arial" w:cs="Arial"/>
          <w:sz w:val="20"/>
          <w:szCs w:val="20"/>
        </w:rPr>
        <w:t xml:space="preserve"> for both residents and service providers.  </w:t>
      </w:r>
    </w:p>
    <w:p w14:paraId="608A8E21" w14:textId="77777777" w:rsidR="009F4B68" w:rsidRPr="008035D0" w:rsidRDefault="009F4B68" w:rsidP="000F67C8">
      <w:pPr>
        <w:spacing w:line="276" w:lineRule="auto"/>
        <w:jc w:val="both"/>
        <w:rPr>
          <w:rFonts w:ascii="Arial" w:hAnsi="Arial" w:cs="Arial"/>
          <w:sz w:val="20"/>
          <w:szCs w:val="20"/>
          <w:lang w:val="en-US" w:eastAsia="en-US"/>
        </w:rPr>
      </w:pPr>
      <w:r w:rsidRPr="008035D0">
        <w:rPr>
          <w:rFonts w:ascii="Arial" w:hAnsi="Arial" w:cs="Arial"/>
          <w:sz w:val="20"/>
          <w:szCs w:val="20"/>
          <w:lang w:val="en-US" w:eastAsia="en-US"/>
        </w:rPr>
        <w:t xml:space="preserve">It is now standard procedure for ratepayers to be referred to the Council’s  Aged and Disability Officer should it be identified they are experiencing difficulty in accessing assistance or dealing with other issues relating to their property including payment of rates.  </w:t>
      </w:r>
    </w:p>
    <w:p w14:paraId="3E7B6AE5" w14:textId="77777777" w:rsidR="009F4B68" w:rsidRPr="008035D0" w:rsidRDefault="009F4B68" w:rsidP="000F67C8">
      <w:pPr>
        <w:spacing w:line="276" w:lineRule="auto"/>
        <w:rPr>
          <w:rFonts w:ascii="Arial" w:hAnsi="Arial" w:cs="Arial"/>
          <w:b/>
          <w:sz w:val="20"/>
          <w:szCs w:val="20"/>
          <w:lang w:val="en-US" w:eastAsia="en-US"/>
        </w:rPr>
      </w:pPr>
    </w:p>
    <w:p w14:paraId="1FC0A40B" w14:textId="77777777" w:rsidR="009F4B68" w:rsidRPr="008035D0" w:rsidRDefault="009F4B68" w:rsidP="000F67C8">
      <w:pPr>
        <w:spacing w:line="276" w:lineRule="auto"/>
        <w:rPr>
          <w:rFonts w:ascii="Arial" w:hAnsi="Arial" w:cs="Arial"/>
          <w:b/>
          <w:sz w:val="20"/>
          <w:szCs w:val="20"/>
          <w:lang w:val="en-US" w:eastAsia="en-US"/>
        </w:rPr>
      </w:pPr>
      <w:r w:rsidRPr="008035D0">
        <w:rPr>
          <w:rFonts w:ascii="Arial" w:hAnsi="Arial" w:cs="Arial"/>
          <w:b/>
          <w:sz w:val="20"/>
          <w:szCs w:val="20"/>
          <w:lang w:val="en-US" w:eastAsia="en-US"/>
        </w:rPr>
        <w:t>Referral to Free Financial Advisory Services and other Agencies</w:t>
      </w:r>
    </w:p>
    <w:p w14:paraId="3C61ED19" w14:textId="77777777" w:rsidR="009F4B68" w:rsidRPr="008035D0" w:rsidRDefault="009F4B68" w:rsidP="000F67C8">
      <w:pPr>
        <w:spacing w:line="276" w:lineRule="auto"/>
        <w:jc w:val="both"/>
        <w:rPr>
          <w:rFonts w:ascii="Arial" w:hAnsi="Arial" w:cs="Arial"/>
          <w:sz w:val="20"/>
          <w:szCs w:val="20"/>
          <w:lang w:val="en-US" w:eastAsia="en-US"/>
        </w:rPr>
      </w:pPr>
      <w:r w:rsidRPr="008035D0">
        <w:rPr>
          <w:rFonts w:ascii="Arial" w:hAnsi="Arial" w:cs="Arial"/>
          <w:sz w:val="20"/>
          <w:szCs w:val="20"/>
          <w:lang w:val="en-US" w:eastAsia="en-US"/>
        </w:rPr>
        <w:t>The Council also refers ratepayers in need to free financial advisory services and for other support agencies (e.g. Salvation Army) where appropriate. Open communications are maintained with these service organisations and any payment plans negotiated are flexible to ensure that ratepayers are able to maintain the individual agreements.</w:t>
      </w:r>
    </w:p>
    <w:p w14:paraId="13D1AD47" w14:textId="2357F8AE" w:rsidR="009F4B68" w:rsidRPr="005171E1" w:rsidRDefault="009F4B68" w:rsidP="000F67C8">
      <w:pPr>
        <w:spacing w:before="240" w:line="276" w:lineRule="auto"/>
        <w:jc w:val="both"/>
        <w:rPr>
          <w:rFonts w:ascii="Arial" w:hAnsi="Arial" w:cs="Arial"/>
          <w:b/>
          <w:sz w:val="18"/>
          <w:szCs w:val="18"/>
        </w:rPr>
      </w:pPr>
      <w:r w:rsidRPr="005171E1">
        <w:rPr>
          <w:rFonts w:ascii="Arial" w:hAnsi="Arial" w:cs="Arial"/>
          <w:b/>
          <w:sz w:val="18"/>
          <w:szCs w:val="18"/>
        </w:rPr>
        <w:t>Table 5.7</w:t>
      </w:r>
      <w:r w:rsidR="00EB27AC" w:rsidRPr="005171E1">
        <w:rPr>
          <w:rFonts w:ascii="Arial" w:hAnsi="Arial" w:cs="Arial"/>
          <w:b/>
          <w:sz w:val="18"/>
          <w:szCs w:val="18"/>
        </w:rPr>
        <w:t>:</w:t>
      </w:r>
      <w:r w:rsidRPr="005171E1">
        <w:rPr>
          <w:rFonts w:ascii="Arial" w:hAnsi="Arial" w:cs="Arial"/>
          <w:b/>
          <w:sz w:val="18"/>
          <w:szCs w:val="18"/>
        </w:rPr>
        <w:t xml:space="preserve"> Document reference for Assessment Criteria 3</w:t>
      </w:r>
    </w:p>
    <w:tbl>
      <w:tblPr>
        <w:tblStyle w:val="TableGrid5"/>
        <w:tblW w:w="0" w:type="auto"/>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418"/>
        <w:gridCol w:w="7087"/>
      </w:tblGrid>
      <w:tr w:rsidR="009F4B68" w:rsidRPr="00E66B92" w14:paraId="754EA8B6" w14:textId="77777777" w:rsidTr="00ED6D3D">
        <w:trPr>
          <w:trHeight w:val="454"/>
        </w:trPr>
        <w:tc>
          <w:tcPr>
            <w:tcW w:w="1418" w:type="dxa"/>
            <w:shd w:val="clear" w:color="auto" w:fill="365F91" w:themeFill="accent1" w:themeFillShade="BF"/>
            <w:vAlign w:val="center"/>
          </w:tcPr>
          <w:p w14:paraId="6DF1446C" w14:textId="77777777" w:rsidR="009F4B68" w:rsidRPr="005171E1" w:rsidRDefault="009F4B68" w:rsidP="000F67C8">
            <w:pPr>
              <w:autoSpaceDE w:val="0"/>
              <w:autoSpaceDN w:val="0"/>
              <w:adjustRightInd w:val="0"/>
              <w:spacing w:before="40" w:after="40" w:line="276" w:lineRule="auto"/>
              <w:jc w:val="center"/>
              <w:rPr>
                <w:rFonts w:ascii="Arial" w:hAnsi="Arial" w:cs="Arial"/>
                <w:b/>
                <w:color w:val="FFFFFF" w:themeColor="background1"/>
                <w:sz w:val="20"/>
                <w:szCs w:val="20"/>
              </w:rPr>
            </w:pPr>
            <w:r w:rsidRPr="005171E1">
              <w:rPr>
                <w:rFonts w:ascii="Arial" w:hAnsi="Arial" w:cs="Arial"/>
                <w:b/>
                <w:color w:val="FFFFFF" w:themeColor="background1"/>
                <w:sz w:val="20"/>
                <w:szCs w:val="20"/>
              </w:rPr>
              <w:t>Attachment No.</w:t>
            </w:r>
          </w:p>
        </w:tc>
        <w:tc>
          <w:tcPr>
            <w:tcW w:w="7087" w:type="dxa"/>
            <w:shd w:val="clear" w:color="auto" w:fill="365F91" w:themeFill="accent1" w:themeFillShade="BF"/>
            <w:vAlign w:val="center"/>
          </w:tcPr>
          <w:p w14:paraId="5BDAD5F3" w14:textId="77777777" w:rsidR="009F4B68" w:rsidRPr="005171E1" w:rsidRDefault="009F4B68" w:rsidP="000F67C8">
            <w:pPr>
              <w:autoSpaceDE w:val="0"/>
              <w:autoSpaceDN w:val="0"/>
              <w:adjustRightInd w:val="0"/>
              <w:spacing w:before="40" w:after="40" w:line="276" w:lineRule="auto"/>
              <w:jc w:val="center"/>
              <w:rPr>
                <w:rFonts w:ascii="Arial" w:hAnsi="Arial" w:cs="Arial"/>
                <w:b/>
                <w:color w:val="FFFFFF" w:themeColor="background1"/>
                <w:sz w:val="20"/>
                <w:szCs w:val="20"/>
              </w:rPr>
            </w:pPr>
            <w:r w:rsidRPr="005171E1">
              <w:rPr>
                <w:rFonts w:ascii="Arial" w:hAnsi="Arial" w:cs="Arial"/>
                <w:b/>
                <w:color w:val="FFFFFF" w:themeColor="background1"/>
                <w:sz w:val="20"/>
                <w:szCs w:val="20"/>
              </w:rPr>
              <w:t>Document</w:t>
            </w:r>
          </w:p>
        </w:tc>
      </w:tr>
      <w:tr w:rsidR="009F4B68" w:rsidRPr="00E66B92" w14:paraId="2FBEEEEC" w14:textId="77777777" w:rsidTr="00ED6D3D">
        <w:tc>
          <w:tcPr>
            <w:tcW w:w="1418" w:type="dxa"/>
            <w:shd w:val="clear" w:color="auto" w:fill="DBE5F1" w:themeFill="accent1" w:themeFillTint="33"/>
            <w:vAlign w:val="center"/>
          </w:tcPr>
          <w:p w14:paraId="65AB3B5C" w14:textId="77777777" w:rsidR="009F4B68" w:rsidRPr="005171E1" w:rsidRDefault="009F4B68" w:rsidP="000F67C8">
            <w:pPr>
              <w:autoSpaceDE w:val="0"/>
              <w:autoSpaceDN w:val="0"/>
              <w:adjustRightInd w:val="0"/>
              <w:spacing w:before="40" w:after="40" w:line="276" w:lineRule="auto"/>
              <w:jc w:val="center"/>
              <w:rPr>
                <w:rFonts w:ascii="Arial" w:hAnsi="Arial" w:cs="Arial"/>
                <w:color w:val="000000"/>
                <w:sz w:val="20"/>
                <w:szCs w:val="20"/>
              </w:rPr>
            </w:pPr>
            <w:r w:rsidRPr="005171E1">
              <w:rPr>
                <w:rFonts w:ascii="Arial" w:hAnsi="Arial" w:cs="Arial"/>
                <w:color w:val="000000"/>
                <w:sz w:val="20"/>
                <w:szCs w:val="20"/>
              </w:rPr>
              <w:t>7</w:t>
            </w:r>
          </w:p>
        </w:tc>
        <w:tc>
          <w:tcPr>
            <w:tcW w:w="7087" w:type="dxa"/>
            <w:shd w:val="clear" w:color="auto" w:fill="DBE5F1" w:themeFill="accent1" w:themeFillTint="33"/>
            <w:vAlign w:val="center"/>
          </w:tcPr>
          <w:p w14:paraId="7511322D" w14:textId="77777777" w:rsidR="009F4B68" w:rsidRPr="005171E1" w:rsidRDefault="009F4B68" w:rsidP="000F67C8">
            <w:pPr>
              <w:autoSpaceDE w:val="0"/>
              <w:autoSpaceDN w:val="0"/>
              <w:adjustRightInd w:val="0"/>
              <w:spacing w:before="40" w:after="40" w:line="276" w:lineRule="auto"/>
              <w:rPr>
                <w:rFonts w:ascii="Arial" w:hAnsi="Arial" w:cs="Arial"/>
                <w:color w:val="000000"/>
                <w:sz w:val="20"/>
                <w:szCs w:val="20"/>
              </w:rPr>
            </w:pPr>
            <w:r w:rsidRPr="005171E1">
              <w:rPr>
                <w:rFonts w:ascii="Arial" w:hAnsi="Arial" w:cs="Arial"/>
                <w:color w:val="000000"/>
                <w:sz w:val="20"/>
                <w:szCs w:val="20"/>
              </w:rPr>
              <w:t>Hardship Relief Policy</w:t>
            </w:r>
          </w:p>
        </w:tc>
      </w:tr>
      <w:tr w:rsidR="009F4B68" w:rsidRPr="00E66B92" w14:paraId="4B238F97" w14:textId="77777777" w:rsidTr="00ED6D3D">
        <w:tc>
          <w:tcPr>
            <w:tcW w:w="1418" w:type="dxa"/>
            <w:shd w:val="clear" w:color="auto" w:fill="DBE5F1" w:themeFill="accent1" w:themeFillTint="33"/>
            <w:vAlign w:val="center"/>
          </w:tcPr>
          <w:p w14:paraId="4AE08FE7" w14:textId="77777777" w:rsidR="009F4B68" w:rsidRPr="005171E1" w:rsidRDefault="009F4B68" w:rsidP="000F67C8">
            <w:pPr>
              <w:autoSpaceDE w:val="0"/>
              <w:autoSpaceDN w:val="0"/>
              <w:adjustRightInd w:val="0"/>
              <w:spacing w:before="40" w:after="40" w:line="276" w:lineRule="auto"/>
              <w:jc w:val="center"/>
              <w:rPr>
                <w:rFonts w:ascii="Arial" w:hAnsi="Arial" w:cs="Arial"/>
                <w:color w:val="000000"/>
                <w:sz w:val="20"/>
                <w:szCs w:val="20"/>
              </w:rPr>
            </w:pPr>
            <w:r w:rsidRPr="005171E1">
              <w:rPr>
                <w:rFonts w:ascii="Arial" w:hAnsi="Arial" w:cs="Arial"/>
                <w:color w:val="000000"/>
                <w:sz w:val="20"/>
                <w:szCs w:val="20"/>
              </w:rPr>
              <w:t>13</w:t>
            </w:r>
          </w:p>
        </w:tc>
        <w:tc>
          <w:tcPr>
            <w:tcW w:w="7087" w:type="dxa"/>
            <w:shd w:val="clear" w:color="auto" w:fill="DBE5F1" w:themeFill="accent1" w:themeFillTint="33"/>
            <w:vAlign w:val="center"/>
          </w:tcPr>
          <w:p w14:paraId="23FD654A" w14:textId="77777777" w:rsidR="009F4B68" w:rsidRPr="005171E1" w:rsidRDefault="009F4B68" w:rsidP="000F67C8">
            <w:pPr>
              <w:autoSpaceDE w:val="0"/>
              <w:autoSpaceDN w:val="0"/>
              <w:adjustRightInd w:val="0"/>
              <w:spacing w:before="40" w:after="40" w:line="276" w:lineRule="auto"/>
              <w:rPr>
                <w:rFonts w:ascii="Arial" w:hAnsi="Arial" w:cs="Arial"/>
                <w:color w:val="000000"/>
                <w:sz w:val="20"/>
                <w:szCs w:val="20"/>
              </w:rPr>
            </w:pPr>
            <w:r w:rsidRPr="005171E1">
              <w:rPr>
                <w:rFonts w:ascii="Arial" w:hAnsi="Arial" w:cs="Arial"/>
                <w:color w:val="000000"/>
                <w:sz w:val="20"/>
                <w:szCs w:val="20"/>
              </w:rPr>
              <w:t>Resourcing Strategy 2014-2024</w:t>
            </w:r>
          </w:p>
        </w:tc>
      </w:tr>
    </w:tbl>
    <w:p w14:paraId="67013F1D" w14:textId="77777777" w:rsidR="000A4055" w:rsidRPr="00E66B92" w:rsidRDefault="000A4055" w:rsidP="000F67C8">
      <w:pPr>
        <w:spacing w:line="276" w:lineRule="auto"/>
      </w:pPr>
    </w:p>
    <w:p w14:paraId="0BD28708" w14:textId="77777777" w:rsidR="00E66B92" w:rsidRPr="00E66B92" w:rsidRDefault="00E66B92" w:rsidP="000F67C8">
      <w:pPr>
        <w:spacing w:line="276" w:lineRule="auto"/>
      </w:pPr>
    </w:p>
    <w:p w14:paraId="1ECFADED" w14:textId="31744708" w:rsidR="008035D0" w:rsidRDefault="008035D0" w:rsidP="00A4111C">
      <w:pPr>
        <w:pStyle w:val="Default"/>
        <w:spacing w:line="360" w:lineRule="auto"/>
        <w:jc w:val="both"/>
        <w:rPr>
          <w:sz w:val="20"/>
          <w:szCs w:val="20"/>
        </w:rPr>
      </w:pPr>
    </w:p>
    <w:p w14:paraId="54D5CF5A" w14:textId="77777777" w:rsidR="008035D0" w:rsidRDefault="008035D0">
      <w:pPr>
        <w:rPr>
          <w:rFonts w:ascii="Arial" w:hAnsi="Arial" w:cs="Arial"/>
          <w:color w:val="000000"/>
          <w:sz w:val="20"/>
          <w:szCs w:val="20"/>
        </w:rPr>
      </w:pPr>
      <w:r>
        <w:rPr>
          <w:sz w:val="20"/>
          <w:szCs w:val="20"/>
        </w:rPr>
        <w:br w:type="page"/>
      </w:r>
    </w:p>
    <w:p w14:paraId="18D70526" w14:textId="20448542" w:rsidR="00D60EA5" w:rsidRDefault="006053CE" w:rsidP="00D60EA5">
      <w:pPr>
        <w:pStyle w:val="Heading1"/>
      </w:pPr>
      <w:bookmarkStart w:id="98" w:name="_Toc412798928"/>
      <w:r>
        <w:t>A</w:t>
      </w:r>
      <w:r w:rsidR="00D60EA5">
        <w:t xml:space="preserve">ssessment criterion 4: </w:t>
      </w:r>
      <w:r w:rsidR="00CA35DF">
        <w:t>Public exhibition of relevant IP&amp;R documents</w:t>
      </w:r>
      <w:bookmarkEnd w:id="98"/>
    </w:p>
    <w:p w14:paraId="18D70527" w14:textId="77777777" w:rsidR="00D60EA5" w:rsidRPr="001671A6" w:rsidRDefault="00B73C72" w:rsidP="00D60EA5">
      <w:pPr>
        <w:pStyle w:val="BodyText"/>
        <w:spacing w:after="240"/>
        <w:rPr>
          <w:color w:val="548DD4" w:themeColor="text2" w:themeTint="99"/>
          <w:sz w:val="20"/>
          <w:szCs w:val="20"/>
        </w:rPr>
      </w:pPr>
      <w:r w:rsidRPr="001671A6">
        <w:rPr>
          <w:color w:val="548DD4" w:themeColor="text2" w:themeTint="99"/>
          <w:sz w:val="20"/>
          <w:szCs w:val="20"/>
        </w:rPr>
        <w:t>Criterion 4 within t</w:t>
      </w:r>
      <w:r w:rsidR="00D60EA5" w:rsidRPr="001671A6">
        <w:rPr>
          <w:color w:val="548DD4" w:themeColor="text2" w:themeTint="99"/>
          <w:sz w:val="20"/>
          <w:szCs w:val="20"/>
        </w:rPr>
        <w:t xml:space="preserve">he </w:t>
      </w:r>
      <w:r w:rsidR="00540000" w:rsidRPr="001671A6">
        <w:rPr>
          <w:color w:val="548DD4" w:themeColor="text2" w:themeTint="99"/>
          <w:sz w:val="20"/>
          <w:szCs w:val="20"/>
        </w:rPr>
        <w:t>O</w:t>
      </w:r>
      <w:r w:rsidR="00D60EA5" w:rsidRPr="001671A6">
        <w:rPr>
          <w:color w:val="548DD4" w:themeColor="text2" w:themeTint="99"/>
          <w:sz w:val="20"/>
          <w:szCs w:val="20"/>
        </w:rPr>
        <w:t xml:space="preserve">LG Guidelines </w:t>
      </w:r>
      <w:r w:rsidRPr="001671A6">
        <w:rPr>
          <w:color w:val="548DD4" w:themeColor="text2" w:themeTint="99"/>
          <w:sz w:val="20"/>
          <w:szCs w:val="20"/>
        </w:rPr>
        <w:t>i</w:t>
      </w:r>
      <w:r w:rsidR="00D60EA5" w:rsidRPr="001671A6">
        <w:rPr>
          <w:color w:val="548DD4" w:themeColor="text2" w:themeTint="99"/>
          <w:sz w:val="20"/>
          <w:szCs w:val="20"/>
        </w:rPr>
        <w:t>s:</w:t>
      </w:r>
    </w:p>
    <w:p w14:paraId="18D70528" w14:textId="77777777" w:rsidR="00D60EA5" w:rsidRPr="001671A6" w:rsidRDefault="00D60EA5" w:rsidP="009F6444">
      <w:pPr>
        <w:pStyle w:val="Quote"/>
        <w:rPr>
          <w:rFonts w:ascii="Arial" w:hAnsi="Arial"/>
          <w:i/>
          <w:color w:val="548DD4" w:themeColor="text2" w:themeTint="99"/>
          <w:szCs w:val="20"/>
        </w:rPr>
      </w:pPr>
      <w:r w:rsidRPr="001671A6">
        <w:rPr>
          <w:rFonts w:ascii="Arial" w:hAnsi="Arial"/>
          <w:i/>
          <w:color w:val="548DD4" w:themeColor="text2" w:themeTint="99"/>
          <w:szCs w:val="20"/>
        </w:rPr>
        <w:t xml:space="preserve">The </w:t>
      </w:r>
      <w:r w:rsidR="007F0257" w:rsidRPr="001671A6">
        <w:rPr>
          <w:rFonts w:ascii="Arial" w:hAnsi="Arial"/>
          <w:i/>
          <w:color w:val="548DD4" w:themeColor="text2" w:themeTint="99"/>
          <w:szCs w:val="20"/>
        </w:rPr>
        <w:t xml:space="preserve">relevant </w:t>
      </w:r>
      <w:r w:rsidR="00B0411A" w:rsidRPr="001671A6">
        <w:rPr>
          <w:rFonts w:ascii="Arial" w:hAnsi="Arial"/>
          <w:i/>
          <w:color w:val="548DD4" w:themeColor="text2" w:themeTint="99"/>
          <w:szCs w:val="20"/>
        </w:rPr>
        <w:t>IP&amp;R documents</w:t>
      </w:r>
      <w:r w:rsidR="001F1E22" w:rsidRPr="001671A6">
        <w:rPr>
          <w:rStyle w:val="FootnoteReference"/>
          <w:i/>
          <w:color w:val="548DD4" w:themeColor="text2" w:themeTint="99"/>
          <w:sz w:val="20"/>
          <w:szCs w:val="20"/>
        </w:rPr>
        <w:footnoteReference w:id="6"/>
      </w:r>
      <w:r w:rsidR="00B0411A" w:rsidRPr="001671A6">
        <w:rPr>
          <w:rFonts w:ascii="Arial" w:hAnsi="Arial"/>
          <w:i/>
          <w:color w:val="548DD4" w:themeColor="text2" w:themeTint="99"/>
          <w:szCs w:val="20"/>
        </w:rPr>
        <w:t xml:space="preserve"> must be exhibited (where required), approved and adopted by the council before the council applies to IPART for a special variation to </w:t>
      </w:r>
      <w:r w:rsidR="00E85A60" w:rsidRPr="001671A6">
        <w:rPr>
          <w:rFonts w:ascii="Arial" w:hAnsi="Arial"/>
          <w:i/>
          <w:color w:val="548DD4" w:themeColor="text2" w:themeTint="99"/>
          <w:szCs w:val="20"/>
        </w:rPr>
        <w:t>its</w:t>
      </w:r>
      <w:r w:rsidR="00B0411A" w:rsidRPr="001671A6">
        <w:rPr>
          <w:rFonts w:ascii="Arial" w:hAnsi="Arial"/>
          <w:i/>
          <w:color w:val="548DD4" w:themeColor="text2" w:themeTint="99"/>
          <w:szCs w:val="20"/>
        </w:rPr>
        <w:t xml:space="preserve"> general revenue.</w:t>
      </w:r>
    </w:p>
    <w:p w14:paraId="18D70529" w14:textId="77777777" w:rsidR="00F91583" w:rsidRPr="001671A6" w:rsidRDefault="00F91583" w:rsidP="00F91583">
      <w:pPr>
        <w:pStyle w:val="BodyText"/>
        <w:rPr>
          <w:color w:val="548DD4" w:themeColor="text2" w:themeTint="99"/>
          <w:sz w:val="20"/>
          <w:szCs w:val="20"/>
        </w:rPr>
      </w:pPr>
      <w:r w:rsidRPr="001671A6">
        <w:rPr>
          <w:color w:val="548DD4" w:themeColor="text2" w:themeTint="99"/>
          <w:sz w:val="20"/>
          <w:szCs w:val="20"/>
        </w:rPr>
        <w:t xml:space="preserve">Briefly outline the significant IP&amp;R processes the council has undertaken to reach the decision to apply for a special variation.  Include the details of and dates for key document revisions, </w:t>
      </w:r>
      <w:r w:rsidR="00DB560E" w:rsidRPr="001671A6">
        <w:rPr>
          <w:color w:val="548DD4" w:themeColor="text2" w:themeTint="99"/>
          <w:sz w:val="20"/>
          <w:szCs w:val="20"/>
        </w:rPr>
        <w:t xml:space="preserve">public </w:t>
      </w:r>
      <w:r w:rsidRPr="001671A6">
        <w:rPr>
          <w:color w:val="548DD4" w:themeColor="text2" w:themeTint="99"/>
          <w:sz w:val="20"/>
          <w:szCs w:val="20"/>
        </w:rPr>
        <w:t>exhibition period(s) and the date(s) that the council adopted the relevant IP&amp;R documents.</w:t>
      </w:r>
    </w:p>
    <w:p w14:paraId="18D7052A" w14:textId="77777777" w:rsidR="00DC1309" w:rsidRPr="001671A6" w:rsidRDefault="00AF2242" w:rsidP="007F0257">
      <w:pPr>
        <w:pStyle w:val="BodyText"/>
        <w:rPr>
          <w:rFonts w:cs="Arial"/>
          <w:color w:val="548DD4" w:themeColor="text2" w:themeTint="99"/>
          <w:sz w:val="20"/>
          <w:szCs w:val="20"/>
        </w:rPr>
      </w:pPr>
      <w:r w:rsidRPr="001671A6">
        <w:rPr>
          <w:rFonts w:cs="Arial"/>
          <w:color w:val="548DD4" w:themeColor="text2" w:themeTint="99"/>
          <w:sz w:val="20"/>
          <w:szCs w:val="20"/>
        </w:rPr>
        <w:t xml:space="preserve">You </w:t>
      </w:r>
      <w:r w:rsidR="00F91583" w:rsidRPr="001671A6">
        <w:rPr>
          <w:rFonts w:cs="Arial"/>
          <w:color w:val="548DD4" w:themeColor="text2" w:themeTint="99"/>
          <w:sz w:val="20"/>
          <w:szCs w:val="20"/>
        </w:rPr>
        <w:t>should</w:t>
      </w:r>
      <w:r w:rsidRPr="001671A6">
        <w:rPr>
          <w:rFonts w:cs="Arial"/>
          <w:color w:val="548DD4" w:themeColor="text2" w:themeTint="99"/>
          <w:sz w:val="20"/>
          <w:szCs w:val="20"/>
        </w:rPr>
        <w:t xml:space="preserve"> also include extracts from council minutes </w:t>
      </w:r>
      <w:r w:rsidR="00994B9D" w:rsidRPr="001671A6">
        <w:rPr>
          <w:rFonts w:cs="Arial"/>
          <w:color w:val="548DD4" w:themeColor="text2" w:themeTint="99"/>
          <w:sz w:val="20"/>
          <w:szCs w:val="20"/>
        </w:rPr>
        <w:t>as</w:t>
      </w:r>
      <w:r w:rsidRPr="001671A6">
        <w:rPr>
          <w:rFonts w:cs="Arial"/>
          <w:color w:val="548DD4" w:themeColor="text2" w:themeTint="99"/>
          <w:sz w:val="20"/>
          <w:szCs w:val="20"/>
        </w:rPr>
        <w:t xml:space="preserve"> evidence that the documents were adopted.</w:t>
      </w:r>
      <w:r w:rsidR="007F0257" w:rsidRPr="001671A6">
        <w:rPr>
          <w:rFonts w:cs="Arial"/>
          <w:color w:val="548DD4" w:themeColor="text2" w:themeTint="99"/>
          <w:sz w:val="20"/>
          <w:szCs w:val="20"/>
        </w:rPr>
        <w:t xml:space="preserve"> </w:t>
      </w:r>
    </w:p>
    <w:p w14:paraId="18D7052B" w14:textId="77777777" w:rsidR="00DC1309" w:rsidRPr="001671A6" w:rsidRDefault="00B73C72" w:rsidP="00040713">
      <w:pPr>
        <w:pStyle w:val="BodyText"/>
        <w:rPr>
          <w:rFonts w:cs="Arial"/>
          <w:color w:val="548DD4" w:themeColor="text2" w:themeTint="99"/>
          <w:sz w:val="20"/>
          <w:szCs w:val="20"/>
        </w:rPr>
      </w:pPr>
      <w:r w:rsidRPr="001671A6">
        <w:rPr>
          <w:rFonts w:cs="Arial"/>
          <w:color w:val="548DD4" w:themeColor="text2" w:themeTint="99"/>
          <w:sz w:val="20"/>
          <w:szCs w:val="20"/>
        </w:rPr>
        <w:t xml:space="preserve">The council is reminded that </w:t>
      </w:r>
      <w:r w:rsidR="000111B5" w:rsidRPr="001671A6">
        <w:rPr>
          <w:rFonts w:cs="Arial"/>
          <w:color w:val="548DD4" w:themeColor="text2" w:themeTint="99"/>
          <w:sz w:val="20"/>
          <w:szCs w:val="20"/>
        </w:rPr>
        <w:t>amendments</w:t>
      </w:r>
      <w:r w:rsidR="00040713" w:rsidRPr="001671A6">
        <w:rPr>
          <w:rFonts w:cs="Arial"/>
          <w:color w:val="548DD4" w:themeColor="text2" w:themeTint="99"/>
          <w:sz w:val="20"/>
          <w:szCs w:val="20"/>
        </w:rPr>
        <w:t xml:space="preserve"> to the C</w:t>
      </w:r>
      <w:r w:rsidR="00DC1309" w:rsidRPr="001671A6">
        <w:rPr>
          <w:rFonts w:cs="Arial"/>
          <w:color w:val="548DD4" w:themeColor="text2" w:themeTint="99"/>
          <w:sz w:val="20"/>
          <w:szCs w:val="20"/>
        </w:rPr>
        <w:t>ommunity Strategic Plan and Delivery Program</w:t>
      </w:r>
      <w:r w:rsidR="00040713" w:rsidRPr="001671A6">
        <w:rPr>
          <w:rFonts w:cs="Arial"/>
          <w:color w:val="548DD4" w:themeColor="text2" w:themeTint="99"/>
          <w:sz w:val="20"/>
          <w:szCs w:val="20"/>
        </w:rPr>
        <w:t xml:space="preserve"> require </w:t>
      </w:r>
      <w:r w:rsidR="00DB560E" w:rsidRPr="001671A6">
        <w:rPr>
          <w:rFonts w:cs="Arial"/>
          <w:color w:val="548DD4" w:themeColor="text2" w:themeTint="99"/>
          <w:sz w:val="20"/>
          <w:szCs w:val="20"/>
        </w:rPr>
        <w:t xml:space="preserve">public </w:t>
      </w:r>
      <w:r w:rsidR="007970EE" w:rsidRPr="001671A6">
        <w:rPr>
          <w:rFonts w:cs="Arial"/>
          <w:color w:val="548DD4" w:themeColor="text2" w:themeTint="99"/>
          <w:sz w:val="20"/>
          <w:szCs w:val="20"/>
        </w:rPr>
        <w:t xml:space="preserve">exhibition for at least 28 days prior to adoption, while amendments to </w:t>
      </w:r>
      <w:r w:rsidR="00DC1309" w:rsidRPr="001671A6">
        <w:rPr>
          <w:rFonts w:cs="Arial"/>
          <w:color w:val="548DD4" w:themeColor="text2" w:themeTint="99"/>
          <w:sz w:val="20"/>
          <w:szCs w:val="20"/>
        </w:rPr>
        <w:t xml:space="preserve">the Long Term Financial Plan and Asset Management Plan/s do not require </w:t>
      </w:r>
      <w:r w:rsidRPr="001671A6">
        <w:rPr>
          <w:rFonts w:cs="Arial"/>
          <w:color w:val="548DD4" w:themeColor="text2" w:themeTint="99"/>
          <w:sz w:val="20"/>
          <w:szCs w:val="20"/>
        </w:rPr>
        <w:t xml:space="preserve">public </w:t>
      </w:r>
      <w:r w:rsidR="007970EE" w:rsidRPr="001671A6">
        <w:rPr>
          <w:rFonts w:cs="Arial"/>
          <w:color w:val="548DD4" w:themeColor="text2" w:themeTint="99"/>
          <w:sz w:val="20"/>
          <w:szCs w:val="20"/>
        </w:rPr>
        <w:t>exhibit</w:t>
      </w:r>
      <w:r w:rsidRPr="001671A6">
        <w:rPr>
          <w:rFonts w:cs="Arial"/>
          <w:color w:val="548DD4" w:themeColor="text2" w:themeTint="99"/>
          <w:sz w:val="20"/>
          <w:szCs w:val="20"/>
        </w:rPr>
        <w:t>ion</w:t>
      </w:r>
      <w:r w:rsidR="00040713" w:rsidRPr="001671A6">
        <w:rPr>
          <w:rFonts w:cs="Arial"/>
          <w:color w:val="548DD4" w:themeColor="text2" w:themeTint="99"/>
          <w:sz w:val="20"/>
          <w:szCs w:val="20"/>
        </w:rPr>
        <w:t>.</w:t>
      </w:r>
      <w:r w:rsidR="00AF2242" w:rsidRPr="001671A6">
        <w:rPr>
          <w:rStyle w:val="FootnoteReference"/>
          <w:rFonts w:cs="Arial"/>
          <w:color w:val="548DD4" w:themeColor="text2" w:themeTint="99"/>
          <w:sz w:val="20"/>
          <w:szCs w:val="20"/>
        </w:rPr>
        <w:footnoteReference w:id="7"/>
      </w:r>
    </w:p>
    <w:p w14:paraId="00A82777" w14:textId="3E4246A0" w:rsidR="00906E1F" w:rsidRDefault="00906E1F" w:rsidP="00906E1F">
      <w:pPr>
        <w:pStyle w:val="Heading2"/>
      </w:pPr>
      <w:bookmarkStart w:id="99" w:name="_Toc412798929"/>
      <w:r>
        <w:t>Overview of Key IP&amp;R Processes</w:t>
      </w:r>
      <w:bookmarkEnd w:id="99"/>
    </w:p>
    <w:p w14:paraId="0DAC504D" w14:textId="655ADA8E" w:rsidR="008A350B" w:rsidRPr="00C71FF4" w:rsidRDefault="008A350B" w:rsidP="00906E1F">
      <w:pPr>
        <w:spacing w:before="240" w:line="276" w:lineRule="auto"/>
        <w:jc w:val="both"/>
        <w:rPr>
          <w:rFonts w:ascii="Arial" w:hAnsi="Arial" w:cs="Arial"/>
          <w:sz w:val="20"/>
          <w:szCs w:val="20"/>
        </w:rPr>
      </w:pPr>
      <w:r w:rsidRPr="00C71FF4">
        <w:rPr>
          <w:rFonts w:ascii="Arial" w:hAnsi="Arial" w:cs="Arial"/>
          <w:sz w:val="20"/>
          <w:szCs w:val="20"/>
        </w:rPr>
        <w:t>This section provides details of the significant IP</w:t>
      </w:r>
      <w:r w:rsidR="00EB40D0">
        <w:rPr>
          <w:rFonts w:ascii="Arial" w:hAnsi="Arial" w:cs="Arial"/>
          <w:sz w:val="20"/>
          <w:szCs w:val="20"/>
        </w:rPr>
        <w:t>&amp;</w:t>
      </w:r>
      <w:r w:rsidRPr="00C71FF4">
        <w:rPr>
          <w:rFonts w:ascii="Arial" w:hAnsi="Arial" w:cs="Arial"/>
          <w:sz w:val="20"/>
          <w:szCs w:val="20"/>
        </w:rPr>
        <w:t xml:space="preserve">R processes the Council has undertaken to reach the decision to apply for a special variation. </w:t>
      </w:r>
    </w:p>
    <w:p w14:paraId="2691564B" w14:textId="77777777" w:rsidR="008A350B" w:rsidRPr="00C71FF4" w:rsidRDefault="008A350B" w:rsidP="00EB27AC">
      <w:pPr>
        <w:spacing w:line="276" w:lineRule="auto"/>
        <w:jc w:val="both"/>
        <w:rPr>
          <w:rFonts w:ascii="Arial" w:hAnsi="Arial" w:cs="Arial"/>
          <w:sz w:val="20"/>
          <w:szCs w:val="20"/>
        </w:rPr>
      </w:pPr>
    </w:p>
    <w:p w14:paraId="142B837B" w14:textId="77777777" w:rsidR="00906E1F" w:rsidRPr="007A260D" w:rsidRDefault="00906E1F" w:rsidP="00906E1F">
      <w:pPr>
        <w:autoSpaceDE w:val="0"/>
        <w:autoSpaceDN w:val="0"/>
        <w:adjustRightInd w:val="0"/>
        <w:spacing w:line="276" w:lineRule="auto"/>
        <w:contextualSpacing/>
        <w:jc w:val="both"/>
        <w:rPr>
          <w:rFonts w:ascii="Arial" w:hAnsi="Arial" w:cs="Arial"/>
          <w:sz w:val="20"/>
          <w:szCs w:val="20"/>
        </w:rPr>
      </w:pPr>
      <w:r w:rsidRPr="00A403E3">
        <w:rPr>
          <w:rFonts w:ascii="Arial" w:hAnsi="Arial" w:cs="Arial"/>
          <w:b/>
          <w:sz w:val="20"/>
          <w:szCs w:val="20"/>
        </w:rPr>
        <w:t>In 2010</w:t>
      </w:r>
      <w:r>
        <w:rPr>
          <w:rFonts w:ascii="Arial" w:hAnsi="Arial" w:cs="Arial"/>
          <w:sz w:val="20"/>
          <w:szCs w:val="20"/>
        </w:rPr>
        <w:t xml:space="preserve"> a comprehensive community engagement program on affordable levels of service was implemented as part of the Council’s Integrated Planning process and the update of the Community Strategic Plan. This process resulted in community endorsement for a </w:t>
      </w:r>
      <w:r w:rsidRPr="007A260D">
        <w:rPr>
          <w:rFonts w:ascii="Arial" w:hAnsi="Arial" w:cs="Arial"/>
          <w:sz w:val="20"/>
          <w:szCs w:val="20"/>
        </w:rPr>
        <w:t xml:space="preserve">special variation to rates </w:t>
      </w:r>
      <w:r>
        <w:rPr>
          <w:rFonts w:ascii="Arial" w:hAnsi="Arial" w:cs="Arial"/>
          <w:sz w:val="20"/>
          <w:szCs w:val="20"/>
        </w:rPr>
        <w:t xml:space="preserve">that </w:t>
      </w:r>
      <w:r w:rsidRPr="007A260D">
        <w:rPr>
          <w:rFonts w:ascii="Arial" w:hAnsi="Arial" w:cs="Arial"/>
          <w:sz w:val="20"/>
          <w:szCs w:val="20"/>
        </w:rPr>
        <w:t>rais</w:t>
      </w:r>
      <w:r>
        <w:rPr>
          <w:rFonts w:ascii="Arial" w:hAnsi="Arial" w:cs="Arial"/>
          <w:sz w:val="20"/>
          <w:szCs w:val="20"/>
        </w:rPr>
        <w:t>ed</w:t>
      </w:r>
      <w:r w:rsidRPr="007A260D">
        <w:rPr>
          <w:rFonts w:ascii="Arial" w:hAnsi="Arial" w:cs="Arial"/>
          <w:sz w:val="20"/>
          <w:szCs w:val="20"/>
        </w:rPr>
        <w:t xml:space="preserve"> $5.5 million over 2010-2013 </w:t>
      </w:r>
      <w:r>
        <w:rPr>
          <w:rFonts w:ascii="Arial" w:hAnsi="Arial" w:cs="Arial"/>
          <w:sz w:val="20"/>
          <w:szCs w:val="20"/>
        </w:rPr>
        <w:t xml:space="preserve">to </w:t>
      </w:r>
      <w:r w:rsidRPr="007A260D">
        <w:rPr>
          <w:rFonts w:ascii="Arial" w:hAnsi="Arial" w:cs="Arial"/>
          <w:sz w:val="20"/>
          <w:szCs w:val="20"/>
        </w:rPr>
        <w:t xml:space="preserve">maintain and renew built </w:t>
      </w:r>
      <w:r>
        <w:rPr>
          <w:rFonts w:ascii="Arial" w:hAnsi="Arial" w:cs="Arial"/>
          <w:sz w:val="20"/>
          <w:szCs w:val="20"/>
        </w:rPr>
        <w:t xml:space="preserve">infrastructure and </w:t>
      </w:r>
      <w:r w:rsidRPr="007A260D">
        <w:rPr>
          <w:rFonts w:ascii="Arial" w:hAnsi="Arial" w:cs="Arial"/>
          <w:sz w:val="20"/>
          <w:szCs w:val="20"/>
        </w:rPr>
        <w:t>community assets.</w:t>
      </w:r>
    </w:p>
    <w:p w14:paraId="645FB8B5" w14:textId="77777777" w:rsidR="00906E1F" w:rsidRPr="007C30A1" w:rsidRDefault="00906E1F" w:rsidP="00906E1F">
      <w:pPr>
        <w:spacing w:before="240" w:line="276" w:lineRule="auto"/>
        <w:jc w:val="both"/>
        <w:rPr>
          <w:rFonts w:ascii="Arial" w:hAnsi="Arial" w:cs="Arial"/>
          <w:sz w:val="20"/>
          <w:szCs w:val="20"/>
        </w:rPr>
      </w:pPr>
      <w:r w:rsidRPr="00A403E3">
        <w:rPr>
          <w:rFonts w:ascii="Arial" w:hAnsi="Arial" w:cs="Arial"/>
          <w:b/>
          <w:bCs/>
          <w:sz w:val="20"/>
          <w:szCs w:val="20"/>
        </w:rPr>
        <w:t>In 2012/13</w:t>
      </w:r>
      <w:r>
        <w:rPr>
          <w:rFonts w:ascii="Arial" w:hAnsi="Arial" w:cs="Arial"/>
          <w:bCs/>
          <w:sz w:val="20"/>
          <w:szCs w:val="20"/>
        </w:rPr>
        <w:t xml:space="preserve"> an extensive community engagement program was implemented to again update the City’s Community Strategic Plan -</w:t>
      </w:r>
      <w:r w:rsidRPr="005F135B">
        <w:rPr>
          <w:rFonts w:ascii="Arial" w:hAnsi="Arial" w:cs="Arial"/>
          <w:bCs/>
          <w:i/>
          <w:sz w:val="20"/>
          <w:szCs w:val="20"/>
        </w:rPr>
        <w:t xml:space="preserve"> </w:t>
      </w:r>
      <w:r w:rsidRPr="0001010E">
        <w:rPr>
          <w:rFonts w:ascii="Arial" w:hAnsi="Arial" w:cs="Arial"/>
          <w:bCs/>
          <w:i/>
          <w:sz w:val="20"/>
          <w:szCs w:val="20"/>
        </w:rPr>
        <w:t>Sustainable Blue Mountains 2025</w:t>
      </w:r>
      <w:r>
        <w:rPr>
          <w:rFonts w:ascii="Arial" w:hAnsi="Arial" w:cs="Arial"/>
          <w:bCs/>
          <w:sz w:val="20"/>
          <w:szCs w:val="20"/>
        </w:rPr>
        <w:t xml:space="preserve"> (SBM2025) and the Council’s 10 year Resourcing Strategy. Over 2,500 </w:t>
      </w:r>
      <w:r w:rsidRPr="00987CF3">
        <w:rPr>
          <w:rFonts w:ascii="Arial" w:hAnsi="Arial" w:cs="Arial"/>
          <w:bCs/>
          <w:sz w:val="20"/>
          <w:szCs w:val="20"/>
        </w:rPr>
        <w:t>residents</w:t>
      </w:r>
      <w:r>
        <w:rPr>
          <w:rFonts w:ascii="Arial" w:hAnsi="Arial" w:cs="Arial"/>
          <w:bCs/>
          <w:sz w:val="20"/>
          <w:szCs w:val="20"/>
        </w:rPr>
        <w:t>,</w:t>
      </w:r>
      <w:r w:rsidRPr="00987CF3">
        <w:rPr>
          <w:rFonts w:ascii="Arial" w:hAnsi="Arial" w:cs="Arial"/>
          <w:bCs/>
          <w:sz w:val="20"/>
          <w:szCs w:val="20"/>
        </w:rPr>
        <w:t xml:space="preserve"> </w:t>
      </w:r>
      <w:r>
        <w:rPr>
          <w:rFonts w:ascii="Arial" w:hAnsi="Arial" w:cs="Arial"/>
          <w:bCs/>
          <w:sz w:val="20"/>
          <w:szCs w:val="20"/>
        </w:rPr>
        <w:t xml:space="preserve">special needs groups, local </w:t>
      </w:r>
      <w:r w:rsidRPr="00987CF3">
        <w:rPr>
          <w:rFonts w:ascii="Arial" w:hAnsi="Arial" w:cs="Arial"/>
          <w:bCs/>
          <w:sz w:val="20"/>
          <w:szCs w:val="20"/>
        </w:rPr>
        <w:t>organisation</w:t>
      </w:r>
      <w:r>
        <w:rPr>
          <w:rFonts w:ascii="Arial" w:hAnsi="Arial" w:cs="Arial"/>
          <w:bCs/>
          <w:sz w:val="20"/>
          <w:szCs w:val="20"/>
        </w:rPr>
        <w:t>s</w:t>
      </w:r>
      <w:r w:rsidRPr="00987CF3">
        <w:rPr>
          <w:rFonts w:ascii="Arial" w:hAnsi="Arial" w:cs="Arial"/>
          <w:bCs/>
          <w:sz w:val="20"/>
          <w:szCs w:val="20"/>
        </w:rPr>
        <w:t xml:space="preserve"> </w:t>
      </w:r>
      <w:r>
        <w:rPr>
          <w:rFonts w:ascii="Arial" w:hAnsi="Arial" w:cs="Arial"/>
          <w:bCs/>
          <w:sz w:val="20"/>
          <w:szCs w:val="20"/>
        </w:rPr>
        <w:t xml:space="preserve">and agency </w:t>
      </w:r>
      <w:r w:rsidRPr="00987CF3">
        <w:rPr>
          <w:rFonts w:ascii="Arial" w:hAnsi="Arial" w:cs="Arial"/>
          <w:bCs/>
          <w:sz w:val="20"/>
          <w:szCs w:val="20"/>
        </w:rPr>
        <w:t>representatives</w:t>
      </w:r>
      <w:r>
        <w:rPr>
          <w:rFonts w:ascii="Arial" w:hAnsi="Arial" w:cs="Arial"/>
          <w:bCs/>
          <w:sz w:val="20"/>
          <w:szCs w:val="20"/>
        </w:rPr>
        <w:t xml:space="preserve"> were consulted through focus groups, meetings, workshops, surveys and the </w:t>
      </w:r>
      <w:r w:rsidRPr="00420354">
        <w:rPr>
          <w:rFonts w:ascii="Arial" w:hAnsi="Arial" w:cs="Arial"/>
          <w:bCs/>
          <w:i/>
          <w:sz w:val="20"/>
          <w:szCs w:val="20"/>
        </w:rPr>
        <w:t>Our City Our Future</w:t>
      </w:r>
      <w:r>
        <w:rPr>
          <w:rFonts w:ascii="Arial" w:hAnsi="Arial" w:cs="Arial"/>
          <w:bCs/>
          <w:sz w:val="20"/>
          <w:szCs w:val="20"/>
        </w:rPr>
        <w:t xml:space="preserve"> Community Forum held in February 2013</w:t>
      </w:r>
      <w:r w:rsidRPr="00987CF3">
        <w:rPr>
          <w:rFonts w:ascii="Arial" w:hAnsi="Arial" w:cs="Arial"/>
          <w:bCs/>
          <w:sz w:val="20"/>
          <w:szCs w:val="20"/>
        </w:rPr>
        <w:t>.</w:t>
      </w:r>
      <w:r>
        <w:rPr>
          <w:rFonts w:ascii="Arial" w:hAnsi="Arial" w:cs="Arial"/>
          <w:bCs/>
          <w:sz w:val="20"/>
          <w:szCs w:val="20"/>
        </w:rPr>
        <w:t xml:space="preserve"> </w:t>
      </w:r>
      <w:r>
        <w:rPr>
          <w:rFonts w:ascii="Arial" w:hAnsi="Arial" w:cs="Arial"/>
          <w:sz w:val="20"/>
          <w:szCs w:val="20"/>
        </w:rPr>
        <w:t xml:space="preserve">This </w:t>
      </w:r>
      <w:r w:rsidRPr="007A260D">
        <w:rPr>
          <w:rFonts w:ascii="Arial" w:hAnsi="Arial" w:cs="Arial"/>
          <w:sz w:val="20"/>
          <w:szCs w:val="20"/>
        </w:rPr>
        <w:t xml:space="preserve">engagement confirmed </w:t>
      </w:r>
      <w:r>
        <w:rPr>
          <w:rFonts w:ascii="Arial" w:hAnsi="Arial" w:cs="Arial"/>
          <w:sz w:val="20"/>
          <w:szCs w:val="20"/>
        </w:rPr>
        <w:t xml:space="preserve">the importance of the City improving its overall financial sustainability and addressing its asset funding challenges through implementing a </w:t>
      </w:r>
      <w:r w:rsidRPr="00EA2A79">
        <w:rPr>
          <w:rFonts w:ascii="Arial" w:hAnsi="Arial" w:cs="Arial"/>
          <w:i/>
          <w:sz w:val="20"/>
          <w:szCs w:val="20"/>
        </w:rPr>
        <w:t>Six Point Strategy</w:t>
      </w:r>
      <w:r>
        <w:rPr>
          <w:rFonts w:ascii="Arial" w:hAnsi="Arial" w:cs="Arial"/>
          <w:i/>
          <w:sz w:val="20"/>
          <w:szCs w:val="20"/>
        </w:rPr>
        <w:t xml:space="preserve"> for Financial Sustainability </w:t>
      </w:r>
      <w:r w:rsidRPr="007C30A1">
        <w:rPr>
          <w:rFonts w:ascii="Arial" w:hAnsi="Arial" w:cs="Arial"/>
          <w:sz w:val="20"/>
          <w:szCs w:val="20"/>
        </w:rPr>
        <w:t xml:space="preserve">(see </w:t>
      </w:r>
      <w:r w:rsidRPr="007C30A1">
        <w:rPr>
          <w:rFonts w:ascii="Arial" w:hAnsi="Arial" w:cs="Arial"/>
          <w:b/>
          <w:sz w:val="20"/>
          <w:szCs w:val="20"/>
        </w:rPr>
        <w:t>Section 3.1.3</w:t>
      </w:r>
      <w:r w:rsidRPr="007C30A1">
        <w:rPr>
          <w:rFonts w:ascii="Arial" w:hAnsi="Arial" w:cs="Arial"/>
          <w:sz w:val="20"/>
          <w:szCs w:val="20"/>
        </w:rPr>
        <w:t xml:space="preserve">). </w:t>
      </w:r>
    </w:p>
    <w:p w14:paraId="473DEC58" w14:textId="77777777" w:rsidR="00906E1F" w:rsidRDefault="00906E1F" w:rsidP="00906E1F">
      <w:pPr>
        <w:autoSpaceDE w:val="0"/>
        <w:autoSpaceDN w:val="0"/>
        <w:adjustRightInd w:val="0"/>
        <w:spacing w:line="276" w:lineRule="auto"/>
        <w:contextualSpacing/>
        <w:jc w:val="both"/>
        <w:rPr>
          <w:rFonts w:ascii="Arial" w:hAnsi="Arial" w:cs="Arial"/>
          <w:bCs/>
          <w:sz w:val="20"/>
          <w:szCs w:val="20"/>
        </w:rPr>
      </w:pPr>
    </w:p>
    <w:p w14:paraId="2DA0B7B9" w14:textId="77777777" w:rsidR="00906E1F" w:rsidRDefault="00906E1F" w:rsidP="00906E1F">
      <w:pPr>
        <w:autoSpaceDE w:val="0"/>
        <w:autoSpaceDN w:val="0"/>
        <w:adjustRightInd w:val="0"/>
        <w:spacing w:line="276" w:lineRule="auto"/>
        <w:contextualSpacing/>
        <w:jc w:val="both"/>
        <w:rPr>
          <w:rFonts w:ascii="Arial" w:hAnsi="Arial" w:cs="Arial"/>
          <w:bCs/>
          <w:sz w:val="20"/>
          <w:szCs w:val="20"/>
        </w:rPr>
      </w:pPr>
      <w:r w:rsidRPr="006F5CB2">
        <w:rPr>
          <w:rFonts w:ascii="Arial" w:hAnsi="Arial" w:cs="Arial"/>
          <w:b/>
          <w:bCs/>
          <w:sz w:val="20"/>
          <w:szCs w:val="20"/>
        </w:rPr>
        <w:t>Attachment 1</w:t>
      </w:r>
      <w:r>
        <w:rPr>
          <w:rFonts w:ascii="Arial" w:hAnsi="Arial" w:cs="Arial"/>
          <w:bCs/>
          <w:sz w:val="20"/>
          <w:szCs w:val="20"/>
        </w:rPr>
        <w:t xml:space="preserve"> provides relevant extracts from the Council’s Community Strategic Plan updated in 2013 that link with this special variation application, including: </w:t>
      </w:r>
    </w:p>
    <w:p w14:paraId="09B50030" w14:textId="77777777" w:rsidR="00906E1F" w:rsidRPr="001671A6" w:rsidRDefault="00906E1F" w:rsidP="00906E1F">
      <w:pPr>
        <w:pStyle w:val="ListParagraph"/>
        <w:numPr>
          <w:ilvl w:val="0"/>
          <w:numId w:val="69"/>
        </w:numPr>
        <w:spacing w:before="240" w:line="276" w:lineRule="auto"/>
        <w:ind w:left="709" w:hanging="283"/>
        <w:jc w:val="both"/>
        <w:rPr>
          <w:rFonts w:ascii="Arial" w:hAnsi="Arial" w:cs="Arial"/>
          <w:bCs/>
          <w:sz w:val="18"/>
          <w:szCs w:val="18"/>
        </w:rPr>
      </w:pPr>
      <w:r w:rsidRPr="001671A6">
        <w:rPr>
          <w:rFonts w:ascii="Arial" w:hAnsi="Arial" w:cs="Arial"/>
          <w:bCs/>
          <w:sz w:val="18"/>
          <w:szCs w:val="18"/>
        </w:rPr>
        <w:t>The SBM2025 objectives and strategies that support the Council seeking this special rate variation as part of its strategies for improving financial sustainability, achieving sustainable services, assets and infrastructure and protecting the Blue Mountains natural environment;</w:t>
      </w:r>
    </w:p>
    <w:p w14:paraId="7FD4EBF4" w14:textId="77777777" w:rsidR="00906E1F" w:rsidRPr="001671A6" w:rsidRDefault="00906E1F" w:rsidP="00906E1F">
      <w:pPr>
        <w:pStyle w:val="ListParagraph"/>
        <w:numPr>
          <w:ilvl w:val="0"/>
          <w:numId w:val="69"/>
        </w:numPr>
        <w:spacing w:line="276" w:lineRule="auto"/>
        <w:ind w:left="709" w:hanging="283"/>
        <w:jc w:val="both"/>
        <w:rPr>
          <w:rFonts w:ascii="Arial" w:hAnsi="Arial" w:cs="Arial"/>
          <w:bCs/>
          <w:sz w:val="18"/>
          <w:szCs w:val="18"/>
        </w:rPr>
      </w:pPr>
      <w:r w:rsidRPr="001671A6">
        <w:rPr>
          <w:rFonts w:ascii="Arial" w:hAnsi="Arial" w:cs="Arial"/>
          <w:bCs/>
          <w:sz w:val="18"/>
          <w:szCs w:val="18"/>
        </w:rPr>
        <w:t>Evidence of the community engagement informing the update of the Plan;</w:t>
      </w:r>
    </w:p>
    <w:p w14:paraId="266CEA86" w14:textId="77777777" w:rsidR="00906E1F" w:rsidRPr="001671A6" w:rsidRDefault="00906E1F" w:rsidP="00906E1F">
      <w:pPr>
        <w:pStyle w:val="ListParagraph"/>
        <w:numPr>
          <w:ilvl w:val="0"/>
          <w:numId w:val="69"/>
        </w:numPr>
        <w:spacing w:line="276" w:lineRule="auto"/>
        <w:ind w:left="709" w:hanging="283"/>
        <w:jc w:val="both"/>
        <w:rPr>
          <w:rFonts w:ascii="Arial" w:hAnsi="Arial" w:cs="Arial"/>
          <w:bCs/>
          <w:sz w:val="18"/>
          <w:szCs w:val="18"/>
        </w:rPr>
      </w:pPr>
      <w:r w:rsidRPr="001671A6">
        <w:rPr>
          <w:rFonts w:ascii="Arial" w:hAnsi="Arial" w:cs="Arial"/>
          <w:bCs/>
          <w:sz w:val="18"/>
          <w:szCs w:val="18"/>
        </w:rPr>
        <w:t>Evidence of community priorities relative to:</w:t>
      </w:r>
    </w:p>
    <w:p w14:paraId="3B6DEC53" w14:textId="77777777" w:rsidR="00906E1F" w:rsidRPr="001671A6" w:rsidRDefault="00906E1F" w:rsidP="00906E1F">
      <w:pPr>
        <w:pStyle w:val="ListParagraph"/>
        <w:numPr>
          <w:ilvl w:val="0"/>
          <w:numId w:val="77"/>
        </w:numPr>
        <w:spacing w:line="276" w:lineRule="auto"/>
        <w:ind w:left="993" w:hanging="284"/>
        <w:jc w:val="both"/>
        <w:rPr>
          <w:rFonts w:ascii="Arial" w:hAnsi="Arial" w:cs="Arial"/>
          <w:bCs/>
          <w:sz w:val="18"/>
          <w:szCs w:val="18"/>
        </w:rPr>
      </w:pPr>
      <w:r w:rsidRPr="001671A6">
        <w:rPr>
          <w:rFonts w:ascii="Arial" w:hAnsi="Arial" w:cs="Arial"/>
          <w:bCs/>
          <w:sz w:val="18"/>
          <w:szCs w:val="18"/>
        </w:rPr>
        <w:t>Maintaining and renewing built infrastructure and assets</w:t>
      </w:r>
    </w:p>
    <w:p w14:paraId="030FF73C" w14:textId="77777777" w:rsidR="00906E1F" w:rsidRPr="001671A6" w:rsidRDefault="00906E1F" w:rsidP="00906E1F">
      <w:pPr>
        <w:pStyle w:val="ListParagraph"/>
        <w:numPr>
          <w:ilvl w:val="0"/>
          <w:numId w:val="77"/>
        </w:numPr>
        <w:spacing w:line="276" w:lineRule="auto"/>
        <w:ind w:left="993" w:hanging="284"/>
        <w:jc w:val="both"/>
        <w:rPr>
          <w:rFonts w:ascii="Arial" w:hAnsi="Arial" w:cs="Arial"/>
          <w:bCs/>
          <w:sz w:val="18"/>
          <w:szCs w:val="18"/>
        </w:rPr>
      </w:pPr>
      <w:r w:rsidRPr="001671A6">
        <w:rPr>
          <w:rFonts w:ascii="Arial" w:hAnsi="Arial" w:cs="Arial"/>
          <w:bCs/>
          <w:sz w:val="18"/>
          <w:szCs w:val="18"/>
        </w:rPr>
        <w:t>Protecting and restoring the natural environment.</w:t>
      </w:r>
    </w:p>
    <w:p w14:paraId="168C6C6D" w14:textId="77777777" w:rsidR="00906E1F" w:rsidRPr="001671A6" w:rsidRDefault="00906E1F" w:rsidP="00906E1F">
      <w:pPr>
        <w:pStyle w:val="ListParagraph"/>
        <w:numPr>
          <w:ilvl w:val="0"/>
          <w:numId w:val="77"/>
        </w:numPr>
        <w:spacing w:line="276" w:lineRule="auto"/>
        <w:ind w:left="993" w:hanging="284"/>
        <w:jc w:val="both"/>
        <w:rPr>
          <w:rFonts w:ascii="Arial" w:hAnsi="Arial" w:cs="Arial"/>
          <w:bCs/>
          <w:sz w:val="18"/>
          <w:szCs w:val="18"/>
        </w:rPr>
      </w:pPr>
      <w:r w:rsidRPr="001671A6">
        <w:rPr>
          <w:rFonts w:ascii="Arial" w:hAnsi="Arial" w:cs="Arial"/>
          <w:bCs/>
          <w:sz w:val="18"/>
          <w:szCs w:val="18"/>
        </w:rPr>
        <w:t>Improving emergency preparedness and response</w:t>
      </w:r>
    </w:p>
    <w:p w14:paraId="24284AD9" w14:textId="77777777" w:rsidR="00906E1F" w:rsidRPr="001671A6" w:rsidRDefault="00906E1F" w:rsidP="00906E1F">
      <w:pPr>
        <w:pStyle w:val="ListParagraph"/>
        <w:numPr>
          <w:ilvl w:val="0"/>
          <w:numId w:val="77"/>
        </w:numPr>
        <w:spacing w:line="276" w:lineRule="auto"/>
        <w:ind w:left="993" w:hanging="284"/>
        <w:jc w:val="both"/>
        <w:rPr>
          <w:rFonts w:ascii="Arial" w:hAnsi="Arial" w:cs="Arial"/>
          <w:bCs/>
          <w:sz w:val="18"/>
          <w:szCs w:val="18"/>
        </w:rPr>
      </w:pPr>
      <w:r w:rsidRPr="001671A6">
        <w:rPr>
          <w:rFonts w:ascii="Arial" w:hAnsi="Arial" w:cs="Arial"/>
          <w:bCs/>
          <w:sz w:val="18"/>
          <w:szCs w:val="18"/>
        </w:rPr>
        <w:t>Improving services to the community.</w:t>
      </w:r>
    </w:p>
    <w:p w14:paraId="38CC289F" w14:textId="77777777" w:rsidR="00906E1F" w:rsidRPr="001671A6" w:rsidRDefault="00906E1F" w:rsidP="00906E1F">
      <w:pPr>
        <w:pStyle w:val="ListParagraph"/>
        <w:spacing w:line="276" w:lineRule="auto"/>
        <w:jc w:val="both"/>
        <w:rPr>
          <w:rFonts w:ascii="Arial" w:hAnsi="Arial" w:cs="Arial"/>
          <w:sz w:val="18"/>
          <w:szCs w:val="18"/>
        </w:rPr>
      </w:pPr>
    </w:p>
    <w:p w14:paraId="0B3F21AC" w14:textId="77777777" w:rsidR="00906E1F" w:rsidRPr="007A260D" w:rsidRDefault="00906E1F" w:rsidP="00906E1F">
      <w:pPr>
        <w:autoSpaceDE w:val="0"/>
        <w:autoSpaceDN w:val="0"/>
        <w:adjustRightInd w:val="0"/>
        <w:spacing w:line="276" w:lineRule="auto"/>
        <w:contextualSpacing/>
        <w:jc w:val="both"/>
        <w:rPr>
          <w:rFonts w:ascii="Arial" w:hAnsi="Arial" w:cs="Arial"/>
          <w:sz w:val="20"/>
          <w:szCs w:val="20"/>
        </w:rPr>
      </w:pPr>
      <w:r w:rsidRPr="00A403E3">
        <w:rPr>
          <w:rFonts w:ascii="Arial" w:hAnsi="Arial" w:cs="Arial"/>
          <w:b/>
          <w:sz w:val="20"/>
          <w:szCs w:val="20"/>
        </w:rPr>
        <w:t xml:space="preserve">In </w:t>
      </w:r>
      <w:r>
        <w:rPr>
          <w:rFonts w:ascii="Arial" w:hAnsi="Arial" w:cs="Arial"/>
          <w:b/>
          <w:sz w:val="20"/>
          <w:szCs w:val="20"/>
        </w:rPr>
        <w:t xml:space="preserve">February </w:t>
      </w:r>
      <w:r w:rsidRPr="00A403E3">
        <w:rPr>
          <w:rFonts w:ascii="Arial" w:hAnsi="Arial" w:cs="Arial"/>
          <w:b/>
          <w:sz w:val="20"/>
          <w:szCs w:val="20"/>
        </w:rPr>
        <w:t>2013</w:t>
      </w:r>
      <w:r>
        <w:rPr>
          <w:rFonts w:ascii="Arial" w:hAnsi="Arial" w:cs="Arial"/>
          <w:sz w:val="20"/>
          <w:szCs w:val="20"/>
        </w:rPr>
        <w:t xml:space="preserve">, again with majority community endorsement, </w:t>
      </w:r>
      <w:r w:rsidRPr="007A260D">
        <w:rPr>
          <w:rFonts w:ascii="Arial" w:hAnsi="Arial" w:cs="Arial"/>
          <w:sz w:val="20"/>
          <w:szCs w:val="20"/>
        </w:rPr>
        <w:t>the Council</w:t>
      </w:r>
      <w:r>
        <w:rPr>
          <w:rFonts w:ascii="Arial" w:hAnsi="Arial" w:cs="Arial"/>
          <w:sz w:val="20"/>
          <w:szCs w:val="20"/>
        </w:rPr>
        <w:t xml:space="preserve"> submitted a successful </w:t>
      </w:r>
      <w:r w:rsidRPr="007A260D">
        <w:rPr>
          <w:rFonts w:ascii="Arial" w:hAnsi="Arial" w:cs="Arial"/>
          <w:sz w:val="20"/>
          <w:szCs w:val="20"/>
        </w:rPr>
        <w:t xml:space="preserve">application </w:t>
      </w:r>
      <w:r>
        <w:rPr>
          <w:rFonts w:ascii="Arial" w:hAnsi="Arial" w:cs="Arial"/>
          <w:sz w:val="20"/>
          <w:szCs w:val="20"/>
        </w:rPr>
        <w:t xml:space="preserve">to IPART </w:t>
      </w:r>
      <w:r w:rsidRPr="007A260D">
        <w:rPr>
          <w:rFonts w:ascii="Arial" w:hAnsi="Arial" w:cs="Arial"/>
          <w:sz w:val="20"/>
          <w:szCs w:val="20"/>
        </w:rPr>
        <w:t xml:space="preserve">for </w:t>
      </w:r>
      <w:r>
        <w:rPr>
          <w:rFonts w:ascii="Arial" w:hAnsi="Arial" w:cs="Arial"/>
          <w:sz w:val="20"/>
          <w:szCs w:val="20"/>
        </w:rPr>
        <w:t>c</w:t>
      </w:r>
      <w:r w:rsidRPr="007A260D">
        <w:rPr>
          <w:rFonts w:ascii="Arial" w:hAnsi="Arial" w:cs="Arial"/>
          <w:sz w:val="20"/>
          <w:szCs w:val="20"/>
        </w:rPr>
        <w:t xml:space="preserve">ontinuation of the 2010 special variation. </w:t>
      </w:r>
      <w:r>
        <w:rPr>
          <w:rFonts w:ascii="Arial" w:hAnsi="Arial" w:cs="Arial"/>
          <w:sz w:val="20"/>
          <w:szCs w:val="20"/>
        </w:rPr>
        <w:t xml:space="preserve"> </w:t>
      </w:r>
      <w:r w:rsidRPr="007A260D">
        <w:rPr>
          <w:rFonts w:ascii="Arial" w:hAnsi="Arial" w:cs="Arial"/>
          <w:sz w:val="20"/>
          <w:szCs w:val="20"/>
        </w:rPr>
        <w:t xml:space="preserve">A comprehensive program of community engagement </w:t>
      </w:r>
      <w:r>
        <w:rPr>
          <w:rFonts w:ascii="Arial" w:hAnsi="Arial" w:cs="Arial"/>
          <w:sz w:val="20"/>
          <w:szCs w:val="20"/>
        </w:rPr>
        <w:t>in 2012-2013 on service levels and community priorities</w:t>
      </w:r>
      <w:r w:rsidRPr="007A260D">
        <w:rPr>
          <w:rFonts w:ascii="Arial" w:hAnsi="Arial" w:cs="Arial"/>
          <w:sz w:val="20"/>
          <w:szCs w:val="20"/>
        </w:rPr>
        <w:t xml:space="preserve"> supported this</w:t>
      </w:r>
      <w:r>
        <w:rPr>
          <w:rFonts w:ascii="Arial" w:hAnsi="Arial" w:cs="Arial"/>
          <w:sz w:val="20"/>
          <w:szCs w:val="20"/>
        </w:rPr>
        <w:t>.</w:t>
      </w:r>
    </w:p>
    <w:p w14:paraId="0FFB8905" w14:textId="77777777" w:rsidR="00906E1F" w:rsidRDefault="00906E1F" w:rsidP="00906E1F">
      <w:pPr>
        <w:spacing w:line="276" w:lineRule="auto"/>
        <w:jc w:val="both"/>
        <w:rPr>
          <w:rFonts w:ascii="Arial" w:hAnsi="Arial" w:cs="Arial"/>
          <w:bCs/>
          <w:sz w:val="20"/>
          <w:szCs w:val="20"/>
        </w:rPr>
      </w:pPr>
    </w:p>
    <w:p w14:paraId="74C17DE0" w14:textId="77777777" w:rsidR="001671A6" w:rsidRDefault="00906E1F" w:rsidP="001671A6">
      <w:pPr>
        <w:autoSpaceDE w:val="0"/>
        <w:autoSpaceDN w:val="0"/>
        <w:adjustRightInd w:val="0"/>
        <w:spacing w:line="276" w:lineRule="auto"/>
        <w:contextualSpacing/>
        <w:jc w:val="both"/>
        <w:rPr>
          <w:rFonts w:ascii="Arial" w:hAnsi="Arial" w:cs="Arial"/>
          <w:sz w:val="20"/>
          <w:szCs w:val="20"/>
        </w:rPr>
      </w:pPr>
      <w:r w:rsidRPr="001671A6">
        <w:rPr>
          <w:rFonts w:ascii="Arial" w:hAnsi="Arial" w:cs="Arial"/>
          <w:b/>
          <w:sz w:val="20"/>
          <w:szCs w:val="20"/>
        </w:rPr>
        <w:t>In 2014</w:t>
      </w:r>
      <w:r w:rsidRPr="001671A6">
        <w:rPr>
          <w:rFonts w:ascii="Arial" w:hAnsi="Arial" w:cs="Arial"/>
          <w:sz w:val="20"/>
          <w:szCs w:val="20"/>
        </w:rPr>
        <w:t xml:space="preserve">, the Council implemented an extensive review of affordable levels of service against three different financial scenarios as detailed in the Long Term Financial Plan (see </w:t>
      </w:r>
      <w:r w:rsidRPr="001671A6">
        <w:rPr>
          <w:rFonts w:ascii="Arial" w:hAnsi="Arial" w:cs="Arial"/>
          <w:b/>
          <w:sz w:val="20"/>
          <w:szCs w:val="20"/>
        </w:rPr>
        <w:t>Attachment 3</w:t>
      </w:r>
      <w:r w:rsidRPr="001671A6">
        <w:rPr>
          <w:rFonts w:ascii="Arial" w:hAnsi="Arial" w:cs="Arial"/>
          <w:sz w:val="20"/>
          <w:szCs w:val="20"/>
        </w:rPr>
        <w:t xml:space="preserve">) and in the Service dashboards (see Attachment 10). The community was engaged on three Options for </w:t>
      </w:r>
      <w:r w:rsidRPr="001671A6">
        <w:rPr>
          <w:rFonts w:ascii="Arial" w:hAnsi="Arial" w:cs="Arial"/>
          <w:i/>
          <w:sz w:val="20"/>
          <w:szCs w:val="20"/>
        </w:rPr>
        <w:t xml:space="preserve">Resourcing our Future </w:t>
      </w:r>
      <w:r w:rsidRPr="001671A6">
        <w:rPr>
          <w:rFonts w:ascii="Arial" w:hAnsi="Arial" w:cs="Arial"/>
          <w:sz w:val="20"/>
          <w:szCs w:val="20"/>
        </w:rPr>
        <w:t xml:space="preserve">(see </w:t>
      </w:r>
      <w:r w:rsidRPr="001671A6">
        <w:rPr>
          <w:rFonts w:ascii="Arial" w:hAnsi="Arial" w:cs="Arial"/>
          <w:b/>
          <w:sz w:val="20"/>
          <w:szCs w:val="20"/>
        </w:rPr>
        <w:t>Section 4.1</w:t>
      </w:r>
      <w:r w:rsidRPr="001671A6">
        <w:rPr>
          <w:rFonts w:ascii="Arial" w:hAnsi="Arial" w:cs="Arial"/>
          <w:sz w:val="20"/>
          <w:szCs w:val="20"/>
        </w:rPr>
        <w:t xml:space="preserve">). The Council sought the views of the community on how best the City could achieve affordable and acceptable levels of service provision into the future. </w:t>
      </w:r>
    </w:p>
    <w:p w14:paraId="2B57E211" w14:textId="77777777" w:rsidR="001671A6" w:rsidRDefault="001671A6" w:rsidP="001671A6">
      <w:pPr>
        <w:autoSpaceDE w:val="0"/>
        <w:autoSpaceDN w:val="0"/>
        <w:adjustRightInd w:val="0"/>
        <w:spacing w:line="276" w:lineRule="auto"/>
        <w:contextualSpacing/>
        <w:jc w:val="both"/>
        <w:rPr>
          <w:rFonts w:ascii="Arial" w:hAnsi="Arial" w:cs="Arial"/>
          <w:sz w:val="20"/>
          <w:szCs w:val="20"/>
        </w:rPr>
      </w:pPr>
    </w:p>
    <w:p w14:paraId="0914B18C" w14:textId="77777777" w:rsidR="001671A6" w:rsidRDefault="00906E1F" w:rsidP="001671A6">
      <w:pPr>
        <w:autoSpaceDE w:val="0"/>
        <w:autoSpaceDN w:val="0"/>
        <w:adjustRightInd w:val="0"/>
        <w:spacing w:line="276" w:lineRule="auto"/>
        <w:contextualSpacing/>
        <w:jc w:val="both"/>
        <w:rPr>
          <w:rFonts w:ascii="Arial" w:hAnsi="Arial" w:cs="Arial"/>
          <w:sz w:val="20"/>
          <w:szCs w:val="20"/>
        </w:rPr>
      </w:pPr>
      <w:r w:rsidRPr="001671A6">
        <w:rPr>
          <w:rFonts w:ascii="Arial" w:hAnsi="Arial" w:cs="Arial"/>
          <w:sz w:val="20"/>
          <w:szCs w:val="20"/>
        </w:rPr>
        <w:t xml:space="preserve">Updated versions of the Council’s </w:t>
      </w:r>
      <w:r w:rsidRPr="001671A6">
        <w:rPr>
          <w:rFonts w:ascii="Arial" w:hAnsi="Arial" w:cs="Arial"/>
          <w:i/>
          <w:sz w:val="20"/>
          <w:szCs w:val="20"/>
        </w:rPr>
        <w:t>Resourcing Strategy 2014-2024</w:t>
      </w:r>
      <w:r w:rsidR="001671A6" w:rsidRPr="001671A6">
        <w:rPr>
          <w:rFonts w:ascii="Arial" w:hAnsi="Arial" w:cs="Arial"/>
          <w:i/>
          <w:sz w:val="20"/>
          <w:szCs w:val="20"/>
        </w:rPr>
        <w:t xml:space="preserve"> </w:t>
      </w:r>
      <w:r w:rsidR="001671A6" w:rsidRPr="001671A6">
        <w:rPr>
          <w:rFonts w:ascii="Arial" w:hAnsi="Arial" w:cs="Arial"/>
          <w:b/>
          <w:sz w:val="20"/>
          <w:szCs w:val="20"/>
        </w:rPr>
        <w:t>(Attachment 13)</w:t>
      </w:r>
      <w:r w:rsidRPr="001671A6">
        <w:rPr>
          <w:rFonts w:ascii="Arial" w:hAnsi="Arial" w:cs="Arial"/>
          <w:b/>
          <w:sz w:val="20"/>
          <w:szCs w:val="20"/>
        </w:rPr>
        <w:t>,</w:t>
      </w:r>
      <w:r w:rsidRPr="001671A6">
        <w:rPr>
          <w:rFonts w:ascii="Arial" w:hAnsi="Arial" w:cs="Arial"/>
          <w:i/>
          <w:sz w:val="20"/>
          <w:szCs w:val="20"/>
        </w:rPr>
        <w:t xml:space="preserve"> Service Dashboards 2014 </w:t>
      </w:r>
      <w:r w:rsidR="001671A6" w:rsidRPr="001671A6">
        <w:rPr>
          <w:rFonts w:ascii="Arial" w:hAnsi="Arial" w:cs="Arial"/>
          <w:sz w:val="20"/>
          <w:szCs w:val="20"/>
        </w:rPr>
        <w:t>(</w:t>
      </w:r>
      <w:r w:rsidR="001671A6" w:rsidRPr="001671A6">
        <w:rPr>
          <w:rFonts w:ascii="Arial" w:hAnsi="Arial" w:cs="Arial"/>
          <w:b/>
          <w:sz w:val="20"/>
          <w:szCs w:val="20"/>
        </w:rPr>
        <w:t>Attachment 10</w:t>
      </w:r>
      <w:r w:rsidR="001671A6" w:rsidRPr="001671A6">
        <w:rPr>
          <w:rFonts w:ascii="Arial" w:hAnsi="Arial" w:cs="Arial"/>
          <w:sz w:val="20"/>
          <w:szCs w:val="20"/>
        </w:rPr>
        <w:t xml:space="preserve">) </w:t>
      </w:r>
      <w:r w:rsidRPr="001671A6">
        <w:rPr>
          <w:rFonts w:ascii="Arial" w:hAnsi="Arial" w:cs="Arial"/>
          <w:sz w:val="20"/>
          <w:szCs w:val="20"/>
        </w:rPr>
        <w:t>and</w:t>
      </w:r>
      <w:r w:rsidRPr="001671A6">
        <w:rPr>
          <w:rFonts w:ascii="Arial" w:hAnsi="Arial" w:cs="Arial"/>
          <w:i/>
          <w:sz w:val="20"/>
          <w:szCs w:val="20"/>
        </w:rPr>
        <w:t xml:space="preserve"> Supplementary Delivery Program 2015/16 – 2018/19</w:t>
      </w:r>
      <w:r w:rsidRPr="001671A6">
        <w:rPr>
          <w:rFonts w:ascii="Arial" w:hAnsi="Arial" w:cs="Arial"/>
          <w:sz w:val="20"/>
          <w:szCs w:val="20"/>
        </w:rPr>
        <w:t xml:space="preserve"> </w:t>
      </w:r>
      <w:r w:rsidR="001671A6" w:rsidRPr="001671A6">
        <w:rPr>
          <w:rFonts w:ascii="Arial" w:hAnsi="Arial" w:cs="Arial"/>
          <w:sz w:val="20"/>
          <w:szCs w:val="20"/>
        </w:rPr>
        <w:t>(</w:t>
      </w:r>
      <w:r w:rsidR="001671A6" w:rsidRPr="001671A6">
        <w:rPr>
          <w:rFonts w:ascii="Arial" w:hAnsi="Arial" w:cs="Arial"/>
          <w:b/>
          <w:sz w:val="20"/>
          <w:szCs w:val="20"/>
        </w:rPr>
        <w:t>Attachment 2</w:t>
      </w:r>
      <w:r w:rsidR="001671A6" w:rsidRPr="001671A6">
        <w:rPr>
          <w:rFonts w:ascii="Arial" w:hAnsi="Arial" w:cs="Arial"/>
          <w:sz w:val="20"/>
          <w:szCs w:val="20"/>
        </w:rPr>
        <w:t xml:space="preserve">) </w:t>
      </w:r>
      <w:r w:rsidRPr="001671A6">
        <w:rPr>
          <w:rFonts w:ascii="Arial" w:hAnsi="Arial" w:cs="Arial"/>
          <w:sz w:val="20"/>
          <w:szCs w:val="20"/>
        </w:rPr>
        <w:t>were publically exhibited</w:t>
      </w:r>
      <w:r w:rsidR="001671A6">
        <w:rPr>
          <w:rFonts w:ascii="Arial" w:hAnsi="Arial" w:cs="Arial"/>
          <w:sz w:val="20"/>
          <w:szCs w:val="20"/>
        </w:rPr>
        <w:t xml:space="preserve"> for 43 days in August – September 2014</w:t>
      </w:r>
      <w:r w:rsidR="001671A6" w:rsidRPr="001671A6">
        <w:rPr>
          <w:rFonts w:ascii="Arial" w:hAnsi="Arial" w:cs="Arial"/>
          <w:sz w:val="20"/>
          <w:szCs w:val="20"/>
        </w:rPr>
        <w:t>.</w:t>
      </w:r>
      <w:r w:rsidRPr="001671A6">
        <w:rPr>
          <w:rFonts w:ascii="Arial" w:hAnsi="Arial" w:cs="Arial"/>
          <w:sz w:val="20"/>
          <w:szCs w:val="20"/>
        </w:rPr>
        <w:t xml:space="preserve"> </w:t>
      </w:r>
    </w:p>
    <w:p w14:paraId="6E2137E2" w14:textId="77777777" w:rsidR="001671A6" w:rsidRDefault="001671A6" w:rsidP="001671A6">
      <w:pPr>
        <w:autoSpaceDE w:val="0"/>
        <w:autoSpaceDN w:val="0"/>
        <w:adjustRightInd w:val="0"/>
        <w:spacing w:line="276" w:lineRule="auto"/>
        <w:contextualSpacing/>
        <w:jc w:val="both"/>
        <w:rPr>
          <w:rFonts w:ascii="Arial" w:hAnsi="Arial" w:cs="Arial"/>
          <w:sz w:val="20"/>
          <w:szCs w:val="20"/>
        </w:rPr>
      </w:pPr>
    </w:p>
    <w:p w14:paraId="5595CC62" w14:textId="77777777" w:rsidR="001671A6" w:rsidRDefault="001671A6" w:rsidP="001671A6">
      <w:pPr>
        <w:autoSpaceDE w:val="0"/>
        <w:autoSpaceDN w:val="0"/>
        <w:adjustRightInd w:val="0"/>
        <w:spacing w:line="276" w:lineRule="auto"/>
        <w:contextualSpacing/>
        <w:jc w:val="both"/>
        <w:rPr>
          <w:rFonts w:ascii="Arial" w:hAnsi="Arial" w:cs="Arial"/>
          <w:sz w:val="20"/>
          <w:szCs w:val="20"/>
        </w:rPr>
      </w:pPr>
      <w:r w:rsidRPr="001671A6">
        <w:rPr>
          <w:rFonts w:ascii="Arial" w:hAnsi="Arial" w:cs="Arial"/>
          <w:sz w:val="20"/>
          <w:szCs w:val="20"/>
        </w:rPr>
        <w:t xml:space="preserve">Three resourcing options were included in </w:t>
      </w:r>
      <w:r>
        <w:rPr>
          <w:rFonts w:ascii="Arial" w:hAnsi="Arial" w:cs="Arial"/>
          <w:sz w:val="20"/>
          <w:szCs w:val="20"/>
        </w:rPr>
        <w:t xml:space="preserve">each of these </w:t>
      </w:r>
      <w:r w:rsidRPr="001671A6">
        <w:rPr>
          <w:rFonts w:ascii="Arial" w:hAnsi="Arial" w:cs="Arial"/>
          <w:sz w:val="20"/>
          <w:szCs w:val="20"/>
        </w:rPr>
        <w:t xml:space="preserve">documents that were adopted for public exhibition in July 2014 and then adopted </w:t>
      </w:r>
      <w:r>
        <w:rPr>
          <w:rFonts w:ascii="Arial" w:hAnsi="Arial" w:cs="Arial"/>
          <w:sz w:val="20"/>
          <w:szCs w:val="20"/>
        </w:rPr>
        <w:t xml:space="preserve">with revisions </w:t>
      </w:r>
      <w:r w:rsidRPr="001671A6">
        <w:rPr>
          <w:rFonts w:ascii="Arial" w:hAnsi="Arial" w:cs="Arial"/>
          <w:sz w:val="20"/>
          <w:szCs w:val="20"/>
        </w:rPr>
        <w:t xml:space="preserve">in December 2014. The Council resolved to make an application to IPART for a special rate variation based on Option 1 </w:t>
      </w:r>
      <w:r>
        <w:rPr>
          <w:rFonts w:ascii="Arial" w:hAnsi="Arial" w:cs="Arial"/>
          <w:sz w:val="20"/>
          <w:szCs w:val="20"/>
        </w:rPr>
        <w:t>on the 9</w:t>
      </w:r>
      <w:r w:rsidRPr="001671A6">
        <w:rPr>
          <w:rFonts w:ascii="Arial" w:hAnsi="Arial" w:cs="Arial"/>
          <w:sz w:val="20"/>
          <w:szCs w:val="20"/>
          <w:vertAlign w:val="superscript"/>
        </w:rPr>
        <w:t>th</w:t>
      </w:r>
      <w:r>
        <w:rPr>
          <w:rFonts w:ascii="Arial" w:hAnsi="Arial" w:cs="Arial"/>
          <w:sz w:val="20"/>
          <w:szCs w:val="20"/>
        </w:rPr>
        <w:t xml:space="preserve"> of December 2014. </w:t>
      </w:r>
    </w:p>
    <w:p w14:paraId="1605DC9C" w14:textId="77777777" w:rsidR="00906E1F" w:rsidRDefault="00906E1F" w:rsidP="00EB27AC">
      <w:pPr>
        <w:spacing w:line="276" w:lineRule="auto"/>
        <w:jc w:val="both"/>
        <w:rPr>
          <w:rFonts w:ascii="Arial" w:hAnsi="Arial" w:cs="Arial"/>
          <w:b/>
          <w:sz w:val="20"/>
          <w:szCs w:val="20"/>
        </w:rPr>
      </w:pPr>
    </w:p>
    <w:p w14:paraId="4C36AC1D" w14:textId="28E5F792" w:rsidR="008A350B" w:rsidRPr="001671A6" w:rsidRDefault="008A350B" w:rsidP="001671A6">
      <w:pPr>
        <w:autoSpaceDE w:val="0"/>
        <w:autoSpaceDN w:val="0"/>
        <w:adjustRightInd w:val="0"/>
        <w:spacing w:line="276" w:lineRule="auto"/>
        <w:contextualSpacing/>
        <w:jc w:val="both"/>
        <w:rPr>
          <w:rFonts w:ascii="Arial" w:hAnsi="Arial" w:cs="Arial"/>
          <w:sz w:val="20"/>
          <w:szCs w:val="20"/>
        </w:rPr>
      </w:pPr>
      <w:r w:rsidRPr="001671A6">
        <w:rPr>
          <w:rFonts w:ascii="Arial" w:hAnsi="Arial" w:cs="Arial"/>
          <w:sz w:val="20"/>
          <w:szCs w:val="20"/>
        </w:rPr>
        <w:t>In January 201</w:t>
      </w:r>
      <w:r w:rsidR="00FF78B3" w:rsidRPr="001671A6">
        <w:rPr>
          <w:rFonts w:ascii="Arial" w:hAnsi="Arial" w:cs="Arial"/>
          <w:sz w:val="20"/>
          <w:szCs w:val="20"/>
        </w:rPr>
        <w:t>5</w:t>
      </w:r>
      <w:r w:rsidRPr="001671A6">
        <w:rPr>
          <w:rFonts w:ascii="Arial" w:hAnsi="Arial" w:cs="Arial"/>
          <w:sz w:val="20"/>
          <w:szCs w:val="20"/>
        </w:rPr>
        <w:t xml:space="preserve">, the Council also adopted Asset Management Plans, </w:t>
      </w:r>
      <w:r w:rsidRPr="001671A6">
        <w:rPr>
          <w:rFonts w:ascii="Arial" w:hAnsi="Arial" w:cs="Arial"/>
          <w:bCs/>
          <w:sz w:val="20"/>
          <w:szCs w:val="20"/>
        </w:rPr>
        <w:t>identifying affordable levels of asset service delivery in line with the Council’s adopted 10 year Resourcing Strategy.</w:t>
      </w:r>
    </w:p>
    <w:p w14:paraId="7C1F4203" w14:textId="563478AE" w:rsidR="001671A6" w:rsidRPr="00C71FF4" w:rsidRDefault="001671A6" w:rsidP="001671A6">
      <w:pPr>
        <w:pStyle w:val="Heading2"/>
      </w:pPr>
      <w:bookmarkStart w:id="100" w:name="_Toc412798930"/>
      <w:r>
        <w:t>Adoption of IP&amp;R Documents</w:t>
      </w:r>
      <w:bookmarkEnd w:id="100"/>
      <w:r>
        <w:t xml:space="preserve"> </w:t>
      </w:r>
    </w:p>
    <w:p w14:paraId="4AAAFFCD" w14:textId="77777777" w:rsidR="005B4428" w:rsidRPr="00C71FF4" w:rsidRDefault="005B4428" w:rsidP="00EB27AC">
      <w:pPr>
        <w:spacing w:line="276" w:lineRule="auto"/>
        <w:jc w:val="both"/>
        <w:rPr>
          <w:rFonts w:ascii="Arial" w:hAnsi="Arial" w:cs="Arial"/>
          <w:sz w:val="20"/>
          <w:szCs w:val="20"/>
        </w:rPr>
      </w:pPr>
    </w:p>
    <w:p w14:paraId="04C6A07D" w14:textId="36069456" w:rsidR="008A350B" w:rsidRDefault="008A350B" w:rsidP="00EB27AC">
      <w:pPr>
        <w:spacing w:line="276" w:lineRule="auto"/>
        <w:jc w:val="both"/>
        <w:rPr>
          <w:rFonts w:ascii="Arial" w:hAnsi="Arial" w:cs="Arial"/>
          <w:sz w:val="20"/>
          <w:szCs w:val="20"/>
        </w:rPr>
      </w:pPr>
      <w:r w:rsidRPr="00C71FF4">
        <w:rPr>
          <w:rFonts w:ascii="Arial" w:hAnsi="Arial" w:cs="Arial"/>
          <w:sz w:val="20"/>
          <w:szCs w:val="20"/>
        </w:rPr>
        <w:t>The following table includes details of and dates for key IP</w:t>
      </w:r>
      <w:r w:rsidR="00EB40D0">
        <w:rPr>
          <w:rFonts w:ascii="Arial" w:hAnsi="Arial" w:cs="Arial"/>
          <w:sz w:val="20"/>
          <w:szCs w:val="20"/>
        </w:rPr>
        <w:t>&amp;</w:t>
      </w:r>
      <w:r w:rsidRPr="00C71FF4">
        <w:rPr>
          <w:rFonts w:ascii="Arial" w:hAnsi="Arial" w:cs="Arial"/>
          <w:sz w:val="20"/>
          <w:szCs w:val="20"/>
        </w:rPr>
        <w:t>R processes</w:t>
      </w:r>
      <w:r w:rsidR="001671A6">
        <w:rPr>
          <w:rFonts w:ascii="Arial" w:hAnsi="Arial" w:cs="Arial"/>
          <w:sz w:val="20"/>
          <w:szCs w:val="20"/>
        </w:rPr>
        <w:t xml:space="preserve"> including adoption by the Council</w:t>
      </w:r>
      <w:r w:rsidRPr="00C71FF4">
        <w:rPr>
          <w:rFonts w:ascii="Arial" w:hAnsi="Arial" w:cs="Arial"/>
          <w:sz w:val="20"/>
          <w:szCs w:val="20"/>
        </w:rPr>
        <w:t>.</w:t>
      </w:r>
    </w:p>
    <w:p w14:paraId="5307A151" w14:textId="1C9DEA72" w:rsidR="008A350B" w:rsidRPr="001671A6" w:rsidRDefault="008A350B" w:rsidP="00EB27AC">
      <w:pPr>
        <w:pStyle w:val="BodyText"/>
        <w:spacing w:line="276" w:lineRule="auto"/>
        <w:rPr>
          <w:rFonts w:ascii="Arial" w:hAnsi="Arial" w:cs="Arial"/>
          <w:b/>
          <w:sz w:val="18"/>
          <w:szCs w:val="18"/>
        </w:rPr>
      </w:pPr>
      <w:r>
        <w:rPr>
          <w:rFonts w:ascii="Arial" w:hAnsi="Arial" w:cs="Arial"/>
          <w:sz w:val="20"/>
          <w:szCs w:val="20"/>
        </w:rPr>
        <w:t xml:space="preserve"> </w:t>
      </w:r>
      <w:r w:rsidR="0053356A" w:rsidRPr="001671A6">
        <w:rPr>
          <w:rFonts w:ascii="Arial" w:hAnsi="Arial" w:cs="Arial"/>
          <w:b/>
          <w:sz w:val="18"/>
          <w:szCs w:val="18"/>
        </w:rPr>
        <w:t>Table 6.1</w:t>
      </w:r>
      <w:r w:rsidR="009E2FB7" w:rsidRPr="001671A6">
        <w:rPr>
          <w:rFonts w:ascii="Arial" w:hAnsi="Arial" w:cs="Arial"/>
          <w:b/>
          <w:sz w:val="18"/>
          <w:szCs w:val="18"/>
        </w:rPr>
        <w:t xml:space="preserve"> Public exhibition and adoption of relevant</w:t>
      </w:r>
      <w:r w:rsidRPr="001671A6">
        <w:rPr>
          <w:rFonts w:ascii="Arial" w:hAnsi="Arial" w:cs="Arial"/>
          <w:b/>
          <w:sz w:val="18"/>
          <w:szCs w:val="18"/>
        </w:rPr>
        <w:t xml:space="preserve"> IP</w:t>
      </w:r>
      <w:r w:rsidR="00EB40D0" w:rsidRPr="001671A6">
        <w:rPr>
          <w:rFonts w:ascii="Arial" w:hAnsi="Arial" w:cs="Arial"/>
          <w:b/>
          <w:sz w:val="18"/>
          <w:szCs w:val="18"/>
        </w:rPr>
        <w:t>&amp;</w:t>
      </w:r>
      <w:r w:rsidR="009E2FB7" w:rsidRPr="001671A6">
        <w:rPr>
          <w:rFonts w:ascii="Arial" w:hAnsi="Arial" w:cs="Arial"/>
          <w:b/>
          <w:sz w:val="18"/>
          <w:szCs w:val="18"/>
        </w:rPr>
        <w:t>R documents</w:t>
      </w:r>
    </w:p>
    <w:tbl>
      <w:tblPr>
        <w:tblStyle w:val="TableGrid"/>
        <w:tblW w:w="8505" w:type="dxa"/>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418"/>
        <w:gridCol w:w="1276"/>
        <w:gridCol w:w="1701"/>
        <w:gridCol w:w="4110"/>
      </w:tblGrid>
      <w:tr w:rsidR="008A350B" w:rsidRPr="000B344C" w14:paraId="1BD83C38" w14:textId="77777777" w:rsidTr="00EB40D0">
        <w:trPr>
          <w:trHeight w:val="454"/>
          <w:tblHeader/>
        </w:trPr>
        <w:tc>
          <w:tcPr>
            <w:tcW w:w="1418" w:type="dxa"/>
            <w:shd w:val="clear" w:color="auto" w:fill="365F91" w:themeFill="accent1" w:themeFillShade="BF"/>
            <w:vAlign w:val="center"/>
          </w:tcPr>
          <w:p w14:paraId="66C48C52" w14:textId="77777777" w:rsidR="008A350B" w:rsidRPr="000B344C" w:rsidRDefault="008A350B" w:rsidP="008A350B">
            <w:pPr>
              <w:pStyle w:val="Default"/>
              <w:spacing w:before="40" w:after="40"/>
              <w:jc w:val="center"/>
              <w:rPr>
                <w:rFonts w:asciiTheme="minorHAnsi" w:hAnsiTheme="minorHAnsi"/>
                <w:b/>
                <w:color w:val="FFFFFF" w:themeColor="background1"/>
                <w:sz w:val="20"/>
                <w:szCs w:val="20"/>
              </w:rPr>
            </w:pPr>
            <w:r w:rsidRPr="000B344C">
              <w:rPr>
                <w:rFonts w:asciiTheme="minorHAnsi" w:hAnsiTheme="minorHAnsi"/>
                <w:b/>
                <w:color w:val="FFFFFF" w:themeColor="background1"/>
                <w:sz w:val="20"/>
                <w:szCs w:val="20"/>
              </w:rPr>
              <w:t>Item</w:t>
            </w:r>
          </w:p>
        </w:tc>
        <w:tc>
          <w:tcPr>
            <w:tcW w:w="1276" w:type="dxa"/>
            <w:shd w:val="clear" w:color="auto" w:fill="365F91" w:themeFill="accent1" w:themeFillShade="BF"/>
            <w:vAlign w:val="center"/>
          </w:tcPr>
          <w:p w14:paraId="1D481536" w14:textId="77777777" w:rsidR="008A350B" w:rsidRPr="000B344C" w:rsidRDefault="008A350B" w:rsidP="008A350B">
            <w:pPr>
              <w:pStyle w:val="Default"/>
              <w:spacing w:before="40" w:after="40"/>
              <w:jc w:val="center"/>
              <w:rPr>
                <w:rFonts w:asciiTheme="minorHAnsi" w:hAnsiTheme="minorHAnsi"/>
                <w:b/>
                <w:color w:val="FFFFFF" w:themeColor="background1"/>
                <w:sz w:val="20"/>
                <w:szCs w:val="20"/>
              </w:rPr>
            </w:pPr>
            <w:r w:rsidRPr="000B344C">
              <w:rPr>
                <w:rFonts w:asciiTheme="minorHAnsi" w:hAnsiTheme="minorHAnsi"/>
                <w:b/>
                <w:color w:val="FFFFFF" w:themeColor="background1"/>
                <w:sz w:val="20"/>
                <w:szCs w:val="20"/>
              </w:rPr>
              <w:t>Date</w:t>
            </w:r>
          </w:p>
        </w:tc>
        <w:tc>
          <w:tcPr>
            <w:tcW w:w="1701" w:type="dxa"/>
            <w:shd w:val="clear" w:color="auto" w:fill="365F91" w:themeFill="accent1" w:themeFillShade="BF"/>
          </w:tcPr>
          <w:p w14:paraId="71626FE9" w14:textId="77777777" w:rsidR="008A350B" w:rsidRPr="000B344C" w:rsidRDefault="008A350B" w:rsidP="008A350B">
            <w:pPr>
              <w:pStyle w:val="Default"/>
              <w:spacing w:before="40" w:after="40"/>
              <w:jc w:val="center"/>
              <w:rPr>
                <w:rFonts w:asciiTheme="minorHAnsi" w:hAnsiTheme="minorHAnsi"/>
                <w:b/>
                <w:color w:val="FFFFFF" w:themeColor="background1"/>
                <w:sz w:val="20"/>
                <w:szCs w:val="20"/>
              </w:rPr>
            </w:pPr>
            <w:r w:rsidRPr="000B344C">
              <w:rPr>
                <w:rFonts w:asciiTheme="minorHAnsi" w:hAnsiTheme="minorHAnsi"/>
                <w:b/>
                <w:color w:val="FFFFFF" w:themeColor="background1"/>
                <w:sz w:val="20"/>
                <w:szCs w:val="20"/>
              </w:rPr>
              <w:t>Comment</w:t>
            </w:r>
          </w:p>
        </w:tc>
        <w:tc>
          <w:tcPr>
            <w:tcW w:w="4110" w:type="dxa"/>
            <w:shd w:val="clear" w:color="auto" w:fill="365F91" w:themeFill="accent1" w:themeFillShade="BF"/>
          </w:tcPr>
          <w:p w14:paraId="686C3FCB" w14:textId="77777777" w:rsidR="008A350B" w:rsidRPr="000B344C" w:rsidRDefault="008A350B" w:rsidP="008A350B">
            <w:pPr>
              <w:pStyle w:val="Default"/>
              <w:spacing w:before="40" w:after="40"/>
              <w:jc w:val="center"/>
              <w:rPr>
                <w:rFonts w:asciiTheme="minorHAnsi" w:hAnsiTheme="minorHAnsi"/>
                <w:b/>
                <w:color w:val="FFFFFF" w:themeColor="background1"/>
                <w:sz w:val="20"/>
                <w:szCs w:val="20"/>
              </w:rPr>
            </w:pPr>
            <w:r w:rsidRPr="000B344C">
              <w:rPr>
                <w:rFonts w:asciiTheme="minorHAnsi" w:hAnsiTheme="minorHAnsi"/>
                <w:b/>
                <w:color w:val="FFFFFF" w:themeColor="background1"/>
                <w:sz w:val="20"/>
                <w:szCs w:val="20"/>
              </w:rPr>
              <w:t>Resolution</w:t>
            </w:r>
          </w:p>
        </w:tc>
      </w:tr>
      <w:tr w:rsidR="008A350B" w:rsidRPr="000B344C" w14:paraId="62FBC431" w14:textId="77777777" w:rsidTr="00EB40D0">
        <w:tc>
          <w:tcPr>
            <w:tcW w:w="1418" w:type="dxa"/>
            <w:shd w:val="clear" w:color="auto" w:fill="DBE5F1" w:themeFill="accent1" w:themeFillTint="33"/>
          </w:tcPr>
          <w:p w14:paraId="518AF248" w14:textId="77777777" w:rsidR="008A350B" w:rsidRPr="000B344C" w:rsidRDefault="008A350B" w:rsidP="008A350B">
            <w:pPr>
              <w:pStyle w:val="Default"/>
              <w:spacing w:before="40" w:after="40"/>
              <w:rPr>
                <w:rFonts w:asciiTheme="minorHAnsi" w:hAnsiTheme="minorHAnsi"/>
                <w:sz w:val="20"/>
                <w:szCs w:val="20"/>
              </w:rPr>
            </w:pPr>
            <w:r w:rsidRPr="000B344C">
              <w:rPr>
                <w:rFonts w:asciiTheme="minorHAnsi" w:hAnsiTheme="minorHAnsi"/>
                <w:sz w:val="20"/>
                <w:szCs w:val="20"/>
              </w:rPr>
              <w:t>Adoption of Long Term Financial Plan and Asset Management Strategy and Policy 2013-2023</w:t>
            </w:r>
          </w:p>
        </w:tc>
        <w:tc>
          <w:tcPr>
            <w:tcW w:w="1276" w:type="dxa"/>
            <w:shd w:val="clear" w:color="auto" w:fill="DBE5F1" w:themeFill="accent1" w:themeFillTint="33"/>
          </w:tcPr>
          <w:p w14:paraId="5A7D8800" w14:textId="77777777" w:rsidR="008A350B" w:rsidRPr="000B344C" w:rsidRDefault="008A350B" w:rsidP="008A350B">
            <w:pPr>
              <w:pStyle w:val="Default"/>
              <w:spacing w:before="40" w:after="40"/>
              <w:rPr>
                <w:rFonts w:asciiTheme="minorHAnsi" w:hAnsiTheme="minorHAnsi"/>
                <w:sz w:val="20"/>
                <w:szCs w:val="20"/>
              </w:rPr>
            </w:pPr>
            <w:r w:rsidRPr="000B344C">
              <w:rPr>
                <w:rFonts w:asciiTheme="minorHAnsi" w:hAnsiTheme="minorHAnsi"/>
                <w:sz w:val="20"/>
                <w:szCs w:val="20"/>
              </w:rPr>
              <w:t>12 March 2013</w:t>
            </w:r>
          </w:p>
        </w:tc>
        <w:tc>
          <w:tcPr>
            <w:tcW w:w="1701" w:type="dxa"/>
            <w:shd w:val="clear" w:color="auto" w:fill="DBE5F1" w:themeFill="accent1" w:themeFillTint="33"/>
          </w:tcPr>
          <w:p w14:paraId="1CD74BA8" w14:textId="6E685417" w:rsidR="008A350B" w:rsidRPr="000B344C" w:rsidRDefault="008A350B" w:rsidP="001671A6">
            <w:pPr>
              <w:pStyle w:val="Default"/>
              <w:spacing w:before="40" w:after="40"/>
              <w:rPr>
                <w:rFonts w:asciiTheme="minorHAnsi" w:hAnsiTheme="minorHAnsi"/>
                <w:sz w:val="20"/>
                <w:szCs w:val="20"/>
              </w:rPr>
            </w:pPr>
            <w:r w:rsidRPr="000B344C">
              <w:rPr>
                <w:rFonts w:asciiTheme="minorHAnsi" w:hAnsiTheme="minorHAnsi"/>
                <w:sz w:val="20"/>
                <w:szCs w:val="20"/>
              </w:rPr>
              <w:t xml:space="preserve">Council Meeting - Six  </w:t>
            </w:r>
            <w:r w:rsidR="001671A6">
              <w:rPr>
                <w:rFonts w:asciiTheme="minorHAnsi" w:hAnsiTheme="minorHAnsi"/>
                <w:sz w:val="20"/>
                <w:szCs w:val="20"/>
              </w:rPr>
              <w:t>Strategies for F</w:t>
            </w:r>
            <w:r w:rsidRPr="000B344C">
              <w:rPr>
                <w:rFonts w:asciiTheme="minorHAnsi" w:hAnsiTheme="minorHAnsi"/>
                <w:sz w:val="20"/>
                <w:szCs w:val="20"/>
              </w:rPr>
              <w:t xml:space="preserve">inancial </w:t>
            </w:r>
            <w:r w:rsidR="001671A6">
              <w:rPr>
                <w:rFonts w:asciiTheme="minorHAnsi" w:hAnsiTheme="minorHAnsi"/>
                <w:sz w:val="20"/>
                <w:szCs w:val="20"/>
              </w:rPr>
              <w:t>S</w:t>
            </w:r>
            <w:r w:rsidRPr="000B344C">
              <w:rPr>
                <w:rFonts w:asciiTheme="minorHAnsi" w:hAnsiTheme="minorHAnsi"/>
                <w:sz w:val="20"/>
                <w:szCs w:val="20"/>
              </w:rPr>
              <w:t xml:space="preserve">ustainability adopted </w:t>
            </w:r>
            <w:r w:rsidR="001671A6">
              <w:rPr>
                <w:rFonts w:asciiTheme="minorHAnsi" w:hAnsiTheme="minorHAnsi"/>
                <w:sz w:val="20"/>
                <w:szCs w:val="20"/>
              </w:rPr>
              <w:t xml:space="preserve">- </w:t>
            </w:r>
            <w:r w:rsidRPr="000B344C">
              <w:rPr>
                <w:rFonts w:asciiTheme="minorHAnsi" w:hAnsiTheme="minorHAnsi"/>
                <w:sz w:val="20"/>
                <w:szCs w:val="20"/>
              </w:rPr>
              <w:t>including renewing existing special variations for infrastructure and environment and applying for additional special variations for infrastructure</w:t>
            </w:r>
          </w:p>
        </w:tc>
        <w:tc>
          <w:tcPr>
            <w:tcW w:w="4110" w:type="dxa"/>
            <w:shd w:val="clear" w:color="auto" w:fill="DBE5F1" w:themeFill="accent1" w:themeFillTint="33"/>
          </w:tcPr>
          <w:p w14:paraId="0A7E35D7" w14:textId="77777777" w:rsidR="008A350B" w:rsidRPr="000B344C" w:rsidRDefault="008A350B" w:rsidP="008A350B">
            <w:pPr>
              <w:pStyle w:val="Default"/>
              <w:spacing w:before="40" w:after="40"/>
              <w:rPr>
                <w:rFonts w:asciiTheme="minorHAnsi" w:hAnsiTheme="minorHAnsi"/>
                <w:b/>
                <w:sz w:val="20"/>
                <w:szCs w:val="20"/>
                <w:u w:val="single"/>
              </w:rPr>
            </w:pPr>
            <w:r w:rsidRPr="000B344C">
              <w:rPr>
                <w:rFonts w:asciiTheme="minorHAnsi" w:hAnsiTheme="minorHAnsi"/>
                <w:b/>
                <w:sz w:val="20"/>
                <w:szCs w:val="20"/>
                <w:u w:val="single"/>
              </w:rPr>
              <w:t>Special Variation Application – Resourcing Infrastructure Funding Requirements</w:t>
            </w:r>
          </w:p>
          <w:p w14:paraId="26E4295C" w14:textId="77777777" w:rsidR="008A350B" w:rsidRPr="000B344C" w:rsidRDefault="008A350B" w:rsidP="00B22528">
            <w:pPr>
              <w:pStyle w:val="Default"/>
              <w:numPr>
                <w:ilvl w:val="0"/>
                <w:numId w:val="36"/>
              </w:numPr>
              <w:spacing w:before="40" w:after="40"/>
              <w:ind w:left="317" w:hanging="283"/>
              <w:rPr>
                <w:rFonts w:asciiTheme="minorHAnsi" w:hAnsiTheme="minorHAnsi"/>
                <w:sz w:val="20"/>
                <w:szCs w:val="20"/>
              </w:rPr>
            </w:pPr>
            <w:r w:rsidRPr="000B344C">
              <w:rPr>
                <w:rFonts w:asciiTheme="minorHAnsi" w:hAnsiTheme="minorHAnsi"/>
                <w:sz w:val="20"/>
                <w:szCs w:val="20"/>
              </w:rPr>
              <w:t>That the Council notes the results of the community engagement process on the proposed continuation of the current special variation to rates for infrastructure;</w:t>
            </w:r>
          </w:p>
          <w:p w14:paraId="1A13875D" w14:textId="77777777" w:rsidR="008A350B" w:rsidRPr="000B344C" w:rsidRDefault="008A350B" w:rsidP="00B22528">
            <w:pPr>
              <w:pStyle w:val="Default"/>
              <w:numPr>
                <w:ilvl w:val="0"/>
                <w:numId w:val="36"/>
              </w:numPr>
              <w:spacing w:before="40" w:after="40"/>
              <w:ind w:left="317" w:hanging="283"/>
              <w:rPr>
                <w:rFonts w:asciiTheme="minorHAnsi" w:hAnsiTheme="minorHAnsi"/>
                <w:sz w:val="20"/>
                <w:szCs w:val="20"/>
              </w:rPr>
            </w:pPr>
            <w:r w:rsidRPr="000B344C">
              <w:rPr>
                <w:rFonts w:asciiTheme="minorHAnsi" w:hAnsiTheme="minorHAnsi"/>
                <w:sz w:val="20"/>
                <w:szCs w:val="20"/>
              </w:rPr>
              <w:t>That the Council approves the making of an application to the Independent Pricing and Regulatory Authority under s508(2) of the Local Government Act 1993, to continue the current special variation to rates for infrastructure on an ongoing basis from 1 July 2013;</w:t>
            </w:r>
          </w:p>
          <w:p w14:paraId="7A3CC58F" w14:textId="77777777" w:rsidR="008A350B" w:rsidRPr="00384052" w:rsidRDefault="008A350B" w:rsidP="00B22528">
            <w:pPr>
              <w:pStyle w:val="Default"/>
              <w:numPr>
                <w:ilvl w:val="0"/>
                <w:numId w:val="36"/>
              </w:numPr>
              <w:spacing w:before="40" w:after="40"/>
              <w:ind w:left="317" w:hanging="283"/>
              <w:rPr>
                <w:rFonts w:asciiTheme="minorHAnsi" w:hAnsiTheme="minorHAnsi"/>
                <w:b/>
                <w:color w:val="000000" w:themeColor="text1"/>
                <w:sz w:val="20"/>
                <w:szCs w:val="20"/>
              </w:rPr>
            </w:pPr>
            <w:r w:rsidRPr="00384052">
              <w:rPr>
                <w:rFonts w:asciiTheme="minorHAnsi" w:hAnsiTheme="minorHAnsi"/>
                <w:b/>
                <w:color w:val="000000" w:themeColor="text1"/>
                <w:sz w:val="20"/>
                <w:szCs w:val="20"/>
              </w:rPr>
              <w:t>That the Council adopts the following documents in support of the application to the Independent Pricing and Regulatory Authority, including the amendments detailed in this Addendum Report:</w:t>
            </w:r>
          </w:p>
          <w:p w14:paraId="087409CC" w14:textId="77777777" w:rsidR="008A350B" w:rsidRPr="00384052" w:rsidRDefault="008A350B" w:rsidP="00B22528">
            <w:pPr>
              <w:pStyle w:val="Default"/>
              <w:numPr>
                <w:ilvl w:val="1"/>
                <w:numId w:val="36"/>
              </w:numPr>
              <w:spacing w:before="40" w:after="40"/>
              <w:ind w:left="601" w:hanging="284"/>
              <w:rPr>
                <w:rFonts w:asciiTheme="minorHAnsi" w:hAnsiTheme="minorHAnsi"/>
                <w:b/>
                <w:color w:val="000000" w:themeColor="text1"/>
                <w:sz w:val="20"/>
                <w:szCs w:val="20"/>
              </w:rPr>
            </w:pPr>
            <w:r w:rsidRPr="00384052">
              <w:rPr>
                <w:rFonts w:asciiTheme="minorHAnsi" w:hAnsiTheme="minorHAnsi"/>
                <w:b/>
                <w:color w:val="000000" w:themeColor="text1"/>
                <w:sz w:val="20"/>
                <w:szCs w:val="20"/>
              </w:rPr>
              <w:t xml:space="preserve">2013-2023 Long Term Financial Plan </w:t>
            </w:r>
          </w:p>
          <w:p w14:paraId="66A87A8C" w14:textId="77777777" w:rsidR="008A350B" w:rsidRPr="00384052" w:rsidRDefault="008A350B" w:rsidP="00B22528">
            <w:pPr>
              <w:pStyle w:val="Default"/>
              <w:numPr>
                <w:ilvl w:val="1"/>
                <w:numId w:val="36"/>
              </w:numPr>
              <w:spacing w:before="40" w:after="40"/>
              <w:ind w:left="601" w:hanging="284"/>
              <w:rPr>
                <w:rFonts w:asciiTheme="minorHAnsi" w:hAnsiTheme="minorHAnsi"/>
                <w:b/>
                <w:color w:val="000000" w:themeColor="text1"/>
                <w:sz w:val="20"/>
                <w:szCs w:val="20"/>
              </w:rPr>
            </w:pPr>
            <w:r w:rsidRPr="00384052">
              <w:rPr>
                <w:rFonts w:asciiTheme="minorHAnsi" w:hAnsiTheme="minorHAnsi"/>
                <w:b/>
                <w:color w:val="000000" w:themeColor="text1"/>
                <w:sz w:val="20"/>
                <w:szCs w:val="20"/>
              </w:rPr>
              <w:t>2013-2023 Asset Management Strategy</w:t>
            </w:r>
          </w:p>
          <w:p w14:paraId="687249D6" w14:textId="77777777" w:rsidR="008A350B" w:rsidRPr="00384052" w:rsidRDefault="008A350B" w:rsidP="00B22528">
            <w:pPr>
              <w:pStyle w:val="Default"/>
              <w:numPr>
                <w:ilvl w:val="1"/>
                <w:numId w:val="36"/>
              </w:numPr>
              <w:spacing w:before="40" w:after="40"/>
              <w:ind w:left="601" w:hanging="284"/>
              <w:rPr>
                <w:rFonts w:asciiTheme="minorHAnsi" w:hAnsiTheme="minorHAnsi"/>
                <w:b/>
                <w:color w:val="000000" w:themeColor="text1"/>
                <w:sz w:val="20"/>
                <w:szCs w:val="20"/>
              </w:rPr>
            </w:pPr>
            <w:r w:rsidRPr="00384052">
              <w:rPr>
                <w:rFonts w:asciiTheme="minorHAnsi" w:hAnsiTheme="minorHAnsi"/>
                <w:b/>
                <w:color w:val="000000" w:themeColor="text1"/>
                <w:sz w:val="20"/>
                <w:szCs w:val="20"/>
              </w:rPr>
              <w:t>2013-2017 Asset Management Policy; and</w:t>
            </w:r>
          </w:p>
          <w:p w14:paraId="0387960D" w14:textId="77777777" w:rsidR="008A350B" w:rsidRPr="000B344C" w:rsidRDefault="008A350B" w:rsidP="00B22528">
            <w:pPr>
              <w:pStyle w:val="Default"/>
              <w:numPr>
                <w:ilvl w:val="0"/>
                <w:numId w:val="36"/>
              </w:numPr>
              <w:spacing w:before="40" w:after="40"/>
              <w:ind w:left="317" w:hanging="283"/>
              <w:rPr>
                <w:rFonts w:asciiTheme="minorHAnsi" w:hAnsiTheme="minorHAnsi"/>
                <w:sz w:val="20"/>
                <w:szCs w:val="20"/>
              </w:rPr>
            </w:pPr>
            <w:r w:rsidRPr="000B344C">
              <w:rPr>
                <w:rFonts w:asciiTheme="minorHAnsi" w:hAnsiTheme="minorHAnsi"/>
                <w:sz w:val="20"/>
                <w:szCs w:val="20"/>
              </w:rPr>
              <w:t>That the Council notes the background document “Summary Dashboards: Service and Asset Management Plans” which is proposed to be included as supporting information to the special variation application.</w:t>
            </w:r>
          </w:p>
          <w:p w14:paraId="03941524" w14:textId="77777777" w:rsidR="008A350B" w:rsidRPr="000B344C" w:rsidRDefault="008A350B" w:rsidP="008A350B">
            <w:pPr>
              <w:pStyle w:val="Default"/>
              <w:spacing w:before="40" w:after="40"/>
              <w:ind w:left="34"/>
              <w:rPr>
                <w:rFonts w:asciiTheme="minorHAnsi" w:hAnsiTheme="minorHAnsi"/>
                <w:sz w:val="20"/>
                <w:szCs w:val="20"/>
              </w:rPr>
            </w:pPr>
            <w:r w:rsidRPr="000B344C">
              <w:rPr>
                <w:rFonts w:asciiTheme="minorHAnsi" w:hAnsiTheme="minorHAnsi"/>
                <w:sz w:val="20"/>
                <w:szCs w:val="20"/>
              </w:rPr>
              <w:t>[Minute No. 80, 23/3/13]</w:t>
            </w:r>
          </w:p>
        </w:tc>
      </w:tr>
      <w:tr w:rsidR="008A350B" w:rsidRPr="000B344C" w14:paraId="26C7AED0" w14:textId="77777777" w:rsidTr="00EB40D0">
        <w:tc>
          <w:tcPr>
            <w:tcW w:w="1418" w:type="dxa"/>
            <w:shd w:val="clear" w:color="auto" w:fill="DBE5F1" w:themeFill="accent1" w:themeFillTint="33"/>
          </w:tcPr>
          <w:p w14:paraId="6FA27BE4" w14:textId="77777777" w:rsidR="008A350B" w:rsidRPr="000B344C" w:rsidRDefault="008A350B" w:rsidP="008A350B">
            <w:pPr>
              <w:autoSpaceDE w:val="0"/>
              <w:autoSpaceDN w:val="0"/>
              <w:adjustRightInd w:val="0"/>
              <w:rPr>
                <w:rFonts w:asciiTheme="minorHAnsi" w:eastAsiaTheme="minorHAnsi" w:hAnsiTheme="minorHAnsi" w:cs="Arial"/>
                <w:bCs/>
                <w:sz w:val="20"/>
                <w:szCs w:val="20"/>
                <w:lang w:eastAsia="en-US"/>
              </w:rPr>
            </w:pPr>
            <w:r w:rsidRPr="000B344C">
              <w:rPr>
                <w:rFonts w:asciiTheme="minorHAnsi" w:eastAsiaTheme="minorHAnsi" w:hAnsiTheme="minorHAnsi" w:cs="Arial"/>
                <w:bCs/>
                <w:sz w:val="20"/>
                <w:szCs w:val="20"/>
                <w:lang w:eastAsia="en-US"/>
              </w:rPr>
              <w:t>Integrated Planning for the Next Four to Ten Years</w:t>
            </w:r>
          </w:p>
          <w:p w14:paraId="4777CFD7" w14:textId="77777777" w:rsidR="008A350B" w:rsidRPr="000B344C" w:rsidRDefault="008A350B" w:rsidP="008A350B">
            <w:pPr>
              <w:pStyle w:val="Default"/>
              <w:spacing w:before="40" w:after="40"/>
              <w:rPr>
                <w:rFonts w:asciiTheme="minorHAnsi" w:hAnsiTheme="minorHAnsi"/>
                <w:sz w:val="20"/>
                <w:szCs w:val="20"/>
              </w:rPr>
            </w:pPr>
          </w:p>
        </w:tc>
        <w:tc>
          <w:tcPr>
            <w:tcW w:w="1276" w:type="dxa"/>
            <w:shd w:val="clear" w:color="auto" w:fill="DBE5F1" w:themeFill="accent1" w:themeFillTint="33"/>
          </w:tcPr>
          <w:p w14:paraId="5A6D483D" w14:textId="77777777" w:rsidR="008A350B" w:rsidRPr="000B344C" w:rsidRDefault="008A350B" w:rsidP="008A350B">
            <w:pPr>
              <w:pStyle w:val="Default"/>
              <w:spacing w:before="40" w:after="40"/>
              <w:rPr>
                <w:rFonts w:asciiTheme="minorHAnsi" w:hAnsiTheme="minorHAnsi"/>
                <w:sz w:val="20"/>
                <w:szCs w:val="20"/>
              </w:rPr>
            </w:pPr>
            <w:r w:rsidRPr="000B344C">
              <w:rPr>
                <w:rFonts w:asciiTheme="minorHAnsi" w:hAnsiTheme="minorHAnsi"/>
                <w:sz w:val="20"/>
                <w:szCs w:val="20"/>
              </w:rPr>
              <w:t>23 April 2013</w:t>
            </w:r>
          </w:p>
        </w:tc>
        <w:tc>
          <w:tcPr>
            <w:tcW w:w="1701" w:type="dxa"/>
            <w:shd w:val="clear" w:color="auto" w:fill="DBE5F1" w:themeFill="accent1" w:themeFillTint="33"/>
          </w:tcPr>
          <w:p w14:paraId="2D7943E6" w14:textId="77777777" w:rsidR="008A350B" w:rsidRPr="000B344C" w:rsidRDefault="008A350B" w:rsidP="008A350B">
            <w:pPr>
              <w:pStyle w:val="Default"/>
              <w:spacing w:before="40" w:after="40"/>
              <w:rPr>
                <w:rFonts w:asciiTheme="minorHAnsi" w:hAnsiTheme="minorHAnsi"/>
                <w:sz w:val="20"/>
                <w:szCs w:val="20"/>
              </w:rPr>
            </w:pPr>
            <w:r w:rsidRPr="000B344C">
              <w:rPr>
                <w:rFonts w:asciiTheme="minorHAnsi" w:hAnsiTheme="minorHAnsi"/>
                <w:sz w:val="20"/>
                <w:szCs w:val="20"/>
              </w:rPr>
              <w:t>Council Meeting – adoption of IPR documents for public exhibition, including the priority that the Council continue its focus on improving its financial sustainability through implementing six financial strategies including further engaging community in 2014 on a possible further special variation to rates and continuation of the existing Environment Levy</w:t>
            </w:r>
          </w:p>
        </w:tc>
        <w:tc>
          <w:tcPr>
            <w:tcW w:w="4110" w:type="dxa"/>
            <w:shd w:val="clear" w:color="auto" w:fill="DBE5F1" w:themeFill="accent1" w:themeFillTint="33"/>
          </w:tcPr>
          <w:p w14:paraId="202E8C13" w14:textId="77777777" w:rsidR="008A350B" w:rsidRPr="000B344C" w:rsidRDefault="008A350B" w:rsidP="008A350B">
            <w:pPr>
              <w:autoSpaceDE w:val="0"/>
              <w:autoSpaceDN w:val="0"/>
              <w:adjustRightInd w:val="0"/>
              <w:rPr>
                <w:rFonts w:asciiTheme="minorHAnsi" w:eastAsiaTheme="minorHAnsi" w:hAnsiTheme="minorHAnsi" w:cs="Arial"/>
                <w:b/>
                <w:bCs/>
                <w:sz w:val="20"/>
                <w:szCs w:val="20"/>
                <w:u w:val="single"/>
                <w:lang w:eastAsia="en-US"/>
              </w:rPr>
            </w:pPr>
            <w:r w:rsidRPr="000B344C">
              <w:rPr>
                <w:rFonts w:asciiTheme="minorHAnsi" w:eastAsiaTheme="minorHAnsi" w:hAnsiTheme="minorHAnsi" w:cs="Arial"/>
                <w:b/>
                <w:bCs/>
                <w:sz w:val="20"/>
                <w:szCs w:val="20"/>
                <w:u w:val="single"/>
                <w:lang w:eastAsia="en-US"/>
              </w:rPr>
              <w:t>Integrated Planning for the Next Four to Ten Years</w:t>
            </w:r>
          </w:p>
          <w:p w14:paraId="34C06D40" w14:textId="77777777" w:rsidR="008A350B" w:rsidRPr="00384052" w:rsidRDefault="008A350B" w:rsidP="00B22528">
            <w:pPr>
              <w:pStyle w:val="ListParagraph"/>
              <w:numPr>
                <w:ilvl w:val="0"/>
                <w:numId w:val="38"/>
              </w:numPr>
              <w:autoSpaceDE w:val="0"/>
              <w:autoSpaceDN w:val="0"/>
              <w:adjustRightInd w:val="0"/>
              <w:ind w:left="317" w:hanging="283"/>
              <w:contextualSpacing/>
              <w:rPr>
                <w:rFonts w:asciiTheme="minorHAnsi" w:hAnsiTheme="minorHAnsi" w:cs="Arial"/>
                <w:b/>
                <w:bCs/>
                <w:color w:val="000000" w:themeColor="text1"/>
                <w:sz w:val="20"/>
                <w:szCs w:val="20"/>
              </w:rPr>
            </w:pPr>
            <w:r w:rsidRPr="00384052">
              <w:rPr>
                <w:rFonts w:asciiTheme="minorHAnsi" w:hAnsiTheme="minorHAnsi" w:cs="Arial"/>
                <w:b/>
                <w:bCs/>
                <w:color w:val="000000" w:themeColor="text1"/>
                <w:sz w:val="20"/>
                <w:szCs w:val="20"/>
              </w:rPr>
              <w:t>That the Council endorses the following revised and updated “Our City Our Future Sustainable Blue Mountains” Integrated Planning documents for placement on public exhibition for a period of 28 days from 26 April to 23 May 2013 and seek community feedback:</w:t>
            </w:r>
          </w:p>
          <w:p w14:paraId="552BFA81" w14:textId="77777777" w:rsidR="008A350B" w:rsidRPr="00384052" w:rsidRDefault="008A350B" w:rsidP="00B22528">
            <w:pPr>
              <w:pStyle w:val="ListParagraph"/>
              <w:numPr>
                <w:ilvl w:val="0"/>
                <w:numId w:val="37"/>
              </w:numPr>
              <w:autoSpaceDE w:val="0"/>
              <w:autoSpaceDN w:val="0"/>
              <w:adjustRightInd w:val="0"/>
              <w:ind w:left="601" w:hanging="284"/>
              <w:contextualSpacing/>
              <w:rPr>
                <w:rFonts w:asciiTheme="minorHAnsi" w:hAnsiTheme="minorHAnsi" w:cs="Arial"/>
                <w:b/>
                <w:bCs/>
                <w:color w:val="000000" w:themeColor="text1"/>
                <w:sz w:val="20"/>
                <w:szCs w:val="20"/>
              </w:rPr>
            </w:pPr>
            <w:r w:rsidRPr="00384052">
              <w:rPr>
                <w:rFonts w:asciiTheme="minorHAnsi" w:hAnsiTheme="minorHAnsi" w:cs="Arial"/>
                <w:b/>
                <w:bCs/>
                <w:color w:val="000000" w:themeColor="text1"/>
                <w:sz w:val="20"/>
                <w:szCs w:val="20"/>
              </w:rPr>
              <w:t>Draft Sustainable Blue Mountains 2025 Community Strategic Plan;</w:t>
            </w:r>
          </w:p>
          <w:p w14:paraId="133600EE" w14:textId="77777777" w:rsidR="008A350B" w:rsidRPr="00384052" w:rsidRDefault="008A350B" w:rsidP="00B22528">
            <w:pPr>
              <w:pStyle w:val="ListParagraph"/>
              <w:numPr>
                <w:ilvl w:val="0"/>
                <w:numId w:val="37"/>
              </w:numPr>
              <w:autoSpaceDE w:val="0"/>
              <w:autoSpaceDN w:val="0"/>
              <w:adjustRightInd w:val="0"/>
              <w:ind w:left="601" w:hanging="284"/>
              <w:contextualSpacing/>
              <w:rPr>
                <w:rFonts w:asciiTheme="minorHAnsi" w:hAnsiTheme="minorHAnsi" w:cs="Arial"/>
                <w:b/>
                <w:bCs/>
                <w:color w:val="000000" w:themeColor="text1"/>
                <w:sz w:val="20"/>
                <w:szCs w:val="20"/>
              </w:rPr>
            </w:pPr>
            <w:r w:rsidRPr="00384052">
              <w:rPr>
                <w:rFonts w:asciiTheme="minorHAnsi" w:hAnsiTheme="minorHAnsi" w:cs="Arial"/>
                <w:b/>
                <w:bCs/>
                <w:color w:val="000000" w:themeColor="text1"/>
                <w:sz w:val="20"/>
                <w:szCs w:val="20"/>
              </w:rPr>
              <w:t>Draft Resourcing Strategy 2013-2023 and its companion document Summary Dashboards: Service and Asset Management Plans 2013-2023;</w:t>
            </w:r>
          </w:p>
          <w:p w14:paraId="19CE6AAD" w14:textId="77777777" w:rsidR="008A350B" w:rsidRPr="00384052" w:rsidRDefault="008A350B" w:rsidP="00B22528">
            <w:pPr>
              <w:pStyle w:val="ListParagraph"/>
              <w:numPr>
                <w:ilvl w:val="0"/>
                <w:numId w:val="37"/>
              </w:numPr>
              <w:autoSpaceDE w:val="0"/>
              <w:autoSpaceDN w:val="0"/>
              <w:adjustRightInd w:val="0"/>
              <w:ind w:left="601" w:hanging="284"/>
              <w:contextualSpacing/>
              <w:rPr>
                <w:rFonts w:asciiTheme="minorHAnsi" w:hAnsiTheme="minorHAnsi" w:cs="Arial"/>
                <w:b/>
                <w:bCs/>
                <w:color w:val="000000" w:themeColor="text1"/>
                <w:sz w:val="20"/>
                <w:szCs w:val="20"/>
              </w:rPr>
            </w:pPr>
            <w:r w:rsidRPr="00384052">
              <w:rPr>
                <w:rFonts w:asciiTheme="minorHAnsi" w:hAnsiTheme="minorHAnsi" w:cs="Arial"/>
                <w:b/>
                <w:bCs/>
                <w:color w:val="000000" w:themeColor="text1"/>
                <w:sz w:val="20"/>
                <w:szCs w:val="20"/>
              </w:rPr>
              <w:t>Draft Delivery Program 2013-2017 incorporating the Operational Plan 2013-2014 including four year Budget and four year Asset Works Program; and</w:t>
            </w:r>
          </w:p>
          <w:p w14:paraId="1EDF3BE0" w14:textId="77777777" w:rsidR="008A350B" w:rsidRPr="00384052" w:rsidRDefault="008A350B" w:rsidP="00B22528">
            <w:pPr>
              <w:pStyle w:val="ListParagraph"/>
              <w:numPr>
                <w:ilvl w:val="0"/>
                <w:numId w:val="37"/>
              </w:numPr>
              <w:autoSpaceDE w:val="0"/>
              <w:autoSpaceDN w:val="0"/>
              <w:adjustRightInd w:val="0"/>
              <w:ind w:left="601" w:hanging="284"/>
              <w:contextualSpacing/>
              <w:rPr>
                <w:rFonts w:asciiTheme="minorHAnsi" w:hAnsiTheme="minorHAnsi" w:cs="Arial"/>
                <w:b/>
                <w:bCs/>
                <w:color w:val="000000" w:themeColor="text1"/>
                <w:sz w:val="20"/>
                <w:szCs w:val="20"/>
              </w:rPr>
            </w:pPr>
            <w:r w:rsidRPr="00384052">
              <w:rPr>
                <w:rFonts w:asciiTheme="minorHAnsi" w:hAnsiTheme="minorHAnsi" w:cs="Arial"/>
                <w:b/>
                <w:bCs/>
                <w:color w:val="000000" w:themeColor="text1"/>
                <w:sz w:val="20"/>
                <w:szCs w:val="20"/>
              </w:rPr>
              <w:t>Draft Fees and Charges 2013-2014.</w:t>
            </w:r>
          </w:p>
          <w:p w14:paraId="7508CFB9" w14:textId="77777777" w:rsidR="008A350B" w:rsidRPr="000B344C" w:rsidRDefault="008A350B" w:rsidP="00B22528">
            <w:pPr>
              <w:pStyle w:val="ListParagraph"/>
              <w:numPr>
                <w:ilvl w:val="0"/>
                <w:numId w:val="38"/>
              </w:numPr>
              <w:autoSpaceDE w:val="0"/>
              <w:autoSpaceDN w:val="0"/>
              <w:adjustRightInd w:val="0"/>
              <w:ind w:left="317" w:hanging="283"/>
              <w:contextualSpacing/>
              <w:rPr>
                <w:rFonts w:asciiTheme="minorHAnsi" w:hAnsiTheme="minorHAnsi" w:cs="Arial"/>
                <w:bCs/>
                <w:sz w:val="20"/>
                <w:szCs w:val="20"/>
              </w:rPr>
            </w:pPr>
            <w:r w:rsidRPr="000B344C">
              <w:rPr>
                <w:rFonts w:asciiTheme="minorHAnsi" w:hAnsiTheme="minorHAnsi" w:cs="Arial"/>
                <w:bCs/>
                <w:sz w:val="20"/>
                <w:szCs w:val="20"/>
              </w:rPr>
              <w:t>That the Council note that the Integrated Planning documents will continue to be edited and refined to improve flow and readability prior to release for public exhibition and after exhibition following community feedback.</w:t>
            </w:r>
          </w:p>
          <w:p w14:paraId="6E15D3C1" w14:textId="77777777" w:rsidR="008A350B" w:rsidRPr="000B344C" w:rsidRDefault="008A350B" w:rsidP="00B22528">
            <w:pPr>
              <w:pStyle w:val="ListParagraph"/>
              <w:numPr>
                <w:ilvl w:val="0"/>
                <w:numId w:val="38"/>
              </w:numPr>
              <w:autoSpaceDE w:val="0"/>
              <w:autoSpaceDN w:val="0"/>
              <w:adjustRightInd w:val="0"/>
              <w:ind w:left="317" w:hanging="283"/>
              <w:contextualSpacing/>
              <w:rPr>
                <w:rFonts w:asciiTheme="minorHAnsi" w:hAnsiTheme="minorHAnsi" w:cs="Arial"/>
                <w:bCs/>
                <w:sz w:val="20"/>
                <w:szCs w:val="20"/>
              </w:rPr>
            </w:pPr>
            <w:r w:rsidRPr="000B344C">
              <w:rPr>
                <w:rFonts w:asciiTheme="minorHAnsi" w:hAnsiTheme="minorHAnsi" w:cs="Arial"/>
                <w:bCs/>
                <w:sz w:val="20"/>
                <w:szCs w:val="20"/>
              </w:rPr>
              <w:t>That the community be engaged and informed on the public exhibition of these Integrated Planning documents in accordance with the attached Communications Strategy.</w:t>
            </w:r>
          </w:p>
          <w:p w14:paraId="5669945D" w14:textId="77777777" w:rsidR="008A350B" w:rsidRPr="000B344C" w:rsidRDefault="008A350B" w:rsidP="00B22528">
            <w:pPr>
              <w:pStyle w:val="ListParagraph"/>
              <w:numPr>
                <w:ilvl w:val="0"/>
                <w:numId w:val="38"/>
              </w:numPr>
              <w:autoSpaceDE w:val="0"/>
              <w:autoSpaceDN w:val="0"/>
              <w:adjustRightInd w:val="0"/>
              <w:ind w:left="317" w:hanging="283"/>
              <w:contextualSpacing/>
              <w:rPr>
                <w:rFonts w:asciiTheme="minorHAnsi" w:hAnsiTheme="minorHAnsi"/>
                <w:bCs/>
                <w:sz w:val="20"/>
                <w:szCs w:val="20"/>
              </w:rPr>
            </w:pPr>
            <w:r w:rsidRPr="000B344C">
              <w:rPr>
                <w:rFonts w:asciiTheme="minorHAnsi" w:hAnsiTheme="minorHAnsi" w:cs="Arial"/>
                <w:bCs/>
                <w:sz w:val="20"/>
                <w:szCs w:val="20"/>
              </w:rPr>
              <w:t>That the Council receive a report in June 2013 on the outcomes of the exhibition and any recommended final changes to the Integrated Plans prior to their final adoption.</w:t>
            </w:r>
          </w:p>
          <w:p w14:paraId="336EEFBE" w14:textId="77777777" w:rsidR="008A350B" w:rsidRDefault="008A350B" w:rsidP="008A350B">
            <w:pPr>
              <w:pStyle w:val="Default"/>
              <w:spacing w:before="40" w:after="40"/>
              <w:rPr>
                <w:rFonts w:asciiTheme="minorHAnsi" w:eastAsiaTheme="minorHAnsi" w:hAnsiTheme="minorHAnsi"/>
                <w:bCs/>
                <w:sz w:val="20"/>
                <w:szCs w:val="20"/>
                <w:lang w:eastAsia="en-US"/>
              </w:rPr>
            </w:pPr>
            <w:r w:rsidRPr="000B344C">
              <w:rPr>
                <w:rFonts w:asciiTheme="minorHAnsi" w:eastAsiaTheme="minorHAnsi" w:hAnsiTheme="minorHAnsi"/>
                <w:bCs/>
                <w:sz w:val="20"/>
                <w:szCs w:val="20"/>
                <w:lang w:eastAsia="en-US"/>
              </w:rPr>
              <w:t>[Minute No. 138, 23/4/13</w:t>
            </w:r>
            <w:r w:rsidR="001671A6">
              <w:rPr>
                <w:rFonts w:asciiTheme="minorHAnsi" w:eastAsiaTheme="minorHAnsi" w:hAnsiTheme="minorHAnsi"/>
                <w:bCs/>
                <w:sz w:val="20"/>
                <w:szCs w:val="20"/>
                <w:lang w:eastAsia="en-US"/>
              </w:rPr>
              <w:t>]</w:t>
            </w:r>
          </w:p>
          <w:p w14:paraId="47B441F1" w14:textId="77777777" w:rsidR="001671A6" w:rsidRDefault="001671A6" w:rsidP="008A350B">
            <w:pPr>
              <w:pStyle w:val="Default"/>
              <w:spacing w:before="40" w:after="40"/>
              <w:rPr>
                <w:rFonts w:asciiTheme="minorHAnsi" w:eastAsiaTheme="minorHAnsi" w:hAnsiTheme="minorHAnsi"/>
                <w:bCs/>
                <w:sz w:val="20"/>
                <w:szCs w:val="20"/>
                <w:lang w:eastAsia="en-US"/>
              </w:rPr>
            </w:pPr>
          </w:p>
          <w:p w14:paraId="2B6D9A5D" w14:textId="77777777" w:rsidR="001671A6" w:rsidRPr="000B344C" w:rsidRDefault="001671A6" w:rsidP="008A350B">
            <w:pPr>
              <w:pStyle w:val="Default"/>
              <w:spacing w:before="40" w:after="40"/>
              <w:rPr>
                <w:rFonts w:asciiTheme="minorHAnsi" w:hAnsiTheme="minorHAnsi"/>
                <w:sz w:val="20"/>
                <w:szCs w:val="20"/>
              </w:rPr>
            </w:pPr>
          </w:p>
        </w:tc>
      </w:tr>
      <w:tr w:rsidR="008A350B" w:rsidRPr="000B344C" w14:paraId="3C7F7721" w14:textId="77777777" w:rsidTr="00EB40D0">
        <w:tc>
          <w:tcPr>
            <w:tcW w:w="1418" w:type="dxa"/>
            <w:shd w:val="clear" w:color="auto" w:fill="DBE5F1" w:themeFill="accent1" w:themeFillTint="33"/>
          </w:tcPr>
          <w:p w14:paraId="558A30E9" w14:textId="41F00964" w:rsidR="008A350B" w:rsidRPr="000B344C" w:rsidRDefault="008A350B" w:rsidP="008A350B">
            <w:pPr>
              <w:autoSpaceDE w:val="0"/>
              <w:autoSpaceDN w:val="0"/>
              <w:adjustRightInd w:val="0"/>
              <w:rPr>
                <w:rFonts w:asciiTheme="minorHAnsi" w:eastAsiaTheme="minorHAnsi" w:hAnsiTheme="minorHAnsi" w:cs="Arial"/>
                <w:bCs/>
                <w:sz w:val="20"/>
                <w:szCs w:val="20"/>
                <w:lang w:eastAsia="en-US"/>
              </w:rPr>
            </w:pPr>
            <w:r w:rsidRPr="000B344C">
              <w:rPr>
                <w:rFonts w:asciiTheme="minorHAnsi" w:eastAsiaTheme="minorHAnsi" w:hAnsiTheme="minorHAnsi" w:cs="Arial"/>
                <w:bCs/>
                <w:sz w:val="20"/>
                <w:szCs w:val="20"/>
                <w:lang w:eastAsia="en-US"/>
              </w:rPr>
              <w:t>Integrated Planning for the Next Four to Ten Years</w:t>
            </w:r>
          </w:p>
        </w:tc>
        <w:tc>
          <w:tcPr>
            <w:tcW w:w="1276" w:type="dxa"/>
            <w:shd w:val="clear" w:color="auto" w:fill="DBE5F1" w:themeFill="accent1" w:themeFillTint="33"/>
          </w:tcPr>
          <w:p w14:paraId="31834232" w14:textId="77777777" w:rsidR="008A350B" w:rsidRPr="000B344C" w:rsidRDefault="008A350B" w:rsidP="008A350B">
            <w:pPr>
              <w:pStyle w:val="Default"/>
              <w:spacing w:before="40" w:after="40"/>
              <w:rPr>
                <w:rFonts w:asciiTheme="minorHAnsi" w:hAnsiTheme="minorHAnsi"/>
                <w:sz w:val="20"/>
                <w:szCs w:val="20"/>
              </w:rPr>
            </w:pPr>
            <w:r w:rsidRPr="000B344C">
              <w:rPr>
                <w:rFonts w:asciiTheme="minorHAnsi" w:eastAsiaTheme="minorHAnsi" w:hAnsiTheme="minorHAnsi"/>
                <w:bCs/>
                <w:sz w:val="20"/>
                <w:szCs w:val="20"/>
                <w:lang w:eastAsia="en-US"/>
              </w:rPr>
              <w:t>26 April to 23 May 2013 (28 days)</w:t>
            </w:r>
          </w:p>
        </w:tc>
        <w:tc>
          <w:tcPr>
            <w:tcW w:w="1701" w:type="dxa"/>
            <w:shd w:val="clear" w:color="auto" w:fill="DBE5F1" w:themeFill="accent1" w:themeFillTint="33"/>
          </w:tcPr>
          <w:p w14:paraId="138F530E" w14:textId="77777777" w:rsidR="008A350B" w:rsidRPr="000B344C" w:rsidRDefault="008A350B" w:rsidP="008A350B">
            <w:pPr>
              <w:pStyle w:val="Default"/>
              <w:spacing w:before="40" w:after="40"/>
              <w:rPr>
                <w:rFonts w:asciiTheme="minorHAnsi" w:hAnsiTheme="minorHAnsi"/>
                <w:sz w:val="20"/>
                <w:szCs w:val="20"/>
              </w:rPr>
            </w:pPr>
            <w:r w:rsidRPr="000B344C">
              <w:rPr>
                <w:rFonts w:asciiTheme="minorHAnsi" w:hAnsiTheme="minorHAnsi"/>
                <w:sz w:val="20"/>
                <w:szCs w:val="20"/>
              </w:rPr>
              <w:t>Public Exhibition – of IPR documents</w:t>
            </w:r>
          </w:p>
        </w:tc>
        <w:tc>
          <w:tcPr>
            <w:tcW w:w="4110" w:type="dxa"/>
            <w:shd w:val="clear" w:color="auto" w:fill="DBE5F1" w:themeFill="accent1" w:themeFillTint="33"/>
          </w:tcPr>
          <w:p w14:paraId="7C720039" w14:textId="77777777" w:rsidR="008A350B" w:rsidRPr="000B344C" w:rsidRDefault="008A350B" w:rsidP="008A350B">
            <w:pPr>
              <w:autoSpaceDE w:val="0"/>
              <w:autoSpaceDN w:val="0"/>
              <w:adjustRightInd w:val="0"/>
              <w:rPr>
                <w:rFonts w:asciiTheme="minorHAnsi" w:eastAsiaTheme="minorHAnsi" w:hAnsiTheme="minorHAnsi" w:cs="Arial"/>
                <w:bCs/>
                <w:sz w:val="20"/>
                <w:szCs w:val="20"/>
                <w:lang w:eastAsia="en-US"/>
              </w:rPr>
            </w:pPr>
            <w:r w:rsidRPr="000B344C">
              <w:rPr>
                <w:rFonts w:asciiTheme="minorHAnsi" w:eastAsiaTheme="minorHAnsi" w:hAnsiTheme="minorHAnsi" w:cs="Arial"/>
                <w:bCs/>
                <w:sz w:val="20"/>
                <w:szCs w:val="20"/>
                <w:lang w:eastAsia="en-US"/>
              </w:rPr>
              <w:t>n/a</w:t>
            </w:r>
          </w:p>
        </w:tc>
      </w:tr>
      <w:tr w:rsidR="008A350B" w:rsidRPr="000B344C" w14:paraId="0FB0EF38" w14:textId="77777777" w:rsidTr="00EB40D0">
        <w:tc>
          <w:tcPr>
            <w:tcW w:w="1418" w:type="dxa"/>
            <w:shd w:val="clear" w:color="auto" w:fill="DBE5F1" w:themeFill="accent1" w:themeFillTint="33"/>
          </w:tcPr>
          <w:p w14:paraId="010A008A" w14:textId="77777777" w:rsidR="008A350B" w:rsidRPr="000B344C" w:rsidRDefault="008A350B" w:rsidP="008A350B">
            <w:pPr>
              <w:autoSpaceDE w:val="0"/>
              <w:autoSpaceDN w:val="0"/>
              <w:adjustRightInd w:val="0"/>
              <w:rPr>
                <w:rFonts w:asciiTheme="minorHAnsi" w:eastAsiaTheme="minorHAnsi" w:hAnsiTheme="minorHAnsi" w:cs="Arial"/>
                <w:bCs/>
                <w:sz w:val="20"/>
                <w:szCs w:val="20"/>
                <w:lang w:eastAsia="en-US"/>
              </w:rPr>
            </w:pPr>
            <w:r w:rsidRPr="000B344C">
              <w:rPr>
                <w:rFonts w:asciiTheme="minorHAnsi" w:eastAsiaTheme="minorHAnsi" w:hAnsiTheme="minorHAnsi" w:cs="Arial"/>
                <w:bCs/>
                <w:sz w:val="20"/>
                <w:szCs w:val="20"/>
                <w:lang w:eastAsia="en-US"/>
              </w:rPr>
              <w:t>Adoption of Integrated Plans for the Next 4 and 10 Years</w:t>
            </w:r>
          </w:p>
          <w:p w14:paraId="77C34F8C" w14:textId="77777777" w:rsidR="008A350B" w:rsidRPr="000B344C" w:rsidRDefault="008A350B" w:rsidP="008A350B">
            <w:pPr>
              <w:autoSpaceDE w:val="0"/>
              <w:autoSpaceDN w:val="0"/>
              <w:adjustRightInd w:val="0"/>
              <w:rPr>
                <w:rFonts w:asciiTheme="minorHAnsi" w:eastAsiaTheme="minorHAnsi" w:hAnsiTheme="minorHAnsi" w:cs="Arial"/>
                <w:bCs/>
                <w:sz w:val="20"/>
                <w:szCs w:val="20"/>
                <w:lang w:eastAsia="en-US"/>
              </w:rPr>
            </w:pPr>
          </w:p>
        </w:tc>
        <w:tc>
          <w:tcPr>
            <w:tcW w:w="1276" w:type="dxa"/>
            <w:shd w:val="clear" w:color="auto" w:fill="DBE5F1" w:themeFill="accent1" w:themeFillTint="33"/>
          </w:tcPr>
          <w:p w14:paraId="1ACFAE84" w14:textId="77777777" w:rsidR="008A350B" w:rsidRPr="000B344C" w:rsidRDefault="008A350B" w:rsidP="008A350B">
            <w:pPr>
              <w:pStyle w:val="Default"/>
              <w:spacing w:before="40" w:after="40"/>
              <w:rPr>
                <w:rFonts w:asciiTheme="minorHAnsi" w:eastAsiaTheme="minorHAnsi" w:hAnsiTheme="minorHAnsi"/>
                <w:bCs/>
                <w:sz w:val="20"/>
                <w:szCs w:val="20"/>
                <w:lang w:eastAsia="en-US"/>
              </w:rPr>
            </w:pPr>
            <w:r w:rsidRPr="000B344C">
              <w:rPr>
                <w:rFonts w:asciiTheme="minorHAnsi" w:eastAsiaTheme="minorHAnsi" w:hAnsiTheme="minorHAnsi"/>
                <w:bCs/>
                <w:sz w:val="20"/>
                <w:szCs w:val="20"/>
                <w:lang w:eastAsia="en-US"/>
              </w:rPr>
              <w:t>25 June 2013</w:t>
            </w:r>
          </w:p>
        </w:tc>
        <w:tc>
          <w:tcPr>
            <w:tcW w:w="1701" w:type="dxa"/>
            <w:shd w:val="clear" w:color="auto" w:fill="DBE5F1" w:themeFill="accent1" w:themeFillTint="33"/>
          </w:tcPr>
          <w:p w14:paraId="2C66B82D" w14:textId="77777777" w:rsidR="008A350B" w:rsidRPr="000B344C" w:rsidRDefault="008A350B" w:rsidP="008A350B">
            <w:pPr>
              <w:pStyle w:val="Default"/>
              <w:spacing w:before="40" w:after="40"/>
              <w:rPr>
                <w:rFonts w:asciiTheme="minorHAnsi" w:hAnsiTheme="minorHAnsi"/>
                <w:sz w:val="20"/>
                <w:szCs w:val="20"/>
              </w:rPr>
            </w:pPr>
            <w:r w:rsidRPr="000B344C">
              <w:rPr>
                <w:rFonts w:asciiTheme="minorHAnsi" w:hAnsiTheme="minorHAnsi"/>
                <w:sz w:val="20"/>
                <w:szCs w:val="20"/>
              </w:rPr>
              <w:t>Council Meeting – adoption of IPR documents</w:t>
            </w:r>
          </w:p>
        </w:tc>
        <w:tc>
          <w:tcPr>
            <w:tcW w:w="4110" w:type="dxa"/>
            <w:shd w:val="clear" w:color="auto" w:fill="DBE5F1" w:themeFill="accent1" w:themeFillTint="33"/>
          </w:tcPr>
          <w:p w14:paraId="7BB44EFD" w14:textId="77777777" w:rsidR="008A350B" w:rsidRPr="00384052" w:rsidRDefault="008A350B" w:rsidP="008A350B">
            <w:pPr>
              <w:autoSpaceDE w:val="0"/>
              <w:autoSpaceDN w:val="0"/>
              <w:adjustRightInd w:val="0"/>
              <w:rPr>
                <w:rFonts w:asciiTheme="minorHAnsi" w:eastAsiaTheme="minorHAnsi" w:hAnsiTheme="minorHAnsi" w:cs="Arial"/>
                <w:b/>
                <w:bCs/>
                <w:color w:val="000000" w:themeColor="text1"/>
                <w:sz w:val="20"/>
                <w:szCs w:val="20"/>
                <w:u w:val="single"/>
                <w:lang w:eastAsia="en-US"/>
              </w:rPr>
            </w:pPr>
            <w:r w:rsidRPr="00384052">
              <w:rPr>
                <w:rFonts w:asciiTheme="minorHAnsi" w:eastAsiaTheme="minorHAnsi" w:hAnsiTheme="minorHAnsi" w:cs="Arial"/>
                <w:b/>
                <w:bCs/>
                <w:color w:val="000000" w:themeColor="text1"/>
                <w:sz w:val="20"/>
                <w:szCs w:val="20"/>
                <w:u w:val="single"/>
                <w:lang w:eastAsia="en-US"/>
              </w:rPr>
              <w:t>Adoption of Integrated Plans for the Next 4 and 10 Years</w:t>
            </w:r>
          </w:p>
          <w:p w14:paraId="4F474C66" w14:textId="77777777" w:rsidR="008A350B" w:rsidRPr="00384052" w:rsidRDefault="008A350B" w:rsidP="00B22528">
            <w:pPr>
              <w:pStyle w:val="ListParagraph"/>
              <w:numPr>
                <w:ilvl w:val="1"/>
                <w:numId w:val="37"/>
              </w:numPr>
              <w:autoSpaceDE w:val="0"/>
              <w:autoSpaceDN w:val="0"/>
              <w:adjustRightInd w:val="0"/>
              <w:ind w:left="317" w:hanging="283"/>
              <w:contextualSpacing/>
              <w:rPr>
                <w:rFonts w:asciiTheme="minorHAnsi" w:hAnsiTheme="minorHAnsi" w:cs="Arial"/>
                <w:bCs/>
                <w:color w:val="000000" w:themeColor="text1"/>
                <w:sz w:val="20"/>
                <w:szCs w:val="20"/>
              </w:rPr>
            </w:pPr>
            <w:r w:rsidRPr="00384052">
              <w:rPr>
                <w:rFonts w:asciiTheme="minorHAnsi" w:hAnsiTheme="minorHAnsi" w:cs="Arial"/>
                <w:bCs/>
                <w:color w:val="000000" w:themeColor="text1"/>
                <w:sz w:val="20"/>
                <w:szCs w:val="20"/>
              </w:rPr>
              <w:t>That the Council notes the outcomes of the public exhibition of the Draft Integrated Plans for the next 4 and 10 years;</w:t>
            </w:r>
          </w:p>
          <w:p w14:paraId="7D4AD512" w14:textId="77777777" w:rsidR="008A350B" w:rsidRPr="00384052" w:rsidRDefault="008A350B" w:rsidP="00B22528">
            <w:pPr>
              <w:pStyle w:val="ListParagraph"/>
              <w:numPr>
                <w:ilvl w:val="1"/>
                <w:numId w:val="37"/>
              </w:numPr>
              <w:autoSpaceDE w:val="0"/>
              <w:autoSpaceDN w:val="0"/>
              <w:adjustRightInd w:val="0"/>
              <w:ind w:left="317" w:hanging="283"/>
              <w:contextualSpacing/>
              <w:rPr>
                <w:rFonts w:asciiTheme="minorHAnsi" w:hAnsiTheme="minorHAnsi" w:cs="Arial"/>
                <w:bCs/>
                <w:color w:val="000000" w:themeColor="text1"/>
                <w:sz w:val="20"/>
                <w:szCs w:val="20"/>
              </w:rPr>
            </w:pPr>
            <w:r w:rsidRPr="00384052">
              <w:rPr>
                <w:rFonts w:asciiTheme="minorHAnsi" w:hAnsiTheme="minorHAnsi" w:cs="Arial"/>
                <w:bCs/>
                <w:color w:val="000000" w:themeColor="text1"/>
                <w:sz w:val="20"/>
                <w:szCs w:val="20"/>
              </w:rPr>
              <w:t>That the Council approves the 2013-2014 budget and proposed expenditure as detailed in the financial section of the Delivery Program 2013-2017 Incorporating Operational Plan 2013-2014, including the raising of all required loan funding from the most appropriate lender on terms and conditions as determined by the General Manager, and that the Council’s Common Seal be affixed to all relevant loan documents;</w:t>
            </w:r>
          </w:p>
          <w:p w14:paraId="3ADD0295" w14:textId="77777777" w:rsidR="008A350B" w:rsidRPr="00384052" w:rsidRDefault="008A350B" w:rsidP="00B22528">
            <w:pPr>
              <w:pStyle w:val="ListParagraph"/>
              <w:numPr>
                <w:ilvl w:val="1"/>
                <w:numId w:val="37"/>
              </w:numPr>
              <w:autoSpaceDE w:val="0"/>
              <w:autoSpaceDN w:val="0"/>
              <w:adjustRightInd w:val="0"/>
              <w:ind w:left="317" w:hanging="283"/>
              <w:contextualSpacing/>
              <w:rPr>
                <w:rFonts w:asciiTheme="minorHAnsi" w:hAnsiTheme="minorHAnsi" w:cs="Arial"/>
                <w:bCs/>
                <w:color w:val="000000" w:themeColor="text1"/>
                <w:sz w:val="20"/>
                <w:szCs w:val="20"/>
              </w:rPr>
            </w:pPr>
            <w:r w:rsidRPr="00384052">
              <w:rPr>
                <w:rFonts w:asciiTheme="minorHAnsi" w:hAnsiTheme="minorHAnsi" w:cs="Arial"/>
                <w:bCs/>
                <w:color w:val="000000" w:themeColor="text1"/>
                <w:sz w:val="20"/>
                <w:szCs w:val="20"/>
              </w:rPr>
              <w:t>That the Council approves the making and levying of ordinary rates on the land value of rateable land in 2013-2014 in accordance with the Council’s resolution on the 2012 Rating Reform Proposal and the outcome of the Council’s application for the continuation of the Special Variation to Rates;</w:t>
            </w:r>
          </w:p>
          <w:p w14:paraId="4BB8EF4F" w14:textId="77777777" w:rsidR="008A350B" w:rsidRPr="00384052" w:rsidRDefault="008A350B" w:rsidP="00B22528">
            <w:pPr>
              <w:pStyle w:val="ListParagraph"/>
              <w:numPr>
                <w:ilvl w:val="1"/>
                <w:numId w:val="37"/>
              </w:numPr>
              <w:autoSpaceDE w:val="0"/>
              <w:autoSpaceDN w:val="0"/>
              <w:adjustRightInd w:val="0"/>
              <w:ind w:left="317" w:hanging="283"/>
              <w:contextualSpacing/>
              <w:rPr>
                <w:rFonts w:asciiTheme="minorHAnsi" w:hAnsiTheme="minorHAnsi" w:cs="Arial"/>
                <w:b/>
                <w:bCs/>
                <w:color w:val="000000" w:themeColor="text1"/>
                <w:sz w:val="20"/>
                <w:szCs w:val="20"/>
              </w:rPr>
            </w:pPr>
            <w:r w:rsidRPr="00384052">
              <w:rPr>
                <w:rFonts w:asciiTheme="minorHAnsi" w:hAnsiTheme="minorHAnsi" w:cs="Arial"/>
                <w:b/>
                <w:bCs/>
                <w:color w:val="000000" w:themeColor="text1"/>
                <w:sz w:val="20"/>
                <w:szCs w:val="20"/>
              </w:rPr>
              <w:t>That the Council adopt the Draft Integrated Plans for the next 4 and 10 years incorporating the recommended changes outlined in Enclosure 2, consisting of:</w:t>
            </w:r>
          </w:p>
          <w:p w14:paraId="10C19A18" w14:textId="77777777" w:rsidR="008A350B" w:rsidRPr="00384052" w:rsidRDefault="008A350B" w:rsidP="00B22528">
            <w:pPr>
              <w:pStyle w:val="ListParagraph"/>
              <w:numPr>
                <w:ilvl w:val="0"/>
                <w:numId w:val="39"/>
              </w:numPr>
              <w:autoSpaceDE w:val="0"/>
              <w:autoSpaceDN w:val="0"/>
              <w:adjustRightInd w:val="0"/>
              <w:contextualSpacing/>
              <w:rPr>
                <w:rFonts w:asciiTheme="minorHAnsi" w:hAnsiTheme="minorHAnsi" w:cs="Arial"/>
                <w:b/>
                <w:bCs/>
                <w:color w:val="000000" w:themeColor="text1"/>
                <w:sz w:val="20"/>
                <w:szCs w:val="20"/>
              </w:rPr>
            </w:pPr>
            <w:r w:rsidRPr="00384052">
              <w:rPr>
                <w:rFonts w:asciiTheme="minorHAnsi" w:hAnsiTheme="minorHAnsi" w:cs="Arial"/>
                <w:b/>
                <w:bCs/>
                <w:color w:val="000000" w:themeColor="text1"/>
                <w:sz w:val="20"/>
                <w:szCs w:val="20"/>
              </w:rPr>
              <w:t>Sustainable Blue Mountains 2025, the community strategic plan;</w:t>
            </w:r>
          </w:p>
          <w:p w14:paraId="6E414FE0" w14:textId="77777777" w:rsidR="008A350B" w:rsidRPr="00384052" w:rsidRDefault="008A350B" w:rsidP="00B22528">
            <w:pPr>
              <w:pStyle w:val="ListParagraph"/>
              <w:numPr>
                <w:ilvl w:val="0"/>
                <w:numId w:val="39"/>
              </w:numPr>
              <w:autoSpaceDE w:val="0"/>
              <w:autoSpaceDN w:val="0"/>
              <w:adjustRightInd w:val="0"/>
              <w:contextualSpacing/>
              <w:rPr>
                <w:rFonts w:asciiTheme="minorHAnsi" w:hAnsiTheme="minorHAnsi" w:cs="Arial"/>
                <w:b/>
                <w:bCs/>
                <w:color w:val="000000" w:themeColor="text1"/>
                <w:sz w:val="20"/>
                <w:szCs w:val="20"/>
              </w:rPr>
            </w:pPr>
            <w:r w:rsidRPr="00384052">
              <w:rPr>
                <w:rFonts w:asciiTheme="minorHAnsi" w:hAnsiTheme="minorHAnsi" w:cs="Arial"/>
                <w:b/>
                <w:bCs/>
                <w:color w:val="000000" w:themeColor="text1"/>
                <w:sz w:val="20"/>
                <w:szCs w:val="20"/>
              </w:rPr>
              <w:t>Resourcing Strategy 2013-2023 and its companion document Summary Dashboards: Service and Asset Management Plans 2013-2023;</w:t>
            </w:r>
          </w:p>
          <w:p w14:paraId="5AA23750" w14:textId="77777777" w:rsidR="008A350B" w:rsidRPr="00384052" w:rsidRDefault="008A350B" w:rsidP="00B22528">
            <w:pPr>
              <w:pStyle w:val="ListParagraph"/>
              <w:numPr>
                <w:ilvl w:val="0"/>
                <w:numId w:val="39"/>
              </w:numPr>
              <w:autoSpaceDE w:val="0"/>
              <w:autoSpaceDN w:val="0"/>
              <w:adjustRightInd w:val="0"/>
              <w:contextualSpacing/>
              <w:rPr>
                <w:rFonts w:asciiTheme="minorHAnsi" w:hAnsiTheme="minorHAnsi" w:cs="Arial"/>
                <w:b/>
                <w:bCs/>
                <w:color w:val="000000" w:themeColor="text1"/>
                <w:sz w:val="20"/>
                <w:szCs w:val="20"/>
              </w:rPr>
            </w:pPr>
            <w:r w:rsidRPr="00384052">
              <w:rPr>
                <w:rFonts w:asciiTheme="minorHAnsi" w:hAnsiTheme="minorHAnsi" w:cs="Arial"/>
                <w:b/>
                <w:bCs/>
                <w:color w:val="000000" w:themeColor="text1"/>
                <w:sz w:val="20"/>
                <w:szCs w:val="20"/>
              </w:rPr>
              <w:t>Delivery Program 2013-2017 incorporating the Operational Plan 2013-2014;</w:t>
            </w:r>
          </w:p>
          <w:p w14:paraId="1C30EA55" w14:textId="77777777" w:rsidR="008A350B" w:rsidRPr="00384052" w:rsidRDefault="008A350B" w:rsidP="00B22528">
            <w:pPr>
              <w:pStyle w:val="ListParagraph"/>
              <w:numPr>
                <w:ilvl w:val="0"/>
                <w:numId w:val="39"/>
              </w:numPr>
              <w:autoSpaceDE w:val="0"/>
              <w:autoSpaceDN w:val="0"/>
              <w:adjustRightInd w:val="0"/>
              <w:contextualSpacing/>
              <w:rPr>
                <w:rFonts w:asciiTheme="minorHAnsi" w:hAnsiTheme="minorHAnsi" w:cs="Arial"/>
                <w:b/>
                <w:bCs/>
                <w:color w:val="000000" w:themeColor="text1"/>
                <w:sz w:val="20"/>
                <w:szCs w:val="20"/>
              </w:rPr>
            </w:pPr>
            <w:r w:rsidRPr="00384052">
              <w:rPr>
                <w:rFonts w:asciiTheme="minorHAnsi" w:hAnsiTheme="minorHAnsi" w:cs="Arial"/>
                <w:b/>
                <w:bCs/>
                <w:color w:val="000000" w:themeColor="text1"/>
                <w:sz w:val="20"/>
                <w:szCs w:val="20"/>
              </w:rPr>
              <w:t>Fees and Charges 2013-2014; and</w:t>
            </w:r>
          </w:p>
          <w:p w14:paraId="1B9A726F" w14:textId="77777777" w:rsidR="008A350B" w:rsidRPr="00384052" w:rsidRDefault="008A350B" w:rsidP="00B22528">
            <w:pPr>
              <w:pStyle w:val="ListParagraph"/>
              <w:numPr>
                <w:ilvl w:val="1"/>
                <w:numId w:val="37"/>
              </w:numPr>
              <w:autoSpaceDE w:val="0"/>
              <w:autoSpaceDN w:val="0"/>
              <w:adjustRightInd w:val="0"/>
              <w:ind w:left="317" w:hanging="283"/>
              <w:contextualSpacing/>
              <w:rPr>
                <w:rFonts w:asciiTheme="minorHAnsi" w:hAnsiTheme="minorHAnsi" w:cs="Arial"/>
                <w:bCs/>
                <w:color w:val="000000" w:themeColor="text1"/>
                <w:sz w:val="20"/>
                <w:szCs w:val="20"/>
              </w:rPr>
            </w:pPr>
            <w:r w:rsidRPr="00384052">
              <w:rPr>
                <w:rFonts w:asciiTheme="minorHAnsi" w:hAnsiTheme="minorHAnsi" w:cs="Arial"/>
                <w:bCs/>
                <w:color w:val="000000" w:themeColor="text1"/>
                <w:sz w:val="20"/>
                <w:szCs w:val="20"/>
              </w:rPr>
              <w:t xml:space="preserve">That the Council include an additional Council contribution of $3000 in the budget to be placed in a reserve and allocated by Council upon application from the RFS to offset specific Development Applications for minor additions and alterations for local RFS brigades in 2013-14 financial year to enable the RFS administration time to provide for these charges in their annual budget for subsequent years. </w:t>
            </w:r>
          </w:p>
          <w:p w14:paraId="009E355D" w14:textId="77777777" w:rsidR="008A350B" w:rsidRPr="00384052" w:rsidRDefault="008A350B" w:rsidP="008A350B">
            <w:pPr>
              <w:autoSpaceDE w:val="0"/>
              <w:autoSpaceDN w:val="0"/>
              <w:adjustRightInd w:val="0"/>
              <w:rPr>
                <w:rFonts w:asciiTheme="minorHAnsi" w:eastAsiaTheme="minorHAnsi" w:hAnsiTheme="minorHAnsi" w:cs="Arial"/>
                <w:bCs/>
                <w:color w:val="000000" w:themeColor="text1"/>
                <w:sz w:val="20"/>
                <w:szCs w:val="20"/>
                <w:lang w:eastAsia="en-US"/>
              </w:rPr>
            </w:pPr>
            <w:r w:rsidRPr="00384052">
              <w:rPr>
                <w:rFonts w:asciiTheme="minorHAnsi" w:eastAsiaTheme="minorHAnsi" w:hAnsiTheme="minorHAnsi" w:cs="Arial"/>
                <w:bCs/>
                <w:color w:val="000000" w:themeColor="text1"/>
                <w:sz w:val="20"/>
                <w:szCs w:val="20"/>
                <w:lang w:eastAsia="en-US"/>
              </w:rPr>
              <w:t xml:space="preserve"> [Minute No. 237, 25/6/13]</w:t>
            </w:r>
          </w:p>
          <w:p w14:paraId="0F24BE9B" w14:textId="77777777" w:rsidR="000B344C" w:rsidRPr="00384052" w:rsidRDefault="000B344C" w:rsidP="008A350B">
            <w:pPr>
              <w:autoSpaceDE w:val="0"/>
              <w:autoSpaceDN w:val="0"/>
              <w:adjustRightInd w:val="0"/>
              <w:rPr>
                <w:rFonts w:asciiTheme="minorHAnsi" w:eastAsiaTheme="minorHAnsi" w:hAnsiTheme="minorHAnsi" w:cs="Arial"/>
                <w:bCs/>
                <w:color w:val="000000" w:themeColor="text1"/>
                <w:sz w:val="20"/>
                <w:szCs w:val="20"/>
                <w:lang w:eastAsia="en-US"/>
              </w:rPr>
            </w:pPr>
          </w:p>
        </w:tc>
      </w:tr>
      <w:tr w:rsidR="008A350B" w:rsidRPr="000B344C" w14:paraId="490427AA" w14:textId="77777777" w:rsidTr="00EB40D0">
        <w:tc>
          <w:tcPr>
            <w:tcW w:w="1418" w:type="dxa"/>
            <w:shd w:val="clear" w:color="auto" w:fill="DBE5F1" w:themeFill="accent1" w:themeFillTint="33"/>
          </w:tcPr>
          <w:p w14:paraId="11D5DF95" w14:textId="77777777" w:rsidR="008A350B" w:rsidRPr="000B344C" w:rsidRDefault="008A350B" w:rsidP="008A350B">
            <w:pPr>
              <w:autoSpaceDE w:val="0"/>
              <w:autoSpaceDN w:val="0"/>
              <w:adjustRightInd w:val="0"/>
              <w:rPr>
                <w:rFonts w:asciiTheme="minorHAnsi" w:eastAsiaTheme="minorHAnsi" w:hAnsiTheme="minorHAnsi" w:cs="Arial"/>
                <w:bCs/>
                <w:sz w:val="20"/>
                <w:szCs w:val="20"/>
                <w:lang w:eastAsia="en-US"/>
              </w:rPr>
            </w:pPr>
            <w:r w:rsidRPr="000B344C">
              <w:rPr>
                <w:rFonts w:asciiTheme="minorHAnsi" w:eastAsiaTheme="minorHAnsi" w:hAnsiTheme="minorHAnsi" w:cs="Arial"/>
                <w:bCs/>
                <w:sz w:val="20"/>
                <w:szCs w:val="20"/>
                <w:lang w:eastAsia="en-US"/>
              </w:rPr>
              <w:t>Delivery Program 2013-2017 incorporating Operational Plan 2014-2015 - Adoption for Public Exhibition</w:t>
            </w:r>
          </w:p>
          <w:p w14:paraId="54EF1F5C" w14:textId="77777777" w:rsidR="008A350B" w:rsidRPr="000B344C" w:rsidRDefault="008A350B" w:rsidP="008A350B">
            <w:pPr>
              <w:autoSpaceDE w:val="0"/>
              <w:autoSpaceDN w:val="0"/>
              <w:adjustRightInd w:val="0"/>
              <w:rPr>
                <w:rFonts w:asciiTheme="minorHAnsi" w:eastAsiaTheme="minorHAnsi" w:hAnsiTheme="minorHAnsi" w:cs="Arial"/>
                <w:bCs/>
                <w:sz w:val="20"/>
                <w:szCs w:val="20"/>
                <w:lang w:eastAsia="en-US"/>
              </w:rPr>
            </w:pPr>
          </w:p>
        </w:tc>
        <w:tc>
          <w:tcPr>
            <w:tcW w:w="1276" w:type="dxa"/>
            <w:shd w:val="clear" w:color="auto" w:fill="DBE5F1" w:themeFill="accent1" w:themeFillTint="33"/>
          </w:tcPr>
          <w:p w14:paraId="7492EA27" w14:textId="77777777" w:rsidR="008A350B" w:rsidRPr="000B344C" w:rsidRDefault="008A350B" w:rsidP="008A350B">
            <w:pPr>
              <w:pStyle w:val="Default"/>
              <w:spacing w:before="40" w:after="40"/>
              <w:rPr>
                <w:rFonts w:asciiTheme="minorHAnsi" w:eastAsiaTheme="minorHAnsi" w:hAnsiTheme="minorHAnsi"/>
                <w:bCs/>
                <w:sz w:val="20"/>
                <w:szCs w:val="20"/>
                <w:lang w:eastAsia="en-US"/>
              </w:rPr>
            </w:pPr>
            <w:r w:rsidRPr="000B344C">
              <w:rPr>
                <w:rFonts w:asciiTheme="minorHAnsi" w:eastAsiaTheme="minorHAnsi" w:hAnsiTheme="minorHAnsi"/>
                <w:bCs/>
                <w:sz w:val="20"/>
                <w:szCs w:val="20"/>
                <w:lang w:eastAsia="en-US"/>
              </w:rPr>
              <w:t>29 April 2014</w:t>
            </w:r>
          </w:p>
        </w:tc>
        <w:tc>
          <w:tcPr>
            <w:tcW w:w="1701" w:type="dxa"/>
            <w:shd w:val="clear" w:color="auto" w:fill="DBE5F1" w:themeFill="accent1" w:themeFillTint="33"/>
          </w:tcPr>
          <w:p w14:paraId="432DE349" w14:textId="77777777" w:rsidR="008A350B" w:rsidRPr="000B344C" w:rsidRDefault="008A350B" w:rsidP="008A350B">
            <w:pPr>
              <w:pStyle w:val="Default"/>
              <w:spacing w:before="40" w:after="40"/>
              <w:rPr>
                <w:rFonts w:asciiTheme="minorHAnsi" w:hAnsiTheme="minorHAnsi"/>
                <w:sz w:val="20"/>
                <w:szCs w:val="20"/>
              </w:rPr>
            </w:pPr>
            <w:r w:rsidRPr="000B344C">
              <w:rPr>
                <w:rFonts w:asciiTheme="minorHAnsi" w:hAnsiTheme="minorHAnsi"/>
                <w:sz w:val="20"/>
                <w:szCs w:val="20"/>
              </w:rPr>
              <w:t>Council Meeting – adoption of IPR documents for public exhibition including the priority that the Council continue its focus on improving its financial sustainability through implementing six financial strategies including further engaging community in 2014 on a possible further special variation to rates and continuation of the existing Environment Levy</w:t>
            </w:r>
          </w:p>
        </w:tc>
        <w:tc>
          <w:tcPr>
            <w:tcW w:w="4110" w:type="dxa"/>
            <w:shd w:val="clear" w:color="auto" w:fill="DBE5F1" w:themeFill="accent1" w:themeFillTint="33"/>
          </w:tcPr>
          <w:p w14:paraId="527550CB" w14:textId="77777777" w:rsidR="008A350B" w:rsidRPr="00384052" w:rsidRDefault="008A350B" w:rsidP="008A350B">
            <w:pPr>
              <w:autoSpaceDE w:val="0"/>
              <w:autoSpaceDN w:val="0"/>
              <w:adjustRightInd w:val="0"/>
              <w:rPr>
                <w:rFonts w:asciiTheme="minorHAnsi" w:eastAsiaTheme="minorHAnsi" w:hAnsiTheme="minorHAnsi" w:cs="Arial"/>
                <w:b/>
                <w:bCs/>
                <w:color w:val="000000" w:themeColor="text1"/>
                <w:sz w:val="20"/>
                <w:szCs w:val="20"/>
                <w:u w:val="single"/>
                <w:lang w:eastAsia="en-US"/>
              </w:rPr>
            </w:pPr>
            <w:r w:rsidRPr="00384052">
              <w:rPr>
                <w:rFonts w:asciiTheme="minorHAnsi" w:eastAsiaTheme="minorHAnsi" w:hAnsiTheme="minorHAnsi" w:cs="Arial"/>
                <w:b/>
                <w:bCs/>
                <w:color w:val="000000" w:themeColor="text1"/>
                <w:sz w:val="20"/>
                <w:szCs w:val="20"/>
                <w:u w:val="single"/>
                <w:lang w:eastAsia="en-US"/>
              </w:rPr>
              <w:t>Delivery Program 2013-2017 incorporating Operational Plan 2014-2015 - Adoption for Public Exhibition</w:t>
            </w:r>
          </w:p>
          <w:p w14:paraId="79A95D73" w14:textId="77777777" w:rsidR="008A350B" w:rsidRPr="00384052" w:rsidRDefault="008A350B" w:rsidP="00B22528">
            <w:pPr>
              <w:pStyle w:val="ListParagraph"/>
              <w:numPr>
                <w:ilvl w:val="0"/>
                <w:numId w:val="40"/>
              </w:numPr>
              <w:autoSpaceDE w:val="0"/>
              <w:autoSpaceDN w:val="0"/>
              <w:adjustRightInd w:val="0"/>
              <w:ind w:left="317" w:hanging="283"/>
              <w:contextualSpacing/>
              <w:rPr>
                <w:rFonts w:asciiTheme="minorHAnsi" w:hAnsiTheme="minorHAnsi" w:cs="Arial"/>
                <w:b/>
                <w:bCs/>
                <w:color w:val="000000" w:themeColor="text1"/>
                <w:sz w:val="20"/>
                <w:szCs w:val="20"/>
              </w:rPr>
            </w:pPr>
            <w:r w:rsidRPr="00384052">
              <w:rPr>
                <w:rFonts w:asciiTheme="minorHAnsi" w:hAnsiTheme="minorHAnsi" w:cs="Arial"/>
                <w:b/>
                <w:bCs/>
                <w:color w:val="000000" w:themeColor="text1"/>
                <w:sz w:val="20"/>
                <w:szCs w:val="20"/>
              </w:rPr>
              <w:t>That the Council endorses the Draft Delivery Program 2013-2017 incorporating the Operational Plan 2014-2015 for placement on public exhibition for a period of 28 days from 1 May to 28 May 2014 and seek community feedback;</w:t>
            </w:r>
          </w:p>
          <w:p w14:paraId="7172FF95" w14:textId="77777777" w:rsidR="008A350B" w:rsidRPr="00384052" w:rsidRDefault="008A350B" w:rsidP="00B22528">
            <w:pPr>
              <w:pStyle w:val="ListParagraph"/>
              <w:numPr>
                <w:ilvl w:val="0"/>
                <w:numId w:val="40"/>
              </w:numPr>
              <w:autoSpaceDE w:val="0"/>
              <w:autoSpaceDN w:val="0"/>
              <w:adjustRightInd w:val="0"/>
              <w:ind w:left="317" w:hanging="283"/>
              <w:contextualSpacing/>
              <w:rPr>
                <w:rFonts w:asciiTheme="minorHAnsi" w:hAnsiTheme="minorHAnsi" w:cs="Arial"/>
                <w:bCs/>
                <w:color w:val="000000" w:themeColor="text1"/>
                <w:sz w:val="20"/>
                <w:szCs w:val="20"/>
              </w:rPr>
            </w:pPr>
            <w:r w:rsidRPr="00384052">
              <w:rPr>
                <w:rFonts w:asciiTheme="minorHAnsi" w:hAnsiTheme="minorHAnsi" w:cs="Arial"/>
                <w:bCs/>
                <w:color w:val="000000" w:themeColor="text1"/>
                <w:sz w:val="20"/>
                <w:szCs w:val="20"/>
              </w:rPr>
              <w:t>That the Council endorses the re-allocation of $645K into a reserve for: renewal of high risk assets and/or high risk asset failures (shocks)and/or priority community projects in 2015-2016 (as detailed in the report); and</w:t>
            </w:r>
          </w:p>
          <w:p w14:paraId="63C3EC3D" w14:textId="77777777" w:rsidR="008A350B" w:rsidRPr="00384052" w:rsidRDefault="008A350B" w:rsidP="00B22528">
            <w:pPr>
              <w:pStyle w:val="ListParagraph"/>
              <w:numPr>
                <w:ilvl w:val="0"/>
                <w:numId w:val="40"/>
              </w:numPr>
              <w:autoSpaceDE w:val="0"/>
              <w:autoSpaceDN w:val="0"/>
              <w:adjustRightInd w:val="0"/>
              <w:ind w:left="317" w:hanging="283"/>
              <w:contextualSpacing/>
              <w:rPr>
                <w:rFonts w:asciiTheme="minorHAnsi" w:hAnsiTheme="minorHAnsi" w:cs="Arial"/>
                <w:bCs/>
                <w:color w:val="000000" w:themeColor="text1"/>
                <w:sz w:val="20"/>
                <w:szCs w:val="20"/>
              </w:rPr>
            </w:pPr>
            <w:r w:rsidRPr="00384052">
              <w:rPr>
                <w:rFonts w:asciiTheme="minorHAnsi" w:hAnsiTheme="minorHAnsi" w:cs="Arial"/>
                <w:bCs/>
                <w:color w:val="000000" w:themeColor="text1"/>
                <w:sz w:val="20"/>
                <w:szCs w:val="20"/>
              </w:rPr>
              <w:t>That the Council receives a report in June 2014 on the outcomes of the exhibition and any recommended final changes to the documents prior to their final adoption.</w:t>
            </w:r>
          </w:p>
          <w:p w14:paraId="6E4ADCC3" w14:textId="77777777" w:rsidR="008A350B" w:rsidRPr="00384052" w:rsidRDefault="008A350B" w:rsidP="008A350B">
            <w:pPr>
              <w:autoSpaceDE w:val="0"/>
              <w:autoSpaceDN w:val="0"/>
              <w:adjustRightInd w:val="0"/>
              <w:rPr>
                <w:rFonts w:asciiTheme="minorHAnsi" w:eastAsiaTheme="minorHAnsi" w:hAnsiTheme="minorHAnsi" w:cs="Arial"/>
                <w:bCs/>
                <w:color w:val="000000" w:themeColor="text1"/>
                <w:sz w:val="20"/>
                <w:szCs w:val="20"/>
                <w:lang w:eastAsia="en-US"/>
              </w:rPr>
            </w:pPr>
            <w:r w:rsidRPr="00384052">
              <w:rPr>
                <w:rFonts w:asciiTheme="minorHAnsi" w:eastAsiaTheme="minorHAnsi" w:hAnsiTheme="minorHAnsi" w:cs="Arial"/>
                <w:bCs/>
                <w:color w:val="000000" w:themeColor="text1"/>
                <w:sz w:val="20"/>
                <w:szCs w:val="20"/>
                <w:lang w:eastAsia="en-US"/>
              </w:rPr>
              <w:t>[Minute No. 119, 29/4/14]</w:t>
            </w:r>
          </w:p>
        </w:tc>
      </w:tr>
      <w:tr w:rsidR="008A350B" w:rsidRPr="000B344C" w14:paraId="5FDB79E9" w14:textId="77777777" w:rsidTr="00EB40D0">
        <w:tc>
          <w:tcPr>
            <w:tcW w:w="1418" w:type="dxa"/>
            <w:shd w:val="clear" w:color="auto" w:fill="DBE5F1" w:themeFill="accent1" w:themeFillTint="33"/>
          </w:tcPr>
          <w:p w14:paraId="3F728424" w14:textId="77777777" w:rsidR="008A350B" w:rsidRPr="000B344C" w:rsidRDefault="008A350B" w:rsidP="008A350B">
            <w:pPr>
              <w:autoSpaceDE w:val="0"/>
              <w:autoSpaceDN w:val="0"/>
              <w:adjustRightInd w:val="0"/>
              <w:rPr>
                <w:rFonts w:asciiTheme="minorHAnsi" w:eastAsiaTheme="minorHAnsi" w:hAnsiTheme="minorHAnsi" w:cs="Arial"/>
                <w:bCs/>
                <w:sz w:val="20"/>
                <w:szCs w:val="20"/>
                <w:lang w:eastAsia="en-US"/>
              </w:rPr>
            </w:pPr>
            <w:r w:rsidRPr="000B344C">
              <w:rPr>
                <w:rFonts w:asciiTheme="minorHAnsi" w:eastAsiaTheme="minorHAnsi" w:hAnsiTheme="minorHAnsi" w:cs="Arial"/>
                <w:bCs/>
                <w:sz w:val="20"/>
                <w:szCs w:val="20"/>
                <w:lang w:eastAsia="en-US"/>
              </w:rPr>
              <w:t>Delivery Program 2013-2017 incorporating Operational Plan 2014-2015</w:t>
            </w:r>
          </w:p>
        </w:tc>
        <w:tc>
          <w:tcPr>
            <w:tcW w:w="1276" w:type="dxa"/>
            <w:shd w:val="clear" w:color="auto" w:fill="DBE5F1" w:themeFill="accent1" w:themeFillTint="33"/>
          </w:tcPr>
          <w:p w14:paraId="27443BB0" w14:textId="77777777" w:rsidR="008A350B" w:rsidRPr="000B344C" w:rsidRDefault="008A350B" w:rsidP="008A350B">
            <w:pPr>
              <w:pStyle w:val="Default"/>
              <w:spacing w:before="40" w:after="40"/>
              <w:rPr>
                <w:rFonts w:asciiTheme="minorHAnsi" w:eastAsiaTheme="minorHAnsi" w:hAnsiTheme="minorHAnsi"/>
                <w:bCs/>
                <w:sz w:val="20"/>
                <w:szCs w:val="20"/>
                <w:lang w:eastAsia="en-US"/>
              </w:rPr>
            </w:pPr>
            <w:r w:rsidRPr="000B344C">
              <w:rPr>
                <w:rFonts w:asciiTheme="minorHAnsi" w:eastAsiaTheme="minorHAnsi" w:hAnsiTheme="minorHAnsi"/>
                <w:bCs/>
                <w:sz w:val="20"/>
                <w:szCs w:val="20"/>
              </w:rPr>
              <w:t>1 May to 28 May 2014 (28 days)</w:t>
            </w:r>
          </w:p>
        </w:tc>
        <w:tc>
          <w:tcPr>
            <w:tcW w:w="1701" w:type="dxa"/>
            <w:shd w:val="clear" w:color="auto" w:fill="DBE5F1" w:themeFill="accent1" w:themeFillTint="33"/>
          </w:tcPr>
          <w:p w14:paraId="7FB283E9" w14:textId="77777777" w:rsidR="008A350B" w:rsidRPr="000B344C" w:rsidRDefault="008A350B" w:rsidP="008A350B">
            <w:pPr>
              <w:pStyle w:val="Default"/>
              <w:spacing w:before="40" w:after="40"/>
              <w:rPr>
                <w:rFonts w:asciiTheme="minorHAnsi" w:hAnsiTheme="minorHAnsi"/>
                <w:sz w:val="20"/>
                <w:szCs w:val="20"/>
              </w:rPr>
            </w:pPr>
            <w:r w:rsidRPr="000B344C">
              <w:rPr>
                <w:rFonts w:asciiTheme="minorHAnsi" w:hAnsiTheme="minorHAnsi"/>
                <w:sz w:val="20"/>
                <w:szCs w:val="20"/>
              </w:rPr>
              <w:t>Public Exhibition – of IPR documents</w:t>
            </w:r>
          </w:p>
        </w:tc>
        <w:tc>
          <w:tcPr>
            <w:tcW w:w="4110" w:type="dxa"/>
            <w:shd w:val="clear" w:color="auto" w:fill="DBE5F1" w:themeFill="accent1" w:themeFillTint="33"/>
          </w:tcPr>
          <w:p w14:paraId="7E7B6B97" w14:textId="77777777" w:rsidR="008A350B" w:rsidRPr="00384052" w:rsidRDefault="008A350B" w:rsidP="008A350B">
            <w:pPr>
              <w:autoSpaceDE w:val="0"/>
              <w:autoSpaceDN w:val="0"/>
              <w:adjustRightInd w:val="0"/>
              <w:rPr>
                <w:rFonts w:asciiTheme="minorHAnsi" w:eastAsiaTheme="minorHAnsi" w:hAnsiTheme="minorHAnsi" w:cs="Arial"/>
                <w:bCs/>
                <w:color w:val="000000" w:themeColor="text1"/>
                <w:sz w:val="20"/>
                <w:szCs w:val="20"/>
                <w:lang w:eastAsia="en-US"/>
              </w:rPr>
            </w:pPr>
            <w:r w:rsidRPr="00384052">
              <w:rPr>
                <w:rFonts w:asciiTheme="minorHAnsi" w:eastAsiaTheme="minorHAnsi" w:hAnsiTheme="minorHAnsi" w:cs="Arial"/>
                <w:bCs/>
                <w:color w:val="000000" w:themeColor="text1"/>
                <w:sz w:val="20"/>
                <w:szCs w:val="20"/>
                <w:lang w:eastAsia="en-US"/>
              </w:rPr>
              <w:t>n/a</w:t>
            </w:r>
          </w:p>
        </w:tc>
      </w:tr>
      <w:tr w:rsidR="008A350B" w:rsidRPr="000B344C" w14:paraId="00BDE541" w14:textId="77777777" w:rsidTr="00EB40D0">
        <w:tc>
          <w:tcPr>
            <w:tcW w:w="1418" w:type="dxa"/>
            <w:shd w:val="clear" w:color="auto" w:fill="DBE5F1" w:themeFill="accent1" w:themeFillTint="33"/>
          </w:tcPr>
          <w:p w14:paraId="01E0DBCE" w14:textId="77777777" w:rsidR="008A350B" w:rsidRPr="000B344C" w:rsidRDefault="008A350B" w:rsidP="008A350B">
            <w:pPr>
              <w:autoSpaceDE w:val="0"/>
              <w:autoSpaceDN w:val="0"/>
              <w:adjustRightInd w:val="0"/>
              <w:rPr>
                <w:rFonts w:asciiTheme="minorHAnsi" w:eastAsiaTheme="minorHAnsi" w:hAnsiTheme="minorHAnsi" w:cs="Arial"/>
                <w:bCs/>
                <w:sz w:val="20"/>
                <w:szCs w:val="20"/>
                <w:lang w:eastAsia="en-US"/>
              </w:rPr>
            </w:pPr>
            <w:r w:rsidRPr="000B344C">
              <w:rPr>
                <w:rFonts w:asciiTheme="minorHAnsi" w:eastAsiaTheme="minorHAnsi" w:hAnsiTheme="minorHAnsi" w:cs="Arial"/>
                <w:bCs/>
                <w:sz w:val="20"/>
                <w:szCs w:val="20"/>
                <w:lang w:eastAsia="en-US"/>
              </w:rPr>
              <w:t>Delivery Program 2013-2017 incorporating Operational Plan 2014-2015</w:t>
            </w:r>
          </w:p>
        </w:tc>
        <w:tc>
          <w:tcPr>
            <w:tcW w:w="1276" w:type="dxa"/>
            <w:shd w:val="clear" w:color="auto" w:fill="DBE5F1" w:themeFill="accent1" w:themeFillTint="33"/>
          </w:tcPr>
          <w:p w14:paraId="2A5D207D" w14:textId="77777777" w:rsidR="008A350B" w:rsidRPr="000B344C" w:rsidRDefault="008A350B" w:rsidP="008A350B">
            <w:pPr>
              <w:pStyle w:val="Default"/>
              <w:spacing w:before="40" w:after="40"/>
              <w:rPr>
                <w:rFonts w:asciiTheme="minorHAnsi" w:eastAsiaTheme="minorHAnsi" w:hAnsiTheme="minorHAnsi"/>
                <w:bCs/>
                <w:sz w:val="20"/>
                <w:szCs w:val="20"/>
              </w:rPr>
            </w:pPr>
            <w:r w:rsidRPr="000B344C">
              <w:rPr>
                <w:rFonts w:asciiTheme="minorHAnsi" w:eastAsiaTheme="minorHAnsi" w:hAnsiTheme="minorHAnsi"/>
                <w:bCs/>
                <w:sz w:val="20"/>
                <w:szCs w:val="20"/>
              </w:rPr>
              <w:t>24 June 2014</w:t>
            </w:r>
          </w:p>
        </w:tc>
        <w:tc>
          <w:tcPr>
            <w:tcW w:w="1701" w:type="dxa"/>
            <w:shd w:val="clear" w:color="auto" w:fill="DBE5F1" w:themeFill="accent1" w:themeFillTint="33"/>
          </w:tcPr>
          <w:p w14:paraId="51B42D29" w14:textId="77777777" w:rsidR="008A350B" w:rsidRPr="000B344C" w:rsidRDefault="008A350B" w:rsidP="008A350B">
            <w:pPr>
              <w:pStyle w:val="Default"/>
              <w:spacing w:before="40" w:after="40"/>
              <w:rPr>
                <w:rFonts w:asciiTheme="minorHAnsi" w:hAnsiTheme="minorHAnsi"/>
                <w:sz w:val="20"/>
                <w:szCs w:val="20"/>
              </w:rPr>
            </w:pPr>
            <w:r w:rsidRPr="000B344C">
              <w:rPr>
                <w:rFonts w:asciiTheme="minorHAnsi" w:hAnsiTheme="minorHAnsi"/>
                <w:sz w:val="20"/>
                <w:szCs w:val="20"/>
              </w:rPr>
              <w:t>Council Meeting – adoption of IPR documents</w:t>
            </w:r>
          </w:p>
        </w:tc>
        <w:tc>
          <w:tcPr>
            <w:tcW w:w="4110" w:type="dxa"/>
            <w:shd w:val="clear" w:color="auto" w:fill="DBE5F1" w:themeFill="accent1" w:themeFillTint="33"/>
          </w:tcPr>
          <w:p w14:paraId="08354EE5" w14:textId="77777777" w:rsidR="008A350B" w:rsidRPr="00384052" w:rsidRDefault="008A350B" w:rsidP="008A350B">
            <w:pPr>
              <w:autoSpaceDE w:val="0"/>
              <w:autoSpaceDN w:val="0"/>
              <w:adjustRightInd w:val="0"/>
              <w:rPr>
                <w:rFonts w:asciiTheme="minorHAnsi" w:eastAsiaTheme="minorHAnsi" w:hAnsiTheme="minorHAnsi" w:cs="Arial"/>
                <w:b/>
                <w:bCs/>
                <w:color w:val="000000" w:themeColor="text1"/>
                <w:sz w:val="20"/>
                <w:szCs w:val="20"/>
                <w:u w:val="single"/>
                <w:lang w:eastAsia="en-US"/>
              </w:rPr>
            </w:pPr>
            <w:r w:rsidRPr="00384052">
              <w:rPr>
                <w:rFonts w:asciiTheme="minorHAnsi" w:eastAsiaTheme="minorHAnsi" w:hAnsiTheme="minorHAnsi" w:cs="Arial"/>
                <w:b/>
                <w:bCs/>
                <w:color w:val="000000" w:themeColor="text1"/>
                <w:sz w:val="20"/>
                <w:szCs w:val="20"/>
                <w:u w:val="single"/>
                <w:lang w:eastAsia="en-US"/>
              </w:rPr>
              <w:t>Adoption of Delivery Program 2013-2017 incorporating Operational Plan 2014-2015</w:t>
            </w:r>
          </w:p>
          <w:p w14:paraId="0020683C" w14:textId="77777777" w:rsidR="008A350B" w:rsidRPr="00384052" w:rsidRDefault="008A350B" w:rsidP="00B22528">
            <w:pPr>
              <w:pStyle w:val="ListParagraph"/>
              <w:numPr>
                <w:ilvl w:val="1"/>
                <w:numId w:val="39"/>
              </w:numPr>
              <w:autoSpaceDE w:val="0"/>
              <w:autoSpaceDN w:val="0"/>
              <w:adjustRightInd w:val="0"/>
              <w:ind w:left="317" w:hanging="283"/>
              <w:contextualSpacing/>
              <w:rPr>
                <w:rFonts w:asciiTheme="minorHAnsi" w:hAnsiTheme="minorHAnsi" w:cs="Arial"/>
                <w:bCs/>
                <w:color w:val="000000" w:themeColor="text1"/>
                <w:sz w:val="20"/>
                <w:szCs w:val="20"/>
              </w:rPr>
            </w:pPr>
            <w:r w:rsidRPr="00384052">
              <w:rPr>
                <w:rFonts w:asciiTheme="minorHAnsi" w:hAnsiTheme="minorHAnsi" w:cs="Arial"/>
                <w:bCs/>
                <w:color w:val="000000" w:themeColor="text1"/>
                <w:sz w:val="20"/>
                <w:szCs w:val="20"/>
              </w:rPr>
              <w:t>That the Council notes the potential adverse $333K impact of the Federal Government Budget 2014 on the Council’s 2014-2015 budget, including the indexation freeze on the Financial Assistance Grant and the cessation of the 5% pensioner rate subsidy, as detailed in this Report;</w:t>
            </w:r>
          </w:p>
          <w:p w14:paraId="764B6C62" w14:textId="77777777" w:rsidR="008A350B" w:rsidRPr="00384052" w:rsidRDefault="008A350B" w:rsidP="00B22528">
            <w:pPr>
              <w:pStyle w:val="ListParagraph"/>
              <w:numPr>
                <w:ilvl w:val="1"/>
                <w:numId w:val="39"/>
              </w:numPr>
              <w:autoSpaceDE w:val="0"/>
              <w:autoSpaceDN w:val="0"/>
              <w:adjustRightInd w:val="0"/>
              <w:ind w:left="317" w:hanging="283"/>
              <w:contextualSpacing/>
              <w:rPr>
                <w:rFonts w:asciiTheme="minorHAnsi" w:hAnsiTheme="minorHAnsi" w:cs="Arial"/>
                <w:bCs/>
                <w:color w:val="000000" w:themeColor="text1"/>
                <w:sz w:val="20"/>
                <w:szCs w:val="20"/>
              </w:rPr>
            </w:pPr>
            <w:r w:rsidRPr="00384052">
              <w:rPr>
                <w:rFonts w:asciiTheme="minorHAnsi" w:hAnsiTheme="minorHAnsi" w:cs="Arial"/>
                <w:bCs/>
                <w:color w:val="000000" w:themeColor="text1"/>
                <w:sz w:val="20"/>
                <w:szCs w:val="20"/>
              </w:rPr>
              <w:t>That the Council writes to The Hon. Paul Toole MP, Minister for Local Government and the Independent Pricing and Regulatory Tribunal seeking reconsideration of the rate peg limit for 2014-2015 in light of the financial impact of the Federal Government Budget 2014 on NSW local councils;</w:t>
            </w:r>
          </w:p>
          <w:p w14:paraId="4689DA59" w14:textId="77777777" w:rsidR="008A350B" w:rsidRPr="00384052" w:rsidRDefault="008A350B" w:rsidP="00B22528">
            <w:pPr>
              <w:pStyle w:val="ListParagraph"/>
              <w:numPr>
                <w:ilvl w:val="1"/>
                <w:numId w:val="39"/>
              </w:numPr>
              <w:autoSpaceDE w:val="0"/>
              <w:autoSpaceDN w:val="0"/>
              <w:adjustRightInd w:val="0"/>
              <w:ind w:left="317" w:hanging="283"/>
              <w:contextualSpacing/>
              <w:rPr>
                <w:rFonts w:asciiTheme="minorHAnsi" w:hAnsiTheme="minorHAnsi" w:cs="Arial"/>
                <w:bCs/>
                <w:color w:val="000000" w:themeColor="text1"/>
                <w:sz w:val="20"/>
                <w:szCs w:val="20"/>
              </w:rPr>
            </w:pPr>
            <w:r w:rsidRPr="00384052">
              <w:rPr>
                <w:rFonts w:asciiTheme="minorHAnsi" w:hAnsiTheme="minorHAnsi" w:cs="Arial"/>
                <w:bCs/>
                <w:color w:val="000000" w:themeColor="text1"/>
                <w:sz w:val="20"/>
                <w:szCs w:val="20"/>
              </w:rPr>
              <w:t>That the Council notes the previous resolution of 27 May 2014 (Minute No. 149), to write letters to the Hon. Joe Hockey MP, Treasurer and Member for North Sydney NSW, Louise Markus MP, Federal Member for Macquarie and Senator Doug Cameron to advise them of the impact on our community of the Federal Government Budget proposal to freeze the indexation of Financial Assistance Grant and ask them to reinstate the indexation of the Grant, and that the matter of reinstating the pensioner rate subsidy has been included in these letters;</w:t>
            </w:r>
          </w:p>
          <w:p w14:paraId="318A5C07" w14:textId="77777777" w:rsidR="008A350B" w:rsidRPr="00384052" w:rsidRDefault="008A350B" w:rsidP="00B22528">
            <w:pPr>
              <w:pStyle w:val="ListParagraph"/>
              <w:numPr>
                <w:ilvl w:val="1"/>
                <w:numId w:val="39"/>
              </w:numPr>
              <w:autoSpaceDE w:val="0"/>
              <w:autoSpaceDN w:val="0"/>
              <w:adjustRightInd w:val="0"/>
              <w:ind w:left="317" w:hanging="283"/>
              <w:contextualSpacing/>
              <w:rPr>
                <w:rFonts w:asciiTheme="minorHAnsi" w:hAnsiTheme="minorHAnsi" w:cs="Arial"/>
                <w:bCs/>
                <w:color w:val="000000" w:themeColor="text1"/>
                <w:sz w:val="20"/>
                <w:szCs w:val="20"/>
              </w:rPr>
            </w:pPr>
            <w:r w:rsidRPr="00384052">
              <w:rPr>
                <w:rFonts w:asciiTheme="minorHAnsi" w:hAnsiTheme="minorHAnsi" w:cs="Arial"/>
                <w:bCs/>
                <w:color w:val="000000" w:themeColor="text1"/>
                <w:sz w:val="20"/>
                <w:szCs w:val="20"/>
              </w:rPr>
              <w:t>That the Council notes the 21% increase in the State Government Waste Levy which now amounts to a $2.9M impost on residents and businesses in 2014-2015 and that the Council writes to The Hon. Rob Stokes MP, Minister for the Environment, regarding this being a poor use of taxpayer dollars relative to other critical priorities and risks needing to be addressed within the City as detailed in this report;</w:t>
            </w:r>
          </w:p>
          <w:p w14:paraId="23F94E43" w14:textId="77777777" w:rsidR="008A350B" w:rsidRPr="00384052" w:rsidRDefault="008A350B" w:rsidP="00B22528">
            <w:pPr>
              <w:pStyle w:val="ListParagraph"/>
              <w:numPr>
                <w:ilvl w:val="1"/>
                <w:numId w:val="39"/>
              </w:numPr>
              <w:autoSpaceDE w:val="0"/>
              <w:autoSpaceDN w:val="0"/>
              <w:adjustRightInd w:val="0"/>
              <w:ind w:left="317" w:hanging="283"/>
              <w:contextualSpacing/>
              <w:rPr>
                <w:rFonts w:asciiTheme="minorHAnsi" w:hAnsiTheme="minorHAnsi" w:cs="Arial"/>
                <w:bCs/>
                <w:color w:val="000000" w:themeColor="text1"/>
                <w:sz w:val="20"/>
                <w:szCs w:val="20"/>
              </w:rPr>
            </w:pPr>
            <w:r w:rsidRPr="00384052">
              <w:rPr>
                <w:rFonts w:asciiTheme="minorHAnsi" w:hAnsiTheme="minorHAnsi" w:cs="Arial"/>
                <w:bCs/>
                <w:color w:val="000000" w:themeColor="text1"/>
                <w:sz w:val="20"/>
                <w:szCs w:val="20"/>
              </w:rPr>
              <w:t>That should the Federal Government Budget 2014 be passed, and should IPART not resolve to compensate by increasing the allowable rate peg for NSW local government, that the Council reduce service levels to meet the shortfall by deferring the projects/ activities as detailed in Table 2 of this Report;</w:t>
            </w:r>
          </w:p>
          <w:p w14:paraId="2E3C3263" w14:textId="77777777" w:rsidR="008A350B" w:rsidRPr="00384052" w:rsidRDefault="008A350B" w:rsidP="00B22528">
            <w:pPr>
              <w:pStyle w:val="ListParagraph"/>
              <w:numPr>
                <w:ilvl w:val="1"/>
                <w:numId w:val="39"/>
              </w:numPr>
              <w:autoSpaceDE w:val="0"/>
              <w:autoSpaceDN w:val="0"/>
              <w:adjustRightInd w:val="0"/>
              <w:ind w:left="317" w:hanging="283"/>
              <w:contextualSpacing/>
              <w:rPr>
                <w:rFonts w:asciiTheme="minorHAnsi" w:hAnsiTheme="minorHAnsi" w:cs="Arial"/>
                <w:bCs/>
                <w:color w:val="000000" w:themeColor="text1"/>
                <w:sz w:val="20"/>
                <w:szCs w:val="20"/>
              </w:rPr>
            </w:pPr>
            <w:r w:rsidRPr="00384052">
              <w:rPr>
                <w:rFonts w:asciiTheme="minorHAnsi" w:hAnsiTheme="minorHAnsi" w:cs="Arial"/>
                <w:bCs/>
                <w:color w:val="000000" w:themeColor="text1"/>
                <w:sz w:val="20"/>
                <w:szCs w:val="20"/>
              </w:rPr>
              <w:t>That the Council notes the outcomes of the public exhibition of the Draft Delivery Program 2013-2017 incorporating Operational Plan 2014-2015 as summarised in Enclosure 1;</w:t>
            </w:r>
          </w:p>
          <w:p w14:paraId="5665D5D5" w14:textId="77777777" w:rsidR="008A350B" w:rsidRPr="00384052" w:rsidRDefault="008A350B" w:rsidP="00B22528">
            <w:pPr>
              <w:pStyle w:val="ListParagraph"/>
              <w:numPr>
                <w:ilvl w:val="1"/>
                <w:numId w:val="39"/>
              </w:numPr>
              <w:autoSpaceDE w:val="0"/>
              <w:autoSpaceDN w:val="0"/>
              <w:adjustRightInd w:val="0"/>
              <w:ind w:left="317" w:hanging="283"/>
              <w:contextualSpacing/>
              <w:rPr>
                <w:rFonts w:asciiTheme="minorHAnsi" w:hAnsiTheme="minorHAnsi" w:cs="Arial"/>
                <w:bCs/>
                <w:color w:val="000000" w:themeColor="text1"/>
                <w:sz w:val="20"/>
                <w:szCs w:val="20"/>
              </w:rPr>
            </w:pPr>
            <w:r w:rsidRPr="00384052">
              <w:rPr>
                <w:rFonts w:asciiTheme="minorHAnsi" w:hAnsiTheme="minorHAnsi" w:cs="Arial"/>
                <w:bCs/>
                <w:color w:val="000000" w:themeColor="text1"/>
                <w:sz w:val="20"/>
                <w:szCs w:val="20"/>
              </w:rPr>
              <w:t>That the Council endorses the recommended changes outlined in Enclosure 2; and</w:t>
            </w:r>
          </w:p>
          <w:p w14:paraId="1BC92C5D" w14:textId="77777777" w:rsidR="008A350B" w:rsidRPr="00384052" w:rsidRDefault="008A350B" w:rsidP="00B22528">
            <w:pPr>
              <w:pStyle w:val="ListParagraph"/>
              <w:numPr>
                <w:ilvl w:val="1"/>
                <w:numId w:val="39"/>
              </w:numPr>
              <w:autoSpaceDE w:val="0"/>
              <w:autoSpaceDN w:val="0"/>
              <w:adjustRightInd w:val="0"/>
              <w:ind w:left="317" w:hanging="283"/>
              <w:contextualSpacing/>
              <w:rPr>
                <w:rFonts w:asciiTheme="minorHAnsi" w:hAnsiTheme="minorHAnsi" w:cs="Arial"/>
                <w:b/>
                <w:bCs/>
                <w:color w:val="000000" w:themeColor="text1"/>
                <w:sz w:val="20"/>
                <w:szCs w:val="20"/>
              </w:rPr>
            </w:pPr>
            <w:r w:rsidRPr="00384052">
              <w:rPr>
                <w:rFonts w:asciiTheme="minorHAnsi" w:hAnsiTheme="minorHAnsi" w:cs="Arial"/>
                <w:b/>
                <w:bCs/>
                <w:color w:val="000000" w:themeColor="text1"/>
                <w:sz w:val="20"/>
                <w:szCs w:val="20"/>
              </w:rPr>
              <w:t>That the Council adopts the Delivery Program 2013-2017 incorporating Operational Plan 2014-2015 including the changes in Enclosure 2 and approves:</w:t>
            </w:r>
          </w:p>
          <w:p w14:paraId="0FB7B96A" w14:textId="77777777" w:rsidR="008A350B" w:rsidRPr="00384052" w:rsidRDefault="008A350B" w:rsidP="00B22528">
            <w:pPr>
              <w:pStyle w:val="ListParagraph"/>
              <w:numPr>
                <w:ilvl w:val="0"/>
                <w:numId w:val="41"/>
              </w:numPr>
              <w:autoSpaceDE w:val="0"/>
              <w:autoSpaceDN w:val="0"/>
              <w:adjustRightInd w:val="0"/>
              <w:ind w:left="601" w:hanging="284"/>
              <w:contextualSpacing/>
              <w:rPr>
                <w:rFonts w:asciiTheme="minorHAnsi" w:hAnsiTheme="minorHAnsi" w:cs="Arial"/>
                <w:b/>
                <w:bCs/>
                <w:color w:val="000000" w:themeColor="text1"/>
                <w:sz w:val="20"/>
                <w:szCs w:val="20"/>
              </w:rPr>
            </w:pPr>
            <w:r w:rsidRPr="00384052">
              <w:rPr>
                <w:rFonts w:asciiTheme="minorHAnsi" w:hAnsiTheme="minorHAnsi" w:cs="Arial"/>
                <w:b/>
                <w:bCs/>
                <w:color w:val="000000" w:themeColor="text1"/>
                <w:sz w:val="20"/>
                <w:szCs w:val="20"/>
              </w:rPr>
              <w:t>The proposed 2014-2015 actions and projects as detailed in Section 3 and Section 4 of the Delivery Program / Operational Plan;</w:t>
            </w:r>
          </w:p>
          <w:p w14:paraId="1650D1E1" w14:textId="77777777" w:rsidR="008A350B" w:rsidRPr="00384052" w:rsidRDefault="008A350B" w:rsidP="00B22528">
            <w:pPr>
              <w:pStyle w:val="ListParagraph"/>
              <w:numPr>
                <w:ilvl w:val="0"/>
                <w:numId w:val="41"/>
              </w:numPr>
              <w:autoSpaceDE w:val="0"/>
              <w:autoSpaceDN w:val="0"/>
              <w:adjustRightInd w:val="0"/>
              <w:ind w:left="601" w:hanging="284"/>
              <w:contextualSpacing/>
              <w:rPr>
                <w:rFonts w:asciiTheme="minorHAnsi" w:hAnsiTheme="minorHAnsi" w:cs="Arial"/>
                <w:b/>
                <w:bCs/>
                <w:color w:val="000000" w:themeColor="text1"/>
                <w:sz w:val="20"/>
                <w:szCs w:val="20"/>
              </w:rPr>
            </w:pPr>
            <w:r w:rsidRPr="00384052">
              <w:rPr>
                <w:rFonts w:asciiTheme="minorHAnsi" w:hAnsiTheme="minorHAnsi" w:cs="Arial"/>
                <w:b/>
                <w:bCs/>
                <w:color w:val="000000" w:themeColor="text1"/>
                <w:sz w:val="20"/>
                <w:szCs w:val="20"/>
              </w:rPr>
              <w:t>The 2014-2015 budget and proposed expenditure as detailed in Section 4 and Section 5 of the Delivery Program / Operational Plan;</w:t>
            </w:r>
          </w:p>
          <w:p w14:paraId="35906B52" w14:textId="77777777" w:rsidR="008A350B" w:rsidRPr="00384052" w:rsidRDefault="008A350B" w:rsidP="00B22528">
            <w:pPr>
              <w:pStyle w:val="ListParagraph"/>
              <w:numPr>
                <w:ilvl w:val="0"/>
                <w:numId w:val="41"/>
              </w:numPr>
              <w:autoSpaceDE w:val="0"/>
              <w:autoSpaceDN w:val="0"/>
              <w:adjustRightInd w:val="0"/>
              <w:ind w:left="601" w:hanging="284"/>
              <w:contextualSpacing/>
              <w:rPr>
                <w:rFonts w:asciiTheme="minorHAnsi" w:hAnsiTheme="minorHAnsi" w:cs="Arial"/>
                <w:b/>
                <w:bCs/>
                <w:color w:val="000000" w:themeColor="text1"/>
                <w:sz w:val="20"/>
                <w:szCs w:val="20"/>
              </w:rPr>
            </w:pPr>
            <w:r w:rsidRPr="00384052">
              <w:rPr>
                <w:rFonts w:asciiTheme="minorHAnsi" w:hAnsiTheme="minorHAnsi" w:cs="Arial"/>
                <w:b/>
                <w:bCs/>
                <w:color w:val="000000" w:themeColor="text1"/>
                <w:sz w:val="20"/>
                <w:szCs w:val="20"/>
              </w:rPr>
              <w:t>The making and levying of ordinary rates on the land value of rateable land in 2014-2015 in accordance with the Council’s resolution on the 2012 Rating Reform Proposal as detailed in Section 5 of the Delivery Program / Operational Plan;</w:t>
            </w:r>
          </w:p>
          <w:p w14:paraId="007206AE" w14:textId="77777777" w:rsidR="008A350B" w:rsidRPr="00384052" w:rsidRDefault="008A350B" w:rsidP="00B22528">
            <w:pPr>
              <w:pStyle w:val="ListParagraph"/>
              <w:numPr>
                <w:ilvl w:val="0"/>
                <w:numId w:val="41"/>
              </w:numPr>
              <w:autoSpaceDE w:val="0"/>
              <w:autoSpaceDN w:val="0"/>
              <w:adjustRightInd w:val="0"/>
              <w:ind w:left="601" w:hanging="284"/>
              <w:contextualSpacing/>
              <w:rPr>
                <w:rFonts w:asciiTheme="minorHAnsi" w:hAnsiTheme="minorHAnsi" w:cs="Arial"/>
                <w:b/>
                <w:bCs/>
                <w:color w:val="000000" w:themeColor="text1"/>
                <w:sz w:val="20"/>
                <w:szCs w:val="20"/>
              </w:rPr>
            </w:pPr>
            <w:r w:rsidRPr="00384052">
              <w:rPr>
                <w:rFonts w:asciiTheme="minorHAnsi" w:hAnsiTheme="minorHAnsi" w:cs="Arial"/>
                <w:b/>
                <w:bCs/>
                <w:color w:val="000000" w:themeColor="text1"/>
                <w:sz w:val="20"/>
                <w:szCs w:val="20"/>
              </w:rPr>
              <w:t>The raising of all required loan funding from the most appropriate lender on terms and conditions as determined by the General Manager as detailed in Section 5 of the Delivery Program / Operational Plan; and</w:t>
            </w:r>
          </w:p>
          <w:p w14:paraId="3176E52E" w14:textId="77777777" w:rsidR="008A350B" w:rsidRPr="00384052" w:rsidRDefault="008A350B" w:rsidP="00B22528">
            <w:pPr>
              <w:pStyle w:val="ListParagraph"/>
              <w:numPr>
                <w:ilvl w:val="0"/>
                <w:numId w:val="41"/>
              </w:numPr>
              <w:autoSpaceDE w:val="0"/>
              <w:autoSpaceDN w:val="0"/>
              <w:adjustRightInd w:val="0"/>
              <w:ind w:left="601" w:hanging="284"/>
              <w:contextualSpacing/>
              <w:rPr>
                <w:rFonts w:asciiTheme="minorHAnsi" w:hAnsiTheme="minorHAnsi" w:cs="Arial"/>
                <w:b/>
                <w:bCs/>
                <w:color w:val="000000" w:themeColor="text1"/>
                <w:sz w:val="20"/>
                <w:szCs w:val="20"/>
              </w:rPr>
            </w:pPr>
            <w:r w:rsidRPr="00384052">
              <w:rPr>
                <w:rFonts w:asciiTheme="minorHAnsi" w:hAnsiTheme="minorHAnsi" w:cs="Arial"/>
                <w:b/>
                <w:bCs/>
                <w:color w:val="000000" w:themeColor="text1"/>
                <w:sz w:val="20"/>
                <w:szCs w:val="20"/>
              </w:rPr>
              <w:t>The Council’s Common Seal to be affixed to all relevant loan documents;</w:t>
            </w:r>
          </w:p>
          <w:p w14:paraId="3942D062" w14:textId="77777777" w:rsidR="008A350B" w:rsidRPr="00384052" w:rsidRDefault="008A350B" w:rsidP="00B22528">
            <w:pPr>
              <w:pStyle w:val="ListParagraph"/>
              <w:numPr>
                <w:ilvl w:val="0"/>
                <w:numId w:val="41"/>
              </w:numPr>
              <w:autoSpaceDE w:val="0"/>
              <w:autoSpaceDN w:val="0"/>
              <w:adjustRightInd w:val="0"/>
              <w:ind w:left="601" w:hanging="284"/>
              <w:contextualSpacing/>
              <w:rPr>
                <w:rFonts w:asciiTheme="minorHAnsi" w:hAnsiTheme="minorHAnsi" w:cs="Arial"/>
                <w:b/>
                <w:bCs/>
                <w:color w:val="000000" w:themeColor="text1"/>
                <w:sz w:val="20"/>
                <w:szCs w:val="20"/>
              </w:rPr>
            </w:pPr>
            <w:r w:rsidRPr="00384052">
              <w:rPr>
                <w:rFonts w:asciiTheme="minorHAnsi" w:hAnsiTheme="minorHAnsi" w:cs="Arial"/>
                <w:b/>
                <w:bCs/>
                <w:color w:val="000000" w:themeColor="text1"/>
                <w:sz w:val="20"/>
                <w:szCs w:val="20"/>
              </w:rPr>
              <w:t>The fees and charges as detailed in the separate document Fees and Charges 2014-2015.</w:t>
            </w:r>
          </w:p>
          <w:p w14:paraId="53410732" w14:textId="77777777" w:rsidR="008A350B" w:rsidRPr="00384052" w:rsidRDefault="008A350B" w:rsidP="008A350B">
            <w:pPr>
              <w:autoSpaceDE w:val="0"/>
              <w:autoSpaceDN w:val="0"/>
              <w:adjustRightInd w:val="0"/>
              <w:rPr>
                <w:rFonts w:asciiTheme="minorHAnsi" w:eastAsiaTheme="minorHAnsi" w:hAnsiTheme="minorHAnsi" w:cs="Arial"/>
                <w:bCs/>
                <w:color w:val="000000" w:themeColor="text1"/>
                <w:sz w:val="20"/>
                <w:szCs w:val="20"/>
                <w:lang w:eastAsia="en-US"/>
              </w:rPr>
            </w:pPr>
            <w:r w:rsidRPr="00384052">
              <w:rPr>
                <w:rFonts w:asciiTheme="minorHAnsi" w:eastAsiaTheme="minorHAnsi" w:hAnsiTheme="minorHAnsi" w:cs="Arial"/>
                <w:bCs/>
                <w:color w:val="000000" w:themeColor="text1"/>
                <w:sz w:val="20"/>
                <w:szCs w:val="20"/>
                <w:lang w:eastAsia="en-US"/>
              </w:rPr>
              <w:t>[Minute No. 253, 24/6/14]</w:t>
            </w:r>
          </w:p>
        </w:tc>
      </w:tr>
      <w:tr w:rsidR="008A350B" w:rsidRPr="000B344C" w14:paraId="4716EFB1" w14:textId="77777777" w:rsidTr="00EB40D0">
        <w:tc>
          <w:tcPr>
            <w:tcW w:w="1418" w:type="dxa"/>
            <w:shd w:val="clear" w:color="auto" w:fill="DBE5F1" w:themeFill="accent1" w:themeFillTint="33"/>
          </w:tcPr>
          <w:p w14:paraId="1010AB29" w14:textId="77777777" w:rsidR="008A350B" w:rsidRPr="000B344C" w:rsidRDefault="008A350B" w:rsidP="008A350B">
            <w:pPr>
              <w:autoSpaceDE w:val="0"/>
              <w:autoSpaceDN w:val="0"/>
              <w:adjustRightInd w:val="0"/>
              <w:rPr>
                <w:rFonts w:asciiTheme="minorHAnsi" w:eastAsiaTheme="minorHAnsi" w:hAnsiTheme="minorHAnsi" w:cs="Arial"/>
                <w:bCs/>
                <w:sz w:val="20"/>
                <w:szCs w:val="20"/>
                <w:lang w:eastAsia="en-US"/>
              </w:rPr>
            </w:pPr>
            <w:r w:rsidRPr="000B344C">
              <w:rPr>
                <w:rFonts w:asciiTheme="minorHAnsi" w:eastAsiaTheme="minorHAnsi" w:hAnsiTheme="minorHAnsi" w:cs="Arial"/>
                <w:bCs/>
                <w:sz w:val="20"/>
                <w:szCs w:val="20"/>
                <w:lang w:eastAsia="en-US"/>
              </w:rPr>
              <w:t>Resourcing Our Future - Community Engagement and Public Exhibition</w:t>
            </w:r>
          </w:p>
          <w:p w14:paraId="6A82EE61" w14:textId="77777777" w:rsidR="008A350B" w:rsidRPr="000B344C" w:rsidRDefault="008A350B" w:rsidP="008A350B">
            <w:pPr>
              <w:autoSpaceDE w:val="0"/>
              <w:autoSpaceDN w:val="0"/>
              <w:adjustRightInd w:val="0"/>
              <w:rPr>
                <w:rFonts w:asciiTheme="minorHAnsi" w:eastAsiaTheme="minorHAnsi" w:hAnsiTheme="minorHAnsi" w:cs="Arial"/>
                <w:bCs/>
                <w:sz w:val="20"/>
                <w:szCs w:val="20"/>
                <w:lang w:eastAsia="en-US"/>
              </w:rPr>
            </w:pPr>
          </w:p>
        </w:tc>
        <w:tc>
          <w:tcPr>
            <w:tcW w:w="1276" w:type="dxa"/>
            <w:shd w:val="clear" w:color="auto" w:fill="DBE5F1" w:themeFill="accent1" w:themeFillTint="33"/>
          </w:tcPr>
          <w:p w14:paraId="3BFFE434" w14:textId="77777777" w:rsidR="008A350B" w:rsidRPr="000B344C" w:rsidRDefault="008A350B" w:rsidP="008A350B">
            <w:pPr>
              <w:pStyle w:val="Default"/>
              <w:spacing w:before="40" w:after="40"/>
              <w:rPr>
                <w:rFonts w:asciiTheme="minorHAnsi" w:eastAsiaTheme="minorHAnsi" w:hAnsiTheme="minorHAnsi"/>
                <w:bCs/>
                <w:sz w:val="20"/>
                <w:szCs w:val="20"/>
              </w:rPr>
            </w:pPr>
            <w:r w:rsidRPr="000B344C">
              <w:rPr>
                <w:rFonts w:asciiTheme="minorHAnsi" w:eastAsiaTheme="minorHAnsi" w:hAnsiTheme="minorHAnsi"/>
                <w:bCs/>
                <w:sz w:val="20"/>
                <w:szCs w:val="20"/>
              </w:rPr>
              <w:t>22 July 2014</w:t>
            </w:r>
          </w:p>
        </w:tc>
        <w:tc>
          <w:tcPr>
            <w:tcW w:w="1701" w:type="dxa"/>
            <w:shd w:val="clear" w:color="auto" w:fill="DBE5F1" w:themeFill="accent1" w:themeFillTint="33"/>
          </w:tcPr>
          <w:p w14:paraId="62E282C5" w14:textId="77777777" w:rsidR="008A350B" w:rsidRPr="000B344C" w:rsidRDefault="008A350B" w:rsidP="008A350B">
            <w:pPr>
              <w:pStyle w:val="Default"/>
              <w:spacing w:before="40" w:after="40"/>
              <w:rPr>
                <w:rFonts w:asciiTheme="minorHAnsi" w:hAnsiTheme="minorHAnsi"/>
                <w:sz w:val="20"/>
                <w:szCs w:val="20"/>
              </w:rPr>
            </w:pPr>
            <w:r w:rsidRPr="000B344C">
              <w:rPr>
                <w:rFonts w:asciiTheme="minorHAnsi" w:hAnsiTheme="minorHAnsi"/>
                <w:sz w:val="20"/>
                <w:szCs w:val="20"/>
              </w:rPr>
              <w:t>Council Meeting – adoption of IPR documents for public exhibition – including three options for resourcing for our future</w:t>
            </w:r>
          </w:p>
        </w:tc>
        <w:tc>
          <w:tcPr>
            <w:tcW w:w="4110" w:type="dxa"/>
            <w:shd w:val="clear" w:color="auto" w:fill="DBE5F1" w:themeFill="accent1" w:themeFillTint="33"/>
          </w:tcPr>
          <w:p w14:paraId="26BF9E47" w14:textId="77777777" w:rsidR="008A350B" w:rsidRPr="00384052" w:rsidRDefault="008A350B" w:rsidP="008A350B">
            <w:pPr>
              <w:autoSpaceDE w:val="0"/>
              <w:autoSpaceDN w:val="0"/>
              <w:adjustRightInd w:val="0"/>
              <w:rPr>
                <w:rFonts w:asciiTheme="minorHAnsi" w:eastAsiaTheme="minorHAnsi" w:hAnsiTheme="minorHAnsi" w:cs="Arial"/>
                <w:b/>
                <w:bCs/>
                <w:color w:val="000000" w:themeColor="text1"/>
                <w:sz w:val="20"/>
                <w:szCs w:val="20"/>
                <w:u w:val="single"/>
                <w:lang w:eastAsia="en-US"/>
              </w:rPr>
            </w:pPr>
            <w:r w:rsidRPr="00384052">
              <w:rPr>
                <w:rFonts w:asciiTheme="minorHAnsi" w:eastAsiaTheme="minorHAnsi" w:hAnsiTheme="minorHAnsi" w:cs="Arial"/>
                <w:b/>
                <w:bCs/>
                <w:color w:val="000000" w:themeColor="text1"/>
                <w:sz w:val="20"/>
                <w:szCs w:val="20"/>
                <w:u w:val="single"/>
                <w:lang w:eastAsia="en-US"/>
              </w:rPr>
              <w:t>Resourcing Our Future - Community Engagement and Public Exhibition</w:t>
            </w:r>
          </w:p>
          <w:p w14:paraId="2027D40D" w14:textId="77777777" w:rsidR="008A350B" w:rsidRPr="00384052" w:rsidRDefault="008A350B" w:rsidP="00B22528">
            <w:pPr>
              <w:pStyle w:val="ListParagraph"/>
              <w:numPr>
                <w:ilvl w:val="0"/>
                <w:numId w:val="42"/>
              </w:numPr>
              <w:autoSpaceDE w:val="0"/>
              <w:autoSpaceDN w:val="0"/>
              <w:adjustRightInd w:val="0"/>
              <w:ind w:left="317" w:hanging="283"/>
              <w:contextualSpacing/>
              <w:rPr>
                <w:rFonts w:asciiTheme="minorHAnsi" w:hAnsiTheme="minorHAnsi" w:cs="Arial"/>
                <w:bCs/>
                <w:color w:val="000000" w:themeColor="text1"/>
                <w:sz w:val="20"/>
                <w:szCs w:val="20"/>
              </w:rPr>
            </w:pPr>
            <w:r w:rsidRPr="00384052">
              <w:rPr>
                <w:rFonts w:asciiTheme="minorHAnsi" w:hAnsiTheme="minorHAnsi" w:cs="Arial"/>
                <w:bCs/>
                <w:color w:val="000000" w:themeColor="text1"/>
                <w:sz w:val="20"/>
                <w:szCs w:val="20"/>
              </w:rPr>
              <w:t>That the Council adopts the “Resourcing Our Future: Community Engagement Strategy” for implementation and placement on the Council’s website;</w:t>
            </w:r>
          </w:p>
          <w:p w14:paraId="32FEAA6D" w14:textId="77777777" w:rsidR="008A350B" w:rsidRPr="00384052" w:rsidRDefault="008A350B" w:rsidP="00B22528">
            <w:pPr>
              <w:pStyle w:val="ListParagraph"/>
              <w:numPr>
                <w:ilvl w:val="0"/>
                <w:numId w:val="42"/>
              </w:numPr>
              <w:autoSpaceDE w:val="0"/>
              <w:autoSpaceDN w:val="0"/>
              <w:adjustRightInd w:val="0"/>
              <w:ind w:left="317" w:hanging="283"/>
              <w:contextualSpacing/>
              <w:rPr>
                <w:rFonts w:asciiTheme="minorHAnsi" w:hAnsiTheme="minorHAnsi" w:cs="Arial"/>
                <w:b/>
                <w:bCs/>
                <w:color w:val="000000" w:themeColor="text1"/>
                <w:sz w:val="20"/>
                <w:szCs w:val="20"/>
              </w:rPr>
            </w:pPr>
            <w:r w:rsidRPr="00384052">
              <w:rPr>
                <w:rFonts w:asciiTheme="minorHAnsi" w:hAnsiTheme="minorHAnsi" w:cs="Arial"/>
                <w:b/>
                <w:bCs/>
                <w:color w:val="000000" w:themeColor="text1"/>
                <w:sz w:val="20"/>
                <w:szCs w:val="20"/>
              </w:rPr>
              <w:t>That the Council places the following documents on public exhibition (subject to further minor changes resulting from final proofreading, editing and formatting) to support community engagement on the three options for resourcing our future:</w:t>
            </w:r>
          </w:p>
          <w:p w14:paraId="6EDCD7CF" w14:textId="7ECAABE4" w:rsidR="008A350B" w:rsidRPr="00384052" w:rsidRDefault="008A350B" w:rsidP="00B22528">
            <w:pPr>
              <w:pStyle w:val="ListParagraph"/>
              <w:numPr>
                <w:ilvl w:val="1"/>
                <w:numId w:val="42"/>
              </w:numPr>
              <w:autoSpaceDE w:val="0"/>
              <w:autoSpaceDN w:val="0"/>
              <w:adjustRightInd w:val="0"/>
              <w:ind w:left="601" w:hanging="284"/>
              <w:contextualSpacing/>
              <w:rPr>
                <w:rFonts w:asciiTheme="minorHAnsi" w:hAnsiTheme="minorHAnsi" w:cs="Arial"/>
                <w:b/>
                <w:bCs/>
                <w:color w:val="000000" w:themeColor="text1"/>
                <w:sz w:val="20"/>
                <w:szCs w:val="20"/>
              </w:rPr>
            </w:pPr>
            <w:r w:rsidRPr="00384052">
              <w:rPr>
                <w:rFonts w:asciiTheme="minorHAnsi" w:hAnsiTheme="minorHAnsi" w:cs="Arial"/>
                <w:b/>
                <w:bCs/>
                <w:color w:val="000000" w:themeColor="text1"/>
                <w:sz w:val="20"/>
                <w:szCs w:val="20"/>
              </w:rPr>
              <w:t>Resourcing Strategy 2014-2024 incorporating the Long Term Financial Plan (LTFP), Asset Management Policy and Strategy</w:t>
            </w:r>
            <w:r w:rsidR="008A7583" w:rsidRPr="00384052">
              <w:rPr>
                <w:rFonts w:asciiTheme="minorHAnsi" w:hAnsiTheme="minorHAnsi" w:cs="Arial"/>
                <w:b/>
                <w:bCs/>
                <w:color w:val="000000" w:themeColor="text1"/>
                <w:sz w:val="20"/>
                <w:szCs w:val="20"/>
              </w:rPr>
              <w:t xml:space="preserve"> </w:t>
            </w:r>
            <w:r w:rsidRPr="00384052">
              <w:rPr>
                <w:rFonts w:asciiTheme="minorHAnsi" w:hAnsiTheme="minorHAnsi" w:cs="Arial"/>
                <w:b/>
                <w:bCs/>
                <w:color w:val="000000" w:themeColor="text1"/>
                <w:sz w:val="20"/>
                <w:szCs w:val="20"/>
              </w:rPr>
              <w:t>(AMP&amp;S) and Workforce Management Strategy (WMS);</w:t>
            </w:r>
          </w:p>
          <w:p w14:paraId="29501397" w14:textId="77777777" w:rsidR="008A350B" w:rsidRPr="00384052" w:rsidRDefault="008A350B" w:rsidP="00B22528">
            <w:pPr>
              <w:pStyle w:val="ListParagraph"/>
              <w:numPr>
                <w:ilvl w:val="1"/>
                <w:numId w:val="42"/>
              </w:numPr>
              <w:autoSpaceDE w:val="0"/>
              <w:autoSpaceDN w:val="0"/>
              <w:adjustRightInd w:val="0"/>
              <w:ind w:left="601" w:hanging="284"/>
              <w:contextualSpacing/>
              <w:rPr>
                <w:rFonts w:asciiTheme="minorHAnsi" w:hAnsiTheme="minorHAnsi" w:cs="Arial"/>
                <w:b/>
                <w:bCs/>
                <w:color w:val="000000" w:themeColor="text1"/>
                <w:sz w:val="20"/>
                <w:szCs w:val="20"/>
              </w:rPr>
            </w:pPr>
            <w:r w:rsidRPr="00384052">
              <w:rPr>
                <w:rFonts w:asciiTheme="minorHAnsi" w:hAnsiTheme="minorHAnsi" w:cs="Arial"/>
                <w:b/>
                <w:bCs/>
                <w:color w:val="000000" w:themeColor="text1"/>
                <w:sz w:val="20"/>
                <w:szCs w:val="20"/>
              </w:rPr>
              <w:t>Service Dashboards: Summary of Service and Asset Plans (companion document to Resourcing Strategy); and</w:t>
            </w:r>
          </w:p>
          <w:p w14:paraId="000C5735" w14:textId="77777777" w:rsidR="008A350B" w:rsidRPr="00384052" w:rsidRDefault="008A350B" w:rsidP="00B22528">
            <w:pPr>
              <w:pStyle w:val="ListParagraph"/>
              <w:numPr>
                <w:ilvl w:val="1"/>
                <w:numId w:val="42"/>
              </w:numPr>
              <w:autoSpaceDE w:val="0"/>
              <w:autoSpaceDN w:val="0"/>
              <w:adjustRightInd w:val="0"/>
              <w:ind w:left="601" w:hanging="284"/>
              <w:contextualSpacing/>
              <w:rPr>
                <w:rFonts w:asciiTheme="minorHAnsi" w:hAnsiTheme="minorHAnsi" w:cs="Arial"/>
                <w:b/>
                <w:bCs/>
                <w:color w:val="000000" w:themeColor="text1"/>
                <w:sz w:val="20"/>
                <w:szCs w:val="20"/>
              </w:rPr>
            </w:pPr>
            <w:r w:rsidRPr="00384052">
              <w:rPr>
                <w:rFonts w:asciiTheme="minorHAnsi" w:hAnsiTheme="minorHAnsi" w:cs="Arial"/>
                <w:b/>
                <w:bCs/>
                <w:color w:val="000000" w:themeColor="text1"/>
                <w:sz w:val="20"/>
                <w:szCs w:val="20"/>
              </w:rPr>
              <w:t>Supplementary Delivery Program;</w:t>
            </w:r>
          </w:p>
          <w:p w14:paraId="747A4D70" w14:textId="77777777" w:rsidR="008A350B" w:rsidRPr="00384052" w:rsidRDefault="008A350B" w:rsidP="00B22528">
            <w:pPr>
              <w:pStyle w:val="ListParagraph"/>
              <w:numPr>
                <w:ilvl w:val="0"/>
                <w:numId w:val="42"/>
              </w:numPr>
              <w:autoSpaceDE w:val="0"/>
              <w:autoSpaceDN w:val="0"/>
              <w:adjustRightInd w:val="0"/>
              <w:ind w:left="317" w:hanging="283"/>
              <w:contextualSpacing/>
              <w:rPr>
                <w:rFonts w:asciiTheme="minorHAnsi" w:hAnsiTheme="minorHAnsi" w:cs="Arial"/>
                <w:bCs/>
                <w:color w:val="000000" w:themeColor="text1"/>
                <w:sz w:val="20"/>
                <w:szCs w:val="20"/>
              </w:rPr>
            </w:pPr>
            <w:r w:rsidRPr="00384052">
              <w:rPr>
                <w:rFonts w:asciiTheme="minorHAnsi" w:hAnsiTheme="minorHAnsi" w:cs="Arial"/>
                <w:bCs/>
                <w:color w:val="000000" w:themeColor="text1"/>
                <w:sz w:val="20"/>
                <w:szCs w:val="20"/>
              </w:rPr>
              <w:t>That the Council approves the public exhibition period for these documents being from 4 August to 15 September 2014 (42 days); and</w:t>
            </w:r>
          </w:p>
          <w:p w14:paraId="12F9C2F1" w14:textId="77777777" w:rsidR="008A350B" w:rsidRPr="00384052" w:rsidRDefault="008A350B" w:rsidP="00B22528">
            <w:pPr>
              <w:pStyle w:val="ListParagraph"/>
              <w:numPr>
                <w:ilvl w:val="0"/>
                <w:numId w:val="42"/>
              </w:numPr>
              <w:autoSpaceDE w:val="0"/>
              <w:autoSpaceDN w:val="0"/>
              <w:adjustRightInd w:val="0"/>
              <w:ind w:left="317" w:hanging="283"/>
              <w:contextualSpacing/>
              <w:rPr>
                <w:rFonts w:asciiTheme="minorHAnsi" w:hAnsiTheme="minorHAnsi" w:cs="Arial"/>
                <w:bCs/>
                <w:color w:val="000000" w:themeColor="text1"/>
                <w:sz w:val="20"/>
                <w:szCs w:val="20"/>
              </w:rPr>
            </w:pPr>
            <w:r w:rsidRPr="00384052">
              <w:rPr>
                <w:rFonts w:asciiTheme="minorHAnsi" w:hAnsiTheme="minorHAnsi" w:cs="Arial"/>
                <w:bCs/>
                <w:color w:val="000000" w:themeColor="text1"/>
                <w:sz w:val="20"/>
                <w:szCs w:val="20"/>
              </w:rPr>
              <w:t>That a further report be presented to the Council in Quarter 2 on the results of the public exhibition and community engagement on options for “Resourcing our Future” including whether or not to proceed with an application for a special rate variation including continuation of the existing Environment Levy (due to expire in June 2015).</w:t>
            </w:r>
          </w:p>
          <w:p w14:paraId="12B86568" w14:textId="77777777" w:rsidR="008A350B" w:rsidRPr="00384052" w:rsidRDefault="008A350B" w:rsidP="008A350B">
            <w:pPr>
              <w:autoSpaceDE w:val="0"/>
              <w:autoSpaceDN w:val="0"/>
              <w:adjustRightInd w:val="0"/>
              <w:rPr>
                <w:rFonts w:asciiTheme="minorHAnsi" w:eastAsiaTheme="minorHAnsi" w:hAnsiTheme="minorHAnsi" w:cs="Arial"/>
                <w:bCs/>
                <w:color w:val="000000" w:themeColor="text1"/>
                <w:sz w:val="20"/>
                <w:szCs w:val="20"/>
                <w:lang w:eastAsia="en-US"/>
              </w:rPr>
            </w:pPr>
            <w:r w:rsidRPr="00384052">
              <w:rPr>
                <w:rFonts w:asciiTheme="minorHAnsi" w:eastAsiaTheme="minorHAnsi" w:hAnsiTheme="minorHAnsi" w:cs="Arial"/>
                <w:bCs/>
                <w:color w:val="000000" w:themeColor="text1"/>
                <w:sz w:val="20"/>
                <w:szCs w:val="20"/>
                <w:lang w:eastAsia="en-US"/>
              </w:rPr>
              <w:t>[Minute No. 340, 22/7/14]</w:t>
            </w:r>
          </w:p>
        </w:tc>
      </w:tr>
      <w:tr w:rsidR="008A350B" w:rsidRPr="000B344C" w14:paraId="1A6D4671" w14:textId="77777777" w:rsidTr="00EB40D0">
        <w:tc>
          <w:tcPr>
            <w:tcW w:w="1418" w:type="dxa"/>
            <w:shd w:val="clear" w:color="auto" w:fill="DBE5F1" w:themeFill="accent1" w:themeFillTint="33"/>
          </w:tcPr>
          <w:p w14:paraId="55F639E2" w14:textId="77777777" w:rsidR="008A350B" w:rsidRPr="000B344C" w:rsidRDefault="008A350B" w:rsidP="008A350B">
            <w:pPr>
              <w:autoSpaceDE w:val="0"/>
              <w:autoSpaceDN w:val="0"/>
              <w:adjustRightInd w:val="0"/>
              <w:rPr>
                <w:rFonts w:asciiTheme="minorHAnsi" w:eastAsiaTheme="minorHAnsi" w:hAnsiTheme="minorHAnsi" w:cs="Arial"/>
                <w:bCs/>
                <w:sz w:val="20"/>
                <w:szCs w:val="20"/>
                <w:lang w:eastAsia="en-US"/>
              </w:rPr>
            </w:pPr>
            <w:r w:rsidRPr="000B344C">
              <w:rPr>
                <w:rFonts w:asciiTheme="minorHAnsi" w:eastAsiaTheme="minorHAnsi" w:hAnsiTheme="minorHAnsi" w:cs="Arial"/>
                <w:bCs/>
                <w:sz w:val="20"/>
                <w:szCs w:val="20"/>
                <w:lang w:eastAsia="en-US"/>
              </w:rPr>
              <w:t>Resourcing Our Future - Community Engagement and Public Exhibition</w:t>
            </w:r>
          </w:p>
          <w:p w14:paraId="6217721C" w14:textId="77777777" w:rsidR="008A350B" w:rsidRPr="000B344C" w:rsidRDefault="008A350B" w:rsidP="008A350B">
            <w:pPr>
              <w:autoSpaceDE w:val="0"/>
              <w:autoSpaceDN w:val="0"/>
              <w:adjustRightInd w:val="0"/>
              <w:rPr>
                <w:rFonts w:asciiTheme="minorHAnsi" w:eastAsiaTheme="minorHAnsi" w:hAnsiTheme="minorHAnsi" w:cs="Arial"/>
                <w:bCs/>
                <w:sz w:val="20"/>
                <w:szCs w:val="20"/>
                <w:lang w:eastAsia="en-US"/>
              </w:rPr>
            </w:pPr>
          </w:p>
        </w:tc>
        <w:tc>
          <w:tcPr>
            <w:tcW w:w="1276" w:type="dxa"/>
            <w:shd w:val="clear" w:color="auto" w:fill="DBE5F1" w:themeFill="accent1" w:themeFillTint="33"/>
          </w:tcPr>
          <w:p w14:paraId="3881824D" w14:textId="77777777" w:rsidR="008A350B" w:rsidRPr="000B344C" w:rsidRDefault="008A350B" w:rsidP="008A350B">
            <w:pPr>
              <w:pStyle w:val="Default"/>
              <w:spacing w:before="40" w:after="40"/>
              <w:rPr>
                <w:rFonts w:asciiTheme="minorHAnsi" w:hAnsiTheme="minorHAnsi"/>
                <w:sz w:val="20"/>
                <w:szCs w:val="20"/>
              </w:rPr>
            </w:pPr>
            <w:r w:rsidRPr="000B344C">
              <w:rPr>
                <w:rFonts w:asciiTheme="minorHAnsi" w:hAnsiTheme="minorHAnsi"/>
                <w:sz w:val="20"/>
                <w:szCs w:val="20"/>
              </w:rPr>
              <w:t>4 August 2014 to</w:t>
            </w:r>
          </w:p>
          <w:p w14:paraId="5B708D8D" w14:textId="77777777" w:rsidR="008A350B" w:rsidRPr="000B344C" w:rsidRDefault="008A350B" w:rsidP="008A350B">
            <w:pPr>
              <w:pStyle w:val="Default"/>
              <w:spacing w:before="40" w:after="40"/>
              <w:rPr>
                <w:rFonts w:asciiTheme="minorHAnsi" w:hAnsiTheme="minorHAnsi"/>
                <w:sz w:val="20"/>
                <w:szCs w:val="20"/>
              </w:rPr>
            </w:pPr>
            <w:r w:rsidRPr="000B344C">
              <w:rPr>
                <w:rFonts w:asciiTheme="minorHAnsi" w:hAnsiTheme="minorHAnsi"/>
                <w:sz w:val="20"/>
                <w:szCs w:val="20"/>
              </w:rPr>
              <w:t>15 September 2014</w:t>
            </w:r>
          </w:p>
          <w:p w14:paraId="07F3424D" w14:textId="77777777" w:rsidR="008A350B" w:rsidRPr="000B344C" w:rsidRDefault="008A350B" w:rsidP="008A350B">
            <w:pPr>
              <w:pStyle w:val="Default"/>
              <w:spacing w:before="40" w:after="40"/>
              <w:rPr>
                <w:rFonts w:asciiTheme="minorHAnsi" w:eastAsiaTheme="minorHAnsi" w:hAnsiTheme="minorHAnsi"/>
                <w:bCs/>
                <w:sz w:val="20"/>
                <w:szCs w:val="20"/>
              </w:rPr>
            </w:pPr>
            <w:r w:rsidRPr="000B344C">
              <w:rPr>
                <w:rFonts w:asciiTheme="minorHAnsi" w:hAnsiTheme="minorHAnsi"/>
                <w:sz w:val="20"/>
                <w:szCs w:val="20"/>
              </w:rPr>
              <w:t>(42 days)</w:t>
            </w:r>
          </w:p>
        </w:tc>
        <w:tc>
          <w:tcPr>
            <w:tcW w:w="1701" w:type="dxa"/>
            <w:shd w:val="clear" w:color="auto" w:fill="DBE5F1" w:themeFill="accent1" w:themeFillTint="33"/>
          </w:tcPr>
          <w:p w14:paraId="1A4342EA" w14:textId="77777777" w:rsidR="008A350B" w:rsidRPr="000B344C" w:rsidRDefault="008A350B" w:rsidP="008A350B">
            <w:pPr>
              <w:pStyle w:val="Default"/>
              <w:spacing w:before="40" w:after="40"/>
              <w:rPr>
                <w:rFonts w:asciiTheme="minorHAnsi" w:hAnsiTheme="minorHAnsi"/>
                <w:sz w:val="20"/>
                <w:szCs w:val="20"/>
              </w:rPr>
            </w:pPr>
            <w:r w:rsidRPr="000B344C">
              <w:rPr>
                <w:rFonts w:asciiTheme="minorHAnsi" w:hAnsiTheme="minorHAnsi"/>
                <w:sz w:val="20"/>
                <w:szCs w:val="20"/>
              </w:rPr>
              <w:t>Public Exhibition – of IPR documents presenting three options for resourcing our future</w:t>
            </w:r>
          </w:p>
        </w:tc>
        <w:tc>
          <w:tcPr>
            <w:tcW w:w="4110" w:type="dxa"/>
            <w:shd w:val="clear" w:color="auto" w:fill="DBE5F1" w:themeFill="accent1" w:themeFillTint="33"/>
          </w:tcPr>
          <w:p w14:paraId="695293DD" w14:textId="77777777" w:rsidR="008A350B" w:rsidRDefault="008A350B" w:rsidP="008A350B">
            <w:pPr>
              <w:autoSpaceDE w:val="0"/>
              <w:autoSpaceDN w:val="0"/>
              <w:adjustRightInd w:val="0"/>
              <w:rPr>
                <w:rFonts w:asciiTheme="minorHAnsi" w:eastAsiaTheme="minorHAnsi" w:hAnsiTheme="minorHAnsi" w:cs="Arial"/>
                <w:bCs/>
                <w:color w:val="000000" w:themeColor="text1"/>
                <w:sz w:val="20"/>
                <w:szCs w:val="20"/>
                <w:lang w:eastAsia="en-US"/>
              </w:rPr>
            </w:pPr>
            <w:r w:rsidRPr="00384052">
              <w:rPr>
                <w:rFonts w:asciiTheme="minorHAnsi" w:eastAsiaTheme="minorHAnsi" w:hAnsiTheme="minorHAnsi" w:cs="Arial"/>
                <w:bCs/>
                <w:color w:val="000000" w:themeColor="text1"/>
                <w:sz w:val="20"/>
                <w:szCs w:val="20"/>
                <w:lang w:eastAsia="en-US"/>
              </w:rPr>
              <w:t>n/a</w:t>
            </w:r>
          </w:p>
          <w:p w14:paraId="1FFF72E8" w14:textId="77777777" w:rsidR="001671A6" w:rsidRDefault="001671A6" w:rsidP="008A350B">
            <w:pPr>
              <w:autoSpaceDE w:val="0"/>
              <w:autoSpaceDN w:val="0"/>
              <w:adjustRightInd w:val="0"/>
              <w:rPr>
                <w:rFonts w:asciiTheme="minorHAnsi" w:eastAsiaTheme="minorHAnsi" w:hAnsiTheme="minorHAnsi" w:cs="Arial"/>
                <w:bCs/>
                <w:color w:val="000000" w:themeColor="text1"/>
                <w:sz w:val="20"/>
                <w:szCs w:val="20"/>
                <w:lang w:eastAsia="en-US"/>
              </w:rPr>
            </w:pPr>
          </w:p>
          <w:p w14:paraId="25E7FE28" w14:textId="77777777" w:rsidR="001671A6" w:rsidRDefault="001671A6" w:rsidP="008A350B">
            <w:pPr>
              <w:autoSpaceDE w:val="0"/>
              <w:autoSpaceDN w:val="0"/>
              <w:adjustRightInd w:val="0"/>
              <w:rPr>
                <w:rFonts w:asciiTheme="minorHAnsi" w:eastAsiaTheme="minorHAnsi" w:hAnsiTheme="minorHAnsi" w:cs="Arial"/>
                <w:bCs/>
                <w:color w:val="000000" w:themeColor="text1"/>
                <w:sz w:val="20"/>
                <w:szCs w:val="20"/>
                <w:lang w:eastAsia="en-US"/>
              </w:rPr>
            </w:pPr>
          </w:p>
          <w:p w14:paraId="500E1022" w14:textId="77777777" w:rsidR="001671A6" w:rsidRDefault="001671A6" w:rsidP="008A350B">
            <w:pPr>
              <w:autoSpaceDE w:val="0"/>
              <w:autoSpaceDN w:val="0"/>
              <w:adjustRightInd w:val="0"/>
              <w:rPr>
                <w:rFonts w:asciiTheme="minorHAnsi" w:eastAsiaTheme="minorHAnsi" w:hAnsiTheme="minorHAnsi" w:cs="Arial"/>
                <w:bCs/>
                <w:color w:val="000000" w:themeColor="text1"/>
                <w:sz w:val="20"/>
                <w:szCs w:val="20"/>
                <w:lang w:eastAsia="en-US"/>
              </w:rPr>
            </w:pPr>
          </w:p>
          <w:p w14:paraId="468DCCC1" w14:textId="77777777" w:rsidR="001671A6" w:rsidRDefault="001671A6" w:rsidP="008A350B">
            <w:pPr>
              <w:autoSpaceDE w:val="0"/>
              <w:autoSpaceDN w:val="0"/>
              <w:adjustRightInd w:val="0"/>
              <w:rPr>
                <w:rFonts w:asciiTheme="minorHAnsi" w:eastAsiaTheme="minorHAnsi" w:hAnsiTheme="minorHAnsi" w:cs="Arial"/>
                <w:bCs/>
                <w:color w:val="000000" w:themeColor="text1"/>
                <w:sz w:val="20"/>
                <w:szCs w:val="20"/>
                <w:lang w:eastAsia="en-US"/>
              </w:rPr>
            </w:pPr>
          </w:p>
          <w:p w14:paraId="48F4F13D" w14:textId="77777777" w:rsidR="001671A6" w:rsidRDefault="001671A6" w:rsidP="008A350B">
            <w:pPr>
              <w:autoSpaceDE w:val="0"/>
              <w:autoSpaceDN w:val="0"/>
              <w:adjustRightInd w:val="0"/>
              <w:rPr>
                <w:rFonts w:asciiTheme="minorHAnsi" w:eastAsiaTheme="minorHAnsi" w:hAnsiTheme="minorHAnsi" w:cs="Arial"/>
                <w:bCs/>
                <w:color w:val="000000" w:themeColor="text1"/>
                <w:sz w:val="20"/>
                <w:szCs w:val="20"/>
                <w:lang w:eastAsia="en-US"/>
              </w:rPr>
            </w:pPr>
          </w:p>
          <w:p w14:paraId="77D784ED" w14:textId="77777777" w:rsidR="001671A6" w:rsidRDefault="001671A6" w:rsidP="008A350B">
            <w:pPr>
              <w:autoSpaceDE w:val="0"/>
              <w:autoSpaceDN w:val="0"/>
              <w:adjustRightInd w:val="0"/>
              <w:rPr>
                <w:rFonts w:asciiTheme="minorHAnsi" w:eastAsiaTheme="minorHAnsi" w:hAnsiTheme="minorHAnsi" w:cs="Arial"/>
                <w:bCs/>
                <w:color w:val="000000" w:themeColor="text1"/>
                <w:sz w:val="20"/>
                <w:szCs w:val="20"/>
                <w:lang w:eastAsia="en-US"/>
              </w:rPr>
            </w:pPr>
          </w:p>
          <w:p w14:paraId="22137B26" w14:textId="77777777" w:rsidR="001671A6" w:rsidRDefault="001671A6" w:rsidP="008A350B">
            <w:pPr>
              <w:autoSpaceDE w:val="0"/>
              <w:autoSpaceDN w:val="0"/>
              <w:adjustRightInd w:val="0"/>
              <w:rPr>
                <w:rFonts w:asciiTheme="minorHAnsi" w:eastAsiaTheme="minorHAnsi" w:hAnsiTheme="minorHAnsi" w:cs="Arial"/>
                <w:bCs/>
                <w:color w:val="000000" w:themeColor="text1"/>
                <w:sz w:val="20"/>
                <w:szCs w:val="20"/>
                <w:lang w:eastAsia="en-US"/>
              </w:rPr>
            </w:pPr>
          </w:p>
          <w:p w14:paraId="60682ECE" w14:textId="77777777" w:rsidR="001671A6" w:rsidRDefault="001671A6" w:rsidP="008A350B">
            <w:pPr>
              <w:autoSpaceDE w:val="0"/>
              <w:autoSpaceDN w:val="0"/>
              <w:adjustRightInd w:val="0"/>
              <w:rPr>
                <w:rFonts w:asciiTheme="minorHAnsi" w:eastAsiaTheme="minorHAnsi" w:hAnsiTheme="minorHAnsi" w:cs="Arial"/>
                <w:bCs/>
                <w:color w:val="000000" w:themeColor="text1"/>
                <w:sz w:val="20"/>
                <w:szCs w:val="20"/>
                <w:lang w:eastAsia="en-US"/>
              </w:rPr>
            </w:pPr>
          </w:p>
          <w:p w14:paraId="216AD4AA" w14:textId="77777777" w:rsidR="001671A6" w:rsidRPr="00384052" w:rsidRDefault="001671A6" w:rsidP="008A350B">
            <w:pPr>
              <w:autoSpaceDE w:val="0"/>
              <w:autoSpaceDN w:val="0"/>
              <w:adjustRightInd w:val="0"/>
              <w:rPr>
                <w:rFonts w:asciiTheme="minorHAnsi" w:eastAsiaTheme="minorHAnsi" w:hAnsiTheme="minorHAnsi" w:cs="Arial"/>
                <w:bCs/>
                <w:color w:val="000000" w:themeColor="text1"/>
                <w:sz w:val="20"/>
                <w:szCs w:val="20"/>
                <w:lang w:eastAsia="en-US"/>
              </w:rPr>
            </w:pPr>
          </w:p>
        </w:tc>
      </w:tr>
      <w:tr w:rsidR="008A350B" w:rsidRPr="000B344C" w14:paraId="136DB261" w14:textId="77777777" w:rsidTr="00EB40D0">
        <w:tc>
          <w:tcPr>
            <w:tcW w:w="1418" w:type="dxa"/>
            <w:shd w:val="clear" w:color="auto" w:fill="DBE5F1" w:themeFill="accent1" w:themeFillTint="33"/>
          </w:tcPr>
          <w:p w14:paraId="6D3417DE" w14:textId="77777777" w:rsidR="008A350B" w:rsidRPr="000B344C" w:rsidRDefault="008A350B" w:rsidP="008A350B">
            <w:pPr>
              <w:autoSpaceDE w:val="0"/>
              <w:autoSpaceDN w:val="0"/>
              <w:adjustRightInd w:val="0"/>
              <w:rPr>
                <w:rFonts w:asciiTheme="minorHAnsi" w:eastAsiaTheme="minorHAnsi" w:hAnsiTheme="minorHAnsi" w:cs="Arial"/>
                <w:bCs/>
                <w:sz w:val="20"/>
                <w:szCs w:val="20"/>
                <w:lang w:eastAsia="en-US"/>
              </w:rPr>
            </w:pPr>
            <w:r w:rsidRPr="000B344C">
              <w:rPr>
                <w:rFonts w:asciiTheme="minorHAnsi" w:eastAsiaTheme="minorHAnsi" w:hAnsiTheme="minorHAnsi" w:cs="Arial"/>
                <w:bCs/>
                <w:sz w:val="20"/>
                <w:szCs w:val="20"/>
                <w:lang w:eastAsia="en-US"/>
              </w:rPr>
              <w:t>Options for Resourcing our Future - Outcome of Community Engagement and Public Exhibition</w:t>
            </w:r>
          </w:p>
        </w:tc>
        <w:tc>
          <w:tcPr>
            <w:tcW w:w="1276" w:type="dxa"/>
            <w:shd w:val="clear" w:color="auto" w:fill="DBE5F1" w:themeFill="accent1" w:themeFillTint="33"/>
          </w:tcPr>
          <w:p w14:paraId="0284900C" w14:textId="77777777" w:rsidR="008A350B" w:rsidRPr="000B344C" w:rsidRDefault="008A350B" w:rsidP="008A350B">
            <w:pPr>
              <w:pStyle w:val="Default"/>
              <w:spacing w:before="40" w:after="40"/>
              <w:rPr>
                <w:rFonts w:asciiTheme="minorHAnsi" w:eastAsiaTheme="minorHAnsi" w:hAnsiTheme="minorHAnsi"/>
                <w:bCs/>
                <w:sz w:val="20"/>
                <w:szCs w:val="20"/>
              </w:rPr>
            </w:pPr>
            <w:r w:rsidRPr="000B344C">
              <w:rPr>
                <w:rFonts w:asciiTheme="minorHAnsi" w:eastAsiaTheme="minorHAnsi" w:hAnsiTheme="minorHAnsi"/>
                <w:bCs/>
                <w:sz w:val="20"/>
                <w:szCs w:val="20"/>
              </w:rPr>
              <w:t>9 December 2014</w:t>
            </w:r>
          </w:p>
        </w:tc>
        <w:tc>
          <w:tcPr>
            <w:tcW w:w="1701" w:type="dxa"/>
            <w:shd w:val="clear" w:color="auto" w:fill="DBE5F1" w:themeFill="accent1" w:themeFillTint="33"/>
          </w:tcPr>
          <w:p w14:paraId="3296BB28" w14:textId="77777777" w:rsidR="008A350B" w:rsidRPr="000B344C" w:rsidRDefault="008A350B" w:rsidP="008A350B">
            <w:pPr>
              <w:pStyle w:val="Default"/>
              <w:spacing w:before="40" w:after="40"/>
              <w:rPr>
                <w:rFonts w:asciiTheme="minorHAnsi" w:hAnsiTheme="minorHAnsi"/>
                <w:sz w:val="20"/>
                <w:szCs w:val="20"/>
              </w:rPr>
            </w:pPr>
            <w:r w:rsidRPr="000B344C">
              <w:rPr>
                <w:rFonts w:asciiTheme="minorHAnsi" w:hAnsiTheme="minorHAnsi"/>
                <w:sz w:val="20"/>
                <w:szCs w:val="20"/>
              </w:rPr>
              <w:t>Council Meeting – adoption of IPR documents presenting three options for resourcing our future</w:t>
            </w:r>
          </w:p>
        </w:tc>
        <w:tc>
          <w:tcPr>
            <w:tcW w:w="4110" w:type="dxa"/>
            <w:shd w:val="clear" w:color="auto" w:fill="DBE5F1" w:themeFill="accent1" w:themeFillTint="33"/>
          </w:tcPr>
          <w:p w14:paraId="5B96BA1C" w14:textId="77777777" w:rsidR="008A350B" w:rsidRPr="00384052" w:rsidRDefault="008A350B" w:rsidP="008A350B">
            <w:pPr>
              <w:autoSpaceDE w:val="0"/>
              <w:autoSpaceDN w:val="0"/>
              <w:adjustRightInd w:val="0"/>
              <w:rPr>
                <w:rFonts w:asciiTheme="minorHAnsi" w:eastAsiaTheme="minorHAnsi" w:hAnsiTheme="minorHAnsi" w:cs="Arial"/>
                <w:b/>
                <w:bCs/>
                <w:color w:val="000000" w:themeColor="text1"/>
                <w:sz w:val="20"/>
                <w:szCs w:val="20"/>
                <w:u w:val="single"/>
                <w:lang w:eastAsia="en-US"/>
              </w:rPr>
            </w:pPr>
            <w:r w:rsidRPr="00384052">
              <w:rPr>
                <w:rFonts w:asciiTheme="minorHAnsi" w:eastAsiaTheme="minorHAnsi" w:hAnsiTheme="minorHAnsi" w:cs="Arial"/>
                <w:b/>
                <w:bCs/>
                <w:color w:val="000000" w:themeColor="text1"/>
                <w:sz w:val="20"/>
                <w:szCs w:val="20"/>
                <w:u w:val="single"/>
                <w:lang w:eastAsia="en-US"/>
              </w:rPr>
              <w:t>Options for Resourcing our Future - Outcome of Community Engagement and Public Exhibition</w:t>
            </w:r>
          </w:p>
          <w:p w14:paraId="406EA714" w14:textId="77777777" w:rsidR="008A350B" w:rsidRPr="00384052" w:rsidRDefault="008A350B" w:rsidP="00B22528">
            <w:pPr>
              <w:pStyle w:val="ListParagraph"/>
              <w:numPr>
                <w:ilvl w:val="0"/>
                <w:numId w:val="43"/>
              </w:numPr>
              <w:autoSpaceDE w:val="0"/>
              <w:autoSpaceDN w:val="0"/>
              <w:adjustRightInd w:val="0"/>
              <w:ind w:left="317" w:hanging="283"/>
              <w:contextualSpacing/>
              <w:rPr>
                <w:rFonts w:asciiTheme="minorHAnsi" w:hAnsiTheme="minorHAnsi" w:cs="Arial"/>
                <w:bCs/>
                <w:color w:val="000000" w:themeColor="text1"/>
                <w:sz w:val="20"/>
                <w:szCs w:val="20"/>
              </w:rPr>
            </w:pPr>
            <w:r w:rsidRPr="00384052">
              <w:rPr>
                <w:rFonts w:asciiTheme="minorHAnsi" w:hAnsiTheme="minorHAnsi" w:cs="Arial"/>
                <w:bCs/>
                <w:color w:val="000000" w:themeColor="text1"/>
                <w:sz w:val="20"/>
                <w:szCs w:val="20"/>
              </w:rPr>
              <w:t>That the Council receives and acknowledges the substantial community responses to the community engagement and public exhibition on options for Resourcing Our Future and notes the results of this engagement including the detailed reports presented in Enclosures 1, 2 and 3;</w:t>
            </w:r>
          </w:p>
          <w:p w14:paraId="700C7B1C" w14:textId="77777777" w:rsidR="008A350B" w:rsidRPr="00384052" w:rsidRDefault="008A350B" w:rsidP="00B22528">
            <w:pPr>
              <w:pStyle w:val="ListParagraph"/>
              <w:numPr>
                <w:ilvl w:val="0"/>
                <w:numId w:val="43"/>
              </w:numPr>
              <w:autoSpaceDE w:val="0"/>
              <w:autoSpaceDN w:val="0"/>
              <w:adjustRightInd w:val="0"/>
              <w:ind w:left="317" w:hanging="283"/>
              <w:contextualSpacing/>
              <w:rPr>
                <w:rFonts w:asciiTheme="minorHAnsi" w:hAnsiTheme="minorHAnsi" w:cs="Arial"/>
                <w:bCs/>
                <w:color w:val="000000" w:themeColor="text1"/>
                <w:sz w:val="20"/>
                <w:szCs w:val="20"/>
              </w:rPr>
            </w:pPr>
            <w:r w:rsidRPr="00384052">
              <w:rPr>
                <w:rFonts w:asciiTheme="minorHAnsi" w:hAnsiTheme="minorHAnsi" w:cs="Arial"/>
                <w:bCs/>
                <w:color w:val="000000" w:themeColor="text1"/>
                <w:sz w:val="20"/>
                <w:szCs w:val="20"/>
              </w:rPr>
              <w:t>That the Council confirms its ongoing commitment to building a successful future for the Blue Mountains, including delivering within available funding the best possible range of value for money services to the community and continuously reviewing service provision to ensure best value;</w:t>
            </w:r>
          </w:p>
          <w:p w14:paraId="29DBE100" w14:textId="77777777" w:rsidR="008A350B" w:rsidRPr="00384052" w:rsidRDefault="008A350B" w:rsidP="00B22528">
            <w:pPr>
              <w:pStyle w:val="ListParagraph"/>
              <w:numPr>
                <w:ilvl w:val="0"/>
                <w:numId w:val="43"/>
              </w:numPr>
              <w:autoSpaceDE w:val="0"/>
              <w:autoSpaceDN w:val="0"/>
              <w:adjustRightInd w:val="0"/>
              <w:ind w:left="317" w:hanging="283"/>
              <w:contextualSpacing/>
              <w:rPr>
                <w:rFonts w:asciiTheme="minorHAnsi" w:hAnsiTheme="minorHAnsi" w:cs="Arial"/>
                <w:bCs/>
                <w:color w:val="000000" w:themeColor="text1"/>
                <w:sz w:val="20"/>
                <w:szCs w:val="20"/>
              </w:rPr>
            </w:pPr>
            <w:r w:rsidRPr="00384052">
              <w:rPr>
                <w:rFonts w:asciiTheme="minorHAnsi" w:hAnsiTheme="minorHAnsi" w:cs="Arial"/>
                <w:bCs/>
                <w:color w:val="000000" w:themeColor="text1"/>
                <w:sz w:val="20"/>
                <w:szCs w:val="20"/>
              </w:rPr>
              <w:t xml:space="preserve">That the Council endorses Option 1 for resourcing our future as detailed in this report, being: </w:t>
            </w:r>
          </w:p>
          <w:p w14:paraId="73539231" w14:textId="77777777" w:rsidR="008A350B" w:rsidRPr="00384052" w:rsidRDefault="008A350B" w:rsidP="008A350B">
            <w:pPr>
              <w:pStyle w:val="ListParagraph"/>
              <w:autoSpaceDE w:val="0"/>
              <w:autoSpaceDN w:val="0"/>
              <w:adjustRightInd w:val="0"/>
              <w:ind w:left="317"/>
              <w:rPr>
                <w:rFonts w:asciiTheme="minorHAnsi" w:hAnsiTheme="minorHAnsi" w:cs="Arial"/>
                <w:bCs/>
                <w:i/>
                <w:color w:val="000000" w:themeColor="text1"/>
                <w:sz w:val="20"/>
                <w:szCs w:val="20"/>
              </w:rPr>
            </w:pPr>
            <w:r w:rsidRPr="00384052">
              <w:rPr>
                <w:rFonts w:asciiTheme="minorHAnsi" w:hAnsiTheme="minorHAnsi" w:cs="Arial"/>
                <w:bCs/>
                <w:i/>
                <w:color w:val="000000" w:themeColor="text1"/>
                <w:sz w:val="20"/>
                <w:szCs w:val="20"/>
              </w:rPr>
              <w:t>Option 1: Service Levels Improved - A Special Rate Variation of 6.6% in 2015/16 (including rate peg) to reinstate the Environment Levy on a permanent basis, followed by three annual increases of 9.6% (including rate peg) from 2016/17 to 2018/19 with additional funding raised remaining permanently in the rate base;</w:t>
            </w:r>
          </w:p>
          <w:p w14:paraId="681C4FCB" w14:textId="77777777" w:rsidR="008A350B" w:rsidRPr="00384052" w:rsidRDefault="008A350B" w:rsidP="00B22528">
            <w:pPr>
              <w:pStyle w:val="ListParagraph"/>
              <w:numPr>
                <w:ilvl w:val="0"/>
                <w:numId w:val="43"/>
              </w:numPr>
              <w:autoSpaceDE w:val="0"/>
              <w:autoSpaceDN w:val="0"/>
              <w:adjustRightInd w:val="0"/>
              <w:ind w:left="317" w:hanging="283"/>
              <w:contextualSpacing/>
              <w:rPr>
                <w:rFonts w:asciiTheme="minorHAnsi" w:hAnsiTheme="minorHAnsi" w:cs="Arial"/>
                <w:bCs/>
                <w:color w:val="000000" w:themeColor="text1"/>
                <w:sz w:val="20"/>
                <w:szCs w:val="20"/>
              </w:rPr>
            </w:pPr>
            <w:r w:rsidRPr="00384052">
              <w:rPr>
                <w:rFonts w:asciiTheme="minorHAnsi" w:hAnsiTheme="minorHAnsi" w:cs="Arial"/>
                <w:bCs/>
                <w:color w:val="000000" w:themeColor="text1"/>
                <w:sz w:val="20"/>
                <w:szCs w:val="20"/>
              </w:rPr>
              <w:t>That the Council approves the making of an application to the Independent Pricing and Regulatory Tribunal under s508(A) of the Local Government Act 1993, if it endorses Option 1 or 2;</w:t>
            </w:r>
          </w:p>
          <w:p w14:paraId="212E1177" w14:textId="77777777" w:rsidR="008A350B" w:rsidRPr="00384052" w:rsidRDefault="008A350B" w:rsidP="00B22528">
            <w:pPr>
              <w:pStyle w:val="ListParagraph"/>
              <w:numPr>
                <w:ilvl w:val="0"/>
                <w:numId w:val="43"/>
              </w:numPr>
              <w:autoSpaceDE w:val="0"/>
              <w:autoSpaceDN w:val="0"/>
              <w:adjustRightInd w:val="0"/>
              <w:ind w:left="317" w:hanging="283"/>
              <w:contextualSpacing/>
              <w:rPr>
                <w:rFonts w:asciiTheme="minorHAnsi" w:hAnsiTheme="minorHAnsi" w:cs="Arial"/>
                <w:b/>
                <w:bCs/>
                <w:color w:val="000000" w:themeColor="text1"/>
                <w:sz w:val="20"/>
                <w:szCs w:val="20"/>
              </w:rPr>
            </w:pPr>
            <w:r w:rsidRPr="00384052">
              <w:rPr>
                <w:rFonts w:asciiTheme="minorHAnsi" w:hAnsiTheme="minorHAnsi" w:cs="Arial"/>
                <w:b/>
                <w:bCs/>
                <w:color w:val="000000" w:themeColor="text1"/>
                <w:sz w:val="20"/>
                <w:szCs w:val="20"/>
              </w:rPr>
              <w:t>That the Council adopts the following updated Integrated Planning and Reporting documents, supporting the Resourcing Our Future community engagement, subject to the recommended changes detailed in Enclosure 4:</w:t>
            </w:r>
          </w:p>
          <w:p w14:paraId="7F60B939" w14:textId="77777777" w:rsidR="008A350B" w:rsidRPr="00384052" w:rsidRDefault="008A350B" w:rsidP="00B22528">
            <w:pPr>
              <w:pStyle w:val="ListParagraph"/>
              <w:numPr>
                <w:ilvl w:val="1"/>
                <w:numId w:val="43"/>
              </w:numPr>
              <w:autoSpaceDE w:val="0"/>
              <w:autoSpaceDN w:val="0"/>
              <w:adjustRightInd w:val="0"/>
              <w:ind w:left="601" w:hanging="284"/>
              <w:contextualSpacing/>
              <w:rPr>
                <w:rFonts w:asciiTheme="minorHAnsi" w:hAnsiTheme="minorHAnsi" w:cs="Arial"/>
                <w:b/>
                <w:bCs/>
                <w:color w:val="000000" w:themeColor="text1"/>
                <w:sz w:val="20"/>
                <w:szCs w:val="20"/>
              </w:rPr>
            </w:pPr>
            <w:r w:rsidRPr="00384052">
              <w:rPr>
                <w:rFonts w:asciiTheme="minorHAnsi" w:hAnsiTheme="minorHAnsi" w:cs="Arial"/>
                <w:b/>
                <w:bCs/>
                <w:color w:val="000000" w:themeColor="text1"/>
                <w:sz w:val="20"/>
                <w:szCs w:val="20"/>
              </w:rPr>
              <w:t>Resourcing Strategy 2014-2024, incorporating the Long Term Financial Plan (LTFP), Asset Management Policy and Strategy (AMP&amp;S) and Workforce Management Strategy (WMS);</w:t>
            </w:r>
          </w:p>
          <w:p w14:paraId="3CAECC59" w14:textId="77777777" w:rsidR="008A350B" w:rsidRPr="00384052" w:rsidRDefault="008A350B" w:rsidP="00B22528">
            <w:pPr>
              <w:pStyle w:val="ListParagraph"/>
              <w:numPr>
                <w:ilvl w:val="1"/>
                <w:numId w:val="43"/>
              </w:numPr>
              <w:autoSpaceDE w:val="0"/>
              <w:autoSpaceDN w:val="0"/>
              <w:adjustRightInd w:val="0"/>
              <w:ind w:left="601" w:hanging="284"/>
              <w:contextualSpacing/>
              <w:rPr>
                <w:rFonts w:asciiTheme="minorHAnsi" w:hAnsiTheme="minorHAnsi" w:cs="Arial"/>
                <w:b/>
                <w:bCs/>
                <w:color w:val="000000" w:themeColor="text1"/>
                <w:sz w:val="20"/>
                <w:szCs w:val="20"/>
              </w:rPr>
            </w:pPr>
            <w:r w:rsidRPr="00384052">
              <w:rPr>
                <w:rFonts w:asciiTheme="minorHAnsi" w:hAnsiTheme="minorHAnsi" w:cs="Arial"/>
                <w:b/>
                <w:bCs/>
                <w:color w:val="000000" w:themeColor="text1"/>
                <w:sz w:val="20"/>
                <w:szCs w:val="20"/>
              </w:rPr>
              <w:t>Service Dashboards: Summary Service and Asset Plans (companion document to Resourcing Strategy 2014-2024); and</w:t>
            </w:r>
          </w:p>
          <w:p w14:paraId="18E249ED" w14:textId="77777777" w:rsidR="008A350B" w:rsidRPr="00384052" w:rsidRDefault="008A350B" w:rsidP="00B22528">
            <w:pPr>
              <w:pStyle w:val="ListParagraph"/>
              <w:numPr>
                <w:ilvl w:val="1"/>
                <w:numId w:val="43"/>
              </w:numPr>
              <w:autoSpaceDE w:val="0"/>
              <w:autoSpaceDN w:val="0"/>
              <w:adjustRightInd w:val="0"/>
              <w:ind w:left="601" w:hanging="284"/>
              <w:contextualSpacing/>
              <w:rPr>
                <w:rFonts w:asciiTheme="minorHAnsi" w:hAnsiTheme="minorHAnsi" w:cs="Arial"/>
                <w:b/>
                <w:bCs/>
                <w:color w:val="000000" w:themeColor="text1"/>
                <w:sz w:val="20"/>
                <w:szCs w:val="20"/>
              </w:rPr>
            </w:pPr>
            <w:r w:rsidRPr="00384052">
              <w:rPr>
                <w:rFonts w:asciiTheme="minorHAnsi" w:hAnsiTheme="minorHAnsi" w:cs="Arial"/>
                <w:b/>
                <w:bCs/>
                <w:color w:val="000000" w:themeColor="text1"/>
                <w:sz w:val="20"/>
                <w:szCs w:val="20"/>
              </w:rPr>
              <w:t>Supplementary Delivery Program (2015-2019); and</w:t>
            </w:r>
          </w:p>
          <w:p w14:paraId="3C3AC989" w14:textId="77777777" w:rsidR="008A350B" w:rsidRPr="00384052" w:rsidRDefault="008A350B" w:rsidP="00B22528">
            <w:pPr>
              <w:pStyle w:val="ListParagraph"/>
              <w:numPr>
                <w:ilvl w:val="0"/>
                <w:numId w:val="43"/>
              </w:numPr>
              <w:autoSpaceDE w:val="0"/>
              <w:autoSpaceDN w:val="0"/>
              <w:adjustRightInd w:val="0"/>
              <w:ind w:left="317" w:hanging="283"/>
              <w:contextualSpacing/>
              <w:rPr>
                <w:rFonts w:asciiTheme="minorHAnsi" w:hAnsiTheme="minorHAnsi" w:cs="Arial"/>
                <w:bCs/>
                <w:color w:val="000000" w:themeColor="text1"/>
                <w:sz w:val="20"/>
                <w:szCs w:val="20"/>
              </w:rPr>
            </w:pPr>
            <w:r w:rsidRPr="00384052">
              <w:rPr>
                <w:rFonts w:asciiTheme="minorHAnsi" w:hAnsiTheme="minorHAnsi" w:cs="Arial"/>
                <w:bCs/>
                <w:color w:val="000000" w:themeColor="text1"/>
                <w:sz w:val="20"/>
                <w:szCs w:val="20"/>
              </w:rPr>
              <w:t>That the Council considers the implementation and time line of the specific outcomes of the Best Value Councillor Advisory Group at the Council Strategic Planning Workshop to be held in February 2015.</w:t>
            </w:r>
          </w:p>
          <w:p w14:paraId="36526EB4" w14:textId="77777777" w:rsidR="008A350B" w:rsidRPr="00384052" w:rsidRDefault="008A350B" w:rsidP="008A350B">
            <w:pPr>
              <w:autoSpaceDE w:val="0"/>
              <w:autoSpaceDN w:val="0"/>
              <w:adjustRightInd w:val="0"/>
              <w:rPr>
                <w:rFonts w:asciiTheme="minorHAnsi" w:eastAsiaTheme="minorHAnsi" w:hAnsiTheme="minorHAnsi" w:cs="Arial"/>
                <w:bCs/>
                <w:color w:val="000000" w:themeColor="text1"/>
                <w:sz w:val="20"/>
                <w:szCs w:val="20"/>
                <w:lang w:eastAsia="en-US"/>
              </w:rPr>
            </w:pPr>
            <w:r w:rsidRPr="00384052">
              <w:rPr>
                <w:rFonts w:asciiTheme="minorHAnsi" w:eastAsiaTheme="minorHAnsi" w:hAnsiTheme="minorHAnsi" w:cs="Arial"/>
                <w:bCs/>
                <w:color w:val="000000" w:themeColor="text1"/>
                <w:sz w:val="20"/>
                <w:szCs w:val="20"/>
                <w:lang w:eastAsia="en-US"/>
              </w:rPr>
              <w:t>[Minute No. 1231, 9/12/14]</w:t>
            </w:r>
          </w:p>
        </w:tc>
      </w:tr>
      <w:tr w:rsidR="008A350B" w:rsidRPr="000B344C" w14:paraId="12633A3E" w14:textId="77777777" w:rsidTr="00EB40D0">
        <w:tc>
          <w:tcPr>
            <w:tcW w:w="1418" w:type="dxa"/>
            <w:shd w:val="clear" w:color="auto" w:fill="DBE5F1" w:themeFill="accent1" w:themeFillTint="33"/>
          </w:tcPr>
          <w:p w14:paraId="7260F58C" w14:textId="77777777" w:rsidR="008A350B" w:rsidRPr="000B344C" w:rsidRDefault="008A350B" w:rsidP="008A350B">
            <w:pPr>
              <w:autoSpaceDE w:val="0"/>
              <w:autoSpaceDN w:val="0"/>
              <w:adjustRightInd w:val="0"/>
              <w:rPr>
                <w:rFonts w:asciiTheme="minorHAnsi" w:eastAsiaTheme="minorHAnsi" w:hAnsiTheme="minorHAnsi" w:cs="Arial"/>
                <w:bCs/>
                <w:sz w:val="20"/>
                <w:szCs w:val="20"/>
                <w:lang w:eastAsia="en-US"/>
              </w:rPr>
            </w:pPr>
            <w:r w:rsidRPr="000B344C">
              <w:rPr>
                <w:rFonts w:asciiTheme="minorHAnsi" w:eastAsiaTheme="minorHAnsi" w:hAnsiTheme="minorHAnsi" w:cs="Arial"/>
                <w:bCs/>
                <w:sz w:val="20"/>
                <w:szCs w:val="20"/>
                <w:lang w:eastAsia="en-US"/>
              </w:rPr>
              <w:t>Adoption of legislatively required Asset Management Plans</w:t>
            </w:r>
          </w:p>
          <w:p w14:paraId="0CB8F28D" w14:textId="77777777" w:rsidR="008A350B" w:rsidRPr="000B344C" w:rsidRDefault="008A350B" w:rsidP="008A350B">
            <w:pPr>
              <w:autoSpaceDE w:val="0"/>
              <w:autoSpaceDN w:val="0"/>
              <w:adjustRightInd w:val="0"/>
              <w:rPr>
                <w:rFonts w:asciiTheme="minorHAnsi" w:eastAsiaTheme="minorHAnsi" w:hAnsiTheme="minorHAnsi" w:cs="Arial"/>
                <w:bCs/>
                <w:sz w:val="20"/>
                <w:szCs w:val="20"/>
                <w:lang w:eastAsia="en-US"/>
              </w:rPr>
            </w:pPr>
          </w:p>
        </w:tc>
        <w:tc>
          <w:tcPr>
            <w:tcW w:w="1276" w:type="dxa"/>
            <w:shd w:val="clear" w:color="auto" w:fill="DBE5F1" w:themeFill="accent1" w:themeFillTint="33"/>
          </w:tcPr>
          <w:p w14:paraId="2E3DB3E9" w14:textId="77777777" w:rsidR="008A350B" w:rsidRPr="000B344C" w:rsidRDefault="008A350B" w:rsidP="008A350B">
            <w:pPr>
              <w:pStyle w:val="Default"/>
              <w:spacing w:before="40" w:after="40"/>
              <w:rPr>
                <w:rFonts w:asciiTheme="minorHAnsi" w:eastAsiaTheme="minorHAnsi" w:hAnsiTheme="minorHAnsi"/>
                <w:bCs/>
                <w:sz w:val="20"/>
                <w:szCs w:val="20"/>
              </w:rPr>
            </w:pPr>
            <w:r w:rsidRPr="000B344C">
              <w:rPr>
                <w:rFonts w:asciiTheme="minorHAnsi" w:eastAsiaTheme="minorHAnsi" w:hAnsiTheme="minorHAnsi"/>
                <w:bCs/>
                <w:sz w:val="20"/>
                <w:szCs w:val="20"/>
              </w:rPr>
              <w:t>27 January 2015</w:t>
            </w:r>
          </w:p>
        </w:tc>
        <w:tc>
          <w:tcPr>
            <w:tcW w:w="1701" w:type="dxa"/>
            <w:shd w:val="clear" w:color="auto" w:fill="DBE5F1" w:themeFill="accent1" w:themeFillTint="33"/>
          </w:tcPr>
          <w:p w14:paraId="102BBD53" w14:textId="77777777" w:rsidR="008A350B" w:rsidRPr="000B344C" w:rsidRDefault="008A350B" w:rsidP="008A350B">
            <w:pPr>
              <w:pStyle w:val="Default"/>
              <w:spacing w:before="40" w:after="40"/>
              <w:rPr>
                <w:rFonts w:asciiTheme="minorHAnsi" w:hAnsiTheme="minorHAnsi"/>
                <w:sz w:val="20"/>
                <w:szCs w:val="20"/>
              </w:rPr>
            </w:pPr>
            <w:r w:rsidRPr="000B344C">
              <w:rPr>
                <w:rFonts w:asciiTheme="minorHAnsi" w:hAnsiTheme="minorHAnsi"/>
                <w:sz w:val="20"/>
                <w:szCs w:val="20"/>
              </w:rPr>
              <w:t xml:space="preserve">Council Meeting – adoption of Asset Management Plans </w:t>
            </w:r>
            <w:r w:rsidRPr="000B344C">
              <w:rPr>
                <w:rFonts w:asciiTheme="minorHAnsi" w:eastAsiaTheme="minorHAnsi" w:hAnsiTheme="minorHAnsi"/>
                <w:bCs/>
                <w:sz w:val="20"/>
                <w:szCs w:val="20"/>
                <w:lang w:eastAsia="en-US"/>
              </w:rPr>
              <w:t>identifying affordable levels of asset service</w:t>
            </w:r>
            <w:r w:rsidRPr="000B344C">
              <w:rPr>
                <w:rFonts w:asciiTheme="minorHAnsi" w:eastAsiaTheme="minorHAnsi" w:hAnsiTheme="minorHAnsi"/>
                <w:bCs/>
                <w:sz w:val="20"/>
                <w:szCs w:val="20"/>
              </w:rPr>
              <w:t xml:space="preserve"> </w:t>
            </w:r>
            <w:r w:rsidRPr="000B344C">
              <w:rPr>
                <w:rFonts w:asciiTheme="minorHAnsi" w:eastAsiaTheme="minorHAnsi" w:hAnsiTheme="minorHAnsi"/>
                <w:bCs/>
                <w:sz w:val="20"/>
                <w:szCs w:val="20"/>
                <w:lang w:eastAsia="en-US"/>
              </w:rPr>
              <w:t>delivery in line with the Council’s adopted 10 year Resourcing Strategy</w:t>
            </w:r>
          </w:p>
        </w:tc>
        <w:tc>
          <w:tcPr>
            <w:tcW w:w="4110" w:type="dxa"/>
            <w:shd w:val="clear" w:color="auto" w:fill="DBE5F1" w:themeFill="accent1" w:themeFillTint="33"/>
          </w:tcPr>
          <w:p w14:paraId="790ADE28" w14:textId="77777777" w:rsidR="008A350B" w:rsidRPr="00384052" w:rsidRDefault="008A350B" w:rsidP="008A350B">
            <w:pPr>
              <w:autoSpaceDE w:val="0"/>
              <w:autoSpaceDN w:val="0"/>
              <w:adjustRightInd w:val="0"/>
              <w:rPr>
                <w:rFonts w:asciiTheme="minorHAnsi" w:eastAsiaTheme="minorHAnsi" w:hAnsiTheme="minorHAnsi" w:cs="Arial"/>
                <w:b/>
                <w:bCs/>
                <w:color w:val="000000" w:themeColor="text1"/>
                <w:sz w:val="20"/>
                <w:szCs w:val="20"/>
                <w:u w:val="single"/>
                <w:lang w:eastAsia="en-US"/>
              </w:rPr>
            </w:pPr>
            <w:r w:rsidRPr="00384052">
              <w:rPr>
                <w:rFonts w:asciiTheme="minorHAnsi" w:eastAsiaTheme="minorHAnsi" w:hAnsiTheme="minorHAnsi" w:cs="Arial"/>
                <w:b/>
                <w:bCs/>
                <w:color w:val="000000" w:themeColor="text1"/>
                <w:sz w:val="20"/>
                <w:szCs w:val="20"/>
                <w:u w:val="single"/>
                <w:lang w:eastAsia="en-US"/>
              </w:rPr>
              <w:t>Adoption of legislatively required Asset Management Plans</w:t>
            </w:r>
          </w:p>
          <w:p w14:paraId="30F9AFE6" w14:textId="77777777" w:rsidR="008A350B" w:rsidRPr="00384052" w:rsidRDefault="008A350B" w:rsidP="00B22528">
            <w:pPr>
              <w:pStyle w:val="ListParagraph"/>
              <w:numPr>
                <w:ilvl w:val="0"/>
                <w:numId w:val="45"/>
              </w:numPr>
              <w:autoSpaceDE w:val="0"/>
              <w:autoSpaceDN w:val="0"/>
              <w:adjustRightInd w:val="0"/>
              <w:ind w:left="317" w:hanging="283"/>
              <w:contextualSpacing/>
              <w:rPr>
                <w:rFonts w:asciiTheme="minorHAnsi" w:hAnsiTheme="minorHAnsi" w:cs="Arial"/>
                <w:bCs/>
                <w:color w:val="000000" w:themeColor="text1"/>
                <w:sz w:val="20"/>
                <w:szCs w:val="20"/>
              </w:rPr>
            </w:pPr>
            <w:r w:rsidRPr="00384052">
              <w:rPr>
                <w:rFonts w:asciiTheme="minorHAnsi" w:hAnsiTheme="minorHAnsi" w:cs="Arial"/>
                <w:b/>
                <w:bCs/>
                <w:color w:val="000000" w:themeColor="text1"/>
                <w:sz w:val="20"/>
                <w:szCs w:val="20"/>
              </w:rPr>
              <w:t xml:space="preserve">That the Council adopts the Draft Asset Management Plans as presented in Enclosure 1; </w:t>
            </w:r>
            <w:r w:rsidRPr="00384052">
              <w:rPr>
                <w:rFonts w:asciiTheme="minorHAnsi" w:hAnsiTheme="minorHAnsi" w:cs="Arial"/>
                <w:bCs/>
                <w:color w:val="000000" w:themeColor="text1"/>
                <w:sz w:val="20"/>
                <w:szCs w:val="20"/>
              </w:rPr>
              <w:t>and</w:t>
            </w:r>
          </w:p>
          <w:p w14:paraId="75DDDEB2" w14:textId="77777777" w:rsidR="008A350B" w:rsidRPr="00384052" w:rsidRDefault="008A350B" w:rsidP="00B22528">
            <w:pPr>
              <w:pStyle w:val="ListParagraph"/>
              <w:numPr>
                <w:ilvl w:val="0"/>
                <w:numId w:val="45"/>
              </w:numPr>
              <w:autoSpaceDE w:val="0"/>
              <w:autoSpaceDN w:val="0"/>
              <w:adjustRightInd w:val="0"/>
              <w:ind w:left="317" w:hanging="283"/>
              <w:contextualSpacing/>
              <w:rPr>
                <w:rFonts w:asciiTheme="minorHAnsi" w:hAnsiTheme="minorHAnsi" w:cs="Arial"/>
                <w:bCs/>
                <w:color w:val="000000" w:themeColor="text1"/>
                <w:sz w:val="20"/>
                <w:szCs w:val="20"/>
              </w:rPr>
            </w:pPr>
            <w:r w:rsidRPr="00384052">
              <w:rPr>
                <w:rFonts w:asciiTheme="minorHAnsi" w:hAnsiTheme="minorHAnsi" w:cs="Arial"/>
                <w:bCs/>
                <w:color w:val="000000" w:themeColor="text1"/>
                <w:sz w:val="20"/>
                <w:szCs w:val="20"/>
              </w:rPr>
              <w:t>That the Council notes that these Asset Management Plans:</w:t>
            </w:r>
          </w:p>
          <w:p w14:paraId="5BB55231" w14:textId="77777777" w:rsidR="008A350B" w:rsidRPr="00384052" w:rsidRDefault="008A350B" w:rsidP="00B22528">
            <w:pPr>
              <w:pStyle w:val="ListParagraph"/>
              <w:numPr>
                <w:ilvl w:val="1"/>
                <w:numId w:val="46"/>
              </w:numPr>
              <w:autoSpaceDE w:val="0"/>
              <w:autoSpaceDN w:val="0"/>
              <w:adjustRightInd w:val="0"/>
              <w:ind w:left="601" w:hanging="284"/>
              <w:contextualSpacing/>
              <w:rPr>
                <w:rFonts w:asciiTheme="minorHAnsi" w:hAnsiTheme="minorHAnsi" w:cs="Arial"/>
                <w:bCs/>
                <w:color w:val="000000" w:themeColor="text1"/>
                <w:sz w:val="20"/>
                <w:szCs w:val="20"/>
              </w:rPr>
            </w:pPr>
            <w:r w:rsidRPr="00384052">
              <w:rPr>
                <w:rFonts w:asciiTheme="minorHAnsi" w:hAnsiTheme="minorHAnsi" w:cs="Arial"/>
                <w:bCs/>
                <w:color w:val="000000" w:themeColor="text1"/>
                <w:sz w:val="20"/>
                <w:szCs w:val="20"/>
              </w:rPr>
              <w:t>are a legislative requirement under the NSW Integrated Planning and Reporting framework;</w:t>
            </w:r>
          </w:p>
          <w:p w14:paraId="561F017C" w14:textId="77777777" w:rsidR="008A350B" w:rsidRPr="00384052" w:rsidRDefault="008A350B" w:rsidP="00B22528">
            <w:pPr>
              <w:pStyle w:val="ListParagraph"/>
              <w:numPr>
                <w:ilvl w:val="1"/>
                <w:numId w:val="46"/>
              </w:numPr>
              <w:autoSpaceDE w:val="0"/>
              <w:autoSpaceDN w:val="0"/>
              <w:adjustRightInd w:val="0"/>
              <w:ind w:left="601" w:hanging="284"/>
              <w:contextualSpacing/>
              <w:rPr>
                <w:rFonts w:asciiTheme="minorHAnsi" w:hAnsiTheme="minorHAnsi" w:cs="Arial"/>
                <w:bCs/>
                <w:color w:val="000000" w:themeColor="text1"/>
                <w:sz w:val="20"/>
                <w:szCs w:val="20"/>
              </w:rPr>
            </w:pPr>
            <w:r w:rsidRPr="00384052">
              <w:rPr>
                <w:rFonts w:asciiTheme="minorHAnsi" w:hAnsiTheme="minorHAnsi" w:cs="Arial"/>
                <w:bCs/>
                <w:color w:val="000000" w:themeColor="text1"/>
                <w:sz w:val="20"/>
                <w:szCs w:val="20"/>
              </w:rPr>
              <w:t>are “living documents” that will be reviewed and updated annually to support sound asset management planning, risk management and cost effective asset resource allocation;</w:t>
            </w:r>
          </w:p>
          <w:p w14:paraId="7E88CA29" w14:textId="77777777" w:rsidR="008A350B" w:rsidRPr="00384052" w:rsidRDefault="008A350B" w:rsidP="00B22528">
            <w:pPr>
              <w:pStyle w:val="ListParagraph"/>
              <w:numPr>
                <w:ilvl w:val="1"/>
                <w:numId w:val="46"/>
              </w:numPr>
              <w:autoSpaceDE w:val="0"/>
              <w:autoSpaceDN w:val="0"/>
              <w:adjustRightInd w:val="0"/>
              <w:ind w:left="601" w:hanging="284"/>
              <w:contextualSpacing/>
              <w:rPr>
                <w:rFonts w:asciiTheme="minorHAnsi" w:hAnsiTheme="minorHAnsi" w:cs="Arial"/>
                <w:bCs/>
                <w:color w:val="000000" w:themeColor="text1"/>
                <w:sz w:val="20"/>
                <w:szCs w:val="20"/>
              </w:rPr>
            </w:pPr>
            <w:r w:rsidRPr="00384052">
              <w:rPr>
                <w:rFonts w:asciiTheme="minorHAnsi" w:hAnsiTheme="minorHAnsi" w:cs="Arial"/>
                <w:bCs/>
                <w:color w:val="000000" w:themeColor="text1"/>
                <w:sz w:val="20"/>
                <w:szCs w:val="20"/>
              </w:rPr>
              <w:t>outline the asset activities required for different service areas of the Council; and</w:t>
            </w:r>
          </w:p>
          <w:p w14:paraId="60C0781C" w14:textId="77777777" w:rsidR="008A350B" w:rsidRPr="00384052" w:rsidRDefault="008A350B" w:rsidP="00B22528">
            <w:pPr>
              <w:pStyle w:val="ListParagraph"/>
              <w:numPr>
                <w:ilvl w:val="1"/>
                <w:numId w:val="46"/>
              </w:numPr>
              <w:autoSpaceDE w:val="0"/>
              <w:autoSpaceDN w:val="0"/>
              <w:adjustRightInd w:val="0"/>
              <w:ind w:left="601" w:hanging="284"/>
              <w:contextualSpacing/>
              <w:rPr>
                <w:rFonts w:asciiTheme="minorHAnsi" w:hAnsiTheme="minorHAnsi" w:cs="Arial"/>
                <w:bCs/>
                <w:color w:val="000000" w:themeColor="text1"/>
                <w:sz w:val="20"/>
                <w:szCs w:val="20"/>
              </w:rPr>
            </w:pPr>
            <w:r w:rsidRPr="00384052">
              <w:rPr>
                <w:rFonts w:asciiTheme="minorHAnsi" w:hAnsiTheme="minorHAnsi" w:cs="Arial"/>
                <w:bCs/>
                <w:color w:val="000000" w:themeColor="text1"/>
                <w:sz w:val="20"/>
                <w:szCs w:val="20"/>
              </w:rPr>
              <w:t>identify affordable levels of asset service delivery in line with the Council’s adopted 10 year Resourcing Strategy.</w:t>
            </w:r>
          </w:p>
          <w:p w14:paraId="52CCB5B1" w14:textId="77777777" w:rsidR="008A350B" w:rsidRPr="00384052" w:rsidRDefault="008A350B" w:rsidP="008A350B">
            <w:pPr>
              <w:autoSpaceDE w:val="0"/>
              <w:autoSpaceDN w:val="0"/>
              <w:adjustRightInd w:val="0"/>
              <w:rPr>
                <w:rFonts w:asciiTheme="minorHAnsi" w:eastAsiaTheme="minorHAnsi" w:hAnsiTheme="minorHAnsi" w:cs="Arial"/>
                <w:b/>
                <w:bCs/>
                <w:color w:val="000000" w:themeColor="text1"/>
                <w:sz w:val="20"/>
                <w:szCs w:val="20"/>
                <w:u w:val="single"/>
                <w:lang w:eastAsia="en-US"/>
              </w:rPr>
            </w:pPr>
            <w:r w:rsidRPr="00384052">
              <w:rPr>
                <w:rFonts w:asciiTheme="minorHAnsi" w:eastAsiaTheme="minorHAnsi" w:hAnsiTheme="minorHAnsi" w:cs="Arial"/>
                <w:bCs/>
                <w:color w:val="000000" w:themeColor="text1"/>
                <w:sz w:val="20"/>
                <w:szCs w:val="20"/>
                <w:lang w:eastAsia="en-US"/>
              </w:rPr>
              <w:t>[Minute No. 7, 27/1/15]</w:t>
            </w:r>
          </w:p>
        </w:tc>
      </w:tr>
    </w:tbl>
    <w:p w14:paraId="03BE286E" w14:textId="77777777" w:rsidR="008A350B" w:rsidRDefault="008A350B" w:rsidP="008A350B">
      <w:pPr>
        <w:rPr>
          <w:rFonts w:ascii="Arial" w:hAnsi="Arial" w:cs="Arial"/>
          <w:sz w:val="20"/>
          <w:szCs w:val="20"/>
        </w:rPr>
      </w:pPr>
    </w:p>
    <w:p w14:paraId="0C5898A1" w14:textId="77777777" w:rsidR="005B4428" w:rsidRDefault="005B4428" w:rsidP="008A350B">
      <w:pPr>
        <w:rPr>
          <w:rFonts w:ascii="Arial" w:hAnsi="Arial" w:cs="Arial"/>
          <w:sz w:val="20"/>
          <w:szCs w:val="20"/>
        </w:rPr>
      </w:pPr>
    </w:p>
    <w:p w14:paraId="44BCE4A5" w14:textId="49FCFFF4" w:rsidR="00697ACC" w:rsidRPr="002C41FE" w:rsidRDefault="0053356A" w:rsidP="00697ACC">
      <w:pPr>
        <w:pStyle w:val="BodyText"/>
        <w:rPr>
          <w:rFonts w:ascii="Arial" w:hAnsi="Arial" w:cs="Arial"/>
          <w:b/>
          <w:sz w:val="18"/>
          <w:szCs w:val="18"/>
        </w:rPr>
      </w:pPr>
      <w:r w:rsidRPr="002C41FE">
        <w:rPr>
          <w:rFonts w:ascii="Arial" w:hAnsi="Arial" w:cs="Arial"/>
          <w:b/>
          <w:sz w:val="18"/>
          <w:szCs w:val="18"/>
        </w:rPr>
        <w:t>Table 6.2</w:t>
      </w:r>
      <w:r w:rsidR="00EB27AC" w:rsidRPr="002C41FE">
        <w:rPr>
          <w:rFonts w:ascii="Arial" w:hAnsi="Arial" w:cs="Arial"/>
          <w:b/>
          <w:sz w:val="18"/>
          <w:szCs w:val="18"/>
        </w:rPr>
        <w:t>:</w:t>
      </w:r>
      <w:r w:rsidR="00697ACC" w:rsidRPr="002C41FE">
        <w:rPr>
          <w:rFonts w:ascii="Arial" w:hAnsi="Arial" w:cs="Arial"/>
          <w:b/>
          <w:sz w:val="18"/>
          <w:szCs w:val="18"/>
        </w:rPr>
        <w:t xml:space="preserve"> Document reference for Assessment Criteria 4</w:t>
      </w:r>
    </w:p>
    <w:tbl>
      <w:tblPr>
        <w:tblStyle w:val="TableGrid"/>
        <w:tblW w:w="0" w:type="auto"/>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418"/>
        <w:gridCol w:w="7087"/>
      </w:tblGrid>
      <w:tr w:rsidR="00697ACC" w:rsidRPr="000B344C" w14:paraId="0C3619AF" w14:textId="77777777" w:rsidTr="00905124">
        <w:trPr>
          <w:trHeight w:val="454"/>
        </w:trPr>
        <w:tc>
          <w:tcPr>
            <w:tcW w:w="1418" w:type="dxa"/>
            <w:shd w:val="clear" w:color="auto" w:fill="365F91" w:themeFill="accent1" w:themeFillShade="BF"/>
            <w:vAlign w:val="center"/>
          </w:tcPr>
          <w:p w14:paraId="1D9C598C" w14:textId="77777777" w:rsidR="00697ACC" w:rsidRPr="002C41FE" w:rsidRDefault="00697ACC" w:rsidP="00905124">
            <w:pPr>
              <w:pStyle w:val="Default"/>
              <w:spacing w:before="40" w:after="40"/>
              <w:jc w:val="center"/>
              <w:rPr>
                <w:b/>
                <w:color w:val="FFFFFF" w:themeColor="background1"/>
                <w:sz w:val="20"/>
                <w:szCs w:val="20"/>
              </w:rPr>
            </w:pPr>
            <w:r w:rsidRPr="002C41FE">
              <w:rPr>
                <w:b/>
                <w:color w:val="FFFFFF" w:themeColor="background1"/>
                <w:sz w:val="20"/>
                <w:szCs w:val="20"/>
              </w:rPr>
              <w:t>Attachment No.</w:t>
            </w:r>
          </w:p>
        </w:tc>
        <w:tc>
          <w:tcPr>
            <w:tcW w:w="7087" w:type="dxa"/>
            <w:shd w:val="clear" w:color="auto" w:fill="365F91" w:themeFill="accent1" w:themeFillShade="BF"/>
            <w:vAlign w:val="center"/>
          </w:tcPr>
          <w:p w14:paraId="12240DE7" w14:textId="77777777" w:rsidR="00697ACC" w:rsidRPr="002C41FE" w:rsidRDefault="00697ACC" w:rsidP="00905124">
            <w:pPr>
              <w:pStyle w:val="Default"/>
              <w:spacing w:before="40" w:after="40"/>
              <w:jc w:val="center"/>
              <w:rPr>
                <w:b/>
                <w:color w:val="FFFFFF" w:themeColor="background1"/>
                <w:sz w:val="20"/>
                <w:szCs w:val="20"/>
              </w:rPr>
            </w:pPr>
            <w:r w:rsidRPr="002C41FE">
              <w:rPr>
                <w:b/>
                <w:color w:val="FFFFFF" w:themeColor="background1"/>
                <w:sz w:val="20"/>
                <w:szCs w:val="20"/>
              </w:rPr>
              <w:t>Document</w:t>
            </w:r>
          </w:p>
        </w:tc>
      </w:tr>
      <w:tr w:rsidR="00697ACC" w:rsidRPr="000B344C" w14:paraId="396940F0" w14:textId="77777777" w:rsidTr="00905124">
        <w:tc>
          <w:tcPr>
            <w:tcW w:w="1418" w:type="dxa"/>
            <w:shd w:val="clear" w:color="auto" w:fill="DBE5F1" w:themeFill="accent1" w:themeFillTint="33"/>
            <w:vAlign w:val="center"/>
          </w:tcPr>
          <w:p w14:paraId="1283FBFC" w14:textId="7B527645" w:rsidR="00697ACC" w:rsidRPr="002C41FE" w:rsidRDefault="00697ACC" w:rsidP="00905124">
            <w:pPr>
              <w:pStyle w:val="Default"/>
              <w:spacing w:before="40" w:after="40"/>
              <w:jc w:val="center"/>
              <w:rPr>
                <w:sz w:val="20"/>
                <w:szCs w:val="20"/>
              </w:rPr>
            </w:pPr>
            <w:r w:rsidRPr="002C41FE">
              <w:rPr>
                <w:sz w:val="20"/>
                <w:szCs w:val="20"/>
              </w:rPr>
              <w:t>1</w:t>
            </w:r>
          </w:p>
        </w:tc>
        <w:tc>
          <w:tcPr>
            <w:tcW w:w="7087" w:type="dxa"/>
            <w:shd w:val="clear" w:color="auto" w:fill="DBE5F1" w:themeFill="accent1" w:themeFillTint="33"/>
            <w:vAlign w:val="center"/>
          </w:tcPr>
          <w:p w14:paraId="6C66A8DE" w14:textId="356E1BF5" w:rsidR="00697ACC" w:rsidRPr="002C41FE" w:rsidRDefault="00697ACC" w:rsidP="00905124">
            <w:pPr>
              <w:pStyle w:val="Default"/>
              <w:spacing w:before="40" w:after="40"/>
              <w:rPr>
                <w:sz w:val="20"/>
                <w:szCs w:val="20"/>
              </w:rPr>
            </w:pPr>
            <w:r w:rsidRPr="002C41FE">
              <w:rPr>
                <w:sz w:val="20"/>
                <w:szCs w:val="20"/>
              </w:rPr>
              <w:t>Relevant extracts for the Community Strategic Plan</w:t>
            </w:r>
          </w:p>
        </w:tc>
      </w:tr>
      <w:tr w:rsidR="00697ACC" w:rsidRPr="000B344C" w14:paraId="3C8E3B9E" w14:textId="77777777" w:rsidTr="00905124">
        <w:tc>
          <w:tcPr>
            <w:tcW w:w="1418" w:type="dxa"/>
            <w:shd w:val="clear" w:color="auto" w:fill="DBE5F1" w:themeFill="accent1" w:themeFillTint="33"/>
            <w:vAlign w:val="center"/>
          </w:tcPr>
          <w:p w14:paraId="15ED0D6F" w14:textId="60151B8E" w:rsidR="00697ACC" w:rsidRPr="002C41FE" w:rsidRDefault="00697ACC" w:rsidP="00905124">
            <w:pPr>
              <w:pStyle w:val="Default"/>
              <w:spacing w:before="40" w:after="40"/>
              <w:jc w:val="center"/>
              <w:rPr>
                <w:sz w:val="20"/>
                <w:szCs w:val="20"/>
              </w:rPr>
            </w:pPr>
            <w:r w:rsidRPr="002C41FE">
              <w:rPr>
                <w:sz w:val="20"/>
                <w:szCs w:val="20"/>
              </w:rPr>
              <w:t>8</w:t>
            </w:r>
          </w:p>
        </w:tc>
        <w:tc>
          <w:tcPr>
            <w:tcW w:w="7087" w:type="dxa"/>
            <w:shd w:val="clear" w:color="auto" w:fill="DBE5F1" w:themeFill="accent1" w:themeFillTint="33"/>
            <w:vAlign w:val="center"/>
          </w:tcPr>
          <w:p w14:paraId="4229116C" w14:textId="54A4B426" w:rsidR="00697ACC" w:rsidRPr="002C41FE" w:rsidRDefault="00697ACC" w:rsidP="00905124">
            <w:pPr>
              <w:pStyle w:val="Default"/>
              <w:spacing w:before="40" w:after="40"/>
              <w:rPr>
                <w:sz w:val="20"/>
                <w:szCs w:val="20"/>
              </w:rPr>
            </w:pPr>
            <w:r w:rsidRPr="002C41FE">
              <w:rPr>
                <w:sz w:val="20"/>
                <w:szCs w:val="20"/>
              </w:rPr>
              <w:t>Resolution to apply for a special variation</w:t>
            </w:r>
          </w:p>
        </w:tc>
      </w:tr>
      <w:tr w:rsidR="00697ACC" w:rsidRPr="000B344C" w14:paraId="08EB50FB" w14:textId="77777777" w:rsidTr="00905124">
        <w:tc>
          <w:tcPr>
            <w:tcW w:w="1418" w:type="dxa"/>
            <w:shd w:val="clear" w:color="auto" w:fill="DBE5F1" w:themeFill="accent1" w:themeFillTint="33"/>
            <w:vAlign w:val="center"/>
          </w:tcPr>
          <w:p w14:paraId="3791FF01" w14:textId="732E1A94" w:rsidR="00697ACC" w:rsidRPr="002C41FE" w:rsidRDefault="00697ACC" w:rsidP="00905124">
            <w:pPr>
              <w:pStyle w:val="Default"/>
              <w:spacing w:before="40" w:after="40"/>
              <w:jc w:val="center"/>
              <w:rPr>
                <w:sz w:val="20"/>
                <w:szCs w:val="20"/>
              </w:rPr>
            </w:pPr>
            <w:r w:rsidRPr="002C41FE">
              <w:rPr>
                <w:sz w:val="20"/>
                <w:szCs w:val="20"/>
              </w:rPr>
              <w:t>11</w:t>
            </w:r>
          </w:p>
        </w:tc>
        <w:tc>
          <w:tcPr>
            <w:tcW w:w="7087" w:type="dxa"/>
            <w:shd w:val="clear" w:color="auto" w:fill="DBE5F1" w:themeFill="accent1" w:themeFillTint="33"/>
            <w:vAlign w:val="center"/>
          </w:tcPr>
          <w:p w14:paraId="76F0A4B3" w14:textId="1C088FEB" w:rsidR="00697ACC" w:rsidRPr="002C41FE" w:rsidRDefault="00697ACC" w:rsidP="00905124">
            <w:pPr>
              <w:pStyle w:val="Default"/>
              <w:spacing w:before="40" w:after="40"/>
              <w:rPr>
                <w:sz w:val="20"/>
                <w:szCs w:val="20"/>
              </w:rPr>
            </w:pPr>
            <w:r w:rsidRPr="002C41FE">
              <w:rPr>
                <w:sz w:val="20"/>
                <w:szCs w:val="20"/>
              </w:rPr>
              <w:t>Instrument of Approval for Environment Levy</w:t>
            </w:r>
          </w:p>
        </w:tc>
      </w:tr>
      <w:tr w:rsidR="009E2FB7" w:rsidRPr="000B344C" w14:paraId="7DDB9B0A" w14:textId="77777777" w:rsidTr="00905124">
        <w:tc>
          <w:tcPr>
            <w:tcW w:w="1418" w:type="dxa"/>
            <w:shd w:val="clear" w:color="auto" w:fill="DBE5F1" w:themeFill="accent1" w:themeFillTint="33"/>
            <w:vAlign w:val="center"/>
          </w:tcPr>
          <w:p w14:paraId="4F272838" w14:textId="6CD7BC8D" w:rsidR="009E2FB7" w:rsidRPr="002C41FE" w:rsidRDefault="009E2FB7" w:rsidP="00905124">
            <w:pPr>
              <w:pStyle w:val="Default"/>
              <w:spacing w:before="40" w:after="40"/>
              <w:jc w:val="center"/>
              <w:rPr>
                <w:sz w:val="20"/>
                <w:szCs w:val="20"/>
              </w:rPr>
            </w:pPr>
            <w:r w:rsidRPr="002C41FE">
              <w:rPr>
                <w:sz w:val="20"/>
                <w:szCs w:val="20"/>
              </w:rPr>
              <w:t>12</w:t>
            </w:r>
          </w:p>
        </w:tc>
        <w:tc>
          <w:tcPr>
            <w:tcW w:w="7087" w:type="dxa"/>
            <w:shd w:val="clear" w:color="auto" w:fill="DBE5F1" w:themeFill="accent1" w:themeFillTint="33"/>
            <w:vAlign w:val="center"/>
          </w:tcPr>
          <w:p w14:paraId="2C3EBCBE" w14:textId="2B69590C" w:rsidR="009E2FB7" w:rsidRPr="002C41FE" w:rsidRDefault="009E2FB7" w:rsidP="00905124">
            <w:pPr>
              <w:pStyle w:val="Default"/>
              <w:spacing w:before="40" w:after="40"/>
              <w:rPr>
                <w:sz w:val="20"/>
                <w:szCs w:val="20"/>
              </w:rPr>
            </w:pPr>
            <w:r w:rsidRPr="002C41FE">
              <w:rPr>
                <w:sz w:val="20"/>
                <w:szCs w:val="20"/>
              </w:rPr>
              <w:t>Resolution to adopt IP&amp;R documents</w:t>
            </w:r>
          </w:p>
        </w:tc>
      </w:tr>
    </w:tbl>
    <w:p w14:paraId="0796F18A" w14:textId="77777777" w:rsidR="00697ACC" w:rsidRPr="000B344C" w:rsidRDefault="00697ACC" w:rsidP="008A350B">
      <w:pPr>
        <w:rPr>
          <w:rFonts w:ascii="Arial" w:hAnsi="Arial" w:cs="Arial"/>
          <w:sz w:val="20"/>
          <w:szCs w:val="20"/>
        </w:rPr>
      </w:pPr>
    </w:p>
    <w:p w14:paraId="3DE40FF0" w14:textId="77777777" w:rsidR="005B4428" w:rsidRPr="005B4428" w:rsidRDefault="005B4428" w:rsidP="008A350B">
      <w:pPr>
        <w:rPr>
          <w:rFonts w:ascii="Arial" w:hAnsi="Arial" w:cs="Arial"/>
          <w:sz w:val="20"/>
          <w:szCs w:val="20"/>
        </w:rPr>
      </w:pPr>
    </w:p>
    <w:p w14:paraId="18D7052D" w14:textId="04F3D5D7" w:rsidR="00303275" w:rsidRDefault="00303275">
      <w:pPr>
        <w:rPr>
          <w:rFonts w:ascii="Arial" w:hAnsi="Arial" w:cs="Arial"/>
          <w:b/>
          <w:bCs/>
          <w:color w:val="00408A"/>
          <w:kern w:val="32"/>
          <w:sz w:val="30"/>
          <w:szCs w:val="30"/>
        </w:rPr>
      </w:pPr>
      <w:r>
        <w:br w:type="page"/>
      </w:r>
    </w:p>
    <w:p w14:paraId="18D7052E" w14:textId="77777777" w:rsidR="00D60EA5" w:rsidRDefault="00D60EA5" w:rsidP="00D60EA5">
      <w:pPr>
        <w:pStyle w:val="Heading1"/>
      </w:pPr>
      <w:bookmarkStart w:id="101" w:name="_Toc412798931"/>
      <w:r>
        <w:t>Assessment criterion 5: Productivity improvements and cost containment strategies</w:t>
      </w:r>
      <w:bookmarkEnd w:id="101"/>
    </w:p>
    <w:p w14:paraId="18D7052F" w14:textId="77777777" w:rsidR="00D60EA5" w:rsidRPr="0022340E" w:rsidRDefault="00235528" w:rsidP="0022340E">
      <w:pPr>
        <w:pStyle w:val="BodyText"/>
        <w:spacing w:after="240" w:line="240" w:lineRule="auto"/>
        <w:rPr>
          <w:color w:val="548DD4" w:themeColor="text2" w:themeTint="99"/>
          <w:sz w:val="20"/>
          <w:szCs w:val="20"/>
        </w:rPr>
      </w:pPr>
      <w:r w:rsidRPr="0022340E">
        <w:rPr>
          <w:color w:val="548DD4" w:themeColor="text2" w:themeTint="99"/>
          <w:sz w:val="20"/>
          <w:szCs w:val="20"/>
        </w:rPr>
        <w:t>Criterion 5 within t</w:t>
      </w:r>
      <w:r w:rsidR="00D60EA5" w:rsidRPr="0022340E">
        <w:rPr>
          <w:color w:val="548DD4" w:themeColor="text2" w:themeTint="99"/>
          <w:sz w:val="20"/>
          <w:szCs w:val="20"/>
        </w:rPr>
        <w:t xml:space="preserve">he </w:t>
      </w:r>
      <w:r w:rsidR="00540000" w:rsidRPr="0022340E">
        <w:rPr>
          <w:color w:val="548DD4" w:themeColor="text2" w:themeTint="99"/>
          <w:sz w:val="20"/>
          <w:szCs w:val="20"/>
        </w:rPr>
        <w:t>O</w:t>
      </w:r>
      <w:r w:rsidR="00D60EA5" w:rsidRPr="0022340E">
        <w:rPr>
          <w:color w:val="548DD4" w:themeColor="text2" w:themeTint="99"/>
          <w:sz w:val="20"/>
          <w:szCs w:val="20"/>
        </w:rPr>
        <w:t xml:space="preserve">LG Guidelines </w:t>
      </w:r>
      <w:r w:rsidRPr="0022340E">
        <w:rPr>
          <w:color w:val="548DD4" w:themeColor="text2" w:themeTint="99"/>
          <w:sz w:val="20"/>
          <w:szCs w:val="20"/>
        </w:rPr>
        <w:t>is</w:t>
      </w:r>
      <w:r w:rsidR="00D60EA5" w:rsidRPr="0022340E">
        <w:rPr>
          <w:color w:val="548DD4" w:themeColor="text2" w:themeTint="99"/>
          <w:sz w:val="20"/>
          <w:szCs w:val="20"/>
        </w:rPr>
        <w:t>:</w:t>
      </w:r>
    </w:p>
    <w:p w14:paraId="18D70530" w14:textId="77777777" w:rsidR="00D60EA5" w:rsidRPr="0022340E" w:rsidRDefault="000C61B6" w:rsidP="0022340E">
      <w:pPr>
        <w:pStyle w:val="Quote"/>
        <w:spacing w:line="240" w:lineRule="auto"/>
        <w:rPr>
          <w:rFonts w:ascii="Arial" w:hAnsi="Arial"/>
          <w:i/>
          <w:color w:val="548DD4" w:themeColor="text2" w:themeTint="99"/>
          <w:szCs w:val="20"/>
        </w:rPr>
      </w:pPr>
      <w:r w:rsidRPr="0022340E">
        <w:rPr>
          <w:rFonts w:ascii="Arial" w:hAnsi="Arial"/>
          <w:i/>
          <w:color w:val="548DD4" w:themeColor="text2" w:themeTint="99"/>
          <w:szCs w:val="20"/>
        </w:rPr>
        <w:t xml:space="preserve">The IP&amp;R document or the council’s application must explain the productivity improvements </w:t>
      </w:r>
      <w:r w:rsidR="00E85A60" w:rsidRPr="0022340E">
        <w:rPr>
          <w:rFonts w:ascii="Arial" w:hAnsi="Arial"/>
          <w:i/>
          <w:color w:val="548DD4" w:themeColor="text2" w:themeTint="99"/>
          <w:szCs w:val="20"/>
        </w:rPr>
        <w:t xml:space="preserve">and cost containment strategies </w:t>
      </w:r>
      <w:r w:rsidRPr="0022340E">
        <w:rPr>
          <w:rFonts w:ascii="Arial" w:hAnsi="Arial"/>
          <w:i/>
          <w:color w:val="548DD4" w:themeColor="text2" w:themeTint="99"/>
          <w:szCs w:val="20"/>
        </w:rPr>
        <w:t>the council has realised in past years, and plans to realise over the proposed special variation period</w:t>
      </w:r>
      <w:r w:rsidR="00D60EA5" w:rsidRPr="0022340E">
        <w:rPr>
          <w:rFonts w:ascii="Arial" w:hAnsi="Arial"/>
          <w:i/>
          <w:color w:val="548DD4" w:themeColor="text2" w:themeTint="99"/>
          <w:szCs w:val="20"/>
        </w:rPr>
        <w:t>.</w:t>
      </w:r>
    </w:p>
    <w:p w14:paraId="18D70531" w14:textId="77777777" w:rsidR="003035AF" w:rsidRPr="0022340E" w:rsidRDefault="00D60EA5" w:rsidP="0022340E">
      <w:pPr>
        <w:pStyle w:val="BodyText"/>
        <w:spacing w:line="240" w:lineRule="auto"/>
        <w:rPr>
          <w:color w:val="548DD4" w:themeColor="text2" w:themeTint="99"/>
          <w:sz w:val="20"/>
          <w:szCs w:val="20"/>
        </w:rPr>
      </w:pPr>
      <w:r w:rsidRPr="0022340E">
        <w:rPr>
          <w:color w:val="548DD4" w:themeColor="text2" w:themeTint="99"/>
          <w:sz w:val="20"/>
          <w:szCs w:val="20"/>
        </w:rPr>
        <w:t xml:space="preserve">In this section, </w:t>
      </w:r>
      <w:r w:rsidR="00303275" w:rsidRPr="0022340E">
        <w:rPr>
          <w:color w:val="548DD4" w:themeColor="text2" w:themeTint="99"/>
          <w:sz w:val="20"/>
          <w:szCs w:val="20"/>
        </w:rPr>
        <w:t xml:space="preserve">you must </w:t>
      </w:r>
      <w:r w:rsidRPr="0022340E">
        <w:rPr>
          <w:color w:val="548DD4" w:themeColor="text2" w:themeTint="99"/>
          <w:sz w:val="20"/>
          <w:szCs w:val="20"/>
        </w:rPr>
        <w:t xml:space="preserve">provide details of any productivity improvements and cost containment strategies that you have implemented in the last </w:t>
      </w:r>
      <w:r w:rsidR="006D3A62" w:rsidRPr="0022340E">
        <w:rPr>
          <w:color w:val="548DD4" w:themeColor="text2" w:themeTint="99"/>
          <w:sz w:val="20"/>
          <w:szCs w:val="20"/>
        </w:rPr>
        <w:t>two</w:t>
      </w:r>
      <w:r w:rsidRPr="0022340E">
        <w:rPr>
          <w:color w:val="548DD4" w:themeColor="text2" w:themeTint="99"/>
          <w:sz w:val="20"/>
          <w:szCs w:val="20"/>
        </w:rPr>
        <w:t xml:space="preserve"> years (or longer) and any plans for productivity improvements and cost containment during the period of the special variation.  </w:t>
      </w:r>
    </w:p>
    <w:p w14:paraId="18D70532" w14:textId="62C2D801" w:rsidR="00D60EA5" w:rsidRPr="0022340E" w:rsidRDefault="00D60EA5" w:rsidP="0022340E">
      <w:pPr>
        <w:pStyle w:val="BodyText"/>
        <w:spacing w:line="240" w:lineRule="auto"/>
        <w:rPr>
          <w:bCs/>
          <w:color w:val="548DD4" w:themeColor="text2" w:themeTint="99"/>
          <w:sz w:val="20"/>
          <w:szCs w:val="20"/>
        </w:rPr>
      </w:pPr>
      <w:r w:rsidRPr="0022340E">
        <w:rPr>
          <w:color w:val="548DD4" w:themeColor="text2" w:themeTint="99"/>
          <w:sz w:val="20"/>
          <w:szCs w:val="20"/>
        </w:rPr>
        <w:t xml:space="preserve">These </w:t>
      </w:r>
      <w:r w:rsidR="00235528" w:rsidRPr="0022340E">
        <w:rPr>
          <w:color w:val="548DD4" w:themeColor="text2" w:themeTint="99"/>
          <w:sz w:val="20"/>
          <w:szCs w:val="20"/>
        </w:rPr>
        <w:t>strategies</w:t>
      </w:r>
      <w:r w:rsidRPr="0022340E">
        <w:rPr>
          <w:color w:val="548DD4" w:themeColor="text2" w:themeTint="99"/>
          <w:sz w:val="20"/>
          <w:szCs w:val="20"/>
        </w:rPr>
        <w:t xml:space="preserve">, </w:t>
      </w:r>
      <w:r w:rsidR="00235528" w:rsidRPr="0022340E">
        <w:rPr>
          <w:color w:val="548DD4" w:themeColor="text2" w:themeTint="99"/>
          <w:sz w:val="20"/>
          <w:szCs w:val="20"/>
        </w:rPr>
        <w:t xml:space="preserve">which may be </w:t>
      </w:r>
      <w:r w:rsidRPr="0022340E">
        <w:rPr>
          <w:color w:val="548DD4" w:themeColor="text2" w:themeTint="99"/>
          <w:sz w:val="20"/>
          <w:szCs w:val="20"/>
        </w:rPr>
        <w:t>capital or recurrent in nature, must be aimed at reducing costs</w:t>
      </w:r>
      <w:r w:rsidR="00235528" w:rsidRPr="0022340E">
        <w:rPr>
          <w:color w:val="548DD4" w:themeColor="text2" w:themeTint="99"/>
          <w:sz w:val="20"/>
          <w:szCs w:val="20"/>
        </w:rPr>
        <w:t xml:space="preserve"> and/or improving efficiency</w:t>
      </w:r>
      <w:r w:rsidRPr="0022340E">
        <w:rPr>
          <w:color w:val="548DD4" w:themeColor="text2" w:themeTint="99"/>
          <w:sz w:val="20"/>
          <w:szCs w:val="20"/>
        </w:rPr>
        <w:t>.</w:t>
      </w:r>
      <w:r w:rsidR="00F413CE" w:rsidRPr="0022340E">
        <w:rPr>
          <w:color w:val="548DD4" w:themeColor="text2" w:themeTint="99"/>
          <w:sz w:val="20"/>
          <w:szCs w:val="20"/>
        </w:rPr>
        <w:t xml:space="preserve">  I</w:t>
      </w:r>
      <w:r w:rsidRPr="0022340E">
        <w:rPr>
          <w:color w:val="548DD4" w:themeColor="text2" w:themeTint="99"/>
          <w:sz w:val="20"/>
          <w:szCs w:val="20"/>
        </w:rPr>
        <w:t xml:space="preserve">ndicate </w:t>
      </w:r>
      <w:r w:rsidR="00F413CE" w:rsidRPr="0022340E">
        <w:rPr>
          <w:color w:val="548DD4" w:themeColor="text2" w:themeTint="99"/>
          <w:sz w:val="20"/>
          <w:szCs w:val="20"/>
        </w:rPr>
        <w:t xml:space="preserve">if </w:t>
      </w:r>
      <w:r w:rsidRPr="0022340E">
        <w:rPr>
          <w:color w:val="548DD4" w:themeColor="text2" w:themeTint="99"/>
          <w:sz w:val="20"/>
          <w:szCs w:val="20"/>
        </w:rPr>
        <w:t xml:space="preserve">any initiatives </w:t>
      </w:r>
      <w:r w:rsidR="00F413CE" w:rsidRPr="0022340E">
        <w:rPr>
          <w:color w:val="548DD4" w:themeColor="text2" w:themeTint="99"/>
          <w:sz w:val="20"/>
          <w:szCs w:val="20"/>
        </w:rPr>
        <w:t xml:space="preserve">are </w:t>
      </w:r>
      <w:r w:rsidRPr="0022340E">
        <w:rPr>
          <w:color w:val="548DD4" w:themeColor="text2" w:themeTint="99"/>
          <w:sz w:val="20"/>
          <w:szCs w:val="20"/>
        </w:rPr>
        <w:t>to increase revenue e</w:t>
      </w:r>
      <w:r w:rsidR="00F85003" w:rsidRPr="0022340E">
        <w:rPr>
          <w:color w:val="548DD4" w:themeColor="text2" w:themeTint="99"/>
          <w:sz w:val="20"/>
          <w:szCs w:val="20"/>
        </w:rPr>
        <w:t>.</w:t>
      </w:r>
      <w:r w:rsidRPr="0022340E">
        <w:rPr>
          <w:color w:val="548DD4" w:themeColor="text2" w:themeTint="99"/>
          <w:sz w:val="20"/>
          <w:szCs w:val="20"/>
        </w:rPr>
        <w:t>g</w:t>
      </w:r>
      <w:r w:rsidR="00F85003" w:rsidRPr="0022340E">
        <w:rPr>
          <w:color w:val="548DD4" w:themeColor="text2" w:themeTint="99"/>
          <w:sz w:val="20"/>
          <w:szCs w:val="20"/>
        </w:rPr>
        <w:t>.</w:t>
      </w:r>
      <w:r w:rsidRPr="0022340E">
        <w:rPr>
          <w:color w:val="548DD4" w:themeColor="text2" w:themeTint="99"/>
          <w:sz w:val="20"/>
          <w:szCs w:val="20"/>
        </w:rPr>
        <w:t xml:space="preserve"> user charges.  Identify </w:t>
      </w:r>
      <w:r w:rsidR="00A52804" w:rsidRPr="0022340E">
        <w:rPr>
          <w:color w:val="548DD4" w:themeColor="text2" w:themeTint="99"/>
          <w:sz w:val="20"/>
          <w:szCs w:val="20"/>
        </w:rPr>
        <w:t xml:space="preserve">if the </w:t>
      </w:r>
      <w:r w:rsidRPr="0022340E">
        <w:rPr>
          <w:color w:val="548DD4" w:themeColor="text2" w:themeTint="99"/>
          <w:sz w:val="20"/>
          <w:szCs w:val="20"/>
        </w:rPr>
        <w:t>proposed initiatives</w:t>
      </w:r>
      <w:r w:rsidR="003035AF" w:rsidRPr="0022340E">
        <w:rPr>
          <w:color w:val="548DD4" w:themeColor="text2" w:themeTint="99"/>
          <w:sz w:val="20"/>
          <w:szCs w:val="20"/>
        </w:rPr>
        <w:t xml:space="preserve"> (i</w:t>
      </w:r>
      <w:r w:rsidR="00F85003" w:rsidRPr="0022340E">
        <w:rPr>
          <w:color w:val="548DD4" w:themeColor="text2" w:themeTint="99"/>
          <w:sz w:val="20"/>
          <w:szCs w:val="20"/>
        </w:rPr>
        <w:t>.</w:t>
      </w:r>
      <w:r w:rsidR="003035AF" w:rsidRPr="0022340E">
        <w:rPr>
          <w:color w:val="548DD4" w:themeColor="text2" w:themeTint="99"/>
          <w:sz w:val="20"/>
          <w:szCs w:val="20"/>
        </w:rPr>
        <w:t>e</w:t>
      </w:r>
      <w:r w:rsidR="00F85003" w:rsidRPr="0022340E">
        <w:rPr>
          <w:color w:val="548DD4" w:themeColor="text2" w:themeTint="99"/>
          <w:sz w:val="20"/>
          <w:szCs w:val="20"/>
        </w:rPr>
        <w:t>.</w:t>
      </w:r>
      <w:r w:rsidR="003035AF" w:rsidRPr="0022340E">
        <w:rPr>
          <w:color w:val="548DD4" w:themeColor="text2" w:themeTint="99"/>
          <w:sz w:val="20"/>
          <w:szCs w:val="20"/>
        </w:rPr>
        <w:t xml:space="preserve"> cost savings),</w:t>
      </w:r>
      <w:r w:rsidRPr="0022340E">
        <w:rPr>
          <w:color w:val="548DD4" w:themeColor="text2" w:themeTint="99"/>
          <w:sz w:val="20"/>
          <w:szCs w:val="20"/>
        </w:rPr>
        <w:t xml:space="preserve"> have been factored into the council’s resourcing strategy (</w:t>
      </w:r>
      <w:r w:rsidR="00165AB2" w:rsidRPr="0022340E">
        <w:rPr>
          <w:color w:val="548DD4" w:themeColor="text2" w:themeTint="99"/>
          <w:sz w:val="20"/>
          <w:szCs w:val="20"/>
        </w:rPr>
        <w:t>e.g.</w:t>
      </w:r>
      <w:r w:rsidRPr="0022340E">
        <w:rPr>
          <w:color w:val="548DD4" w:themeColor="text2" w:themeTint="99"/>
          <w:sz w:val="20"/>
          <w:szCs w:val="20"/>
        </w:rPr>
        <w:t>, LTFP and AMP).</w:t>
      </w:r>
    </w:p>
    <w:p w14:paraId="18D70534" w14:textId="5C964C06" w:rsidR="00D60EA5" w:rsidRPr="0022340E" w:rsidRDefault="00D60EA5" w:rsidP="0022340E">
      <w:pPr>
        <w:pStyle w:val="BodyText"/>
        <w:spacing w:line="240" w:lineRule="auto"/>
        <w:rPr>
          <w:color w:val="548DD4" w:themeColor="text2" w:themeTint="99"/>
          <w:sz w:val="20"/>
          <w:szCs w:val="20"/>
        </w:rPr>
      </w:pPr>
      <w:r w:rsidRPr="0022340E">
        <w:rPr>
          <w:color w:val="548DD4" w:themeColor="text2" w:themeTint="99"/>
          <w:sz w:val="20"/>
          <w:szCs w:val="20"/>
        </w:rPr>
        <w:t xml:space="preserve">Where possible, </w:t>
      </w:r>
      <w:r w:rsidR="00D83471" w:rsidRPr="0022340E">
        <w:rPr>
          <w:color w:val="548DD4" w:themeColor="text2" w:themeTint="99"/>
          <w:sz w:val="20"/>
          <w:szCs w:val="20"/>
        </w:rPr>
        <w:t xml:space="preserve">the council is to </w:t>
      </w:r>
      <w:r w:rsidRPr="0022340E">
        <w:rPr>
          <w:color w:val="548DD4" w:themeColor="text2" w:themeTint="99"/>
          <w:sz w:val="20"/>
          <w:szCs w:val="20"/>
        </w:rPr>
        <w:t xml:space="preserve">quantify in dollar terms the past and future productivity improvements and </w:t>
      </w:r>
      <w:r w:rsidR="001F1E22" w:rsidRPr="0022340E">
        <w:rPr>
          <w:color w:val="548DD4" w:themeColor="text2" w:themeTint="99"/>
          <w:sz w:val="20"/>
          <w:szCs w:val="20"/>
        </w:rPr>
        <w:t xml:space="preserve">cost </w:t>
      </w:r>
      <w:r w:rsidRPr="0022340E">
        <w:rPr>
          <w:color w:val="548DD4" w:themeColor="text2" w:themeTint="99"/>
          <w:sz w:val="20"/>
          <w:szCs w:val="20"/>
        </w:rPr>
        <w:t>savings</w:t>
      </w:r>
      <w:r w:rsidR="006D3A62" w:rsidRPr="0022340E">
        <w:rPr>
          <w:color w:val="548DD4" w:themeColor="text2" w:themeTint="99"/>
          <w:sz w:val="20"/>
          <w:szCs w:val="20"/>
        </w:rPr>
        <w:t>.</w:t>
      </w:r>
      <w:r w:rsidR="0022340E">
        <w:rPr>
          <w:color w:val="548DD4" w:themeColor="text2" w:themeTint="99"/>
          <w:sz w:val="20"/>
          <w:szCs w:val="20"/>
        </w:rPr>
        <w:t xml:space="preserve"> </w:t>
      </w:r>
      <w:r w:rsidR="00D83471" w:rsidRPr="0022340E">
        <w:rPr>
          <w:color w:val="548DD4" w:themeColor="text2" w:themeTint="99"/>
          <w:sz w:val="20"/>
          <w:szCs w:val="20"/>
        </w:rPr>
        <w:t xml:space="preserve">The council </w:t>
      </w:r>
      <w:r w:rsidRPr="0022340E">
        <w:rPr>
          <w:color w:val="548DD4" w:themeColor="text2" w:themeTint="99"/>
          <w:sz w:val="20"/>
          <w:szCs w:val="20"/>
        </w:rPr>
        <w:t xml:space="preserve">may also </w:t>
      </w:r>
      <w:r w:rsidR="00D83471" w:rsidRPr="0022340E">
        <w:rPr>
          <w:color w:val="548DD4" w:themeColor="text2" w:themeTint="99"/>
          <w:sz w:val="20"/>
          <w:szCs w:val="20"/>
        </w:rPr>
        <w:t xml:space="preserve">provide </w:t>
      </w:r>
      <w:r w:rsidRPr="0022340E">
        <w:rPr>
          <w:color w:val="548DD4" w:themeColor="text2" w:themeTint="99"/>
          <w:sz w:val="20"/>
          <w:szCs w:val="20"/>
        </w:rPr>
        <w:t xml:space="preserve">indicators of efficiency, either over time or in comparison to other relevant councils.  We will make similar comparisons using various indicators and </w:t>
      </w:r>
      <w:r w:rsidR="00040713" w:rsidRPr="0022340E">
        <w:rPr>
          <w:color w:val="548DD4" w:themeColor="text2" w:themeTint="99"/>
          <w:sz w:val="20"/>
          <w:szCs w:val="20"/>
        </w:rPr>
        <w:t>O</w:t>
      </w:r>
      <w:r w:rsidR="007D6548" w:rsidRPr="0022340E">
        <w:rPr>
          <w:color w:val="548DD4" w:themeColor="text2" w:themeTint="99"/>
          <w:sz w:val="20"/>
          <w:szCs w:val="20"/>
        </w:rPr>
        <w:t xml:space="preserve">LG </w:t>
      </w:r>
      <w:r w:rsidR="006D3A62" w:rsidRPr="0022340E">
        <w:rPr>
          <w:color w:val="548DD4" w:themeColor="text2" w:themeTint="99"/>
          <w:sz w:val="20"/>
          <w:szCs w:val="20"/>
        </w:rPr>
        <w:t>data provided to us.</w:t>
      </w:r>
    </w:p>
    <w:p w14:paraId="4AE65676" w14:textId="714D270C" w:rsidR="001F515C" w:rsidRPr="0012761F" w:rsidRDefault="001F515C" w:rsidP="00F35169">
      <w:pPr>
        <w:pStyle w:val="Heading2"/>
      </w:pPr>
      <w:bookmarkStart w:id="102" w:name="_Toc412798932"/>
      <w:r>
        <w:t>Productivity Improvements and Costs Containment Strategies</w:t>
      </w:r>
      <w:bookmarkEnd w:id="102"/>
      <w:r w:rsidRPr="0012761F">
        <w:t xml:space="preserve"> </w:t>
      </w:r>
    </w:p>
    <w:p w14:paraId="05DABE82" w14:textId="2059C158" w:rsidR="001F515C" w:rsidRPr="00057853" w:rsidRDefault="001F515C" w:rsidP="0022340E">
      <w:pPr>
        <w:pStyle w:val="Heading3"/>
        <w:tabs>
          <w:tab w:val="clear" w:pos="1844"/>
          <w:tab w:val="num" w:pos="1843"/>
        </w:tabs>
        <w:spacing w:line="276" w:lineRule="auto"/>
        <w:ind w:left="709"/>
      </w:pPr>
      <w:r w:rsidRPr="00057853">
        <w:t xml:space="preserve">Introduction </w:t>
      </w:r>
    </w:p>
    <w:p w14:paraId="33CB300F" w14:textId="654AE3A9" w:rsidR="001F515C" w:rsidRPr="00385B9C" w:rsidRDefault="001F515C" w:rsidP="0022340E">
      <w:pPr>
        <w:spacing w:before="240" w:line="276" w:lineRule="auto"/>
        <w:contextualSpacing/>
        <w:jc w:val="both"/>
        <w:rPr>
          <w:rFonts w:ascii="Arial" w:hAnsi="Arial" w:cs="Arial"/>
          <w:bCs/>
          <w:sz w:val="20"/>
          <w:szCs w:val="20"/>
        </w:rPr>
      </w:pPr>
      <w:r w:rsidRPr="00385B9C">
        <w:rPr>
          <w:rFonts w:ascii="Arial" w:hAnsi="Arial" w:cs="Arial"/>
          <w:bCs/>
          <w:sz w:val="20"/>
          <w:szCs w:val="20"/>
        </w:rPr>
        <w:t xml:space="preserve">With a total expenditure budget of $123 million in 2014/15, </w:t>
      </w:r>
      <w:r w:rsidR="00F14EB8" w:rsidRPr="00385B9C">
        <w:rPr>
          <w:rFonts w:ascii="Arial" w:hAnsi="Arial" w:cs="Arial"/>
          <w:bCs/>
          <w:sz w:val="20"/>
          <w:szCs w:val="20"/>
        </w:rPr>
        <w:t>the</w:t>
      </w:r>
      <w:r w:rsidRPr="00385B9C">
        <w:rPr>
          <w:rFonts w:ascii="Arial" w:hAnsi="Arial" w:cs="Arial"/>
          <w:bCs/>
          <w:sz w:val="20"/>
          <w:szCs w:val="20"/>
        </w:rPr>
        <w:t xml:space="preserve"> Council delivers an extensive range of services to a population of approx. 78,000 residents and millions of tourists. </w:t>
      </w:r>
    </w:p>
    <w:p w14:paraId="14FF8296" w14:textId="77777777" w:rsidR="001F515C" w:rsidRPr="00385B9C" w:rsidRDefault="001F515C" w:rsidP="0022340E">
      <w:pPr>
        <w:spacing w:line="276" w:lineRule="auto"/>
        <w:jc w:val="both"/>
        <w:rPr>
          <w:rFonts w:ascii="Arial" w:hAnsi="Arial" w:cs="Arial"/>
          <w:bCs/>
          <w:sz w:val="20"/>
          <w:szCs w:val="20"/>
        </w:rPr>
      </w:pPr>
    </w:p>
    <w:p w14:paraId="29416922" w14:textId="73FF9920" w:rsidR="001F515C" w:rsidRDefault="001F515C" w:rsidP="0022340E">
      <w:pPr>
        <w:spacing w:line="276" w:lineRule="auto"/>
        <w:jc w:val="both"/>
        <w:rPr>
          <w:rFonts w:ascii="Arial" w:hAnsi="Arial" w:cs="Arial"/>
          <w:bCs/>
          <w:sz w:val="20"/>
          <w:szCs w:val="20"/>
        </w:rPr>
      </w:pPr>
      <w:r w:rsidRPr="00385B9C">
        <w:rPr>
          <w:rFonts w:ascii="Arial" w:hAnsi="Arial" w:cs="Arial"/>
          <w:bCs/>
          <w:sz w:val="20"/>
          <w:szCs w:val="20"/>
        </w:rPr>
        <w:t xml:space="preserve">Given that for many years costs have risen </w:t>
      </w:r>
      <w:r w:rsidR="009E5144">
        <w:rPr>
          <w:rFonts w:ascii="Arial" w:hAnsi="Arial" w:cs="Arial"/>
          <w:bCs/>
          <w:sz w:val="20"/>
          <w:szCs w:val="20"/>
        </w:rPr>
        <w:t>f</w:t>
      </w:r>
      <w:r w:rsidRPr="00385B9C">
        <w:rPr>
          <w:rFonts w:ascii="Arial" w:hAnsi="Arial" w:cs="Arial"/>
          <w:bCs/>
          <w:sz w:val="20"/>
          <w:szCs w:val="20"/>
        </w:rPr>
        <w:t>aster than income, the Council has to find annual savings of $1 million to $1.5 million to balance its budget. This in itself has necessitated the achievement of significant costs savings and efficiencies.</w:t>
      </w:r>
    </w:p>
    <w:p w14:paraId="050CC20F" w14:textId="77777777" w:rsidR="00081865" w:rsidRDefault="00081865" w:rsidP="0022340E">
      <w:pPr>
        <w:spacing w:line="276" w:lineRule="auto"/>
        <w:jc w:val="both"/>
        <w:rPr>
          <w:rFonts w:ascii="Arial" w:hAnsi="Arial" w:cs="Arial"/>
          <w:bCs/>
          <w:sz w:val="20"/>
          <w:szCs w:val="20"/>
        </w:rPr>
      </w:pPr>
    </w:p>
    <w:p w14:paraId="483E6C78" w14:textId="592E3B45" w:rsidR="00081865" w:rsidRPr="00385B9C" w:rsidRDefault="00081865" w:rsidP="0022340E">
      <w:pPr>
        <w:spacing w:before="240" w:line="276" w:lineRule="auto"/>
        <w:contextualSpacing/>
        <w:jc w:val="both"/>
        <w:rPr>
          <w:rFonts w:ascii="Arial" w:hAnsi="Arial" w:cs="Arial"/>
          <w:bCs/>
          <w:sz w:val="20"/>
          <w:szCs w:val="20"/>
        </w:rPr>
      </w:pPr>
      <w:r w:rsidRPr="00385B9C">
        <w:rPr>
          <w:rFonts w:ascii="Arial" w:hAnsi="Arial" w:cs="Arial"/>
          <w:bCs/>
          <w:sz w:val="20"/>
          <w:szCs w:val="20"/>
        </w:rPr>
        <w:t>The majority of services are provided “in-house” with benefits of e</w:t>
      </w:r>
      <w:r w:rsidRPr="00385B9C">
        <w:rPr>
          <w:rFonts w:ascii="Arial" w:eastAsia="Calibri" w:hAnsi="Arial" w:cs="Arial"/>
          <w:sz w:val="20"/>
          <w:szCs w:val="20"/>
        </w:rPr>
        <w:t xml:space="preserve">fficiency, flexibility and economy of scale, increased control over service provision and reduced costs. </w:t>
      </w:r>
      <w:r>
        <w:rPr>
          <w:rFonts w:ascii="Arial" w:eastAsia="Calibri" w:hAnsi="Arial" w:cs="Arial"/>
          <w:sz w:val="20"/>
          <w:szCs w:val="20"/>
        </w:rPr>
        <w:t xml:space="preserve">In the consideration of service delivery however, the Council also considers the cost effectiveness of contracting versus in-house service. </w:t>
      </w:r>
      <w:r w:rsidRPr="00385B9C">
        <w:rPr>
          <w:rFonts w:ascii="Arial" w:eastAsia="Calibri" w:hAnsi="Arial" w:cs="Arial"/>
          <w:sz w:val="20"/>
          <w:szCs w:val="20"/>
        </w:rPr>
        <w:t xml:space="preserve">As </w:t>
      </w:r>
      <w:r w:rsidRPr="00385B9C">
        <w:rPr>
          <w:rFonts w:ascii="Arial" w:hAnsi="Arial" w:cs="Arial"/>
          <w:bCs/>
          <w:sz w:val="20"/>
          <w:szCs w:val="20"/>
        </w:rPr>
        <w:t xml:space="preserve">the Council is also the major source of local employment, it delivers significant social and economic benefits to the City. </w:t>
      </w:r>
    </w:p>
    <w:p w14:paraId="2E5AFDE6" w14:textId="73CB2B7B" w:rsidR="00081E48" w:rsidRDefault="00081E48" w:rsidP="0022340E">
      <w:pPr>
        <w:pStyle w:val="Heading3"/>
        <w:tabs>
          <w:tab w:val="clear" w:pos="1844"/>
          <w:tab w:val="num" w:pos="1843"/>
        </w:tabs>
        <w:spacing w:line="276" w:lineRule="auto"/>
        <w:ind w:left="709"/>
      </w:pPr>
      <w:r>
        <w:t>Best Value Service Framework</w:t>
      </w:r>
    </w:p>
    <w:p w14:paraId="0BED7186" w14:textId="063609F3" w:rsidR="00277864" w:rsidRDefault="001F515C" w:rsidP="0022340E">
      <w:pPr>
        <w:spacing w:before="240" w:line="276" w:lineRule="auto"/>
        <w:jc w:val="both"/>
        <w:rPr>
          <w:rFonts w:ascii="Arial" w:hAnsi="Arial" w:cs="Arial"/>
          <w:bCs/>
          <w:sz w:val="20"/>
          <w:szCs w:val="20"/>
        </w:rPr>
      </w:pPr>
      <w:r w:rsidRPr="00385B9C">
        <w:rPr>
          <w:rFonts w:ascii="Arial" w:hAnsi="Arial" w:cs="Arial"/>
          <w:bCs/>
          <w:sz w:val="20"/>
          <w:szCs w:val="20"/>
        </w:rPr>
        <w:t>In 2013 the Council</w:t>
      </w:r>
      <w:r w:rsidR="00F14EB8" w:rsidRPr="00385B9C">
        <w:rPr>
          <w:rFonts w:ascii="Arial" w:hAnsi="Arial" w:cs="Arial"/>
          <w:bCs/>
          <w:sz w:val="20"/>
          <w:szCs w:val="20"/>
        </w:rPr>
        <w:t xml:space="preserve">, in response to its Six Strategies for Financial Sustainability – Strategy 5 Review and Adjust Services, </w:t>
      </w:r>
      <w:r w:rsidRPr="00385B9C">
        <w:rPr>
          <w:rFonts w:ascii="Arial" w:hAnsi="Arial" w:cs="Arial"/>
          <w:bCs/>
          <w:sz w:val="20"/>
          <w:szCs w:val="20"/>
        </w:rPr>
        <w:t xml:space="preserve">adopted a </w:t>
      </w:r>
      <w:r w:rsidR="006308E2" w:rsidRPr="00385B9C">
        <w:rPr>
          <w:rFonts w:ascii="Arial" w:hAnsi="Arial" w:cs="Arial"/>
          <w:bCs/>
          <w:sz w:val="20"/>
          <w:szCs w:val="20"/>
        </w:rPr>
        <w:t>“best v</w:t>
      </w:r>
      <w:r w:rsidRPr="00385B9C">
        <w:rPr>
          <w:rFonts w:ascii="Arial" w:hAnsi="Arial" w:cs="Arial"/>
          <w:bCs/>
          <w:sz w:val="20"/>
          <w:szCs w:val="20"/>
        </w:rPr>
        <w:t>alue</w:t>
      </w:r>
      <w:r w:rsidR="006308E2" w:rsidRPr="00385B9C">
        <w:rPr>
          <w:rFonts w:ascii="Arial" w:hAnsi="Arial" w:cs="Arial"/>
          <w:bCs/>
          <w:sz w:val="20"/>
          <w:szCs w:val="20"/>
        </w:rPr>
        <w:t xml:space="preserve">” </w:t>
      </w:r>
      <w:r w:rsidR="00F14EB8" w:rsidRPr="00385B9C">
        <w:rPr>
          <w:rFonts w:ascii="Arial" w:hAnsi="Arial" w:cs="Arial"/>
          <w:bCs/>
          <w:sz w:val="20"/>
          <w:szCs w:val="20"/>
        </w:rPr>
        <w:t>s</w:t>
      </w:r>
      <w:r w:rsidRPr="00385B9C">
        <w:rPr>
          <w:rFonts w:ascii="Arial" w:hAnsi="Arial" w:cs="Arial"/>
          <w:bCs/>
          <w:sz w:val="20"/>
          <w:szCs w:val="20"/>
        </w:rPr>
        <w:t xml:space="preserve">ervice </w:t>
      </w:r>
      <w:r w:rsidR="00F14EB8" w:rsidRPr="00385B9C">
        <w:rPr>
          <w:rFonts w:ascii="Arial" w:hAnsi="Arial" w:cs="Arial"/>
          <w:bCs/>
          <w:sz w:val="20"/>
          <w:szCs w:val="20"/>
        </w:rPr>
        <w:t>f</w:t>
      </w:r>
      <w:r w:rsidRPr="00385B9C">
        <w:rPr>
          <w:rFonts w:ascii="Arial" w:hAnsi="Arial" w:cs="Arial"/>
          <w:bCs/>
          <w:sz w:val="20"/>
          <w:szCs w:val="20"/>
        </w:rPr>
        <w:t>ramework</w:t>
      </w:r>
      <w:r w:rsidR="00862952" w:rsidRPr="00385B9C">
        <w:rPr>
          <w:rFonts w:ascii="Arial" w:hAnsi="Arial" w:cs="Arial"/>
          <w:bCs/>
          <w:sz w:val="20"/>
          <w:szCs w:val="20"/>
        </w:rPr>
        <w:t xml:space="preserve"> (see </w:t>
      </w:r>
      <w:r w:rsidR="00862952" w:rsidRPr="00385B9C">
        <w:rPr>
          <w:rFonts w:ascii="Arial" w:hAnsi="Arial" w:cs="Arial"/>
          <w:b/>
          <w:bCs/>
          <w:sz w:val="20"/>
          <w:szCs w:val="20"/>
        </w:rPr>
        <w:t>Attachment 14</w:t>
      </w:r>
      <w:r w:rsidR="00862952" w:rsidRPr="00385B9C">
        <w:rPr>
          <w:rFonts w:ascii="Arial" w:hAnsi="Arial" w:cs="Arial"/>
          <w:bCs/>
          <w:sz w:val="20"/>
          <w:szCs w:val="20"/>
        </w:rPr>
        <w:t xml:space="preserve">) </w:t>
      </w:r>
      <w:r w:rsidRPr="00385B9C">
        <w:rPr>
          <w:rFonts w:ascii="Arial" w:hAnsi="Arial" w:cs="Arial"/>
          <w:bCs/>
          <w:sz w:val="20"/>
          <w:szCs w:val="20"/>
        </w:rPr>
        <w:t>to ensure the provision of the best possible ra</w:t>
      </w:r>
      <w:r w:rsidR="00277864" w:rsidRPr="00385B9C">
        <w:rPr>
          <w:rFonts w:ascii="Arial" w:hAnsi="Arial" w:cs="Arial"/>
          <w:bCs/>
          <w:sz w:val="20"/>
          <w:szCs w:val="20"/>
        </w:rPr>
        <w:t>nge of value for money services</w:t>
      </w:r>
      <w:r w:rsidRPr="00385B9C">
        <w:rPr>
          <w:rFonts w:ascii="Arial" w:hAnsi="Arial" w:cs="Arial"/>
          <w:bCs/>
          <w:sz w:val="20"/>
          <w:szCs w:val="20"/>
        </w:rPr>
        <w:t xml:space="preserve">. </w:t>
      </w:r>
      <w:r w:rsidR="00277864" w:rsidRPr="00385B9C">
        <w:rPr>
          <w:rFonts w:ascii="Arial" w:hAnsi="Arial" w:cs="Arial"/>
          <w:bCs/>
          <w:sz w:val="20"/>
          <w:szCs w:val="20"/>
        </w:rPr>
        <w:t xml:space="preserve">The </w:t>
      </w:r>
      <w:r w:rsidR="00385B9C" w:rsidRPr="00385B9C">
        <w:rPr>
          <w:rFonts w:ascii="Arial" w:hAnsi="Arial" w:cs="Arial"/>
          <w:bCs/>
          <w:sz w:val="20"/>
          <w:szCs w:val="20"/>
        </w:rPr>
        <w:t>f</w:t>
      </w:r>
      <w:r w:rsidR="00277864" w:rsidRPr="00385B9C">
        <w:rPr>
          <w:rFonts w:ascii="Arial" w:hAnsi="Arial" w:cs="Arial"/>
          <w:bCs/>
          <w:sz w:val="20"/>
          <w:szCs w:val="20"/>
        </w:rPr>
        <w:t>ramework outlines the key principles guiding provision of services and the approach for planning and reviewing services on a regular basis to achieve “best value” services responses to community needs and affordable by the Council. B</w:t>
      </w:r>
      <w:r w:rsidRPr="00385B9C">
        <w:rPr>
          <w:rFonts w:ascii="Arial" w:hAnsi="Arial" w:cs="Arial"/>
          <w:bCs/>
          <w:sz w:val="20"/>
          <w:szCs w:val="20"/>
        </w:rPr>
        <w:t>est value is defined as “</w:t>
      </w:r>
      <w:r w:rsidRPr="00385B9C">
        <w:rPr>
          <w:rFonts w:ascii="Arial" w:hAnsi="Arial" w:cs="Arial"/>
          <w:bCs/>
          <w:i/>
          <w:sz w:val="20"/>
          <w:szCs w:val="20"/>
        </w:rPr>
        <w:t xml:space="preserve">quality, cost effective, value for money service provision that is responsive to the needs and requirements of service users and the general community”. </w:t>
      </w:r>
      <w:r w:rsidR="00277864" w:rsidRPr="00385B9C">
        <w:rPr>
          <w:rFonts w:ascii="Arial" w:hAnsi="Arial" w:cs="Arial"/>
          <w:bCs/>
          <w:sz w:val="20"/>
          <w:szCs w:val="20"/>
        </w:rPr>
        <w:t>It is achieved through each Council service having:</w:t>
      </w:r>
    </w:p>
    <w:p w14:paraId="2DC17B7B" w14:textId="77777777" w:rsidR="003114B4" w:rsidRPr="00385B9C" w:rsidRDefault="003114B4" w:rsidP="0022340E">
      <w:pPr>
        <w:spacing w:before="240" w:line="276" w:lineRule="auto"/>
        <w:jc w:val="both"/>
        <w:rPr>
          <w:rFonts w:ascii="Arial" w:hAnsi="Arial" w:cs="Arial"/>
          <w:bCs/>
          <w:sz w:val="20"/>
          <w:szCs w:val="20"/>
        </w:rPr>
      </w:pPr>
    </w:p>
    <w:p w14:paraId="4F633039" w14:textId="3911E4A5" w:rsidR="00277864" w:rsidRPr="00385B9C" w:rsidRDefault="00CD439C" w:rsidP="0022340E">
      <w:pPr>
        <w:pStyle w:val="ListParagraph"/>
        <w:numPr>
          <w:ilvl w:val="0"/>
          <w:numId w:val="75"/>
        </w:numPr>
        <w:spacing w:line="276" w:lineRule="auto"/>
        <w:jc w:val="both"/>
        <w:rPr>
          <w:rFonts w:ascii="Arial" w:hAnsi="Arial" w:cs="Arial"/>
          <w:bCs/>
          <w:sz w:val="20"/>
          <w:szCs w:val="20"/>
        </w:rPr>
      </w:pPr>
      <w:r>
        <w:rPr>
          <w:rFonts w:ascii="Arial" w:hAnsi="Arial" w:cs="Arial"/>
          <w:bCs/>
          <w:sz w:val="20"/>
          <w:szCs w:val="20"/>
        </w:rPr>
        <w:t>D</w:t>
      </w:r>
      <w:r w:rsidR="00277864" w:rsidRPr="00385B9C">
        <w:rPr>
          <w:rFonts w:ascii="Arial" w:hAnsi="Arial" w:cs="Arial"/>
          <w:bCs/>
          <w:sz w:val="20"/>
          <w:szCs w:val="20"/>
        </w:rPr>
        <w:t>efined quality and cost standards</w:t>
      </w:r>
      <w:r>
        <w:rPr>
          <w:rFonts w:ascii="Arial" w:hAnsi="Arial" w:cs="Arial"/>
          <w:bCs/>
          <w:sz w:val="20"/>
          <w:szCs w:val="20"/>
        </w:rPr>
        <w:t>;</w:t>
      </w:r>
    </w:p>
    <w:p w14:paraId="2D53FC8F" w14:textId="7E7D6CB9" w:rsidR="00277864" w:rsidRPr="00385B9C" w:rsidRDefault="00CD439C" w:rsidP="0022340E">
      <w:pPr>
        <w:pStyle w:val="ListParagraph"/>
        <w:numPr>
          <w:ilvl w:val="0"/>
          <w:numId w:val="75"/>
        </w:numPr>
        <w:spacing w:line="276" w:lineRule="auto"/>
        <w:jc w:val="both"/>
        <w:rPr>
          <w:rFonts w:ascii="Arial" w:hAnsi="Arial" w:cs="Arial"/>
          <w:bCs/>
          <w:sz w:val="20"/>
          <w:szCs w:val="20"/>
        </w:rPr>
      </w:pPr>
      <w:r>
        <w:rPr>
          <w:rFonts w:ascii="Arial" w:hAnsi="Arial" w:cs="Arial"/>
          <w:bCs/>
          <w:sz w:val="20"/>
          <w:szCs w:val="20"/>
        </w:rPr>
        <w:t>D</w:t>
      </w:r>
      <w:r w:rsidR="00277864" w:rsidRPr="00385B9C">
        <w:rPr>
          <w:rFonts w:ascii="Arial" w:hAnsi="Arial" w:cs="Arial"/>
          <w:bCs/>
          <w:sz w:val="20"/>
          <w:szCs w:val="20"/>
        </w:rPr>
        <w:t>efined “affordable levels of service” with defined performance outcomes</w:t>
      </w:r>
      <w:r>
        <w:rPr>
          <w:rFonts w:ascii="Arial" w:hAnsi="Arial" w:cs="Arial"/>
          <w:bCs/>
          <w:sz w:val="20"/>
          <w:szCs w:val="20"/>
        </w:rPr>
        <w:t>;</w:t>
      </w:r>
    </w:p>
    <w:p w14:paraId="46C5CBA5" w14:textId="5B42F395" w:rsidR="00277864" w:rsidRPr="00385B9C" w:rsidRDefault="00CD439C" w:rsidP="0022340E">
      <w:pPr>
        <w:pStyle w:val="ListParagraph"/>
        <w:numPr>
          <w:ilvl w:val="0"/>
          <w:numId w:val="75"/>
        </w:numPr>
        <w:spacing w:line="276" w:lineRule="auto"/>
        <w:jc w:val="both"/>
        <w:rPr>
          <w:rFonts w:ascii="Arial" w:hAnsi="Arial" w:cs="Arial"/>
          <w:bCs/>
          <w:sz w:val="20"/>
          <w:szCs w:val="20"/>
        </w:rPr>
      </w:pPr>
      <w:r>
        <w:rPr>
          <w:rFonts w:ascii="Arial" w:hAnsi="Arial" w:cs="Arial"/>
          <w:bCs/>
          <w:sz w:val="20"/>
          <w:szCs w:val="20"/>
        </w:rPr>
        <w:t>D</w:t>
      </w:r>
      <w:r w:rsidR="00277864" w:rsidRPr="00385B9C">
        <w:rPr>
          <w:rFonts w:ascii="Arial" w:hAnsi="Arial" w:cs="Arial"/>
          <w:bCs/>
          <w:sz w:val="20"/>
          <w:szCs w:val="20"/>
        </w:rPr>
        <w:t>emonstrable commitment to continuous improvement, efficiency and ef</w:t>
      </w:r>
      <w:r>
        <w:rPr>
          <w:rFonts w:ascii="Arial" w:hAnsi="Arial" w:cs="Arial"/>
          <w:bCs/>
          <w:sz w:val="20"/>
          <w:szCs w:val="20"/>
        </w:rPr>
        <w:t>fectiveness;</w:t>
      </w:r>
    </w:p>
    <w:p w14:paraId="307390B7" w14:textId="2BEF0756" w:rsidR="00277864" w:rsidRPr="00385B9C" w:rsidRDefault="00CD439C" w:rsidP="0022340E">
      <w:pPr>
        <w:pStyle w:val="ListParagraph"/>
        <w:numPr>
          <w:ilvl w:val="0"/>
          <w:numId w:val="75"/>
        </w:numPr>
        <w:spacing w:line="276" w:lineRule="auto"/>
        <w:jc w:val="both"/>
        <w:rPr>
          <w:rFonts w:ascii="Arial" w:hAnsi="Arial" w:cs="Arial"/>
          <w:bCs/>
          <w:sz w:val="20"/>
          <w:szCs w:val="20"/>
        </w:rPr>
      </w:pPr>
      <w:r>
        <w:rPr>
          <w:rFonts w:ascii="Arial" w:hAnsi="Arial" w:cs="Arial"/>
          <w:bCs/>
          <w:sz w:val="20"/>
          <w:szCs w:val="20"/>
        </w:rPr>
        <w:t>B</w:t>
      </w:r>
      <w:r w:rsidR="00277864" w:rsidRPr="00385B9C">
        <w:rPr>
          <w:rFonts w:ascii="Arial" w:hAnsi="Arial" w:cs="Arial"/>
          <w:bCs/>
          <w:sz w:val="20"/>
          <w:szCs w:val="20"/>
        </w:rPr>
        <w:t>eing responsive to the requirements of users</w:t>
      </w:r>
      <w:r>
        <w:rPr>
          <w:rFonts w:ascii="Arial" w:hAnsi="Arial" w:cs="Arial"/>
          <w:bCs/>
          <w:sz w:val="20"/>
          <w:szCs w:val="20"/>
        </w:rPr>
        <w:t>;</w:t>
      </w:r>
    </w:p>
    <w:p w14:paraId="5C8382C3" w14:textId="67E0E083" w:rsidR="00277864" w:rsidRPr="00385B9C" w:rsidRDefault="00CD439C" w:rsidP="0022340E">
      <w:pPr>
        <w:pStyle w:val="ListParagraph"/>
        <w:numPr>
          <w:ilvl w:val="0"/>
          <w:numId w:val="75"/>
        </w:numPr>
        <w:spacing w:line="276" w:lineRule="auto"/>
        <w:jc w:val="both"/>
        <w:rPr>
          <w:rFonts w:ascii="Arial" w:hAnsi="Arial" w:cs="Arial"/>
          <w:bCs/>
          <w:sz w:val="20"/>
          <w:szCs w:val="20"/>
        </w:rPr>
      </w:pPr>
      <w:r>
        <w:rPr>
          <w:rFonts w:ascii="Arial" w:hAnsi="Arial" w:cs="Arial"/>
          <w:bCs/>
          <w:sz w:val="20"/>
          <w:szCs w:val="20"/>
        </w:rPr>
        <w:t>B</w:t>
      </w:r>
      <w:r w:rsidR="00277864" w:rsidRPr="00385B9C">
        <w:rPr>
          <w:rFonts w:ascii="Arial" w:hAnsi="Arial" w:cs="Arial"/>
          <w:bCs/>
          <w:sz w:val="20"/>
          <w:szCs w:val="20"/>
        </w:rPr>
        <w:t>eing appropriate targeted and accessible to service users</w:t>
      </w:r>
      <w:r>
        <w:rPr>
          <w:rFonts w:ascii="Arial" w:hAnsi="Arial" w:cs="Arial"/>
          <w:bCs/>
          <w:sz w:val="20"/>
          <w:szCs w:val="20"/>
        </w:rPr>
        <w:t>.</w:t>
      </w:r>
    </w:p>
    <w:p w14:paraId="530F0035" w14:textId="77777777" w:rsidR="00277864" w:rsidRPr="00385B9C" w:rsidRDefault="00277864" w:rsidP="0022340E">
      <w:pPr>
        <w:pStyle w:val="ListParagraph"/>
        <w:spacing w:line="276" w:lineRule="auto"/>
        <w:jc w:val="both"/>
        <w:rPr>
          <w:rFonts w:ascii="Arial" w:hAnsi="Arial" w:cs="Arial"/>
          <w:bCs/>
          <w:sz w:val="20"/>
          <w:szCs w:val="20"/>
        </w:rPr>
      </w:pPr>
    </w:p>
    <w:p w14:paraId="1B3CAFE7" w14:textId="00E7E4D8" w:rsidR="001F515C" w:rsidRPr="00385B9C" w:rsidRDefault="00F35169" w:rsidP="0022340E">
      <w:pPr>
        <w:spacing w:line="276" w:lineRule="auto"/>
        <w:jc w:val="both"/>
        <w:rPr>
          <w:rFonts w:ascii="Arial" w:hAnsi="Arial" w:cs="Arial"/>
          <w:bCs/>
          <w:sz w:val="20"/>
          <w:szCs w:val="20"/>
        </w:rPr>
      </w:pPr>
      <w:r w:rsidRPr="00385B9C">
        <w:rPr>
          <w:rFonts w:ascii="Arial" w:hAnsi="Arial" w:cs="Arial"/>
          <w:bCs/>
          <w:sz w:val="20"/>
          <w:szCs w:val="20"/>
        </w:rPr>
        <w:t xml:space="preserve">The framework provides guidelines for the </w:t>
      </w:r>
      <w:r w:rsidR="001F515C" w:rsidRPr="00385B9C">
        <w:rPr>
          <w:rFonts w:ascii="Arial" w:hAnsi="Arial" w:cs="Arial"/>
          <w:bCs/>
          <w:sz w:val="20"/>
          <w:szCs w:val="20"/>
        </w:rPr>
        <w:t xml:space="preserve">review of all Council services to ensure </w:t>
      </w:r>
      <w:r w:rsidRPr="00385B9C">
        <w:rPr>
          <w:rFonts w:ascii="Arial" w:hAnsi="Arial" w:cs="Arial"/>
          <w:bCs/>
          <w:sz w:val="20"/>
          <w:szCs w:val="20"/>
        </w:rPr>
        <w:t xml:space="preserve">achievement of best value service provision. </w:t>
      </w:r>
      <w:r w:rsidR="001F515C" w:rsidRPr="00385B9C">
        <w:rPr>
          <w:rFonts w:ascii="Arial" w:hAnsi="Arial" w:cs="Arial"/>
          <w:bCs/>
          <w:sz w:val="20"/>
          <w:szCs w:val="20"/>
        </w:rPr>
        <w:t xml:space="preserve">A rolling program of service reviews is being implemented </w:t>
      </w:r>
      <w:r w:rsidR="0022340E">
        <w:rPr>
          <w:rFonts w:ascii="Arial" w:hAnsi="Arial" w:cs="Arial"/>
          <w:bCs/>
          <w:sz w:val="20"/>
          <w:szCs w:val="20"/>
        </w:rPr>
        <w:t xml:space="preserve">which </w:t>
      </w:r>
      <w:r w:rsidR="00385B9C" w:rsidRPr="00385B9C">
        <w:rPr>
          <w:rFonts w:ascii="Arial" w:hAnsi="Arial" w:cs="Arial"/>
          <w:bCs/>
          <w:sz w:val="20"/>
          <w:szCs w:val="20"/>
        </w:rPr>
        <w:t xml:space="preserve"> guides and informs</w:t>
      </w:r>
      <w:r w:rsidR="001F515C" w:rsidRPr="00385B9C">
        <w:rPr>
          <w:rFonts w:ascii="Arial" w:hAnsi="Arial" w:cs="Arial"/>
          <w:bCs/>
          <w:sz w:val="20"/>
          <w:szCs w:val="20"/>
        </w:rPr>
        <w:t xml:space="preserve"> budget containment strategies each year</w:t>
      </w:r>
      <w:r w:rsidR="0022340E">
        <w:rPr>
          <w:rFonts w:ascii="Arial" w:hAnsi="Arial" w:cs="Arial"/>
          <w:bCs/>
          <w:sz w:val="20"/>
          <w:szCs w:val="20"/>
        </w:rPr>
        <w:t xml:space="preserve">, </w:t>
      </w:r>
      <w:r w:rsidR="001F515C" w:rsidRPr="00385B9C">
        <w:rPr>
          <w:rFonts w:ascii="Arial" w:hAnsi="Arial" w:cs="Arial"/>
          <w:bCs/>
          <w:sz w:val="20"/>
          <w:szCs w:val="20"/>
        </w:rPr>
        <w:t>enabl</w:t>
      </w:r>
      <w:r w:rsidR="0022340E">
        <w:rPr>
          <w:rFonts w:ascii="Arial" w:hAnsi="Arial" w:cs="Arial"/>
          <w:bCs/>
          <w:sz w:val="20"/>
          <w:szCs w:val="20"/>
        </w:rPr>
        <w:t>ing</w:t>
      </w:r>
      <w:r w:rsidR="001F515C" w:rsidRPr="00385B9C">
        <w:rPr>
          <w:rFonts w:ascii="Arial" w:hAnsi="Arial" w:cs="Arial"/>
          <w:bCs/>
          <w:sz w:val="20"/>
          <w:szCs w:val="20"/>
        </w:rPr>
        <w:t xml:space="preserve"> the cash budget to be balanced.</w:t>
      </w:r>
    </w:p>
    <w:p w14:paraId="1657D141" w14:textId="43868A98" w:rsidR="009962E4" w:rsidRDefault="009962E4" w:rsidP="0022340E">
      <w:pPr>
        <w:pStyle w:val="Heading3"/>
        <w:tabs>
          <w:tab w:val="num" w:pos="2268"/>
        </w:tabs>
        <w:spacing w:line="276" w:lineRule="auto"/>
        <w:ind w:left="709"/>
      </w:pPr>
      <w:r w:rsidRPr="00385B9C">
        <w:rPr>
          <w:sz w:val="20"/>
          <w:szCs w:val="20"/>
        </w:rPr>
        <w:t xml:space="preserve">Best </w:t>
      </w:r>
      <w:r w:rsidR="00385B9C" w:rsidRPr="00385B9C">
        <w:rPr>
          <w:sz w:val="20"/>
          <w:szCs w:val="20"/>
        </w:rPr>
        <w:t xml:space="preserve">Value </w:t>
      </w:r>
      <w:r w:rsidRPr="00385B9C">
        <w:rPr>
          <w:sz w:val="20"/>
          <w:szCs w:val="20"/>
        </w:rPr>
        <w:t>Governance Structure Establishe</w:t>
      </w:r>
      <w:r>
        <w:t>d</w:t>
      </w:r>
    </w:p>
    <w:p w14:paraId="414D7252" w14:textId="76661C1E" w:rsidR="001F515C" w:rsidRPr="00385B9C" w:rsidRDefault="001F515C" w:rsidP="0022340E">
      <w:pPr>
        <w:spacing w:before="240" w:line="276" w:lineRule="auto"/>
        <w:jc w:val="both"/>
        <w:rPr>
          <w:rFonts w:ascii="Arial" w:hAnsi="Arial" w:cs="Arial"/>
          <w:bCs/>
          <w:sz w:val="20"/>
          <w:szCs w:val="20"/>
        </w:rPr>
      </w:pPr>
      <w:r w:rsidRPr="00385B9C">
        <w:rPr>
          <w:rFonts w:ascii="Arial" w:hAnsi="Arial" w:cs="Arial"/>
          <w:bCs/>
          <w:sz w:val="20"/>
          <w:szCs w:val="20"/>
        </w:rPr>
        <w:t>To monitor outcomes of th</w:t>
      </w:r>
      <w:r w:rsidR="009962E4" w:rsidRPr="00385B9C">
        <w:rPr>
          <w:rFonts w:ascii="Arial" w:hAnsi="Arial" w:cs="Arial"/>
          <w:bCs/>
          <w:sz w:val="20"/>
          <w:szCs w:val="20"/>
        </w:rPr>
        <w:t xml:space="preserve">e best value service </w:t>
      </w:r>
      <w:r w:rsidRPr="00385B9C">
        <w:rPr>
          <w:rFonts w:ascii="Arial" w:hAnsi="Arial" w:cs="Arial"/>
          <w:bCs/>
          <w:sz w:val="20"/>
          <w:szCs w:val="20"/>
        </w:rPr>
        <w:t xml:space="preserve">framework, a governance structure was developed as shown in </w:t>
      </w:r>
      <w:r w:rsidR="0022340E">
        <w:rPr>
          <w:rFonts w:ascii="Arial" w:hAnsi="Arial" w:cs="Arial"/>
          <w:bCs/>
          <w:sz w:val="20"/>
          <w:szCs w:val="20"/>
        </w:rPr>
        <w:t>F</w:t>
      </w:r>
      <w:r w:rsidRPr="00385B9C">
        <w:rPr>
          <w:rFonts w:ascii="Arial" w:hAnsi="Arial" w:cs="Arial"/>
          <w:bCs/>
          <w:sz w:val="20"/>
          <w:szCs w:val="20"/>
        </w:rPr>
        <w:t>igure</w:t>
      </w:r>
      <w:r w:rsidR="0022340E">
        <w:rPr>
          <w:rFonts w:ascii="Arial" w:hAnsi="Arial" w:cs="Arial"/>
          <w:bCs/>
          <w:sz w:val="20"/>
          <w:szCs w:val="20"/>
        </w:rPr>
        <w:t xml:space="preserve"> 7.1 </w:t>
      </w:r>
      <w:r w:rsidRPr="00385B9C">
        <w:rPr>
          <w:rFonts w:ascii="Arial" w:hAnsi="Arial" w:cs="Arial"/>
          <w:bCs/>
          <w:sz w:val="20"/>
          <w:szCs w:val="20"/>
        </w:rPr>
        <w:t xml:space="preserve">below. </w:t>
      </w:r>
      <w:r w:rsidR="0022340E">
        <w:rPr>
          <w:rFonts w:ascii="Arial" w:hAnsi="Arial" w:cs="Arial"/>
          <w:bCs/>
          <w:sz w:val="20"/>
          <w:szCs w:val="20"/>
        </w:rPr>
        <w:t>A</w:t>
      </w:r>
      <w:r w:rsidRPr="00385B9C">
        <w:rPr>
          <w:rFonts w:ascii="Arial" w:hAnsi="Arial" w:cs="Arial"/>
          <w:bCs/>
          <w:sz w:val="20"/>
          <w:szCs w:val="20"/>
        </w:rPr>
        <w:t xml:space="preserve"> Best Value Councillor Advisory Group was formed to:</w:t>
      </w:r>
    </w:p>
    <w:p w14:paraId="53279798" w14:textId="0F98E60E" w:rsidR="001F515C" w:rsidRPr="00385B9C" w:rsidRDefault="00385B9C" w:rsidP="0022340E">
      <w:pPr>
        <w:pStyle w:val="ListParagraph"/>
        <w:numPr>
          <w:ilvl w:val="0"/>
          <w:numId w:val="71"/>
        </w:numPr>
        <w:spacing w:line="276" w:lineRule="auto"/>
        <w:jc w:val="both"/>
        <w:rPr>
          <w:rFonts w:ascii="Arial" w:hAnsi="Arial" w:cs="Arial"/>
          <w:bCs/>
          <w:sz w:val="20"/>
          <w:szCs w:val="20"/>
        </w:rPr>
      </w:pPr>
      <w:r w:rsidRPr="00385B9C">
        <w:rPr>
          <w:rFonts w:ascii="Arial" w:hAnsi="Arial" w:cs="Arial"/>
          <w:bCs/>
          <w:sz w:val="20"/>
          <w:szCs w:val="20"/>
        </w:rPr>
        <w:t>L</w:t>
      </w:r>
      <w:r w:rsidR="001F515C" w:rsidRPr="00385B9C">
        <w:rPr>
          <w:rFonts w:ascii="Arial" w:hAnsi="Arial" w:cs="Arial"/>
          <w:bCs/>
          <w:sz w:val="20"/>
          <w:szCs w:val="20"/>
        </w:rPr>
        <w:t>ead and guide expenditure to get best, long term value</w:t>
      </w:r>
    </w:p>
    <w:p w14:paraId="30EF90F7" w14:textId="5E31C623" w:rsidR="001F515C" w:rsidRPr="00385B9C" w:rsidRDefault="00385B9C" w:rsidP="0022340E">
      <w:pPr>
        <w:pStyle w:val="ListParagraph"/>
        <w:numPr>
          <w:ilvl w:val="0"/>
          <w:numId w:val="71"/>
        </w:numPr>
        <w:spacing w:line="276" w:lineRule="auto"/>
        <w:jc w:val="both"/>
        <w:rPr>
          <w:rFonts w:ascii="Arial" w:hAnsi="Arial" w:cs="Arial"/>
          <w:bCs/>
          <w:sz w:val="20"/>
          <w:szCs w:val="20"/>
        </w:rPr>
      </w:pPr>
      <w:r w:rsidRPr="00385B9C">
        <w:rPr>
          <w:rFonts w:ascii="Arial" w:hAnsi="Arial" w:cs="Arial"/>
          <w:bCs/>
          <w:sz w:val="20"/>
          <w:szCs w:val="20"/>
        </w:rPr>
        <w:t>I</w:t>
      </w:r>
      <w:r w:rsidR="001F515C" w:rsidRPr="00385B9C">
        <w:rPr>
          <w:rFonts w:ascii="Arial" w:hAnsi="Arial" w:cs="Arial"/>
          <w:bCs/>
          <w:sz w:val="20"/>
          <w:szCs w:val="20"/>
        </w:rPr>
        <w:t>dentify initiatives and innovations that reduce net long term operating and maintenance costs</w:t>
      </w:r>
    </w:p>
    <w:p w14:paraId="28179D68" w14:textId="1EFE37E0" w:rsidR="00385B9C" w:rsidRPr="00385B9C" w:rsidRDefault="00385B9C" w:rsidP="0022340E">
      <w:pPr>
        <w:pStyle w:val="ListParagraph"/>
        <w:numPr>
          <w:ilvl w:val="0"/>
          <w:numId w:val="71"/>
        </w:numPr>
        <w:spacing w:line="276" w:lineRule="auto"/>
        <w:jc w:val="both"/>
        <w:rPr>
          <w:rFonts w:ascii="Arial" w:hAnsi="Arial" w:cs="Arial"/>
          <w:bCs/>
          <w:sz w:val="20"/>
          <w:szCs w:val="20"/>
        </w:rPr>
      </w:pPr>
      <w:r w:rsidRPr="00385B9C">
        <w:rPr>
          <w:rFonts w:ascii="Arial" w:hAnsi="Arial" w:cs="Arial"/>
          <w:bCs/>
          <w:sz w:val="20"/>
          <w:szCs w:val="20"/>
        </w:rPr>
        <w:t>P</w:t>
      </w:r>
      <w:r w:rsidR="001F515C" w:rsidRPr="00385B9C">
        <w:rPr>
          <w:rFonts w:ascii="Arial" w:hAnsi="Arial" w:cs="Arial"/>
          <w:bCs/>
          <w:sz w:val="20"/>
          <w:szCs w:val="20"/>
        </w:rPr>
        <w:t>rovide guidance and direction on engaging the community on how the Council will live within its means</w:t>
      </w:r>
      <w:r w:rsidRPr="00385B9C">
        <w:rPr>
          <w:rFonts w:ascii="Arial" w:hAnsi="Arial" w:cs="Arial"/>
          <w:bCs/>
          <w:sz w:val="20"/>
          <w:szCs w:val="20"/>
        </w:rPr>
        <w:t>; and</w:t>
      </w:r>
    </w:p>
    <w:p w14:paraId="71991909" w14:textId="00DB1AC0" w:rsidR="001F515C" w:rsidRPr="00385B9C" w:rsidRDefault="00385B9C" w:rsidP="0022340E">
      <w:pPr>
        <w:pStyle w:val="ListParagraph"/>
        <w:numPr>
          <w:ilvl w:val="0"/>
          <w:numId w:val="71"/>
        </w:numPr>
        <w:spacing w:line="276" w:lineRule="auto"/>
        <w:jc w:val="both"/>
        <w:rPr>
          <w:rFonts w:ascii="Arial" w:hAnsi="Arial" w:cs="Arial"/>
          <w:bCs/>
          <w:sz w:val="20"/>
          <w:szCs w:val="20"/>
        </w:rPr>
      </w:pPr>
      <w:r w:rsidRPr="00385B9C">
        <w:rPr>
          <w:rFonts w:ascii="Arial" w:hAnsi="Arial" w:cs="Arial"/>
          <w:bCs/>
          <w:sz w:val="20"/>
          <w:szCs w:val="20"/>
        </w:rPr>
        <w:t>Consider business cases on the most effective service delivery model</w:t>
      </w:r>
      <w:r w:rsidR="001F515C" w:rsidRPr="00385B9C">
        <w:rPr>
          <w:rFonts w:ascii="Arial" w:hAnsi="Arial" w:cs="Arial"/>
          <w:bCs/>
          <w:sz w:val="20"/>
          <w:szCs w:val="20"/>
        </w:rPr>
        <w:t>.</w:t>
      </w:r>
    </w:p>
    <w:p w14:paraId="196D57E5" w14:textId="77777777" w:rsidR="001F515C" w:rsidRPr="00385B9C" w:rsidRDefault="001F515C" w:rsidP="0022340E">
      <w:pPr>
        <w:spacing w:line="276" w:lineRule="auto"/>
        <w:jc w:val="both"/>
        <w:rPr>
          <w:rFonts w:ascii="Arial" w:hAnsi="Arial" w:cs="Arial"/>
          <w:bCs/>
          <w:sz w:val="20"/>
          <w:szCs w:val="20"/>
        </w:rPr>
      </w:pPr>
    </w:p>
    <w:p w14:paraId="755DBAFC" w14:textId="3572C1BA" w:rsidR="00F35169" w:rsidRPr="00385B9C" w:rsidRDefault="00F35169" w:rsidP="0022340E">
      <w:pPr>
        <w:spacing w:line="276" w:lineRule="auto"/>
        <w:jc w:val="both"/>
        <w:rPr>
          <w:rFonts w:ascii="Arial" w:hAnsi="Arial" w:cs="Arial"/>
          <w:bCs/>
          <w:sz w:val="20"/>
          <w:szCs w:val="20"/>
        </w:rPr>
      </w:pPr>
      <w:r w:rsidRPr="00385B9C">
        <w:rPr>
          <w:rFonts w:ascii="Arial" w:hAnsi="Arial" w:cs="Arial"/>
          <w:bCs/>
          <w:sz w:val="20"/>
          <w:szCs w:val="20"/>
        </w:rPr>
        <w:t xml:space="preserve">This group is supported by an internal </w:t>
      </w:r>
      <w:r w:rsidR="009962E4" w:rsidRPr="00385B9C">
        <w:rPr>
          <w:rFonts w:ascii="Arial" w:hAnsi="Arial" w:cs="Arial"/>
          <w:bCs/>
          <w:sz w:val="20"/>
          <w:szCs w:val="20"/>
        </w:rPr>
        <w:t xml:space="preserve">staff </w:t>
      </w:r>
      <w:r w:rsidRPr="00385B9C">
        <w:rPr>
          <w:rFonts w:ascii="Arial" w:hAnsi="Arial" w:cs="Arial"/>
          <w:bCs/>
          <w:sz w:val="20"/>
          <w:szCs w:val="20"/>
        </w:rPr>
        <w:t xml:space="preserve">Best Value Project Control Group which guides service and asset planning, levels of service, best value service reviews and other financial sustainability strategies, including seeking further income from a special variation application. </w:t>
      </w:r>
    </w:p>
    <w:p w14:paraId="32876F0D" w14:textId="77777777" w:rsidR="0022340E" w:rsidRDefault="00DD23F1" w:rsidP="001F515C">
      <w:pPr>
        <w:spacing w:line="360" w:lineRule="auto"/>
        <w:jc w:val="both"/>
        <w:rPr>
          <w:rFonts w:ascii="Arial" w:hAnsi="Arial" w:cs="Arial"/>
          <w:b/>
          <w:bCs/>
          <w:sz w:val="18"/>
          <w:szCs w:val="18"/>
        </w:rPr>
      </w:pPr>
      <w:r>
        <w:rPr>
          <w:rFonts w:ascii="Arial" w:hAnsi="Arial" w:cs="Arial"/>
          <w:b/>
          <w:bCs/>
          <w:sz w:val="18"/>
          <w:szCs w:val="18"/>
        </w:rPr>
        <w:t xml:space="preserve">   </w:t>
      </w:r>
    </w:p>
    <w:p w14:paraId="12D1BDCB" w14:textId="10BC1573" w:rsidR="001F515C" w:rsidRPr="00B225C2" w:rsidRDefault="00DD23F1" w:rsidP="001F515C">
      <w:pPr>
        <w:spacing w:line="360" w:lineRule="auto"/>
        <w:jc w:val="both"/>
        <w:rPr>
          <w:rFonts w:ascii="Arial" w:hAnsi="Arial" w:cs="Arial"/>
          <w:b/>
          <w:bCs/>
          <w:sz w:val="20"/>
          <w:szCs w:val="20"/>
        </w:rPr>
      </w:pPr>
      <w:r>
        <w:rPr>
          <w:rFonts w:ascii="Arial" w:hAnsi="Arial" w:cs="Arial"/>
          <w:b/>
          <w:bCs/>
          <w:sz w:val="18"/>
          <w:szCs w:val="18"/>
        </w:rPr>
        <w:t xml:space="preserve"> </w:t>
      </w:r>
      <w:r w:rsidR="001F515C" w:rsidRPr="00B225C2">
        <w:rPr>
          <w:rFonts w:ascii="Arial" w:hAnsi="Arial" w:cs="Arial"/>
          <w:b/>
          <w:bCs/>
          <w:sz w:val="20"/>
          <w:szCs w:val="20"/>
        </w:rPr>
        <w:t>Figure 7.1</w:t>
      </w:r>
      <w:r w:rsidR="00B225C2">
        <w:rPr>
          <w:rFonts w:ascii="Arial" w:hAnsi="Arial" w:cs="Arial"/>
          <w:b/>
          <w:bCs/>
          <w:sz w:val="20"/>
          <w:szCs w:val="20"/>
        </w:rPr>
        <w:t xml:space="preserve">: </w:t>
      </w:r>
      <w:r w:rsidR="001F515C" w:rsidRPr="00B225C2">
        <w:rPr>
          <w:rFonts w:ascii="Arial" w:hAnsi="Arial" w:cs="Arial"/>
          <w:b/>
          <w:bCs/>
          <w:sz w:val="20"/>
          <w:szCs w:val="20"/>
        </w:rPr>
        <w:t xml:space="preserve"> </w:t>
      </w:r>
      <w:r w:rsidR="00F845D6" w:rsidRPr="00B225C2">
        <w:rPr>
          <w:rFonts w:ascii="Arial" w:hAnsi="Arial" w:cs="Arial"/>
          <w:b/>
          <w:bCs/>
          <w:sz w:val="20"/>
          <w:szCs w:val="20"/>
        </w:rPr>
        <w:t xml:space="preserve">Best Value </w:t>
      </w:r>
      <w:r w:rsidR="001F515C" w:rsidRPr="00B225C2">
        <w:rPr>
          <w:rFonts w:ascii="Arial" w:hAnsi="Arial" w:cs="Arial"/>
          <w:b/>
          <w:bCs/>
          <w:sz w:val="20"/>
          <w:szCs w:val="20"/>
        </w:rPr>
        <w:t xml:space="preserve">Governance Structure – Implementation </w:t>
      </w:r>
      <w:r w:rsidR="00F845D6" w:rsidRPr="00B225C2">
        <w:rPr>
          <w:rFonts w:ascii="Arial" w:hAnsi="Arial" w:cs="Arial"/>
          <w:b/>
          <w:bCs/>
          <w:sz w:val="20"/>
          <w:szCs w:val="20"/>
        </w:rPr>
        <w:t xml:space="preserve">of Financial </w:t>
      </w:r>
      <w:r w:rsidR="001F515C" w:rsidRPr="00B225C2">
        <w:rPr>
          <w:rFonts w:ascii="Arial" w:hAnsi="Arial" w:cs="Arial"/>
          <w:b/>
          <w:bCs/>
          <w:sz w:val="20"/>
          <w:szCs w:val="20"/>
        </w:rPr>
        <w:t xml:space="preserve">Strategies </w:t>
      </w:r>
    </w:p>
    <w:p w14:paraId="136AC0CF" w14:textId="67F5B5AC" w:rsidR="001F515C" w:rsidRPr="00057853" w:rsidRDefault="00CD0BEB" w:rsidP="001F515C">
      <w:pPr>
        <w:spacing w:line="360" w:lineRule="auto"/>
        <w:jc w:val="center"/>
        <w:rPr>
          <w:rFonts w:ascii="Arial" w:hAnsi="Arial" w:cs="Arial"/>
          <w:bCs/>
          <w:sz w:val="21"/>
          <w:szCs w:val="21"/>
        </w:rPr>
      </w:pPr>
      <w:r>
        <w:rPr>
          <w:rFonts w:ascii="Arial" w:hAnsi="Arial" w:cs="Arial"/>
          <w:bCs/>
          <w:noProof/>
          <w:sz w:val="21"/>
          <w:szCs w:val="21"/>
        </w:rPr>
        <mc:AlternateContent>
          <mc:Choice Requires="wpg">
            <w:drawing>
              <wp:anchor distT="0" distB="0" distL="114300" distR="114300" simplePos="0" relativeHeight="251847680" behindDoc="0" locked="0" layoutInCell="1" allowOverlap="1" wp14:anchorId="58477973" wp14:editId="4E17AB16">
                <wp:simplePos x="0" y="0"/>
                <wp:positionH relativeFrom="column">
                  <wp:posOffset>4577715</wp:posOffset>
                </wp:positionH>
                <wp:positionV relativeFrom="paragraph">
                  <wp:posOffset>867410</wp:posOffset>
                </wp:positionV>
                <wp:extent cx="495300" cy="180976"/>
                <wp:effectExtent l="0" t="38100" r="95250" b="9525"/>
                <wp:wrapNone/>
                <wp:docPr id="2111" name="Group 2111"/>
                <wp:cNvGraphicFramePr/>
                <a:graphic xmlns:a="http://schemas.openxmlformats.org/drawingml/2006/main">
                  <a:graphicData uri="http://schemas.microsoft.com/office/word/2010/wordprocessingGroup">
                    <wpg:wgp>
                      <wpg:cNvGrpSpPr/>
                      <wpg:grpSpPr>
                        <a:xfrm>
                          <a:off x="0" y="0"/>
                          <a:ext cx="495300" cy="180976"/>
                          <a:chOff x="0" y="0"/>
                          <a:chExt cx="495300" cy="180976"/>
                        </a:xfrm>
                      </wpg:grpSpPr>
                      <wps:wsp>
                        <wps:cNvPr id="2109" name="Straight Connector 2109"/>
                        <wps:cNvCnPr/>
                        <wps:spPr>
                          <a:xfrm flipV="1">
                            <a:off x="0" y="180975"/>
                            <a:ext cx="495300" cy="1"/>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110" name="Straight Arrow Connector 2110"/>
                        <wps:cNvCnPr/>
                        <wps:spPr>
                          <a:xfrm flipV="1">
                            <a:off x="49530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111" o:spid="_x0000_s1026" style="position:absolute;margin-left:360.45pt;margin-top:68.3pt;width:39pt;height:14.25pt;z-index:251847680" coordsize="495300,180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">
                <v:line id="Straight Connector 2109" o:spid="_x0000_s1027" style="position:absolute;flip:y;visibility:visible;mso-wrap-style:square" from="0,180975" to="495300,180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YsRsQAAADdAAAADwAAAGRycy9kb3ducmV2LnhtbESPT4vCMBTE78J+h/AWvMiaWlFqNcoi&#10;CuLNP+z5kTzbYvNSmqzW/fQbQfA4zMxvmMWqs7W4UesrxwpGwwQEsXam4kLB+bT9ykD4gGywdkwK&#10;HuRhtfzoLTA37s4Huh1DISKEfY4KyhCaXEqvS7Loh64hjt7FtRZDlG0hTYv3CLe1TJNkKi1WHBdK&#10;bGhdkr4ef62CPU3Sy0/6GGQbNOPMXrX+m2ZK9T+77zmIQF14h1/tnVGQjpIZPN/EJ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1ixGxAAAAN0AAAAPAAAAAAAAAAAA&#10;AAAAAKECAABkcnMvZG93bnJldi54bWxQSwUGAAAAAAQABAD5AAAAkgMAAAAA&#10;" strokecolor="#4f81bd [3204]" strokeweight="1pt"/>
                <v:shapetype id="_x0000_t32" coordsize="21600,21600" o:spt="32" o:oned="t" path="m,l21600,21600e" filled="f">
                  <v:path arrowok="t" fillok="f" o:connecttype="none"/>
                  <o:lock v:ext="edit" shapetype="t"/>
                </v:shapetype>
                <v:shape id="Straight Arrow Connector 2110" o:spid="_x0000_s1028" type="#_x0000_t32" style="position:absolute;left:495300;width:0;height:1809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v/mcQAAADdAAAADwAAAGRycy9kb3ducmV2LnhtbERPTUvDQBC9C/0PyxS82U1KFUm7LaVF&#10;UApKqlB6m2bHJJidDbtrE/+9cxA8Pt73ajO6Tl0pxNazgXyWgSKuvG25NvDx/nT3CComZIudZzLw&#10;QxE268nNCgvrBy7peky1khCOBRpoUuoLrWPVkMM48z2xcJ8+OEwCQ61twEHCXafnWfagHbYsDQ32&#10;tGuo+jp+OynZL8r7w+lwWVC5fRsuL+fXFM7G3E7H7RJUojH9i//cz9bAPM9lv7yRJ6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i/+ZxAAAAN0AAAAPAAAAAAAAAAAA&#10;AAAAAKECAABkcnMvZG93bnJldi54bWxQSwUGAAAAAAQABAD5AAAAkgMAAAAA&#10;" strokecolor="#4579b8 [3044]">
                  <v:stroke endarrow="open"/>
                </v:shape>
              </v:group>
            </w:pict>
          </mc:Fallback>
        </mc:AlternateContent>
      </w:r>
      <w:r w:rsidR="001F515C" w:rsidRPr="00057853">
        <w:rPr>
          <w:rFonts w:ascii="Arial" w:hAnsi="Arial" w:cs="Arial"/>
          <w:bCs/>
          <w:noProof/>
          <w:sz w:val="21"/>
          <w:szCs w:val="21"/>
        </w:rPr>
        <w:drawing>
          <wp:inline distT="0" distB="0" distL="0" distR="0" wp14:anchorId="212E3041" wp14:editId="65B5C874">
            <wp:extent cx="5225302" cy="3786954"/>
            <wp:effectExtent l="0" t="0" r="0" b="4445"/>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7" cstate="email">
                      <a:lum bright="-38000" contrast="53000"/>
                      <a:extLst>
                        <a:ext uri="{28A0092B-C50C-407E-A947-70E740481C1C}">
                          <a14:useLocalDpi xmlns:a14="http://schemas.microsoft.com/office/drawing/2010/main"/>
                        </a:ext>
                      </a:extLst>
                    </a:blip>
                    <a:srcRect t="11059"/>
                    <a:stretch/>
                  </pic:blipFill>
                  <pic:spPr bwMode="auto">
                    <a:xfrm>
                      <a:off x="0" y="0"/>
                      <a:ext cx="5250596" cy="3805285"/>
                    </a:xfrm>
                    <a:prstGeom prst="rect">
                      <a:avLst/>
                    </a:prstGeom>
                    <a:noFill/>
                    <a:ln>
                      <a:noFill/>
                    </a:ln>
                    <a:extLst>
                      <a:ext uri="{53640926-AAD7-44D8-BBD7-CCE9431645EC}">
                        <a14:shadowObscured xmlns:a14="http://schemas.microsoft.com/office/drawing/2010/main"/>
                      </a:ext>
                    </a:extLst>
                  </pic:spPr>
                </pic:pic>
              </a:graphicData>
            </a:graphic>
          </wp:inline>
        </w:drawing>
      </w:r>
    </w:p>
    <w:p w14:paraId="350A863D" w14:textId="77777777" w:rsidR="009962E4" w:rsidRPr="00CD0BEB" w:rsidRDefault="009962E4" w:rsidP="00731135">
      <w:pPr>
        <w:spacing w:line="276" w:lineRule="auto"/>
        <w:jc w:val="both"/>
        <w:rPr>
          <w:rFonts w:ascii="Arial" w:hAnsi="Arial" w:cs="Arial"/>
          <w:bCs/>
          <w:i/>
          <w:sz w:val="20"/>
          <w:szCs w:val="20"/>
        </w:rPr>
      </w:pPr>
      <w:r w:rsidRPr="00CD0BEB">
        <w:rPr>
          <w:rFonts w:ascii="Arial" w:hAnsi="Arial" w:cs="Arial"/>
          <w:bCs/>
          <w:i/>
          <w:sz w:val="20"/>
          <w:szCs w:val="20"/>
        </w:rPr>
        <w:t>Best Value Resource Allocation Criteria Developed</w:t>
      </w:r>
    </w:p>
    <w:p w14:paraId="6FCCA8C6" w14:textId="33D3229C" w:rsidR="009962E4" w:rsidRPr="00CD0BEB" w:rsidRDefault="009962E4" w:rsidP="00731135">
      <w:pPr>
        <w:spacing w:line="276" w:lineRule="auto"/>
        <w:jc w:val="both"/>
        <w:rPr>
          <w:rFonts w:ascii="Arial" w:hAnsi="Arial" w:cs="Arial"/>
          <w:bCs/>
          <w:sz w:val="20"/>
          <w:szCs w:val="20"/>
        </w:rPr>
      </w:pPr>
      <w:r w:rsidRPr="00CD0BEB">
        <w:rPr>
          <w:rFonts w:ascii="Arial" w:hAnsi="Arial" w:cs="Arial"/>
          <w:bCs/>
          <w:sz w:val="20"/>
          <w:szCs w:val="20"/>
        </w:rPr>
        <w:t>Five criteria for determining best value decision making have been developed and these criteria are currently being used to guide annual operational and capital expenditure allocation. The criteria include:</w:t>
      </w:r>
    </w:p>
    <w:p w14:paraId="1973B33C" w14:textId="301BF96B" w:rsidR="009962E4" w:rsidRPr="00CD0BEB" w:rsidRDefault="009962E4" w:rsidP="00731135">
      <w:pPr>
        <w:pStyle w:val="ListParagraph"/>
        <w:numPr>
          <w:ilvl w:val="0"/>
          <w:numId w:val="72"/>
        </w:numPr>
        <w:spacing w:line="276" w:lineRule="auto"/>
        <w:jc w:val="both"/>
        <w:rPr>
          <w:rFonts w:ascii="Arial" w:hAnsi="Arial" w:cs="Arial"/>
          <w:bCs/>
          <w:sz w:val="20"/>
          <w:szCs w:val="20"/>
        </w:rPr>
      </w:pPr>
      <w:r w:rsidRPr="00CD0BEB">
        <w:rPr>
          <w:rFonts w:ascii="Arial" w:hAnsi="Arial" w:cs="Arial"/>
          <w:bCs/>
          <w:sz w:val="20"/>
          <w:szCs w:val="20"/>
        </w:rPr>
        <w:t>Meets Financial Strategy</w:t>
      </w:r>
      <w:r w:rsidR="001A60D1" w:rsidRPr="00CD0BEB">
        <w:rPr>
          <w:rFonts w:ascii="Arial" w:hAnsi="Arial" w:cs="Arial"/>
          <w:bCs/>
          <w:sz w:val="20"/>
          <w:szCs w:val="20"/>
        </w:rPr>
        <w:t>;</w:t>
      </w:r>
    </w:p>
    <w:p w14:paraId="06AFCFA7" w14:textId="3C3C473A" w:rsidR="009962E4" w:rsidRPr="00CD0BEB" w:rsidRDefault="009962E4" w:rsidP="00731135">
      <w:pPr>
        <w:pStyle w:val="ListParagraph"/>
        <w:numPr>
          <w:ilvl w:val="0"/>
          <w:numId w:val="72"/>
        </w:numPr>
        <w:spacing w:line="276" w:lineRule="auto"/>
        <w:jc w:val="both"/>
        <w:rPr>
          <w:rFonts w:ascii="Arial" w:hAnsi="Arial" w:cs="Arial"/>
          <w:bCs/>
          <w:sz w:val="20"/>
          <w:szCs w:val="20"/>
        </w:rPr>
      </w:pPr>
      <w:r w:rsidRPr="00CD0BEB">
        <w:rPr>
          <w:rFonts w:ascii="Arial" w:hAnsi="Arial" w:cs="Arial"/>
          <w:bCs/>
          <w:sz w:val="20"/>
          <w:szCs w:val="20"/>
        </w:rPr>
        <w:t>Manage Risk (avoid shocks)</w:t>
      </w:r>
      <w:r w:rsidR="001A60D1" w:rsidRPr="00CD0BEB">
        <w:rPr>
          <w:rFonts w:ascii="Arial" w:hAnsi="Arial" w:cs="Arial"/>
          <w:bCs/>
          <w:sz w:val="20"/>
          <w:szCs w:val="20"/>
        </w:rPr>
        <w:t>;</w:t>
      </w:r>
    </w:p>
    <w:p w14:paraId="21BDFEC1" w14:textId="6F854F3D" w:rsidR="009962E4" w:rsidRPr="00CD0BEB" w:rsidRDefault="009962E4" w:rsidP="00731135">
      <w:pPr>
        <w:pStyle w:val="ListParagraph"/>
        <w:numPr>
          <w:ilvl w:val="0"/>
          <w:numId w:val="72"/>
        </w:numPr>
        <w:spacing w:line="276" w:lineRule="auto"/>
        <w:jc w:val="both"/>
        <w:rPr>
          <w:rFonts w:ascii="Arial" w:hAnsi="Arial" w:cs="Arial"/>
          <w:bCs/>
          <w:sz w:val="20"/>
          <w:szCs w:val="20"/>
        </w:rPr>
      </w:pPr>
      <w:r w:rsidRPr="00CD0BEB">
        <w:rPr>
          <w:rFonts w:ascii="Arial" w:hAnsi="Arial" w:cs="Arial"/>
          <w:bCs/>
          <w:sz w:val="20"/>
          <w:szCs w:val="20"/>
        </w:rPr>
        <w:t>Minimise Life Cycle &amp; Operational Costs</w:t>
      </w:r>
      <w:r w:rsidR="001A60D1" w:rsidRPr="00CD0BEB">
        <w:rPr>
          <w:rFonts w:ascii="Arial" w:hAnsi="Arial" w:cs="Arial"/>
          <w:bCs/>
          <w:sz w:val="20"/>
          <w:szCs w:val="20"/>
        </w:rPr>
        <w:t>;</w:t>
      </w:r>
    </w:p>
    <w:p w14:paraId="10E2F7BA" w14:textId="683DC8D3" w:rsidR="009962E4" w:rsidRPr="00CD0BEB" w:rsidRDefault="009962E4" w:rsidP="00731135">
      <w:pPr>
        <w:pStyle w:val="ListParagraph"/>
        <w:numPr>
          <w:ilvl w:val="0"/>
          <w:numId w:val="72"/>
        </w:numPr>
        <w:spacing w:line="276" w:lineRule="auto"/>
        <w:jc w:val="both"/>
        <w:rPr>
          <w:rFonts w:ascii="Arial" w:hAnsi="Arial" w:cs="Arial"/>
          <w:bCs/>
          <w:sz w:val="20"/>
          <w:szCs w:val="20"/>
        </w:rPr>
      </w:pPr>
      <w:r w:rsidRPr="00CD0BEB">
        <w:rPr>
          <w:rFonts w:ascii="Arial" w:hAnsi="Arial" w:cs="Arial"/>
          <w:bCs/>
          <w:sz w:val="20"/>
          <w:szCs w:val="20"/>
        </w:rPr>
        <w:t>Meets Assessed Need</w:t>
      </w:r>
      <w:r w:rsidR="001A60D1" w:rsidRPr="00CD0BEB">
        <w:rPr>
          <w:rFonts w:ascii="Arial" w:hAnsi="Arial" w:cs="Arial"/>
          <w:bCs/>
          <w:sz w:val="20"/>
          <w:szCs w:val="20"/>
        </w:rPr>
        <w:t>; and</w:t>
      </w:r>
    </w:p>
    <w:p w14:paraId="6E46443A" w14:textId="446BEEFA" w:rsidR="009962E4" w:rsidRPr="00CD0BEB" w:rsidRDefault="001A60D1" w:rsidP="00731135">
      <w:pPr>
        <w:pStyle w:val="ListParagraph"/>
        <w:numPr>
          <w:ilvl w:val="0"/>
          <w:numId w:val="72"/>
        </w:numPr>
        <w:spacing w:line="276" w:lineRule="auto"/>
        <w:jc w:val="both"/>
        <w:rPr>
          <w:rFonts w:ascii="Arial" w:hAnsi="Arial" w:cs="Arial"/>
          <w:bCs/>
          <w:sz w:val="20"/>
          <w:szCs w:val="20"/>
        </w:rPr>
      </w:pPr>
      <w:r w:rsidRPr="00CD0BEB">
        <w:rPr>
          <w:rFonts w:ascii="Arial" w:hAnsi="Arial" w:cs="Arial"/>
          <w:bCs/>
          <w:sz w:val="20"/>
          <w:szCs w:val="20"/>
        </w:rPr>
        <w:t>Builds i</w:t>
      </w:r>
      <w:r w:rsidR="009962E4" w:rsidRPr="00CD0BEB">
        <w:rPr>
          <w:rFonts w:ascii="Arial" w:hAnsi="Arial" w:cs="Arial"/>
          <w:bCs/>
          <w:sz w:val="20"/>
          <w:szCs w:val="20"/>
        </w:rPr>
        <w:t>nternal Capacity &amp; Capability.</w:t>
      </w:r>
    </w:p>
    <w:p w14:paraId="45E39B2E" w14:textId="31265C35" w:rsidR="009962E4" w:rsidRDefault="009962E4" w:rsidP="00731135">
      <w:pPr>
        <w:pStyle w:val="Heading3"/>
        <w:spacing w:line="276" w:lineRule="auto"/>
        <w:ind w:left="709"/>
        <w:rPr>
          <w:lang w:val="en-US" w:eastAsia="en-US"/>
        </w:rPr>
      </w:pPr>
      <w:r>
        <w:rPr>
          <w:lang w:val="en-US" w:eastAsia="en-US"/>
        </w:rPr>
        <w:t xml:space="preserve">A Range of Service Delivery Modes </w:t>
      </w:r>
    </w:p>
    <w:p w14:paraId="6D74DA20" w14:textId="634B39E8" w:rsidR="001F515C" w:rsidRDefault="001F515C" w:rsidP="00731135">
      <w:pPr>
        <w:spacing w:before="240" w:after="240" w:line="276" w:lineRule="auto"/>
        <w:jc w:val="both"/>
        <w:rPr>
          <w:rFonts w:ascii="Arial" w:hAnsi="Arial" w:cs="Arial"/>
          <w:sz w:val="20"/>
          <w:szCs w:val="20"/>
          <w:lang w:val="en-US" w:eastAsia="en-US"/>
        </w:rPr>
      </w:pPr>
      <w:r w:rsidRPr="00CD0BEB">
        <w:rPr>
          <w:rFonts w:ascii="Arial" w:hAnsi="Arial" w:cs="Arial"/>
          <w:sz w:val="20"/>
          <w:szCs w:val="20"/>
          <w:lang w:val="en-US" w:eastAsia="en-US"/>
        </w:rPr>
        <w:t>This work is supplemented by a range of service delivery approaches which directly achieve best value service provision through savings, efficiencies and revenue initiatives, including:</w:t>
      </w:r>
    </w:p>
    <w:p w14:paraId="36E0F13E" w14:textId="159F5536" w:rsidR="001F515C" w:rsidRDefault="001F515C" w:rsidP="00731135">
      <w:pPr>
        <w:numPr>
          <w:ilvl w:val="0"/>
          <w:numId w:val="61"/>
        </w:numPr>
        <w:spacing w:line="276" w:lineRule="auto"/>
        <w:ind w:left="709" w:hanging="283"/>
        <w:contextualSpacing/>
        <w:jc w:val="both"/>
        <w:rPr>
          <w:rFonts w:ascii="Arial" w:eastAsia="Calibri" w:hAnsi="Arial" w:cs="Arial"/>
          <w:sz w:val="20"/>
          <w:szCs w:val="20"/>
        </w:rPr>
      </w:pPr>
      <w:r w:rsidRPr="00CD0BEB">
        <w:rPr>
          <w:rFonts w:ascii="Arial" w:eastAsia="Calibri" w:hAnsi="Arial" w:cs="Arial"/>
          <w:b/>
          <w:sz w:val="20"/>
          <w:szCs w:val="20"/>
        </w:rPr>
        <w:t>Participatio</w:t>
      </w:r>
      <w:r w:rsidR="009E2FB7">
        <w:rPr>
          <w:rFonts w:ascii="Arial" w:eastAsia="Calibri" w:hAnsi="Arial" w:cs="Arial"/>
          <w:b/>
          <w:sz w:val="20"/>
          <w:szCs w:val="20"/>
        </w:rPr>
        <w:t>n in joint ventures and public/</w:t>
      </w:r>
      <w:r w:rsidRPr="00CD0BEB">
        <w:rPr>
          <w:rFonts w:ascii="Arial" w:eastAsia="Calibri" w:hAnsi="Arial" w:cs="Arial"/>
          <w:b/>
          <w:sz w:val="20"/>
          <w:szCs w:val="20"/>
        </w:rPr>
        <w:t>private partnerships</w:t>
      </w:r>
      <w:r w:rsidRPr="00CD0BEB">
        <w:rPr>
          <w:rFonts w:ascii="Arial" w:eastAsia="Calibri" w:hAnsi="Arial" w:cs="Arial"/>
          <w:sz w:val="20"/>
          <w:szCs w:val="20"/>
        </w:rPr>
        <w:t xml:space="preserve"> such as public private partnership used bet</w:t>
      </w:r>
      <w:r w:rsidR="009E2FB7">
        <w:rPr>
          <w:rFonts w:ascii="Arial" w:eastAsia="Calibri" w:hAnsi="Arial" w:cs="Arial"/>
          <w:sz w:val="20"/>
          <w:szCs w:val="20"/>
        </w:rPr>
        <w:t>ween State Government/Council/</w:t>
      </w:r>
      <w:r w:rsidRPr="00CD0BEB">
        <w:rPr>
          <w:rFonts w:ascii="Arial" w:eastAsia="Calibri" w:hAnsi="Arial" w:cs="Arial"/>
          <w:sz w:val="20"/>
          <w:szCs w:val="20"/>
        </w:rPr>
        <w:t>Cole</w:t>
      </w:r>
      <w:r w:rsidR="00CD0BEB">
        <w:rPr>
          <w:rFonts w:ascii="Arial" w:eastAsia="Calibri" w:hAnsi="Arial" w:cs="Arial"/>
          <w:sz w:val="20"/>
          <w:szCs w:val="20"/>
        </w:rPr>
        <w:t xml:space="preserve">s Group for the </w:t>
      </w:r>
      <w:r w:rsidRPr="00CD0BEB">
        <w:rPr>
          <w:rFonts w:ascii="Arial" w:eastAsia="Calibri" w:hAnsi="Arial" w:cs="Arial"/>
          <w:sz w:val="20"/>
          <w:szCs w:val="20"/>
        </w:rPr>
        <w:t xml:space="preserve">development of the </w:t>
      </w:r>
      <w:r w:rsidR="009E2FB7">
        <w:rPr>
          <w:rFonts w:ascii="Arial" w:eastAsia="Calibri" w:hAnsi="Arial" w:cs="Arial"/>
          <w:sz w:val="20"/>
          <w:szCs w:val="20"/>
        </w:rPr>
        <w:t>Blue Mountains Cultural Centre/</w:t>
      </w:r>
      <w:r w:rsidRPr="00CD0BEB">
        <w:rPr>
          <w:rFonts w:ascii="Arial" w:eastAsia="Calibri" w:hAnsi="Arial" w:cs="Arial"/>
          <w:sz w:val="20"/>
          <w:szCs w:val="20"/>
        </w:rPr>
        <w:t>Coles supermarket in Katoomba</w:t>
      </w:r>
    </w:p>
    <w:p w14:paraId="2EB4D0D6" w14:textId="77777777" w:rsidR="00731135" w:rsidRPr="00CD0BEB" w:rsidRDefault="00731135" w:rsidP="00731135">
      <w:pPr>
        <w:spacing w:line="276" w:lineRule="auto"/>
        <w:ind w:left="709"/>
        <w:contextualSpacing/>
        <w:jc w:val="both"/>
        <w:rPr>
          <w:rFonts w:ascii="Arial" w:eastAsia="Calibri" w:hAnsi="Arial" w:cs="Arial"/>
          <w:sz w:val="20"/>
          <w:szCs w:val="20"/>
        </w:rPr>
      </w:pPr>
    </w:p>
    <w:p w14:paraId="6E93957D" w14:textId="7BBBBAF8" w:rsidR="001F515C" w:rsidRDefault="001F515C" w:rsidP="00731135">
      <w:pPr>
        <w:numPr>
          <w:ilvl w:val="0"/>
          <w:numId w:val="61"/>
        </w:numPr>
        <w:spacing w:line="276" w:lineRule="auto"/>
        <w:ind w:left="709" w:hanging="283"/>
        <w:contextualSpacing/>
        <w:jc w:val="both"/>
        <w:rPr>
          <w:rFonts w:ascii="Arial" w:eastAsia="Calibri" w:hAnsi="Arial" w:cs="Arial"/>
          <w:sz w:val="20"/>
          <w:szCs w:val="20"/>
        </w:rPr>
      </w:pPr>
      <w:r w:rsidRPr="00CD0BEB">
        <w:rPr>
          <w:rFonts w:ascii="Arial" w:eastAsia="Calibri" w:hAnsi="Arial" w:cs="Arial"/>
          <w:b/>
          <w:sz w:val="20"/>
          <w:szCs w:val="20"/>
        </w:rPr>
        <w:t xml:space="preserve">Shared service provision </w:t>
      </w:r>
      <w:r w:rsidRPr="00CD0BEB">
        <w:rPr>
          <w:rFonts w:ascii="Arial" w:eastAsia="Calibri" w:hAnsi="Arial" w:cs="Arial"/>
          <w:sz w:val="20"/>
          <w:szCs w:val="20"/>
        </w:rPr>
        <w:t>such as the Council’s implementation of a shared service delivery with the Roads and Maritime Service to provide a cost effective, income generating and improved front counter “one stop shop”</w:t>
      </w:r>
      <w:r w:rsidR="001A60D1" w:rsidRPr="00CD0BEB">
        <w:rPr>
          <w:rFonts w:ascii="Arial" w:eastAsia="Calibri" w:hAnsi="Arial" w:cs="Arial"/>
          <w:sz w:val="20"/>
          <w:szCs w:val="20"/>
        </w:rPr>
        <w:t>;</w:t>
      </w:r>
    </w:p>
    <w:p w14:paraId="7D7684F7" w14:textId="77777777" w:rsidR="00731135" w:rsidRDefault="00731135" w:rsidP="00731135">
      <w:pPr>
        <w:pStyle w:val="ListParagraph"/>
        <w:rPr>
          <w:rFonts w:ascii="Arial" w:eastAsia="Calibri" w:hAnsi="Arial" w:cs="Arial"/>
          <w:sz w:val="20"/>
          <w:szCs w:val="20"/>
        </w:rPr>
      </w:pPr>
    </w:p>
    <w:p w14:paraId="2EDABE91" w14:textId="6C00A73D" w:rsidR="001F515C" w:rsidRDefault="001F515C" w:rsidP="00731135">
      <w:pPr>
        <w:numPr>
          <w:ilvl w:val="0"/>
          <w:numId w:val="61"/>
        </w:numPr>
        <w:spacing w:line="276" w:lineRule="auto"/>
        <w:ind w:left="709" w:hanging="283"/>
        <w:contextualSpacing/>
        <w:jc w:val="both"/>
        <w:rPr>
          <w:rFonts w:ascii="Arial" w:eastAsia="Calibri" w:hAnsi="Arial" w:cs="Arial"/>
          <w:sz w:val="20"/>
          <w:szCs w:val="20"/>
        </w:rPr>
      </w:pPr>
      <w:r w:rsidRPr="00CD0BEB">
        <w:rPr>
          <w:rFonts w:ascii="Arial" w:eastAsia="Calibri" w:hAnsi="Arial" w:cs="Arial"/>
          <w:b/>
          <w:sz w:val="20"/>
          <w:szCs w:val="20"/>
        </w:rPr>
        <w:t xml:space="preserve">Outsourcing where appropriate </w:t>
      </w:r>
      <w:r w:rsidRPr="00CD0BEB">
        <w:rPr>
          <w:rFonts w:ascii="Arial" w:eastAsia="Calibri" w:hAnsi="Arial" w:cs="Arial"/>
          <w:sz w:val="20"/>
          <w:szCs w:val="20"/>
        </w:rPr>
        <w:t>such as the Blackheath Vacation Care program was outsourced to Blackheath Area Neighbourhood Centre)</w:t>
      </w:r>
      <w:r w:rsidR="001A60D1" w:rsidRPr="00CD0BEB">
        <w:rPr>
          <w:rFonts w:ascii="Arial" w:eastAsia="Calibri" w:hAnsi="Arial" w:cs="Arial"/>
          <w:sz w:val="20"/>
          <w:szCs w:val="20"/>
        </w:rPr>
        <w:t>;</w:t>
      </w:r>
    </w:p>
    <w:p w14:paraId="62F3E42A" w14:textId="77777777" w:rsidR="00731135" w:rsidRDefault="00731135" w:rsidP="00731135">
      <w:pPr>
        <w:pStyle w:val="ListParagraph"/>
        <w:rPr>
          <w:rFonts w:ascii="Arial" w:eastAsia="Calibri" w:hAnsi="Arial" w:cs="Arial"/>
          <w:sz w:val="20"/>
          <w:szCs w:val="20"/>
        </w:rPr>
      </w:pPr>
    </w:p>
    <w:p w14:paraId="18CD9892" w14:textId="701CC59F" w:rsidR="001F515C" w:rsidRDefault="001F515C" w:rsidP="00731135">
      <w:pPr>
        <w:numPr>
          <w:ilvl w:val="0"/>
          <w:numId w:val="61"/>
        </w:numPr>
        <w:spacing w:line="276" w:lineRule="auto"/>
        <w:ind w:left="709" w:hanging="283"/>
        <w:contextualSpacing/>
        <w:jc w:val="both"/>
        <w:rPr>
          <w:rFonts w:ascii="Arial" w:eastAsia="Calibri" w:hAnsi="Arial" w:cs="Arial"/>
          <w:sz w:val="20"/>
          <w:szCs w:val="20"/>
        </w:rPr>
      </w:pPr>
      <w:r w:rsidRPr="00CD0BEB">
        <w:rPr>
          <w:rFonts w:ascii="Arial" w:eastAsia="Calibri" w:hAnsi="Arial" w:cs="Arial"/>
          <w:b/>
          <w:sz w:val="20"/>
          <w:szCs w:val="20"/>
        </w:rPr>
        <w:t>Strategic partnerships</w:t>
      </w:r>
      <w:r w:rsidRPr="00CD0BEB">
        <w:rPr>
          <w:rFonts w:ascii="Arial" w:eastAsia="Calibri" w:hAnsi="Arial" w:cs="Arial"/>
          <w:sz w:val="20"/>
          <w:szCs w:val="20"/>
        </w:rPr>
        <w:t xml:space="preserve"> such as working to establish a formal “Strategic Alliance” between Blue Mountains, Penrith and Hawkesbury councils and in joint procurement of insurance through Westpoo</w:t>
      </w:r>
      <w:r w:rsidR="006308E2" w:rsidRPr="00CD0BEB">
        <w:rPr>
          <w:rFonts w:ascii="Arial" w:eastAsia="Calibri" w:hAnsi="Arial" w:cs="Arial"/>
          <w:sz w:val="20"/>
          <w:szCs w:val="20"/>
        </w:rPr>
        <w:t>l</w:t>
      </w:r>
      <w:r w:rsidR="001A60D1" w:rsidRPr="00CD0BEB">
        <w:rPr>
          <w:rFonts w:ascii="Arial" w:eastAsia="Calibri" w:hAnsi="Arial" w:cs="Arial"/>
          <w:sz w:val="20"/>
          <w:szCs w:val="20"/>
        </w:rPr>
        <w:t>;</w:t>
      </w:r>
    </w:p>
    <w:p w14:paraId="25F31EA5" w14:textId="77777777" w:rsidR="00731135" w:rsidRDefault="00731135" w:rsidP="00731135">
      <w:pPr>
        <w:pStyle w:val="ListParagraph"/>
        <w:rPr>
          <w:rFonts w:ascii="Arial" w:eastAsia="Calibri" w:hAnsi="Arial" w:cs="Arial"/>
          <w:sz w:val="20"/>
          <w:szCs w:val="20"/>
        </w:rPr>
      </w:pPr>
    </w:p>
    <w:p w14:paraId="2262CEFD" w14:textId="6C43E606" w:rsidR="001F515C" w:rsidRDefault="00CD0BEB" w:rsidP="00731135">
      <w:pPr>
        <w:numPr>
          <w:ilvl w:val="0"/>
          <w:numId w:val="61"/>
        </w:numPr>
        <w:spacing w:line="276" w:lineRule="auto"/>
        <w:ind w:left="709" w:hanging="283"/>
        <w:contextualSpacing/>
        <w:jc w:val="both"/>
        <w:rPr>
          <w:rFonts w:ascii="Arial" w:eastAsia="Calibri" w:hAnsi="Arial" w:cs="Arial"/>
          <w:sz w:val="20"/>
          <w:szCs w:val="20"/>
        </w:rPr>
      </w:pPr>
      <w:r>
        <w:rPr>
          <w:rFonts w:ascii="Arial" w:eastAsia="Calibri" w:hAnsi="Arial" w:cs="Arial"/>
          <w:b/>
          <w:sz w:val="20"/>
          <w:szCs w:val="20"/>
        </w:rPr>
        <w:t>Peer review by</w:t>
      </w:r>
      <w:r w:rsidR="001F515C" w:rsidRPr="00CD0BEB">
        <w:rPr>
          <w:rFonts w:ascii="Arial" w:eastAsia="Calibri" w:hAnsi="Arial" w:cs="Arial"/>
          <w:b/>
          <w:sz w:val="20"/>
          <w:szCs w:val="20"/>
        </w:rPr>
        <w:t xml:space="preserve"> other councils</w:t>
      </w:r>
      <w:r w:rsidR="001F515C" w:rsidRPr="00CD0BEB">
        <w:rPr>
          <w:rFonts w:ascii="Arial" w:eastAsia="Calibri" w:hAnsi="Arial" w:cs="Arial"/>
          <w:sz w:val="20"/>
          <w:szCs w:val="20"/>
        </w:rPr>
        <w:t xml:space="preserve"> of development applications</w:t>
      </w:r>
      <w:r w:rsidR="00862952" w:rsidRPr="00CD0BEB">
        <w:rPr>
          <w:rFonts w:ascii="Arial" w:eastAsia="Calibri" w:hAnsi="Arial" w:cs="Arial"/>
          <w:sz w:val="20"/>
          <w:szCs w:val="20"/>
        </w:rPr>
        <w:t>;</w:t>
      </w:r>
      <w:r w:rsidR="001F515C" w:rsidRPr="00CD0BEB">
        <w:rPr>
          <w:rFonts w:ascii="Arial" w:eastAsia="Calibri" w:hAnsi="Arial" w:cs="Arial"/>
          <w:sz w:val="20"/>
          <w:szCs w:val="20"/>
        </w:rPr>
        <w:t xml:space="preserve"> </w:t>
      </w:r>
    </w:p>
    <w:p w14:paraId="3161DC3E" w14:textId="77777777" w:rsidR="00731135" w:rsidRDefault="00731135" w:rsidP="00731135">
      <w:pPr>
        <w:pStyle w:val="ListParagraph"/>
        <w:rPr>
          <w:rFonts w:ascii="Arial" w:eastAsia="Calibri" w:hAnsi="Arial" w:cs="Arial"/>
          <w:sz w:val="20"/>
          <w:szCs w:val="20"/>
        </w:rPr>
      </w:pPr>
    </w:p>
    <w:p w14:paraId="43AB915B" w14:textId="1AD64559" w:rsidR="001F515C" w:rsidRDefault="001F515C" w:rsidP="00731135">
      <w:pPr>
        <w:numPr>
          <w:ilvl w:val="0"/>
          <w:numId w:val="61"/>
        </w:numPr>
        <w:spacing w:line="276" w:lineRule="auto"/>
        <w:ind w:left="709" w:hanging="283"/>
        <w:contextualSpacing/>
        <w:jc w:val="both"/>
        <w:rPr>
          <w:rFonts w:ascii="Arial" w:eastAsia="Calibri" w:hAnsi="Arial" w:cs="Arial"/>
          <w:sz w:val="20"/>
          <w:szCs w:val="20"/>
        </w:rPr>
      </w:pPr>
      <w:r w:rsidRPr="00CD0BEB">
        <w:rPr>
          <w:rFonts w:ascii="Arial" w:eastAsia="Calibri" w:hAnsi="Arial" w:cs="Arial"/>
          <w:b/>
          <w:sz w:val="20"/>
          <w:szCs w:val="20"/>
        </w:rPr>
        <w:t>Establishment of incorporated entities</w:t>
      </w:r>
      <w:r w:rsidRPr="00CD0BEB">
        <w:rPr>
          <w:rFonts w:ascii="Arial" w:eastAsia="Calibri" w:hAnsi="Arial" w:cs="Arial"/>
          <w:sz w:val="20"/>
          <w:szCs w:val="20"/>
        </w:rPr>
        <w:t xml:space="preserve"> such as the 2013 establishment of the  Blue Mountains Economic Entity to drive economic outcomes in most productive and cost effective manner</w:t>
      </w:r>
      <w:r w:rsidR="001A60D1" w:rsidRPr="00CD0BEB">
        <w:rPr>
          <w:rFonts w:ascii="Arial" w:eastAsia="Calibri" w:hAnsi="Arial" w:cs="Arial"/>
          <w:sz w:val="20"/>
          <w:szCs w:val="20"/>
        </w:rPr>
        <w:t>;</w:t>
      </w:r>
    </w:p>
    <w:p w14:paraId="625E2CDF" w14:textId="77777777" w:rsidR="00731135" w:rsidRDefault="00731135" w:rsidP="00731135">
      <w:pPr>
        <w:pStyle w:val="ListParagraph"/>
        <w:rPr>
          <w:rFonts w:ascii="Arial" w:eastAsia="Calibri" w:hAnsi="Arial" w:cs="Arial"/>
          <w:sz w:val="20"/>
          <w:szCs w:val="20"/>
        </w:rPr>
      </w:pPr>
    </w:p>
    <w:p w14:paraId="5F84B0DE" w14:textId="292F200E" w:rsidR="001F515C" w:rsidRDefault="001F515C" w:rsidP="00731135">
      <w:pPr>
        <w:pStyle w:val="ListParagraph"/>
        <w:numPr>
          <w:ilvl w:val="0"/>
          <w:numId w:val="61"/>
        </w:numPr>
        <w:spacing w:line="276" w:lineRule="auto"/>
        <w:ind w:left="709" w:hanging="283"/>
        <w:jc w:val="both"/>
        <w:rPr>
          <w:rFonts w:ascii="Arial" w:hAnsi="Arial" w:cs="Arial"/>
          <w:sz w:val="20"/>
          <w:szCs w:val="20"/>
          <w:lang w:val="en-US"/>
        </w:rPr>
      </w:pPr>
      <w:r w:rsidRPr="00CD0BEB">
        <w:rPr>
          <w:rFonts w:ascii="Arial" w:eastAsia="Calibri" w:hAnsi="Arial" w:cs="Arial"/>
          <w:b/>
          <w:sz w:val="20"/>
          <w:szCs w:val="20"/>
        </w:rPr>
        <w:t xml:space="preserve">Commercial activities that generate income including </w:t>
      </w:r>
      <w:r w:rsidRPr="00CD0BEB">
        <w:rPr>
          <w:rFonts w:ascii="Arial" w:hAnsi="Arial" w:cs="Arial"/>
          <w:sz w:val="20"/>
          <w:szCs w:val="20"/>
          <w:lang w:val="en-US"/>
        </w:rPr>
        <w:t>Tourism Parks, a commercial property portfolio, an effluent collection service and a Roads and Maritime Service through the Council’s front counter</w:t>
      </w:r>
      <w:r w:rsidR="001A60D1" w:rsidRPr="00CD0BEB">
        <w:rPr>
          <w:rFonts w:ascii="Arial" w:hAnsi="Arial" w:cs="Arial"/>
          <w:sz w:val="20"/>
          <w:szCs w:val="20"/>
          <w:lang w:val="en-US"/>
        </w:rPr>
        <w:t>;</w:t>
      </w:r>
      <w:r w:rsidRPr="00CD0BEB">
        <w:rPr>
          <w:rFonts w:ascii="Arial" w:hAnsi="Arial" w:cs="Arial"/>
          <w:sz w:val="20"/>
          <w:szCs w:val="20"/>
          <w:lang w:val="en-US"/>
        </w:rPr>
        <w:t xml:space="preserve"> and</w:t>
      </w:r>
    </w:p>
    <w:p w14:paraId="73E1CA6D" w14:textId="77777777" w:rsidR="00731135" w:rsidRPr="00731135" w:rsidRDefault="00731135" w:rsidP="00731135">
      <w:pPr>
        <w:pStyle w:val="ListParagraph"/>
        <w:rPr>
          <w:rFonts w:ascii="Arial" w:hAnsi="Arial" w:cs="Arial"/>
          <w:sz w:val="20"/>
          <w:szCs w:val="20"/>
          <w:lang w:val="en-US"/>
        </w:rPr>
      </w:pPr>
    </w:p>
    <w:p w14:paraId="2EC43622" w14:textId="1858593F" w:rsidR="001F515C" w:rsidRPr="00CD0BEB" w:rsidRDefault="001F515C" w:rsidP="00731135">
      <w:pPr>
        <w:numPr>
          <w:ilvl w:val="0"/>
          <w:numId w:val="61"/>
        </w:numPr>
        <w:spacing w:line="276" w:lineRule="auto"/>
        <w:ind w:left="709" w:hanging="283"/>
        <w:contextualSpacing/>
        <w:jc w:val="both"/>
        <w:rPr>
          <w:rFonts w:ascii="Arial" w:hAnsi="Arial" w:cs="Arial"/>
          <w:sz w:val="20"/>
          <w:szCs w:val="20"/>
          <w:lang w:val="en-US"/>
        </w:rPr>
      </w:pPr>
      <w:r w:rsidRPr="00CD0BEB">
        <w:rPr>
          <w:rFonts w:ascii="Arial" w:eastAsia="Calibri" w:hAnsi="Arial" w:cs="Arial"/>
          <w:b/>
          <w:sz w:val="20"/>
          <w:szCs w:val="20"/>
        </w:rPr>
        <w:t>Limited use of consultants and contractors</w:t>
      </w:r>
      <w:r w:rsidRPr="00CD0BEB">
        <w:rPr>
          <w:rFonts w:ascii="Arial" w:eastAsia="Calibri" w:hAnsi="Arial" w:cs="Arial"/>
          <w:sz w:val="20"/>
          <w:szCs w:val="20"/>
        </w:rPr>
        <w:t xml:space="preserve"> </w:t>
      </w:r>
      <w:r w:rsidR="00C030EE">
        <w:rPr>
          <w:rFonts w:ascii="Arial" w:eastAsia="Calibri" w:hAnsi="Arial" w:cs="Arial"/>
          <w:sz w:val="20"/>
          <w:szCs w:val="20"/>
        </w:rPr>
        <w:t xml:space="preserve">on a case by case basis, </w:t>
      </w:r>
      <w:r w:rsidRPr="00CD0BEB">
        <w:rPr>
          <w:rFonts w:ascii="Arial" w:eastAsia="Calibri" w:hAnsi="Arial" w:cs="Arial"/>
          <w:sz w:val="20"/>
          <w:szCs w:val="20"/>
        </w:rPr>
        <w:t>for specialised projects requiring skills and expertise not available within the organisation</w:t>
      </w:r>
      <w:r w:rsidR="00C030EE">
        <w:rPr>
          <w:rFonts w:ascii="Arial" w:eastAsia="Calibri" w:hAnsi="Arial" w:cs="Arial"/>
          <w:sz w:val="20"/>
          <w:szCs w:val="20"/>
        </w:rPr>
        <w:t>, for building internal capacity</w:t>
      </w:r>
      <w:r w:rsidRPr="00CD0BEB">
        <w:rPr>
          <w:rFonts w:ascii="Arial" w:eastAsia="Calibri" w:hAnsi="Arial" w:cs="Arial"/>
          <w:sz w:val="20"/>
          <w:szCs w:val="20"/>
        </w:rPr>
        <w:t xml:space="preserve"> and for risk mitigation. As shown in chart below, annual expenditure on consultants has decreased by over $1 million since 2009/10</w:t>
      </w:r>
      <w:r w:rsidR="00862952" w:rsidRPr="00CD0BEB">
        <w:rPr>
          <w:rFonts w:ascii="Arial" w:eastAsia="Calibri" w:hAnsi="Arial" w:cs="Arial"/>
          <w:sz w:val="20"/>
          <w:szCs w:val="20"/>
        </w:rPr>
        <w:t>.</w:t>
      </w:r>
    </w:p>
    <w:p w14:paraId="58269E9C" w14:textId="77777777" w:rsidR="00F35169" w:rsidRDefault="00F35169" w:rsidP="00731135">
      <w:pPr>
        <w:spacing w:line="276" w:lineRule="auto"/>
        <w:jc w:val="both"/>
        <w:rPr>
          <w:rFonts w:ascii="Arial" w:hAnsi="Arial" w:cs="Arial"/>
          <w:b/>
          <w:bCs/>
          <w:sz w:val="18"/>
          <w:szCs w:val="18"/>
        </w:rPr>
      </w:pPr>
    </w:p>
    <w:p w14:paraId="220DD596" w14:textId="77777777" w:rsidR="00731135" w:rsidRDefault="00731135">
      <w:pPr>
        <w:rPr>
          <w:rFonts w:ascii="Arial" w:hAnsi="Arial" w:cs="Arial"/>
          <w:b/>
          <w:bCs/>
          <w:sz w:val="18"/>
          <w:szCs w:val="18"/>
        </w:rPr>
      </w:pPr>
      <w:r>
        <w:rPr>
          <w:rFonts w:ascii="Arial" w:hAnsi="Arial" w:cs="Arial"/>
          <w:b/>
          <w:bCs/>
          <w:sz w:val="18"/>
          <w:szCs w:val="18"/>
        </w:rPr>
        <w:br w:type="page"/>
      </w:r>
    </w:p>
    <w:p w14:paraId="71046B12" w14:textId="31D70CAB" w:rsidR="001F515C" w:rsidRPr="00A32C0F" w:rsidRDefault="001F515C" w:rsidP="001F515C">
      <w:pPr>
        <w:spacing w:line="360" w:lineRule="auto"/>
        <w:jc w:val="both"/>
        <w:rPr>
          <w:rFonts w:ascii="Arial" w:hAnsi="Arial" w:cs="Arial"/>
          <w:b/>
          <w:bCs/>
          <w:sz w:val="18"/>
          <w:szCs w:val="18"/>
        </w:rPr>
      </w:pPr>
      <w:r w:rsidRPr="00A32C0F">
        <w:rPr>
          <w:rFonts w:ascii="Arial" w:hAnsi="Arial" w:cs="Arial"/>
          <w:b/>
          <w:bCs/>
          <w:sz w:val="18"/>
          <w:szCs w:val="18"/>
        </w:rPr>
        <w:t>Figure 7.</w:t>
      </w:r>
      <w:r>
        <w:rPr>
          <w:rFonts w:ascii="Arial" w:hAnsi="Arial" w:cs="Arial"/>
          <w:b/>
          <w:bCs/>
          <w:sz w:val="18"/>
          <w:szCs w:val="18"/>
        </w:rPr>
        <w:t>2</w:t>
      </w:r>
      <w:r w:rsidR="009962E4">
        <w:rPr>
          <w:rFonts w:ascii="Arial" w:hAnsi="Arial" w:cs="Arial"/>
          <w:b/>
          <w:bCs/>
          <w:sz w:val="18"/>
          <w:szCs w:val="18"/>
        </w:rPr>
        <w:t xml:space="preserve">: </w:t>
      </w:r>
      <w:r w:rsidRPr="00A32C0F">
        <w:rPr>
          <w:rFonts w:ascii="Arial" w:hAnsi="Arial" w:cs="Arial"/>
          <w:b/>
          <w:bCs/>
          <w:sz w:val="18"/>
          <w:szCs w:val="18"/>
        </w:rPr>
        <w:t xml:space="preserve"> </w:t>
      </w:r>
      <w:r>
        <w:rPr>
          <w:rFonts w:ascii="Arial" w:hAnsi="Arial" w:cs="Arial"/>
          <w:b/>
          <w:bCs/>
          <w:sz w:val="18"/>
          <w:szCs w:val="18"/>
        </w:rPr>
        <w:t xml:space="preserve">Reduction in </w:t>
      </w:r>
      <w:r w:rsidR="00862952">
        <w:rPr>
          <w:rFonts w:ascii="Arial" w:hAnsi="Arial" w:cs="Arial"/>
          <w:b/>
          <w:bCs/>
          <w:sz w:val="18"/>
          <w:szCs w:val="18"/>
        </w:rPr>
        <w:t xml:space="preserve">BMCC </w:t>
      </w:r>
      <w:r>
        <w:rPr>
          <w:rFonts w:ascii="Arial" w:hAnsi="Arial" w:cs="Arial"/>
          <w:b/>
          <w:bCs/>
          <w:sz w:val="18"/>
          <w:szCs w:val="18"/>
        </w:rPr>
        <w:t>Expenditure on Consultants</w:t>
      </w:r>
      <w:r w:rsidR="00862952">
        <w:rPr>
          <w:rFonts w:ascii="Arial" w:hAnsi="Arial" w:cs="Arial"/>
          <w:b/>
          <w:bCs/>
          <w:sz w:val="18"/>
          <w:szCs w:val="18"/>
        </w:rPr>
        <w:t xml:space="preserve"> (2009/10 - 2014/15)</w:t>
      </w:r>
    </w:p>
    <w:p w14:paraId="518C793D" w14:textId="77777777" w:rsidR="001F515C" w:rsidRPr="00057853" w:rsidRDefault="001F515C" w:rsidP="001F515C">
      <w:pPr>
        <w:spacing w:line="360" w:lineRule="auto"/>
        <w:jc w:val="both"/>
        <w:rPr>
          <w:rFonts w:ascii="Arial" w:hAnsi="Arial" w:cs="Arial"/>
          <w:sz w:val="21"/>
          <w:szCs w:val="21"/>
          <w:lang w:val="en-US" w:eastAsia="en-US"/>
        </w:rPr>
      </w:pPr>
      <w:r w:rsidRPr="00057853">
        <w:rPr>
          <w:noProof/>
          <w:sz w:val="21"/>
          <w:szCs w:val="21"/>
        </w:rPr>
        <w:drawing>
          <wp:inline distT="0" distB="0" distL="0" distR="0" wp14:anchorId="42CE561F" wp14:editId="00946DD1">
            <wp:extent cx="5086350" cy="343852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3B9CFECF" w14:textId="36ACA1B8" w:rsidR="001F515C" w:rsidRPr="00057853" w:rsidRDefault="001F515C" w:rsidP="00B56F0E">
      <w:pPr>
        <w:pStyle w:val="Heading3"/>
        <w:tabs>
          <w:tab w:val="clear" w:pos="1844"/>
          <w:tab w:val="num" w:pos="709"/>
        </w:tabs>
        <w:ind w:left="709"/>
        <w:rPr>
          <w:lang w:val="en-US" w:eastAsia="en-US"/>
        </w:rPr>
      </w:pPr>
      <w:r w:rsidRPr="00057853">
        <w:rPr>
          <w:lang w:val="en-US" w:eastAsia="en-US"/>
        </w:rPr>
        <w:t xml:space="preserve">Community Perception of Value for </w:t>
      </w:r>
      <w:r>
        <w:rPr>
          <w:lang w:val="en-US" w:eastAsia="en-US"/>
        </w:rPr>
        <w:t>Money</w:t>
      </w:r>
    </w:p>
    <w:p w14:paraId="10E81202" w14:textId="1C94C545" w:rsidR="001F515C" w:rsidRPr="00CD0BEB" w:rsidRDefault="001F515C" w:rsidP="00731135">
      <w:pPr>
        <w:spacing w:before="240" w:line="276" w:lineRule="auto"/>
        <w:jc w:val="both"/>
        <w:rPr>
          <w:rFonts w:ascii="Arial" w:hAnsi="Arial" w:cs="Arial"/>
          <w:sz w:val="20"/>
          <w:szCs w:val="20"/>
          <w:lang w:val="en-US" w:eastAsia="en-US"/>
        </w:rPr>
      </w:pPr>
      <w:r w:rsidRPr="00CD0BEB">
        <w:rPr>
          <w:rFonts w:ascii="Arial" w:hAnsi="Arial" w:cs="Arial"/>
          <w:sz w:val="20"/>
          <w:szCs w:val="20"/>
          <w:lang w:val="en-US" w:eastAsia="en-US"/>
        </w:rPr>
        <w:t xml:space="preserve">Through </w:t>
      </w:r>
      <w:r w:rsidR="009962E4" w:rsidRPr="00CD0BEB">
        <w:rPr>
          <w:rFonts w:ascii="Arial" w:hAnsi="Arial" w:cs="Arial"/>
          <w:sz w:val="20"/>
          <w:szCs w:val="20"/>
          <w:lang w:val="en-US" w:eastAsia="en-US"/>
        </w:rPr>
        <w:t xml:space="preserve">the </w:t>
      </w:r>
      <w:r w:rsidRPr="00CD0BEB">
        <w:rPr>
          <w:rFonts w:ascii="Arial" w:hAnsi="Arial" w:cs="Arial"/>
          <w:sz w:val="20"/>
          <w:szCs w:val="20"/>
          <w:lang w:val="en-US" w:eastAsia="en-US"/>
        </w:rPr>
        <w:t xml:space="preserve">annual survey of resident satisfaction with Council </w:t>
      </w:r>
      <w:r w:rsidR="009962E4" w:rsidRPr="00CD0BEB">
        <w:rPr>
          <w:rFonts w:ascii="Arial" w:hAnsi="Arial" w:cs="Arial"/>
          <w:sz w:val="20"/>
          <w:szCs w:val="20"/>
          <w:lang w:val="en-US" w:eastAsia="en-US"/>
        </w:rPr>
        <w:t xml:space="preserve">performance and </w:t>
      </w:r>
      <w:r w:rsidRPr="00CD0BEB">
        <w:rPr>
          <w:rFonts w:ascii="Arial" w:hAnsi="Arial" w:cs="Arial"/>
          <w:sz w:val="20"/>
          <w:szCs w:val="20"/>
          <w:lang w:val="en-US" w:eastAsia="en-US"/>
        </w:rPr>
        <w:t xml:space="preserve">service delivery, the Council measures the community’s view as to whether they </w:t>
      </w:r>
      <w:r w:rsidR="009E2FB7">
        <w:rPr>
          <w:rFonts w:ascii="Arial" w:hAnsi="Arial" w:cs="Arial"/>
          <w:sz w:val="20"/>
          <w:szCs w:val="20"/>
          <w:lang w:val="en-US" w:eastAsia="en-US"/>
        </w:rPr>
        <w:t xml:space="preserve">are </w:t>
      </w:r>
      <w:r w:rsidRPr="00CD0BEB">
        <w:rPr>
          <w:rFonts w:ascii="Arial" w:hAnsi="Arial" w:cs="Arial"/>
          <w:sz w:val="20"/>
          <w:szCs w:val="20"/>
          <w:lang w:val="en-US" w:eastAsia="en-US"/>
        </w:rPr>
        <w:t>receiving value for the rates they pay. As shown in the table below, community satisfaction in this area has increased each year. This is in the context of major community engagement on significant reform to the rating structure as well as community engagement in 2010/11</w:t>
      </w:r>
      <w:r w:rsidR="00862952" w:rsidRPr="00CD0BEB">
        <w:rPr>
          <w:rFonts w:ascii="Arial" w:hAnsi="Arial" w:cs="Arial"/>
          <w:sz w:val="20"/>
          <w:szCs w:val="20"/>
          <w:lang w:val="en-US" w:eastAsia="en-US"/>
        </w:rPr>
        <w:t>,</w:t>
      </w:r>
      <w:r w:rsidRPr="00CD0BEB">
        <w:rPr>
          <w:rFonts w:ascii="Arial" w:hAnsi="Arial" w:cs="Arial"/>
          <w:sz w:val="20"/>
          <w:szCs w:val="20"/>
          <w:lang w:val="en-US" w:eastAsia="en-US"/>
        </w:rPr>
        <w:t xml:space="preserve"> 2012/13 </w:t>
      </w:r>
      <w:r w:rsidR="00862952" w:rsidRPr="00CD0BEB">
        <w:rPr>
          <w:rFonts w:ascii="Arial" w:hAnsi="Arial" w:cs="Arial"/>
          <w:sz w:val="20"/>
          <w:szCs w:val="20"/>
          <w:lang w:val="en-US" w:eastAsia="en-US"/>
        </w:rPr>
        <w:t xml:space="preserve">and 2014/15 </w:t>
      </w:r>
      <w:r w:rsidRPr="00CD0BEB">
        <w:rPr>
          <w:rFonts w:ascii="Arial" w:hAnsi="Arial" w:cs="Arial"/>
          <w:sz w:val="20"/>
          <w:szCs w:val="20"/>
          <w:lang w:val="en-US" w:eastAsia="en-US"/>
        </w:rPr>
        <w:t>on possible special rate variations</w:t>
      </w:r>
      <w:r w:rsidR="00862952" w:rsidRPr="00CD0BEB">
        <w:rPr>
          <w:rFonts w:ascii="Arial" w:hAnsi="Arial" w:cs="Arial"/>
          <w:sz w:val="20"/>
          <w:szCs w:val="20"/>
          <w:lang w:val="en-US" w:eastAsia="en-US"/>
        </w:rPr>
        <w:t xml:space="preserve"> and affordable service levels</w:t>
      </w:r>
      <w:r w:rsidRPr="00CD0BEB">
        <w:rPr>
          <w:rFonts w:ascii="Arial" w:hAnsi="Arial" w:cs="Arial"/>
          <w:sz w:val="20"/>
          <w:szCs w:val="20"/>
          <w:lang w:val="en-US" w:eastAsia="en-US"/>
        </w:rPr>
        <w:t xml:space="preserve">. </w:t>
      </w:r>
    </w:p>
    <w:p w14:paraId="3207A328" w14:textId="77777777" w:rsidR="001F515C" w:rsidRDefault="001F515C" w:rsidP="001F515C">
      <w:pPr>
        <w:spacing w:line="360" w:lineRule="auto"/>
        <w:jc w:val="both"/>
        <w:rPr>
          <w:rFonts w:ascii="Arial" w:hAnsi="Arial" w:cs="Arial"/>
          <w:sz w:val="21"/>
          <w:szCs w:val="21"/>
          <w:lang w:val="en-US" w:eastAsia="en-US"/>
        </w:rPr>
      </w:pPr>
    </w:p>
    <w:p w14:paraId="6A0AF37F" w14:textId="49D20833" w:rsidR="001F515C" w:rsidRPr="00B225C2" w:rsidRDefault="001F515C" w:rsidP="001F515C">
      <w:pPr>
        <w:spacing w:line="360" w:lineRule="auto"/>
        <w:jc w:val="both"/>
        <w:rPr>
          <w:rFonts w:ascii="Arial" w:hAnsi="Arial" w:cs="Arial"/>
          <w:b/>
          <w:sz w:val="20"/>
          <w:szCs w:val="20"/>
          <w:lang w:val="en-US" w:eastAsia="en-US"/>
        </w:rPr>
      </w:pPr>
      <w:r w:rsidRPr="00B225C2">
        <w:rPr>
          <w:rFonts w:ascii="Arial" w:hAnsi="Arial" w:cs="Arial"/>
          <w:b/>
          <w:sz w:val="20"/>
          <w:szCs w:val="20"/>
          <w:lang w:val="en-US" w:eastAsia="en-US"/>
        </w:rPr>
        <w:t xml:space="preserve">Table 7.1: Annual </w:t>
      </w:r>
      <w:r w:rsidR="00862952" w:rsidRPr="00B225C2">
        <w:rPr>
          <w:rFonts w:ascii="Arial" w:hAnsi="Arial" w:cs="Arial"/>
          <w:b/>
          <w:sz w:val="20"/>
          <w:szCs w:val="20"/>
          <w:lang w:val="en-US" w:eastAsia="en-US"/>
        </w:rPr>
        <w:t xml:space="preserve">BMCC </w:t>
      </w:r>
      <w:r w:rsidRPr="00B225C2">
        <w:rPr>
          <w:rFonts w:ascii="Arial" w:hAnsi="Arial" w:cs="Arial"/>
          <w:b/>
          <w:sz w:val="20"/>
          <w:szCs w:val="20"/>
          <w:lang w:val="en-US" w:eastAsia="en-US"/>
        </w:rPr>
        <w:t xml:space="preserve">Community Survey </w:t>
      </w:r>
      <w:r w:rsidR="00862952" w:rsidRPr="00B225C2">
        <w:rPr>
          <w:rFonts w:ascii="Arial" w:hAnsi="Arial" w:cs="Arial"/>
          <w:b/>
          <w:sz w:val="20"/>
          <w:szCs w:val="20"/>
          <w:lang w:val="en-US" w:eastAsia="en-US"/>
        </w:rPr>
        <w:t xml:space="preserve">- </w:t>
      </w:r>
      <w:r w:rsidRPr="00B225C2">
        <w:rPr>
          <w:rFonts w:ascii="Arial" w:hAnsi="Arial" w:cs="Arial"/>
          <w:b/>
          <w:sz w:val="20"/>
          <w:szCs w:val="20"/>
          <w:lang w:val="en-US" w:eastAsia="en-US"/>
        </w:rPr>
        <w:t>Value for Money Rating</w:t>
      </w:r>
      <w:r w:rsidR="00F35169" w:rsidRPr="00B225C2">
        <w:rPr>
          <w:rFonts w:ascii="Arial" w:hAnsi="Arial" w:cs="Arial"/>
          <w:b/>
          <w:sz w:val="20"/>
          <w:szCs w:val="20"/>
          <w:lang w:val="en-US" w:eastAsia="en-US"/>
        </w:rPr>
        <w:t xml:space="preserve"> (2011 – 2014)</w:t>
      </w:r>
    </w:p>
    <w:tbl>
      <w:tblPr>
        <w:tblW w:w="7376" w:type="dxa"/>
        <w:tblInd w:w="103" w:type="dxa"/>
        <w:tblCellMar>
          <w:left w:w="0" w:type="dxa"/>
          <w:right w:w="0" w:type="dxa"/>
        </w:tblCellMar>
        <w:tblLook w:val="04A0" w:firstRow="1" w:lastRow="0" w:firstColumn="1" w:lastColumn="0" w:noHBand="0" w:noVBand="1"/>
      </w:tblPr>
      <w:tblGrid>
        <w:gridCol w:w="2440"/>
        <w:gridCol w:w="960"/>
        <w:gridCol w:w="960"/>
        <w:gridCol w:w="960"/>
        <w:gridCol w:w="960"/>
        <w:gridCol w:w="1096"/>
      </w:tblGrid>
      <w:tr w:rsidR="001F515C" w:rsidRPr="00057853" w14:paraId="08321EFE" w14:textId="77777777" w:rsidTr="003F6431">
        <w:trPr>
          <w:trHeight w:val="630"/>
        </w:trPr>
        <w:tc>
          <w:tcPr>
            <w:tcW w:w="2440" w:type="dxa"/>
            <w:tcBorders>
              <w:top w:val="single" w:sz="8" w:space="0" w:color="808080"/>
              <w:left w:val="single" w:sz="8" w:space="0" w:color="808080"/>
              <w:bottom w:val="single" w:sz="8" w:space="0" w:color="808080"/>
              <w:right w:val="single" w:sz="8" w:space="0" w:color="808080"/>
            </w:tcBorders>
            <w:shd w:val="clear" w:color="auto" w:fill="95B3D7"/>
            <w:noWrap/>
            <w:tcMar>
              <w:top w:w="0" w:type="dxa"/>
              <w:left w:w="108" w:type="dxa"/>
              <w:bottom w:w="0" w:type="dxa"/>
              <w:right w:w="108" w:type="dxa"/>
            </w:tcMar>
            <w:vAlign w:val="bottom"/>
            <w:hideMark/>
          </w:tcPr>
          <w:p w14:paraId="412C314B" w14:textId="77777777" w:rsidR="001F515C" w:rsidRPr="00057853" w:rsidRDefault="001F515C" w:rsidP="003F6431">
            <w:pPr>
              <w:jc w:val="both"/>
              <w:rPr>
                <w:rFonts w:ascii="Calibri" w:eastAsia="Calibri" w:hAnsi="Calibri"/>
                <w:color w:val="000000"/>
                <w:sz w:val="21"/>
                <w:szCs w:val="21"/>
              </w:rPr>
            </w:pPr>
            <w:r w:rsidRPr="00057853">
              <w:rPr>
                <w:rFonts w:ascii="Calibri" w:eastAsia="Calibri" w:hAnsi="Calibri"/>
                <w:color w:val="000000"/>
                <w:sz w:val="21"/>
                <w:szCs w:val="21"/>
              </w:rPr>
              <w:t> </w:t>
            </w:r>
          </w:p>
        </w:tc>
        <w:tc>
          <w:tcPr>
            <w:tcW w:w="3840" w:type="dxa"/>
            <w:gridSpan w:val="4"/>
            <w:tcBorders>
              <w:top w:val="single" w:sz="8" w:space="0" w:color="808080"/>
              <w:left w:val="nil"/>
              <w:bottom w:val="single" w:sz="8" w:space="0" w:color="808080"/>
              <w:right w:val="single" w:sz="8" w:space="0" w:color="808080"/>
            </w:tcBorders>
            <w:shd w:val="clear" w:color="auto" w:fill="95B3D7"/>
            <w:tcMar>
              <w:top w:w="0" w:type="dxa"/>
              <w:left w:w="108" w:type="dxa"/>
              <w:bottom w:w="0" w:type="dxa"/>
              <w:right w:w="108" w:type="dxa"/>
            </w:tcMar>
            <w:vAlign w:val="center"/>
            <w:hideMark/>
          </w:tcPr>
          <w:p w14:paraId="576BE223" w14:textId="77777777" w:rsidR="001F515C" w:rsidRPr="00057853" w:rsidRDefault="001F515C" w:rsidP="003F6431">
            <w:pPr>
              <w:jc w:val="center"/>
              <w:rPr>
                <w:rFonts w:ascii="Calibri" w:eastAsia="Calibri" w:hAnsi="Calibri"/>
                <w:b/>
                <w:bCs/>
                <w:color w:val="000000"/>
                <w:sz w:val="21"/>
                <w:szCs w:val="21"/>
              </w:rPr>
            </w:pPr>
            <w:r w:rsidRPr="00057853">
              <w:rPr>
                <w:rFonts w:ascii="Calibri" w:eastAsia="Calibri" w:hAnsi="Calibri"/>
                <w:b/>
                <w:bCs/>
                <w:color w:val="000000"/>
                <w:sz w:val="21"/>
                <w:szCs w:val="21"/>
              </w:rPr>
              <w:t>Mean Performance Ratings</w:t>
            </w:r>
            <w:r w:rsidRPr="00057853">
              <w:rPr>
                <w:rFonts w:ascii="Calibri" w:eastAsia="Calibri" w:hAnsi="Calibri"/>
                <w:b/>
                <w:bCs/>
                <w:color w:val="000000"/>
                <w:sz w:val="21"/>
                <w:szCs w:val="21"/>
              </w:rPr>
              <w:br/>
              <w:t>(Out of 5)</w:t>
            </w:r>
          </w:p>
        </w:tc>
        <w:tc>
          <w:tcPr>
            <w:tcW w:w="1096" w:type="dxa"/>
            <w:tcBorders>
              <w:top w:val="single" w:sz="8" w:space="0" w:color="808080"/>
              <w:left w:val="nil"/>
              <w:bottom w:val="single" w:sz="8" w:space="0" w:color="808080"/>
              <w:right w:val="single" w:sz="8" w:space="0" w:color="808080"/>
            </w:tcBorders>
            <w:shd w:val="clear" w:color="auto" w:fill="95B3D7"/>
            <w:noWrap/>
            <w:tcMar>
              <w:top w:w="0" w:type="dxa"/>
              <w:left w:w="108" w:type="dxa"/>
              <w:bottom w:w="0" w:type="dxa"/>
              <w:right w:w="108" w:type="dxa"/>
            </w:tcMar>
            <w:vAlign w:val="center"/>
            <w:hideMark/>
          </w:tcPr>
          <w:p w14:paraId="60CF3506" w14:textId="77777777" w:rsidR="001F515C" w:rsidRPr="00057853" w:rsidRDefault="001F515C" w:rsidP="003F6431">
            <w:pPr>
              <w:jc w:val="center"/>
              <w:rPr>
                <w:rFonts w:ascii="Calibri" w:eastAsia="Calibri" w:hAnsi="Calibri"/>
                <w:b/>
                <w:bCs/>
                <w:color w:val="000000"/>
                <w:sz w:val="21"/>
                <w:szCs w:val="21"/>
              </w:rPr>
            </w:pPr>
            <w:r w:rsidRPr="00057853">
              <w:rPr>
                <w:rFonts w:ascii="Calibri" w:eastAsia="Calibri" w:hAnsi="Calibri"/>
                <w:b/>
                <w:bCs/>
                <w:color w:val="000000"/>
                <w:sz w:val="21"/>
                <w:szCs w:val="21"/>
              </w:rPr>
              <w:t> </w:t>
            </w:r>
          </w:p>
        </w:tc>
      </w:tr>
      <w:tr w:rsidR="001F515C" w:rsidRPr="00057853" w14:paraId="0C58FF10" w14:textId="77777777" w:rsidTr="003F6431">
        <w:trPr>
          <w:trHeight w:val="600"/>
        </w:trPr>
        <w:tc>
          <w:tcPr>
            <w:tcW w:w="2440" w:type="dxa"/>
            <w:tcBorders>
              <w:top w:val="nil"/>
              <w:left w:val="single" w:sz="8" w:space="0" w:color="808080"/>
              <w:bottom w:val="single" w:sz="8" w:space="0" w:color="808080"/>
              <w:right w:val="single" w:sz="8" w:space="0" w:color="808080"/>
            </w:tcBorders>
            <w:noWrap/>
            <w:tcMar>
              <w:top w:w="0" w:type="dxa"/>
              <w:left w:w="108" w:type="dxa"/>
              <w:bottom w:w="0" w:type="dxa"/>
              <w:right w:w="108" w:type="dxa"/>
            </w:tcMar>
            <w:vAlign w:val="center"/>
            <w:hideMark/>
          </w:tcPr>
          <w:p w14:paraId="05DBBAC3" w14:textId="77777777" w:rsidR="001F515C" w:rsidRPr="00057853" w:rsidRDefault="001F515C" w:rsidP="003F6431">
            <w:pPr>
              <w:jc w:val="both"/>
              <w:rPr>
                <w:rFonts w:ascii="Calibri" w:eastAsia="Calibri" w:hAnsi="Calibri"/>
                <w:b/>
                <w:bCs/>
                <w:color w:val="000000"/>
                <w:sz w:val="21"/>
                <w:szCs w:val="21"/>
              </w:rPr>
            </w:pPr>
            <w:r w:rsidRPr="00057853">
              <w:rPr>
                <w:rFonts w:ascii="Calibri" w:eastAsia="Calibri" w:hAnsi="Calibri"/>
                <w:b/>
                <w:bCs/>
                <w:color w:val="000000"/>
                <w:sz w:val="21"/>
                <w:szCs w:val="21"/>
              </w:rPr>
              <w:t>Key Performance Area</w:t>
            </w:r>
          </w:p>
        </w:tc>
        <w:tc>
          <w:tcPr>
            <w:tcW w:w="960"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14:paraId="59987F10" w14:textId="77777777" w:rsidR="001F515C" w:rsidRPr="00057853" w:rsidRDefault="001F515C" w:rsidP="003F6431">
            <w:pPr>
              <w:jc w:val="center"/>
              <w:rPr>
                <w:rFonts w:ascii="Calibri" w:eastAsia="Calibri" w:hAnsi="Calibri"/>
                <w:b/>
                <w:bCs/>
                <w:color w:val="000000"/>
                <w:sz w:val="21"/>
                <w:szCs w:val="21"/>
              </w:rPr>
            </w:pPr>
            <w:r w:rsidRPr="00057853">
              <w:rPr>
                <w:rFonts w:ascii="Calibri" w:eastAsia="Calibri" w:hAnsi="Calibri"/>
                <w:b/>
                <w:bCs/>
                <w:color w:val="000000"/>
                <w:sz w:val="21"/>
                <w:szCs w:val="21"/>
              </w:rPr>
              <w:t>2011</w:t>
            </w:r>
          </w:p>
        </w:tc>
        <w:tc>
          <w:tcPr>
            <w:tcW w:w="960"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14:paraId="4A4F79CE" w14:textId="77777777" w:rsidR="001F515C" w:rsidRPr="00057853" w:rsidRDefault="001F515C" w:rsidP="003F6431">
            <w:pPr>
              <w:jc w:val="center"/>
              <w:rPr>
                <w:rFonts w:ascii="Calibri" w:eastAsia="Calibri" w:hAnsi="Calibri"/>
                <w:b/>
                <w:bCs/>
                <w:color w:val="000000"/>
                <w:sz w:val="21"/>
                <w:szCs w:val="21"/>
              </w:rPr>
            </w:pPr>
            <w:r w:rsidRPr="00057853">
              <w:rPr>
                <w:rFonts w:ascii="Calibri" w:eastAsia="Calibri" w:hAnsi="Calibri"/>
                <w:b/>
                <w:bCs/>
                <w:color w:val="000000"/>
                <w:sz w:val="21"/>
                <w:szCs w:val="21"/>
              </w:rPr>
              <w:t>2012</w:t>
            </w:r>
          </w:p>
        </w:tc>
        <w:tc>
          <w:tcPr>
            <w:tcW w:w="960"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14:paraId="6600AA60" w14:textId="77777777" w:rsidR="001F515C" w:rsidRPr="00057853" w:rsidRDefault="001F515C" w:rsidP="003F6431">
            <w:pPr>
              <w:jc w:val="center"/>
              <w:rPr>
                <w:rFonts w:ascii="Calibri" w:eastAsia="Calibri" w:hAnsi="Calibri"/>
                <w:b/>
                <w:bCs/>
                <w:color w:val="000000"/>
                <w:sz w:val="21"/>
                <w:szCs w:val="21"/>
              </w:rPr>
            </w:pPr>
            <w:r w:rsidRPr="00057853">
              <w:rPr>
                <w:rFonts w:ascii="Calibri" w:eastAsia="Calibri" w:hAnsi="Calibri"/>
                <w:b/>
                <w:bCs/>
                <w:color w:val="000000"/>
                <w:sz w:val="21"/>
                <w:szCs w:val="21"/>
              </w:rPr>
              <w:t>2013</w:t>
            </w:r>
          </w:p>
        </w:tc>
        <w:tc>
          <w:tcPr>
            <w:tcW w:w="960"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14:paraId="42951D36" w14:textId="77777777" w:rsidR="001F515C" w:rsidRPr="00057853" w:rsidRDefault="001F515C" w:rsidP="003F6431">
            <w:pPr>
              <w:jc w:val="center"/>
              <w:rPr>
                <w:rFonts w:ascii="Calibri" w:eastAsia="Calibri" w:hAnsi="Calibri"/>
                <w:b/>
                <w:bCs/>
                <w:color w:val="000000"/>
                <w:sz w:val="21"/>
                <w:szCs w:val="21"/>
              </w:rPr>
            </w:pPr>
            <w:r w:rsidRPr="00057853">
              <w:rPr>
                <w:rFonts w:ascii="Calibri" w:eastAsia="Calibri" w:hAnsi="Calibri"/>
                <w:b/>
                <w:bCs/>
                <w:color w:val="000000"/>
                <w:sz w:val="21"/>
                <w:szCs w:val="21"/>
              </w:rPr>
              <w:t>2014</w:t>
            </w:r>
          </w:p>
        </w:tc>
        <w:tc>
          <w:tcPr>
            <w:tcW w:w="1096"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D8E6F84" w14:textId="77777777" w:rsidR="001F515C" w:rsidRPr="00057853" w:rsidRDefault="001F515C" w:rsidP="003F6431">
            <w:pPr>
              <w:jc w:val="center"/>
              <w:rPr>
                <w:rFonts w:ascii="Calibri" w:eastAsia="Calibri" w:hAnsi="Calibri"/>
                <w:b/>
                <w:bCs/>
                <w:color w:val="000000"/>
                <w:sz w:val="21"/>
                <w:szCs w:val="21"/>
              </w:rPr>
            </w:pPr>
            <w:r w:rsidRPr="00057853">
              <w:rPr>
                <w:rFonts w:ascii="Calibri" w:eastAsia="Calibri" w:hAnsi="Calibri"/>
                <w:b/>
                <w:bCs/>
                <w:color w:val="000000"/>
                <w:sz w:val="21"/>
                <w:szCs w:val="21"/>
              </w:rPr>
              <w:t>Change</w:t>
            </w:r>
            <w:r w:rsidRPr="00057853">
              <w:rPr>
                <w:rFonts w:ascii="Calibri" w:eastAsia="Calibri" w:hAnsi="Calibri"/>
                <w:b/>
                <w:bCs/>
                <w:color w:val="000000"/>
                <w:sz w:val="21"/>
                <w:szCs w:val="21"/>
              </w:rPr>
              <w:br/>
              <w:t>13-14</w:t>
            </w:r>
          </w:p>
        </w:tc>
      </w:tr>
      <w:tr w:rsidR="001F515C" w:rsidRPr="00057853" w14:paraId="64AA7185" w14:textId="77777777" w:rsidTr="003F6431">
        <w:trPr>
          <w:trHeight w:val="600"/>
        </w:trPr>
        <w:tc>
          <w:tcPr>
            <w:tcW w:w="2440" w:type="dxa"/>
            <w:tcBorders>
              <w:top w:val="nil"/>
              <w:left w:val="single" w:sz="8" w:space="0" w:color="808080"/>
              <w:bottom w:val="single" w:sz="8" w:space="0" w:color="808080"/>
              <w:right w:val="single" w:sz="8" w:space="0" w:color="808080"/>
            </w:tcBorders>
            <w:noWrap/>
            <w:tcMar>
              <w:top w:w="0" w:type="dxa"/>
              <w:left w:w="108" w:type="dxa"/>
              <w:bottom w:w="0" w:type="dxa"/>
              <w:right w:w="108" w:type="dxa"/>
            </w:tcMar>
            <w:vAlign w:val="center"/>
            <w:hideMark/>
          </w:tcPr>
          <w:p w14:paraId="4D3DAFB3" w14:textId="77777777" w:rsidR="001F515C" w:rsidRPr="00057853" w:rsidRDefault="001F515C" w:rsidP="003F6431">
            <w:pPr>
              <w:jc w:val="both"/>
              <w:rPr>
                <w:rFonts w:ascii="Calibri" w:eastAsia="Calibri" w:hAnsi="Calibri"/>
                <w:color w:val="000000"/>
                <w:sz w:val="21"/>
                <w:szCs w:val="21"/>
              </w:rPr>
            </w:pPr>
            <w:r w:rsidRPr="00057853">
              <w:rPr>
                <w:rFonts w:ascii="Calibri" w:eastAsia="Calibri" w:hAnsi="Calibri"/>
                <w:b/>
                <w:bCs/>
                <w:color w:val="000000"/>
                <w:sz w:val="21"/>
                <w:szCs w:val="21"/>
              </w:rPr>
              <w:t>Value</w:t>
            </w:r>
            <w:r w:rsidRPr="00057853">
              <w:rPr>
                <w:rFonts w:ascii="Calibri" w:eastAsia="Calibri" w:hAnsi="Calibri"/>
                <w:color w:val="000000"/>
                <w:sz w:val="21"/>
                <w:szCs w:val="21"/>
              </w:rPr>
              <w:t xml:space="preserve"> </w:t>
            </w:r>
            <w:r w:rsidRPr="00F35169">
              <w:rPr>
                <w:rFonts w:ascii="Calibri" w:eastAsia="Calibri" w:hAnsi="Calibri"/>
                <w:b/>
                <w:color w:val="000000"/>
                <w:sz w:val="21"/>
                <w:szCs w:val="21"/>
              </w:rPr>
              <w:t>for money</w:t>
            </w:r>
          </w:p>
        </w:tc>
        <w:tc>
          <w:tcPr>
            <w:tcW w:w="960"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14:paraId="528A4A48" w14:textId="77777777" w:rsidR="001F515C" w:rsidRPr="00057853" w:rsidRDefault="001F515C" w:rsidP="003F6431">
            <w:pPr>
              <w:jc w:val="center"/>
              <w:rPr>
                <w:rFonts w:ascii="Calibri" w:eastAsia="Calibri" w:hAnsi="Calibri"/>
                <w:color w:val="000000"/>
                <w:sz w:val="21"/>
                <w:szCs w:val="21"/>
              </w:rPr>
            </w:pPr>
            <w:r w:rsidRPr="00057853">
              <w:rPr>
                <w:rFonts w:ascii="Calibri" w:eastAsia="Calibri" w:hAnsi="Calibri"/>
                <w:color w:val="000000"/>
                <w:sz w:val="21"/>
                <w:szCs w:val="21"/>
              </w:rPr>
              <w:t>3.03</w:t>
            </w:r>
          </w:p>
        </w:tc>
        <w:tc>
          <w:tcPr>
            <w:tcW w:w="960"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14:paraId="1E508759" w14:textId="77777777" w:rsidR="001F515C" w:rsidRPr="00057853" w:rsidRDefault="001F515C" w:rsidP="003F6431">
            <w:pPr>
              <w:jc w:val="center"/>
              <w:rPr>
                <w:rFonts w:ascii="Calibri" w:eastAsia="Calibri" w:hAnsi="Calibri"/>
                <w:color w:val="000000"/>
                <w:sz w:val="21"/>
                <w:szCs w:val="21"/>
              </w:rPr>
            </w:pPr>
            <w:r w:rsidRPr="00057853">
              <w:rPr>
                <w:rFonts w:ascii="Calibri" w:eastAsia="Calibri" w:hAnsi="Calibri"/>
                <w:color w:val="000000"/>
                <w:sz w:val="21"/>
                <w:szCs w:val="21"/>
              </w:rPr>
              <w:t>3.26</w:t>
            </w:r>
          </w:p>
        </w:tc>
        <w:tc>
          <w:tcPr>
            <w:tcW w:w="960"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14:paraId="126516FC" w14:textId="77777777" w:rsidR="001F515C" w:rsidRPr="00057853" w:rsidRDefault="001F515C" w:rsidP="003F6431">
            <w:pPr>
              <w:jc w:val="center"/>
              <w:rPr>
                <w:rFonts w:ascii="Calibri" w:eastAsia="Calibri" w:hAnsi="Calibri"/>
                <w:color w:val="000000"/>
                <w:sz w:val="21"/>
                <w:szCs w:val="21"/>
              </w:rPr>
            </w:pPr>
            <w:r w:rsidRPr="00057853">
              <w:rPr>
                <w:rFonts w:ascii="Calibri" w:eastAsia="Calibri" w:hAnsi="Calibri"/>
                <w:color w:val="000000"/>
                <w:sz w:val="21"/>
                <w:szCs w:val="21"/>
              </w:rPr>
              <w:t>3.27</w:t>
            </w:r>
          </w:p>
        </w:tc>
        <w:tc>
          <w:tcPr>
            <w:tcW w:w="960"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14:paraId="4B2F771F" w14:textId="77777777" w:rsidR="001F515C" w:rsidRPr="00057853" w:rsidRDefault="001F515C" w:rsidP="003F6431">
            <w:pPr>
              <w:jc w:val="center"/>
              <w:rPr>
                <w:rFonts w:ascii="Calibri" w:eastAsia="Calibri" w:hAnsi="Calibri"/>
                <w:color w:val="000000"/>
                <w:sz w:val="21"/>
                <w:szCs w:val="21"/>
              </w:rPr>
            </w:pPr>
            <w:r w:rsidRPr="00057853">
              <w:rPr>
                <w:rFonts w:ascii="Calibri" w:eastAsia="Calibri" w:hAnsi="Calibri"/>
                <w:color w:val="000000"/>
                <w:sz w:val="21"/>
                <w:szCs w:val="21"/>
              </w:rPr>
              <w:t>3.47</w:t>
            </w:r>
          </w:p>
        </w:tc>
        <w:tc>
          <w:tcPr>
            <w:tcW w:w="1096"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14:paraId="76F9B53A" w14:textId="77777777" w:rsidR="001F515C" w:rsidRPr="00057853" w:rsidRDefault="001F515C" w:rsidP="003F6431">
            <w:pPr>
              <w:jc w:val="center"/>
              <w:rPr>
                <w:rFonts w:ascii="Calibri" w:eastAsia="Calibri" w:hAnsi="Calibri"/>
                <w:color w:val="000000"/>
                <w:sz w:val="21"/>
                <w:szCs w:val="21"/>
              </w:rPr>
            </w:pPr>
            <w:r w:rsidRPr="00057853">
              <w:rPr>
                <w:rFonts w:ascii="Calibri" w:eastAsia="Calibri" w:hAnsi="Calibri"/>
                <w:noProof/>
                <w:sz w:val="21"/>
                <w:szCs w:val="21"/>
              </w:rPr>
              <w:drawing>
                <wp:anchor distT="0" distB="0" distL="114300" distR="114300" simplePos="0" relativeHeight="251802624" behindDoc="0" locked="0" layoutInCell="1" allowOverlap="1" wp14:anchorId="7A3A4D72" wp14:editId="29B9F7FE">
                  <wp:simplePos x="0" y="0"/>
                  <wp:positionH relativeFrom="column">
                    <wp:posOffset>152400</wp:posOffset>
                  </wp:positionH>
                  <wp:positionV relativeFrom="paragraph">
                    <wp:posOffset>9525</wp:posOffset>
                  </wp:positionV>
                  <wp:extent cx="257175" cy="333375"/>
                  <wp:effectExtent l="0" t="0" r="9525" b="9525"/>
                  <wp:wrapNone/>
                  <wp:docPr id="30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57175" cy="333375"/>
                          </a:xfrm>
                          <a:prstGeom prst="rect">
                            <a:avLst/>
                          </a:prstGeom>
                          <a:noFill/>
                        </pic:spPr>
                      </pic:pic>
                    </a:graphicData>
                  </a:graphic>
                  <wp14:sizeRelH relativeFrom="page">
                    <wp14:pctWidth>0</wp14:pctWidth>
                  </wp14:sizeRelH>
                  <wp14:sizeRelV relativeFrom="page">
                    <wp14:pctHeight>0</wp14:pctHeight>
                  </wp14:sizeRelV>
                </wp:anchor>
              </w:drawing>
            </w:r>
          </w:p>
        </w:tc>
      </w:tr>
    </w:tbl>
    <w:p w14:paraId="27FFE1F7" w14:textId="4787D376" w:rsidR="009670BD" w:rsidRDefault="009670BD" w:rsidP="00CD439C">
      <w:pPr>
        <w:pStyle w:val="Heading3"/>
        <w:spacing w:after="240"/>
        <w:ind w:left="709"/>
      </w:pPr>
      <w:r>
        <w:t>Rolling Program of Ongoing Service Reviews</w:t>
      </w:r>
    </w:p>
    <w:p w14:paraId="5B5B7C58" w14:textId="77923E58" w:rsidR="00CD439C" w:rsidRDefault="001F515C" w:rsidP="00731135">
      <w:pPr>
        <w:spacing w:line="276" w:lineRule="auto"/>
        <w:jc w:val="both"/>
        <w:rPr>
          <w:rFonts w:ascii="Arial" w:hAnsi="Arial" w:cs="Arial"/>
          <w:bCs/>
          <w:sz w:val="20"/>
          <w:szCs w:val="20"/>
        </w:rPr>
      </w:pPr>
      <w:r w:rsidRPr="00CD0BEB">
        <w:rPr>
          <w:rFonts w:ascii="Arial" w:hAnsi="Arial" w:cs="Arial"/>
          <w:bCs/>
          <w:sz w:val="20"/>
          <w:szCs w:val="20"/>
        </w:rPr>
        <w:t xml:space="preserve">As mentioned above, the Council has committed to continuously reviewing its service delivery to ensure best value. </w:t>
      </w:r>
      <w:r w:rsidRPr="00CD0BEB">
        <w:rPr>
          <w:rFonts w:ascii="Arial" w:hAnsi="Arial" w:cs="Arial"/>
          <w:sz w:val="20"/>
          <w:szCs w:val="20"/>
        </w:rPr>
        <w:t xml:space="preserve">A rolling program of service reviews is being implemented to actively support achievement of cost savings, </w:t>
      </w:r>
      <w:r w:rsidRPr="00CD439C">
        <w:rPr>
          <w:rFonts w:ascii="Arial" w:hAnsi="Arial" w:cs="Arial"/>
          <w:bCs/>
          <w:sz w:val="20"/>
          <w:szCs w:val="20"/>
        </w:rPr>
        <w:t xml:space="preserve">efficiencies and </w:t>
      </w:r>
      <w:r w:rsidR="001A78CB" w:rsidRPr="00CD439C">
        <w:rPr>
          <w:rFonts w:ascii="Arial" w:hAnsi="Arial" w:cs="Arial"/>
          <w:bCs/>
          <w:sz w:val="20"/>
          <w:szCs w:val="20"/>
        </w:rPr>
        <w:t xml:space="preserve">increase </w:t>
      </w:r>
      <w:r w:rsidRPr="00CD439C">
        <w:rPr>
          <w:rFonts w:ascii="Arial" w:hAnsi="Arial" w:cs="Arial"/>
          <w:bCs/>
          <w:sz w:val="20"/>
          <w:szCs w:val="20"/>
        </w:rPr>
        <w:t>revenue where appropriate</w:t>
      </w:r>
      <w:r w:rsidR="00CD439C">
        <w:rPr>
          <w:rFonts w:ascii="Arial" w:hAnsi="Arial" w:cs="Arial"/>
          <w:bCs/>
          <w:sz w:val="20"/>
          <w:szCs w:val="20"/>
        </w:rPr>
        <w:t xml:space="preserve"> and ensure </w:t>
      </w:r>
      <w:r w:rsidR="00CD439C" w:rsidRPr="00CD439C">
        <w:rPr>
          <w:rFonts w:ascii="Arial" w:hAnsi="Arial" w:cs="Arial"/>
          <w:bCs/>
          <w:sz w:val="20"/>
          <w:szCs w:val="20"/>
        </w:rPr>
        <w:t>that expenditures on operations, maintenance and capital are tested by requiring at least</w:t>
      </w:r>
      <w:r w:rsidR="00CD439C">
        <w:rPr>
          <w:rFonts w:ascii="Arial" w:hAnsi="Arial" w:cs="Arial"/>
          <w:bCs/>
          <w:sz w:val="20"/>
          <w:szCs w:val="20"/>
        </w:rPr>
        <w:t xml:space="preserve"> three</w:t>
      </w:r>
      <w:r w:rsidR="00CD439C" w:rsidRPr="00CD439C">
        <w:rPr>
          <w:rFonts w:ascii="Arial" w:hAnsi="Arial" w:cs="Arial"/>
          <w:bCs/>
          <w:sz w:val="20"/>
          <w:szCs w:val="20"/>
        </w:rPr>
        <w:t xml:space="preserve"> </w:t>
      </w:r>
      <w:r w:rsidR="00CD439C">
        <w:rPr>
          <w:rFonts w:ascii="Arial" w:hAnsi="Arial" w:cs="Arial"/>
          <w:bCs/>
          <w:sz w:val="20"/>
          <w:szCs w:val="20"/>
        </w:rPr>
        <w:t xml:space="preserve">budget allocation </w:t>
      </w:r>
      <w:r w:rsidR="00CD439C" w:rsidRPr="00CD439C">
        <w:rPr>
          <w:rFonts w:ascii="Arial" w:hAnsi="Arial" w:cs="Arial"/>
          <w:bCs/>
          <w:sz w:val="20"/>
          <w:szCs w:val="20"/>
        </w:rPr>
        <w:t xml:space="preserve">options </w:t>
      </w:r>
      <w:r w:rsidR="00CD439C">
        <w:rPr>
          <w:rFonts w:ascii="Arial" w:hAnsi="Arial" w:cs="Arial"/>
          <w:bCs/>
          <w:sz w:val="20"/>
          <w:szCs w:val="20"/>
        </w:rPr>
        <w:t>be developed as follows:</w:t>
      </w:r>
    </w:p>
    <w:p w14:paraId="20DF0865" w14:textId="77777777" w:rsidR="00731135" w:rsidRPr="00CD439C" w:rsidRDefault="00731135" w:rsidP="00731135">
      <w:pPr>
        <w:spacing w:line="276" w:lineRule="auto"/>
        <w:jc w:val="both"/>
        <w:rPr>
          <w:rFonts w:ascii="Arial" w:hAnsi="Arial" w:cs="Arial"/>
          <w:bCs/>
          <w:sz w:val="20"/>
          <w:szCs w:val="20"/>
        </w:rPr>
      </w:pPr>
    </w:p>
    <w:p w14:paraId="20F25C5E" w14:textId="47AE6D1C" w:rsidR="00CD439C" w:rsidRDefault="00CD439C" w:rsidP="00731135">
      <w:pPr>
        <w:pStyle w:val="ListParagraph"/>
        <w:numPr>
          <w:ilvl w:val="0"/>
          <w:numId w:val="89"/>
        </w:numPr>
        <w:spacing w:line="276" w:lineRule="auto"/>
        <w:jc w:val="both"/>
        <w:rPr>
          <w:rFonts w:ascii="Arial" w:hAnsi="Arial" w:cs="Arial"/>
          <w:bCs/>
          <w:sz w:val="20"/>
          <w:szCs w:val="20"/>
        </w:rPr>
      </w:pPr>
      <w:r w:rsidRPr="00CD439C">
        <w:rPr>
          <w:rFonts w:ascii="Arial" w:hAnsi="Arial" w:cs="Arial"/>
          <w:bCs/>
          <w:sz w:val="20"/>
          <w:szCs w:val="20"/>
        </w:rPr>
        <w:t>The continuation of current practices – the do nothing option</w:t>
      </w:r>
      <w:r>
        <w:rPr>
          <w:rFonts w:ascii="Arial" w:hAnsi="Arial" w:cs="Arial"/>
          <w:bCs/>
          <w:sz w:val="20"/>
          <w:szCs w:val="20"/>
        </w:rPr>
        <w:t>;</w:t>
      </w:r>
    </w:p>
    <w:p w14:paraId="3565F19A" w14:textId="490D2246" w:rsidR="00CD439C" w:rsidRDefault="009E2FB7" w:rsidP="00731135">
      <w:pPr>
        <w:pStyle w:val="ListParagraph"/>
        <w:numPr>
          <w:ilvl w:val="0"/>
          <w:numId w:val="89"/>
        </w:numPr>
        <w:spacing w:line="276" w:lineRule="auto"/>
        <w:jc w:val="both"/>
        <w:rPr>
          <w:rFonts w:ascii="Arial" w:hAnsi="Arial" w:cs="Arial"/>
          <w:bCs/>
          <w:sz w:val="20"/>
          <w:szCs w:val="20"/>
        </w:rPr>
      </w:pPr>
      <w:r>
        <w:rPr>
          <w:rFonts w:ascii="Arial" w:hAnsi="Arial" w:cs="Arial"/>
          <w:bCs/>
          <w:sz w:val="20"/>
          <w:szCs w:val="20"/>
        </w:rPr>
        <w:t>Implementing the project/</w:t>
      </w:r>
      <w:r w:rsidR="00CD439C" w:rsidRPr="00CD439C">
        <w:rPr>
          <w:rFonts w:ascii="Arial" w:hAnsi="Arial" w:cs="Arial"/>
          <w:bCs/>
          <w:sz w:val="20"/>
          <w:szCs w:val="20"/>
        </w:rPr>
        <w:t>activity as per the budget business case</w:t>
      </w:r>
      <w:r w:rsidR="00CD439C">
        <w:rPr>
          <w:rFonts w:ascii="Arial" w:hAnsi="Arial" w:cs="Arial"/>
          <w:bCs/>
          <w:sz w:val="20"/>
          <w:szCs w:val="20"/>
        </w:rPr>
        <w:t>;</w:t>
      </w:r>
      <w:r w:rsidR="00CD439C" w:rsidRPr="00CD439C">
        <w:rPr>
          <w:rFonts w:ascii="Arial" w:hAnsi="Arial" w:cs="Arial"/>
          <w:bCs/>
          <w:sz w:val="20"/>
          <w:szCs w:val="20"/>
        </w:rPr>
        <w:t xml:space="preserve"> </w:t>
      </w:r>
    </w:p>
    <w:p w14:paraId="010033BD" w14:textId="53DB17A7" w:rsidR="00CD439C" w:rsidRPr="00CD439C" w:rsidRDefault="009E2FB7" w:rsidP="00731135">
      <w:pPr>
        <w:pStyle w:val="ListParagraph"/>
        <w:numPr>
          <w:ilvl w:val="0"/>
          <w:numId w:val="89"/>
        </w:numPr>
        <w:spacing w:line="276" w:lineRule="auto"/>
        <w:jc w:val="both"/>
        <w:rPr>
          <w:rFonts w:ascii="Arial" w:hAnsi="Arial" w:cs="Arial"/>
          <w:bCs/>
          <w:sz w:val="20"/>
          <w:szCs w:val="20"/>
        </w:rPr>
      </w:pPr>
      <w:r>
        <w:rPr>
          <w:rFonts w:ascii="Arial" w:hAnsi="Arial" w:cs="Arial"/>
          <w:bCs/>
          <w:sz w:val="20"/>
          <w:szCs w:val="20"/>
        </w:rPr>
        <w:t>Looking at benefit/cost/</w:t>
      </w:r>
      <w:r w:rsidR="00CD439C" w:rsidRPr="00CD439C">
        <w:rPr>
          <w:rFonts w:ascii="Arial" w:hAnsi="Arial" w:cs="Arial"/>
          <w:bCs/>
          <w:sz w:val="20"/>
          <w:szCs w:val="20"/>
        </w:rPr>
        <w:t xml:space="preserve">risk of alternatives </w:t>
      </w:r>
      <w:r w:rsidR="00CD439C">
        <w:rPr>
          <w:rFonts w:ascii="Arial" w:hAnsi="Arial" w:cs="Arial"/>
          <w:bCs/>
          <w:sz w:val="20"/>
          <w:szCs w:val="20"/>
        </w:rPr>
        <w:t>(</w:t>
      </w:r>
      <w:r w:rsidR="00CD439C" w:rsidRPr="00CD439C">
        <w:rPr>
          <w:rFonts w:ascii="Arial" w:hAnsi="Arial" w:cs="Arial"/>
          <w:bCs/>
          <w:sz w:val="20"/>
          <w:szCs w:val="20"/>
        </w:rPr>
        <w:t xml:space="preserve">including in house </w:t>
      </w:r>
      <w:r w:rsidR="00CD439C">
        <w:rPr>
          <w:rFonts w:ascii="Arial" w:hAnsi="Arial" w:cs="Arial"/>
          <w:bCs/>
          <w:sz w:val="20"/>
          <w:szCs w:val="20"/>
        </w:rPr>
        <w:t xml:space="preserve">provision </w:t>
      </w:r>
      <w:r w:rsidR="00CD439C" w:rsidRPr="00CD439C">
        <w:rPr>
          <w:rFonts w:ascii="Arial" w:hAnsi="Arial" w:cs="Arial"/>
          <w:bCs/>
          <w:sz w:val="20"/>
          <w:szCs w:val="20"/>
        </w:rPr>
        <w:t>against provision by contract</w:t>
      </w:r>
      <w:r w:rsidR="00CD439C">
        <w:rPr>
          <w:rFonts w:ascii="Arial" w:hAnsi="Arial" w:cs="Arial"/>
          <w:bCs/>
          <w:sz w:val="20"/>
          <w:szCs w:val="20"/>
        </w:rPr>
        <w:t>)</w:t>
      </w:r>
      <w:r w:rsidR="00CD439C" w:rsidRPr="00CD439C">
        <w:rPr>
          <w:rFonts w:ascii="Arial" w:hAnsi="Arial" w:cs="Arial"/>
          <w:bCs/>
          <w:sz w:val="20"/>
          <w:szCs w:val="20"/>
        </w:rPr>
        <w:t>.</w:t>
      </w:r>
    </w:p>
    <w:p w14:paraId="235CF3BE" w14:textId="77777777" w:rsidR="00CD439C" w:rsidRPr="00CD439C" w:rsidRDefault="00CD439C" w:rsidP="00731135">
      <w:pPr>
        <w:spacing w:line="276" w:lineRule="auto"/>
        <w:jc w:val="both"/>
        <w:rPr>
          <w:rFonts w:ascii="Arial" w:hAnsi="Arial" w:cs="Arial"/>
          <w:bCs/>
          <w:sz w:val="20"/>
          <w:szCs w:val="20"/>
        </w:rPr>
      </w:pPr>
    </w:p>
    <w:p w14:paraId="3BC56ED5" w14:textId="3FFF84F5" w:rsidR="001F515C" w:rsidRDefault="001F515C" w:rsidP="00731135">
      <w:pPr>
        <w:spacing w:before="240" w:line="276" w:lineRule="auto"/>
        <w:jc w:val="both"/>
        <w:rPr>
          <w:rFonts w:ascii="Arial" w:hAnsi="Arial" w:cs="Arial"/>
          <w:sz w:val="20"/>
          <w:szCs w:val="20"/>
        </w:rPr>
      </w:pPr>
      <w:r w:rsidRPr="00CD0BEB">
        <w:rPr>
          <w:rFonts w:ascii="Arial" w:hAnsi="Arial" w:cs="Arial"/>
          <w:sz w:val="20"/>
          <w:szCs w:val="20"/>
        </w:rPr>
        <w:t xml:space="preserve">Recently completed service reviews </w:t>
      </w:r>
      <w:r w:rsidR="009670BD" w:rsidRPr="00CD0BEB">
        <w:rPr>
          <w:rFonts w:ascii="Arial" w:hAnsi="Arial" w:cs="Arial"/>
          <w:sz w:val="20"/>
          <w:szCs w:val="20"/>
        </w:rPr>
        <w:t>include</w:t>
      </w:r>
      <w:r w:rsidRPr="00CD0BEB">
        <w:rPr>
          <w:rFonts w:ascii="Arial" w:hAnsi="Arial" w:cs="Arial"/>
          <w:sz w:val="20"/>
          <w:szCs w:val="20"/>
        </w:rPr>
        <w:t>:</w:t>
      </w:r>
    </w:p>
    <w:p w14:paraId="2039AA5D" w14:textId="11A49CCA" w:rsidR="001F515C" w:rsidRPr="00CD0BEB" w:rsidRDefault="00D6033D" w:rsidP="00731135">
      <w:pPr>
        <w:pStyle w:val="ListParagraph"/>
        <w:numPr>
          <w:ilvl w:val="0"/>
          <w:numId w:val="73"/>
        </w:numPr>
        <w:spacing w:line="276" w:lineRule="auto"/>
        <w:jc w:val="both"/>
        <w:rPr>
          <w:rFonts w:ascii="Arial" w:hAnsi="Arial" w:cs="Arial"/>
          <w:sz w:val="20"/>
          <w:szCs w:val="20"/>
        </w:rPr>
      </w:pPr>
      <w:r w:rsidRPr="00CD0BEB">
        <w:rPr>
          <w:rFonts w:ascii="Arial" w:hAnsi="Arial" w:cs="Arial"/>
          <w:sz w:val="20"/>
          <w:szCs w:val="20"/>
        </w:rPr>
        <w:t>A</w:t>
      </w:r>
      <w:r w:rsidR="001A78CB">
        <w:rPr>
          <w:rFonts w:ascii="Arial" w:hAnsi="Arial" w:cs="Arial"/>
          <w:sz w:val="20"/>
          <w:szCs w:val="20"/>
        </w:rPr>
        <w:t>n outcome</w:t>
      </w:r>
      <w:r w:rsidRPr="00CD0BEB">
        <w:rPr>
          <w:rFonts w:ascii="Arial" w:hAnsi="Arial" w:cs="Arial"/>
          <w:sz w:val="20"/>
          <w:szCs w:val="20"/>
        </w:rPr>
        <w:t xml:space="preserve"> of the Council’s </w:t>
      </w:r>
      <w:r w:rsidR="001F515C" w:rsidRPr="00CD0BEB">
        <w:rPr>
          <w:rFonts w:ascii="Arial" w:hAnsi="Arial" w:cs="Arial"/>
          <w:sz w:val="20"/>
          <w:szCs w:val="20"/>
        </w:rPr>
        <w:t xml:space="preserve">Waste </w:t>
      </w:r>
      <w:r w:rsidR="00D36E05" w:rsidRPr="00CD0BEB">
        <w:rPr>
          <w:rFonts w:ascii="Arial" w:hAnsi="Arial" w:cs="Arial"/>
          <w:sz w:val="20"/>
          <w:szCs w:val="20"/>
        </w:rPr>
        <w:t xml:space="preserve">Avoidance </w:t>
      </w:r>
      <w:r w:rsidR="001F515C" w:rsidRPr="00CD0BEB">
        <w:rPr>
          <w:rFonts w:ascii="Arial" w:hAnsi="Arial" w:cs="Arial"/>
          <w:sz w:val="20"/>
          <w:szCs w:val="20"/>
        </w:rPr>
        <w:t>&amp; Resource Recovery Strategy</w:t>
      </w:r>
      <w:r w:rsidR="009670BD" w:rsidRPr="00CD0BEB">
        <w:rPr>
          <w:rFonts w:ascii="Arial" w:hAnsi="Arial" w:cs="Arial"/>
          <w:sz w:val="20"/>
          <w:szCs w:val="20"/>
        </w:rPr>
        <w:t xml:space="preserve"> </w:t>
      </w:r>
      <w:r w:rsidRPr="00CD0BEB">
        <w:rPr>
          <w:rFonts w:ascii="Arial" w:hAnsi="Arial" w:cs="Arial"/>
          <w:sz w:val="20"/>
          <w:szCs w:val="20"/>
        </w:rPr>
        <w:t xml:space="preserve">in consultation with community </w:t>
      </w:r>
      <w:r w:rsidR="009670BD" w:rsidRPr="00CD0BEB">
        <w:rPr>
          <w:rFonts w:ascii="Arial" w:hAnsi="Arial" w:cs="Arial"/>
          <w:sz w:val="20"/>
          <w:szCs w:val="20"/>
        </w:rPr>
        <w:t xml:space="preserve">– </w:t>
      </w:r>
      <w:r w:rsidR="00D36E05" w:rsidRPr="00CD0BEB">
        <w:rPr>
          <w:rFonts w:ascii="Arial" w:hAnsi="Arial" w:cs="Arial"/>
          <w:sz w:val="20"/>
          <w:szCs w:val="20"/>
        </w:rPr>
        <w:t>r</w:t>
      </w:r>
      <w:r w:rsidR="009670BD" w:rsidRPr="00CD0BEB">
        <w:rPr>
          <w:rFonts w:ascii="Arial" w:hAnsi="Arial" w:cs="Arial"/>
          <w:sz w:val="20"/>
          <w:szCs w:val="20"/>
        </w:rPr>
        <w:t xml:space="preserve">esulted in </w:t>
      </w:r>
      <w:r w:rsidRPr="00CD0BEB">
        <w:rPr>
          <w:rFonts w:ascii="Arial" w:hAnsi="Arial" w:cs="Arial"/>
          <w:sz w:val="20"/>
          <w:szCs w:val="20"/>
        </w:rPr>
        <w:t xml:space="preserve">a range of initiatives including </w:t>
      </w:r>
      <w:r w:rsidR="00D36E05" w:rsidRPr="00CD0BEB">
        <w:rPr>
          <w:rFonts w:ascii="Arial" w:hAnsi="Arial" w:cs="Arial"/>
          <w:sz w:val="20"/>
          <w:szCs w:val="20"/>
        </w:rPr>
        <w:t>an improved residential recycling service including changing from a weekly to fortnightly collection and providing larger capacity bins (resulting in estimated savings to each rate payer in the Domestic Waste charge of approx</w:t>
      </w:r>
      <w:r w:rsidR="001A78CB">
        <w:rPr>
          <w:rFonts w:ascii="Arial" w:hAnsi="Arial" w:cs="Arial"/>
          <w:sz w:val="20"/>
          <w:szCs w:val="20"/>
        </w:rPr>
        <w:t xml:space="preserve">imately </w:t>
      </w:r>
      <w:r w:rsidR="00D36E05" w:rsidRPr="00CD0BEB">
        <w:rPr>
          <w:rFonts w:ascii="Arial" w:hAnsi="Arial" w:cs="Arial"/>
          <w:sz w:val="20"/>
          <w:szCs w:val="20"/>
        </w:rPr>
        <w:t>$30 p</w:t>
      </w:r>
      <w:r w:rsidR="001A78CB">
        <w:rPr>
          <w:rFonts w:ascii="Arial" w:hAnsi="Arial" w:cs="Arial"/>
          <w:sz w:val="20"/>
          <w:szCs w:val="20"/>
        </w:rPr>
        <w:t>er annum</w:t>
      </w:r>
      <w:r w:rsidR="00D36E05" w:rsidRPr="00CD0BEB">
        <w:rPr>
          <w:rFonts w:ascii="Arial" w:hAnsi="Arial" w:cs="Arial"/>
          <w:sz w:val="20"/>
          <w:szCs w:val="20"/>
        </w:rPr>
        <w:t>)</w:t>
      </w:r>
      <w:r w:rsidR="001A60D1" w:rsidRPr="00CD0BEB">
        <w:rPr>
          <w:rFonts w:ascii="Arial" w:hAnsi="Arial" w:cs="Arial"/>
          <w:sz w:val="20"/>
          <w:szCs w:val="20"/>
        </w:rPr>
        <w:t>;</w:t>
      </w:r>
    </w:p>
    <w:p w14:paraId="2BFC1EE4" w14:textId="0B1B9032" w:rsidR="00D6033D" w:rsidRPr="00CD0BEB" w:rsidRDefault="001A78CB" w:rsidP="00731135">
      <w:pPr>
        <w:pStyle w:val="ListParagraph"/>
        <w:numPr>
          <w:ilvl w:val="0"/>
          <w:numId w:val="73"/>
        </w:numPr>
        <w:spacing w:line="276" w:lineRule="auto"/>
        <w:jc w:val="both"/>
        <w:rPr>
          <w:rFonts w:ascii="Arial" w:hAnsi="Arial" w:cs="Arial"/>
          <w:sz w:val="20"/>
          <w:szCs w:val="20"/>
        </w:rPr>
      </w:pPr>
      <w:r>
        <w:rPr>
          <w:rFonts w:ascii="Arial" w:hAnsi="Arial" w:cs="Arial"/>
          <w:sz w:val="20"/>
          <w:szCs w:val="20"/>
        </w:rPr>
        <w:t>S</w:t>
      </w:r>
      <w:r w:rsidR="00D6033D" w:rsidRPr="00CD0BEB">
        <w:rPr>
          <w:rFonts w:ascii="Arial" w:hAnsi="Arial" w:cs="Arial"/>
          <w:sz w:val="20"/>
          <w:szCs w:val="20"/>
        </w:rPr>
        <w:t>ervice delivery and management model for the Blaxland Resource Recovery and Waste Management Facility – a business case demonstrated that operational savings could be achieved through the Council taking over direct management of the facility at the conclusion of the current outsourced contract. Savings will come from a consolidation of recycling and materials processing contracts, avoidance of contract profit component and variation payments, and resource sharing with the Katoomba facility</w:t>
      </w:r>
      <w:r>
        <w:rPr>
          <w:rFonts w:ascii="Arial" w:hAnsi="Arial" w:cs="Arial"/>
          <w:sz w:val="20"/>
          <w:szCs w:val="20"/>
        </w:rPr>
        <w:t xml:space="preserve"> together with the ability to be flexible in a changing industry and market</w:t>
      </w:r>
      <w:r w:rsidR="001A60D1" w:rsidRPr="00CD0BEB">
        <w:rPr>
          <w:rFonts w:ascii="Arial" w:hAnsi="Arial" w:cs="Arial"/>
          <w:sz w:val="20"/>
          <w:szCs w:val="20"/>
        </w:rPr>
        <w:t>;</w:t>
      </w:r>
    </w:p>
    <w:p w14:paraId="5F49621D" w14:textId="3B467543" w:rsidR="001F515C" w:rsidRPr="00CD0BEB" w:rsidRDefault="001F515C" w:rsidP="00731135">
      <w:pPr>
        <w:pStyle w:val="ListParagraph"/>
        <w:numPr>
          <w:ilvl w:val="0"/>
          <w:numId w:val="73"/>
        </w:numPr>
        <w:spacing w:line="276" w:lineRule="auto"/>
        <w:jc w:val="both"/>
        <w:rPr>
          <w:rFonts w:ascii="Arial" w:hAnsi="Arial" w:cs="Arial"/>
          <w:sz w:val="20"/>
          <w:szCs w:val="20"/>
        </w:rPr>
      </w:pPr>
      <w:r w:rsidRPr="00CD0BEB">
        <w:rPr>
          <w:rFonts w:ascii="Arial" w:hAnsi="Arial" w:cs="Arial"/>
          <w:sz w:val="20"/>
          <w:szCs w:val="20"/>
        </w:rPr>
        <w:t xml:space="preserve">Bulky waste collection review which has resulted in a more responsive </w:t>
      </w:r>
      <w:r w:rsidR="00D36465" w:rsidRPr="00CD0BEB">
        <w:rPr>
          <w:rFonts w:ascii="Arial" w:hAnsi="Arial" w:cs="Arial"/>
          <w:sz w:val="20"/>
          <w:szCs w:val="20"/>
        </w:rPr>
        <w:t>“</w:t>
      </w:r>
      <w:r w:rsidRPr="00CD0BEB">
        <w:rPr>
          <w:rFonts w:ascii="Arial" w:hAnsi="Arial" w:cs="Arial"/>
          <w:sz w:val="20"/>
          <w:szCs w:val="20"/>
        </w:rPr>
        <w:t>booked</w:t>
      </w:r>
      <w:r w:rsidR="00D36465" w:rsidRPr="00CD0BEB">
        <w:rPr>
          <w:rFonts w:ascii="Arial" w:hAnsi="Arial" w:cs="Arial"/>
          <w:sz w:val="20"/>
          <w:szCs w:val="20"/>
        </w:rPr>
        <w:t>”</w:t>
      </w:r>
      <w:r w:rsidRPr="00CD0BEB">
        <w:rPr>
          <w:rFonts w:ascii="Arial" w:hAnsi="Arial" w:cs="Arial"/>
          <w:sz w:val="20"/>
          <w:szCs w:val="20"/>
        </w:rPr>
        <w:t xml:space="preserve"> service provision and reduced ongoing costs ($63,500 p</w:t>
      </w:r>
      <w:r w:rsidR="001A78CB">
        <w:rPr>
          <w:rFonts w:ascii="Arial" w:hAnsi="Arial" w:cs="Arial"/>
          <w:sz w:val="20"/>
          <w:szCs w:val="20"/>
        </w:rPr>
        <w:t>er annum</w:t>
      </w:r>
      <w:r w:rsidRPr="00CD0BEB">
        <w:rPr>
          <w:rFonts w:ascii="Arial" w:hAnsi="Arial" w:cs="Arial"/>
          <w:sz w:val="20"/>
          <w:szCs w:val="20"/>
        </w:rPr>
        <w:t xml:space="preserve"> savings)</w:t>
      </w:r>
      <w:r w:rsidR="00D36465" w:rsidRPr="00CD0BEB">
        <w:rPr>
          <w:rFonts w:ascii="Arial" w:hAnsi="Arial" w:cs="Arial"/>
          <w:sz w:val="20"/>
          <w:szCs w:val="20"/>
        </w:rPr>
        <w:t xml:space="preserve"> – each resident is now entitled to two free booked bulky waste pick up services</w:t>
      </w:r>
      <w:r w:rsidR="001A60D1" w:rsidRPr="00CD0BEB">
        <w:rPr>
          <w:rFonts w:ascii="Arial" w:hAnsi="Arial" w:cs="Arial"/>
          <w:sz w:val="20"/>
          <w:szCs w:val="20"/>
        </w:rPr>
        <w:t>;</w:t>
      </w:r>
    </w:p>
    <w:p w14:paraId="1D45D272" w14:textId="18BA83C6" w:rsidR="001F515C" w:rsidRPr="00CD0BEB" w:rsidRDefault="001F515C" w:rsidP="00731135">
      <w:pPr>
        <w:pStyle w:val="ListParagraph"/>
        <w:numPr>
          <w:ilvl w:val="0"/>
          <w:numId w:val="73"/>
        </w:numPr>
        <w:spacing w:line="276" w:lineRule="auto"/>
        <w:jc w:val="both"/>
        <w:rPr>
          <w:rFonts w:ascii="Arial" w:hAnsi="Arial" w:cs="Arial"/>
          <w:sz w:val="20"/>
          <w:szCs w:val="20"/>
        </w:rPr>
      </w:pPr>
      <w:r w:rsidRPr="00CD0BEB">
        <w:rPr>
          <w:rFonts w:ascii="Arial" w:hAnsi="Arial" w:cs="Arial"/>
          <w:sz w:val="20"/>
          <w:szCs w:val="20"/>
        </w:rPr>
        <w:t xml:space="preserve">Sealing of unsealed roads </w:t>
      </w:r>
      <w:r w:rsidR="00862952" w:rsidRPr="00CD0BEB">
        <w:rPr>
          <w:rFonts w:ascii="Arial" w:hAnsi="Arial" w:cs="Arial"/>
          <w:sz w:val="20"/>
          <w:szCs w:val="20"/>
        </w:rPr>
        <w:t xml:space="preserve">program </w:t>
      </w:r>
      <w:r w:rsidRPr="00CD0BEB">
        <w:rPr>
          <w:rFonts w:ascii="Arial" w:hAnsi="Arial" w:cs="Arial"/>
          <w:sz w:val="20"/>
          <w:szCs w:val="20"/>
        </w:rPr>
        <w:t xml:space="preserve">which has resulted in improved service delivery and reduced ongoing costs </w:t>
      </w:r>
      <w:r w:rsidR="00862952" w:rsidRPr="00CD0BEB">
        <w:rPr>
          <w:rFonts w:ascii="Arial" w:hAnsi="Arial" w:cs="Arial"/>
          <w:sz w:val="20"/>
          <w:szCs w:val="20"/>
        </w:rPr>
        <w:t>(</w:t>
      </w:r>
      <w:r w:rsidRPr="00CD0BEB">
        <w:rPr>
          <w:rFonts w:ascii="Arial" w:hAnsi="Arial" w:cs="Arial"/>
          <w:sz w:val="20"/>
          <w:szCs w:val="20"/>
        </w:rPr>
        <w:t>$250,000 p</w:t>
      </w:r>
      <w:r w:rsidR="001A78CB">
        <w:rPr>
          <w:rFonts w:ascii="Arial" w:hAnsi="Arial" w:cs="Arial"/>
          <w:sz w:val="20"/>
          <w:szCs w:val="20"/>
        </w:rPr>
        <w:t>er annum</w:t>
      </w:r>
      <w:r w:rsidRPr="00CD0BEB">
        <w:rPr>
          <w:rFonts w:ascii="Arial" w:hAnsi="Arial" w:cs="Arial"/>
          <w:sz w:val="20"/>
          <w:szCs w:val="20"/>
        </w:rPr>
        <w:t xml:space="preserve"> savings)</w:t>
      </w:r>
      <w:r w:rsidR="00D55362" w:rsidRPr="00CD0BEB">
        <w:rPr>
          <w:rFonts w:ascii="Arial" w:hAnsi="Arial" w:cs="Arial"/>
          <w:sz w:val="20"/>
          <w:szCs w:val="20"/>
        </w:rPr>
        <w:t xml:space="preserve"> as well as freeing up a maintenance crew to work on other required maintenance areas</w:t>
      </w:r>
      <w:r w:rsidR="001A60D1" w:rsidRPr="00CD0BEB">
        <w:rPr>
          <w:rFonts w:ascii="Arial" w:hAnsi="Arial" w:cs="Arial"/>
          <w:sz w:val="20"/>
          <w:szCs w:val="20"/>
        </w:rPr>
        <w:t>;</w:t>
      </w:r>
    </w:p>
    <w:p w14:paraId="1AA72613" w14:textId="6B7AD6B8" w:rsidR="001F515C" w:rsidRPr="00CD0BEB" w:rsidRDefault="001F515C" w:rsidP="00731135">
      <w:pPr>
        <w:pStyle w:val="ListParagraph"/>
        <w:numPr>
          <w:ilvl w:val="0"/>
          <w:numId w:val="73"/>
        </w:numPr>
        <w:spacing w:line="276" w:lineRule="auto"/>
        <w:jc w:val="both"/>
        <w:rPr>
          <w:rFonts w:ascii="Arial" w:hAnsi="Arial" w:cs="Arial"/>
          <w:sz w:val="20"/>
          <w:szCs w:val="20"/>
        </w:rPr>
      </w:pPr>
      <w:r w:rsidRPr="00CD0BEB">
        <w:rPr>
          <w:rFonts w:ascii="Arial" w:hAnsi="Arial" w:cs="Arial"/>
          <w:sz w:val="20"/>
          <w:szCs w:val="20"/>
        </w:rPr>
        <w:t xml:space="preserve">Tourist </w:t>
      </w:r>
      <w:r w:rsidR="00862952" w:rsidRPr="00CD0BEB">
        <w:rPr>
          <w:rFonts w:ascii="Arial" w:hAnsi="Arial" w:cs="Arial"/>
          <w:sz w:val="20"/>
          <w:szCs w:val="20"/>
        </w:rPr>
        <w:t>P</w:t>
      </w:r>
      <w:r w:rsidRPr="00CD0BEB">
        <w:rPr>
          <w:rFonts w:ascii="Arial" w:hAnsi="Arial" w:cs="Arial"/>
          <w:sz w:val="20"/>
          <w:szCs w:val="20"/>
        </w:rPr>
        <w:t xml:space="preserve">arks </w:t>
      </w:r>
      <w:r w:rsidR="00862952" w:rsidRPr="00CD0BEB">
        <w:rPr>
          <w:rFonts w:ascii="Arial" w:hAnsi="Arial" w:cs="Arial"/>
          <w:sz w:val="20"/>
          <w:szCs w:val="20"/>
        </w:rPr>
        <w:t xml:space="preserve">at Katoomba and Blackheath </w:t>
      </w:r>
      <w:r w:rsidR="006308E2" w:rsidRPr="00CD0BEB">
        <w:rPr>
          <w:rFonts w:ascii="Arial" w:hAnsi="Arial" w:cs="Arial"/>
          <w:sz w:val="20"/>
          <w:szCs w:val="20"/>
        </w:rPr>
        <w:t xml:space="preserve">– resulting </w:t>
      </w:r>
      <w:r w:rsidRPr="00CD0BEB">
        <w:rPr>
          <w:rFonts w:ascii="Arial" w:hAnsi="Arial" w:cs="Arial"/>
          <w:sz w:val="20"/>
          <w:szCs w:val="20"/>
        </w:rPr>
        <w:t xml:space="preserve">in improved </w:t>
      </w:r>
      <w:r w:rsidR="00862952" w:rsidRPr="00CD0BEB">
        <w:rPr>
          <w:rFonts w:ascii="Arial" w:hAnsi="Arial" w:cs="Arial"/>
          <w:sz w:val="20"/>
          <w:szCs w:val="20"/>
        </w:rPr>
        <w:t xml:space="preserve">management model, </w:t>
      </w:r>
      <w:r w:rsidRPr="00CD0BEB">
        <w:rPr>
          <w:rFonts w:ascii="Arial" w:hAnsi="Arial" w:cs="Arial"/>
          <w:sz w:val="20"/>
          <w:szCs w:val="20"/>
        </w:rPr>
        <w:t xml:space="preserve">customer satisfaction and </w:t>
      </w:r>
      <w:r w:rsidR="00862952" w:rsidRPr="00CD0BEB">
        <w:rPr>
          <w:rFonts w:ascii="Arial" w:hAnsi="Arial" w:cs="Arial"/>
          <w:sz w:val="20"/>
          <w:szCs w:val="20"/>
        </w:rPr>
        <w:t xml:space="preserve">revenue outcomes including a </w:t>
      </w:r>
      <w:r w:rsidRPr="00CD0BEB">
        <w:rPr>
          <w:rFonts w:ascii="Arial" w:hAnsi="Arial" w:cs="Arial"/>
          <w:sz w:val="20"/>
          <w:szCs w:val="20"/>
        </w:rPr>
        <w:t>net income of $1.7 million over five years</w:t>
      </w:r>
      <w:r w:rsidR="001A60D1" w:rsidRPr="00CD0BEB">
        <w:rPr>
          <w:rFonts w:ascii="Arial" w:hAnsi="Arial" w:cs="Arial"/>
          <w:sz w:val="20"/>
          <w:szCs w:val="20"/>
        </w:rPr>
        <w:t>;</w:t>
      </w:r>
      <w:r w:rsidRPr="00CD0BEB">
        <w:rPr>
          <w:rFonts w:ascii="Arial" w:hAnsi="Arial" w:cs="Arial"/>
          <w:sz w:val="20"/>
          <w:szCs w:val="20"/>
        </w:rPr>
        <w:t xml:space="preserve"> and</w:t>
      </w:r>
    </w:p>
    <w:p w14:paraId="196C6565" w14:textId="207EF6F4" w:rsidR="001F515C" w:rsidRPr="00CD0BEB" w:rsidRDefault="001A78CB" w:rsidP="00731135">
      <w:pPr>
        <w:pStyle w:val="ListParagraph"/>
        <w:numPr>
          <w:ilvl w:val="0"/>
          <w:numId w:val="73"/>
        </w:numPr>
        <w:spacing w:line="276" w:lineRule="auto"/>
        <w:jc w:val="both"/>
        <w:rPr>
          <w:rFonts w:ascii="Arial" w:hAnsi="Arial" w:cs="Arial"/>
          <w:sz w:val="20"/>
          <w:szCs w:val="20"/>
        </w:rPr>
      </w:pPr>
      <w:r>
        <w:rPr>
          <w:rFonts w:ascii="Arial" w:hAnsi="Arial" w:cs="Arial"/>
          <w:sz w:val="20"/>
          <w:szCs w:val="20"/>
        </w:rPr>
        <w:t>F</w:t>
      </w:r>
      <w:r w:rsidR="001F515C" w:rsidRPr="00CD0BEB">
        <w:rPr>
          <w:rFonts w:ascii="Arial" w:hAnsi="Arial" w:cs="Arial"/>
          <w:sz w:val="20"/>
          <w:szCs w:val="20"/>
        </w:rPr>
        <w:t xml:space="preserve">leet </w:t>
      </w:r>
      <w:r>
        <w:rPr>
          <w:rFonts w:ascii="Arial" w:hAnsi="Arial" w:cs="Arial"/>
          <w:sz w:val="20"/>
          <w:szCs w:val="20"/>
        </w:rPr>
        <w:t>management</w:t>
      </w:r>
      <w:r w:rsidR="001F515C" w:rsidRPr="00CD0BEB">
        <w:rPr>
          <w:rFonts w:ascii="Arial" w:hAnsi="Arial" w:cs="Arial"/>
          <w:sz w:val="20"/>
          <w:szCs w:val="20"/>
        </w:rPr>
        <w:t xml:space="preserve"> </w:t>
      </w:r>
      <w:r w:rsidR="006308E2" w:rsidRPr="00CD0BEB">
        <w:rPr>
          <w:rFonts w:ascii="Arial" w:hAnsi="Arial" w:cs="Arial"/>
          <w:sz w:val="20"/>
          <w:szCs w:val="20"/>
        </w:rPr>
        <w:t xml:space="preserve">- </w:t>
      </w:r>
      <w:r w:rsidR="001F515C" w:rsidRPr="00CD0BEB">
        <w:rPr>
          <w:rFonts w:ascii="Arial" w:hAnsi="Arial" w:cs="Arial"/>
          <w:sz w:val="20"/>
          <w:szCs w:val="20"/>
        </w:rPr>
        <w:t>which has reduced fleet numbers</w:t>
      </w:r>
      <w:r w:rsidR="006308E2" w:rsidRPr="00CD0BEB">
        <w:rPr>
          <w:rFonts w:ascii="Arial" w:hAnsi="Arial" w:cs="Arial"/>
          <w:sz w:val="20"/>
          <w:szCs w:val="20"/>
        </w:rPr>
        <w:t xml:space="preserve"> as well as </w:t>
      </w:r>
      <w:r w:rsidR="001F515C" w:rsidRPr="00CD0BEB">
        <w:rPr>
          <w:rFonts w:ascii="Arial" w:hAnsi="Arial" w:cs="Arial"/>
          <w:sz w:val="20"/>
          <w:szCs w:val="20"/>
        </w:rPr>
        <w:t>ongoing costs and improved lifecycle costs (over $100,000 p</w:t>
      </w:r>
      <w:r>
        <w:rPr>
          <w:rFonts w:ascii="Arial" w:hAnsi="Arial" w:cs="Arial"/>
          <w:sz w:val="20"/>
          <w:szCs w:val="20"/>
        </w:rPr>
        <w:t>er annum</w:t>
      </w:r>
      <w:r w:rsidR="001F515C" w:rsidRPr="00CD0BEB">
        <w:rPr>
          <w:rFonts w:ascii="Arial" w:hAnsi="Arial" w:cs="Arial"/>
          <w:sz w:val="20"/>
          <w:szCs w:val="20"/>
        </w:rPr>
        <w:t xml:space="preserve"> savings).</w:t>
      </w:r>
    </w:p>
    <w:p w14:paraId="6E7A99E6" w14:textId="77777777" w:rsidR="001F515C" w:rsidRPr="00CD0BEB" w:rsidRDefault="001F515C" w:rsidP="00731135">
      <w:pPr>
        <w:spacing w:line="276" w:lineRule="auto"/>
        <w:jc w:val="both"/>
        <w:rPr>
          <w:rFonts w:ascii="Arial" w:hAnsi="Arial" w:cs="Arial"/>
          <w:sz w:val="20"/>
          <w:szCs w:val="20"/>
        </w:rPr>
      </w:pPr>
    </w:p>
    <w:p w14:paraId="706EEDF5" w14:textId="465E13A1" w:rsidR="001F515C" w:rsidRDefault="006308E2" w:rsidP="00731135">
      <w:pPr>
        <w:spacing w:line="276" w:lineRule="auto"/>
        <w:jc w:val="both"/>
        <w:rPr>
          <w:rFonts w:ascii="Arial" w:hAnsi="Arial" w:cs="Arial"/>
          <w:sz w:val="20"/>
          <w:szCs w:val="20"/>
        </w:rPr>
      </w:pPr>
      <w:r w:rsidRPr="00CD0BEB">
        <w:rPr>
          <w:rFonts w:ascii="Arial" w:hAnsi="Arial" w:cs="Arial"/>
          <w:sz w:val="20"/>
          <w:szCs w:val="20"/>
        </w:rPr>
        <w:t>Best value r</w:t>
      </w:r>
      <w:r w:rsidR="001F515C" w:rsidRPr="00CD0BEB">
        <w:rPr>
          <w:rFonts w:ascii="Arial" w:hAnsi="Arial" w:cs="Arial"/>
          <w:sz w:val="20"/>
          <w:szCs w:val="20"/>
        </w:rPr>
        <w:t xml:space="preserve">eviews of the provision of pools, parks and libraries </w:t>
      </w:r>
      <w:r w:rsidRPr="00CD0BEB">
        <w:rPr>
          <w:rFonts w:ascii="Arial" w:hAnsi="Arial" w:cs="Arial"/>
          <w:sz w:val="20"/>
          <w:szCs w:val="20"/>
        </w:rPr>
        <w:t>have commenced</w:t>
      </w:r>
      <w:r w:rsidR="001A78CB">
        <w:rPr>
          <w:rFonts w:ascii="Arial" w:hAnsi="Arial" w:cs="Arial"/>
          <w:sz w:val="20"/>
          <w:szCs w:val="20"/>
        </w:rPr>
        <w:t xml:space="preserve"> with a view to consider rationalisation and improved service quality</w:t>
      </w:r>
      <w:r w:rsidR="001F515C" w:rsidRPr="00CD0BEB">
        <w:rPr>
          <w:rFonts w:ascii="Arial" w:hAnsi="Arial" w:cs="Arial"/>
          <w:sz w:val="20"/>
          <w:szCs w:val="20"/>
        </w:rPr>
        <w:t>.</w:t>
      </w:r>
    </w:p>
    <w:p w14:paraId="5D22CA34" w14:textId="237D9130" w:rsidR="001F515C" w:rsidRPr="00A76D9D" w:rsidRDefault="001F515C" w:rsidP="00731135">
      <w:pPr>
        <w:pStyle w:val="Heading3"/>
        <w:tabs>
          <w:tab w:val="clear" w:pos="1844"/>
          <w:tab w:val="num" w:pos="1843"/>
        </w:tabs>
        <w:spacing w:line="276" w:lineRule="auto"/>
        <w:ind w:left="709"/>
      </w:pPr>
      <w:r w:rsidRPr="00A76D9D">
        <w:t>Workforce Productivity</w:t>
      </w:r>
    </w:p>
    <w:p w14:paraId="1AB427ED" w14:textId="77777777" w:rsidR="001F515C" w:rsidRPr="00A76D9D" w:rsidRDefault="001F515C" w:rsidP="00731135">
      <w:pPr>
        <w:spacing w:line="276" w:lineRule="auto"/>
        <w:rPr>
          <w:rFonts w:ascii="Arial" w:hAnsi="Arial" w:cs="Arial"/>
          <w:b/>
          <w:sz w:val="21"/>
          <w:szCs w:val="21"/>
        </w:rPr>
      </w:pPr>
    </w:p>
    <w:p w14:paraId="0C6C6C51" w14:textId="488D8F81" w:rsidR="001F515C" w:rsidRPr="001A78CB" w:rsidRDefault="001F515C" w:rsidP="00731135">
      <w:pPr>
        <w:spacing w:line="276" w:lineRule="auto"/>
        <w:jc w:val="both"/>
        <w:rPr>
          <w:rFonts w:ascii="Arial" w:hAnsi="Arial" w:cs="Arial"/>
          <w:bCs/>
          <w:sz w:val="20"/>
          <w:szCs w:val="20"/>
        </w:rPr>
      </w:pPr>
      <w:r w:rsidRPr="001A78CB">
        <w:rPr>
          <w:rFonts w:ascii="Arial" w:hAnsi="Arial" w:cs="Arial"/>
          <w:bCs/>
          <w:sz w:val="20"/>
          <w:szCs w:val="20"/>
        </w:rPr>
        <w:t xml:space="preserve">The Council’s Workforce Management Strategy (WMS), a component of the Resourcing Strategy 2014-2014 (see </w:t>
      </w:r>
      <w:r w:rsidRPr="001A78CB">
        <w:rPr>
          <w:rFonts w:ascii="Arial" w:hAnsi="Arial" w:cs="Arial"/>
          <w:b/>
          <w:bCs/>
          <w:sz w:val="20"/>
          <w:szCs w:val="20"/>
        </w:rPr>
        <w:t xml:space="preserve">Attachment 13, </w:t>
      </w:r>
      <w:r w:rsidR="004127DF" w:rsidRPr="001A78CB">
        <w:rPr>
          <w:rFonts w:ascii="Arial" w:hAnsi="Arial" w:cs="Arial"/>
          <w:b/>
          <w:bCs/>
          <w:sz w:val="20"/>
          <w:szCs w:val="20"/>
        </w:rPr>
        <w:t>Part</w:t>
      </w:r>
      <w:r w:rsidRPr="001A78CB">
        <w:rPr>
          <w:rFonts w:ascii="Arial" w:hAnsi="Arial" w:cs="Arial"/>
          <w:b/>
          <w:bCs/>
          <w:sz w:val="20"/>
          <w:szCs w:val="20"/>
        </w:rPr>
        <w:t xml:space="preserve"> 5</w:t>
      </w:r>
      <w:r w:rsidRPr="001A78CB">
        <w:rPr>
          <w:rFonts w:ascii="Arial" w:hAnsi="Arial" w:cs="Arial"/>
          <w:bCs/>
          <w:sz w:val="20"/>
          <w:szCs w:val="20"/>
        </w:rPr>
        <w:t>) is designed to deliver a highly safe, skilled and engaged workforce that provides “value for money” services to the community.</w:t>
      </w:r>
    </w:p>
    <w:p w14:paraId="36842243" w14:textId="77777777" w:rsidR="001F515C" w:rsidRPr="001A78CB" w:rsidRDefault="001F515C" w:rsidP="00731135">
      <w:pPr>
        <w:spacing w:line="276" w:lineRule="auto"/>
        <w:jc w:val="both"/>
        <w:rPr>
          <w:rFonts w:ascii="Arial" w:hAnsi="Arial" w:cs="Arial"/>
          <w:bCs/>
          <w:sz w:val="20"/>
          <w:szCs w:val="20"/>
        </w:rPr>
      </w:pPr>
    </w:p>
    <w:p w14:paraId="06233F15" w14:textId="679456EF" w:rsidR="001F515C" w:rsidRPr="001A78CB" w:rsidRDefault="001F515C" w:rsidP="00731135">
      <w:pPr>
        <w:spacing w:line="276" w:lineRule="auto"/>
        <w:jc w:val="both"/>
        <w:rPr>
          <w:rFonts w:ascii="Arial" w:hAnsi="Arial" w:cs="Arial"/>
          <w:b/>
          <w:bCs/>
          <w:sz w:val="20"/>
          <w:szCs w:val="20"/>
        </w:rPr>
      </w:pPr>
      <w:r w:rsidRPr="001A78CB">
        <w:rPr>
          <w:rFonts w:ascii="Arial" w:hAnsi="Arial" w:cs="Arial"/>
          <w:b/>
          <w:bCs/>
          <w:sz w:val="20"/>
          <w:szCs w:val="20"/>
        </w:rPr>
        <w:t>Internal measures</w:t>
      </w:r>
    </w:p>
    <w:p w14:paraId="59C4A9AD" w14:textId="3680CE1C" w:rsidR="00081865" w:rsidRPr="00081865" w:rsidRDefault="001F515C" w:rsidP="00731135">
      <w:pPr>
        <w:spacing w:line="276" w:lineRule="auto"/>
        <w:jc w:val="both"/>
        <w:rPr>
          <w:rFonts w:ascii="Arial" w:hAnsi="Arial" w:cs="Arial"/>
          <w:bCs/>
          <w:sz w:val="20"/>
          <w:szCs w:val="20"/>
        </w:rPr>
      </w:pPr>
      <w:r w:rsidRPr="00081865">
        <w:rPr>
          <w:rFonts w:ascii="Arial" w:hAnsi="Arial" w:cs="Arial"/>
          <w:bCs/>
          <w:sz w:val="20"/>
          <w:szCs w:val="20"/>
        </w:rPr>
        <w:t xml:space="preserve">A key component of the WMS is the development of </w:t>
      </w:r>
      <w:r w:rsidR="00081865" w:rsidRPr="00081865">
        <w:rPr>
          <w:rFonts w:ascii="Arial" w:hAnsi="Arial" w:cs="Arial"/>
          <w:bCs/>
          <w:sz w:val="20"/>
          <w:szCs w:val="20"/>
        </w:rPr>
        <w:t xml:space="preserve">the </w:t>
      </w:r>
      <w:r w:rsidRPr="00081865">
        <w:rPr>
          <w:rFonts w:ascii="Arial" w:hAnsi="Arial" w:cs="Arial"/>
          <w:bCs/>
          <w:sz w:val="20"/>
          <w:szCs w:val="20"/>
        </w:rPr>
        <w:t xml:space="preserve">workforce productivity measures to demonstrate “value for money” service delivery </w:t>
      </w:r>
      <w:r w:rsidR="00081865" w:rsidRPr="00081865">
        <w:rPr>
          <w:rFonts w:ascii="Arial" w:hAnsi="Arial" w:cs="Arial"/>
          <w:bCs/>
          <w:sz w:val="20"/>
          <w:szCs w:val="20"/>
        </w:rPr>
        <w:t>- Workforce Injuries and Workers Compensation Premium Costs.</w:t>
      </w:r>
    </w:p>
    <w:p w14:paraId="1137BAD6" w14:textId="066FDD12" w:rsidR="001F515C" w:rsidRPr="00081865" w:rsidRDefault="001F515C" w:rsidP="00731135">
      <w:pPr>
        <w:spacing w:line="276" w:lineRule="auto"/>
        <w:jc w:val="both"/>
        <w:rPr>
          <w:rFonts w:ascii="Arial" w:hAnsi="Arial" w:cs="Arial"/>
          <w:bCs/>
          <w:sz w:val="20"/>
          <w:szCs w:val="20"/>
        </w:rPr>
      </w:pPr>
    </w:p>
    <w:p w14:paraId="36AC29CF" w14:textId="6C1E6A7F" w:rsidR="001F515C" w:rsidRPr="00081865" w:rsidRDefault="001F515C" w:rsidP="00731135">
      <w:pPr>
        <w:pStyle w:val="ListParagraph"/>
        <w:numPr>
          <w:ilvl w:val="0"/>
          <w:numId w:val="90"/>
        </w:numPr>
        <w:spacing w:line="276" w:lineRule="auto"/>
        <w:jc w:val="both"/>
        <w:rPr>
          <w:rFonts w:ascii="Arial" w:hAnsi="Arial" w:cs="Arial"/>
          <w:bCs/>
          <w:sz w:val="20"/>
          <w:szCs w:val="20"/>
          <w:u w:val="single"/>
        </w:rPr>
      </w:pPr>
      <w:r w:rsidRPr="00081865">
        <w:rPr>
          <w:rFonts w:ascii="Arial" w:hAnsi="Arial" w:cs="Arial"/>
          <w:bCs/>
          <w:sz w:val="20"/>
          <w:szCs w:val="20"/>
          <w:u w:val="single"/>
        </w:rPr>
        <w:t>Workforce injuries</w:t>
      </w:r>
    </w:p>
    <w:p w14:paraId="05CCADDD" w14:textId="17274879" w:rsidR="001F515C" w:rsidRDefault="001F515C" w:rsidP="00731135">
      <w:pPr>
        <w:suppressAutoHyphens/>
        <w:autoSpaceDE w:val="0"/>
        <w:autoSpaceDN w:val="0"/>
        <w:adjustRightInd w:val="0"/>
        <w:spacing w:line="276" w:lineRule="auto"/>
        <w:ind w:left="709"/>
        <w:jc w:val="both"/>
        <w:textAlignment w:val="center"/>
        <w:rPr>
          <w:rFonts w:ascii="Arial" w:hAnsi="Arial" w:cs="Arial"/>
          <w:color w:val="000000"/>
          <w:sz w:val="20"/>
          <w:szCs w:val="20"/>
          <w:lang w:val="en-US"/>
        </w:rPr>
      </w:pPr>
      <w:r w:rsidRPr="00081865">
        <w:rPr>
          <w:rFonts w:ascii="Arial" w:hAnsi="Arial" w:cs="Arial"/>
          <w:color w:val="000000"/>
          <w:sz w:val="20"/>
          <w:szCs w:val="20"/>
          <w:lang w:val="en-US"/>
        </w:rPr>
        <w:t xml:space="preserve">The number of lost </w:t>
      </w:r>
      <w:r w:rsidR="009E2FB7">
        <w:rPr>
          <w:rFonts w:ascii="Arial" w:hAnsi="Arial" w:cs="Arial"/>
          <w:color w:val="000000"/>
          <w:sz w:val="20"/>
          <w:szCs w:val="20"/>
          <w:lang w:val="en-US"/>
        </w:rPr>
        <w:t xml:space="preserve">time </w:t>
      </w:r>
      <w:r w:rsidRPr="00081865">
        <w:rPr>
          <w:rFonts w:ascii="Arial" w:hAnsi="Arial" w:cs="Arial"/>
          <w:color w:val="000000"/>
          <w:sz w:val="20"/>
          <w:szCs w:val="20"/>
          <w:lang w:val="en-US"/>
        </w:rPr>
        <w:t xml:space="preserve">injuries is a </w:t>
      </w:r>
      <w:r w:rsidR="00B225C2" w:rsidRPr="00081865">
        <w:rPr>
          <w:rFonts w:ascii="Arial" w:hAnsi="Arial" w:cs="Arial"/>
          <w:color w:val="000000"/>
          <w:sz w:val="20"/>
          <w:szCs w:val="20"/>
          <w:lang w:val="en-US"/>
        </w:rPr>
        <w:t xml:space="preserve">productivity </w:t>
      </w:r>
      <w:r w:rsidRPr="00081865">
        <w:rPr>
          <w:rFonts w:ascii="Arial" w:hAnsi="Arial" w:cs="Arial"/>
          <w:color w:val="000000"/>
          <w:sz w:val="20"/>
          <w:szCs w:val="20"/>
          <w:lang w:val="en-US"/>
        </w:rPr>
        <w:t>measure of both the safety of the workforce and an indicator of workforce engagement and commitment. As the graph below demonstrates, there has been considerable improvement, with a significant reduction in the number of injuries since 2007.</w:t>
      </w:r>
    </w:p>
    <w:p w14:paraId="75793E4C" w14:textId="77777777" w:rsidR="00081865" w:rsidRDefault="00081865" w:rsidP="00731135">
      <w:pPr>
        <w:suppressAutoHyphens/>
        <w:autoSpaceDE w:val="0"/>
        <w:autoSpaceDN w:val="0"/>
        <w:adjustRightInd w:val="0"/>
        <w:spacing w:line="276" w:lineRule="auto"/>
        <w:ind w:left="709"/>
        <w:jc w:val="both"/>
        <w:textAlignment w:val="center"/>
        <w:rPr>
          <w:rFonts w:ascii="Arial" w:hAnsi="Arial" w:cs="Arial"/>
          <w:color w:val="000000"/>
          <w:sz w:val="20"/>
          <w:szCs w:val="20"/>
          <w:lang w:val="en-US"/>
        </w:rPr>
      </w:pPr>
    </w:p>
    <w:p w14:paraId="4757D368" w14:textId="77777777" w:rsidR="00081865" w:rsidRDefault="00081865" w:rsidP="00081865">
      <w:pPr>
        <w:suppressAutoHyphens/>
        <w:autoSpaceDE w:val="0"/>
        <w:autoSpaceDN w:val="0"/>
        <w:adjustRightInd w:val="0"/>
        <w:spacing w:line="360" w:lineRule="auto"/>
        <w:ind w:left="709"/>
        <w:jc w:val="both"/>
        <w:textAlignment w:val="center"/>
        <w:rPr>
          <w:rFonts w:ascii="Arial" w:hAnsi="Arial" w:cs="Arial"/>
          <w:color w:val="000000"/>
          <w:sz w:val="20"/>
          <w:szCs w:val="20"/>
          <w:lang w:val="en-US"/>
        </w:rPr>
      </w:pPr>
    </w:p>
    <w:p w14:paraId="0F5628E8" w14:textId="77777777" w:rsidR="00081865" w:rsidRDefault="00081865" w:rsidP="00081865">
      <w:pPr>
        <w:suppressAutoHyphens/>
        <w:autoSpaceDE w:val="0"/>
        <w:autoSpaceDN w:val="0"/>
        <w:adjustRightInd w:val="0"/>
        <w:spacing w:line="360" w:lineRule="auto"/>
        <w:ind w:left="709"/>
        <w:jc w:val="both"/>
        <w:textAlignment w:val="center"/>
        <w:rPr>
          <w:rFonts w:ascii="Arial" w:hAnsi="Arial" w:cs="Arial"/>
          <w:color w:val="000000"/>
          <w:sz w:val="20"/>
          <w:szCs w:val="20"/>
          <w:lang w:val="en-US"/>
        </w:rPr>
      </w:pPr>
    </w:p>
    <w:p w14:paraId="1836AB96" w14:textId="40534123" w:rsidR="001F515C" w:rsidRPr="004427A1" w:rsidRDefault="001F515C" w:rsidP="004427A1">
      <w:pPr>
        <w:pStyle w:val="Caption"/>
        <w:ind w:hanging="595"/>
        <w:rPr>
          <w:rFonts w:cstheme="minorHAnsi"/>
          <w:color w:val="000000"/>
          <w:sz w:val="18"/>
          <w:szCs w:val="18"/>
          <w:lang w:val="en-US"/>
        </w:rPr>
      </w:pPr>
      <w:bookmarkStart w:id="103" w:name="_Ref394081145"/>
      <w:bookmarkStart w:id="104" w:name="_Toc394481377"/>
      <w:bookmarkStart w:id="105" w:name="_Toc394564649"/>
      <w:r w:rsidRPr="004427A1">
        <w:rPr>
          <w:sz w:val="18"/>
          <w:szCs w:val="18"/>
        </w:rPr>
        <w:t>Figure 7.</w:t>
      </w:r>
      <w:bookmarkEnd w:id="103"/>
      <w:r w:rsidR="0053356A" w:rsidRPr="004427A1">
        <w:rPr>
          <w:sz w:val="18"/>
          <w:szCs w:val="18"/>
        </w:rPr>
        <w:t>3</w:t>
      </w:r>
      <w:r w:rsidR="004427A1">
        <w:rPr>
          <w:sz w:val="18"/>
          <w:szCs w:val="18"/>
        </w:rPr>
        <w:t xml:space="preserve">: </w:t>
      </w:r>
      <w:r w:rsidRPr="004427A1">
        <w:rPr>
          <w:sz w:val="18"/>
          <w:szCs w:val="18"/>
        </w:rPr>
        <w:t xml:space="preserve"> Workforce injuries</w:t>
      </w:r>
      <w:bookmarkEnd w:id="104"/>
      <w:bookmarkEnd w:id="105"/>
    </w:p>
    <w:p w14:paraId="04616B18" w14:textId="77777777" w:rsidR="001F515C" w:rsidRDefault="001F515C" w:rsidP="001F515C">
      <w:pPr>
        <w:suppressAutoHyphens/>
        <w:autoSpaceDE w:val="0"/>
        <w:autoSpaceDN w:val="0"/>
        <w:adjustRightInd w:val="0"/>
        <w:spacing w:after="170" w:line="288" w:lineRule="auto"/>
        <w:jc w:val="center"/>
        <w:textAlignment w:val="center"/>
        <w:rPr>
          <w:rFonts w:ascii="Frutiger LT Std 45 Light" w:hAnsi="Frutiger LT Std 45 Light" w:cs="Frutiger LT Std 45 Light"/>
          <w:color w:val="000000"/>
          <w:sz w:val="20"/>
          <w:szCs w:val="20"/>
          <w:lang w:val="en-US"/>
        </w:rPr>
      </w:pPr>
      <w:r w:rsidRPr="00E53756">
        <w:rPr>
          <w:noProof/>
        </w:rPr>
        <w:drawing>
          <wp:inline distT="0" distB="0" distL="0" distR="0" wp14:anchorId="7A83A0B8" wp14:editId="26B9AD47">
            <wp:extent cx="4408030" cy="2476500"/>
            <wp:effectExtent l="0" t="0" r="0" b="0"/>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4419680" cy="2483045"/>
                    </a:xfrm>
                    <a:prstGeom prst="rect">
                      <a:avLst/>
                    </a:prstGeom>
                    <a:noFill/>
                    <a:ln>
                      <a:noFill/>
                    </a:ln>
                  </pic:spPr>
                </pic:pic>
              </a:graphicData>
            </a:graphic>
          </wp:inline>
        </w:drawing>
      </w:r>
    </w:p>
    <w:p w14:paraId="285623C7" w14:textId="77777777" w:rsidR="001F515C" w:rsidRDefault="001F515C" w:rsidP="001F515C">
      <w:pPr>
        <w:spacing w:line="360" w:lineRule="auto"/>
        <w:jc w:val="both"/>
        <w:rPr>
          <w:rFonts w:ascii="Arial" w:hAnsi="Arial" w:cs="Arial"/>
          <w:bCs/>
          <w:sz w:val="21"/>
          <w:szCs w:val="21"/>
        </w:rPr>
      </w:pPr>
    </w:p>
    <w:p w14:paraId="0BA75BA5" w14:textId="1F32513D" w:rsidR="001F515C" w:rsidRPr="00081865" w:rsidRDefault="001F515C" w:rsidP="00695720">
      <w:pPr>
        <w:pStyle w:val="ListParagraph"/>
        <w:numPr>
          <w:ilvl w:val="0"/>
          <w:numId w:val="90"/>
        </w:numPr>
        <w:spacing w:line="360" w:lineRule="auto"/>
        <w:jc w:val="both"/>
        <w:rPr>
          <w:rFonts w:ascii="Arial" w:hAnsi="Arial" w:cs="Arial"/>
          <w:bCs/>
          <w:sz w:val="20"/>
          <w:szCs w:val="20"/>
          <w:u w:val="single"/>
        </w:rPr>
      </w:pPr>
      <w:r w:rsidRPr="00081865">
        <w:rPr>
          <w:rFonts w:ascii="Arial" w:hAnsi="Arial" w:cs="Arial"/>
          <w:bCs/>
          <w:sz w:val="20"/>
          <w:szCs w:val="20"/>
          <w:u w:val="single"/>
        </w:rPr>
        <w:t>Workers Compensation Premium Costs</w:t>
      </w:r>
    </w:p>
    <w:p w14:paraId="2E736DF5" w14:textId="77777777" w:rsidR="001F515C" w:rsidRDefault="001F515C" w:rsidP="004427A1">
      <w:pPr>
        <w:suppressAutoHyphens/>
        <w:autoSpaceDE w:val="0"/>
        <w:autoSpaceDN w:val="0"/>
        <w:adjustRightInd w:val="0"/>
        <w:spacing w:line="276" w:lineRule="auto"/>
        <w:ind w:left="720"/>
        <w:textAlignment w:val="center"/>
        <w:rPr>
          <w:rFonts w:ascii="Arial" w:hAnsi="Arial" w:cs="Arial"/>
          <w:color w:val="000000"/>
          <w:sz w:val="20"/>
          <w:szCs w:val="20"/>
          <w:lang w:val="en-US"/>
        </w:rPr>
      </w:pPr>
      <w:r w:rsidRPr="001A78CB">
        <w:rPr>
          <w:rFonts w:ascii="Arial" w:hAnsi="Arial" w:cs="Arial"/>
          <w:color w:val="000000"/>
          <w:sz w:val="20"/>
          <w:szCs w:val="20"/>
          <w:lang w:val="en-US"/>
        </w:rPr>
        <w:t xml:space="preserve">Over the past five years, </w:t>
      </w:r>
      <w:r w:rsidRPr="001A78CB">
        <w:rPr>
          <w:rFonts w:ascii="Arial" w:hAnsi="Arial" w:cs="Arial"/>
          <w:bCs/>
          <w:color w:val="000000"/>
          <w:sz w:val="20"/>
          <w:szCs w:val="20"/>
          <w:lang w:val="en-US"/>
        </w:rPr>
        <w:t xml:space="preserve">Workers Compensation Premium Costs </w:t>
      </w:r>
      <w:r w:rsidRPr="001A78CB">
        <w:rPr>
          <w:rFonts w:ascii="Arial" w:hAnsi="Arial" w:cs="Arial"/>
          <w:color w:val="000000"/>
          <w:sz w:val="20"/>
          <w:szCs w:val="20"/>
          <w:lang w:val="en-US"/>
        </w:rPr>
        <w:t>have reduced significantly since 2007 due to two key drivers:</w:t>
      </w:r>
    </w:p>
    <w:p w14:paraId="1A1C229D" w14:textId="77777777" w:rsidR="004427A1" w:rsidRPr="001A78CB" w:rsidRDefault="004427A1" w:rsidP="004427A1">
      <w:pPr>
        <w:suppressAutoHyphens/>
        <w:autoSpaceDE w:val="0"/>
        <w:autoSpaceDN w:val="0"/>
        <w:adjustRightInd w:val="0"/>
        <w:spacing w:line="276" w:lineRule="auto"/>
        <w:ind w:left="720"/>
        <w:textAlignment w:val="center"/>
        <w:rPr>
          <w:rFonts w:ascii="Arial" w:hAnsi="Arial" w:cs="Arial"/>
          <w:color w:val="000000"/>
          <w:sz w:val="20"/>
          <w:szCs w:val="20"/>
          <w:lang w:val="en-US"/>
        </w:rPr>
      </w:pPr>
    </w:p>
    <w:p w14:paraId="1D4E1F81" w14:textId="77777777" w:rsidR="001F515C" w:rsidRPr="001A78CB" w:rsidRDefault="001F515C" w:rsidP="004427A1">
      <w:pPr>
        <w:pStyle w:val="ListParagraph"/>
        <w:numPr>
          <w:ilvl w:val="0"/>
          <w:numId w:val="91"/>
        </w:numPr>
        <w:suppressAutoHyphens/>
        <w:autoSpaceDE w:val="0"/>
        <w:autoSpaceDN w:val="0"/>
        <w:adjustRightInd w:val="0"/>
        <w:spacing w:line="276" w:lineRule="auto"/>
        <w:contextualSpacing/>
        <w:jc w:val="both"/>
        <w:textAlignment w:val="center"/>
        <w:rPr>
          <w:rFonts w:ascii="Arial" w:hAnsi="Arial" w:cs="Arial"/>
          <w:color w:val="000000"/>
          <w:sz w:val="20"/>
          <w:szCs w:val="20"/>
          <w:lang w:val="en-US"/>
        </w:rPr>
      </w:pPr>
      <w:r w:rsidRPr="001A78CB">
        <w:rPr>
          <w:rFonts w:ascii="Arial" w:hAnsi="Arial" w:cs="Arial"/>
          <w:color w:val="000000"/>
          <w:sz w:val="20"/>
          <w:szCs w:val="20"/>
          <w:lang w:val="en-US"/>
        </w:rPr>
        <w:t xml:space="preserve"> Admission of the organisation to the Retro Paid Loss Scheme</w:t>
      </w:r>
    </w:p>
    <w:p w14:paraId="591B66FD" w14:textId="77777777" w:rsidR="001F515C" w:rsidRPr="001A78CB" w:rsidRDefault="001F515C" w:rsidP="004427A1">
      <w:pPr>
        <w:pStyle w:val="ListParagraph"/>
        <w:numPr>
          <w:ilvl w:val="0"/>
          <w:numId w:val="91"/>
        </w:numPr>
        <w:suppressAutoHyphens/>
        <w:autoSpaceDE w:val="0"/>
        <w:autoSpaceDN w:val="0"/>
        <w:adjustRightInd w:val="0"/>
        <w:spacing w:line="276" w:lineRule="auto"/>
        <w:contextualSpacing/>
        <w:jc w:val="both"/>
        <w:textAlignment w:val="center"/>
        <w:rPr>
          <w:rFonts w:ascii="Arial" w:hAnsi="Arial" w:cs="Arial"/>
          <w:color w:val="000000"/>
          <w:sz w:val="20"/>
          <w:szCs w:val="20"/>
          <w:lang w:val="en-US"/>
        </w:rPr>
      </w:pPr>
      <w:r w:rsidRPr="001A78CB">
        <w:rPr>
          <w:rFonts w:ascii="Arial" w:hAnsi="Arial" w:cs="Arial"/>
          <w:color w:val="000000"/>
          <w:sz w:val="20"/>
          <w:szCs w:val="20"/>
          <w:lang w:val="en-US"/>
        </w:rPr>
        <w:t xml:space="preserve">An organisational and workforce approach to proactively managing injuries. </w:t>
      </w:r>
    </w:p>
    <w:p w14:paraId="110B3191" w14:textId="77777777" w:rsidR="00081865" w:rsidRDefault="00081865" w:rsidP="004427A1">
      <w:pPr>
        <w:suppressAutoHyphens/>
        <w:autoSpaceDE w:val="0"/>
        <w:autoSpaceDN w:val="0"/>
        <w:adjustRightInd w:val="0"/>
        <w:spacing w:line="276" w:lineRule="auto"/>
        <w:ind w:left="720"/>
        <w:textAlignment w:val="center"/>
        <w:rPr>
          <w:rFonts w:ascii="Arial" w:hAnsi="Arial" w:cs="Arial"/>
          <w:bCs/>
          <w:color w:val="000000"/>
          <w:sz w:val="20"/>
          <w:szCs w:val="20"/>
          <w:lang w:val="en-US"/>
        </w:rPr>
      </w:pPr>
    </w:p>
    <w:p w14:paraId="4F4990D6" w14:textId="15F16F47" w:rsidR="001F515C" w:rsidRPr="001A78CB" w:rsidRDefault="001F515C" w:rsidP="004427A1">
      <w:pPr>
        <w:suppressAutoHyphens/>
        <w:autoSpaceDE w:val="0"/>
        <w:autoSpaceDN w:val="0"/>
        <w:adjustRightInd w:val="0"/>
        <w:spacing w:line="276" w:lineRule="auto"/>
        <w:ind w:left="720"/>
        <w:textAlignment w:val="center"/>
        <w:rPr>
          <w:rFonts w:ascii="Arial" w:hAnsi="Arial" w:cs="Arial"/>
          <w:bCs/>
          <w:color w:val="000000"/>
          <w:sz w:val="20"/>
          <w:szCs w:val="20"/>
          <w:lang w:val="en-US"/>
        </w:rPr>
      </w:pPr>
      <w:r w:rsidRPr="001A78CB">
        <w:rPr>
          <w:rFonts w:ascii="Arial" w:hAnsi="Arial" w:cs="Arial"/>
          <w:bCs/>
          <w:color w:val="000000"/>
          <w:sz w:val="20"/>
          <w:szCs w:val="20"/>
          <w:lang w:val="en-US"/>
        </w:rPr>
        <w:t xml:space="preserve">This has saved the organisation </w:t>
      </w:r>
      <w:r w:rsidR="00B225C2" w:rsidRPr="001A78CB">
        <w:rPr>
          <w:rFonts w:ascii="Arial" w:hAnsi="Arial" w:cs="Arial"/>
          <w:bCs/>
          <w:color w:val="000000"/>
          <w:sz w:val="20"/>
          <w:szCs w:val="20"/>
          <w:lang w:val="en-US"/>
        </w:rPr>
        <w:t xml:space="preserve">an estimated </w:t>
      </w:r>
      <w:r w:rsidRPr="001A78CB">
        <w:rPr>
          <w:rFonts w:ascii="Arial" w:hAnsi="Arial" w:cs="Arial"/>
          <w:bCs/>
          <w:color w:val="000000"/>
          <w:sz w:val="20"/>
          <w:szCs w:val="20"/>
          <w:lang w:val="en-US"/>
        </w:rPr>
        <w:t>$3.4 million since 2011.</w:t>
      </w:r>
    </w:p>
    <w:p w14:paraId="5446471F" w14:textId="77777777" w:rsidR="001F515C" w:rsidRDefault="001F515C" w:rsidP="001F515C">
      <w:pPr>
        <w:pStyle w:val="Caption"/>
        <w:spacing w:before="0" w:after="0"/>
      </w:pPr>
    </w:p>
    <w:p w14:paraId="272340E3" w14:textId="26C66C1C" w:rsidR="001F515C" w:rsidRPr="004427A1" w:rsidRDefault="0053356A" w:rsidP="00B225C2">
      <w:pPr>
        <w:pStyle w:val="Caption"/>
        <w:spacing w:before="0" w:after="0" w:line="240" w:lineRule="auto"/>
        <w:ind w:hanging="452"/>
        <w:rPr>
          <w:rFonts w:cs="Frutiger LT Std 45 Light"/>
          <w:b w:val="0"/>
          <w:bCs/>
          <w:color w:val="000000"/>
          <w:sz w:val="18"/>
          <w:szCs w:val="18"/>
          <w:lang w:val="en-US"/>
        </w:rPr>
      </w:pPr>
      <w:r w:rsidRPr="004427A1">
        <w:rPr>
          <w:sz w:val="18"/>
          <w:szCs w:val="18"/>
        </w:rPr>
        <w:t>Figure 7.4</w:t>
      </w:r>
      <w:r w:rsidR="00B225C2" w:rsidRPr="004427A1">
        <w:rPr>
          <w:sz w:val="18"/>
          <w:szCs w:val="18"/>
        </w:rPr>
        <w:t xml:space="preserve">: </w:t>
      </w:r>
      <w:r w:rsidR="001F515C" w:rsidRPr="004427A1">
        <w:rPr>
          <w:sz w:val="18"/>
          <w:szCs w:val="18"/>
        </w:rPr>
        <w:t xml:space="preserve"> Workers </w:t>
      </w:r>
      <w:r w:rsidR="00B225C2" w:rsidRPr="004427A1">
        <w:rPr>
          <w:sz w:val="18"/>
          <w:szCs w:val="18"/>
        </w:rPr>
        <w:t>C</w:t>
      </w:r>
      <w:r w:rsidR="001F515C" w:rsidRPr="004427A1">
        <w:rPr>
          <w:sz w:val="18"/>
          <w:szCs w:val="18"/>
        </w:rPr>
        <w:t xml:space="preserve">ompensation </w:t>
      </w:r>
      <w:r w:rsidR="00B225C2" w:rsidRPr="004427A1">
        <w:rPr>
          <w:sz w:val="18"/>
          <w:szCs w:val="18"/>
        </w:rPr>
        <w:t>P</w:t>
      </w:r>
      <w:r w:rsidR="001F515C" w:rsidRPr="004427A1">
        <w:rPr>
          <w:sz w:val="18"/>
          <w:szCs w:val="18"/>
        </w:rPr>
        <w:t xml:space="preserve">remium </w:t>
      </w:r>
      <w:r w:rsidR="00B225C2" w:rsidRPr="004427A1">
        <w:rPr>
          <w:sz w:val="18"/>
          <w:szCs w:val="18"/>
        </w:rPr>
        <w:t>C</w:t>
      </w:r>
      <w:r w:rsidR="001F515C" w:rsidRPr="004427A1">
        <w:rPr>
          <w:sz w:val="18"/>
          <w:szCs w:val="18"/>
        </w:rPr>
        <w:t xml:space="preserve">osts </w:t>
      </w:r>
    </w:p>
    <w:p w14:paraId="0E7D0907" w14:textId="77777777" w:rsidR="001F515C" w:rsidRDefault="001F515C" w:rsidP="001F515C">
      <w:pPr>
        <w:pStyle w:val="Caption"/>
        <w:jc w:val="center"/>
      </w:pPr>
      <w:r w:rsidRPr="00E53756">
        <w:rPr>
          <w:noProof/>
        </w:rPr>
        <w:drawing>
          <wp:inline distT="0" distB="0" distL="0" distR="0" wp14:anchorId="3C394EFD" wp14:editId="7D9823B6">
            <wp:extent cx="4390334" cy="2359477"/>
            <wp:effectExtent l="0" t="0" r="0" b="3175"/>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4387616" cy="2358017"/>
                    </a:xfrm>
                    <a:prstGeom prst="rect">
                      <a:avLst/>
                    </a:prstGeom>
                    <a:noFill/>
                    <a:ln>
                      <a:noFill/>
                    </a:ln>
                  </pic:spPr>
                </pic:pic>
              </a:graphicData>
            </a:graphic>
          </wp:inline>
        </w:drawing>
      </w:r>
      <w:bookmarkStart w:id="106" w:name="_Ref394081176"/>
      <w:bookmarkStart w:id="107" w:name="_Toc394481378"/>
      <w:bookmarkStart w:id="108" w:name="_Toc394564650"/>
    </w:p>
    <w:p w14:paraId="5E6D0196" w14:textId="77777777" w:rsidR="004427A1" w:rsidRDefault="004427A1" w:rsidP="004427A1"/>
    <w:p w14:paraId="11CBD76A" w14:textId="77777777" w:rsidR="004427A1" w:rsidRDefault="004427A1" w:rsidP="004427A1"/>
    <w:p w14:paraId="5413BA80" w14:textId="77777777" w:rsidR="004427A1" w:rsidRDefault="004427A1" w:rsidP="004427A1"/>
    <w:p w14:paraId="13E694CC" w14:textId="77777777" w:rsidR="004427A1" w:rsidRDefault="004427A1" w:rsidP="004427A1"/>
    <w:p w14:paraId="0FE716DA" w14:textId="77777777" w:rsidR="004427A1" w:rsidRDefault="004427A1" w:rsidP="004427A1"/>
    <w:p w14:paraId="2F645A46" w14:textId="77777777" w:rsidR="004427A1" w:rsidRPr="004427A1" w:rsidRDefault="004427A1" w:rsidP="004427A1"/>
    <w:p w14:paraId="6DD00CBC" w14:textId="59937DE3" w:rsidR="001F515C" w:rsidRPr="00443B24" w:rsidRDefault="001F515C" w:rsidP="004427A1">
      <w:pPr>
        <w:pStyle w:val="Heading3"/>
        <w:tabs>
          <w:tab w:val="clear" w:pos="1844"/>
          <w:tab w:val="num" w:pos="1843"/>
        </w:tabs>
        <w:spacing w:line="276" w:lineRule="auto"/>
        <w:ind w:left="709"/>
      </w:pPr>
      <w:r w:rsidRPr="00443B24">
        <w:t xml:space="preserve"> </w:t>
      </w:r>
      <w:bookmarkEnd w:id="106"/>
      <w:bookmarkEnd w:id="107"/>
      <w:bookmarkEnd w:id="108"/>
      <w:r w:rsidRPr="00443B24">
        <w:t>Benchmarking against NSW Councils</w:t>
      </w:r>
    </w:p>
    <w:p w14:paraId="0A51570B" w14:textId="77777777" w:rsidR="00B225C2" w:rsidRDefault="00B225C2" w:rsidP="004427A1">
      <w:pPr>
        <w:spacing w:line="276" w:lineRule="auto"/>
        <w:jc w:val="both"/>
        <w:rPr>
          <w:rFonts w:ascii="Arial" w:hAnsi="Arial" w:cs="Arial"/>
          <w:bCs/>
          <w:sz w:val="21"/>
          <w:szCs w:val="21"/>
        </w:rPr>
      </w:pPr>
    </w:p>
    <w:p w14:paraId="6185752A" w14:textId="77777777" w:rsidR="001F515C" w:rsidRPr="001A78CB" w:rsidRDefault="001F515C" w:rsidP="004427A1">
      <w:pPr>
        <w:spacing w:line="276" w:lineRule="auto"/>
        <w:jc w:val="both"/>
        <w:rPr>
          <w:rFonts w:ascii="Arial" w:hAnsi="Arial" w:cs="Arial"/>
          <w:bCs/>
          <w:sz w:val="20"/>
          <w:szCs w:val="20"/>
        </w:rPr>
      </w:pPr>
      <w:r w:rsidRPr="001A78CB">
        <w:rPr>
          <w:rFonts w:ascii="Arial" w:hAnsi="Arial" w:cs="Arial"/>
          <w:bCs/>
          <w:sz w:val="20"/>
          <w:szCs w:val="20"/>
        </w:rPr>
        <w:t>As shown below, the Council has performed well against other NSW councils in key staff performance areas measured by the most recent LGNSW Benchmarking Survey.</w:t>
      </w:r>
    </w:p>
    <w:p w14:paraId="57ECC99D" w14:textId="77777777" w:rsidR="001F515C" w:rsidRPr="001A78CB" w:rsidRDefault="001F515C" w:rsidP="004427A1">
      <w:pPr>
        <w:spacing w:line="276" w:lineRule="auto"/>
        <w:jc w:val="both"/>
        <w:rPr>
          <w:rFonts w:ascii="Arial" w:hAnsi="Arial" w:cs="Arial"/>
          <w:bCs/>
          <w:sz w:val="20"/>
          <w:szCs w:val="20"/>
          <w:u w:val="single"/>
        </w:rPr>
      </w:pPr>
    </w:p>
    <w:p w14:paraId="31FF6174" w14:textId="77777777" w:rsidR="001F515C" w:rsidRPr="001A78CB" w:rsidRDefault="001F515C" w:rsidP="004427A1">
      <w:pPr>
        <w:spacing w:line="276" w:lineRule="auto"/>
        <w:jc w:val="both"/>
        <w:rPr>
          <w:rFonts w:ascii="Arial" w:hAnsi="Arial" w:cs="Arial"/>
          <w:bCs/>
          <w:sz w:val="20"/>
          <w:szCs w:val="20"/>
          <w:u w:val="single"/>
        </w:rPr>
      </w:pPr>
      <w:r w:rsidRPr="001A78CB">
        <w:rPr>
          <w:rFonts w:ascii="Arial" w:hAnsi="Arial" w:cs="Arial"/>
          <w:bCs/>
          <w:sz w:val="20"/>
          <w:szCs w:val="20"/>
          <w:u w:val="single"/>
        </w:rPr>
        <w:t>a) Employee turnover</w:t>
      </w:r>
    </w:p>
    <w:p w14:paraId="2D4A7BAE" w14:textId="62392BFD" w:rsidR="001F515C" w:rsidRPr="001A78CB" w:rsidRDefault="001F515C" w:rsidP="004427A1">
      <w:pPr>
        <w:spacing w:line="276" w:lineRule="auto"/>
        <w:jc w:val="both"/>
        <w:rPr>
          <w:rFonts w:ascii="Arial" w:hAnsi="Arial" w:cs="Arial"/>
          <w:bCs/>
          <w:sz w:val="20"/>
          <w:szCs w:val="20"/>
        </w:rPr>
      </w:pPr>
      <w:r w:rsidRPr="001A78CB">
        <w:rPr>
          <w:rFonts w:ascii="Arial" w:hAnsi="Arial" w:cs="Arial"/>
          <w:bCs/>
          <w:sz w:val="20"/>
          <w:szCs w:val="20"/>
        </w:rPr>
        <w:t xml:space="preserve">As shown below, the Council is the second best performer in </w:t>
      </w:r>
      <w:r w:rsidR="001A78CB" w:rsidRPr="001A78CB">
        <w:rPr>
          <w:rFonts w:ascii="Arial" w:hAnsi="Arial" w:cs="Arial"/>
          <w:bCs/>
          <w:sz w:val="20"/>
          <w:szCs w:val="20"/>
        </w:rPr>
        <w:t>LGNSW survey</w:t>
      </w:r>
      <w:r w:rsidRPr="001A78CB">
        <w:rPr>
          <w:rFonts w:ascii="Arial" w:hAnsi="Arial" w:cs="Arial"/>
          <w:bCs/>
          <w:sz w:val="20"/>
          <w:szCs w:val="20"/>
        </w:rPr>
        <w:t xml:space="preserve"> for employee turnover, that it has the second lowest turnover of all NSW councils.</w:t>
      </w:r>
    </w:p>
    <w:p w14:paraId="1D778234" w14:textId="77777777" w:rsidR="001F515C" w:rsidRDefault="001F515C" w:rsidP="004427A1">
      <w:pPr>
        <w:spacing w:line="276" w:lineRule="auto"/>
        <w:jc w:val="both"/>
        <w:rPr>
          <w:rFonts w:ascii="Arial" w:hAnsi="Arial" w:cs="Arial"/>
          <w:bCs/>
          <w:sz w:val="21"/>
          <w:szCs w:val="21"/>
        </w:rPr>
      </w:pPr>
    </w:p>
    <w:p w14:paraId="0CCABD04" w14:textId="37E8084C" w:rsidR="001F515C" w:rsidRPr="00443B24" w:rsidRDefault="0053356A" w:rsidP="001F515C">
      <w:pPr>
        <w:spacing w:line="360" w:lineRule="auto"/>
        <w:jc w:val="both"/>
        <w:rPr>
          <w:rFonts w:ascii="Arial" w:hAnsi="Arial" w:cs="Arial"/>
          <w:b/>
          <w:bCs/>
          <w:sz w:val="18"/>
          <w:szCs w:val="18"/>
        </w:rPr>
      </w:pPr>
      <w:r>
        <w:rPr>
          <w:rFonts w:ascii="Arial" w:hAnsi="Arial" w:cs="Arial"/>
          <w:b/>
          <w:bCs/>
          <w:sz w:val="18"/>
          <w:szCs w:val="18"/>
        </w:rPr>
        <w:t>Figure 7.5</w:t>
      </w:r>
      <w:r w:rsidR="004427A1">
        <w:rPr>
          <w:rFonts w:ascii="Arial" w:hAnsi="Arial" w:cs="Arial"/>
          <w:b/>
          <w:bCs/>
          <w:sz w:val="18"/>
          <w:szCs w:val="18"/>
        </w:rPr>
        <w:t>:</w:t>
      </w:r>
      <w:r w:rsidR="001F515C" w:rsidRPr="00443B24">
        <w:rPr>
          <w:rFonts w:ascii="Arial" w:hAnsi="Arial" w:cs="Arial"/>
          <w:b/>
          <w:bCs/>
          <w:sz w:val="18"/>
          <w:szCs w:val="18"/>
        </w:rPr>
        <w:t xml:space="preserve"> B</w:t>
      </w:r>
      <w:r w:rsidR="001F515C">
        <w:rPr>
          <w:rFonts w:ascii="Arial" w:hAnsi="Arial" w:cs="Arial"/>
          <w:b/>
          <w:bCs/>
          <w:sz w:val="18"/>
          <w:szCs w:val="18"/>
        </w:rPr>
        <w:t>MCC</w:t>
      </w:r>
      <w:r w:rsidR="001F515C" w:rsidRPr="00443B24">
        <w:rPr>
          <w:rFonts w:ascii="Arial" w:hAnsi="Arial" w:cs="Arial"/>
          <w:b/>
          <w:bCs/>
          <w:sz w:val="18"/>
          <w:szCs w:val="18"/>
        </w:rPr>
        <w:t xml:space="preserve"> Benchmarked against Other NSW Councils – Employee Turnover</w:t>
      </w:r>
    </w:p>
    <w:p w14:paraId="58C1F7CD" w14:textId="1D80B0A6" w:rsidR="001F515C" w:rsidRPr="00F878FB" w:rsidRDefault="001F515C" w:rsidP="001F515C">
      <w:pPr>
        <w:autoSpaceDE w:val="0"/>
        <w:autoSpaceDN w:val="0"/>
        <w:adjustRightInd w:val="0"/>
        <w:rPr>
          <w:rFonts w:ascii="Calibri" w:hAnsi="Calibri" w:cs="FrutigerLTStd-Light"/>
          <w:color w:val="000000"/>
        </w:rPr>
      </w:pPr>
      <w:r>
        <w:rPr>
          <w:rFonts w:ascii="Calibri" w:hAnsi="Calibri" w:cs="FrutigerLTStd-Light"/>
          <w:noProof/>
          <w:color w:val="000000"/>
        </w:rPr>
        <w:drawing>
          <wp:inline distT="0" distB="0" distL="0" distR="0" wp14:anchorId="509EFB39" wp14:editId="304D5D39">
            <wp:extent cx="5991225" cy="2329038"/>
            <wp:effectExtent l="0" t="0" r="0" b="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1" cstate="screen">
                      <a:extLst>
                        <a:ext uri="{28A0092B-C50C-407E-A947-70E740481C1C}">
                          <a14:useLocalDpi xmlns:a14="http://schemas.microsoft.com/office/drawing/2010/main"/>
                        </a:ext>
                      </a:extLst>
                    </a:blip>
                    <a:srcRect/>
                    <a:stretch/>
                  </pic:blipFill>
                  <pic:spPr bwMode="auto">
                    <a:xfrm>
                      <a:off x="0" y="0"/>
                      <a:ext cx="5993495" cy="2329921"/>
                    </a:xfrm>
                    <a:prstGeom prst="rect">
                      <a:avLst/>
                    </a:prstGeom>
                    <a:noFill/>
                    <a:ln>
                      <a:noFill/>
                    </a:ln>
                    <a:extLst>
                      <a:ext uri="{53640926-AAD7-44D8-BBD7-CCE9431645EC}">
                        <a14:shadowObscured xmlns:a14="http://schemas.microsoft.com/office/drawing/2010/main"/>
                      </a:ext>
                    </a:extLst>
                  </pic:spPr>
                </pic:pic>
              </a:graphicData>
            </a:graphic>
          </wp:inline>
        </w:drawing>
      </w:r>
    </w:p>
    <w:p w14:paraId="244C59E7" w14:textId="6D059084" w:rsidR="001F515C" w:rsidRDefault="00B225C2" w:rsidP="001F515C">
      <w:pPr>
        <w:rPr>
          <w:rFonts w:ascii="Arial" w:hAnsi="Arial" w:cs="Arial"/>
          <w:b/>
          <w:color w:val="000000"/>
          <w:sz w:val="20"/>
          <w:szCs w:val="20"/>
        </w:rPr>
      </w:pPr>
      <w:r>
        <w:rPr>
          <w:rFonts w:ascii="Arial" w:hAnsi="Arial" w:cs="Arial"/>
          <w:b/>
          <w:noProof/>
          <w:color w:val="000000"/>
          <w:sz w:val="20"/>
          <w:szCs w:val="20"/>
        </w:rPr>
        <mc:AlternateContent>
          <mc:Choice Requires="wps">
            <w:drawing>
              <wp:anchor distT="0" distB="0" distL="114300" distR="114300" simplePos="0" relativeHeight="251803648" behindDoc="0" locked="0" layoutInCell="1" allowOverlap="1" wp14:anchorId="0E2C4731" wp14:editId="5F384F0A">
                <wp:simplePos x="0" y="0"/>
                <wp:positionH relativeFrom="column">
                  <wp:posOffset>24765</wp:posOffset>
                </wp:positionH>
                <wp:positionV relativeFrom="paragraph">
                  <wp:posOffset>1905</wp:posOffset>
                </wp:positionV>
                <wp:extent cx="2143125" cy="285750"/>
                <wp:effectExtent l="0" t="0" r="9525" b="0"/>
                <wp:wrapNone/>
                <wp:docPr id="2053" name="Text Box 2053"/>
                <wp:cNvGraphicFramePr/>
                <a:graphic xmlns:a="http://schemas.openxmlformats.org/drawingml/2006/main">
                  <a:graphicData uri="http://schemas.microsoft.com/office/word/2010/wordprocessingShape">
                    <wps:wsp>
                      <wps:cNvSpPr txBox="1"/>
                      <wps:spPr>
                        <a:xfrm>
                          <a:off x="0" y="0"/>
                          <a:ext cx="21431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0BE0E3" w14:textId="77777777" w:rsidR="005864FD" w:rsidRPr="00443B24" w:rsidRDefault="005864FD" w:rsidP="001F515C">
                            <w:pPr>
                              <w:rPr>
                                <w:rFonts w:ascii="Arial" w:hAnsi="Arial" w:cs="Arial"/>
                                <w:b/>
                                <w:sz w:val="18"/>
                                <w:szCs w:val="18"/>
                              </w:rPr>
                            </w:pPr>
                            <w:r>
                              <w:rPr>
                                <w:rFonts w:ascii="Arial" w:hAnsi="Arial" w:cs="Arial"/>
                                <w:b/>
                                <w:sz w:val="18"/>
                                <w:szCs w:val="18"/>
                              </w:rPr>
                              <w:t>Blue Mountains C</w:t>
                            </w:r>
                            <w:r w:rsidRPr="00443B24">
                              <w:rPr>
                                <w:rFonts w:ascii="Arial" w:hAnsi="Arial" w:cs="Arial"/>
                                <w:b/>
                                <w:sz w:val="18"/>
                                <w:szCs w:val="18"/>
                              </w:rPr>
                              <w:t>ity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3" o:spid="_x0000_s1050" type="#_x0000_t202" style="position:absolute;margin-left:1.95pt;margin-top:.15pt;width:168.75pt;height:2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" fillcolor="white [3201]" stroked="f" strokeweight=".5pt">
                <v:textbox>
                  <w:txbxContent>
                    <w:p w14:paraId="6F0BE0E3" w14:textId="77777777" w:rsidR="005864FD" w:rsidRPr="00443B24" w:rsidRDefault="005864FD" w:rsidP="001F515C">
                      <w:pPr>
                        <w:rPr>
                          <w:rFonts w:ascii="Arial" w:hAnsi="Arial" w:cs="Arial"/>
                          <w:b/>
                          <w:sz w:val="18"/>
                          <w:szCs w:val="18"/>
                        </w:rPr>
                      </w:pPr>
                      <w:r>
                        <w:rPr>
                          <w:rFonts w:ascii="Arial" w:hAnsi="Arial" w:cs="Arial"/>
                          <w:b/>
                          <w:sz w:val="18"/>
                          <w:szCs w:val="18"/>
                        </w:rPr>
                        <w:t>Blue Mountains C</w:t>
                      </w:r>
                      <w:r w:rsidRPr="00443B24">
                        <w:rPr>
                          <w:rFonts w:ascii="Arial" w:hAnsi="Arial" w:cs="Arial"/>
                          <w:b/>
                          <w:sz w:val="18"/>
                          <w:szCs w:val="18"/>
                        </w:rPr>
                        <w:t>ity Council</w:t>
                      </w:r>
                    </w:p>
                  </w:txbxContent>
                </v:textbox>
              </v:shape>
            </w:pict>
          </mc:Fallback>
        </mc:AlternateContent>
      </w:r>
    </w:p>
    <w:p w14:paraId="2021B203" w14:textId="475477D6" w:rsidR="001F515C" w:rsidRDefault="001F515C" w:rsidP="001F515C">
      <w:pPr>
        <w:autoSpaceDE w:val="0"/>
        <w:autoSpaceDN w:val="0"/>
        <w:adjustRightInd w:val="0"/>
        <w:rPr>
          <w:rFonts w:ascii="Arial" w:hAnsi="Arial" w:cs="Arial"/>
          <w:b/>
          <w:color w:val="000000"/>
          <w:sz w:val="20"/>
          <w:szCs w:val="20"/>
        </w:rPr>
      </w:pPr>
    </w:p>
    <w:p w14:paraId="47B6CE51" w14:textId="77777777" w:rsidR="001F515C" w:rsidRDefault="001F515C" w:rsidP="001F515C">
      <w:pPr>
        <w:autoSpaceDE w:val="0"/>
        <w:autoSpaceDN w:val="0"/>
        <w:adjustRightInd w:val="0"/>
        <w:rPr>
          <w:rFonts w:ascii="Arial" w:hAnsi="Arial" w:cs="Arial"/>
          <w:b/>
          <w:color w:val="000000"/>
          <w:sz w:val="20"/>
          <w:szCs w:val="20"/>
        </w:rPr>
      </w:pPr>
    </w:p>
    <w:p w14:paraId="2147F301" w14:textId="77777777" w:rsidR="001F515C" w:rsidRPr="001A78CB" w:rsidRDefault="001F515C" w:rsidP="005B5F6F">
      <w:pPr>
        <w:autoSpaceDE w:val="0"/>
        <w:autoSpaceDN w:val="0"/>
        <w:adjustRightInd w:val="0"/>
        <w:spacing w:line="276" w:lineRule="auto"/>
        <w:rPr>
          <w:rFonts w:ascii="Arial" w:hAnsi="Arial" w:cs="Arial"/>
          <w:color w:val="000000"/>
          <w:sz w:val="20"/>
          <w:szCs w:val="20"/>
        </w:rPr>
      </w:pPr>
      <w:r w:rsidRPr="001A78CB">
        <w:rPr>
          <w:rFonts w:ascii="Arial" w:hAnsi="Arial" w:cs="Arial"/>
          <w:bCs/>
          <w:sz w:val="20"/>
          <w:szCs w:val="20"/>
          <w:u w:val="single"/>
        </w:rPr>
        <w:t>b) Management to Staff Ratio</w:t>
      </w:r>
      <w:r w:rsidRPr="001A78CB">
        <w:rPr>
          <w:rFonts w:ascii="Arial" w:hAnsi="Arial" w:cs="Arial"/>
          <w:b/>
          <w:color w:val="000000"/>
          <w:sz w:val="20"/>
          <w:szCs w:val="20"/>
        </w:rPr>
        <w:t xml:space="preserve"> </w:t>
      </w:r>
      <w:r w:rsidRPr="001A78CB">
        <w:rPr>
          <w:rFonts w:ascii="Arial" w:hAnsi="Arial" w:cs="Arial"/>
          <w:color w:val="000000"/>
          <w:sz w:val="20"/>
          <w:szCs w:val="20"/>
        </w:rPr>
        <w:t xml:space="preserve"> </w:t>
      </w:r>
    </w:p>
    <w:p w14:paraId="60423059" w14:textId="15D26374" w:rsidR="001F515C" w:rsidRPr="001A78CB" w:rsidRDefault="001F515C" w:rsidP="005B5F6F">
      <w:pPr>
        <w:autoSpaceDE w:val="0"/>
        <w:autoSpaceDN w:val="0"/>
        <w:adjustRightInd w:val="0"/>
        <w:spacing w:line="276" w:lineRule="auto"/>
        <w:jc w:val="both"/>
        <w:rPr>
          <w:rFonts w:ascii="Arial" w:hAnsi="Arial" w:cs="Arial"/>
          <w:color w:val="000000"/>
          <w:sz w:val="20"/>
          <w:szCs w:val="20"/>
        </w:rPr>
      </w:pPr>
      <w:r w:rsidRPr="001A78CB">
        <w:rPr>
          <w:rFonts w:ascii="Arial" w:hAnsi="Arial" w:cs="Arial"/>
          <w:color w:val="000000"/>
          <w:sz w:val="20"/>
          <w:szCs w:val="20"/>
        </w:rPr>
        <w:t>Similarly, the organisation is perform</w:t>
      </w:r>
      <w:r w:rsidR="00B225C2" w:rsidRPr="001A78CB">
        <w:rPr>
          <w:rFonts w:ascii="Arial" w:hAnsi="Arial" w:cs="Arial"/>
          <w:color w:val="000000"/>
          <w:sz w:val="20"/>
          <w:szCs w:val="20"/>
        </w:rPr>
        <w:t>ing</w:t>
      </w:r>
      <w:r w:rsidRPr="001A78CB">
        <w:rPr>
          <w:rFonts w:ascii="Arial" w:hAnsi="Arial" w:cs="Arial"/>
          <w:color w:val="000000"/>
          <w:sz w:val="20"/>
          <w:szCs w:val="20"/>
        </w:rPr>
        <w:t xml:space="preserve"> well on the Management to Staff Ratio with a current result of 7.2% against the industry average of 10%. This result places the Council in the top quartile for NSW councils </w:t>
      </w:r>
      <w:r w:rsidR="001A78CB" w:rsidRPr="001A78CB">
        <w:rPr>
          <w:rFonts w:ascii="Arial" w:hAnsi="Arial" w:cs="Arial"/>
          <w:color w:val="000000"/>
          <w:sz w:val="20"/>
          <w:szCs w:val="20"/>
        </w:rPr>
        <w:t xml:space="preserve">surveyed, </w:t>
      </w:r>
      <w:r w:rsidRPr="001A78CB">
        <w:rPr>
          <w:rFonts w:ascii="Arial" w:hAnsi="Arial" w:cs="Arial"/>
          <w:color w:val="000000"/>
          <w:sz w:val="20"/>
          <w:szCs w:val="20"/>
        </w:rPr>
        <w:t>according to the most recent LGNSW Benchmarking Survey.</w:t>
      </w:r>
    </w:p>
    <w:p w14:paraId="6645AF01" w14:textId="77777777" w:rsidR="001F515C" w:rsidRDefault="001F515C" w:rsidP="001F515C">
      <w:pPr>
        <w:autoSpaceDE w:val="0"/>
        <w:autoSpaceDN w:val="0"/>
        <w:adjustRightInd w:val="0"/>
        <w:rPr>
          <w:rFonts w:ascii="Arial" w:hAnsi="Arial" w:cs="Arial"/>
          <w:color w:val="000000"/>
          <w:sz w:val="20"/>
          <w:szCs w:val="20"/>
        </w:rPr>
      </w:pPr>
    </w:p>
    <w:p w14:paraId="1A57B00D" w14:textId="5B92492B" w:rsidR="001F515C" w:rsidRPr="00443B24" w:rsidRDefault="001F515C" w:rsidP="001F515C">
      <w:pPr>
        <w:spacing w:line="360" w:lineRule="auto"/>
        <w:jc w:val="both"/>
        <w:rPr>
          <w:rFonts w:ascii="Arial" w:hAnsi="Arial" w:cs="Arial"/>
          <w:b/>
          <w:bCs/>
          <w:sz w:val="18"/>
          <w:szCs w:val="18"/>
        </w:rPr>
      </w:pPr>
      <w:r w:rsidRPr="00443B24">
        <w:rPr>
          <w:rFonts w:ascii="Arial" w:hAnsi="Arial" w:cs="Arial"/>
          <w:b/>
          <w:bCs/>
          <w:sz w:val="18"/>
          <w:szCs w:val="18"/>
        </w:rPr>
        <w:t>Figure 7.</w:t>
      </w:r>
      <w:r w:rsidR="0053356A">
        <w:rPr>
          <w:rFonts w:ascii="Arial" w:hAnsi="Arial" w:cs="Arial"/>
          <w:b/>
          <w:bCs/>
          <w:sz w:val="18"/>
          <w:szCs w:val="18"/>
        </w:rPr>
        <w:t>6</w:t>
      </w:r>
      <w:r w:rsidRPr="00443B24">
        <w:rPr>
          <w:rFonts w:ascii="Arial" w:hAnsi="Arial" w:cs="Arial"/>
          <w:b/>
          <w:bCs/>
          <w:sz w:val="18"/>
          <w:szCs w:val="18"/>
        </w:rPr>
        <w:t xml:space="preserve"> B</w:t>
      </w:r>
      <w:r>
        <w:rPr>
          <w:rFonts w:ascii="Arial" w:hAnsi="Arial" w:cs="Arial"/>
          <w:b/>
          <w:bCs/>
          <w:sz w:val="18"/>
          <w:szCs w:val="18"/>
        </w:rPr>
        <w:t>MCC</w:t>
      </w:r>
      <w:r w:rsidRPr="00443B24">
        <w:rPr>
          <w:rFonts w:ascii="Arial" w:hAnsi="Arial" w:cs="Arial"/>
          <w:b/>
          <w:bCs/>
          <w:sz w:val="18"/>
          <w:szCs w:val="18"/>
        </w:rPr>
        <w:t xml:space="preserve"> Benchmarked against Other NSW Councils – </w:t>
      </w:r>
      <w:r>
        <w:rPr>
          <w:rFonts w:ascii="Arial" w:hAnsi="Arial" w:cs="Arial"/>
          <w:b/>
          <w:bCs/>
          <w:sz w:val="18"/>
          <w:szCs w:val="18"/>
        </w:rPr>
        <w:t>Management to Staff Ratio</w:t>
      </w:r>
    </w:p>
    <w:p w14:paraId="3109B1C6" w14:textId="77777777" w:rsidR="001F515C" w:rsidRDefault="001F515C" w:rsidP="001F515C">
      <w:pPr>
        <w:rPr>
          <w:rFonts w:ascii="Arial" w:hAnsi="Arial" w:cs="Arial"/>
          <w:b/>
          <w:szCs w:val="22"/>
          <w:u w:val="single"/>
        </w:rPr>
      </w:pPr>
      <w:r>
        <w:rPr>
          <w:rFonts w:ascii="Arial" w:hAnsi="Arial" w:cs="Arial"/>
          <w:b/>
          <w:noProof/>
          <w:color w:val="000000"/>
          <w:sz w:val="20"/>
          <w:szCs w:val="20"/>
        </w:rPr>
        <mc:AlternateContent>
          <mc:Choice Requires="wps">
            <w:drawing>
              <wp:anchor distT="0" distB="0" distL="114300" distR="114300" simplePos="0" relativeHeight="251804672" behindDoc="0" locked="0" layoutInCell="1" allowOverlap="1" wp14:anchorId="3701DE84" wp14:editId="026D6926">
                <wp:simplePos x="0" y="0"/>
                <wp:positionH relativeFrom="column">
                  <wp:posOffset>-80010</wp:posOffset>
                </wp:positionH>
                <wp:positionV relativeFrom="paragraph">
                  <wp:posOffset>2357755</wp:posOffset>
                </wp:positionV>
                <wp:extent cx="5276850" cy="285750"/>
                <wp:effectExtent l="0" t="0" r="0" b="0"/>
                <wp:wrapNone/>
                <wp:docPr id="2054" name="Text Box 2054"/>
                <wp:cNvGraphicFramePr/>
                <a:graphic xmlns:a="http://schemas.openxmlformats.org/drawingml/2006/main">
                  <a:graphicData uri="http://schemas.microsoft.com/office/word/2010/wordprocessingShape">
                    <wps:wsp>
                      <wps:cNvSpPr txBox="1"/>
                      <wps:spPr>
                        <a:xfrm>
                          <a:off x="0" y="0"/>
                          <a:ext cx="52768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6C9500" w14:textId="77777777" w:rsidR="005864FD" w:rsidRPr="00443B24" w:rsidRDefault="005864FD" w:rsidP="001F515C">
                            <w:pPr>
                              <w:rPr>
                                <w:rFonts w:ascii="Arial" w:hAnsi="Arial" w:cs="Arial"/>
                                <w:b/>
                                <w:sz w:val="18"/>
                                <w:szCs w:val="18"/>
                              </w:rPr>
                            </w:pPr>
                            <w:r>
                              <w:rPr>
                                <w:rFonts w:ascii="Arial" w:hAnsi="Arial" w:cs="Arial"/>
                                <w:b/>
                                <w:sz w:val="18"/>
                                <w:szCs w:val="18"/>
                              </w:rPr>
                              <w:t xml:space="preserve">                            Blue Mountains C</w:t>
                            </w:r>
                            <w:r w:rsidRPr="00443B24">
                              <w:rPr>
                                <w:rFonts w:ascii="Arial" w:hAnsi="Arial" w:cs="Arial"/>
                                <w:b/>
                                <w:sz w:val="18"/>
                                <w:szCs w:val="18"/>
                              </w:rPr>
                              <w:t>ity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4" o:spid="_x0000_s1051" type="#_x0000_t202" style="position:absolute;margin-left:-6.3pt;margin-top:185.65pt;width:415.5pt;height:2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" fillcolor="white [3201]" stroked="f" strokeweight=".5pt">
                <v:textbox>
                  <w:txbxContent>
                    <w:p w14:paraId="066C9500" w14:textId="77777777" w:rsidR="005864FD" w:rsidRPr="00443B24" w:rsidRDefault="005864FD" w:rsidP="001F515C">
                      <w:pPr>
                        <w:rPr>
                          <w:rFonts w:ascii="Arial" w:hAnsi="Arial" w:cs="Arial"/>
                          <w:b/>
                          <w:sz w:val="18"/>
                          <w:szCs w:val="18"/>
                        </w:rPr>
                      </w:pPr>
                      <w:r>
                        <w:rPr>
                          <w:rFonts w:ascii="Arial" w:hAnsi="Arial" w:cs="Arial"/>
                          <w:b/>
                          <w:sz w:val="18"/>
                          <w:szCs w:val="18"/>
                        </w:rPr>
                        <w:t xml:space="preserve">                            Blue Mountains C</w:t>
                      </w:r>
                      <w:r w:rsidRPr="00443B24">
                        <w:rPr>
                          <w:rFonts w:ascii="Arial" w:hAnsi="Arial" w:cs="Arial"/>
                          <w:b/>
                          <w:sz w:val="18"/>
                          <w:szCs w:val="18"/>
                        </w:rPr>
                        <w:t>ity Council</w:t>
                      </w:r>
                    </w:p>
                  </w:txbxContent>
                </v:textbox>
              </v:shape>
            </w:pict>
          </mc:Fallback>
        </mc:AlternateContent>
      </w:r>
      <w:r>
        <w:rPr>
          <w:rFonts w:ascii="Arial" w:hAnsi="Arial" w:cs="Arial"/>
          <w:b/>
          <w:noProof/>
          <w:szCs w:val="22"/>
          <w:u w:val="single"/>
        </w:rPr>
        <w:drawing>
          <wp:inline distT="0" distB="0" distL="0" distR="0" wp14:anchorId="7EE7A3D5" wp14:editId="66528E1B">
            <wp:extent cx="5445125" cy="2333625"/>
            <wp:effectExtent l="0" t="0" r="3175" b="9525"/>
            <wp:docPr id="2062" name="Picture 206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Grp="1" noChangeAspect="1" noChangeArrowheads="1"/>
                    </pic:cNvPicPr>
                  </pic:nvPicPr>
                  <pic:blipFill rotWithShape="1">
                    <a:blip r:embed="rId102" cstate="screen">
                      <a:extLst>
                        <a:ext uri="{28A0092B-C50C-407E-A947-70E740481C1C}">
                          <a14:useLocalDpi xmlns:a14="http://schemas.microsoft.com/office/drawing/2010/main"/>
                        </a:ext>
                      </a:extLst>
                    </a:blip>
                    <a:srcRect/>
                    <a:stretch/>
                  </pic:blipFill>
                  <pic:spPr bwMode="auto">
                    <a:xfrm>
                      <a:off x="0" y="0"/>
                      <a:ext cx="5445125" cy="2333625"/>
                    </a:xfrm>
                    <a:prstGeom prst="rect">
                      <a:avLst/>
                    </a:prstGeom>
                    <a:noFill/>
                    <a:ln>
                      <a:noFill/>
                    </a:ln>
                    <a:extLst>
                      <a:ext uri="{53640926-AAD7-44D8-BBD7-CCE9431645EC}">
                        <a14:shadowObscured xmlns:a14="http://schemas.microsoft.com/office/drawing/2010/main"/>
                      </a:ext>
                    </a:extLst>
                  </pic:spPr>
                </pic:pic>
              </a:graphicData>
            </a:graphic>
          </wp:inline>
        </w:drawing>
      </w:r>
    </w:p>
    <w:p w14:paraId="5BF5C49B" w14:textId="77777777" w:rsidR="001F515C" w:rsidRDefault="001F515C" w:rsidP="001F515C">
      <w:pPr>
        <w:autoSpaceDE w:val="0"/>
        <w:autoSpaceDN w:val="0"/>
        <w:adjustRightInd w:val="0"/>
        <w:rPr>
          <w:rFonts w:ascii="Arial" w:hAnsi="Arial" w:cs="Arial"/>
          <w:b/>
          <w:color w:val="000000"/>
          <w:sz w:val="20"/>
          <w:szCs w:val="20"/>
        </w:rPr>
      </w:pPr>
    </w:p>
    <w:p w14:paraId="7E8459AD" w14:textId="77777777" w:rsidR="001F515C" w:rsidRDefault="001F515C" w:rsidP="001F515C">
      <w:pPr>
        <w:autoSpaceDE w:val="0"/>
        <w:autoSpaceDN w:val="0"/>
        <w:adjustRightInd w:val="0"/>
        <w:rPr>
          <w:rFonts w:ascii="Arial" w:hAnsi="Arial" w:cs="Arial"/>
          <w:b/>
          <w:color w:val="000000"/>
          <w:sz w:val="20"/>
          <w:szCs w:val="20"/>
        </w:rPr>
      </w:pPr>
    </w:p>
    <w:p w14:paraId="36714D37" w14:textId="77777777" w:rsidR="001F515C" w:rsidRDefault="001F515C" w:rsidP="001F515C">
      <w:pPr>
        <w:rPr>
          <w:rFonts w:ascii="Arial" w:hAnsi="Arial" w:cs="Arial"/>
          <w:b/>
          <w:color w:val="000000"/>
          <w:sz w:val="20"/>
          <w:szCs w:val="20"/>
        </w:rPr>
      </w:pPr>
    </w:p>
    <w:p w14:paraId="33AC0B20" w14:textId="77777777" w:rsidR="001F515C" w:rsidRDefault="001F515C" w:rsidP="001F515C">
      <w:pPr>
        <w:rPr>
          <w:rFonts w:ascii="Arial" w:hAnsi="Arial" w:cs="Arial"/>
          <w:b/>
          <w:color w:val="000000"/>
          <w:sz w:val="20"/>
          <w:szCs w:val="20"/>
        </w:rPr>
      </w:pPr>
    </w:p>
    <w:p w14:paraId="6A33A3CA" w14:textId="77777777" w:rsidR="001F515C" w:rsidRPr="001A78CB" w:rsidRDefault="001F515C" w:rsidP="005B5F6F">
      <w:pPr>
        <w:keepNext/>
        <w:autoSpaceDE w:val="0"/>
        <w:autoSpaceDN w:val="0"/>
        <w:adjustRightInd w:val="0"/>
        <w:spacing w:line="276" w:lineRule="auto"/>
        <w:rPr>
          <w:rFonts w:ascii="Arial" w:hAnsi="Arial" w:cs="Arial"/>
          <w:bCs/>
          <w:sz w:val="20"/>
          <w:szCs w:val="20"/>
          <w:u w:val="single"/>
        </w:rPr>
      </w:pPr>
      <w:r w:rsidRPr="001A78CB">
        <w:rPr>
          <w:rFonts w:ascii="Arial" w:hAnsi="Arial" w:cs="Arial"/>
          <w:bCs/>
          <w:sz w:val="20"/>
          <w:szCs w:val="20"/>
          <w:u w:val="single"/>
        </w:rPr>
        <w:t xml:space="preserve">c) Workers Compensation Cost Rate </w:t>
      </w:r>
    </w:p>
    <w:p w14:paraId="5A1F5C11" w14:textId="77777777" w:rsidR="001F515C" w:rsidRPr="001A78CB" w:rsidRDefault="001F515C" w:rsidP="005B5F6F">
      <w:pPr>
        <w:autoSpaceDE w:val="0"/>
        <w:autoSpaceDN w:val="0"/>
        <w:adjustRightInd w:val="0"/>
        <w:spacing w:line="276" w:lineRule="auto"/>
        <w:jc w:val="both"/>
        <w:rPr>
          <w:rFonts w:ascii="Arial" w:hAnsi="Arial" w:cs="Arial"/>
          <w:color w:val="000000"/>
          <w:sz w:val="20"/>
          <w:szCs w:val="20"/>
        </w:rPr>
      </w:pPr>
      <w:r w:rsidRPr="001A78CB">
        <w:rPr>
          <w:rFonts w:ascii="Arial" w:hAnsi="Arial" w:cs="Arial"/>
          <w:color w:val="000000"/>
          <w:sz w:val="20"/>
          <w:szCs w:val="20"/>
        </w:rPr>
        <w:t>The Council’s Workers Compensation Cost Rate is currently at 1.5% which places the organisation as a best performer in local government in NSW as confirmed in the 2014 LGNSW Benchmarking Survey.</w:t>
      </w:r>
    </w:p>
    <w:p w14:paraId="001BD04C" w14:textId="77777777" w:rsidR="001F515C" w:rsidRDefault="001F515C" w:rsidP="001F515C">
      <w:pPr>
        <w:rPr>
          <w:rFonts w:ascii="Arial" w:hAnsi="Arial" w:cs="Arial"/>
          <w:b/>
          <w:sz w:val="20"/>
          <w:szCs w:val="20"/>
          <w:u w:val="single"/>
        </w:rPr>
      </w:pPr>
    </w:p>
    <w:p w14:paraId="46129819" w14:textId="5A309F91" w:rsidR="001F515C" w:rsidRPr="00067F91" w:rsidRDefault="0053356A" w:rsidP="001F515C">
      <w:pPr>
        <w:spacing w:line="360" w:lineRule="auto"/>
        <w:jc w:val="both"/>
        <w:rPr>
          <w:rFonts w:ascii="Arial" w:hAnsi="Arial" w:cs="Arial"/>
          <w:b/>
          <w:bCs/>
          <w:sz w:val="18"/>
          <w:szCs w:val="18"/>
        </w:rPr>
      </w:pPr>
      <w:r>
        <w:rPr>
          <w:rFonts w:ascii="Arial" w:hAnsi="Arial" w:cs="Arial"/>
          <w:b/>
          <w:bCs/>
          <w:sz w:val="18"/>
          <w:szCs w:val="18"/>
        </w:rPr>
        <w:t>Figure 7.7</w:t>
      </w:r>
      <w:r w:rsidR="001F515C" w:rsidRPr="00067F91">
        <w:rPr>
          <w:rFonts w:ascii="Arial" w:hAnsi="Arial" w:cs="Arial"/>
          <w:b/>
          <w:bCs/>
          <w:sz w:val="18"/>
          <w:szCs w:val="18"/>
        </w:rPr>
        <w:t xml:space="preserve"> BMCC Benchmarked against Other NSW Councils – Workers Compensation Cost Rate</w:t>
      </w:r>
    </w:p>
    <w:p w14:paraId="5261E288" w14:textId="54FC9DE0" w:rsidR="001F515C" w:rsidRPr="009B14CF" w:rsidRDefault="001F515C" w:rsidP="001F515C">
      <w:pPr>
        <w:rPr>
          <w:rFonts w:ascii="Arial" w:hAnsi="Arial" w:cs="Arial"/>
          <w:sz w:val="20"/>
          <w:szCs w:val="20"/>
        </w:rPr>
      </w:pPr>
      <w:r>
        <w:rPr>
          <w:rFonts w:ascii="Arial" w:hAnsi="Arial" w:cs="Arial"/>
          <w:b/>
          <w:noProof/>
          <w:szCs w:val="22"/>
          <w:u w:val="single"/>
        </w:rPr>
        <w:drawing>
          <wp:inline distT="0" distB="0" distL="0" distR="0" wp14:anchorId="278281AA" wp14:editId="3B259E63">
            <wp:extent cx="5628640" cy="1981200"/>
            <wp:effectExtent l="0" t="0" r="0" b="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3" cstate="screen">
                      <a:extLst>
                        <a:ext uri="{28A0092B-C50C-407E-A947-70E740481C1C}">
                          <a14:useLocalDpi xmlns:a14="http://schemas.microsoft.com/office/drawing/2010/main"/>
                        </a:ext>
                      </a:extLst>
                    </a:blip>
                    <a:srcRect/>
                    <a:stretch/>
                  </pic:blipFill>
                  <pic:spPr bwMode="auto">
                    <a:xfrm>
                      <a:off x="0" y="0"/>
                      <a:ext cx="5628640" cy="1981200"/>
                    </a:xfrm>
                    <a:prstGeom prst="rect">
                      <a:avLst/>
                    </a:prstGeom>
                    <a:noFill/>
                    <a:ln>
                      <a:noFill/>
                    </a:ln>
                    <a:extLst>
                      <a:ext uri="{53640926-AAD7-44D8-BBD7-CCE9431645EC}">
                        <a14:shadowObscured xmlns:a14="http://schemas.microsoft.com/office/drawing/2010/main"/>
                      </a:ext>
                    </a:extLst>
                  </pic:spPr>
                </pic:pic>
              </a:graphicData>
            </a:graphic>
          </wp:inline>
        </w:drawing>
      </w:r>
    </w:p>
    <w:p w14:paraId="103C4F67" w14:textId="7A416DFE" w:rsidR="001F515C" w:rsidRDefault="00B225C2" w:rsidP="001F515C">
      <w:pPr>
        <w:rPr>
          <w:rFonts w:ascii="Arial" w:hAnsi="Arial" w:cs="Arial"/>
          <w:b/>
          <w:sz w:val="20"/>
          <w:szCs w:val="20"/>
        </w:rPr>
      </w:pPr>
      <w:r>
        <w:rPr>
          <w:rFonts w:ascii="Arial" w:hAnsi="Arial" w:cs="Arial"/>
          <w:b/>
          <w:noProof/>
          <w:color w:val="000000"/>
          <w:sz w:val="20"/>
          <w:szCs w:val="20"/>
        </w:rPr>
        <mc:AlternateContent>
          <mc:Choice Requires="wps">
            <w:drawing>
              <wp:anchor distT="0" distB="0" distL="114300" distR="114300" simplePos="0" relativeHeight="251805696" behindDoc="0" locked="0" layoutInCell="1" allowOverlap="1" wp14:anchorId="682DCFA7" wp14:editId="1172FC44">
                <wp:simplePos x="0" y="0"/>
                <wp:positionH relativeFrom="column">
                  <wp:posOffset>-470535</wp:posOffset>
                </wp:positionH>
                <wp:positionV relativeFrom="paragraph">
                  <wp:posOffset>1270</wp:posOffset>
                </wp:positionV>
                <wp:extent cx="2905125" cy="285750"/>
                <wp:effectExtent l="0" t="0" r="9525" b="0"/>
                <wp:wrapNone/>
                <wp:docPr id="2055" name="Text Box 2055"/>
                <wp:cNvGraphicFramePr/>
                <a:graphic xmlns:a="http://schemas.openxmlformats.org/drawingml/2006/main">
                  <a:graphicData uri="http://schemas.microsoft.com/office/word/2010/wordprocessingShape">
                    <wps:wsp>
                      <wps:cNvSpPr txBox="1"/>
                      <wps:spPr>
                        <a:xfrm>
                          <a:off x="0" y="0"/>
                          <a:ext cx="29051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B270EE" w14:textId="77777777" w:rsidR="005864FD" w:rsidRPr="00443B24" w:rsidRDefault="005864FD" w:rsidP="001F515C">
                            <w:pPr>
                              <w:rPr>
                                <w:rFonts w:ascii="Arial" w:hAnsi="Arial" w:cs="Arial"/>
                                <w:b/>
                                <w:sz w:val="18"/>
                                <w:szCs w:val="18"/>
                              </w:rPr>
                            </w:pPr>
                            <w:r>
                              <w:rPr>
                                <w:rFonts w:ascii="Arial" w:hAnsi="Arial" w:cs="Arial"/>
                                <w:b/>
                                <w:sz w:val="18"/>
                                <w:szCs w:val="18"/>
                              </w:rPr>
                              <w:t xml:space="preserve">                            Blue Mountains C</w:t>
                            </w:r>
                            <w:r w:rsidRPr="00443B24">
                              <w:rPr>
                                <w:rFonts w:ascii="Arial" w:hAnsi="Arial" w:cs="Arial"/>
                                <w:b/>
                                <w:sz w:val="18"/>
                                <w:szCs w:val="18"/>
                              </w:rPr>
                              <w:t>ity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5" o:spid="_x0000_s1052" type="#_x0000_t202" style="position:absolute;margin-left:-37.05pt;margin-top:.1pt;width:228.75pt;height:2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" fillcolor="white [3201]" stroked="f" strokeweight=".5pt">
                <v:textbox>
                  <w:txbxContent>
                    <w:p w14:paraId="32B270EE" w14:textId="77777777" w:rsidR="005864FD" w:rsidRPr="00443B24" w:rsidRDefault="005864FD" w:rsidP="001F515C">
                      <w:pPr>
                        <w:rPr>
                          <w:rFonts w:ascii="Arial" w:hAnsi="Arial" w:cs="Arial"/>
                          <w:b/>
                          <w:sz w:val="18"/>
                          <w:szCs w:val="18"/>
                        </w:rPr>
                      </w:pPr>
                      <w:r>
                        <w:rPr>
                          <w:rFonts w:ascii="Arial" w:hAnsi="Arial" w:cs="Arial"/>
                          <w:b/>
                          <w:sz w:val="18"/>
                          <w:szCs w:val="18"/>
                        </w:rPr>
                        <w:t xml:space="preserve">                            Blue Mountains C</w:t>
                      </w:r>
                      <w:r w:rsidRPr="00443B24">
                        <w:rPr>
                          <w:rFonts w:ascii="Arial" w:hAnsi="Arial" w:cs="Arial"/>
                          <w:b/>
                          <w:sz w:val="18"/>
                          <w:szCs w:val="18"/>
                        </w:rPr>
                        <w:t>ity Council</w:t>
                      </w:r>
                    </w:p>
                  </w:txbxContent>
                </v:textbox>
              </v:shape>
            </w:pict>
          </mc:Fallback>
        </mc:AlternateContent>
      </w:r>
    </w:p>
    <w:p w14:paraId="5BAFBADE" w14:textId="5E504C1F" w:rsidR="00185FA1" w:rsidRDefault="00185FA1">
      <w:pPr>
        <w:rPr>
          <w:rFonts w:ascii="Arial" w:hAnsi="Arial" w:cs="Arial"/>
          <w:sz w:val="21"/>
          <w:szCs w:val="21"/>
        </w:rPr>
      </w:pPr>
    </w:p>
    <w:p w14:paraId="7FA0AE16" w14:textId="4FE70035" w:rsidR="001F515C" w:rsidRPr="003C76CC" w:rsidRDefault="00896EEE" w:rsidP="005B5F6F">
      <w:pPr>
        <w:pStyle w:val="Heading3"/>
        <w:tabs>
          <w:tab w:val="clear" w:pos="1844"/>
          <w:tab w:val="num" w:pos="709"/>
        </w:tabs>
        <w:spacing w:line="276" w:lineRule="auto"/>
        <w:ind w:left="709"/>
        <w:rPr>
          <w:rFonts w:eastAsia="Calibri"/>
          <w:color w:val="FF0000"/>
        </w:rPr>
      </w:pPr>
      <w:r>
        <w:rPr>
          <w:rFonts w:eastAsia="Calibri"/>
        </w:rPr>
        <w:t xml:space="preserve">BMCC </w:t>
      </w:r>
      <w:r w:rsidR="001F515C" w:rsidRPr="003C76CC">
        <w:rPr>
          <w:rFonts w:eastAsia="Calibri"/>
        </w:rPr>
        <w:t xml:space="preserve">Enterprise </w:t>
      </w:r>
      <w:r>
        <w:rPr>
          <w:rFonts w:eastAsia="Calibri"/>
        </w:rPr>
        <w:t>R</w:t>
      </w:r>
      <w:r w:rsidR="001F515C" w:rsidRPr="003C76CC">
        <w:rPr>
          <w:rFonts w:eastAsia="Calibri"/>
        </w:rPr>
        <w:t xml:space="preserve">isk </w:t>
      </w:r>
      <w:r>
        <w:rPr>
          <w:rFonts w:eastAsia="Calibri"/>
        </w:rPr>
        <w:t>M</w:t>
      </w:r>
      <w:r w:rsidR="001F515C" w:rsidRPr="003C76CC">
        <w:rPr>
          <w:rFonts w:eastAsia="Calibri"/>
        </w:rPr>
        <w:t xml:space="preserve">anagement </w:t>
      </w:r>
    </w:p>
    <w:p w14:paraId="631F92CF" w14:textId="77777777" w:rsidR="00185FA1" w:rsidRPr="00896EEE" w:rsidRDefault="00185FA1" w:rsidP="005B5F6F">
      <w:pPr>
        <w:spacing w:line="276" w:lineRule="auto"/>
        <w:jc w:val="both"/>
        <w:rPr>
          <w:rFonts w:ascii="Arial" w:hAnsi="Arial" w:cs="Arial"/>
          <w:color w:val="FF0000"/>
          <w:sz w:val="20"/>
          <w:szCs w:val="20"/>
        </w:rPr>
      </w:pPr>
    </w:p>
    <w:p w14:paraId="2FADE2B2" w14:textId="2AAA6FBC" w:rsidR="00896EEE" w:rsidRPr="00896EEE" w:rsidRDefault="00896EEE" w:rsidP="005B5F6F">
      <w:pPr>
        <w:spacing w:after="200" w:line="276" w:lineRule="auto"/>
        <w:jc w:val="both"/>
        <w:rPr>
          <w:rFonts w:ascii="Arial" w:eastAsia="Calibri" w:hAnsi="Arial" w:cs="Arial"/>
          <w:sz w:val="20"/>
          <w:szCs w:val="20"/>
          <w:lang w:eastAsia="en-US"/>
        </w:rPr>
      </w:pPr>
      <w:r w:rsidRPr="00896EEE">
        <w:rPr>
          <w:rFonts w:ascii="Arial" w:eastAsia="Calibri" w:hAnsi="Arial" w:cs="Arial"/>
          <w:sz w:val="20"/>
          <w:szCs w:val="20"/>
          <w:lang w:eastAsia="en-US"/>
        </w:rPr>
        <w:t xml:space="preserve">Blue Mountains City Council has a long experience of risk management. In keeping with its goal of continuous improvement in this space, council underwent an independent assessment of the maturity of its risk management arrangements in 2012. This assessment confirmed the existence of a sound foundation of risk management practise and provided a ‘roadmap’ for further development and maturation. </w:t>
      </w:r>
    </w:p>
    <w:p w14:paraId="3CDE805C" w14:textId="77777777" w:rsidR="00896EEE" w:rsidRPr="00896EEE" w:rsidRDefault="00896EEE" w:rsidP="005B5F6F">
      <w:pPr>
        <w:spacing w:after="200" w:line="276" w:lineRule="auto"/>
        <w:jc w:val="both"/>
        <w:rPr>
          <w:rFonts w:ascii="Arial" w:eastAsia="Calibri" w:hAnsi="Arial" w:cs="Arial"/>
          <w:sz w:val="20"/>
          <w:szCs w:val="20"/>
          <w:lang w:eastAsia="en-US"/>
        </w:rPr>
      </w:pPr>
      <w:r w:rsidRPr="00896EEE">
        <w:rPr>
          <w:rFonts w:ascii="Arial" w:eastAsia="Calibri" w:hAnsi="Arial" w:cs="Arial"/>
          <w:sz w:val="20"/>
          <w:szCs w:val="20"/>
          <w:lang w:eastAsia="en-US"/>
        </w:rPr>
        <w:t>Council is committed to the development of an enterprise wide, fully integrated risk management framework and established a dedicated branch in 2014 – the Governance &amp; Risk Branch - to plan and execute this initiative in close collaboration with all areas of the council. The potential benefits of sound risk management; such as enhanced productivity, improved decision making and better community outcomes are clearly understood and desired by the council.</w:t>
      </w:r>
    </w:p>
    <w:p w14:paraId="3EEF1E04" w14:textId="77777777" w:rsidR="00896EEE" w:rsidRPr="00896EEE" w:rsidRDefault="00896EEE" w:rsidP="005B5F6F">
      <w:pPr>
        <w:spacing w:after="200" w:line="276" w:lineRule="auto"/>
        <w:rPr>
          <w:rFonts w:ascii="Arial" w:eastAsia="Calibri" w:hAnsi="Arial" w:cs="Arial"/>
          <w:sz w:val="20"/>
          <w:szCs w:val="20"/>
          <w:lang w:eastAsia="en-US"/>
        </w:rPr>
      </w:pPr>
      <w:r w:rsidRPr="00896EEE">
        <w:rPr>
          <w:rFonts w:ascii="Arial" w:eastAsia="Calibri" w:hAnsi="Arial" w:cs="Arial"/>
          <w:sz w:val="20"/>
          <w:szCs w:val="20"/>
          <w:lang w:eastAsia="en-US"/>
        </w:rPr>
        <w:t>The path to a more mature risk framework involves:</w:t>
      </w:r>
    </w:p>
    <w:p w14:paraId="765F5C10" w14:textId="77777777" w:rsidR="00896EEE" w:rsidRPr="00896EEE" w:rsidRDefault="00896EEE" w:rsidP="005B5F6F">
      <w:pPr>
        <w:numPr>
          <w:ilvl w:val="0"/>
          <w:numId w:val="94"/>
        </w:numPr>
        <w:spacing w:after="200" w:line="276" w:lineRule="auto"/>
        <w:rPr>
          <w:rFonts w:ascii="Arial" w:eastAsia="Calibri" w:hAnsi="Arial" w:cs="Arial"/>
          <w:sz w:val="20"/>
          <w:szCs w:val="20"/>
          <w:lang w:eastAsia="en-US"/>
        </w:rPr>
      </w:pPr>
      <w:r w:rsidRPr="00896EEE">
        <w:rPr>
          <w:rFonts w:ascii="Arial" w:eastAsia="Calibri" w:hAnsi="Arial" w:cs="Arial"/>
          <w:bCs/>
          <w:sz w:val="20"/>
          <w:szCs w:val="20"/>
          <w:lang w:eastAsia="en-US"/>
        </w:rPr>
        <w:t>R</w:t>
      </w:r>
      <w:r w:rsidRPr="00896EEE">
        <w:rPr>
          <w:rFonts w:ascii="Arial" w:eastAsia="Calibri" w:hAnsi="Arial" w:cs="Arial"/>
          <w:sz w:val="20"/>
          <w:szCs w:val="20"/>
          <w:lang w:eastAsia="en-US"/>
        </w:rPr>
        <w:t>emoving complexity and duplication from risk related processes;</w:t>
      </w:r>
    </w:p>
    <w:p w14:paraId="435BBF22" w14:textId="77777777" w:rsidR="00896EEE" w:rsidRPr="00896EEE" w:rsidRDefault="00896EEE" w:rsidP="005B5F6F">
      <w:pPr>
        <w:numPr>
          <w:ilvl w:val="0"/>
          <w:numId w:val="94"/>
        </w:numPr>
        <w:spacing w:after="200" w:line="276" w:lineRule="auto"/>
        <w:rPr>
          <w:rFonts w:ascii="Arial" w:eastAsia="Calibri" w:hAnsi="Arial" w:cs="Arial"/>
          <w:sz w:val="20"/>
          <w:szCs w:val="20"/>
          <w:lang w:eastAsia="en-US"/>
        </w:rPr>
      </w:pPr>
      <w:r w:rsidRPr="00896EEE">
        <w:rPr>
          <w:rFonts w:ascii="Arial" w:eastAsia="Calibri" w:hAnsi="Arial" w:cs="Arial"/>
          <w:bCs/>
          <w:sz w:val="20"/>
          <w:szCs w:val="20"/>
          <w:lang w:eastAsia="en-US"/>
        </w:rPr>
        <w:t>Elevating the profile of risk management in the enterprise;</w:t>
      </w:r>
    </w:p>
    <w:p w14:paraId="31C055CB" w14:textId="77777777" w:rsidR="00896EEE" w:rsidRPr="00896EEE" w:rsidRDefault="00896EEE" w:rsidP="005B5F6F">
      <w:pPr>
        <w:numPr>
          <w:ilvl w:val="0"/>
          <w:numId w:val="94"/>
        </w:numPr>
        <w:spacing w:after="200" w:line="276" w:lineRule="auto"/>
        <w:rPr>
          <w:rFonts w:ascii="Arial" w:eastAsia="Calibri" w:hAnsi="Arial" w:cs="Arial"/>
          <w:sz w:val="20"/>
          <w:szCs w:val="20"/>
          <w:lang w:eastAsia="en-US"/>
        </w:rPr>
      </w:pPr>
      <w:r w:rsidRPr="00896EEE">
        <w:rPr>
          <w:rFonts w:ascii="Arial" w:eastAsia="Calibri" w:hAnsi="Arial" w:cs="Arial"/>
          <w:bCs/>
          <w:sz w:val="20"/>
          <w:szCs w:val="20"/>
          <w:lang w:eastAsia="en-US"/>
        </w:rPr>
        <w:t>Develop</w:t>
      </w:r>
      <w:r w:rsidRPr="00896EEE">
        <w:rPr>
          <w:rFonts w:ascii="Arial" w:eastAsia="Calibri" w:hAnsi="Arial" w:cs="Arial"/>
          <w:sz w:val="20"/>
          <w:szCs w:val="20"/>
          <w:lang w:eastAsia="en-US"/>
        </w:rPr>
        <w:t>ing enterprise wide perspectives on compelling problems.</w:t>
      </w:r>
    </w:p>
    <w:p w14:paraId="3AA80970" w14:textId="24CA2DDA" w:rsidR="00896EEE" w:rsidRPr="00896EEE" w:rsidRDefault="00896EEE" w:rsidP="005B5F6F">
      <w:pPr>
        <w:spacing w:after="200" w:line="276" w:lineRule="auto"/>
        <w:jc w:val="both"/>
        <w:rPr>
          <w:rFonts w:ascii="Arial" w:eastAsia="Calibri" w:hAnsi="Arial" w:cs="Arial"/>
          <w:sz w:val="20"/>
          <w:szCs w:val="20"/>
          <w:lang w:eastAsia="en-US"/>
        </w:rPr>
      </w:pPr>
      <w:r w:rsidRPr="00896EEE">
        <w:rPr>
          <w:rFonts w:ascii="Arial" w:eastAsia="Calibri" w:hAnsi="Arial" w:cs="Arial"/>
          <w:sz w:val="20"/>
          <w:szCs w:val="20"/>
          <w:lang w:eastAsia="en-US"/>
        </w:rPr>
        <w:t>In practise, the maturation of a risk management framework is a complex an</w:t>
      </w:r>
      <w:r w:rsidR="00165AB2">
        <w:rPr>
          <w:rFonts w:ascii="Arial" w:eastAsia="Calibri" w:hAnsi="Arial" w:cs="Arial"/>
          <w:sz w:val="20"/>
          <w:szCs w:val="20"/>
          <w:lang w:eastAsia="en-US"/>
        </w:rPr>
        <w:t>d resource intensive endeavour.</w:t>
      </w:r>
      <w:r w:rsidRPr="00896EEE">
        <w:rPr>
          <w:rFonts w:ascii="Arial" w:eastAsia="Calibri" w:hAnsi="Arial" w:cs="Arial"/>
          <w:sz w:val="20"/>
          <w:szCs w:val="20"/>
          <w:lang w:eastAsia="en-US"/>
        </w:rPr>
        <w:t xml:space="preserve"> The council has embarked upon a very practical approach to the maturation process to ensure success and </w:t>
      </w:r>
      <w:r w:rsidR="00165AB2">
        <w:rPr>
          <w:rFonts w:ascii="Arial" w:eastAsia="Calibri" w:hAnsi="Arial" w:cs="Arial"/>
          <w:sz w:val="20"/>
          <w:szCs w:val="20"/>
          <w:lang w:eastAsia="en-US"/>
        </w:rPr>
        <w:t>consolidate</w:t>
      </w:r>
      <w:r w:rsidRPr="00896EEE">
        <w:rPr>
          <w:rFonts w:ascii="Arial" w:eastAsia="Calibri" w:hAnsi="Arial" w:cs="Arial"/>
          <w:sz w:val="20"/>
          <w:szCs w:val="20"/>
          <w:lang w:eastAsia="en-US"/>
        </w:rPr>
        <w:t xml:space="preserve"> its resources. In the first instance, Governance &amp; Risk Branch will shepherd the development of a common set of tools and processes that have proven to be powerful drivers of effective enterprise wide risk management in organisations like the council. These tools and processes are being progressively and deliberately integrated into organisational practise to facilitate:</w:t>
      </w:r>
    </w:p>
    <w:p w14:paraId="5B7EEC78" w14:textId="77777777" w:rsidR="00896EEE" w:rsidRPr="00896EEE" w:rsidRDefault="00896EEE" w:rsidP="005B5F6F">
      <w:pPr>
        <w:numPr>
          <w:ilvl w:val="0"/>
          <w:numId w:val="95"/>
        </w:numPr>
        <w:spacing w:after="200" w:line="276" w:lineRule="auto"/>
        <w:contextualSpacing/>
        <w:jc w:val="both"/>
        <w:rPr>
          <w:rFonts w:ascii="Arial" w:eastAsia="Calibri" w:hAnsi="Arial" w:cs="Arial"/>
          <w:sz w:val="20"/>
          <w:szCs w:val="20"/>
          <w:lang w:eastAsia="en-US"/>
        </w:rPr>
      </w:pPr>
      <w:r w:rsidRPr="00896EEE">
        <w:rPr>
          <w:rFonts w:ascii="Arial" w:eastAsia="Calibri" w:hAnsi="Arial" w:cs="Arial"/>
          <w:sz w:val="20"/>
          <w:szCs w:val="20"/>
          <w:lang w:eastAsia="en-US"/>
        </w:rPr>
        <w:t>A common approach to the assessment of, and response to, the effects of change in the enterprise;</w:t>
      </w:r>
    </w:p>
    <w:p w14:paraId="2F42AF2E" w14:textId="77777777" w:rsidR="00896EEE" w:rsidRPr="00896EEE" w:rsidRDefault="00896EEE" w:rsidP="005B5F6F">
      <w:pPr>
        <w:numPr>
          <w:ilvl w:val="0"/>
          <w:numId w:val="95"/>
        </w:numPr>
        <w:spacing w:after="200" w:line="276" w:lineRule="auto"/>
        <w:contextualSpacing/>
        <w:jc w:val="both"/>
        <w:rPr>
          <w:rFonts w:ascii="Arial" w:eastAsia="Calibri" w:hAnsi="Arial" w:cs="Arial"/>
          <w:sz w:val="20"/>
          <w:szCs w:val="20"/>
          <w:lang w:eastAsia="en-US"/>
        </w:rPr>
      </w:pPr>
      <w:r w:rsidRPr="00896EEE">
        <w:rPr>
          <w:rFonts w:ascii="Arial" w:eastAsia="Calibri" w:hAnsi="Arial" w:cs="Arial"/>
          <w:sz w:val="20"/>
          <w:szCs w:val="20"/>
          <w:lang w:eastAsia="en-US"/>
        </w:rPr>
        <w:t>A systematic approach to the investigation and analysis of incidents;</w:t>
      </w:r>
    </w:p>
    <w:p w14:paraId="2C474DA8" w14:textId="77777777" w:rsidR="00896EEE" w:rsidRPr="00896EEE" w:rsidRDefault="00896EEE" w:rsidP="005B5F6F">
      <w:pPr>
        <w:numPr>
          <w:ilvl w:val="0"/>
          <w:numId w:val="95"/>
        </w:numPr>
        <w:spacing w:after="200" w:line="276" w:lineRule="auto"/>
        <w:contextualSpacing/>
        <w:jc w:val="both"/>
        <w:rPr>
          <w:rFonts w:ascii="Arial" w:eastAsia="Calibri" w:hAnsi="Arial" w:cs="Arial"/>
          <w:sz w:val="20"/>
          <w:szCs w:val="20"/>
          <w:lang w:eastAsia="en-US"/>
        </w:rPr>
      </w:pPr>
      <w:r w:rsidRPr="00896EEE">
        <w:rPr>
          <w:rFonts w:ascii="Arial" w:eastAsia="Calibri" w:hAnsi="Arial" w:cs="Arial"/>
          <w:sz w:val="20"/>
          <w:szCs w:val="20"/>
          <w:lang w:eastAsia="en-US"/>
        </w:rPr>
        <w:t xml:space="preserve">Risk based audit planning and methodology; </w:t>
      </w:r>
    </w:p>
    <w:p w14:paraId="467AE69F" w14:textId="77777777" w:rsidR="00896EEE" w:rsidRPr="00896EEE" w:rsidRDefault="00896EEE" w:rsidP="005B5F6F">
      <w:pPr>
        <w:numPr>
          <w:ilvl w:val="0"/>
          <w:numId w:val="95"/>
        </w:numPr>
        <w:spacing w:after="200" w:line="276" w:lineRule="auto"/>
        <w:contextualSpacing/>
        <w:jc w:val="both"/>
        <w:rPr>
          <w:rFonts w:ascii="Arial" w:eastAsia="Calibri" w:hAnsi="Arial" w:cs="Arial"/>
          <w:sz w:val="20"/>
          <w:szCs w:val="20"/>
          <w:lang w:eastAsia="en-US"/>
        </w:rPr>
      </w:pPr>
      <w:r w:rsidRPr="00896EEE">
        <w:rPr>
          <w:rFonts w:ascii="Arial" w:eastAsia="Calibri" w:hAnsi="Arial" w:cs="Arial"/>
          <w:sz w:val="20"/>
          <w:szCs w:val="20"/>
          <w:lang w:eastAsia="en-US"/>
        </w:rPr>
        <w:t xml:space="preserve">Establishing arrangements that give better visibility of risk to key decision makers.  </w:t>
      </w:r>
    </w:p>
    <w:p w14:paraId="73EE2B43" w14:textId="77777777" w:rsidR="00896EEE" w:rsidRPr="00896EEE" w:rsidRDefault="00896EEE" w:rsidP="005B5F6F">
      <w:pPr>
        <w:spacing w:after="200" w:line="276" w:lineRule="auto"/>
        <w:jc w:val="both"/>
        <w:rPr>
          <w:rFonts w:ascii="Arial" w:eastAsia="Calibri" w:hAnsi="Arial" w:cs="Arial"/>
          <w:sz w:val="20"/>
          <w:szCs w:val="20"/>
          <w:lang w:eastAsia="en-US"/>
        </w:rPr>
      </w:pPr>
      <w:r w:rsidRPr="00896EEE">
        <w:rPr>
          <w:rFonts w:ascii="Arial" w:eastAsia="Calibri" w:hAnsi="Arial" w:cs="Arial"/>
          <w:sz w:val="20"/>
          <w:szCs w:val="20"/>
          <w:lang w:eastAsia="en-US"/>
        </w:rPr>
        <w:t xml:space="preserve">A mature risk management framework supports effective decision making at all levels in an enterprise. Council understands that effective decision making is the key to improving the quality, timeliness and cost effectiveness of its outcomes. The achievement of these goals is realistic and achievable when supported by a practical risk management plan that is well aligned to areas of greatest need. </w:t>
      </w:r>
    </w:p>
    <w:p w14:paraId="12FEB0D0" w14:textId="77777777" w:rsidR="00896EEE" w:rsidRPr="00896EEE" w:rsidRDefault="00896EEE" w:rsidP="005B5F6F">
      <w:pPr>
        <w:spacing w:after="200" w:line="276" w:lineRule="auto"/>
        <w:jc w:val="both"/>
        <w:rPr>
          <w:rFonts w:ascii="Arial" w:eastAsia="Calibri" w:hAnsi="Arial" w:cs="Arial"/>
          <w:sz w:val="20"/>
          <w:szCs w:val="20"/>
          <w:lang w:eastAsia="en-US"/>
        </w:rPr>
      </w:pPr>
      <w:r w:rsidRPr="00896EEE">
        <w:rPr>
          <w:rFonts w:ascii="Arial" w:eastAsia="Calibri" w:hAnsi="Arial" w:cs="Arial"/>
          <w:sz w:val="20"/>
          <w:szCs w:val="20"/>
          <w:lang w:eastAsia="en-US"/>
        </w:rPr>
        <w:t xml:space="preserve">A fully matured risk management framework will make council more productive by: </w:t>
      </w:r>
    </w:p>
    <w:p w14:paraId="4FD1DE9F" w14:textId="77777777" w:rsidR="00896EEE" w:rsidRPr="00896EEE" w:rsidRDefault="00896EEE" w:rsidP="005B5F6F">
      <w:pPr>
        <w:numPr>
          <w:ilvl w:val="0"/>
          <w:numId w:val="96"/>
        </w:numPr>
        <w:spacing w:after="200" w:line="276" w:lineRule="auto"/>
        <w:contextualSpacing/>
        <w:rPr>
          <w:rFonts w:ascii="Arial" w:eastAsia="Calibri" w:hAnsi="Arial" w:cs="Arial"/>
          <w:sz w:val="20"/>
          <w:szCs w:val="20"/>
          <w:lang w:eastAsia="en-US"/>
        </w:rPr>
      </w:pPr>
      <w:r w:rsidRPr="00896EEE">
        <w:rPr>
          <w:rFonts w:ascii="Arial" w:eastAsia="Calibri" w:hAnsi="Arial" w:cs="Arial"/>
          <w:sz w:val="20"/>
          <w:szCs w:val="20"/>
          <w:lang w:eastAsia="en-US"/>
        </w:rPr>
        <w:t>Reducing the costs generated by poorly designed policy and process;</w:t>
      </w:r>
    </w:p>
    <w:p w14:paraId="41566968" w14:textId="77777777" w:rsidR="00896EEE" w:rsidRPr="00896EEE" w:rsidRDefault="00896EEE" w:rsidP="005B5F6F">
      <w:pPr>
        <w:numPr>
          <w:ilvl w:val="0"/>
          <w:numId w:val="96"/>
        </w:numPr>
        <w:spacing w:after="200" w:line="276" w:lineRule="auto"/>
        <w:contextualSpacing/>
        <w:rPr>
          <w:rFonts w:ascii="Arial" w:eastAsia="Calibri" w:hAnsi="Arial" w:cs="Arial"/>
          <w:sz w:val="20"/>
          <w:szCs w:val="20"/>
          <w:lang w:eastAsia="en-US"/>
        </w:rPr>
      </w:pPr>
      <w:r w:rsidRPr="00896EEE">
        <w:rPr>
          <w:rFonts w:ascii="Arial" w:eastAsia="Calibri" w:hAnsi="Arial" w:cs="Arial"/>
          <w:sz w:val="20"/>
          <w:szCs w:val="20"/>
          <w:lang w:eastAsia="en-US"/>
        </w:rPr>
        <w:t xml:space="preserve">By removing duplication and unnecessary redundancy in organisational process and practise; </w:t>
      </w:r>
    </w:p>
    <w:p w14:paraId="2B1686FC" w14:textId="77777777" w:rsidR="00896EEE" w:rsidRPr="00896EEE" w:rsidRDefault="00896EEE" w:rsidP="005B5F6F">
      <w:pPr>
        <w:numPr>
          <w:ilvl w:val="0"/>
          <w:numId w:val="96"/>
        </w:numPr>
        <w:spacing w:after="200" w:line="276" w:lineRule="auto"/>
        <w:contextualSpacing/>
        <w:rPr>
          <w:rFonts w:ascii="Arial" w:eastAsia="Calibri" w:hAnsi="Arial" w:cs="Arial"/>
          <w:sz w:val="20"/>
          <w:szCs w:val="20"/>
          <w:lang w:eastAsia="en-US"/>
        </w:rPr>
      </w:pPr>
      <w:r w:rsidRPr="00896EEE">
        <w:rPr>
          <w:rFonts w:ascii="Arial" w:eastAsia="Calibri" w:hAnsi="Arial" w:cs="Arial"/>
          <w:sz w:val="20"/>
          <w:szCs w:val="20"/>
          <w:lang w:eastAsia="en-US"/>
        </w:rPr>
        <w:t>By reducing the costs associated with a failure to anticipate the future;</w:t>
      </w:r>
    </w:p>
    <w:p w14:paraId="1A4540F9" w14:textId="77777777" w:rsidR="00896EEE" w:rsidRPr="00896EEE" w:rsidRDefault="00896EEE" w:rsidP="005B5F6F">
      <w:pPr>
        <w:numPr>
          <w:ilvl w:val="0"/>
          <w:numId w:val="96"/>
        </w:numPr>
        <w:spacing w:after="200" w:line="276" w:lineRule="auto"/>
        <w:contextualSpacing/>
        <w:rPr>
          <w:rFonts w:ascii="Arial" w:eastAsia="Calibri" w:hAnsi="Arial" w:cs="Arial"/>
          <w:sz w:val="20"/>
          <w:szCs w:val="20"/>
          <w:lang w:eastAsia="en-US"/>
        </w:rPr>
      </w:pPr>
      <w:r w:rsidRPr="00896EEE">
        <w:rPr>
          <w:rFonts w:ascii="Arial" w:eastAsia="Calibri" w:hAnsi="Arial" w:cs="Arial"/>
          <w:sz w:val="20"/>
          <w:szCs w:val="20"/>
          <w:lang w:eastAsia="en-US"/>
        </w:rPr>
        <w:t>By focusing limited investment on initiatives that have the best potential to reduce material risks; and</w:t>
      </w:r>
    </w:p>
    <w:p w14:paraId="6DDA589C" w14:textId="77777777" w:rsidR="00896EEE" w:rsidRPr="00896EEE" w:rsidRDefault="00896EEE" w:rsidP="005B5F6F">
      <w:pPr>
        <w:numPr>
          <w:ilvl w:val="0"/>
          <w:numId w:val="96"/>
        </w:numPr>
        <w:spacing w:after="200" w:line="276" w:lineRule="auto"/>
        <w:contextualSpacing/>
        <w:rPr>
          <w:rFonts w:ascii="Century Gothic" w:eastAsia="Calibri" w:hAnsi="Century Gothic"/>
          <w:szCs w:val="22"/>
          <w:lang w:eastAsia="en-US"/>
        </w:rPr>
      </w:pPr>
      <w:r w:rsidRPr="00896EEE">
        <w:rPr>
          <w:rFonts w:ascii="Arial" w:eastAsia="Calibri" w:hAnsi="Arial" w:cs="Arial"/>
          <w:sz w:val="20"/>
          <w:szCs w:val="20"/>
          <w:lang w:eastAsia="en-US"/>
        </w:rPr>
        <w:t>By focusing attention upon the interests of the enterprise as opposed to the interests of sub-groups and functions</w:t>
      </w:r>
      <w:r w:rsidRPr="00896EEE">
        <w:rPr>
          <w:rFonts w:ascii="Century Gothic" w:eastAsia="Calibri" w:hAnsi="Century Gothic"/>
          <w:szCs w:val="22"/>
          <w:lang w:eastAsia="en-US"/>
        </w:rPr>
        <w:t>.</w:t>
      </w:r>
    </w:p>
    <w:p w14:paraId="47AF4F8E" w14:textId="6E1A6C7D" w:rsidR="001F515C" w:rsidRPr="00057853" w:rsidRDefault="001F515C" w:rsidP="00185FA1">
      <w:pPr>
        <w:pStyle w:val="Heading2"/>
      </w:pPr>
      <w:bookmarkStart w:id="109" w:name="_Toc412798933"/>
      <w:r>
        <w:t xml:space="preserve">Past </w:t>
      </w:r>
      <w:r w:rsidRPr="00057853">
        <w:t>Cost Savings, Efficiencies and Revenue Raising Initiatives</w:t>
      </w:r>
      <w:bookmarkEnd w:id="109"/>
      <w:r w:rsidRPr="00057853">
        <w:t xml:space="preserve"> </w:t>
      </w:r>
    </w:p>
    <w:p w14:paraId="22FE193E" w14:textId="77777777" w:rsidR="00185FA1" w:rsidRDefault="00185FA1" w:rsidP="001F515C">
      <w:pPr>
        <w:spacing w:line="360" w:lineRule="auto"/>
        <w:jc w:val="both"/>
        <w:rPr>
          <w:rFonts w:ascii="Arial" w:hAnsi="Arial" w:cs="Arial"/>
          <w:sz w:val="21"/>
          <w:szCs w:val="21"/>
        </w:rPr>
      </w:pPr>
    </w:p>
    <w:p w14:paraId="2B8BC3F2" w14:textId="2A92B99D" w:rsidR="001F515C" w:rsidRPr="00BE71ED" w:rsidRDefault="00BE71ED" w:rsidP="001F515C">
      <w:pPr>
        <w:spacing w:line="360" w:lineRule="auto"/>
        <w:jc w:val="both"/>
        <w:rPr>
          <w:rFonts w:ascii="Arial" w:hAnsi="Arial" w:cs="Arial"/>
          <w:sz w:val="20"/>
          <w:szCs w:val="20"/>
        </w:rPr>
      </w:pPr>
      <w:r w:rsidRPr="00BE71ED">
        <w:rPr>
          <w:rFonts w:ascii="Arial" w:hAnsi="Arial" w:cs="Arial"/>
          <w:sz w:val="20"/>
          <w:szCs w:val="20"/>
        </w:rPr>
        <w:t>C</w:t>
      </w:r>
      <w:r w:rsidR="001F515C" w:rsidRPr="00BE71ED">
        <w:rPr>
          <w:rFonts w:ascii="Arial" w:hAnsi="Arial" w:cs="Arial"/>
          <w:sz w:val="20"/>
          <w:szCs w:val="20"/>
        </w:rPr>
        <w:t xml:space="preserve">ost saving, efficiency and revenue initiatives have been tracked in </w:t>
      </w:r>
      <w:r w:rsidR="00185FA1" w:rsidRPr="00BE71ED">
        <w:rPr>
          <w:rFonts w:ascii="Arial" w:hAnsi="Arial" w:cs="Arial"/>
          <w:sz w:val="20"/>
          <w:szCs w:val="20"/>
        </w:rPr>
        <w:t>Continuous Improvement Data Base</w:t>
      </w:r>
      <w:r w:rsidR="001F515C" w:rsidRPr="00BE71ED">
        <w:rPr>
          <w:rFonts w:ascii="Arial" w:hAnsi="Arial" w:cs="Arial"/>
          <w:sz w:val="20"/>
          <w:szCs w:val="20"/>
        </w:rPr>
        <w:t xml:space="preserve"> (Figure 7.9 below)</w:t>
      </w:r>
      <w:r w:rsidRPr="00BE71ED">
        <w:rPr>
          <w:rFonts w:ascii="Arial" w:hAnsi="Arial" w:cs="Arial"/>
          <w:sz w:val="20"/>
          <w:szCs w:val="20"/>
        </w:rPr>
        <w:t xml:space="preserve"> since 2010-11</w:t>
      </w:r>
      <w:r w:rsidR="001F515C" w:rsidRPr="00BE71ED">
        <w:rPr>
          <w:rFonts w:ascii="Arial" w:hAnsi="Arial" w:cs="Arial"/>
          <w:sz w:val="20"/>
          <w:szCs w:val="20"/>
        </w:rPr>
        <w:t xml:space="preserve">. The database also includes </w:t>
      </w:r>
      <w:r w:rsidRPr="00BE71ED">
        <w:rPr>
          <w:rFonts w:ascii="Arial" w:hAnsi="Arial" w:cs="Arial"/>
          <w:sz w:val="20"/>
          <w:szCs w:val="20"/>
        </w:rPr>
        <w:t>proposed future initiatives.</w:t>
      </w:r>
    </w:p>
    <w:p w14:paraId="2BE8DEBA" w14:textId="77777777" w:rsidR="001F515C" w:rsidRDefault="001F515C" w:rsidP="001F515C">
      <w:pPr>
        <w:spacing w:line="360" w:lineRule="auto"/>
        <w:jc w:val="both"/>
        <w:rPr>
          <w:rFonts w:ascii="Arial" w:hAnsi="Arial" w:cs="Arial"/>
          <w:sz w:val="21"/>
          <w:szCs w:val="21"/>
        </w:rPr>
      </w:pPr>
    </w:p>
    <w:p w14:paraId="1FB547CF" w14:textId="4405AAA3" w:rsidR="001F515C" w:rsidRPr="00D6033D" w:rsidRDefault="0053356A" w:rsidP="001F515C">
      <w:pPr>
        <w:spacing w:line="360" w:lineRule="auto"/>
        <w:jc w:val="both"/>
        <w:rPr>
          <w:rFonts w:ascii="Arial" w:hAnsi="Arial" w:cs="Arial"/>
          <w:b/>
          <w:sz w:val="20"/>
          <w:szCs w:val="20"/>
        </w:rPr>
      </w:pPr>
      <w:r>
        <w:rPr>
          <w:rFonts w:ascii="Arial" w:hAnsi="Arial" w:cs="Arial"/>
          <w:b/>
          <w:sz w:val="20"/>
          <w:szCs w:val="20"/>
        </w:rPr>
        <w:t>Figure 7.8</w:t>
      </w:r>
      <w:r w:rsidR="001F515C" w:rsidRPr="00D6033D">
        <w:rPr>
          <w:rFonts w:ascii="Arial" w:hAnsi="Arial" w:cs="Arial"/>
          <w:b/>
          <w:sz w:val="20"/>
          <w:szCs w:val="20"/>
        </w:rPr>
        <w:t xml:space="preserve"> Continuous Improvement Database Snapshot</w:t>
      </w:r>
    </w:p>
    <w:p w14:paraId="0890998F" w14:textId="77777777" w:rsidR="001F515C" w:rsidRDefault="001F515C" w:rsidP="001F515C">
      <w:pPr>
        <w:spacing w:after="200" w:line="276" w:lineRule="auto"/>
        <w:rPr>
          <w:rFonts w:ascii="Arial" w:hAnsi="Arial" w:cs="Arial"/>
          <w:b/>
          <w:sz w:val="21"/>
          <w:szCs w:val="21"/>
        </w:rPr>
      </w:pPr>
      <w:r w:rsidRPr="00057853">
        <w:rPr>
          <w:rFonts w:ascii="Arial" w:hAnsi="Arial" w:cs="Arial"/>
          <w:b/>
          <w:noProof/>
          <w:sz w:val="21"/>
          <w:szCs w:val="21"/>
        </w:rPr>
        <w:drawing>
          <wp:inline distT="0" distB="0" distL="0" distR="0" wp14:anchorId="452D59BB" wp14:editId="5E74E643">
            <wp:extent cx="5944227" cy="3693600"/>
            <wp:effectExtent l="0" t="0" r="0" b="2540"/>
            <wp:docPr id="2067" name="Picture 2067" descr="C:\Users\RDillon\AppData\Local\Microsoft\Windows\Temporary Internet Files\Content.Outlook\1GI93JK7\Databas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illon\AppData\Local\Microsoft\Windows\Temporary Internet Files\Content.Outlook\1GI93JK7\Database image.PNG"/>
                    <pic:cNvPicPr>
                      <a:picLocks noChangeAspect="1" noChangeArrowheads="1"/>
                    </pic:cNvPicPr>
                  </pic:nvPicPr>
                  <pic:blipFill>
                    <a:blip r:embed="rId104" cstate="print">
                      <a:extLst>
                        <a:ext uri="{BEBA8EAE-BF5A-486C-A8C5-ECC9F3942E4B}">
                          <a14:imgProps xmlns:a14="http://schemas.microsoft.com/office/drawing/2010/main">
                            <a14:imgLayer r:embed="rId105">
                              <a14:imgEffect>
                                <a14:brightnessContrast bright="-27000" contrast="50000"/>
                              </a14:imgEffect>
                            </a14:imgLayer>
                          </a14:imgProps>
                        </a:ext>
                        <a:ext uri="{28A0092B-C50C-407E-A947-70E740481C1C}">
                          <a14:useLocalDpi xmlns:a14="http://schemas.microsoft.com/office/drawing/2010/main"/>
                        </a:ext>
                      </a:extLst>
                    </a:blip>
                    <a:srcRect/>
                    <a:stretch>
                      <a:fillRect/>
                    </a:stretch>
                  </pic:blipFill>
                  <pic:spPr bwMode="auto">
                    <a:xfrm>
                      <a:off x="0" y="0"/>
                      <a:ext cx="5977120" cy="3714039"/>
                    </a:xfrm>
                    <a:prstGeom prst="rect">
                      <a:avLst/>
                    </a:prstGeom>
                    <a:noFill/>
                    <a:ln>
                      <a:noFill/>
                    </a:ln>
                  </pic:spPr>
                </pic:pic>
              </a:graphicData>
            </a:graphic>
          </wp:inline>
        </w:drawing>
      </w:r>
    </w:p>
    <w:p w14:paraId="1FBDDA67" w14:textId="77777777" w:rsidR="00A435A8" w:rsidRDefault="00A435A8" w:rsidP="001F515C">
      <w:pPr>
        <w:spacing w:after="200" w:line="276" w:lineRule="auto"/>
        <w:rPr>
          <w:rFonts w:ascii="Arial" w:hAnsi="Arial" w:cs="Arial"/>
          <w:b/>
          <w:sz w:val="21"/>
          <w:szCs w:val="21"/>
        </w:rPr>
      </w:pPr>
    </w:p>
    <w:p w14:paraId="51706886" w14:textId="77777777" w:rsidR="00A435A8" w:rsidRDefault="00A435A8" w:rsidP="001F515C">
      <w:pPr>
        <w:spacing w:after="200" w:line="276" w:lineRule="auto"/>
        <w:rPr>
          <w:rFonts w:ascii="Arial" w:hAnsi="Arial" w:cs="Arial"/>
          <w:b/>
          <w:sz w:val="21"/>
          <w:szCs w:val="21"/>
        </w:rPr>
      </w:pPr>
    </w:p>
    <w:p w14:paraId="72FB0B13" w14:textId="77777777" w:rsidR="00A435A8" w:rsidRPr="00A435A8" w:rsidRDefault="00A435A8" w:rsidP="00A435A8">
      <w:pPr>
        <w:spacing w:line="276" w:lineRule="auto"/>
        <w:rPr>
          <w:rFonts w:asciiTheme="minorHAnsi" w:eastAsiaTheme="minorHAnsi" w:hAnsiTheme="minorHAnsi" w:cstheme="minorBidi"/>
          <w:b/>
          <w:szCs w:val="22"/>
          <w:lang w:eastAsia="en-US"/>
        </w:rPr>
      </w:pPr>
      <w:r w:rsidRPr="00A435A8">
        <w:rPr>
          <w:rFonts w:asciiTheme="minorHAnsi" w:eastAsiaTheme="minorHAnsi" w:hAnsiTheme="minorHAnsi" w:cstheme="minorBidi"/>
          <w:b/>
          <w:szCs w:val="22"/>
          <w:lang w:eastAsia="en-US"/>
        </w:rPr>
        <w:t xml:space="preserve">Extract from Information Sheet 3 – Cost Savings &amp; Efficiencies </w:t>
      </w:r>
      <w:r w:rsidRPr="00A435A8">
        <w:rPr>
          <w:rFonts w:asciiTheme="minorHAnsi" w:eastAsiaTheme="minorHAnsi" w:hAnsiTheme="minorHAnsi" w:cstheme="minorBidi"/>
          <w:szCs w:val="22"/>
          <w:lang w:eastAsia="en-US"/>
        </w:rPr>
        <w:t xml:space="preserve">– page 69 </w:t>
      </w:r>
      <w:r w:rsidRPr="00A435A8">
        <w:rPr>
          <w:rFonts w:asciiTheme="minorHAnsi" w:eastAsiaTheme="minorHAnsi" w:hAnsiTheme="minorHAnsi" w:cstheme="minorBidi"/>
          <w:b/>
          <w:szCs w:val="22"/>
          <w:lang w:eastAsia="en-US"/>
        </w:rPr>
        <w:t>(Attachment 5b)</w:t>
      </w:r>
    </w:p>
    <w:p w14:paraId="23E4C90C" w14:textId="77777777" w:rsidR="00A435A8" w:rsidRPr="00A435A8" w:rsidRDefault="00A435A8" w:rsidP="00A435A8">
      <w:pPr>
        <w:spacing w:line="276" w:lineRule="auto"/>
        <w:rPr>
          <w:rFonts w:asciiTheme="minorHAnsi" w:eastAsiaTheme="minorHAnsi" w:hAnsiTheme="minorHAnsi" w:cstheme="minorBidi"/>
          <w:b/>
          <w:szCs w:val="22"/>
          <w:lang w:eastAsia="en-US"/>
        </w:rPr>
      </w:pPr>
      <w:r w:rsidRPr="00A435A8">
        <w:rPr>
          <w:rFonts w:asciiTheme="minorHAnsi" w:eastAsiaTheme="minorHAnsi" w:hAnsiTheme="minorHAnsi" w:cstheme="minorBidi"/>
          <w:b/>
          <w:noProof/>
          <w:szCs w:val="22"/>
        </w:rPr>
        <w:drawing>
          <wp:inline distT="0" distB="0" distL="0" distR="0" wp14:anchorId="25EA050D" wp14:editId="1DD09360">
            <wp:extent cx="5731510" cy="8311515"/>
            <wp:effectExtent l="19050" t="19050" r="21590" b="13335"/>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28582  SV APPLICATION - Attachment 5b - page 69crop.jpg"/>
                    <pic:cNvPicPr/>
                  </pic:nvPicPr>
                  <pic:blipFill>
                    <a:blip r:embed="rId106" cstate="screen">
                      <a:extLst>
                        <a:ext uri="{28A0092B-C50C-407E-A947-70E740481C1C}">
                          <a14:useLocalDpi xmlns:a14="http://schemas.microsoft.com/office/drawing/2010/main"/>
                        </a:ext>
                      </a:extLst>
                    </a:blip>
                    <a:stretch>
                      <a:fillRect/>
                    </a:stretch>
                  </pic:blipFill>
                  <pic:spPr>
                    <a:xfrm>
                      <a:off x="0" y="0"/>
                      <a:ext cx="5731510" cy="8311515"/>
                    </a:xfrm>
                    <a:prstGeom prst="rect">
                      <a:avLst/>
                    </a:prstGeom>
                    <a:ln>
                      <a:solidFill>
                        <a:sysClr val="windowText" lastClr="000000">
                          <a:lumMod val="50000"/>
                          <a:lumOff val="50000"/>
                          <a:alpha val="30000"/>
                        </a:sysClr>
                      </a:solidFill>
                    </a:ln>
                  </pic:spPr>
                </pic:pic>
              </a:graphicData>
            </a:graphic>
          </wp:inline>
        </w:drawing>
      </w:r>
    </w:p>
    <w:p w14:paraId="27E670C8" w14:textId="19207664" w:rsidR="001F515C" w:rsidRPr="00057853" w:rsidRDefault="001F515C" w:rsidP="005B5F6F">
      <w:pPr>
        <w:pStyle w:val="Heading3"/>
        <w:tabs>
          <w:tab w:val="clear" w:pos="1844"/>
          <w:tab w:val="num" w:pos="1843"/>
        </w:tabs>
        <w:spacing w:line="276" w:lineRule="auto"/>
        <w:ind w:left="709"/>
      </w:pPr>
      <w:r>
        <w:t>Cost Savings</w:t>
      </w:r>
      <w:r w:rsidRPr="00057853">
        <w:t xml:space="preserve"> </w:t>
      </w:r>
      <w:r>
        <w:t>- Past</w:t>
      </w:r>
      <w:r w:rsidRPr="00057853">
        <w:t xml:space="preserve"> </w:t>
      </w:r>
    </w:p>
    <w:p w14:paraId="4E817130" w14:textId="275B8E57" w:rsidR="001F515C" w:rsidRPr="00BE71ED" w:rsidRDefault="001F515C" w:rsidP="005B5F6F">
      <w:pPr>
        <w:spacing w:before="240" w:line="276" w:lineRule="auto"/>
        <w:jc w:val="both"/>
        <w:rPr>
          <w:rFonts w:ascii="Arial" w:hAnsi="Arial" w:cs="Arial"/>
          <w:sz w:val="20"/>
          <w:szCs w:val="20"/>
        </w:rPr>
      </w:pPr>
      <w:r w:rsidRPr="00BE71ED">
        <w:rPr>
          <w:rFonts w:ascii="Arial" w:hAnsi="Arial" w:cs="Arial"/>
          <w:sz w:val="20"/>
          <w:szCs w:val="20"/>
        </w:rPr>
        <w:t xml:space="preserve">The Council has saved over $15 million </w:t>
      </w:r>
      <w:r w:rsidR="007544D0" w:rsidRPr="00BE71ED">
        <w:rPr>
          <w:rFonts w:ascii="Arial" w:hAnsi="Arial" w:cs="Arial"/>
          <w:sz w:val="20"/>
          <w:szCs w:val="20"/>
        </w:rPr>
        <w:t xml:space="preserve">in the past four years (2011/12 to 2014/15 up to February 2015) </w:t>
      </w:r>
      <w:r w:rsidRPr="00BE71ED">
        <w:rPr>
          <w:rFonts w:ascii="Arial" w:hAnsi="Arial" w:cs="Arial"/>
          <w:sz w:val="20"/>
          <w:szCs w:val="20"/>
        </w:rPr>
        <w:t xml:space="preserve">as a result of the initiatives implemented in the table below. </w:t>
      </w:r>
    </w:p>
    <w:p w14:paraId="56E011AF" w14:textId="77777777" w:rsidR="001F515C" w:rsidRDefault="001F515C" w:rsidP="001F515C">
      <w:pPr>
        <w:spacing w:line="360" w:lineRule="auto"/>
        <w:jc w:val="both"/>
        <w:rPr>
          <w:rFonts w:ascii="Arial" w:hAnsi="Arial" w:cs="Arial"/>
          <w:sz w:val="21"/>
          <w:szCs w:val="21"/>
        </w:rPr>
      </w:pPr>
    </w:p>
    <w:p w14:paraId="6D1338D8" w14:textId="3A139753" w:rsidR="001F515C" w:rsidRPr="005B5F6F" w:rsidRDefault="001F515C" w:rsidP="001F515C">
      <w:pPr>
        <w:spacing w:line="360" w:lineRule="auto"/>
        <w:jc w:val="both"/>
        <w:rPr>
          <w:rFonts w:ascii="Arial" w:hAnsi="Arial" w:cs="Arial"/>
          <w:b/>
          <w:sz w:val="18"/>
          <w:szCs w:val="18"/>
        </w:rPr>
      </w:pPr>
      <w:r w:rsidRPr="005B5F6F">
        <w:rPr>
          <w:rFonts w:ascii="Arial" w:hAnsi="Arial" w:cs="Arial"/>
          <w:b/>
          <w:sz w:val="18"/>
          <w:szCs w:val="18"/>
        </w:rPr>
        <w:t>Table 7.2</w:t>
      </w:r>
      <w:r w:rsidR="007544D0" w:rsidRPr="005B5F6F">
        <w:rPr>
          <w:rFonts w:ascii="Arial" w:hAnsi="Arial" w:cs="Arial"/>
          <w:b/>
          <w:sz w:val="18"/>
          <w:szCs w:val="18"/>
        </w:rPr>
        <w:t>:</w:t>
      </w:r>
      <w:r w:rsidRPr="005B5F6F">
        <w:rPr>
          <w:rFonts w:ascii="Arial" w:hAnsi="Arial" w:cs="Arial"/>
          <w:b/>
          <w:sz w:val="18"/>
          <w:szCs w:val="18"/>
        </w:rPr>
        <w:t xml:space="preserve"> </w:t>
      </w:r>
      <w:r w:rsidR="007544D0" w:rsidRPr="005B5F6F">
        <w:rPr>
          <w:rFonts w:ascii="Arial" w:hAnsi="Arial" w:cs="Arial"/>
          <w:b/>
          <w:sz w:val="18"/>
          <w:szCs w:val="18"/>
        </w:rPr>
        <w:t xml:space="preserve">Estimated </w:t>
      </w:r>
      <w:r w:rsidRPr="005B5F6F">
        <w:rPr>
          <w:rFonts w:ascii="Arial" w:hAnsi="Arial" w:cs="Arial"/>
          <w:b/>
          <w:sz w:val="18"/>
          <w:szCs w:val="18"/>
        </w:rPr>
        <w:t>Cost Savings 2011/12 - 2014/15</w:t>
      </w:r>
    </w:p>
    <w:tbl>
      <w:tblPr>
        <w:tblStyle w:val="TableGrid"/>
        <w:tblW w:w="8928" w:type="dxa"/>
        <w:tblLook w:val="04A0" w:firstRow="1" w:lastRow="0" w:firstColumn="1" w:lastColumn="0" w:noHBand="0" w:noVBand="1"/>
      </w:tblPr>
      <w:tblGrid>
        <w:gridCol w:w="6345"/>
        <w:gridCol w:w="1254"/>
        <w:gridCol w:w="1329"/>
      </w:tblGrid>
      <w:tr w:rsidR="001F515C" w14:paraId="207C59CB" w14:textId="77777777" w:rsidTr="00A27A01">
        <w:trPr>
          <w:trHeight w:val="484"/>
          <w:tblHeader/>
        </w:trPr>
        <w:tc>
          <w:tcPr>
            <w:tcW w:w="6345" w:type="dxa"/>
            <w:shd w:val="clear" w:color="auto" w:fill="4F81BD" w:themeFill="accent1"/>
            <w:vAlign w:val="center"/>
          </w:tcPr>
          <w:p w14:paraId="1578A13F" w14:textId="0355102C" w:rsidR="001F515C" w:rsidRPr="00A27A01" w:rsidRDefault="00A27A01" w:rsidP="003F6431">
            <w:pPr>
              <w:spacing w:line="276" w:lineRule="auto"/>
              <w:jc w:val="center"/>
              <w:rPr>
                <w:rFonts w:ascii="Arial" w:hAnsi="Arial" w:cs="Arial"/>
                <w:b/>
                <w:color w:val="FFFFFF" w:themeColor="background1"/>
                <w:sz w:val="20"/>
                <w:szCs w:val="20"/>
              </w:rPr>
            </w:pPr>
            <w:r w:rsidRPr="00A27A01">
              <w:rPr>
                <w:rFonts w:ascii="Arial" w:hAnsi="Arial" w:cs="Arial"/>
                <w:b/>
                <w:color w:val="FFFFFF" w:themeColor="background1"/>
                <w:sz w:val="20"/>
                <w:szCs w:val="20"/>
              </w:rPr>
              <w:t>Cost Savings 2011/12 – 2014/15</w:t>
            </w:r>
          </w:p>
          <w:p w14:paraId="4FCE9B38" w14:textId="2B2F54C6" w:rsidR="001F515C" w:rsidRPr="00A27A01" w:rsidRDefault="00A27A01" w:rsidP="003F6431">
            <w:pPr>
              <w:spacing w:line="276" w:lineRule="auto"/>
              <w:jc w:val="center"/>
              <w:rPr>
                <w:rFonts w:ascii="Arial" w:hAnsi="Arial" w:cs="Arial"/>
                <w:b/>
                <w:color w:val="FFFFFF" w:themeColor="background1"/>
                <w:sz w:val="20"/>
                <w:szCs w:val="20"/>
              </w:rPr>
            </w:pPr>
            <w:r w:rsidRPr="00A27A01">
              <w:rPr>
                <w:rFonts w:ascii="Arial" w:hAnsi="Arial" w:cs="Arial"/>
                <w:b/>
                <w:color w:val="FFFFFF" w:themeColor="background1"/>
                <w:sz w:val="20"/>
                <w:szCs w:val="20"/>
              </w:rPr>
              <w:t>Area/Initiative</w:t>
            </w:r>
          </w:p>
        </w:tc>
        <w:tc>
          <w:tcPr>
            <w:tcW w:w="1254" w:type="dxa"/>
            <w:shd w:val="clear" w:color="auto" w:fill="4F81BD" w:themeFill="accent1"/>
            <w:vAlign w:val="center"/>
          </w:tcPr>
          <w:p w14:paraId="44258910" w14:textId="4ACD472D" w:rsidR="001F515C" w:rsidRPr="00A27A01" w:rsidRDefault="00A27A01" w:rsidP="003F6431">
            <w:pPr>
              <w:spacing w:line="276" w:lineRule="auto"/>
              <w:jc w:val="right"/>
              <w:rPr>
                <w:rFonts w:ascii="Arial" w:hAnsi="Arial" w:cs="Arial"/>
                <w:b/>
                <w:color w:val="FFFFFF" w:themeColor="background1"/>
                <w:sz w:val="20"/>
                <w:szCs w:val="20"/>
              </w:rPr>
            </w:pPr>
            <w:r w:rsidRPr="00A27A01">
              <w:rPr>
                <w:rFonts w:ascii="Arial" w:hAnsi="Arial" w:cs="Arial"/>
                <w:b/>
                <w:color w:val="FFFFFF" w:themeColor="background1"/>
                <w:sz w:val="20"/>
                <w:szCs w:val="20"/>
              </w:rPr>
              <w:t>Amount</w:t>
            </w:r>
          </w:p>
        </w:tc>
        <w:tc>
          <w:tcPr>
            <w:tcW w:w="1329" w:type="dxa"/>
            <w:shd w:val="clear" w:color="auto" w:fill="4F81BD" w:themeFill="accent1"/>
            <w:vAlign w:val="center"/>
          </w:tcPr>
          <w:p w14:paraId="6F07FCDB" w14:textId="1A1CE773" w:rsidR="001F515C" w:rsidRPr="00A27A01" w:rsidRDefault="00A27A01" w:rsidP="00A27A01">
            <w:pPr>
              <w:spacing w:line="276" w:lineRule="auto"/>
              <w:jc w:val="center"/>
              <w:rPr>
                <w:rFonts w:ascii="Arial" w:hAnsi="Arial" w:cs="Arial"/>
                <w:b/>
                <w:color w:val="FFFFFF" w:themeColor="background1"/>
                <w:sz w:val="20"/>
                <w:szCs w:val="20"/>
              </w:rPr>
            </w:pPr>
            <w:r w:rsidRPr="00A27A01">
              <w:rPr>
                <w:rFonts w:ascii="Arial" w:hAnsi="Arial" w:cs="Arial"/>
                <w:b/>
                <w:color w:val="FFFFFF" w:themeColor="background1"/>
                <w:sz w:val="20"/>
                <w:szCs w:val="20"/>
              </w:rPr>
              <w:t>Total Over 4 Years</w:t>
            </w:r>
          </w:p>
        </w:tc>
      </w:tr>
      <w:tr w:rsidR="001F515C" w14:paraId="5EC7CDA9" w14:textId="77777777" w:rsidTr="003F6431">
        <w:tc>
          <w:tcPr>
            <w:tcW w:w="7599" w:type="dxa"/>
            <w:gridSpan w:val="2"/>
            <w:shd w:val="clear" w:color="auto" w:fill="DBE5F1" w:themeFill="accent1" w:themeFillTint="33"/>
          </w:tcPr>
          <w:p w14:paraId="5D8D7A5D" w14:textId="3064DC6B" w:rsidR="001F515C" w:rsidRPr="00CC740C" w:rsidRDefault="007544D0" w:rsidP="00E077C7">
            <w:pPr>
              <w:spacing w:line="276" w:lineRule="auto"/>
              <w:rPr>
                <w:rFonts w:ascii="Arial" w:hAnsi="Arial" w:cs="Arial"/>
                <w:b/>
                <w:sz w:val="20"/>
                <w:szCs w:val="20"/>
              </w:rPr>
            </w:pPr>
            <w:r>
              <w:rPr>
                <w:rFonts w:ascii="Arial" w:hAnsi="Arial" w:cs="Arial"/>
                <w:b/>
                <w:color w:val="404040"/>
                <w:sz w:val="20"/>
                <w:szCs w:val="20"/>
              </w:rPr>
              <w:t xml:space="preserve">Development Assessment and </w:t>
            </w:r>
            <w:r w:rsidR="00E077C7">
              <w:rPr>
                <w:rFonts w:ascii="Arial" w:hAnsi="Arial" w:cs="Arial"/>
                <w:b/>
                <w:color w:val="404040"/>
                <w:sz w:val="20"/>
                <w:szCs w:val="20"/>
              </w:rPr>
              <w:t>Regulatory Services</w:t>
            </w:r>
          </w:p>
        </w:tc>
        <w:tc>
          <w:tcPr>
            <w:tcW w:w="1329" w:type="dxa"/>
            <w:shd w:val="clear" w:color="auto" w:fill="DBE5F1" w:themeFill="accent1" w:themeFillTint="33"/>
          </w:tcPr>
          <w:p w14:paraId="179C35C7" w14:textId="77777777" w:rsidR="001F515C" w:rsidRPr="00CC740C" w:rsidRDefault="001F515C" w:rsidP="003F6431">
            <w:pPr>
              <w:spacing w:line="276" w:lineRule="auto"/>
              <w:jc w:val="right"/>
              <w:rPr>
                <w:rFonts w:ascii="Arial" w:hAnsi="Arial" w:cs="Arial"/>
                <w:b/>
                <w:sz w:val="20"/>
                <w:szCs w:val="20"/>
              </w:rPr>
            </w:pPr>
            <w:r w:rsidRPr="00CC740C">
              <w:rPr>
                <w:rFonts w:ascii="Arial" w:hAnsi="Arial" w:cs="Arial"/>
                <w:b/>
                <w:color w:val="404040"/>
                <w:sz w:val="20"/>
                <w:szCs w:val="20"/>
              </w:rPr>
              <w:t>$150,000</w:t>
            </w:r>
          </w:p>
        </w:tc>
      </w:tr>
      <w:tr w:rsidR="001F515C" w14:paraId="77543E79" w14:textId="77777777" w:rsidTr="003F6431">
        <w:tc>
          <w:tcPr>
            <w:tcW w:w="6345" w:type="dxa"/>
          </w:tcPr>
          <w:p w14:paraId="3229B957" w14:textId="77777777" w:rsidR="001F515C" w:rsidRPr="00CC740C" w:rsidRDefault="001F515C" w:rsidP="003F6431">
            <w:pPr>
              <w:spacing w:line="276" w:lineRule="auto"/>
              <w:rPr>
                <w:rFonts w:ascii="Arial" w:hAnsi="Arial" w:cs="Arial"/>
                <w:sz w:val="20"/>
                <w:szCs w:val="20"/>
              </w:rPr>
            </w:pPr>
            <w:r w:rsidRPr="00CC740C">
              <w:rPr>
                <w:rFonts w:ascii="Arial" w:hAnsi="Arial" w:cs="Arial"/>
                <w:color w:val="404040"/>
                <w:sz w:val="20"/>
                <w:szCs w:val="20"/>
              </w:rPr>
              <w:t>Implementation of a formal review of every major development application and auditing of technical assessments. This increased the quality and improved the turnaround times of development applications. This led to a reduction in Land and Environment Court challenges and subsequent costs.</w:t>
            </w:r>
          </w:p>
        </w:tc>
        <w:tc>
          <w:tcPr>
            <w:tcW w:w="1254" w:type="dxa"/>
          </w:tcPr>
          <w:p w14:paraId="05B81C7F" w14:textId="77777777" w:rsidR="001F515C" w:rsidRPr="00CC740C" w:rsidRDefault="001F515C" w:rsidP="003F6431">
            <w:pPr>
              <w:spacing w:line="276" w:lineRule="auto"/>
              <w:jc w:val="right"/>
              <w:rPr>
                <w:rFonts w:ascii="Arial" w:hAnsi="Arial" w:cs="Arial"/>
                <w:sz w:val="20"/>
                <w:szCs w:val="20"/>
              </w:rPr>
            </w:pPr>
            <w:r w:rsidRPr="00CC740C">
              <w:rPr>
                <w:rFonts w:ascii="Arial" w:hAnsi="Arial" w:cs="Arial"/>
                <w:color w:val="404040"/>
                <w:sz w:val="20"/>
                <w:szCs w:val="20"/>
              </w:rPr>
              <w:t>$110,000</w:t>
            </w:r>
          </w:p>
        </w:tc>
        <w:tc>
          <w:tcPr>
            <w:tcW w:w="1329" w:type="dxa"/>
          </w:tcPr>
          <w:p w14:paraId="0329D81B" w14:textId="77777777" w:rsidR="001F515C" w:rsidRPr="00CC740C" w:rsidRDefault="001F515C" w:rsidP="003F6431">
            <w:pPr>
              <w:spacing w:line="276" w:lineRule="auto"/>
              <w:jc w:val="right"/>
              <w:rPr>
                <w:rFonts w:ascii="Arial" w:hAnsi="Arial" w:cs="Arial"/>
                <w:sz w:val="20"/>
                <w:szCs w:val="20"/>
              </w:rPr>
            </w:pPr>
          </w:p>
        </w:tc>
      </w:tr>
      <w:tr w:rsidR="001F515C" w14:paraId="20720623" w14:textId="77777777" w:rsidTr="003F6431">
        <w:tc>
          <w:tcPr>
            <w:tcW w:w="6345" w:type="dxa"/>
          </w:tcPr>
          <w:p w14:paraId="75EDB0C7" w14:textId="314CE6FE" w:rsidR="001F515C" w:rsidRPr="00CC740C" w:rsidRDefault="001F515C" w:rsidP="003F6431">
            <w:pPr>
              <w:spacing w:line="276" w:lineRule="auto"/>
              <w:rPr>
                <w:rFonts w:ascii="Arial" w:hAnsi="Arial" w:cs="Arial"/>
                <w:sz w:val="20"/>
                <w:szCs w:val="20"/>
              </w:rPr>
            </w:pPr>
            <w:r w:rsidRPr="00CC740C">
              <w:rPr>
                <w:rFonts w:ascii="Arial" w:hAnsi="Arial" w:cs="Arial"/>
                <w:color w:val="404040"/>
                <w:sz w:val="20"/>
                <w:szCs w:val="20"/>
              </w:rPr>
              <w:t xml:space="preserve">Implementation of a strategy to issue a Penalty Infringement Notice rather than prosecution through the local court as a means of containing </w:t>
            </w:r>
            <w:r w:rsidR="00BE71ED">
              <w:rPr>
                <w:rFonts w:ascii="Arial" w:hAnsi="Arial" w:cs="Arial"/>
                <w:color w:val="404040"/>
                <w:sz w:val="20"/>
                <w:szCs w:val="20"/>
              </w:rPr>
              <w:t xml:space="preserve">legal </w:t>
            </w:r>
            <w:r w:rsidRPr="00CC740C">
              <w:rPr>
                <w:rFonts w:ascii="Arial" w:hAnsi="Arial" w:cs="Arial"/>
                <w:color w:val="404040"/>
                <w:sz w:val="20"/>
                <w:szCs w:val="20"/>
              </w:rPr>
              <w:t>costs.</w:t>
            </w:r>
          </w:p>
        </w:tc>
        <w:tc>
          <w:tcPr>
            <w:tcW w:w="1254" w:type="dxa"/>
          </w:tcPr>
          <w:p w14:paraId="3AA3A69F" w14:textId="77777777" w:rsidR="001F515C" w:rsidRPr="00CC740C" w:rsidRDefault="001F515C" w:rsidP="003F6431">
            <w:pPr>
              <w:spacing w:line="276" w:lineRule="auto"/>
              <w:jc w:val="right"/>
              <w:rPr>
                <w:rFonts w:ascii="Arial" w:hAnsi="Arial" w:cs="Arial"/>
                <w:sz w:val="20"/>
                <w:szCs w:val="20"/>
              </w:rPr>
            </w:pPr>
            <w:r w:rsidRPr="00CC740C">
              <w:rPr>
                <w:rFonts w:ascii="Arial" w:hAnsi="Arial" w:cs="Arial"/>
                <w:color w:val="404040"/>
                <w:sz w:val="20"/>
                <w:szCs w:val="20"/>
              </w:rPr>
              <w:t>$40,000</w:t>
            </w:r>
          </w:p>
        </w:tc>
        <w:tc>
          <w:tcPr>
            <w:tcW w:w="1329" w:type="dxa"/>
          </w:tcPr>
          <w:p w14:paraId="333C03FE" w14:textId="77777777" w:rsidR="001F515C" w:rsidRPr="00CC740C" w:rsidRDefault="001F515C" w:rsidP="003F6431">
            <w:pPr>
              <w:spacing w:line="276" w:lineRule="auto"/>
              <w:jc w:val="right"/>
              <w:rPr>
                <w:rFonts w:ascii="Arial" w:hAnsi="Arial" w:cs="Arial"/>
                <w:sz w:val="20"/>
                <w:szCs w:val="20"/>
              </w:rPr>
            </w:pPr>
          </w:p>
        </w:tc>
      </w:tr>
      <w:tr w:rsidR="001F515C" w14:paraId="2D25E6C1" w14:textId="77777777" w:rsidTr="003F6431">
        <w:tc>
          <w:tcPr>
            <w:tcW w:w="7599" w:type="dxa"/>
            <w:gridSpan w:val="2"/>
            <w:shd w:val="clear" w:color="auto" w:fill="DBE5F1" w:themeFill="accent1" w:themeFillTint="33"/>
          </w:tcPr>
          <w:p w14:paraId="51621E8B" w14:textId="77777777" w:rsidR="001F515C" w:rsidRPr="00CC740C" w:rsidRDefault="001F515C" w:rsidP="003F6431">
            <w:pPr>
              <w:spacing w:line="276" w:lineRule="auto"/>
              <w:rPr>
                <w:rFonts w:ascii="Arial" w:hAnsi="Arial" w:cs="Arial"/>
                <w:b/>
                <w:sz w:val="20"/>
                <w:szCs w:val="20"/>
              </w:rPr>
            </w:pPr>
            <w:r w:rsidRPr="00CC740C">
              <w:rPr>
                <w:rFonts w:ascii="Arial" w:hAnsi="Arial" w:cs="Arial"/>
                <w:b/>
                <w:sz w:val="20"/>
                <w:szCs w:val="20"/>
              </w:rPr>
              <w:t>Business / Process Improvements</w:t>
            </w:r>
          </w:p>
        </w:tc>
        <w:tc>
          <w:tcPr>
            <w:tcW w:w="1329" w:type="dxa"/>
            <w:shd w:val="clear" w:color="auto" w:fill="DBE5F1" w:themeFill="accent1" w:themeFillTint="33"/>
          </w:tcPr>
          <w:p w14:paraId="3C3A8C51" w14:textId="77777777" w:rsidR="001F515C" w:rsidRPr="00CC740C" w:rsidRDefault="001F515C" w:rsidP="003F6431">
            <w:pPr>
              <w:spacing w:line="276" w:lineRule="auto"/>
              <w:jc w:val="right"/>
              <w:rPr>
                <w:rFonts w:ascii="Arial" w:hAnsi="Arial" w:cs="Arial"/>
                <w:b/>
                <w:sz w:val="20"/>
                <w:szCs w:val="20"/>
              </w:rPr>
            </w:pPr>
            <w:r w:rsidRPr="00CC740C">
              <w:rPr>
                <w:rFonts w:ascii="Arial" w:hAnsi="Arial" w:cs="Arial"/>
                <w:b/>
                <w:color w:val="404040"/>
                <w:sz w:val="20"/>
                <w:szCs w:val="20"/>
              </w:rPr>
              <w:t>$</w:t>
            </w:r>
            <w:r w:rsidRPr="00CC740C">
              <w:rPr>
                <w:rFonts w:ascii="Arial" w:hAnsi="Arial" w:cs="Arial"/>
                <w:b/>
                <w:sz w:val="20"/>
                <w:szCs w:val="20"/>
              </w:rPr>
              <w:t xml:space="preserve"> </w:t>
            </w:r>
            <w:r w:rsidRPr="00CC740C">
              <w:rPr>
                <w:rFonts w:ascii="Arial" w:hAnsi="Arial" w:cs="Arial"/>
                <w:b/>
                <w:color w:val="404040"/>
                <w:sz w:val="20"/>
                <w:szCs w:val="20"/>
              </w:rPr>
              <w:t>1,236,534</w:t>
            </w:r>
          </w:p>
        </w:tc>
      </w:tr>
      <w:tr w:rsidR="001F515C" w14:paraId="0A3C79A3" w14:textId="77777777" w:rsidTr="003F6431">
        <w:tc>
          <w:tcPr>
            <w:tcW w:w="6345" w:type="dxa"/>
          </w:tcPr>
          <w:p w14:paraId="22124019" w14:textId="1D056A0B" w:rsidR="001F515C" w:rsidRPr="00CC740C" w:rsidRDefault="001F515C" w:rsidP="003F6431">
            <w:pPr>
              <w:spacing w:line="276" w:lineRule="auto"/>
              <w:rPr>
                <w:rFonts w:ascii="Arial" w:hAnsi="Arial" w:cs="Arial"/>
                <w:sz w:val="20"/>
                <w:szCs w:val="20"/>
              </w:rPr>
            </w:pPr>
            <w:r w:rsidRPr="00CC740C">
              <w:rPr>
                <w:rFonts w:ascii="Arial" w:hAnsi="Arial" w:cs="Arial"/>
                <w:color w:val="404040"/>
                <w:sz w:val="20"/>
                <w:szCs w:val="20"/>
              </w:rPr>
              <w:t>Efficiencies in the Westpool Insurance Model</w:t>
            </w:r>
            <w:r w:rsidR="00BE71ED">
              <w:rPr>
                <w:rFonts w:ascii="Arial" w:hAnsi="Arial" w:cs="Arial"/>
                <w:color w:val="404040"/>
                <w:sz w:val="20"/>
                <w:szCs w:val="20"/>
              </w:rPr>
              <w:t xml:space="preserve"> (collective of councils)</w:t>
            </w:r>
            <w:r w:rsidRPr="00CC740C">
              <w:rPr>
                <w:rFonts w:ascii="Arial" w:hAnsi="Arial" w:cs="Arial"/>
                <w:color w:val="404040"/>
                <w:sz w:val="20"/>
                <w:szCs w:val="20"/>
              </w:rPr>
              <w:t xml:space="preserve"> – distribution of the equity of Westpool</w:t>
            </w:r>
            <w:r w:rsidR="00BE71ED">
              <w:rPr>
                <w:rFonts w:ascii="Arial" w:hAnsi="Arial" w:cs="Arial"/>
                <w:color w:val="404040"/>
                <w:sz w:val="20"/>
                <w:szCs w:val="20"/>
              </w:rPr>
              <w:t xml:space="preserve"> members</w:t>
            </w:r>
            <w:r w:rsidRPr="00CC740C">
              <w:rPr>
                <w:rFonts w:ascii="Arial" w:hAnsi="Arial" w:cs="Arial"/>
                <w:color w:val="404040"/>
                <w:sz w:val="20"/>
                <w:szCs w:val="20"/>
              </w:rPr>
              <w:t>, due to growth</w:t>
            </w:r>
          </w:p>
        </w:tc>
        <w:tc>
          <w:tcPr>
            <w:tcW w:w="1254" w:type="dxa"/>
          </w:tcPr>
          <w:p w14:paraId="3131CB96" w14:textId="77777777" w:rsidR="001F515C" w:rsidRPr="00CC740C" w:rsidRDefault="001F515C" w:rsidP="003F6431">
            <w:pPr>
              <w:spacing w:line="276" w:lineRule="auto"/>
              <w:jc w:val="right"/>
              <w:rPr>
                <w:rFonts w:ascii="Arial" w:hAnsi="Arial" w:cs="Arial"/>
                <w:sz w:val="20"/>
                <w:szCs w:val="20"/>
              </w:rPr>
            </w:pPr>
            <w:r w:rsidRPr="00CC740C">
              <w:rPr>
                <w:rFonts w:ascii="Arial" w:hAnsi="Arial" w:cs="Arial"/>
                <w:color w:val="404040"/>
                <w:sz w:val="20"/>
                <w:szCs w:val="20"/>
              </w:rPr>
              <w:t>$325,454</w:t>
            </w:r>
          </w:p>
        </w:tc>
        <w:tc>
          <w:tcPr>
            <w:tcW w:w="1329" w:type="dxa"/>
          </w:tcPr>
          <w:p w14:paraId="5E5BFE6D" w14:textId="77777777" w:rsidR="001F515C" w:rsidRPr="00CC740C" w:rsidRDefault="001F515C" w:rsidP="003F6431">
            <w:pPr>
              <w:spacing w:line="276" w:lineRule="auto"/>
              <w:jc w:val="right"/>
              <w:rPr>
                <w:rFonts w:ascii="Arial" w:hAnsi="Arial" w:cs="Arial"/>
                <w:sz w:val="20"/>
                <w:szCs w:val="20"/>
              </w:rPr>
            </w:pPr>
          </w:p>
        </w:tc>
      </w:tr>
      <w:tr w:rsidR="001F515C" w14:paraId="281F5BCD" w14:textId="77777777" w:rsidTr="003F6431">
        <w:tc>
          <w:tcPr>
            <w:tcW w:w="6345" w:type="dxa"/>
          </w:tcPr>
          <w:p w14:paraId="4D13141E" w14:textId="77777777" w:rsidR="001F515C" w:rsidRPr="00CC740C" w:rsidRDefault="001F515C" w:rsidP="003F6431">
            <w:pPr>
              <w:spacing w:line="276" w:lineRule="auto"/>
              <w:rPr>
                <w:rFonts w:ascii="Arial" w:hAnsi="Arial" w:cs="Arial"/>
                <w:sz w:val="20"/>
                <w:szCs w:val="20"/>
              </w:rPr>
            </w:pPr>
            <w:r w:rsidRPr="00CC740C">
              <w:rPr>
                <w:rFonts w:ascii="Arial" w:hAnsi="Arial" w:cs="Arial"/>
                <w:color w:val="404040"/>
                <w:sz w:val="20"/>
                <w:szCs w:val="20"/>
              </w:rPr>
              <w:t xml:space="preserve">Katoomba Sports and Aquatic Centre - reduction of child-minding service to one session each weekday. This allowed a reduction of 1 Customer Service Officer and reduction of 1 x 24hr a week fitness supervisor. </w:t>
            </w:r>
          </w:p>
        </w:tc>
        <w:tc>
          <w:tcPr>
            <w:tcW w:w="1254" w:type="dxa"/>
          </w:tcPr>
          <w:p w14:paraId="6FF79BB0" w14:textId="77777777" w:rsidR="001F515C" w:rsidRPr="00CC740C" w:rsidRDefault="001F515C" w:rsidP="003F6431">
            <w:pPr>
              <w:spacing w:line="276" w:lineRule="auto"/>
              <w:jc w:val="right"/>
              <w:rPr>
                <w:rFonts w:ascii="Arial" w:hAnsi="Arial" w:cs="Arial"/>
                <w:sz w:val="20"/>
                <w:szCs w:val="20"/>
              </w:rPr>
            </w:pPr>
            <w:r w:rsidRPr="00CC740C">
              <w:rPr>
                <w:rFonts w:ascii="Arial" w:hAnsi="Arial" w:cs="Arial"/>
                <w:color w:val="404040"/>
                <w:sz w:val="20"/>
                <w:szCs w:val="20"/>
              </w:rPr>
              <w:t>$267,600</w:t>
            </w:r>
          </w:p>
        </w:tc>
        <w:tc>
          <w:tcPr>
            <w:tcW w:w="1329" w:type="dxa"/>
          </w:tcPr>
          <w:p w14:paraId="091C9225" w14:textId="77777777" w:rsidR="001F515C" w:rsidRPr="00CC740C" w:rsidRDefault="001F515C" w:rsidP="003F6431">
            <w:pPr>
              <w:spacing w:line="276" w:lineRule="auto"/>
              <w:jc w:val="right"/>
              <w:rPr>
                <w:rFonts w:ascii="Arial" w:hAnsi="Arial" w:cs="Arial"/>
                <w:sz w:val="20"/>
                <w:szCs w:val="20"/>
              </w:rPr>
            </w:pPr>
          </w:p>
        </w:tc>
      </w:tr>
      <w:tr w:rsidR="001F515C" w14:paraId="1969648B" w14:textId="77777777" w:rsidTr="003F6431">
        <w:tc>
          <w:tcPr>
            <w:tcW w:w="6345" w:type="dxa"/>
          </w:tcPr>
          <w:p w14:paraId="56119074" w14:textId="77777777" w:rsidR="001F515C" w:rsidRPr="00CC740C" w:rsidRDefault="001F515C" w:rsidP="003F6431">
            <w:pPr>
              <w:spacing w:line="276" w:lineRule="auto"/>
              <w:rPr>
                <w:rFonts w:ascii="Arial" w:hAnsi="Arial" w:cs="Arial"/>
                <w:sz w:val="20"/>
                <w:szCs w:val="20"/>
              </w:rPr>
            </w:pPr>
            <w:r w:rsidRPr="00CC740C">
              <w:rPr>
                <w:rFonts w:ascii="Arial" w:hAnsi="Arial" w:cs="Arial"/>
                <w:color w:val="404040"/>
                <w:sz w:val="20"/>
                <w:szCs w:val="20"/>
              </w:rPr>
              <w:t>Change from external to in-house delivery of Aquatic Monitoring Programs</w:t>
            </w:r>
          </w:p>
        </w:tc>
        <w:tc>
          <w:tcPr>
            <w:tcW w:w="1254" w:type="dxa"/>
          </w:tcPr>
          <w:p w14:paraId="7ADF88D4" w14:textId="77777777" w:rsidR="001F515C" w:rsidRPr="00CC740C" w:rsidRDefault="001F515C" w:rsidP="003F6431">
            <w:pPr>
              <w:spacing w:line="276" w:lineRule="auto"/>
              <w:jc w:val="right"/>
              <w:rPr>
                <w:rFonts w:ascii="Arial" w:hAnsi="Arial" w:cs="Arial"/>
                <w:sz w:val="20"/>
                <w:szCs w:val="20"/>
              </w:rPr>
            </w:pPr>
            <w:r w:rsidRPr="00CC740C">
              <w:rPr>
                <w:rFonts w:ascii="Arial" w:hAnsi="Arial" w:cs="Arial"/>
                <w:color w:val="404040"/>
                <w:sz w:val="20"/>
                <w:szCs w:val="20"/>
              </w:rPr>
              <w:t>$214,680</w:t>
            </w:r>
          </w:p>
        </w:tc>
        <w:tc>
          <w:tcPr>
            <w:tcW w:w="1329" w:type="dxa"/>
          </w:tcPr>
          <w:p w14:paraId="6C913349" w14:textId="77777777" w:rsidR="001F515C" w:rsidRPr="00CC740C" w:rsidRDefault="001F515C" w:rsidP="003F6431">
            <w:pPr>
              <w:spacing w:line="276" w:lineRule="auto"/>
              <w:jc w:val="right"/>
              <w:rPr>
                <w:rFonts w:ascii="Arial" w:hAnsi="Arial" w:cs="Arial"/>
                <w:sz w:val="20"/>
                <w:szCs w:val="20"/>
              </w:rPr>
            </w:pPr>
          </w:p>
        </w:tc>
      </w:tr>
      <w:tr w:rsidR="001F515C" w14:paraId="5CAF6D79" w14:textId="77777777" w:rsidTr="003F6431">
        <w:tc>
          <w:tcPr>
            <w:tcW w:w="6345" w:type="dxa"/>
          </w:tcPr>
          <w:p w14:paraId="7B42E70F" w14:textId="77777777" w:rsidR="001F515C" w:rsidRPr="00CC740C" w:rsidRDefault="001F515C" w:rsidP="003F6431">
            <w:pPr>
              <w:spacing w:line="276" w:lineRule="auto"/>
              <w:rPr>
                <w:rFonts w:ascii="Arial" w:hAnsi="Arial" w:cs="Arial"/>
                <w:sz w:val="20"/>
                <w:szCs w:val="20"/>
              </w:rPr>
            </w:pPr>
            <w:r w:rsidRPr="00CC740C">
              <w:rPr>
                <w:rFonts w:ascii="Arial" w:hAnsi="Arial" w:cs="Arial"/>
                <w:color w:val="404040"/>
                <w:sz w:val="20"/>
                <w:szCs w:val="20"/>
              </w:rPr>
              <w:t>The project to control of the aquatic weed Cabomba in Glenbrook Lagoon was completed under budget due to treatment efficacy exceeding expectations. Total savings $155,000. Of the $200,000 from the Environment Levy allocated to Cabomba control over the two years 2012/13 to 2013/14, only $45,000 was spent (plus grant funds of $280,000) to achieve likely eradication of Cabomba and Salvinia.</w:t>
            </w:r>
          </w:p>
        </w:tc>
        <w:tc>
          <w:tcPr>
            <w:tcW w:w="1254" w:type="dxa"/>
          </w:tcPr>
          <w:p w14:paraId="50A71DFD" w14:textId="77777777" w:rsidR="001F515C" w:rsidRPr="00CC740C" w:rsidRDefault="001F515C" w:rsidP="003F6431">
            <w:pPr>
              <w:spacing w:line="276" w:lineRule="auto"/>
              <w:jc w:val="right"/>
              <w:rPr>
                <w:rFonts w:ascii="Arial" w:hAnsi="Arial" w:cs="Arial"/>
                <w:sz w:val="20"/>
                <w:szCs w:val="20"/>
              </w:rPr>
            </w:pPr>
            <w:r w:rsidRPr="00CC740C">
              <w:rPr>
                <w:rFonts w:ascii="Arial" w:hAnsi="Arial" w:cs="Arial"/>
                <w:color w:val="404040"/>
                <w:sz w:val="20"/>
                <w:szCs w:val="20"/>
              </w:rPr>
              <w:t>$155,000</w:t>
            </w:r>
          </w:p>
        </w:tc>
        <w:tc>
          <w:tcPr>
            <w:tcW w:w="1329" w:type="dxa"/>
          </w:tcPr>
          <w:p w14:paraId="36365032" w14:textId="77777777" w:rsidR="001F515C" w:rsidRPr="00CC740C" w:rsidRDefault="001F515C" w:rsidP="003F6431">
            <w:pPr>
              <w:spacing w:line="276" w:lineRule="auto"/>
              <w:jc w:val="right"/>
              <w:rPr>
                <w:rFonts w:ascii="Arial" w:hAnsi="Arial" w:cs="Arial"/>
                <w:sz w:val="20"/>
                <w:szCs w:val="20"/>
              </w:rPr>
            </w:pPr>
          </w:p>
        </w:tc>
      </w:tr>
      <w:tr w:rsidR="001F515C" w14:paraId="5ADE0873" w14:textId="77777777" w:rsidTr="003F6431">
        <w:tc>
          <w:tcPr>
            <w:tcW w:w="6345" w:type="dxa"/>
          </w:tcPr>
          <w:p w14:paraId="51079698" w14:textId="73C1DE51" w:rsidR="001F515C" w:rsidRPr="00CC740C" w:rsidRDefault="001F515C" w:rsidP="003F6431">
            <w:pPr>
              <w:spacing w:line="276" w:lineRule="auto"/>
              <w:rPr>
                <w:rFonts w:ascii="Arial" w:hAnsi="Arial" w:cs="Arial"/>
                <w:sz w:val="20"/>
                <w:szCs w:val="20"/>
              </w:rPr>
            </w:pPr>
            <w:r w:rsidRPr="00CC740C">
              <w:rPr>
                <w:rFonts w:ascii="Arial" w:hAnsi="Arial" w:cs="Arial"/>
                <w:color w:val="404040"/>
                <w:sz w:val="20"/>
                <w:szCs w:val="20"/>
              </w:rPr>
              <w:t xml:space="preserve">Locker contract expiry, investigations and compromise to service levels resulted in a $30,000 </w:t>
            </w:r>
            <w:r w:rsidR="00BE71ED">
              <w:rPr>
                <w:rFonts w:ascii="Arial" w:hAnsi="Arial" w:cs="Arial"/>
                <w:color w:val="404040"/>
                <w:sz w:val="20"/>
                <w:szCs w:val="20"/>
              </w:rPr>
              <w:t xml:space="preserve">per annum </w:t>
            </w:r>
            <w:r w:rsidRPr="00CC740C">
              <w:rPr>
                <w:rFonts w:ascii="Arial" w:hAnsi="Arial" w:cs="Arial"/>
                <w:color w:val="404040"/>
                <w:sz w:val="20"/>
                <w:szCs w:val="20"/>
              </w:rPr>
              <w:t>recurrent saving.</w:t>
            </w:r>
          </w:p>
        </w:tc>
        <w:tc>
          <w:tcPr>
            <w:tcW w:w="1254" w:type="dxa"/>
          </w:tcPr>
          <w:p w14:paraId="2B2924AE" w14:textId="77777777" w:rsidR="001F515C" w:rsidRPr="00CC740C" w:rsidRDefault="001F515C" w:rsidP="003F6431">
            <w:pPr>
              <w:spacing w:line="276" w:lineRule="auto"/>
              <w:jc w:val="right"/>
              <w:rPr>
                <w:rFonts w:ascii="Arial" w:hAnsi="Arial" w:cs="Arial"/>
                <w:sz w:val="20"/>
                <w:szCs w:val="20"/>
              </w:rPr>
            </w:pPr>
            <w:r w:rsidRPr="00CC740C">
              <w:rPr>
                <w:rFonts w:ascii="Arial" w:hAnsi="Arial" w:cs="Arial"/>
                <w:color w:val="404040"/>
                <w:sz w:val="20"/>
                <w:szCs w:val="20"/>
              </w:rPr>
              <w:t>$120,000</w:t>
            </w:r>
          </w:p>
        </w:tc>
        <w:tc>
          <w:tcPr>
            <w:tcW w:w="1329" w:type="dxa"/>
          </w:tcPr>
          <w:p w14:paraId="6470EA6B" w14:textId="77777777" w:rsidR="001F515C" w:rsidRPr="00CC740C" w:rsidRDefault="001F515C" w:rsidP="003F6431">
            <w:pPr>
              <w:spacing w:line="276" w:lineRule="auto"/>
              <w:jc w:val="right"/>
              <w:rPr>
                <w:rFonts w:ascii="Arial" w:hAnsi="Arial" w:cs="Arial"/>
                <w:sz w:val="20"/>
                <w:szCs w:val="20"/>
              </w:rPr>
            </w:pPr>
          </w:p>
        </w:tc>
      </w:tr>
      <w:tr w:rsidR="001F515C" w14:paraId="71F28C4B" w14:textId="77777777" w:rsidTr="003F6431">
        <w:tc>
          <w:tcPr>
            <w:tcW w:w="6345" w:type="dxa"/>
          </w:tcPr>
          <w:p w14:paraId="12F70E1B" w14:textId="6F7ABDB6" w:rsidR="001F515C" w:rsidRPr="00CC740C" w:rsidRDefault="001F515C" w:rsidP="003F6431">
            <w:pPr>
              <w:spacing w:line="276" w:lineRule="auto"/>
              <w:rPr>
                <w:rFonts w:ascii="Arial" w:hAnsi="Arial" w:cs="Arial"/>
                <w:sz w:val="20"/>
                <w:szCs w:val="20"/>
              </w:rPr>
            </w:pPr>
            <w:r w:rsidRPr="00CC740C">
              <w:rPr>
                <w:rFonts w:ascii="Arial" w:hAnsi="Arial" w:cs="Arial"/>
                <w:color w:val="404040"/>
                <w:sz w:val="20"/>
                <w:szCs w:val="20"/>
              </w:rPr>
              <w:t xml:space="preserve">Changes to customer service desk rosters at Springwood Aquatic and Fitness Centre resulting in $10,000 </w:t>
            </w:r>
            <w:r w:rsidR="00BE71ED">
              <w:rPr>
                <w:rFonts w:ascii="Arial" w:hAnsi="Arial" w:cs="Arial"/>
                <w:color w:val="404040"/>
                <w:sz w:val="20"/>
                <w:szCs w:val="20"/>
              </w:rPr>
              <w:t xml:space="preserve">per annum </w:t>
            </w:r>
            <w:r w:rsidRPr="00CC740C">
              <w:rPr>
                <w:rFonts w:ascii="Arial" w:hAnsi="Arial" w:cs="Arial"/>
                <w:color w:val="404040"/>
                <w:sz w:val="20"/>
                <w:szCs w:val="20"/>
              </w:rPr>
              <w:t>saving.</w:t>
            </w:r>
          </w:p>
        </w:tc>
        <w:tc>
          <w:tcPr>
            <w:tcW w:w="1254" w:type="dxa"/>
          </w:tcPr>
          <w:p w14:paraId="2AE4CB9F" w14:textId="77777777" w:rsidR="001F515C" w:rsidRPr="00CC740C" w:rsidRDefault="001F515C" w:rsidP="003F6431">
            <w:pPr>
              <w:spacing w:line="276" w:lineRule="auto"/>
              <w:jc w:val="right"/>
              <w:rPr>
                <w:rFonts w:ascii="Arial" w:hAnsi="Arial" w:cs="Arial"/>
                <w:sz w:val="20"/>
                <w:szCs w:val="20"/>
              </w:rPr>
            </w:pPr>
            <w:r w:rsidRPr="00CC740C">
              <w:rPr>
                <w:rFonts w:ascii="Arial" w:hAnsi="Arial" w:cs="Arial"/>
                <w:color w:val="404040"/>
                <w:sz w:val="20"/>
                <w:szCs w:val="20"/>
              </w:rPr>
              <w:t>$40,000</w:t>
            </w:r>
          </w:p>
        </w:tc>
        <w:tc>
          <w:tcPr>
            <w:tcW w:w="1329" w:type="dxa"/>
          </w:tcPr>
          <w:p w14:paraId="266453E0" w14:textId="77777777" w:rsidR="001F515C" w:rsidRPr="00CC740C" w:rsidRDefault="001F515C" w:rsidP="003F6431">
            <w:pPr>
              <w:spacing w:line="276" w:lineRule="auto"/>
              <w:jc w:val="right"/>
              <w:rPr>
                <w:rFonts w:ascii="Arial" w:hAnsi="Arial" w:cs="Arial"/>
                <w:sz w:val="20"/>
                <w:szCs w:val="20"/>
              </w:rPr>
            </w:pPr>
          </w:p>
        </w:tc>
      </w:tr>
      <w:tr w:rsidR="001F515C" w14:paraId="2D35CDD8" w14:textId="77777777" w:rsidTr="003F6431">
        <w:tc>
          <w:tcPr>
            <w:tcW w:w="6345" w:type="dxa"/>
          </w:tcPr>
          <w:p w14:paraId="00FD03E0" w14:textId="52CCEBB9" w:rsidR="001F515C" w:rsidRPr="00CC740C" w:rsidRDefault="001F515C" w:rsidP="003F6431">
            <w:pPr>
              <w:spacing w:line="276" w:lineRule="auto"/>
              <w:rPr>
                <w:rFonts w:ascii="Arial" w:hAnsi="Arial" w:cs="Arial"/>
                <w:sz w:val="20"/>
                <w:szCs w:val="20"/>
              </w:rPr>
            </w:pPr>
            <w:r w:rsidRPr="00CC740C">
              <w:rPr>
                <w:rFonts w:ascii="Arial" w:hAnsi="Arial" w:cs="Arial"/>
                <w:color w:val="404040"/>
                <w:sz w:val="20"/>
                <w:szCs w:val="20"/>
              </w:rPr>
              <w:t>Re-programming of group fitness sessions at Katoomba Sports and Aquatic Centre to save $12,000</w:t>
            </w:r>
            <w:r w:rsidR="00BE71ED">
              <w:rPr>
                <w:rFonts w:ascii="Arial" w:hAnsi="Arial" w:cs="Arial"/>
                <w:color w:val="404040"/>
                <w:sz w:val="20"/>
                <w:szCs w:val="20"/>
              </w:rPr>
              <w:t xml:space="preserve"> per annum recurrent saving</w:t>
            </w:r>
          </w:p>
        </w:tc>
        <w:tc>
          <w:tcPr>
            <w:tcW w:w="1254" w:type="dxa"/>
          </w:tcPr>
          <w:p w14:paraId="058A47C6" w14:textId="77777777" w:rsidR="001F515C" w:rsidRPr="00CC740C" w:rsidRDefault="001F515C" w:rsidP="003F6431">
            <w:pPr>
              <w:spacing w:line="276" w:lineRule="auto"/>
              <w:jc w:val="right"/>
              <w:rPr>
                <w:rFonts w:ascii="Arial" w:hAnsi="Arial" w:cs="Arial"/>
                <w:sz w:val="20"/>
                <w:szCs w:val="20"/>
              </w:rPr>
            </w:pPr>
            <w:r w:rsidRPr="00CC740C">
              <w:rPr>
                <w:rFonts w:ascii="Arial" w:hAnsi="Arial" w:cs="Arial"/>
                <w:color w:val="404040"/>
                <w:sz w:val="20"/>
                <w:szCs w:val="20"/>
              </w:rPr>
              <w:t>$36,000</w:t>
            </w:r>
          </w:p>
        </w:tc>
        <w:tc>
          <w:tcPr>
            <w:tcW w:w="1329" w:type="dxa"/>
          </w:tcPr>
          <w:p w14:paraId="24F02E88" w14:textId="77777777" w:rsidR="001F515C" w:rsidRPr="00CC740C" w:rsidRDefault="001F515C" w:rsidP="003F6431">
            <w:pPr>
              <w:spacing w:line="276" w:lineRule="auto"/>
              <w:jc w:val="right"/>
              <w:rPr>
                <w:rFonts w:ascii="Arial" w:hAnsi="Arial" w:cs="Arial"/>
                <w:sz w:val="20"/>
                <w:szCs w:val="20"/>
              </w:rPr>
            </w:pPr>
          </w:p>
        </w:tc>
      </w:tr>
      <w:tr w:rsidR="001F515C" w14:paraId="30F11A52" w14:textId="77777777" w:rsidTr="003F6431">
        <w:tc>
          <w:tcPr>
            <w:tcW w:w="6345" w:type="dxa"/>
          </w:tcPr>
          <w:p w14:paraId="04269CAB" w14:textId="77777777" w:rsidR="001F515C" w:rsidRPr="00CC740C" w:rsidRDefault="001F515C" w:rsidP="003F6431">
            <w:pPr>
              <w:spacing w:line="276" w:lineRule="auto"/>
              <w:rPr>
                <w:rFonts w:ascii="Arial" w:hAnsi="Arial" w:cs="Arial"/>
                <w:sz w:val="20"/>
                <w:szCs w:val="20"/>
              </w:rPr>
            </w:pPr>
            <w:r w:rsidRPr="00CC740C">
              <w:rPr>
                <w:rFonts w:ascii="Arial" w:hAnsi="Arial" w:cs="Arial"/>
                <w:color w:val="404040"/>
                <w:sz w:val="20"/>
                <w:szCs w:val="20"/>
              </w:rPr>
              <w:t>Reduction in child-minding to match reduced customer demand $8000 recurrent saving.</w:t>
            </w:r>
          </w:p>
        </w:tc>
        <w:tc>
          <w:tcPr>
            <w:tcW w:w="1254" w:type="dxa"/>
          </w:tcPr>
          <w:p w14:paraId="58550900" w14:textId="77777777" w:rsidR="001F515C" w:rsidRPr="00CC740C" w:rsidRDefault="001F515C" w:rsidP="003F6431">
            <w:pPr>
              <w:spacing w:line="276" w:lineRule="auto"/>
              <w:jc w:val="right"/>
              <w:rPr>
                <w:rFonts w:ascii="Arial" w:hAnsi="Arial" w:cs="Arial"/>
                <w:sz w:val="20"/>
                <w:szCs w:val="20"/>
              </w:rPr>
            </w:pPr>
            <w:r w:rsidRPr="00CC740C">
              <w:rPr>
                <w:rFonts w:ascii="Arial" w:hAnsi="Arial" w:cs="Arial"/>
                <w:color w:val="404040"/>
                <w:sz w:val="20"/>
                <w:szCs w:val="20"/>
              </w:rPr>
              <w:t>$32,000</w:t>
            </w:r>
          </w:p>
        </w:tc>
        <w:tc>
          <w:tcPr>
            <w:tcW w:w="1329" w:type="dxa"/>
          </w:tcPr>
          <w:p w14:paraId="51472206" w14:textId="77777777" w:rsidR="001F515C" w:rsidRPr="00CC740C" w:rsidRDefault="001F515C" w:rsidP="003F6431">
            <w:pPr>
              <w:spacing w:line="276" w:lineRule="auto"/>
              <w:jc w:val="right"/>
              <w:rPr>
                <w:rFonts w:ascii="Arial" w:hAnsi="Arial" w:cs="Arial"/>
                <w:sz w:val="20"/>
                <w:szCs w:val="20"/>
              </w:rPr>
            </w:pPr>
          </w:p>
        </w:tc>
      </w:tr>
      <w:tr w:rsidR="001F515C" w14:paraId="6C45ED41" w14:textId="77777777" w:rsidTr="003F6431">
        <w:tc>
          <w:tcPr>
            <w:tcW w:w="6345" w:type="dxa"/>
          </w:tcPr>
          <w:p w14:paraId="2C8B82F9"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GST savings achieved by thorough checking of records</w:t>
            </w:r>
          </w:p>
        </w:tc>
        <w:tc>
          <w:tcPr>
            <w:tcW w:w="1254" w:type="dxa"/>
          </w:tcPr>
          <w:p w14:paraId="7F2C535C"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$20,400</w:t>
            </w:r>
          </w:p>
        </w:tc>
        <w:tc>
          <w:tcPr>
            <w:tcW w:w="1329" w:type="dxa"/>
          </w:tcPr>
          <w:p w14:paraId="6286E682" w14:textId="77777777" w:rsidR="001F515C" w:rsidRPr="00CC740C" w:rsidRDefault="001F515C" w:rsidP="003F6431">
            <w:pPr>
              <w:spacing w:line="276" w:lineRule="auto"/>
              <w:jc w:val="right"/>
              <w:rPr>
                <w:rFonts w:ascii="Arial" w:hAnsi="Arial" w:cs="Arial"/>
                <w:sz w:val="20"/>
                <w:szCs w:val="20"/>
              </w:rPr>
            </w:pPr>
          </w:p>
        </w:tc>
      </w:tr>
      <w:tr w:rsidR="001F515C" w14:paraId="2BD0F0C3" w14:textId="77777777" w:rsidTr="003F6431">
        <w:tc>
          <w:tcPr>
            <w:tcW w:w="6345" w:type="dxa"/>
          </w:tcPr>
          <w:p w14:paraId="51ABC342"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Development of Standard Contracts to avoid repeat legal costs</w:t>
            </w:r>
          </w:p>
        </w:tc>
        <w:tc>
          <w:tcPr>
            <w:tcW w:w="1254" w:type="dxa"/>
          </w:tcPr>
          <w:p w14:paraId="456EA35A"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$20,000</w:t>
            </w:r>
          </w:p>
        </w:tc>
        <w:tc>
          <w:tcPr>
            <w:tcW w:w="1329" w:type="dxa"/>
          </w:tcPr>
          <w:p w14:paraId="407D8E82" w14:textId="77777777" w:rsidR="001F515C" w:rsidRPr="00CC740C" w:rsidRDefault="001F515C" w:rsidP="003F6431">
            <w:pPr>
              <w:spacing w:line="276" w:lineRule="auto"/>
              <w:jc w:val="right"/>
              <w:rPr>
                <w:rFonts w:ascii="Arial" w:hAnsi="Arial" w:cs="Arial"/>
                <w:sz w:val="20"/>
                <w:szCs w:val="20"/>
              </w:rPr>
            </w:pPr>
          </w:p>
        </w:tc>
      </w:tr>
      <w:tr w:rsidR="001F515C" w14:paraId="6ED7FE9E" w14:textId="77777777" w:rsidTr="003F6431">
        <w:tc>
          <w:tcPr>
            <w:tcW w:w="6345" w:type="dxa"/>
          </w:tcPr>
          <w:p w14:paraId="09B13306" w14:textId="20690361" w:rsidR="001F515C" w:rsidRPr="00CC740C" w:rsidRDefault="001F515C" w:rsidP="00BE71ED">
            <w:pPr>
              <w:spacing w:line="276" w:lineRule="auto"/>
              <w:rPr>
                <w:rFonts w:ascii="Arial" w:hAnsi="Arial" w:cs="Arial"/>
                <w:color w:val="404040"/>
                <w:sz w:val="20"/>
                <w:szCs w:val="20"/>
              </w:rPr>
            </w:pPr>
            <w:r w:rsidRPr="00CC740C">
              <w:rPr>
                <w:rFonts w:ascii="Arial" w:hAnsi="Arial" w:cs="Arial"/>
                <w:color w:val="404040"/>
                <w:sz w:val="20"/>
                <w:szCs w:val="20"/>
              </w:rPr>
              <w:t>Replacement of Echo Point ticket parking machines result</w:t>
            </w:r>
            <w:r w:rsidR="00BE71ED">
              <w:rPr>
                <w:rFonts w:ascii="Arial" w:hAnsi="Arial" w:cs="Arial"/>
                <w:color w:val="404040"/>
                <w:sz w:val="20"/>
                <w:szCs w:val="20"/>
              </w:rPr>
              <w:t>ing</w:t>
            </w:r>
            <w:r w:rsidRPr="00CC740C">
              <w:rPr>
                <w:rFonts w:ascii="Arial" w:hAnsi="Arial" w:cs="Arial"/>
                <w:color w:val="404040"/>
                <w:sz w:val="20"/>
                <w:szCs w:val="20"/>
              </w:rPr>
              <w:t xml:space="preserve"> in a reduced maintenance burden for the Rangers Team.</w:t>
            </w:r>
          </w:p>
        </w:tc>
        <w:tc>
          <w:tcPr>
            <w:tcW w:w="1254" w:type="dxa"/>
          </w:tcPr>
          <w:p w14:paraId="6DFF19E9"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$5,400</w:t>
            </w:r>
          </w:p>
        </w:tc>
        <w:tc>
          <w:tcPr>
            <w:tcW w:w="1329" w:type="dxa"/>
          </w:tcPr>
          <w:p w14:paraId="6E91EA57" w14:textId="77777777" w:rsidR="001F515C" w:rsidRPr="00CC740C" w:rsidRDefault="001F515C" w:rsidP="003F6431">
            <w:pPr>
              <w:spacing w:line="276" w:lineRule="auto"/>
              <w:jc w:val="right"/>
              <w:rPr>
                <w:rFonts w:ascii="Arial" w:hAnsi="Arial" w:cs="Arial"/>
                <w:sz w:val="20"/>
                <w:szCs w:val="20"/>
              </w:rPr>
            </w:pPr>
          </w:p>
        </w:tc>
      </w:tr>
      <w:tr w:rsidR="001F515C" w14:paraId="630E54CA" w14:textId="77777777" w:rsidTr="003F6431">
        <w:tc>
          <w:tcPr>
            <w:tcW w:w="7599" w:type="dxa"/>
            <w:gridSpan w:val="2"/>
            <w:shd w:val="clear" w:color="auto" w:fill="DBE5F1" w:themeFill="accent1" w:themeFillTint="33"/>
          </w:tcPr>
          <w:p w14:paraId="6F4FECB4" w14:textId="77777777" w:rsidR="001F515C" w:rsidRPr="00CC740C" w:rsidRDefault="001F515C" w:rsidP="003F6431">
            <w:pPr>
              <w:spacing w:line="276" w:lineRule="auto"/>
              <w:rPr>
                <w:rFonts w:ascii="Arial" w:hAnsi="Arial" w:cs="Arial"/>
                <w:b/>
                <w:color w:val="404040"/>
                <w:sz w:val="20"/>
                <w:szCs w:val="20"/>
              </w:rPr>
            </w:pPr>
            <w:r w:rsidRPr="00CC740C">
              <w:rPr>
                <w:rFonts w:ascii="Arial" w:hAnsi="Arial" w:cs="Arial"/>
                <w:b/>
                <w:sz w:val="20"/>
                <w:szCs w:val="20"/>
              </w:rPr>
              <w:t>Consultancy Costs</w:t>
            </w:r>
          </w:p>
        </w:tc>
        <w:tc>
          <w:tcPr>
            <w:tcW w:w="1329" w:type="dxa"/>
            <w:shd w:val="clear" w:color="auto" w:fill="DBE5F1" w:themeFill="accent1" w:themeFillTint="33"/>
          </w:tcPr>
          <w:p w14:paraId="6838B897" w14:textId="77777777" w:rsidR="001F515C" w:rsidRPr="00CC740C" w:rsidRDefault="001F515C" w:rsidP="003F6431">
            <w:pPr>
              <w:spacing w:line="276" w:lineRule="auto"/>
              <w:jc w:val="right"/>
              <w:rPr>
                <w:rFonts w:ascii="Arial" w:hAnsi="Arial" w:cs="Arial"/>
                <w:b/>
                <w:sz w:val="20"/>
                <w:szCs w:val="20"/>
              </w:rPr>
            </w:pPr>
            <w:r w:rsidRPr="00CC740C">
              <w:rPr>
                <w:rFonts w:ascii="Arial" w:hAnsi="Arial" w:cs="Arial"/>
                <w:b/>
                <w:color w:val="404040"/>
                <w:sz w:val="20"/>
                <w:szCs w:val="20"/>
              </w:rPr>
              <w:t>$420,000</w:t>
            </w:r>
          </w:p>
        </w:tc>
      </w:tr>
      <w:tr w:rsidR="001F515C" w14:paraId="5B22FE59" w14:textId="77777777" w:rsidTr="003F6431">
        <w:tc>
          <w:tcPr>
            <w:tcW w:w="6345" w:type="dxa"/>
          </w:tcPr>
          <w:p w14:paraId="37D7C4B7"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Reduced reliance on Recruitment Consultants. To date the in-house recruitment of 10 Manager/Senior Manager positions has led to a 15% saving</w:t>
            </w:r>
          </w:p>
        </w:tc>
        <w:tc>
          <w:tcPr>
            <w:tcW w:w="1254" w:type="dxa"/>
          </w:tcPr>
          <w:p w14:paraId="6BA27991"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$220,000</w:t>
            </w:r>
          </w:p>
        </w:tc>
        <w:tc>
          <w:tcPr>
            <w:tcW w:w="1329" w:type="dxa"/>
          </w:tcPr>
          <w:p w14:paraId="531EAEC1" w14:textId="77777777" w:rsidR="001F515C" w:rsidRPr="00CC740C" w:rsidRDefault="001F515C" w:rsidP="003F6431">
            <w:pPr>
              <w:spacing w:line="276" w:lineRule="auto"/>
              <w:jc w:val="right"/>
              <w:rPr>
                <w:rFonts w:ascii="Arial" w:hAnsi="Arial" w:cs="Arial"/>
                <w:sz w:val="20"/>
                <w:szCs w:val="20"/>
              </w:rPr>
            </w:pPr>
          </w:p>
        </w:tc>
      </w:tr>
      <w:tr w:rsidR="001F515C" w14:paraId="47DE18B5" w14:textId="77777777" w:rsidTr="003F6431">
        <w:tc>
          <w:tcPr>
            <w:tcW w:w="6345" w:type="dxa"/>
          </w:tcPr>
          <w:p w14:paraId="5044E235" w14:textId="77777777" w:rsidR="001F515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Reduced consultancy costs from using internal resources for Local Environment Plan development.</w:t>
            </w:r>
          </w:p>
          <w:p w14:paraId="68848D2C" w14:textId="77777777" w:rsidR="002C41FE" w:rsidRPr="00CC740C" w:rsidRDefault="002C41FE" w:rsidP="003F6431">
            <w:pPr>
              <w:spacing w:line="276" w:lineRule="auto"/>
              <w:rPr>
                <w:rFonts w:ascii="Arial" w:hAnsi="Arial" w:cs="Arial"/>
                <w:color w:val="404040"/>
                <w:sz w:val="20"/>
                <w:szCs w:val="20"/>
              </w:rPr>
            </w:pPr>
          </w:p>
        </w:tc>
        <w:tc>
          <w:tcPr>
            <w:tcW w:w="1254" w:type="dxa"/>
          </w:tcPr>
          <w:p w14:paraId="4028BFF4"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$200,000</w:t>
            </w:r>
          </w:p>
        </w:tc>
        <w:tc>
          <w:tcPr>
            <w:tcW w:w="1329" w:type="dxa"/>
          </w:tcPr>
          <w:p w14:paraId="7658CDDA" w14:textId="77777777" w:rsidR="001F515C" w:rsidRPr="00CC740C" w:rsidRDefault="001F515C" w:rsidP="003F6431">
            <w:pPr>
              <w:spacing w:line="276" w:lineRule="auto"/>
              <w:jc w:val="right"/>
              <w:rPr>
                <w:rFonts w:ascii="Arial" w:hAnsi="Arial" w:cs="Arial"/>
                <w:sz w:val="20"/>
                <w:szCs w:val="20"/>
              </w:rPr>
            </w:pPr>
          </w:p>
        </w:tc>
      </w:tr>
      <w:tr w:rsidR="001F515C" w14:paraId="7DCB2BD9" w14:textId="77777777" w:rsidTr="003F6431">
        <w:tc>
          <w:tcPr>
            <w:tcW w:w="7599" w:type="dxa"/>
            <w:gridSpan w:val="2"/>
            <w:shd w:val="clear" w:color="auto" w:fill="DBE5F1" w:themeFill="accent1" w:themeFillTint="33"/>
          </w:tcPr>
          <w:p w14:paraId="2E66C2FA" w14:textId="77777777" w:rsidR="001F515C" w:rsidRPr="00CC740C" w:rsidRDefault="001F515C" w:rsidP="003F6431">
            <w:pPr>
              <w:spacing w:line="276" w:lineRule="auto"/>
              <w:rPr>
                <w:rFonts w:ascii="Arial" w:hAnsi="Arial" w:cs="Arial"/>
                <w:b/>
                <w:color w:val="404040"/>
                <w:sz w:val="20"/>
                <w:szCs w:val="20"/>
              </w:rPr>
            </w:pPr>
            <w:r w:rsidRPr="00CC740C">
              <w:rPr>
                <w:rFonts w:ascii="Arial" w:hAnsi="Arial" w:cs="Arial"/>
                <w:b/>
                <w:sz w:val="20"/>
                <w:szCs w:val="20"/>
              </w:rPr>
              <w:t>Contract Management</w:t>
            </w:r>
          </w:p>
        </w:tc>
        <w:tc>
          <w:tcPr>
            <w:tcW w:w="1329" w:type="dxa"/>
            <w:shd w:val="clear" w:color="auto" w:fill="DBE5F1" w:themeFill="accent1" w:themeFillTint="33"/>
          </w:tcPr>
          <w:p w14:paraId="3752C7E3" w14:textId="77777777" w:rsidR="001F515C" w:rsidRPr="00CC740C" w:rsidRDefault="001F515C" w:rsidP="003F6431">
            <w:pPr>
              <w:spacing w:line="276" w:lineRule="auto"/>
              <w:jc w:val="right"/>
              <w:rPr>
                <w:rFonts w:ascii="Arial" w:hAnsi="Arial" w:cs="Arial"/>
                <w:b/>
                <w:sz w:val="20"/>
                <w:szCs w:val="20"/>
              </w:rPr>
            </w:pPr>
            <w:r w:rsidRPr="00CC740C">
              <w:rPr>
                <w:rFonts w:ascii="Arial" w:hAnsi="Arial" w:cs="Arial"/>
                <w:b/>
                <w:color w:val="404040"/>
                <w:sz w:val="20"/>
                <w:szCs w:val="20"/>
              </w:rPr>
              <w:t>$846,000</w:t>
            </w:r>
          </w:p>
        </w:tc>
      </w:tr>
      <w:tr w:rsidR="001F515C" w14:paraId="12EEE3CC" w14:textId="77777777" w:rsidTr="003F6431">
        <w:tc>
          <w:tcPr>
            <w:tcW w:w="6345" w:type="dxa"/>
          </w:tcPr>
          <w:p w14:paraId="765E229C" w14:textId="77B3585B"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 xml:space="preserve">Secretariat Agreement </w:t>
            </w:r>
            <w:r w:rsidR="00BE71ED">
              <w:rPr>
                <w:rFonts w:ascii="Arial" w:hAnsi="Arial" w:cs="Arial"/>
                <w:color w:val="404040"/>
                <w:sz w:val="20"/>
                <w:szCs w:val="20"/>
              </w:rPr>
              <w:t xml:space="preserve">by the Council </w:t>
            </w:r>
            <w:r w:rsidRPr="00CC740C">
              <w:rPr>
                <w:rFonts w:ascii="Arial" w:hAnsi="Arial" w:cs="Arial"/>
                <w:color w:val="404040"/>
                <w:sz w:val="20"/>
                <w:szCs w:val="20"/>
              </w:rPr>
              <w:t>with Blue Mountains Lithgow and Oberon Tourism was not extended beyond 30 June 2012. The new funding agreement saw a handing over of tourism promotion responsibility to the private sector as part of a partnership arrangement and related Council expenses were reduced by 50% p.a.</w:t>
            </w:r>
          </w:p>
        </w:tc>
        <w:tc>
          <w:tcPr>
            <w:tcW w:w="1254" w:type="dxa"/>
          </w:tcPr>
          <w:p w14:paraId="1462A167"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$726,000</w:t>
            </w:r>
          </w:p>
        </w:tc>
        <w:tc>
          <w:tcPr>
            <w:tcW w:w="1329" w:type="dxa"/>
          </w:tcPr>
          <w:p w14:paraId="26D6A118" w14:textId="77777777" w:rsidR="001F515C" w:rsidRPr="00CC740C" w:rsidRDefault="001F515C" w:rsidP="003F6431">
            <w:pPr>
              <w:spacing w:line="276" w:lineRule="auto"/>
              <w:jc w:val="right"/>
              <w:rPr>
                <w:rFonts w:ascii="Arial" w:hAnsi="Arial" w:cs="Arial"/>
                <w:sz w:val="20"/>
                <w:szCs w:val="20"/>
              </w:rPr>
            </w:pPr>
          </w:p>
        </w:tc>
      </w:tr>
      <w:tr w:rsidR="001F515C" w14:paraId="48845696" w14:textId="77777777" w:rsidTr="003F6431">
        <w:tc>
          <w:tcPr>
            <w:tcW w:w="6345" w:type="dxa"/>
          </w:tcPr>
          <w:p w14:paraId="71A5C6EC"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Monthly payment to Thiess Pty Ltd for amortised capital works at Blaxland Waste Management Facility paid out as a lump sum funded by a loan at a lower interest rate than the specified contract payments.</w:t>
            </w:r>
          </w:p>
        </w:tc>
        <w:tc>
          <w:tcPr>
            <w:tcW w:w="1254" w:type="dxa"/>
          </w:tcPr>
          <w:p w14:paraId="7FCD4650"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$120,000</w:t>
            </w:r>
          </w:p>
        </w:tc>
        <w:tc>
          <w:tcPr>
            <w:tcW w:w="1329" w:type="dxa"/>
          </w:tcPr>
          <w:p w14:paraId="010F7190" w14:textId="77777777" w:rsidR="001F515C" w:rsidRPr="00CC740C" w:rsidRDefault="001F515C" w:rsidP="003F6431">
            <w:pPr>
              <w:spacing w:line="276" w:lineRule="auto"/>
              <w:jc w:val="right"/>
              <w:rPr>
                <w:rFonts w:ascii="Arial" w:hAnsi="Arial" w:cs="Arial"/>
                <w:sz w:val="20"/>
                <w:szCs w:val="20"/>
              </w:rPr>
            </w:pPr>
          </w:p>
        </w:tc>
      </w:tr>
      <w:tr w:rsidR="001F515C" w14:paraId="4E5E04A0" w14:textId="77777777" w:rsidTr="003F6431">
        <w:tc>
          <w:tcPr>
            <w:tcW w:w="7599" w:type="dxa"/>
            <w:gridSpan w:val="2"/>
            <w:shd w:val="clear" w:color="auto" w:fill="DBE5F1" w:themeFill="accent1" w:themeFillTint="33"/>
          </w:tcPr>
          <w:p w14:paraId="17FA97F4" w14:textId="77777777" w:rsidR="001F515C" w:rsidRPr="00CC740C" w:rsidRDefault="001F515C" w:rsidP="003F6431">
            <w:pPr>
              <w:spacing w:line="276" w:lineRule="auto"/>
              <w:rPr>
                <w:rFonts w:ascii="Arial" w:hAnsi="Arial" w:cs="Arial"/>
                <w:b/>
                <w:color w:val="404040"/>
                <w:sz w:val="20"/>
                <w:szCs w:val="20"/>
              </w:rPr>
            </w:pPr>
            <w:r w:rsidRPr="00CC740C">
              <w:rPr>
                <w:rFonts w:ascii="Arial" w:hAnsi="Arial" w:cs="Arial"/>
                <w:b/>
                <w:sz w:val="20"/>
                <w:szCs w:val="20"/>
              </w:rPr>
              <w:t>Energy</w:t>
            </w:r>
          </w:p>
        </w:tc>
        <w:tc>
          <w:tcPr>
            <w:tcW w:w="1329" w:type="dxa"/>
            <w:shd w:val="clear" w:color="auto" w:fill="DBE5F1" w:themeFill="accent1" w:themeFillTint="33"/>
          </w:tcPr>
          <w:p w14:paraId="03A43A52" w14:textId="77777777" w:rsidR="001F515C" w:rsidRPr="00CC740C" w:rsidRDefault="001F515C" w:rsidP="003F6431">
            <w:pPr>
              <w:spacing w:line="276" w:lineRule="auto"/>
              <w:jc w:val="right"/>
              <w:rPr>
                <w:rFonts w:ascii="Arial" w:hAnsi="Arial" w:cs="Arial"/>
                <w:b/>
                <w:sz w:val="20"/>
                <w:szCs w:val="20"/>
              </w:rPr>
            </w:pPr>
            <w:r w:rsidRPr="00CC740C">
              <w:rPr>
                <w:rFonts w:ascii="Arial" w:hAnsi="Arial" w:cs="Arial"/>
                <w:b/>
                <w:color w:val="404040"/>
                <w:sz w:val="20"/>
                <w:szCs w:val="20"/>
              </w:rPr>
              <w:t>$857,100</w:t>
            </w:r>
          </w:p>
        </w:tc>
      </w:tr>
      <w:tr w:rsidR="001F515C" w14:paraId="308BAAD1" w14:textId="77777777" w:rsidTr="003F6431">
        <w:tc>
          <w:tcPr>
            <w:tcW w:w="6345" w:type="dxa"/>
          </w:tcPr>
          <w:p w14:paraId="07E447BE"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Undertook Energy Aggregation Review 2013-14 on current Energy Contracts and identified Network Use of Service (NUoS) Contract where 1184 streetlights on the Great Western Highway were identified as non-Council assets and returned to RMS management</w:t>
            </w:r>
          </w:p>
        </w:tc>
        <w:tc>
          <w:tcPr>
            <w:tcW w:w="1254" w:type="dxa"/>
          </w:tcPr>
          <w:p w14:paraId="5BA100CA"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$473,600</w:t>
            </w:r>
          </w:p>
        </w:tc>
        <w:tc>
          <w:tcPr>
            <w:tcW w:w="1329" w:type="dxa"/>
          </w:tcPr>
          <w:p w14:paraId="4AA82B23" w14:textId="77777777" w:rsidR="001F515C" w:rsidRPr="00CC740C" w:rsidRDefault="001F515C" w:rsidP="003F6431">
            <w:pPr>
              <w:spacing w:line="276" w:lineRule="auto"/>
              <w:jc w:val="right"/>
              <w:rPr>
                <w:rFonts w:ascii="Arial" w:hAnsi="Arial" w:cs="Arial"/>
                <w:sz w:val="20"/>
                <w:szCs w:val="20"/>
              </w:rPr>
            </w:pPr>
          </w:p>
        </w:tc>
      </w:tr>
      <w:tr w:rsidR="001F515C" w14:paraId="1B3326C6" w14:textId="77777777" w:rsidTr="003F6431">
        <w:tc>
          <w:tcPr>
            <w:tcW w:w="6345" w:type="dxa"/>
          </w:tcPr>
          <w:p w14:paraId="7924EA3D"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Reduced energy costs: Solar pool heating; Pool blankets; Water saving devices at all Council aquatic facilities</w:t>
            </w:r>
          </w:p>
        </w:tc>
        <w:tc>
          <w:tcPr>
            <w:tcW w:w="1254" w:type="dxa"/>
          </w:tcPr>
          <w:p w14:paraId="183B2FF5"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$304,000</w:t>
            </w:r>
          </w:p>
        </w:tc>
        <w:tc>
          <w:tcPr>
            <w:tcW w:w="1329" w:type="dxa"/>
          </w:tcPr>
          <w:p w14:paraId="31AB7EFB" w14:textId="77777777" w:rsidR="001F515C" w:rsidRPr="00CC740C" w:rsidRDefault="001F515C" w:rsidP="003F6431">
            <w:pPr>
              <w:spacing w:line="276" w:lineRule="auto"/>
              <w:jc w:val="right"/>
              <w:rPr>
                <w:rFonts w:ascii="Arial" w:hAnsi="Arial" w:cs="Arial"/>
                <w:sz w:val="20"/>
                <w:szCs w:val="20"/>
              </w:rPr>
            </w:pPr>
          </w:p>
        </w:tc>
      </w:tr>
      <w:tr w:rsidR="001F515C" w14:paraId="75DCAE00" w14:textId="77777777" w:rsidTr="003F6431">
        <w:tc>
          <w:tcPr>
            <w:tcW w:w="6345" w:type="dxa"/>
          </w:tcPr>
          <w:p w14:paraId="14632744"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Undertook Energy Aggregation Review 2013-14 on current Energy Contracts and renewed small site contract through Local Government Procurement with 7% saving on contract rates</w:t>
            </w:r>
          </w:p>
        </w:tc>
        <w:tc>
          <w:tcPr>
            <w:tcW w:w="1254" w:type="dxa"/>
          </w:tcPr>
          <w:p w14:paraId="3AE60B0F"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$20,400</w:t>
            </w:r>
          </w:p>
        </w:tc>
        <w:tc>
          <w:tcPr>
            <w:tcW w:w="1329" w:type="dxa"/>
          </w:tcPr>
          <w:p w14:paraId="2643107F" w14:textId="77777777" w:rsidR="001F515C" w:rsidRPr="00CC740C" w:rsidRDefault="001F515C" w:rsidP="003F6431">
            <w:pPr>
              <w:spacing w:line="276" w:lineRule="auto"/>
              <w:jc w:val="right"/>
              <w:rPr>
                <w:rFonts w:ascii="Arial" w:hAnsi="Arial" w:cs="Arial"/>
                <w:sz w:val="20"/>
                <w:szCs w:val="20"/>
              </w:rPr>
            </w:pPr>
          </w:p>
        </w:tc>
      </w:tr>
      <w:tr w:rsidR="001F515C" w14:paraId="60570522" w14:textId="77777777" w:rsidTr="003F6431">
        <w:tc>
          <w:tcPr>
            <w:tcW w:w="6345" w:type="dxa"/>
          </w:tcPr>
          <w:p w14:paraId="2E0C3C59"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Variable speed pool filter pumps with speed controlled by a turbidity meter were fitted at some pools. These pump drives adjust speed to maintain water quality at a constant level, slowing down when water quality is high, thereby reducing the energy consumption of pumps by about 25%.</w:t>
            </w:r>
          </w:p>
        </w:tc>
        <w:tc>
          <w:tcPr>
            <w:tcW w:w="1254" w:type="dxa"/>
          </w:tcPr>
          <w:p w14:paraId="2673F009"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$20,000</w:t>
            </w:r>
          </w:p>
        </w:tc>
        <w:tc>
          <w:tcPr>
            <w:tcW w:w="1329" w:type="dxa"/>
          </w:tcPr>
          <w:p w14:paraId="48CC4A9B" w14:textId="77777777" w:rsidR="001F515C" w:rsidRPr="00CC740C" w:rsidRDefault="001F515C" w:rsidP="003F6431">
            <w:pPr>
              <w:spacing w:line="276" w:lineRule="auto"/>
              <w:jc w:val="right"/>
              <w:rPr>
                <w:rFonts w:ascii="Arial" w:hAnsi="Arial" w:cs="Arial"/>
                <w:sz w:val="20"/>
                <w:szCs w:val="20"/>
              </w:rPr>
            </w:pPr>
          </w:p>
        </w:tc>
      </w:tr>
      <w:tr w:rsidR="001F515C" w14:paraId="59C4CF85" w14:textId="77777777" w:rsidTr="003F6431">
        <w:tc>
          <w:tcPr>
            <w:tcW w:w="6345" w:type="dxa"/>
          </w:tcPr>
          <w:p w14:paraId="056CC79E"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Undertook Energy Aggregation Review 2013-14 on current Energy Contracts and achieved Large Site Tariff Optimisation</w:t>
            </w:r>
          </w:p>
        </w:tc>
        <w:tc>
          <w:tcPr>
            <w:tcW w:w="1254" w:type="dxa"/>
          </w:tcPr>
          <w:p w14:paraId="393298D8"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$16,500</w:t>
            </w:r>
          </w:p>
        </w:tc>
        <w:tc>
          <w:tcPr>
            <w:tcW w:w="1329" w:type="dxa"/>
          </w:tcPr>
          <w:p w14:paraId="651E62E5" w14:textId="77777777" w:rsidR="001F515C" w:rsidRPr="00CC740C" w:rsidRDefault="001F515C" w:rsidP="003F6431">
            <w:pPr>
              <w:spacing w:line="276" w:lineRule="auto"/>
              <w:jc w:val="right"/>
              <w:rPr>
                <w:rFonts w:ascii="Arial" w:hAnsi="Arial" w:cs="Arial"/>
                <w:sz w:val="20"/>
                <w:szCs w:val="20"/>
              </w:rPr>
            </w:pPr>
          </w:p>
        </w:tc>
      </w:tr>
      <w:tr w:rsidR="001F515C" w14:paraId="1A3809C3" w14:textId="77777777" w:rsidTr="003F6431">
        <w:tc>
          <w:tcPr>
            <w:tcW w:w="6345" w:type="dxa"/>
          </w:tcPr>
          <w:p w14:paraId="6E5A0378"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Undertook Energy Aggregation Review 2013-14 on current Energy Contracts and revised Mgwh hours cut off down on Large Contracts allowing 10 small sites to move to cheaper large site rate.</w:t>
            </w:r>
          </w:p>
        </w:tc>
        <w:tc>
          <w:tcPr>
            <w:tcW w:w="1254" w:type="dxa"/>
          </w:tcPr>
          <w:p w14:paraId="0E4410DA"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$14,200</w:t>
            </w:r>
          </w:p>
        </w:tc>
        <w:tc>
          <w:tcPr>
            <w:tcW w:w="1329" w:type="dxa"/>
          </w:tcPr>
          <w:p w14:paraId="64473137" w14:textId="77777777" w:rsidR="001F515C" w:rsidRPr="00CC740C" w:rsidRDefault="001F515C" w:rsidP="003F6431">
            <w:pPr>
              <w:spacing w:line="276" w:lineRule="auto"/>
              <w:jc w:val="right"/>
              <w:rPr>
                <w:rFonts w:ascii="Arial" w:hAnsi="Arial" w:cs="Arial"/>
                <w:sz w:val="20"/>
                <w:szCs w:val="20"/>
              </w:rPr>
            </w:pPr>
          </w:p>
        </w:tc>
      </w:tr>
      <w:tr w:rsidR="001F515C" w14:paraId="7C055D0E" w14:textId="77777777" w:rsidTr="003F6431">
        <w:tc>
          <w:tcPr>
            <w:tcW w:w="6345" w:type="dxa"/>
          </w:tcPr>
          <w:p w14:paraId="72DB3E33"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Undertook Energy Aggregation Review 2013-14 on current Energy Contracts and identified improvements in Consolidated Invoice Management</w:t>
            </w:r>
          </w:p>
        </w:tc>
        <w:tc>
          <w:tcPr>
            <w:tcW w:w="1254" w:type="dxa"/>
          </w:tcPr>
          <w:p w14:paraId="5FEE2BDA"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$5,000</w:t>
            </w:r>
          </w:p>
        </w:tc>
        <w:tc>
          <w:tcPr>
            <w:tcW w:w="1329" w:type="dxa"/>
          </w:tcPr>
          <w:p w14:paraId="4F1537AA" w14:textId="77777777" w:rsidR="001F515C" w:rsidRPr="00CC740C" w:rsidRDefault="001F515C" w:rsidP="003F6431">
            <w:pPr>
              <w:spacing w:line="276" w:lineRule="auto"/>
              <w:jc w:val="right"/>
              <w:rPr>
                <w:rFonts w:ascii="Arial" w:hAnsi="Arial" w:cs="Arial"/>
                <w:sz w:val="20"/>
                <w:szCs w:val="20"/>
              </w:rPr>
            </w:pPr>
          </w:p>
        </w:tc>
      </w:tr>
      <w:tr w:rsidR="001F515C" w14:paraId="6874B095" w14:textId="77777777" w:rsidTr="003F6431">
        <w:tc>
          <w:tcPr>
            <w:tcW w:w="6345" w:type="dxa"/>
          </w:tcPr>
          <w:p w14:paraId="74CFDC4B"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Undertook Energy Aggregation Review 2013-14 on current Energy Contracts and consolidated outlying small sites into existing Contract Rates</w:t>
            </w:r>
          </w:p>
        </w:tc>
        <w:tc>
          <w:tcPr>
            <w:tcW w:w="1254" w:type="dxa"/>
          </w:tcPr>
          <w:p w14:paraId="65430CF9"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$3,400</w:t>
            </w:r>
          </w:p>
        </w:tc>
        <w:tc>
          <w:tcPr>
            <w:tcW w:w="1329" w:type="dxa"/>
          </w:tcPr>
          <w:p w14:paraId="5855A3AB" w14:textId="77777777" w:rsidR="001F515C" w:rsidRPr="00CC740C" w:rsidRDefault="001F515C" w:rsidP="003F6431">
            <w:pPr>
              <w:spacing w:line="276" w:lineRule="auto"/>
              <w:jc w:val="right"/>
              <w:rPr>
                <w:rFonts w:ascii="Arial" w:hAnsi="Arial" w:cs="Arial"/>
                <w:sz w:val="20"/>
                <w:szCs w:val="20"/>
              </w:rPr>
            </w:pPr>
          </w:p>
        </w:tc>
      </w:tr>
      <w:tr w:rsidR="001F515C" w14:paraId="5CF94F64" w14:textId="77777777" w:rsidTr="003F6431">
        <w:tc>
          <w:tcPr>
            <w:tcW w:w="7599" w:type="dxa"/>
            <w:gridSpan w:val="2"/>
            <w:shd w:val="clear" w:color="auto" w:fill="DBE5F1" w:themeFill="accent1" w:themeFillTint="33"/>
          </w:tcPr>
          <w:p w14:paraId="5FA73FAF" w14:textId="77777777" w:rsidR="001F515C" w:rsidRPr="00CC740C" w:rsidRDefault="001F515C" w:rsidP="003F6431">
            <w:pPr>
              <w:spacing w:line="276" w:lineRule="auto"/>
              <w:rPr>
                <w:rFonts w:ascii="Arial" w:hAnsi="Arial" w:cs="Arial"/>
                <w:b/>
                <w:color w:val="404040"/>
                <w:sz w:val="20"/>
                <w:szCs w:val="20"/>
              </w:rPr>
            </w:pPr>
            <w:r w:rsidRPr="00CC740C">
              <w:rPr>
                <w:rFonts w:ascii="Arial" w:hAnsi="Arial" w:cs="Arial"/>
                <w:b/>
                <w:sz w:val="20"/>
                <w:szCs w:val="20"/>
              </w:rPr>
              <w:t>Fleet Purchase and Management</w:t>
            </w:r>
          </w:p>
        </w:tc>
        <w:tc>
          <w:tcPr>
            <w:tcW w:w="1329" w:type="dxa"/>
            <w:shd w:val="clear" w:color="auto" w:fill="DBE5F1" w:themeFill="accent1" w:themeFillTint="33"/>
          </w:tcPr>
          <w:p w14:paraId="2E430A92" w14:textId="77777777" w:rsidR="001F515C" w:rsidRPr="00CC740C" w:rsidRDefault="001F515C" w:rsidP="003F6431">
            <w:pPr>
              <w:spacing w:line="276" w:lineRule="auto"/>
              <w:jc w:val="right"/>
              <w:rPr>
                <w:rFonts w:ascii="Arial" w:hAnsi="Arial" w:cs="Arial"/>
                <w:b/>
                <w:sz w:val="20"/>
                <w:szCs w:val="20"/>
              </w:rPr>
            </w:pPr>
            <w:r w:rsidRPr="00CC740C">
              <w:rPr>
                <w:rFonts w:ascii="Arial" w:hAnsi="Arial" w:cs="Arial"/>
                <w:b/>
                <w:color w:val="404040"/>
                <w:sz w:val="20"/>
                <w:szCs w:val="20"/>
              </w:rPr>
              <w:t>$2,059,424</w:t>
            </w:r>
          </w:p>
        </w:tc>
      </w:tr>
      <w:tr w:rsidR="001F515C" w14:paraId="57D03AF8" w14:textId="77777777" w:rsidTr="003F6431">
        <w:tc>
          <w:tcPr>
            <w:tcW w:w="6345" w:type="dxa"/>
          </w:tcPr>
          <w:p w14:paraId="63678CB0"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Reduced costs of fleet capital servicing by changing from six to four cylinder in light fleet vehicles. Market assessment indicated that six cylinder vehicles were showing higher purchase price and more rapid depreciation than four cylinder vehicles. A policy decision to exit the six cylinder vehicle market led to a reduction in light vehicle lifecycle costs.</w:t>
            </w:r>
          </w:p>
        </w:tc>
        <w:tc>
          <w:tcPr>
            <w:tcW w:w="1254" w:type="dxa"/>
          </w:tcPr>
          <w:p w14:paraId="168D2238"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$960,000</w:t>
            </w:r>
          </w:p>
        </w:tc>
        <w:tc>
          <w:tcPr>
            <w:tcW w:w="1329" w:type="dxa"/>
          </w:tcPr>
          <w:p w14:paraId="3F666F7F" w14:textId="77777777" w:rsidR="001F515C" w:rsidRPr="00CC740C" w:rsidRDefault="001F515C" w:rsidP="003F6431">
            <w:pPr>
              <w:spacing w:line="276" w:lineRule="auto"/>
              <w:jc w:val="right"/>
              <w:rPr>
                <w:rFonts w:ascii="Arial" w:hAnsi="Arial" w:cs="Arial"/>
                <w:sz w:val="20"/>
                <w:szCs w:val="20"/>
              </w:rPr>
            </w:pPr>
          </w:p>
        </w:tc>
      </w:tr>
      <w:tr w:rsidR="001F515C" w14:paraId="35237252" w14:textId="77777777" w:rsidTr="003F6431">
        <w:tc>
          <w:tcPr>
            <w:tcW w:w="6345" w:type="dxa"/>
          </w:tcPr>
          <w:p w14:paraId="6A732225"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Ongoing annual review of Light Vehicle Fleet Policy and lease charges as well as fleet composition to reduce procurement and running costs. This reduced the light vehicle turnover timeframe, increased residual value through improved reserve setting, reduced repair costs and insurance excesses and reduced fuel consumption.</w:t>
            </w:r>
          </w:p>
        </w:tc>
        <w:tc>
          <w:tcPr>
            <w:tcW w:w="1254" w:type="dxa"/>
          </w:tcPr>
          <w:p w14:paraId="5DF1CE6A"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$344,069</w:t>
            </w:r>
          </w:p>
        </w:tc>
        <w:tc>
          <w:tcPr>
            <w:tcW w:w="1329" w:type="dxa"/>
          </w:tcPr>
          <w:p w14:paraId="2088A4B5" w14:textId="77777777" w:rsidR="001F515C" w:rsidRPr="00CC740C" w:rsidRDefault="001F515C" w:rsidP="003F6431">
            <w:pPr>
              <w:spacing w:line="276" w:lineRule="auto"/>
              <w:jc w:val="right"/>
              <w:rPr>
                <w:rFonts w:ascii="Arial" w:hAnsi="Arial" w:cs="Arial"/>
                <w:sz w:val="20"/>
                <w:szCs w:val="20"/>
              </w:rPr>
            </w:pPr>
          </w:p>
        </w:tc>
      </w:tr>
      <w:tr w:rsidR="001F515C" w14:paraId="22A0D57B" w14:textId="77777777" w:rsidTr="003F6431">
        <w:tc>
          <w:tcPr>
            <w:tcW w:w="6345" w:type="dxa"/>
          </w:tcPr>
          <w:p w14:paraId="2BE580F7"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Purchase of five new garbage trucks through a procurement aggregator resulted in a $40k+ saving per truck</w:t>
            </w:r>
          </w:p>
        </w:tc>
        <w:tc>
          <w:tcPr>
            <w:tcW w:w="1254" w:type="dxa"/>
          </w:tcPr>
          <w:p w14:paraId="1E916105"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$205,355</w:t>
            </w:r>
          </w:p>
        </w:tc>
        <w:tc>
          <w:tcPr>
            <w:tcW w:w="1329" w:type="dxa"/>
          </w:tcPr>
          <w:p w14:paraId="4A43B5C3" w14:textId="77777777" w:rsidR="001F515C" w:rsidRPr="00CC740C" w:rsidRDefault="001F515C" w:rsidP="003F6431">
            <w:pPr>
              <w:spacing w:line="276" w:lineRule="auto"/>
              <w:jc w:val="right"/>
              <w:rPr>
                <w:rFonts w:ascii="Arial" w:hAnsi="Arial" w:cs="Arial"/>
                <w:sz w:val="20"/>
                <w:szCs w:val="20"/>
              </w:rPr>
            </w:pPr>
          </w:p>
        </w:tc>
      </w:tr>
      <w:tr w:rsidR="001F515C" w14:paraId="56A0529B" w14:textId="77777777" w:rsidTr="003F6431">
        <w:tc>
          <w:tcPr>
            <w:tcW w:w="6345" w:type="dxa"/>
          </w:tcPr>
          <w:p w14:paraId="0F2A88C8"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Sale of vehicles: Reduction in light fleet by 12 vehicles. One off capital return of $240k</w:t>
            </w:r>
          </w:p>
        </w:tc>
        <w:tc>
          <w:tcPr>
            <w:tcW w:w="1254" w:type="dxa"/>
          </w:tcPr>
          <w:p w14:paraId="6DCE23DD"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$240,000</w:t>
            </w:r>
          </w:p>
        </w:tc>
        <w:tc>
          <w:tcPr>
            <w:tcW w:w="1329" w:type="dxa"/>
          </w:tcPr>
          <w:p w14:paraId="1842D2DE" w14:textId="77777777" w:rsidR="001F515C" w:rsidRPr="00CC740C" w:rsidRDefault="001F515C" w:rsidP="003F6431">
            <w:pPr>
              <w:spacing w:line="276" w:lineRule="auto"/>
              <w:jc w:val="right"/>
              <w:rPr>
                <w:rFonts w:ascii="Arial" w:hAnsi="Arial" w:cs="Arial"/>
                <w:sz w:val="20"/>
                <w:szCs w:val="20"/>
              </w:rPr>
            </w:pPr>
          </w:p>
        </w:tc>
      </w:tr>
      <w:tr w:rsidR="001F515C" w14:paraId="59FE4000" w14:textId="77777777" w:rsidTr="003F6431">
        <w:tc>
          <w:tcPr>
            <w:tcW w:w="6345" w:type="dxa"/>
          </w:tcPr>
          <w:p w14:paraId="5F8DFAD8"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Change of vehicles in the trades section from trucks to utilities where practical. Ongoing fleet savings $30k a year.</w:t>
            </w:r>
          </w:p>
        </w:tc>
        <w:tc>
          <w:tcPr>
            <w:tcW w:w="1254" w:type="dxa"/>
          </w:tcPr>
          <w:p w14:paraId="64DD17F1"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$120,000</w:t>
            </w:r>
          </w:p>
        </w:tc>
        <w:tc>
          <w:tcPr>
            <w:tcW w:w="1329" w:type="dxa"/>
          </w:tcPr>
          <w:p w14:paraId="10EC72D6" w14:textId="77777777" w:rsidR="001F515C" w:rsidRPr="00CC740C" w:rsidRDefault="001F515C" w:rsidP="003F6431">
            <w:pPr>
              <w:spacing w:line="276" w:lineRule="auto"/>
              <w:jc w:val="right"/>
              <w:rPr>
                <w:rFonts w:ascii="Arial" w:hAnsi="Arial" w:cs="Arial"/>
                <w:sz w:val="20"/>
                <w:szCs w:val="20"/>
              </w:rPr>
            </w:pPr>
          </w:p>
        </w:tc>
      </w:tr>
      <w:tr w:rsidR="001F515C" w14:paraId="6D94D612" w14:textId="77777777" w:rsidTr="003F6431">
        <w:tc>
          <w:tcPr>
            <w:tcW w:w="6345" w:type="dxa"/>
          </w:tcPr>
          <w:p w14:paraId="09EA2C0D"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Agreement with the State Emergency Service to pay the fleet and mobile phone costs, previously paid by the Council.</w:t>
            </w:r>
          </w:p>
        </w:tc>
        <w:tc>
          <w:tcPr>
            <w:tcW w:w="1254" w:type="dxa"/>
          </w:tcPr>
          <w:p w14:paraId="77A89F59"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$100,000</w:t>
            </w:r>
          </w:p>
        </w:tc>
        <w:tc>
          <w:tcPr>
            <w:tcW w:w="1329" w:type="dxa"/>
          </w:tcPr>
          <w:p w14:paraId="1AF6151E" w14:textId="77777777" w:rsidR="001F515C" w:rsidRPr="00CC740C" w:rsidRDefault="001F515C" w:rsidP="003F6431">
            <w:pPr>
              <w:spacing w:line="276" w:lineRule="auto"/>
              <w:jc w:val="right"/>
              <w:rPr>
                <w:rFonts w:ascii="Arial" w:hAnsi="Arial" w:cs="Arial"/>
                <w:sz w:val="20"/>
                <w:szCs w:val="20"/>
              </w:rPr>
            </w:pPr>
          </w:p>
        </w:tc>
      </w:tr>
      <w:tr w:rsidR="001F515C" w14:paraId="027EE05D" w14:textId="77777777" w:rsidTr="003F6431">
        <w:tc>
          <w:tcPr>
            <w:tcW w:w="6345" w:type="dxa"/>
          </w:tcPr>
          <w:p w14:paraId="01E556E5"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Change of vehicles in the Noxious Weeds section from trucks to utilities (one off savings on the purchase price $50k)</w:t>
            </w:r>
          </w:p>
        </w:tc>
        <w:tc>
          <w:tcPr>
            <w:tcW w:w="1254" w:type="dxa"/>
          </w:tcPr>
          <w:p w14:paraId="56434750"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$50,000</w:t>
            </w:r>
          </w:p>
        </w:tc>
        <w:tc>
          <w:tcPr>
            <w:tcW w:w="1329" w:type="dxa"/>
          </w:tcPr>
          <w:p w14:paraId="6E13A3C6" w14:textId="77777777" w:rsidR="001F515C" w:rsidRPr="00CC740C" w:rsidRDefault="001F515C" w:rsidP="003F6431">
            <w:pPr>
              <w:spacing w:line="276" w:lineRule="auto"/>
              <w:jc w:val="right"/>
              <w:rPr>
                <w:rFonts w:ascii="Arial" w:hAnsi="Arial" w:cs="Arial"/>
                <w:sz w:val="20"/>
                <w:szCs w:val="20"/>
              </w:rPr>
            </w:pPr>
          </w:p>
        </w:tc>
      </w:tr>
      <w:tr w:rsidR="001F515C" w14:paraId="6AC1C319" w14:textId="77777777" w:rsidTr="003F6431">
        <w:tc>
          <w:tcPr>
            <w:tcW w:w="6345" w:type="dxa"/>
          </w:tcPr>
          <w:p w14:paraId="587205CF"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Implementation of six month registration for fleet vehicles being replaced within this period.</w:t>
            </w:r>
          </w:p>
        </w:tc>
        <w:tc>
          <w:tcPr>
            <w:tcW w:w="1254" w:type="dxa"/>
          </w:tcPr>
          <w:p w14:paraId="2955AE9E"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$40,000</w:t>
            </w:r>
          </w:p>
        </w:tc>
        <w:tc>
          <w:tcPr>
            <w:tcW w:w="1329" w:type="dxa"/>
          </w:tcPr>
          <w:p w14:paraId="5718BAC4" w14:textId="77777777" w:rsidR="001F515C" w:rsidRPr="00CC740C" w:rsidRDefault="001F515C" w:rsidP="003F6431">
            <w:pPr>
              <w:spacing w:line="276" w:lineRule="auto"/>
              <w:jc w:val="right"/>
              <w:rPr>
                <w:rFonts w:ascii="Arial" w:hAnsi="Arial" w:cs="Arial"/>
                <w:sz w:val="20"/>
                <w:szCs w:val="20"/>
              </w:rPr>
            </w:pPr>
          </w:p>
        </w:tc>
      </w:tr>
      <w:tr w:rsidR="001F515C" w14:paraId="530E9552" w14:textId="77777777" w:rsidTr="003F6431">
        <w:tc>
          <w:tcPr>
            <w:tcW w:w="7599" w:type="dxa"/>
            <w:gridSpan w:val="2"/>
            <w:shd w:val="clear" w:color="auto" w:fill="DBE5F1" w:themeFill="accent1" w:themeFillTint="33"/>
          </w:tcPr>
          <w:p w14:paraId="26668461" w14:textId="77777777" w:rsidR="001F515C" w:rsidRPr="00CC740C" w:rsidRDefault="001F515C" w:rsidP="003F6431">
            <w:pPr>
              <w:spacing w:line="276" w:lineRule="auto"/>
              <w:rPr>
                <w:rFonts w:ascii="Arial" w:hAnsi="Arial" w:cs="Arial"/>
                <w:b/>
                <w:color w:val="404040"/>
                <w:sz w:val="20"/>
                <w:szCs w:val="20"/>
              </w:rPr>
            </w:pPr>
            <w:r w:rsidRPr="00CC740C">
              <w:rPr>
                <w:rFonts w:ascii="Arial" w:hAnsi="Arial" w:cs="Arial"/>
                <w:b/>
                <w:sz w:val="20"/>
                <w:szCs w:val="20"/>
              </w:rPr>
              <w:t>Insurance</w:t>
            </w:r>
          </w:p>
        </w:tc>
        <w:tc>
          <w:tcPr>
            <w:tcW w:w="1329" w:type="dxa"/>
            <w:shd w:val="clear" w:color="auto" w:fill="DBE5F1" w:themeFill="accent1" w:themeFillTint="33"/>
          </w:tcPr>
          <w:p w14:paraId="45F13F1A" w14:textId="77777777" w:rsidR="001F515C" w:rsidRPr="00CC740C" w:rsidRDefault="001F515C" w:rsidP="003F6431">
            <w:pPr>
              <w:spacing w:line="276" w:lineRule="auto"/>
              <w:jc w:val="right"/>
              <w:rPr>
                <w:rFonts w:ascii="Arial" w:hAnsi="Arial" w:cs="Arial"/>
                <w:b/>
                <w:sz w:val="20"/>
                <w:szCs w:val="20"/>
              </w:rPr>
            </w:pPr>
            <w:r w:rsidRPr="00CC740C">
              <w:rPr>
                <w:rFonts w:ascii="Arial" w:hAnsi="Arial" w:cs="Arial"/>
                <w:b/>
                <w:color w:val="404040"/>
                <w:sz w:val="20"/>
                <w:szCs w:val="20"/>
              </w:rPr>
              <w:t>$3,060,000</w:t>
            </w:r>
          </w:p>
        </w:tc>
      </w:tr>
      <w:tr w:rsidR="001F515C" w14:paraId="1D80A076" w14:textId="77777777" w:rsidTr="003F6431">
        <w:tc>
          <w:tcPr>
            <w:tcW w:w="6345" w:type="dxa"/>
          </w:tcPr>
          <w:p w14:paraId="71835290"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Change workers compensation model to Work Cover Retro-Paid Loss Model (2011/12- 2014/15)</w:t>
            </w:r>
          </w:p>
        </w:tc>
        <w:tc>
          <w:tcPr>
            <w:tcW w:w="1254" w:type="dxa"/>
          </w:tcPr>
          <w:p w14:paraId="56034E1B"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$3,060,000</w:t>
            </w:r>
          </w:p>
        </w:tc>
        <w:tc>
          <w:tcPr>
            <w:tcW w:w="1329" w:type="dxa"/>
          </w:tcPr>
          <w:p w14:paraId="57D83BF2" w14:textId="77777777" w:rsidR="001F515C" w:rsidRPr="00CC740C" w:rsidRDefault="001F515C" w:rsidP="003F6431">
            <w:pPr>
              <w:spacing w:line="276" w:lineRule="auto"/>
              <w:jc w:val="right"/>
              <w:rPr>
                <w:rFonts w:ascii="Arial" w:hAnsi="Arial" w:cs="Arial"/>
                <w:sz w:val="20"/>
                <w:szCs w:val="20"/>
              </w:rPr>
            </w:pPr>
          </w:p>
        </w:tc>
      </w:tr>
      <w:tr w:rsidR="001F515C" w14:paraId="4A2028B2" w14:textId="77777777" w:rsidTr="003F6431">
        <w:tc>
          <w:tcPr>
            <w:tcW w:w="7599" w:type="dxa"/>
            <w:gridSpan w:val="2"/>
            <w:shd w:val="clear" w:color="auto" w:fill="DBE5F1" w:themeFill="accent1" w:themeFillTint="33"/>
          </w:tcPr>
          <w:p w14:paraId="6A9897C5" w14:textId="77777777" w:rsidR="001F515C" w:rsidRPr="00CC740C" w:rsidRDefault="001F515C" w:rsidP="003F6431">
            <w:pPr>
              <w:spacing w:line="276" w:lineRule="auto"/>
              <w:rPr>
                <w:rFonts w:ascii="Arial" w:hAnsi="Arial" w:cs="Arial"/>
                <w:b/>
                <w:color w:val="404040"/>
                <w:sz w:val="20"/>
                <w:szCs w:val="20"/>
              </w:rPr>
            </w:pPr>
            <w:r w:rsidRPr="00CC740C">
              <w:rPr>
                <w:rFonts w:ascii="Arial" w:hAnsi="Arial" w:cs="Arial"/>
                <w:b/>
                <w:sz w:val="20"/>
                <w:szCs w:val="20"/>
              </w:rPr>
              <w:t>Materials Management Practices</w:t>
            </w:r>
          </w:p>
        </w:tc>
        <w:tc>
          <w:tcPr>
            <w:tcW w:w="1329" w:type="dxa"/>
            <w:shd w:val="clear" w:color="auto" w:fill="DBE5F1" w:themeFill="accent1" w:themeFillTint="33"/>
          </w:tcPr>
          <w:p w14:paraId="7B0356A6" w14:textId="77777777" w:rsidR="001F515C" w:rsidRPr="00CC740C" w:rsidRDefault="001F515C" w:rsidP="003F6431">
            <w:pPr>
              <w:spacing w:line="276" w:lineRule="auto"/>
              <w:jc w:val="right"/>
              <w:rPr>
                <w:rFonts w:ascii="Arial" w:hAnsi="Arial" w:cs="Arial"/>
                <w:b/>
                <w:sz w:val="20"/>
                <w:szCs w:val="20"/>
              </w:rPr>
            </w:pPr>
            <w:r w:rsidRPr="00CC740C">
              <w:rPr>
                <w:rFonts w:ascii="Arial" w:hAnsi="Arial" w:cs="Arial"/>
                <w:b/>
                <w:color w:val="404040"/>
                <w:sz w:val="20"/>
                <w:szCs w:val="20"/>
              </w:rPr>
              <w:t>$</w:t>
            </w:r>
            <w:r w:rsidRPr="00CC740C">
              <w:rPr>
                <w:rFonts w:ascii="Arial" w:hAnsi="Arial" w:cs="Arial"/>
                <w:b/>
                <w:sz w:val="20"/>
                <w:szCs w:val="20"/>
              </w:rPr>
              <w:t xml:space="preserve"> </w:t>
            </w:r>
            <w:r w:rsidRPr="00CC740C">
              <w:rPr>
                <w:rFonts w:ascii="Arial" w:hAnsi="Arial" w:cs="Arial"/>
                <w:b/>
                <w:color w:val="404040"/>
                <w:sz w:val="20"/>
                <w:szCs w:val="20"/>
              </w:rPr>
              <w:t>779,088</w:t>
            </w:r>
          </w:p>
        </w:tc>
      </w:tr>
      <w:tr w:rsidR="001F515C" w14:paraId="5AD23F37" w14:textId="77777777" w:rsidTr="003F6431">
        <w:tc>
          <w:tcPr>
            <w:tcW w:w="6345" w:type="dxa"/>
          </w:tcPr>
          <w:p w14:paraId="4EC62162" w14:textId="45D025C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Unsealed roads sealing program was undertaken, based on a business case that demonstrated that by sealing around a quarter of the remaining gravel roads, the Council could reduce annual maintenance expenses and close one heavy plant team. This reduced the asset lifecycle costs and also provided the community with an improved asset. This will provide Council with long term efficiencies to be gained in maintenance, and $</w:t>
            </w:r>
            <w:r w:rsidR="00A435A8">
              <w:rPr>
                <w:rFonts w:ascii="Arial" w:hAnsi="Arial" w:cs="Arial"/>
                <w:color w:val="404040"/>
                <w:sz w:val="20"/>
                <w:szCs w:val="20"/>
              </w:rPr>
              <w:t xml:space="preserve">200k to </w:t>
            </w:r>
            <w:r w:rsidR="00B96C12">
              <w:rPr>
                <w:rFonts w:ascii="Arial" w:hAnsi="Arial" w:cs="Arial"/>
                <w:color w:val="404040"/>
                <w:sz w:val="20"/>
                <w:szCs w:val="20"/>
              </w:rPr>
              <w:t>$</w:t>
            </w:r>
            <w:r w:rsidRPr="00CC740C">
              <w:rPr>
                <w:rFonts w:ascii="Arial" w:hAnsi="Arial" w:cs="Arial"/>
                <w:color w:val="404040"/>
                <w:sz w:val="20"/>
                <w:szCs w:val="20"/>
              </w:rPr>
              <w:t>250k recurrent savings (used to repay business case loan funding).</w:t>
            </w:r>
          </w:p>
        </w:tc>
        <w:tc>
          <w:tcPr>
            <w:tcW w:w="1254" w:type="dxa"/>
          </w:tcPr>
          <w:p w14:paraId="21FB9BF2"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$500,000</w:t>
            </w:r>
          </w:p>
        </w:tc>
        <w:tc>
          <w:tcPr>
            <w:tcW w:w="1329" w:type="dxa"/>
          </w:tcPr>
          <w:p w14:paraId="4C9A699B" w14:textId="77777777" w:rsidR="001F515C" w:rsidRPr="00CC740C" w:rsidRDefault="001F515C" w:rsidP="003F6431">
            <w:pPr>
              <w:spacing w:line="276" w:lineRule="auto"/>
              <w:jc w:val="right"/>
              <w:rPr>
                <w:rFonts w:ascii="Arial" w:hAnsi="Arial" w:cs="Arial"/>
                <w:sz w:val="20"/>
                <w:szCs w:val="20"/>
              </w:rPr>
            </w:pPr>
          </w:p>
        </w:tc>
      </w:tr>
      <w:tr w:rsidR="001F515C" w14:paraId="3B97659C" w14:textId="77777777" w:rsidTr="003F6431">
        <w:tc>
          <w:tcPr>
            <w:tcW w:w="6345" w:type="dxa"/>
          </w:tcPr>
          <w:p w14:paraId="4ED00E00"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Savings from purchase of pool filter socks. Alternate suppliers were approached and BMCC had the socks made to specification at 2/3 the price of the standard ones resulting in an annual maintenance saving of $26,490.</w:t>
            </w:r>
          </w:p>
        </w:tc>
        <w:tc>
          <w:tcPr>
            <w:tcW w:w="1254" w:type="dxa"/>
          </w:tcPr>
          <w:p w14:paraId="1EB5FADB"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$105,960</w:t>
            </w:r>
          </w:p>
        </w:tc>
        <w:tc>
          <w:tcPr>
            <w:tcW w:w="1329" w:type="dxa"/>
          </w:tcPr>
          <w:p w14:paraId="466569C4" w14:textId="77777777" w:rsidR="001F515C" w:rsidRPr="00CC740C" w:rsidRDefault="001F515C" w:rsidP="003F6431">
            <w:pPr>
              <w:spacing w:line="276" w:lineRule="auto"/>
              <w:jc w:val="right"/>
              <w:rPr>
                <w:rFonts w:ascii="Arial" w:hAnsi="Arial" w:cs="Arial"/>
                <w:sz w:val="20"/>
                <w:szCs w:val="20"/>
              </w:rPr>
            </w:pPr>
          </w:p>
        </w:tc>
      </w:tr>
      <w:tr w:rsidR="001F515C" w14:paraId="1A137AF3" w14:textId="77777777" w:rsidTr="003F6431">
        <w:tc>
          <w:tcPr>
            <w:tcW w:w="6345" w:type="dxa"/>
          </w:tcPr>
          <w:p w14:paraId="3A21F09B"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Innovative reuse of fill onsite during the Hat Hill Road Stage 1 construction resulting in contract cost savings</w:t>
            </w:r>
          </w:p>
        </w:tc>
        <w:tc>
          <w:tcPr>
            <w:tcW w:w="1254" w:type="dxa"/>
          </w:tcPr>
          <w:p w14:paraId="43184978"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$91,528</w:t>
            </w:r>
          </w:p>
        </w:tc>
        <w:tc>
          <w:tcPr>
            <w:tcW w:w="1329" w:type="dxa"/>
          </w:tcPr>
          <w:p w14:paraId="15C74E4C" w14:textId="77777777" w:rsidR="001F515C" w:rsidRPr="00CC740C" w:rsidRDefault="001F515C" w:rsidP="003F6431">
            <w:pPr>
              <w:spacing w:line="276" w:lineRule="auto"/>
              <w:jc w:val="right"/>
              <w:rPr>
                <w:rFonts w:ascii="Arial" w:hAnsi="Arial" w:cs="Arial"/>
                <w:sz w:val="20"/>
                <w:szCs w:val="20"/>
              </w:rPr>
            </w:pPr>
          </w:p>
        </w:tc>
      </w:tr>
      <w:tr w:rsidR="001F515C" w14:paraId="430FDAEC" w14:textId="77777777" w:rsidTr="003F6431">
        <w:tc>
          <w:tcPr>
            <w:tcW w:w="6345" w:type="dxa"/>
          </w:tcPr>
          <w:p w14:paraId="78607EBC"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Review of operation of sanitary bins at public facilities.</w:t>
            </w:r>
          </w:p>
        </w:tc>
        <w:tc>
          <w:tcPr>
            <w:tcW w:w="1254" w:type="dxa"/>
          </w:tcPr>
          <w:p w14:paraId="28EAF6EC"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$24,000</w:t>
            </w:r>
          </w:p>
        </w:tc>
        <w:tc>
          <w:tcPr>
            <w:tcW w:w="1329" w:type="dxa"/>
          </w:tcPr>
          <w:p w14:paraId="590F828A" w14:textId="77777777" w:rsidR="001F515C" w:rsidRPr="00CC740C" w:rsidRDefault="001F515C" w:rsidP="003F6431">
            <w:pPr>
              <w:spacing w:line="276" w:lineRule="auto"/>
              <w:jc w:val="right"/>
              <w:rPr>
                <w:rFonts w:ascii="Arial" w:hAnsi="Arial" w:cs="Arial"/>
                <w:sz w:val="20"/>
                <w:szCs w:val="20"/>
              </w:rPr>
            </w:pPr>
          </w:p>
        </w:tc>
      </w:tr>
      <w:tr w:rsidR="001F515C" w14:paraId="6A14FFDB" w14:textId="77777777" w:rsidTr="003F6431">
        <w:tc>
          <w:tcPr>
            <w:tcW w:w="6345" w:type="dxa"/>
          </w:tcPr>
          <w:p w14:paraId="524E7410" w14:textId="40314DED" w:rsidR="001F515C" w:rsidRPr="00CC740C" w:rsidRDefault="001F515C" w:rsidP="008A7583">
            <w:pPr>
              <w:spacing w:line="276" w:lineRule="auto"/>
              <w:rPr>
                <w:rFonts w:ascii="Arial" w:hAnsi="Arial" w:cs="Arial"/>
                <w:color w:val="404040"/>
                <w:sz w:val="20"/>
                <w:szCs w:val="20"/>
              </w:rPr>
            </w:pPr>
            <w:r w:rsidRPr="00CC740C">
              <w:rPr>
                <w:rFonts w:ascii="Arial" w:hAnsi="Arial" w:cs="Arial"/>
                <w:color w:val="404040"/>
                <w:sz w:val="20"/>
                <w:szCs w:val="20"/>
              </w:rPr>
              <w:t>A review of the number and location of ticket parking machines was carried out as part of the procurement process to replace the Echo Point ticket parking machines. This identified a surplus of 3 machines that were associated with the coach/bus parking spaces. (Bus/coach operators pay an annual fee and do not need a ticket.) Three less machines were purchased resulting in savings of $23,600.</w:t>
            </w:r>
          </w:p>
        </w:tc>
        <w:tc>
          <w:tcPr>
            <w:tcW w:w="1254" w:type="dxa"/>
          </w:tcPr>
          <w:p w14:paraId="26C76BF8"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$23,600</w:t>
            </w:r>
          </w:p>
        </w:tc>
        <w:tc>
          <w:tcPr>
            <w:tcW w:w="1329" w:type="dxa"/>
          </w:tcPr>
          <w:p w14:paraId="4B85E0FC" w14:textId="77777777" w:rsidR="001F515C" w:rsidRPr="00CC740C" w:rsidRDefault="001F515C" w:rsidP="003F6431">
            <w:pPr>
              <w:spacing w:line="276" w:lineRule="auto"/>
              <w:jc w:val="right"/>
              <w:rPr>
                <w:rFonts w:ascii="Arial" w:hAnsi="Arial" w:cs="Arial"/>
                <w:sz w:val="20"/>
                <w:szCs w:val="20"/>
              </w:rPr>
            </w:pPr>
          </w:p>
        </w:tc>
      </w:tr>
      <w:tr w:rsidR="001F515C" w14:paraId="2E05C4B3" w14:textId="77777777" w:rsidTr="003F6431">
        <w:tc>
          <w:tcPr>
            <w:tcW w:w="6345" w:type="dxa"/>
          </w:tcPr>
          <w:p w14:paraId="42A86C5E"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Altered our library policy to 'meet' rather than 'exceed' public library benchmark standards. This enables us to extend the age of the library collection to with a subsequent reduction in capital.</w:t>
            </w:r>
          </w:p>
        </w:tc>
        <w:tc>
          <w:tcPr>
            <w:tcW w:w="1254" w:type="dxa"/>
          </w:tcPr>
          <w:p w14:paraId="52523CFF"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$19,300</w:t>
            </w:r>
          </w:p>
        </w:tc>
        <w:tc>
          <w:tcPr>
            <w:tcW w:w="1329" w:type="dxa"/>
          </w:tcPr>
          <w:p w14:paraId="37FADD3A" w14:textId="77777777" w:rsidR="001F515C" w:rsidRPr="00CC740C" w:rsidRDefault="001F515C" w:rsidP="003F6431">
            <w:pPr>
              <w:spacing w:line="276" w:lineRule="auto"/>
              <w:jc w:val="right"/>
              <w:rPr>
                <w:rFonts w:ascii="Arial" w:hAnsi="Arial" w:cs="Arial"/>
                <w:sz w:val="20"/>
                <w:szCs w:val="20"/>
              </w:rPr>
            </w:pPr>
          </w:p>
        </w:tc>
      </w:tr>
      <w:tr w:rsidR="001F515C" w14:paraId="136E4718" w14:textId="77777777" w:rsidTr="003F6431">
        <w:tc>
          <w:tcPr>
            <w:tcW w:w="6345" w:type="dxa"/>
          </w:tcPr>
          <w:p w14:paraId="2E57DD92"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Energy savings at Blackheath pool. The pool filtration plant is turned off for some periods during the off-season.</w:t>
            </w:r>
          </w:p>
        </w:tc>
        <w:tc>
          <w:tcPr>
            <w:tcW w:w="1254" w:type="dxa"/>
          </w:tcPr>
          <w:p w14:paraId="7BDBFC02"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$11,700</w:t>
            </w:r>
          </w:p>
        </w:tc>
        <w:tc>
          <w:tcPr>
            <w:tcW w:w="1329" w:type="dxa"/>
          </w:tcPr>
          <w:p w14:paraId="415FCDFD" w14:textId="77777777" w:rsidR="001F515C" w:rsidRPr="00CC740C" w:rsidRDefault="001F515C" w:rsidP="003F6431">
            <w:pPr>
              <w:spacing w:line="276" w:lineRule="auto"/>
              <w:jc w:val="right"/>
              <w:rPr>
                <w:rFonts w:ascii="Arial" w:hAnsi="Arial" w:cs="Arial"/>
                <w:sz w:val="20"/>
                <w:szCs w:val="20"/>
              </w:rPr>
            </w:pPr>
          </w:p>
        </w:tc>
      </w:tr>
      <w:tr w:rsidR="001F515C" w14:paraId="6279405E" w14:textId="77777777" w:rsidTr="003F6431">
        <w:tc>
          <w:tcPr>
            <w:tcW w:w="6345" w:type="dxa"/>
          </w:tcPr>
          <w:p w14:paraId="08AA1194"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Savings from an operating review of the toy library following a cost / benefit analysis.</w:t>
            </w:r>
          </w:p>
        </w:tc>
        <w:tc>
          <w:tcPr>
            <w:tcW w:w="1254" w:type="dxa"/>
          </w:tcPr>
          <w:p w14:paraId="7F711488"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$3,000</w:t>
            </w:r>
          </w:p>
        </w:tc>
        <w:tc>
          <w:tcPr>
            <w:tcW w:w="1329" w:type="dxa"/>
          </w:tcPr>
          <w:p w14:paraId="302DA755" w14:textId="77777777" w:rsidR="001F515C" w:rsidRPr="00CC740C" w:rsidRDefault="001F515C" w:rsidP="003F6431">
            <w:pPr>
              <w:spacing w:line="276" w:lineRule="auto"/>
              <w:jc w:val="right"/>
              <w:rPr>
                <w:rFonts w:ascii="Arial" w:hAnsi="Arial" w:cs="Arial"/>
                <w:sz w:val="20"/>
                <w:szCs w:val="20"/>
              </w:rPr>
            </w:pPr>
          </w:p>
        </w:tc>
      </w:tr>
      <w:tr w:rsidR="001F515C" w14:paraId="0D2DA08C" w14:textId="77777777" w:rsidTr="003F6431">
        <w:tc>
          <w:tcPr>
            <w:tcW w:w="7599" w:type="dxa"/>
            <w:gridSpan w:val="2"/>
            <w:shd w:val="clear" w:color="auto" w:fill="DBE5F1" w:themeFill="accent1" w:themeFillTint="33"/>
          </w:tcPr>
          <w:p w14:paraId="60A743D7" w14:textId="77777777" w:rsidR="001F515C" w:rsidRPr="00CC740C" w:rsidRDefault="001F515C" w:rsidP="003F6431">
            <w:pPr>
              <w:spacing w:line="276" w:lineRule="auto"/>
              <w:rPr>
                <w:rFonts w:ascii="Arial" w:hAnsi="Arial" w:cs="Arial"/>
                <w:b/>
                <w:color w:val="404040"/>
                <w:sz w:val="20"/>
                <w:szCs w:val="20"/>
              </w:rPr>
            </w:pPr>
            <w:r w:rsidRPr="00CC740C">
              <w:rPr>
                <w:rFonts w:ascii="Arial" w:hAnsi="Arial" w:cs="Arial"/>
                <w:b/>
                <w:sz w:val="20"/>
                <w:szCs w:val="20"/>
              </w:rPr>
              <w:t>Plant Purchase and Management</w:t>
            </w:r>
          </w:p>
        </w:tc>
        <w:tc>
          <w:tcPr>
            <w:tcW w:w="1329" w:type="dxa"/>
            <w:shd w:val="clear" w:color="auto" w:fill="DBE5F1" w:themeFill="accent1" w:themeFillTint="33"/>
          </w:tcPr>
          <w:p w14:paraId="0BE28C50" w14:textId="77777777" w:rsidR="001F515C" w:rsidRPr="00CC740C" w:rsidRDefault="001F515C" w:rsidP="003F6431">
            <w:pPr>
              <w:spacing w:line="276" w:lineRule="auto"/>
              <w:jc w:val="right"/>
              <w:rPr>
                <w:rFonts w:ascii="Arial" w:hAnsi="Arial" w:cs="Arial"/>
                <w:b/>
                <w:sz w:val="20"/>
                <w:szCs w:val="20"/>
              </w:rPr>
            </w:pPr>
            <w:r w:rsidRPr="00CC740C">
              <w:rPr>
                <w:rFonts w:ascii="Arial" w:hAnsi="Arial" w:cs="Arial"/>
                <w:b/>
                <w:color w:val="404040"/>
                <w:sz w:val="20"/>
                <w:szCs w:val="20"/>
              </w:rPr>
              <w:t>$261,000</w:t>
            </w:r>
          </w:p>
        </w:tc>
      </w:tr>
      <w:tr w:rsidR="001F515C" w14:paraId="661030E2" w14:textId="77777777" w:rsidTr="003F6431">
        <w:tc>
          <w:tcPr>
            <w:tcW w:w="6345" w:type="dxa"/>
          </w:tcPr>
          <w:p w14:paraId="2A74D947"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Cost savings and improved productivity for pothole maintenance. Changed the road patching machinery from a JetPatcher to a Paveline Autopatch reducing the crew from three to two people. There were also savings in operating costs with no loss in productivity.</w:t>
            </w:r>
          </w:p>
        </w:tc>
        <w:tc>
          <w:tcPr>
            <w:tcW w:w="1254" w:type="dxa"/>
          </w:tcPr>
          <w:p w14:paraId="5FC03808"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$240,000</w:t>
            </w:r>
          </w:p>
        </w:tc>
        <w:tc>
          <w:tcPr>
            <w:tcW w:w="1329" w:type="dxa"/>
          </w:tcPr>
          <w:p w14:paraId="6C32706F" w14:textId="77777777" w:rsidR="001F515C" w:rsidRPr="00CC740C" w:rsidRDefault="001F515C" w:rsidP="003F6431">
            <w:pPr>
              <w:spacing w:line="276" w:lineRule="auto"/>
              <w:jc w:val="right"/>
              <w:rPr>
                <w:rFonts w:ascii="Arial" w:hAnsi="Arial" w:cs="Arial"/>
                <w:sz w:val="20"/>
                <w:szCs w:val="20"/>
              </w:rPr>
            </w:pPr>
          </w:p>
        </w:tc>
      </w:tr>
      <w:tr w:rsidR="001F515C" w14:paraId="2122433C" w14:textId="77777777" w:rsidTr="003F6431">
        <w:tc>
          <w:tcPr>
            <w:tcW w:w="6345" w:type="dxa"/>
          </w:tcPr>
          <w:p w14:paraId="163030C9"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Saved money on the purchase of two mechanical hoists for the vehicle garages by using a Procurement Aggregator.</w:t>
            </w:r>
          </w:p>
        </w:tc>
        <w:tc>
          <w:tcPr>
            <w:tcW w:w="1254" w:type="dxa"/>
          </w:tcPr>
          <w:p w14:paraId="51CC4AF6"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$21,000</w:t>
            </w:r>
          </w:p>
        </w:tc>
        <w:tc>
          <w:tcPr>
            <w:tcW w:w="1329" w:type="dxa"/>
          </w:tcPr>
          <w:p w14:paraId="2564A532" w14:textId="77777777" w:rsidR="001F515C" w:rsidRPr="00CC740C" w:rsidRDefault="001F515C" w:rsidP="003F6431">
            <w:pPr>
              <w:spacing w:line="276" w:lineRule="auto"/>
              <w:jc w:val="right"/>
              <w:rPr>
                <w:rFonts w:ascii="Arial" w:hAnsi="Arial" w:cs="Arial"/>
                <w:sz w:val="20"/>
                <w:szCs w:val="20"/>
              </w:rPr>
            </w:pPr>
          </w:p>
        </w:tc>
      </w:tr>
      <w:tr w:rsidR="001F515C" w14:paraId="7EC05101" w14:textId="77777777" w:rsidTr="003F6431">
        <w:tc>
          <w:tcPr>
            <w:tcW w:w="7599" w:type="dxa"/>
            <w:gridSpan w:val="2"/>
            <w:shd w:val="clear" w:color="auto" w:fill="DBE5F1" w:themeFill="accent1" w:themeFillTint="33"/>
          </w:tcPr>
          <w:p w14:paraId="3A7A26FE" w14:textId="77777777" w:rsidR="001F515C" w:rsidRPr="00CC740C" w:rsidRDefault="001F515C" w:rsidP="003F6431">
            <w:pPr>
              <w:spacing w:line="276" w:lineRule="auto"/>
              <w:rPr>
                <w:rFonts w:ascii="Arial" w:hAnsi="Arial" w:cs="Arial"/>
                <w:b/>
                <w:color w:val="404040"/>
                <w:sz w:val="20"/>
                <w:szCs w:val="20"/>
              </w:rPr>
            </w:pPr>
            <w:r w:rsidRPr="00CC740C">
              <w:rPr>
                <w:rFonts w:ascii="Arial" w:hAnsi="Arial" w:cs="Arial"/>
                <w:b/>
                <w:sz w:val="20"/>
                <w:szCs w:val="20"/>
              </w:rPr>
              <w:t>Technology Solutions</w:t>
            </w:r>
          </w:p>
        </w:tc>
        <w:tc>
          <w:tcPr>
            <w:tcW w:w="1329" w:type="dxa"/>
            <w:shd w:val="clear" w:color="auto" w:fill="DBE5F1" w:themeFill="accent1" w:themeFillTint="33"/>
          </w:tcPr>
          <w:p w14:paraId="7B36C213" w14:textId="77777777" w:rsidR="001F515C" w:rsidRPr="00CC740C" w:rsidRDefault="001F515C" w:rsidP="003F6431">
            <w:pPr>
              <w:spacing w:line="276" w:lineRule="auto"/>
              <w:jc w:val="right"/>
              <w:rPr>
                <w:rFonts w:ascii="Arial" w:hAnsi="Arial" w:cs="Arial"/>
                <w:b/>
                <w:sz w:val="20"/>
                <w:szCs w:val="20"/>
              </w:rPr>
            </w:pPr>
            <w:r w:rsidRPr="00CC740C">
              <w:rPr>
                <w:rFonts w:ascii="Arial" w:hAnsi="Arial" w:cs="Arial"/>
                <w:b/>
                <w:color w:val="404040"/>
                <w:sz w:val="20"/>
                <w:szCs w:val="20"/>
              </w:rPr>
              <w:t>$83,150</w:t>
            </w:r>
          </w:p>
        </w:tc>
      </w:tr>
      <w:tr w:rsidR="001F515C" w14:paraId="2DA33081" w14:textId="77777777" w:rsidTr="003F6431">
        <w:tc>
          <w:tcPr>
            <w:tcW w:w="6345" w:type="dxa"/>
          </w:tcPr>
          <w:p w14:paraId="32F0882D"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Business papers for Councillors and Senior Managers are now distributed electronically. This resulted in savings in printing costs and distribution.</w:t>
            </w:r>
          </w:p>
        </w:tc>
        <w:tc>
          <w:tcPr>
            <w:tcW w:w="1254" w:type="dxa"/>
          </w:tcPr>
          <w:p w14:paraId="50A50714"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$35,000</w:t>
            </w:r>
          </w:p>
        </w:tc>
        <w:tc>
          <w:tcPr>
            <w:tcW w:w="1329" w:type="dxa"/>
          </w:tcPr>
          <w:p w14:paraId="660D7736" w14:textId="77777777" w:rsidR="001F515C" w:rsidRPr="00CC740C" w:rsidRDefault="001F515C" w:rsidP="003F6431">
            <w:pPr>
              <w:spacing w:line="276" w:lineRule="auto"/>
              <w:jc w:val="right"/>
              <w:rPr>
                <w:rFonts w:ascii="Arial" w:hAnsi="Arial" w:cs="Arial"/>
                <w:sz w:val="20"/>
                <w:szCs w:val="20"/>
              </w:rPr>
            </w:pPr>
          </w:p>
        </w:tc>
      </w:tr>
      <w:tr w:rsidR="001F515C" w14:paraId="307C1B25" w14:textId="77777777" w:rsidTr="003F6431">
        <w:tc>
          <w:tcPr>
            <w:tcW w:w="6345" w:type="dxa"/>
          </w:tcPr>
          <w:p w14:paraId="68888F31"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Renegotiation of Council mobile telephone contract. 2012-2015. This led to a reduction in call costs under new contract and consolidation of mobile and fixed line services with one supplier (Telstra).</w:t>
            </w:r>
          </w:p>
        </w:tc>
        <w:tc>
          <w:tcPr>
            <w:tcW w:w="1254" w:type="dxa"/>
          </w:tcPr>
          <w:p w14:paraId="59EA2BD5"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$18,750</w:t>
            </w:r>
          </w:p>
        </w:tc>
        <w:tc>
          <w:tcPr>
            <w:tcW w:w="1329" w:type="dxa"/>
          </w:tcPr>
          <w:p w14:paraId="07A06CD7" w14:textId="77777777" w:rsidR="001F515C" w:rsidRPr="00CC740C" w:rsidRDefault="001F515C" w:rsidP="003F6431">
            <w:pPr>
              <w:spacing w:line="276" w:lineRule="auto"/>
              <w:jc w:val="right"/>
              <w:rPr>
                <w:rFonts w:ascii="Arial" w:hAnsi="Arial" w:cs="Arial"/>
                <w:sz w:val="20"/>
                <w:szCs w:val="20"/>
              </w:rPr>
            </w:pPr>
          </w:p>
        </w:tc>
      </w:tr>
      <w:tr w:rsidR="001F515C" w14:paraId="1271EB18" w14:textId="77777777" w:rsidTr="003F6431">
        <w:tc>
          <w:tcPr>
            <w:tcW w:w="6345" w:type="dxa"/>
          </w:tcPr>
          <w:p w14:paraId="242A2645"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Moved from paper to hand held devices for the issue of warnings and penalty infringement notices using PINFORCE. This led to a reduction in processing costs and fees paid to the State Debt Recovery Office. The saving is $3 for each penalty infringement notice.</w:t>
            </w:r>
          </w:p>
        </w:tc>
        <w:tc>
          <w:tcPr>
            <w:tcW w:w="1254" w:type="dxa"/>
          </w:tcPr>
          <w:p w14:paraId="000AF804"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$12,000</w:t>
            </w:r>
          </w:p>
        </w:tc>
        <w:tc>
          <w:tcPr>
            <w:tcW w:w="1329" w:type="dxa"/>
          </w:tcPr>
          <w:p w14:paraId="3FD967DA" w14:textId="77777777" w:rsidR="001F515C" w:rsidRPr="00CC740C" w:rsidRDefault="001F515C" w:rsidP="003F6431">
            <w:pPr>
              <w:spacing w:line="276" w:lineRule="auto"/>
              <w:jc w:val="right"/>
              <w:rPr>
                <w:rFonts w:ascii="Arial" w:hAnsi="Arial" w:cs="Arial"/>
                <w:sz w:val="20"/>
                <w:szCs w:val="20"/>
              </w:rPr>
            </w:pPr>
          </w:p>
        </w:tc>
      </w:tr>
      <w:tr w:rsidR="001F515C" w14:paraId="07566399" w14:textId="77777777" w:rsidTr="003F6431">
        <w:tc>
          <w:tcPr>
            <w:tcW w:w="6345" w:type="dxa"/>
          </w:tcPr>
          <w:p w14:paraId="3754B11D"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iPad implementation for Councillors. Replacement of desktop PCs with iPads for councillors and cessation of telephone rental and ADSL service provision for two new councillors in 2012.</w:t>
            </w:r>
          </w:p>
        </w:tc>
        <w:tc>
          <w:tcPr>
            <w:tcW w:w="1254" w:type="dxa"/>
          </w:tcPr>
          <w:p w14:paraId="471B849E"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$9,700</w:t>
            </w:r>
          </w:p>
        </w:tc>
        <w:tc>
          <w:tcPr>
            <w:tcW w:w="1329" w:type="dxa"/>
          </w:tcPr>
          <w:p w14:paraId="05BB8E7F" w14:textId="77777777" w:rsidR="001F515C" w:rsidRPr="00CC740C" w:rsidRDefault="001F515C" w:rsidP="003F6431">
            <w:pPr>
              <w:spacing w:line="276" w:lineRule="auto"/>
              <w:jc w:val="right"/>
              <w:rPr>
                <w:rFonts w:ascii="Arial" w:hAnsi="Arial" w:cs="Arial"/>
                <w:sz w:val="20"/>
                <w:szCs w:val="20"/>
              </w:rPr>
            </w:pPr>
          </w:p>
        </w:tc>
      </w:tr>
      <w:tr w:rsidR="001F515C" w14:paraId="498D036F" w14:textId="77777777" w:rsidTr="003F6431">
        <w:tc>
          <w:tcPr>
            <w:tcW w:w="6345" w:type="dxa"/>
          </w:tcPr>
          <w:p w14:paraId="1837A6AC"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Reduction in operating costs with the promotion and use of electronic communications in Family Day Care</w:t>
            </w:r>
          </w:p>
        </w:tc>
        <w:tc>
          <w:tcPr>
            <w:tcW w:w="1254" w:type="dxa"/>
          </w:tcPr>
          <w:p w14:paraId="2A01CFE7"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$6,900</w:t>
            </w:r>
          </w:p>
        </w:tc>
        <w:tc>
          <w:tcPr>
            <w:tcW w:w="1329" w:type="dxa"/>
          </w:tcPr>
          <w:p w14:paraId="2291AC55" w14:textId="77777777" w:rsidR="001F515C" w:rsidRPr="00CC740C" w:rsidRDefault="001F515C" w:rsidP="003F6431">
            <w:pPr>
              <w:spacing w:line="276" w:lineRule="auto"/>
              <w:jc w:val="right"/>
              <w:rPr>
                <w:rFonts w:ascii="Arial" w:hAnsi="Arial" w:cs="Arial"/>
                <w:sz w:val="20"/>
                <w:szCs w:val="20"/>
              </w:rPr>
            </w:pPr>
          </w:p>
        </w:tc>
      </w:tr>
      <w:tr w:rsidR="001F515C" w14:paraId="19DCFFA5" w14:textId="77777777" w:rsidTr="003F6431">
        <w:tc>
          <w:tcPr>
            <w:tcW w:w="6345" w:type="dxa"/>
          </w:tcPr>
          <w:p w14:paraId="41C988E6"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Savings in software licencing costs by using MSSQL Express edition on the time and attendance server. Previously the more expensive Enterprise edition was used.</w:t>
            </w:r>
          </w:p>
        </w:tc>
        <w:tc>
          <w:tcPr>
            <w:tcW w:w="1254" w:type="dxa"/>
          </w:tcPr>
          <w:p w14:paraId="6B95B5A5"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$800</w:t>
            </w:r>
          </w:p>
        </w:tc>
        <w:tc>
          <w:tcPr>
            <w:tcW w:w="1329" w:type="dxa"/>
          </w:tcPr>
          <w:p w14:paraId="69666FD4" w14:textId="77777777" w:rsidR="001F515C" w:rsidRPr="00CC740C" w:rsidRDefault="001F515C" w:rsidP="003F6431">
            <w:pPr>
              <w:spacing w:line="276" w:lineRule="auto"/>
              <w:jc w:val="right"/>
              <w:rPr>
                <w:rFonts w:ascii="Arial" w:hAnsi="Arial" w:cs="Arial"/>
                <w:sz w:val="20"/>
                <w:szCs w:val="20"/>
              </w:rPr>
            </w:pPr>
          </w:p>
        </w:tc>
      </w:tr>
      <w:tr w:rsidR="001F515C" w14:paraId="6ECBB22F" w14:textId="77777777" w:rsidTr="003F6431">
        <w:tc>
          <w:tcPr>
            <w:tcW w:w="7599" w:type="dxa"/>
            <w:gridSpan w:val="2"/>
            <w:shd w:val="clear" w:color="auto" w:fill="DBE5F1" w:themeFill="accent1" w:themeFillTint="33"/>
          </w:tcPr>
          <w:p w14:paraId="4E48186F" w14:textId="77777777" w:rsidR="001F515C" w:rsidRPr="00CC740C" w:rsidRDefault="001F515C" w:rsidP="003F6431">
            <w:pPr>
              <w:spacing w:line="276" w:lineRule="auto"/>
              <w:rPr>
                <w:rFonts w:ascii="Arial" w:hAnsi="Arial" w:cs="Arial"/>
                <w:b/>
                <w:color w:val="404040"/>
                <w:sz w:val="20"/>
                <w:szCs w:val="20"/>
              </w:rPr>
            </w:pPr>
            <w:r w:rsidRPr="00CC740C">
              <w:rPr>
                <w:rFonts w:ascii="Arial" w:hAnsi="Arial" w:cs="Arial"/>
                <w:b/>
                <w:sz w:val="20"/>
                <w:szCs w:val="20"/>
              </w:rPr>
              <w:t>Waste Initiatives</w:t>
            </w:r>
          </w:p>
        </w:tc>
        <w:tc>
          <w:tcPr>
            <w:tcW w:w="1329" w:type="dxa"/>
            <w:shd w:val="clear" w:color="auto" w:fill="DBE5F1" w:themeFill="accent1" w:themeFillTint="33"/>
          </w:tcPr>
          <w:p w14:paraId="3EDE3CB5" w14:textId="77777777" w:rsidR="001F515C" w:rsidRPr="00CC740C" w:rsidRDefault="001F515C" w:rsidP="003F6431">
            <w:pPr>
              <w:spacing w:line="276" w:lineRule="auto"/>
              <w:jc w:val="right"/>
              <w:rPr>
                <w:rFonts w:ascii="Arial" w:hAnsi="Arial" w:cs="Arial"/>
                <w:b/>
                <w:sz w:val="20"/>
                <w:szCs w:val="20"/>
              </w:rPr>
            </w:pPr>
            <w:r w:rsidRPr="00CC740C">
              <w:rPr>
                <w:rFonts w:ascii="Arial" w:hAnsi="Arial" w:cs="Arial"/>
                <w:b/>
                <w:color w:val="404040"/>
                <w:sz w:val="20"/>
                <w:szCs w:val="20"/>
              </w:rPr>
              <w:t>$1,911,800</w:t>
            </w:r>
          </w:p>
        </w:tc>
      </w:tr>
      <w:tr w:rsidR="001F515C" w14:paraId="09BD4D1E" w14:textId="77777777" w:rsidTr="003F6431">
        <w:tc>
          <w:tcPr>
            <w:tcW w:w="6345" w:type="dxa"/>
          </w:tcPr>
          <w:p w14:paraId="177FAB64"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Change from crates to mobile bins for kerbside recycling.</w:t>
            </w:r>
          </w:p>
        </w:tc>
        <w:tc>
          <w:tcPr>
            <w:tcW w:w="1254" w:type="dxa"/>
          </w:tcPr>
          <w:p w14:paraId="17DEC79D"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$1,600,000</w:t>
            </w:r>
          </w:p>
        </w:tc>
        <w:tc>
          <w:tcPr>
            <w:tcW w:w="1329" w:type="dxa"/>
          </w:tcPr>
          <w:p w14:paraId="589C92EC" w14:textId="77777777" w:rsidR="001F515C" w:rsidRPr="00CC740C" w:rsidRDefault="001F515C" w:rsidP="003F6431">
            <w:pPr>
              <w:spacing w:line="276" w:lineRule="auto"/>
              <w:jc w:val="right"/>
              <w:rPr>
                <w:rFonts w:ascii="Arial" w:hAnsi="Arial" w:cs="Arial"/>
                <w:sz w:val="20"/>
                <w:szCs w:val="20"/>
              </w:rPr>
            </w:pPr>
          </w:p>
        </w:tc>
      </w:tr>
      <w:tr w:rsidR="001F515C" w14:paraId="79DA8B88" w14:textId="77777777" w:rsidTr="003F6431">
        <w:tc>
          <w:tcPr>
            <w:tcW w:w="6345" w:type="dxa"/>
          </w:tcPr>
          <w:p w14:paraId="3E442229"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Change in provision of chipping and bulky waste services from a scheduled/whole city program to an on-demand/booked service</w:t>
            </w:r>
          </w:p>
        </w:tc>
        <w:tc>
          <w:tcPr>
            <w:tcW w:w="1254" w:type="dxa"/>
          </w:tcPr>
          <w:p w14:paraId="56DF4374"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$127,000</w:t>
            </w:r>
          </w:p>
        </w:tc>
        <w:tc>
          <w:tcPr>
            <w:tcW w:w="1329" w:type="dxa"/>
          </w:tcPr>
          <w:p w14:paraId="4E2B9AB2" w14:textId="77777777" w:rsidR="001F515C" w:rsidRPr="00CC740C" w:rsidRDefault="001F515C" w:rsidP="003F6431">
            <w:pPr>
              <w:spacing w:line="276" w:lineRule="auto"/>
              <w:jc w:val="right"/>
              <w:rPr>
                <w:rFonts w:ascii="Arial" w:hAnsi="Arial" w:cs="Arial"/>
                <w:sz w:val="20"/>
                <w:szCs w:val="20"/>
              </w:rPr>
            </w:pPr>
          </w:p>
        </w:tc>
      </w:tr>
      <w:tr w:rsidR="001F515C" w14:paraId="7E6246BC" w14:textId="77777777" w:rsidTr="003F6431">
        <w:tc>
          <w:tcPr>
            <w:tcW w:w="6345" w:type="dxa"/>
          </w:tcPr>
          <w:p w14:paraId="5027DDB0"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Use of reclaimed material for road construction at Katoomba Waste Management Facility. Savings were achieved by not buying new material.</w:t>
            </w:r>
          </w:p>
        </w:tc>
        <w:tc>
          <w:tcPr>
            <w:tcW w:w="1254" w:type="dxa"/>
          </w:tcPr>
          <w:p w14:paraId="24707764"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$60,000</w:t>
            </w:r>
          </w:p>
        </w:tc>
        <w:tc>
          <w:tcPr>
            <w:tcW w:w="1329" w:type="dxa"/>
          </w:tcPr>
          <w:p w14:paraId="09A0F1A0" w14:textId="77777777" w:rsidR="001F515C" w:rsidRPr="00CC740C" w:rsidRDefault="001F515C" w:rsidP="003F6431">
            <w:pPr>
              <w:spacing w:line="276" w:lineRule="auto"/>
              <w:jc w:val="right"/>
              <w:rPr>
                <w:rFonts w:ascii="Arial" w:hAnsi="Arial" w:cs="Arial"/>
                <w:sz w:val="20"/>
                <w:szCs w:val="20"/>
              </w:rPr>
            </w:pPr>
          </w:p>
        </w:tc>
      </w:tr>
      <w:tr w:rsidR="001F515C" w14:paraId="16226634" w14:textId="77777777" w:rsidTr="003F6431">
        <w:tc>
          <w:tcPr>
            <w:tcW w:w="6345" w:type="dxa"/>
          </w:tcPr>
          <w:p w14:paraId="1B40A2AB"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Kerbside Chipping – reduction in overtime as third kerbside chipping team should manage current workload requiring no further overtime to meet demand.</w:t>
            </w:r>
          </w:p>
        </w:tc>
        <w:tc>
          <w:tcPr>
            <w:tcW w:w="1254" w:type="dxa"/>
          </w:tcPr>
          <w:p w14:paraId="19AD4414"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$60,000</w:t>
            </w:r>
          </w:p>
        </w:tc>
        <w:tc>
          <w:tcPr>
            <w:tcW w:w="1329" w:type="dxa"/>
          </w:tcPr>
          <w:p w14:paraId="27197175" w14:textId="77777777" w:rsidR="001F515C" w:rsidRPr="00CC740C" w:rsidRDefault="001F515C" w:rsidP="003F6431">
            <w:pPr>
              <w:spacing w:line="276" w:lineRule="auto"/>
              <w:jc w:val="right"/>
              <w:rPr>
                <w:rFonts w:ascii="Arial" w:hAnsi="Arial" w:cs="Arial"/>
                <w:sz w:val="20"/>
                <w:szCs w:val="20"/>
              </w:rPr>
            </w:pPr>
          </w:p>
        </w:tc>
      </w:tr>
      <w:tr w:rsidR="001F515C" w14:paraId="3B96FA86" w14:textId="77777777" w:rsidTr="003F6431">
        <w:tc>
          <w:tcPr>
            <w:tcW w:w="6345" w:type="dxa"/>
          </w:tcPr>
          <w:p w14:paraId="40B7A46B"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Additional savings made from the change in the chipping and bulky waste collection service from a scheduled, whole of city program to an on-demand/booked service. (Different to savings above)</w:t>
            </w:r>
          </w:p>
        </w:tc>
        <w:tc>
          <w:tcPr>
            <w:tcW w:w="1254" w:type="dxa"/>
          </w:tcPr>
          <w:p w14:paraId="602B7A4E"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$50,000</w:t>
            </w:r>
          </w:p>
        </w:tc>
        <w:tc>
          <w:tcPr>
            <w:tcW w:w="1329" w:type="dxa"/>
          </w:tcPr>
          <w:p w14:paraId="7EFFEF94" w14:textId="77777777" w:rsidR="001F515C" w:rsidRPr="00CC740C" w:rsidRDefault="001F515C" w:rsidP="003F6431">
            <w:pPr>
              <w:spacing w:line="276" w:lineRule="auto"/>
              <w:jc w:val="right"/>
              <w:rPr>
                <w:rFonts w:ascii="Arial" w:hAnsi="Arial" w:cs="Arial"/>
                <w:sz w:val="20"/>
                <w:szCs w:val="20"/>
              </w:rPr>
            </w:pPr>
          </w:p>
        </w:tc>
      </w:tr>
      <w:tr w:rsidR="001F515C" w14:paraId="2C43D7A3" w14:textId="77777777" w:rsidTr="003F6431">
        <w:tc>
          <w:tcPr>
            <w:tcW w:w="6345" w:type="dxa"/>
          </w:tcPr>
          <w:p w14:paraId="2A15C6F7"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Removal of bottle bank in the library carpark</w:t>
            </w:r>
          </w:p>
        </w:tc>
        <w:tc>
          <w:tcPr>
            <w:tcW w:w="1254" w:type="dxa"/>
          </w:tcPr>
          <w:p w14:paraId="207EB4DE"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$14,800</w:t>
            </w:r>
          </w:p>
        </w:tc>
        <w:tc>
          <w:tcPr>
            <w:tcW w:w="1329" w:type="dxa"/>
          </w:tcPr>
          <w:p w14:paraId="37ED78E6" w14:textId="77777777" w:rsidR="001F515C" w:rsidRPr="00CC740C" w:rsidRDefault="001F515C" w:rsidP="003F6431">
            <w:pPr>
              <w:spacing w:line="276" w:lineRule="auto"/>
              <w:jc w:val="right"/>
              <w:rPr>
                <w:rFonts w:ascii="Arial" w:hAnsi="Arial" w:cs="Arial"/>
                <w:sz w:val="20"/>
                <w:szCs w:val="20"/>
              </w:rPr>
            </w:pPr>
          </w:p>
        </w:tc>
      </w:tr>
      <w:tr w:rsidR="001F515C" w14:paraId="4E707284" w14:textId="77777777" w:rsidTr="003F6431">
        <w:tc>
          <w:tcPr>
            <w:tcW w:w="7599" w:type="dxa"/>
            <w:gridSpan w:val="2"/>
            <w:shd w:val="clear" w:color="auto" w:fill="DBE5F1" w:themeFill="accent1" w:themeFillTint="33"/>
          </w:tcPr>
          <w:p w14:paraId="41B45804" w14:textId="77777777" w:rsidR="001F515C" w:rsidRPr="00CC740C" w:rsidRDefault="001F515C" w:rsidP="003F6431">
            <w:pPr>
              <w:spacing w:line="276" w:lineRule="auto"/>
              <w:rPr>
                <w:rFonts w:ascii="Arial" w:hAnsi="Arial" w:cs="Arial"/>
                <w:b/>
                <w:color w:val="404040"/>
                <w:sz w:val="20"/>
                <w:szCs w:val="20"/>
              </w:rPr>
            </w:pPr>
            <w:r w:rsidRPr="00CC740C">
              <w:rPr>
                <w:rFonts w:ascii="Arial" w:hAnsi="Arial" w:cs="Arial"/>
                <w:b/>
                <w:sz w:val="20"/>
                <w:szCs w:val="20"/>
              </w:rPr>
              <w:t>Work Redesign and Productivity</w:t>
            </w:r>
          </w:p>
        </w:tc>
        <w:tc>
          <w:tcPr>
            <w:tcW w:w="1329" w:type="dxa"/>
            <w:shd w:val="clear" w:color="auto" w:fill="DBE5F1" w:themeFill="accent1" w:themeFillTint="33"/>
          </w:tcPr>
          <w:p w14:paraId="3EA15616" w14:textId="77777777" w:rsidR="001F515C" w:rsidRPr="00CC740C" w:rsidRDefault="001F515C" w:rsidP="003F6431">
            <w:pPr>
              <w:spacing w:line="276" w:lineRule="auto"/>
              <w:jc w:val="right"/>
              <w:rPr>
                <w:rFonts w:ascii="Arial" w:hAnsi="Arial" w:cs="Arial"/>
                <w:b/>
                <w:sz w:val="20"/>
                <w:szCs w:val="20"/>
              </w:rPr>
            </w:pPr>
            <w:r w:rsidRPr="00CC740C">
              <w:rPr>
                <w:rFonts w:ascii="Arial" w:hAnsi="Arial" w:cs="Arial"/>
                <w:b/>
                <w:color w:val="404040"/>
                <w:sz w:val="20"/>
                <w:szCs w:val="20"/>
              </w:rPr>
              <w:t>$3,622,600</w:t>
            </w:r>
          </w:p>
        </w:tc>
      </w:tr>
      <w:tr w:rsidR="001F515C" w14:paraId="528566EA" w14:textId="77777777" w:rsidTr="003F6431">
        <w:tc>
          <w:tcPr>
            <w:tcW w:w="6345" w:type="dxa"/>
          </w:tcPr>
          <w:p w14:paraId="4AE61AB4"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Rationalised the parks team by using day labour in the growing season, rather than full-time employees. This provided savings in employment and plant costs.</w:t>
            </w:r>
          </w:p>
        </w:tc>
        <w:tc>
          <w:tcPr>
            <w:tcW w:w="1254" w:type="dxa"/>
          </w:tcPr>
          <w:p w14:paraId="789B42AE"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$680,000</w:t>
            </w:r>
          </w:p>
        </w:tc>
        <w:tc>
          <w:tcPr>
            <w:tcW w:w="1329" w:type="dxa"/>
          </w:tcPr>
          <w:p w14:paraId="7759FE80" w14:textId="77777777" w:rsidR="001F515C" w:rsidRPr="00CC740C" w:rsidRDefault="001F515C" w:rsidP="003F6431">
            <w:pPr>
              <w:spacing w:line="276" w:lineRule="auto"/>
              <w:jc w:val="right"/>
              <w:rPr>
                <w:rFonts w:ascii="Arial" w:hAnsi="Arial" w:cs="Arial"/>
                <w:sz w:val="20"/>
                <w:szCs w:val="20"/>
              </w:rPr>
            </w:pPr>
          </w:p>
        </w:tc>
      </w:tr>
      <w:tr w:rsidR="001F515C" w14:paraId="416E8609" w14:textId="77777777" w:rsidTr="003F6431">
        <w:tc>
          <w:tcPr>
            <w:tcW w:w="6345" w:type="dxa"/>
          </w:tcPr>
          <w:p w14:paraId="62CA06EE"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 xml:space="preserve">Rationalised the road maintenance team to account for increased productivity. This resulted in employment and plant cost savings with no loss in the level of service. </w:t>
            </w:r>
          </w:p>
        </w:tc>
        <w:tc>
          <w:tcPr>
            <w:tcW w:w="1254" w:type="dxa"/>
          </w:tcPr>
          <w:p w14:paraId="7B78D630"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$680,000</w:t>
            </w:r>
          </w:p>
        </w:tc>
        <w:tc>
          <w:tcPr>
            <w:tcW w:w="1329" w:type="dxa"/>
          </w:tcPr>
          <w:p w14:paraId="65BDE7B2" w14:textId="77777777" w:rsidR="001F515C" w:rsidRPr="00CC740C" w:rsidRDefault="001F515C" w:rsidP="003F6431">
            <w:pPr>
              <w:spacing w:line="276" w:lineRule="auto"/>
              <w:jc w:val="right"/>
              <w:rPr>
                <w:rFonts w:ascii="Arial" w:hAnsi="Arial" w:cs="Arial"/>
                <w:sz w:val="20"/>
                <w:szCs w:val="20"/>
              </w:rPr>
            </w:pPr>
          </w:p>
        </w:tc>
      </w:tr>
      <w:tr w:rsidR="001F515C" w14:paraId="1BF0631F" w14:textId="77777777" w:rsidTr="003F6431">
        <w:tc>
          <w:tcPr>
            <w:tcW w:w="6345" w:type="dxa"/>
          </w:tcPr>
          <w:p w14:paraId="4818D01A" w14:textId="77777777" w:rsidR="001F515C" w:rsidRPr="008A7583" w:rsidRDefault="001F515C" w:rsidP="003F6431">
            <w:pPr>
              <w:spacing w:line="276" w:lineRule="auto"/>
              <w:rPr>
                <w:rFonts w:ascii="Arial" w:hAnsi="Arial" w:cs="Arial"/>
                <w:color w:val="000000" w:themeColor="text1"/>
                <w:sz w:val="20"/>
                <w:szCs w:val="20"/>
              </w:rPr>
            </w:pPr>
            <w:r w:rsidRPr="008A7583">
              <w:rPr>
                <w:rFonts w:ascii="Arial" w:hAnsi="Arial" w:cs="Arial"/>
                <w:color w:val="000000" w:themeColor="text1"/>
                <w:sz w:val="20"/>
                <w:szCs w:val="20"/>
              </w:rPr>
              <w:t xml:space="preserve">Consolidated the Customer Services and Information Technology branches leading to savings in employment and vehicle costs. </w:t>
            </w:r>
          </w:p>
        </w:tc>
        <w:tc>
          <w:tcPr>
            <w:tcW w:w="1254" w:type="dxa"/>
          </w:tcPr>
          <w:p w14:paraId="7AF43E33"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$452,000</w:t>
            </w:r>
          </w:p>
        </w:tc>
        <w:tc>
          <w:tcPr>
            <w:tcW w:w="1329" w:type="dxa"/>
          </w:tcPr>
          <w:p w14:paraId="070312AE" w14:textId="3E875FEE" w:rsidR="001F515C" w:rsidRPr="00CC740C" w:rsidRDefault="001F515C" w:rsidP="003F6431">
            <w:pPr>
              <w:spacing w:line="276" w:lineRule="auto"/>
              <w:jc w:val="right"/>
              <w:rPr>
                <w:rFonts w:ascii="Arial" w:hAnsi="Arial" w:cs="Arial"/>
                <w:sz w:val="20"/>
                <w:szCs w:val="20"/>
              </w:rPr>
            </w:pPr>
          </w:p>
        </w:tc>
      </w:tr>
      <w:tr w:rsidR="001F515C" w14:paraId="6C8ED307" w14:textId="77777777" w:rsidTr="003F6431">
        <w:tc>
          <w:tcPr>
            <w:tcW w:w="6345" w:type="dxa"/>
          </w:tcPr>
          <w:p w14:paraId="701761CB" w14:textId="77777777" w:rsidR="001F515C" w:rsidRPr="008A7583" w:rsidRDefault="001F515C" w:rsidP="003F6431">
            <w:pPr>
              <w:spacing w:line="276" w:lineRule="auto"/>
              <w:rPr>
                <w:rFonts w:ascii="Arial" w:hAnsi="Arial" w:cs="Arial"/>
                <w:color w:val="000000" w:themeColor="text1"/>
                <w:sz w:val="20"/>
                <w:szCs w:val="20"/>
              </w:rPr>
            </w:pPr>
            <w:r w:rsidRPr="008A7583">
              <w:rPr>
                <w:rFonts w:ascii="Arial" w:hAnsi="Arial" w:cs="Arial"/>
                <w:color w:val="000000" w:themeColor="text1"/>
                <w:sz w:val="20"/>
                <w:szCs w:val="20"/>
              </w:rPr>
              <w:t xml:space="preserve">Consolidated the. Environmental &amp; Regulatory Compliance and Land Use Management branches leading to savings in employment and vehicle costs. </w:t>
            </w:r>
          </w:p>
        </w:tc>
        <w:tc>
          <w:tcPr>
            <w:tcW w:w="1254" w:type="dxa"/>
          </w:tcPr>
          <w:p w14:paraId="4C0F982A"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$240,000</w:t>
            </w:r>
          </w:p>
        </w:tc>
        <w:tc>
          <w:tcPr>
            <w:tcW w:w="1329" w:type="dxa"/>
          </w:tcPr>
          <w:p w14:paraId="0D4D60FF" w14:textId="6A77F757" w:rsidR="001F515C" w:rsidRPr="00CC740C" w:rsidRDefault="001F515C" w:rsidP="003F6431">
            <w:pPr>
              <w:spacing w:line="276" w:lineRule="auto"/>
              <w:jc w:val="right"/>
              <w:rPr>
                <w:rFonts w:ascii="Arial" w:hAnsi="Arial" w:cs="Arial"/>
                <w:sz w:val="20"/>
                <w:szCs w:val="20"/>
              </w:rPr>
            </w:pPr>
          </w:p>
        </w:tc>
      </w:tr>
      <w:tr w:rsidR="001F515C" w14:paraId="4163822D" w14:textId="77777777" w:rsidTr="003F6431">
        <w:tc>
          <w:tcPr>
            <w:tcW w:w="6345" w:type="dxa"/>
          </w:tcPr>
          <w:p w14:paraId="3E429CD1"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Cemeteries team rationalised through increased productivity. One full time position transferred from cemeteries to pavement team to reduce labour hire costs.</w:t>
            </w:r>
          </w:p>
        </w:tc>
        <w:tc>
          <w:tcPr>
            <w:tcW w:w="1254" w:type="dxa"/>
          </w:tcPr>
          <w:p w14:paraId="1C86DFB6"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$240,000</w:t>
            </w:r>
          </w:p>
        </w:tc>
        <w:tc>
          <w:tcPr>
            <w:tcW w:w="1329" w:type="dxa"/>
          </w:tcPr>
          <w:p w14:paraId="7D40FE2A" w14:textId="77777777" w:rsidR="001F515C" w:rsidRPr="00CC740C" w:rsidRDefault="001F515C" w:rsidP="003F6431">
            <w:pPr>
              <w:spacing w:line="276" w:lineRule="auto"/>
              <w:jc w:val="right"/>
              <w:rPr>
                <w:rFonts w:ascii="Arial" w:hAnsi="Arial" w:cs="Arial"/>
                <w:sz w:val="20"/>
                <w:szCs w:val="20"/>
              </w:rPr>
            </w:pPr>
          </w:p>
        </w:tc>
      </w:tr>
      <w:tr w:rsidR="001F515C" w14:paraId="47053AF6" w14:textId="77777777" w:rsidTr="003F6431">
        <w:tc>
          <w:tcPr>
            <w:tcW w:w="6345" w:type="dxa"/>
          </w:tcPr>
          <w:p w14:paraId="2185C800"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Sign truck staffing reduced from 2 person to 1 person with production maintained and unit rates reduced.</w:t>
            </w:r>
          </w:p>
        </w:tc>
        <w:tc>
          <w:tcPr>
            <w:tcW w:w="1254" w:type="dxa"/>
          </w:tcPr>
          <w:p w14:paraId="24565EB3"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$240,000</w:t>
            </w:r>
          </w:p>
        </w:tc>
        <w:tc>
          <w:tcPr>
            <w:tcW w:w="1329" w:type="dxa"/>
          </w:tcPr>
          <w:p w14:paraId="207BC36F" w14:textId="77777777" w:rsidR="001F515C" w:rsidRPr="00CC740C" w:rsidRDefault="001F515C" w:rsidP="003F6431">
            <w:pPr>
              <w:spacing w:line="276" w:lineRule="auto"/>
              <w:jc w:val="right"/>
              <w:rPr>
                <w:rFonts w:ascii="Arial" w:hAnsi="Arial" w:cs="Arial"/>
                <w:sz w:val="20"/>
                <w:szCs w:val="20"/>
              </w:rPr>
            </w:pPr>
          </w:p>
        </w:tc>
      </w:tr>
      <w:tr w:rsidR="001F515C" w14:paraId="4D735DCD" w14:textId="77777777" w:rsidTr="003F6431">
        <w:tc>
          <w:tcPr>
            <w:tcW w:w="6345" w:type="dxa"/>
          </w:tcPr>
          <w:p w14:paraId="2EB3CDB4"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Savings from 1 EFT staff in the bush regeneration team</w:t>
            </w:r>
          </w:p>
        </w:tc>
        <w:tc>
          <w:tcPr>
            <w:tcW w:w="1254" w:type="dxa"/>
          </w:tcPr>
          <w:p w14:paraId="42E7402B"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$240,000</w:t>
            </w:r>
          </w:p>
        </w:tc>
        <w:tc>
          <w:tcPr>
            <w:tcW w:w="1329" w:type="dxa"/>
          </w:tcPr>
          <w:p w14:paraId="3C9579ED" w14:textId="77777777" w:rsidR="001F515C" w:rsidRPr="00CC740C" w:rsidRDefault="001F515C" w:rsidP="003F6431">
            <w:pPr>
              <w:spacing w:line="276" w:lineRule="auto"/>
              <w:jc w:val="right"/>
              <w:rPr>
                <w:rFonts w:ascii="Arial" w:hAnsi="Arial" w:cs="Arial"/>
                <w:sz w:val="20"/>
                <w:szCs w:val="20"/>
              </w:rPr>
            </w:pPr>
          </w:p>
        </w:tc>
      </w:tr>
      <w:tr w:rsidR="001F515C" w14:paraId="58F39123" w14:textId="77777777" w:rsidTr="003F6431">
        <w:tc>
          <w:tcPr>
            <w:tcW w:w="6345" w:type="dxa"/>
          </w:tcPr>
          <w:p w14:paraId="5DE2601B"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Reduction of mechanical maintenance staff to meet changed service intervals of modern equipment. Implemented over the previous 5 years.</w:t>
            </w:r>
          </w:p>
        </w:tc>
        <w:tc>
          <w:tcPr>
            <w:tcW w:w="1254" w:type="dxa"/>
          </w:tcPr>
          <w:p w14:paraId="508DD575"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$195,000</w:t>
            </w:r>
          </w:p>
        </w:tc>
        <w:tc>
          <w:tcPr>
            <w:tcW w:w="1329" w:type="dxa"/>
          </w:tcPr>
          <w:p w14:paraId="6C42C7B0" w14:textId="77777777" w:rsidR="001F515C" w:rsidRPr="00CC740C" w:rsidRDefault="001F515C" w:rsidP="003F6431">
            <w:pPr>
              <w:spacing w:line="276" w:lineRule="auto"/>
              <w:jc w:val="right"/>
              <w:rPr>
                <w:rFonts w:ascii="Arial" w:hAnsi="Arial" w:cs="Arial"/>
                <w:sz w:val="20"/>
                <w:szCs w:val="20"/>
              </w:rPr>
            </w:pPr>
          </w:p>
        </w:tc>
      </w:tr>
      <w:tr w:rsidR="001F515C" w14:paraId="239A9620" w14:textId="77777777" w:rsidTr="003F6431">
        <w:tc>
          <w:tcPr>
            <w:tcW w:w="6345" w:type="dxa"/>
          </w:tcPr>
          <w:p w14:paraId="1313E2A1"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Savings from 1 EFT staff in the noxious weeds team</w:t>
            </w:r>
          </w:p>
        </w:tc>
        <w:tc>
          <w:tcPr>
            <w:tcW w:w="1254" w:type="dxa"/>
          </w:tcPr>
          <w:p w14:paraId="7CE9F813"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$180,000</w:t>
            </w:r>
          </w:p>
        </w:tc>
        <w:tc>
          <w:tcPr>
            <w:tcW w:w="1329" w:type="dxa"/>
          </w:tcPr>
          <w:p w14:paraId="36DEFCF2" w14:textId="77777777" w:rsidR="001F515C" w:rsidRPr="00CC740C" w:rsidRDefault="001F515C" w:rsidP="003F6431">
            <w:pPr>
              <w:spacing w:line="276" w:lineRule="auto"/>
              <w:jc w:val="right"/>
              <w:rPr>
                <w:rFonts w:ascii="Arial" w:hAnsi="Arial" w:cs="Arial"/>
                <w:sz w:val="20"/>
                <w:szCs w:val="20"/>
              </w:rPr>
            </w:pPr>
          </w:p>
        </w:tc>
      </w:tr>
      <w:tr w:rsidR="001F515C" w14:paraId="53EC0175" w14:textId="77777777" w:rsidTr="003F6431">
        <w:tc>
          <w:tcPr>
            <w:tcW w:w="6345" w:type="dxa"/>
          </w:tcPr>
          <w:p w14:paraId="7C7E04AA"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Use of multi-skilled staff to provide front reception service</w:t>
            </w:r>
          </w:p>
        </w:tc>
        <w:tc>
          <w:tcPr>
            <w:tcW w:w="1254" w:type="dxa"/>
          </w:tcPr>
          <w:p w14:paraId="0985F30F"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$168,000</w:t>
            </w:r>
          </w:p>
        </w:tc>
        <w:tc>
          <w:tcPr>
            <w:tcW w:w="1329" w:type="dxa"/>
          </w:tcPr>
          <w:p w14:paraId="72CA3F51" w14:textId="77777777" w:rsidR="001F515C" w:rsidRPr="00CC740C" w:rsidRDefault="001F515C" w:rsidP="003F6431">
            <w:pPr>
              <w:spacing w:line="276" w:lineRule="auto"/>
              <w:jc w:val="right"/>
              <w:rPr>
                <w:rFonts w:ascii="Arial" w:hAnsi="Arial" w:cs="Arial"/>
                <w:sz w:val="20"/>
                <w:szCs w:val="20"/>
              </w:rPr>
            </w:pPr>
          </w:p>
        </w:tc>
      </w:tr>
      <w:tr w:rsidR="001F515C" w14:paraId="0DF672AF" w14:textId="77777777" w:rsidTr="003F6431">
        <w:tc>
          <w:tcPr>
            <w:tcW w:w="6345" w:type="dxa"/>
          </w:tcPr>
          <w:p w14:paraId="2000C916"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 xml:space="preserve">Increased productivity in roads maintenance meant the civil construction team did not have to fill a recent vacancy. Extra day labour will be hired if a project demands it. </w:t>
            </w:r>
          </w:p>
        </w:tc>
        <w:tc>
          <w:tcPr>
            <w:tcW w:w="1254" w:type="dxa"/>
          </w:tcPr>
          <w:p w14:paraId="592F13D4"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$120,000</w:t>
            </w:r>
          </w:p>
        </w:tc>
        <w:tc>
          <w:tcPr>
            <w:tcW w:w="1329" w:type="dxa"/>
          </w:tcPr>
          <w:p w14:paraId="7E1886C0" w14:textId="77777777" w:rsidR="001F515C" w:rsidRPr="00CC740C" w:rsidRDefault="001F515C" w:rsidP="003F6431">
            <w:pPr>
              <w:spacing w:line="276" w:lineRule="auto"/>
              <w:jc w:val="right"/>
              <w:rPr>
                <w:rFonts w:ascii="Arial" w:hAnsi="Arial" w:cs="Arial"/>
                <w:sz w:val="20"/>
                <w:szCs w:val="20"/>
              </w:rPr>
            </w:pPr>
          </w:p>
        </w:tc>
      </w:tr>
      <w:tr w:rsidR="001F515C" w14:paraId="1701D7A1" w14:textId="77777777" w:rsidTr="003F6431">
        <w:tc>
          <w:tcPr>
            <w:tcW w:w="6345" w:type="dxa"/>
          </w:tcPr>
          <w:p w14:paraId="429A4B83"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 xml:space="preserve">Reduction in employment costs with pre cataloguing negotiated as part of a strategic procurement package </w:t>
            </w:r>
          </w:p>
        </w:tc>
        <w:tc>
          <w:tcPr>
            <w:tcW w:w="1254" w:type="dxa"/>
          </w:tcPr>
          <w:p w14:paraId="344FB350"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$80,000</w:t>
            </w:r>
          </w:p>
        </w:tc>
        <w:tc>
          <w:tcPr>
            <w:tcW w:w="1329" w:type="dxa"/>
          </w:tcPr>
          <w:p w14:paraId="709ECBEB" w14:textId="77777777" w:rsidR="001F515C" w:rsidRPr="00CC740C" w:rsidRDefault="001F515C" w:rsidP="003F6431">
            <w:pPr>
              <w:spacing w:line="276" w:lineRule="auto"/>
              <w:jc w:val="right"/>
              <w:rPr>
                <w:rFonts w:ascii="Arial" w:hAnsi="Arial" w:cs="Arial"/>
                <w:sz w:val="20"/>
                <w:szCs w:val="20"/>
              </w:rPr>
            </w:pPr>
          </w:p>
        </w:tc>
      </w:tr>
      <w:tr w:rsidR="001F515C" w14:paraId="65884E50" w14:textId="77777777" w:rsidTr="003F6431">
        <w:tc>
          <w:tcPr>
            <w:tcW w:w="6345" w:type="dxa"/>
          </w:tcPr>
          <w:p w14:paraId="3CBA0C7C"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Visitor Information Centres. Revised rosters to better suit peaks and troughs in visitation have led to employment savings.</w:t>
            </w:r>
          </w:p>
        </w:tc>
        <w:tc>
          <w:tcPr>
            <w:tcW w:w="1254" w:type="dxa"/>
          </w:tcPr>
          <w:p w14:paraId="487DD873"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$40,000</w:t>
            </w:r>
          </w:p>
        </w:tc>
        <w:tc>
          <w:tcPr>
            <w:tcW w:w="1329" w:type="dxa"/>
          </w:tcPr>
          <w:p w14:paraId="1EE580BB" w14:textId="77777777" w:rsidR="001F515C" w:rsidRPr="00CC740C" w:rsidRDefault="001F515C" w:rsidP="003F6431">
            <w:pPr>
              <w:spacing w:line="276" w:lineRule="auto"/>
              <w:jc w:val="right"/>
              <w:rPr>
                <w:rFonts w:ascii="Arial" w:hAnsi="Arial" w:cs="Arial"/>
                <w:sz w:val="20"/>
                <w:szCs w:val="20"/>
              </w:rPr>
            </w:pPr>
          </w:p>
        </w:tc>
      </w:tr>
      <w:tr w:rsidR="001F515C" w14:paraId="468F245F" w14:textId="77777777" w:rsidTr="003F6431">
        <w:tc>
          <w:tcPr>
            <w:tcW w:w="6345" w:type="dxa"/>
          </w:tcPr>
          <w:p w14:paraId="39313EBC"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Reduction of casual budget for Bushcare, where some volunteer groups are now self sufficient and can operate without supervision during periods of staff leave.</w:t>
            </w:r>
          </w:p>
        </w:tc>
        <w:tc>
          <w:tcPr>
            <w:tcW w:w="1254" w:type="dxa"/>
          </w:tcPr>
          <w:p w14:paraId="31408CD0"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$36,000</w:t>
            </w:r>
          </w:p>
        </w:tc>
        <w:tc>
          <w:tcPr>
            <w:tcW w:w="1329" w:type="dxa"/>
          </w:tcPr>
          <w:p w14:paraId="1466CB3A" w14:textId="77777777" w:rsidR="001F515C" w:rsidRPr="00CC740C" w:rsidRDefault="001F515C" w:rsidP="003F6431">
            <w:pPr>
              <w:spacing w:line="276" w:lineRule="auto"/>
              <w:jc w:val="right"/>
              <w:rPr>
                <w:rFonts w:ascii="Arial" w:hAnsi="Arial" w:cs="Arial"/>
                <w:sz w:val="20"/>
                <w:szCs w:val="20"/>
              </w:rPr>
            </w:pPr>
          </w:p>
        </w:tc>
      </w:tr>
      <w:tr w:rsidR="001F515C" w14:paraId="72E6E90D" w14:textId="77777777" w:rsidTr="003F6431">
        <w:tc>
          <w:tcPr>
            <w:tcW w:w="6345" w:type="dxa"/>
          </w:tcPr>
          <w:p w14:paraId="7C73221B"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Training costs of accredited certifiers – using training options other than (more expensive) external courses to achieve Continual Professional Development (CPD) points for accreditation. Examples include shared in-house training with Penrith Council and online training.</w:t>
            </w:r>
          </w:p>
        </w:tc>
        <w:tc>
          <w:tcPr>
            <w:tcW w:w="1254" w:type="dxa"/>
          </w:tcPr>
          <w:p w14:paraId="67F05E97"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$16,600</w:t>
            </w:r>
          </w:p>
        </w:tc>
        <w:tc>
          <w:tcPr>
            <w:tcW w:w="1329" w:type="dxa"/>
          </w:tcPr>
          <w:p w14:paraId="0B69BF92" w14:textId="77777777" w:rsidR="001F515C" w:rsidRPr="00CC740C" w:rsidRDefault="001F515C" w:rsidP="003F6431">
            <w:pPr>
              <w:spacing w:line="276" w:lineRule="auto"/>
              <w:jc w:val="right"/>
              <w:rPr>
                <w:rFonts w:ascii="Arial" w:hAnsi="Arial" w:cs="Arial"/>
                <w:sz w:val="20"/>
                <w:szCs w:val="20"/>
              </w:rPr>
            </w:pPr>
          </w:p>
        </w:tc>
      </w:tr>
      <w:tr w:rsidR="001F515C" w14:paraId="5DFE8923" w14:textId="77777777" w:rsidTr="003F6431">
        <w:tc>
          <w:tcPr>
            <w:tcW w:w="6345" w:type="dxa"/>
          </w:tcPr>
          <w:p w14:paraId="1F878D96"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Changed from external energy reporting provider to in-house reporting</w:t>
            </w:r>
          </w:p>
        </w:tc>
        <w:tc>
          <w:tcPr>
            <w:tcW w:w="1254" w:type="dxa"/>
          </w:tcPr>
          <w:p w14:paraId="2E4F82B1"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$10,000</w:t>
            </w:r>
          </w:p>
        </w:tc>
        <w:tc>
          <w:tcPr>
            <w:tcW w:w="1329" w:type="dxa"/>
          </w:tcPr>
          <w:p w14:paraId="3B5599EA" w14:textId="77777777" w:rsidR="001F515C" w:rsidRPr="00CC740C" w:rsidRDefault="001F515C" w:rsidP="003F6431">
            <w:pPr>
              <w:spacing w:line="276" w:lineRule="auto"/>
              <w:jc w:val="right"/>
              <w:rPr>
                <w:rFonts w:ascii="Arial" w:hAnsi="Arial" w:cs="Arial"/>
                <w:sz w:val="20"/>
                <w:szCs w:val="20"/>
              </w:rPr>
            </w:pPr>
          </w:p>
        </w:tc>
      </w:tr>
      <w:tr w:rsidR="001F515C" w14:paraId="38134F9D" w14:textId="77777777" w:rsidTr="003F6431">
        <w:tc>
          <w:tcPr>
            <w:tcW w:w="6345" w:type="dxa"/>
          </w:tcPr>
          <w:p w14:paraId="08DFE979" w14:textId="77777777" w:rsidR="001F515C" w:rsidRPr="00CC740C" w:rsidRDefault="001F515C" w:rsidP="003F6431">
            <w:pPr>
              <w:spacing w:line="276" w:lineRule="auto"/>
              <w:rPr>
                <w:rFonts w:ascii="Arial" w:hAnsi="Arial" w:cs="Arial"/>
                <w:color w:val="404040"/>
                <w:sz w:val="20"/>
                <w:szCs w:val="20"/>
              </w:rPr>
            </w:pPr>
            <w:r w:rsidRPr="00CC740C">
              <w:rPr>
                <w:rFonts w:ascii="Arial" w:hAnsi="Arial" w:cs="Arial"/>
                <w:color w:val="404040"/>
                <w:sz w:val="20"/>
                <w:szCs w:val="20"/>
              </w:rPr>
              <w:t>Reduction in consultancy costs with reciprocal arrangements for peer review of development applications with other local government service providers.</w:t>
            </w:r>
          </w:p>
        </w:tc>
        <w:tc>
          <w:tcPr>
            <w:tcW w:w="1254" w:type="dxa"/>
          </w:tcPr>
          <w:p w14:paraId="110C6DB3" w14:textId="77777777" w:rsidR="001F515C" w:rsidRPr="00CC740C" w:rsidRDefault="001F515C" w:rsidP="003F6431">
            <w:pPr>
              <w:spacing w:line="276" w:lineRule="auto"/>
              <w:jc w:val="right"/>
              <w:rPr>
                <w:rFonts w:ascii="Arial" w:hAnsi="Arial" w:cs="Arial"/>
                <w:color w:val="404040"/>
                <w:sz w:val="20"/>
                <w:szCs w:val="20"/>
              </w:rPr>
            </w:pPr>
            <w:r w:rsidRPr="00CC740C">
              <w:rPr>
                <w:rFonts w:ascii="Arial" w:hAnsi="Arial" w:cs="Arial"/>
                <w:color w:val="404040"/>
                <w:sz w:val="20"/>
                <w:szCs w:val="20"/>
              </w:rPr>
              <w:t>$5,000</w:t>
            </w:r>
          </w:p>
        </w:tc>
        <w:tc>
          <w:tcPr>
            <w:tcW w:w="1329" w:type="dxa"/>
          </w:tcPr>
          <w:p w14:paraId="24D91BFC" w14:textId="77777777" w:rsidR="001F515C" w:rsidRPr="00CC740C" w:rsidRDefault="001F515C" w:rsidP="003F6431">
            <w:pPr>
              <w:spacing w:line="276" w:lineRule="auto"/>
              <w:jc w:val="right"/>
              <w:rPr>
                <w:rFonts w:ascii="Arial" w:hAnsi="Arial" w:cs="Arial"/>
                <w:sz w:val="20"/>
                <w:szCs w:val="20"/>
              </w:rPr>
            </w:pPr>
          </w:p>
        </w:tc>
      </w:tr>
      <w:tr w:rsidR="001F515C" w14:paraId="225C63AC" w14:textId="77777777" w:rsidTr="003F6431">
        <w:trPr>
          <w:trHeight w:val="312"/>
        </w:trPr>
        <w:tc>
          <w:tcPr>
            <w:tcW w:w="7599" w:type="dxa"/>
            <w:gridSpan w:val="2"/>
            <w:shd w:val="clear" w:color="auto" w:fill="95B3D7" w:themeFill="accent1" w:themeFillTint="99"/>
          </w:tcPr>
          <w:p w14:paraId="57E2154C" w14:textId="77777777" w:rsidR="001F515C" w:rsidRPr="00CC740C" w:rsidRDefault="001F515C" w:rsidP="003F6431">
            <w:pPr>
              <w:spacing w:line="276" w:lineRule="auto"/>
              <w:rPr>
                <w:rFonts w:ascii="Arial" w:hAnsi="Arial" w:cs="Arial"/>
                <w:b/>
                <w:color w:val="404040"/>
                <w:sz w:val="20"/>
                <w:szCs w:val="20"/>
              </w:rPr>
            </w:pPr>
            <w:r w:rsidRPr="00CC740C">
              <w:rPr>
                <w:rFonts w:ascii="Arial" w:hAnsi="Arial" w:cs="Arial"/>
                <w:b/>
                <w:sz w:val="20"/>
                <w:szCs w:val="20"/>
              </w:rPr>
              <w:t>Total Savings 2011/12-2014/15</w:t>
            </w:r>
          </w:p>
        </w:tc>
        <w:tc>
          <w:tcPr>
            <w:tcW w:w="1329" w:type="dxa"/>
            <w:shd w:val="clear" w:color="auto" w:fill="95B3D7" w:themeFill="accent1" w:themeFillTint="99"/>
          </w:tcPr>
          <w:p w14:paraId="1757E798" w14:textId="77777777" w:rsidR="001F515C" w:rsidRPr="00CC740C" w:rsidRDefault="001F515C" w:rsidP="003F6431">
            <w:pPr>
              <w:spacing w:line="276" w:lineRule="auto"/>
              <w:jc w:val="right"/>
              <w:rPr>
                <w:rFonts w:ascii="Arial" w:hAnsi="Arial" w:cs="Arial"/>
                <w:b/>
                <w:sz w:val="20"/>
                <w:szCs w:val="20"/>
              </w:rPr>
            </w:pPr>
            <w:r w:rsidRPr="00CC740C">
              <w:rPr>
                <w:rFonts w:ascii="Arial" w:hAnsi="Arial" w:cs="Arial"/>
                <w:b/>
                <w:sz w:val="20"/>
                <w:szCs w:val="20"/>
              </w:rPr>
              <w:t>$15,286,696</w:t>
            </w:r>
          </w:p>
        </w:tc>
      </w:tr>
    </w:tbl>
    <w:p w14:paraId="3FD5A496" w14:textId="5651633B" w:rsidR="001F515C" w:rsidRPr="00057853" w:rsidRDefault="001F515C" w:rsidP="00E72625">
      <w:pPr>
        <w:pStyle w:val="Heading3"/>
        <w:tabs>
          <w:tab w:val="clear" w:pos="1844"/>
          <w:tab w:val="num" w:pos="709"/>
        </w:tabs>
        <w:ind w:left="709"/>
      </w:pPr>
      <w:r>
        <w:t>Efficiencies</w:t>
      </w:r>
      <w:r w:rsidRPr="00057853">
        <w:t xml:space="preserve"> </w:t>
      </w:r>
      <w:r>
        <w:t>- Past</w:t>
      </w:r>
      <w:r w:rsidRPr="00057853">
        <w:t xml:space="preserve"> </w:t>
      </w:r>
    </w:p>
    <w:p w14:paraId="0B58B8E9" w14:textId="77777777" w:rsidR="00690B39" w:rsidRDefault="00690B39" w:rsidP="001F515C">
      <w:pPr>
        <w:spacing w:line="360" w:lineRule="auto"/>
        <w:jc w:val="both"/>
        <w:rPr>
          <w:rFonts w:ascii="Arial" w:hAnsi="Arial" w:cs="Arial"/>
          <w:sz w:val="21"/>
          <w:szCs w:val="21"/>
        </w:rPr>
      </w:pPr>
    </w:p>
    <w:p w14:paraId="0217D29B" w14:textId="0764146E" w:rsidR="001F515C" w:rsidRDefault="001F515C" w:rsidP="005B5F6F">
      <w:pPr>
        <w:spacing w:line="276" w:lineRule="auto"/>
        <w:jc w:val="both"/>
        <w:rPr>
          <w:rFonts w:ascii="Arial" w:hAnsi="Arial" w:cs="Arial"/>
          <w:sz w:val="21"/>
          <w:szCs w:val="21"/>
        </w:rPr>
      </w:pPr>
      <w:r w:rsidRPr="005C4F27">
        <w:rPr>
          <w:rFonts w:ascii="Arial" w:hAnsi="Arial" w:cs="Arial"/>
          <w:sz w:val="21"/>
          <w:szCs w:val="21"/>
        </w:rPr>
        <w:t xml:space="preserve">The Council </w:t>
      </w:r>
      <w:r w:rsidR="002C41FE">
        <w:rPr>
          <w:rFonts w:ascii="Arial" w:hAnsi="Arial" w:cs="Arial"/>
          <w:sz w:val="21"/>
          <w:szCs w:val="21"/>
        </w:rPr>
        <w:t xml:space="preserve">estimates it has </w:t>
      </w:r>
      <w:r>
        <w:rPr>
          <w:rFonts w:ascii="Arial" w:hAnsi="Arial" w:cs="Arial"/>
          <w:sz w:val="21"/>
          <w:szCs w:val="21"/>
        </w:rPr>
        <w:t xml:space="preserve">made </w:t>
      </w:r>
      <w:r w:rsidRPr="005C4F27">
        <w:rPr>
          <w:rFonts w:ascii="Arial" w:hAnsi="Arial" w:cs="Arial"/>
          <w:sz w:val="21"/>
          <w:szCs w:val="21"/>
        </w:rPr>
        <w:t>over</w:t>
      </w:r>
      <w:r>
        <w:rPr>
          <w:rFonts w:ascii="Arial" w:hAnsi="Arial" w:cs="Arial"/>
          <w:sz w:val="21"/>
          <w:szCs w:val="21"/>
        </w:rPr>
        <w:t xml:space="preserve"> $900,000 worth of efficiencies </w:t>
      </w:r>
      <w:r w:rsidRPr="005C4F27">
        <w:rPr>
          <w:rFonts w:ascii="Arial" w:hAnsi="Arial" w:cs="Arial"/>
          <w:sz w:val="21"/>
          <w:szCs w:val="21"/>
        </w:rPr>
        <w:t xml:space="preserve">as a result of the initiatives implemented in the table below. </w:t>
      </w:r>
    </w:p>
    <w:p w14:paraId="66F73C0E" w14:textId="77777777" w:rsidR="001F515C" w:rsidRDefault="001F515C" w:rsidP="001F515C">
      <w:pPr>
        <w:spacing w:line="360" w:lineRule="auto"/>
        <w:jc w:val="both"/>
        <w:rPr>
          <w:rFonts w:ascii="Arial" w:hAnsi="Arial" w:cs="Arial"/>
          <w:sz w:val="21"/>
          <w:szCs w:val="21"/>
        </w:rPr>
      </w:pPr>
    </w:p>
    <w:p w14:paraId="35C7C453" w14:textId="32B253E7" w:rsidR="001F515C" w:rsidRPr="005B5F6F" w:rsidRDefault="001F515C" w:rsidP="001F515C">
      <w:pPr>
        <w:spacing w:line="360" w:lineRule="auto"/>
        <w:jc w:val="both"/>
        <w:rPr>
          <w:rFonts w:ascii="Arial" w:hAnsi="Arial" w:cs="Arial"/>
          <w:b/>
          <w:sz w:val="18"/>
          <w:szCs w:val="18"/>
        </w:rPr>
      </w:pPr>
      <w:r w:rsidRPr="005B5F6F">
        <w:rPr>
          <w:rFonts w:ascii="Arial" w:hAnsi="Arial" w:cs="Arial"/>
          <w:b/>
          <w:sz w:val="18"/>
          <w:szCs w:val="18"/>
        </w:rPr>
        <w:t>Table 7.3</w:t>
      </w:r>
      <w:r w:rsidR="005B5F6F">
        <w:rPr>
          <w:rFonts w:ascii="Arial" w:hAnsi="Arial" w:cs="Arial"/>
          <w:b/>
          <w:sz w:val="18"/>
          <w:szCs w:val="18"/>
        </w:rPr>
        <w:t>:</w:t>
      </w:r>
      <w:r w:rsidRPr="005B5F6F">
        <w:rPr>
          <w:rFonts w:ascii="Arial" w:hAnsi="Arial" w:cs="Arial"/>
          <w:b/>
          <w:sz w:val="18"/>
          <w:szCs w:val="18"/>
        </w:rPr>
        <w:t xml:space="preserve"> Efficiencies 2011/12 - 2014/15</w:t>
      </w:r>
    </w:p>
    <w:tbl>
      <w:tblPr>
        <w:tblStyle w:val="TableGrid"/>
        <w:tblW w:w="9169" w:type="dxa"/>
        <w:tblInd w:w="-34" w:type="dxa"/>
        <w:tblLook w:val="04A0" w:firstRow="1" w:lastRow="0" w:firstColumn="1" w:lastColumn="0" w:noHBand="0" w:noVBand="1"/>
      </w:tblPr>
      <w:tblGrid>
        <w:gridCol w:w="6187"/>
        <w:gridCol w:w="1610"/>
        <w:gridCol w:w="1372"/>
      </w:tblGrid>
      <w:tr w:rsidR="001F515C" w:rsidRPr="00370487" w14:paraId="1938D9F6" w14:textId="77777777" w:rsidTr="00A27A01">
        <w:trPr>
          <w:cantSplit/>
          <w:trHeight w:val="703"/>
          <w:tblHeader/>
        </w:trPr>
        <w:tc>
          <w:tcPr>
            <w:tcW w:w="6187" w:type="dxa"/>
            <w:shd w:val="clear" w:color="auto" w:fill="4F81BD" w:themeFill="accent1"/>
            <w:vAlign w:val="center"/>
          </w:tcPr>
          <w:p w14:paraId="4BC36976" w14:textId="116EA66F" w:rsidR="001F515C" w:rsidRPr="00A27A01" w:rsidRDefault="00A27A01" w:rsidP="003F6431">
            <w:pPr>
              <w:spacing w:line="276" w:lineRule="auto"/>
              <w:jc w:val="center"/>
              <w:rPr>
                <w:rFonts w:ascii="Arial" w:hAnsi="Arial" w:cs="Arial"/>
                <w:b/>
                <w:color w:val="FFFFFF" w:themeColor="background1"/>
                <w:sz w:val="20"/>
                <w:szCs w:val="20"/>
              </w:rPr>
            </w:pPr>
            <w:r w:rsidRPr="00A27A01">
              <w:rPr>
                <w:rFonts w:ascii="Arial" w:hAnsi="Arial" w:cs="Arial"/>
                <w:b/>
                <w:color w:val="FFFFFF" w:themeColor="background1"/>
                <w:sz w:val="20"/>
                <w:szCs w:val="20"/>
              </w:rPr>
              <w:t>Efficiencies 2011/12 – 2014/15</w:t>
            </w:r>
          </w:p>
          <w:p w14:paraId="22B1AE62" w14:textId="0B864E23" w:rsidR="001F515C" w:rsidRPr="00A27A01" w:rsidRDefault="00A27A01" w:rsidP="003F6431">
            <w:pPr>
              <w:jc w:val="center"/>
              <w:rPr>
                <w:rFonts w:ascii="Arial" w:hAnsi="Arial" w:cs="Arial"/>
                <w:color w:val="FFFFFF" w:themeColor="background1"/>
                <w:sz w:val="20"/>
                <w:szCs w:val="20"/>
              </w:rPr>
            </w:pPr>
            <w:r w:rsidRPr="00A27A01">
              <w:rPr>
                <w:rFonts w:ascii="Arial" w:hAnsi="Arial" w:cs="Arial"/>
                <w:b/>
                <w:color w:val="FFFFFF" w:themeColor="background1"/>
                <w:sz w:val="20"/>
                <w:szCs w:val="20"/>
              </w:rPr>
              <w:t>Area/Initiative</w:t>
            </w:r>
          </w:p>
        </w:tc>
        <w:tc>
          <w:tcPr>
            <w:tcW w:w="1610" w:type="dxa"/>
            <w:shd w:val="clear" w:color="auto" w:fill="4F81BD" w:themeFill="accent1"/>
            <w:vAlign w:val="center"/>
          </w:tcPr>
          <w:p w14:paraId="157BA944" w14:textId="4C43910A" w:rsidR="001F515C" w:rsidRPr="00A27A01" w:rsidRDefault="00A27A01" w:rsidP="003F6431">
            <w:pPr>
              <w:jc w:val="center"/>
              <w:rPr>
                <w:rFonts w:ascii="Arial" w:hAnsi="Arial" w:cs="Arial"/>
                <w:color w:val="FFFFFF" w:themeColor="background1"/>
                <w:sz w:val="20"/>
                <w:szCs w:val="20"/>
              </w:rPr>
            </w:pPr>
            <w:r w:rsidRPr="00A27A01">
              <w:rPr>
                <w:rFonts w:ascii="Arial" w:hAnsi="Arial" w:cs="Arial"/>
                <w:b/>
                <w:color w:val="FFFFFF" w:themeColor="background1"/>
                <w:sz w:val="20"/>
                <w:szCs w:val="20"/>
              </w:rPr>
              <w:t>Estimated Amount</w:t>
            </w:r>
          </w:p>
        </w:tc>
        <w:tc>
          <w:tcPr>
            <w:tcW w:w="1372" w:type="dxa"/>
            <w:shd w:val="clear" w:color="auto" w:fill="4F81BD" w:themeFill="accent1"/>
            <w:vAlign w:val="center"/>
          </w:tcPr>
          <w:p w14:paraId="44194A01" w14:textId="572004F9" w:rsidR="001F515C" w:rsidRPr="00A27A01" w:rsidRDefault="00A27A01" w:rsidP="00A27A01">
            <w:pPr>
              <w:jc w:val="center"/>
              <w:rPr>
                <w:rFonts w:ascii="Arial" w:hAnsi="Arial" w:cs="Arial"/>
                <w:color w:val="FFFFFF" w:themeColor="background1"/>
                <w:sz w:val="20"/>
                <w:szCs w:val="20"/>
              </w:rPr>
            </w:pPr>
            <w:r w:rsidRPr="00A27A01">
              <w:rPr>
                <w:rFonts w:ascii="Arial" w:hAnsi="Arial" w:cs="Arial"/>
                <w:b/>
                <w:color w:val="FFFFFF" w:themeColor="background1"/>
                <w:sz w:val="20"/>
                <w:szCs w:val="20"/>
              </w:rPr>
              <w:t xml:space="preserve">Total Over 4 Years </w:t>
            </w:r>
          </w:p>
        </w:tc>
      </w:tr>
      <w:tr w:rsidR="001F515C" w:rsidRPr="00370487" w14:paraId="022B5C91" w14:textId="77777777" w:rsidTr="00AE37EC">
        <w:trPr>
          <w:cantSplit/>
          <w:trHeight w:val="684"/>
        </w:trPr>
        <w:tc>
          <w:tcPr>
            <w:tcW w:w="6187" w:type="dxa"/>
          </w:tcPr>
          <w:p w14:paraId="350E84CA" w14:textId="77777777" w:rsidR="001F515C" w:rsidRPr="00CC740C" w:rsidRDefault="001F515C" w:rsidP="003F6431">
            <w:pPr>
              <w:rPr>
                <w:rFonts w:ascii="Arial" w:hAnsi="Arial" w:cs="Arial"/>
                <w:sz w:val="20"/>
                <w:szCs w:val="20"/>
              </w:rPr>
            </w:pPr>
            <w:r w:rsidRPr="00CC740C">
              <w:rPr>
                <w:rFonts w:ascii="Arial" w:hAnsi="Arial" w:cs="Arial"/>
                <w:sz w:val="20"/>
                <w:szCs w:val="20"/>
              </w:rPr>
              <w:t>An administrative position was redirected to a para-technical position to provide simple planning advice over the counter or phone. This improved the quality of applications and freed up more experienced development planners to focus on more complex assessment issues. This improved the turn-around times for development applications.</w:t>
            </w:r>
          </w:p>
        </w:tc>
        <w:tc>
          <w:tcPr>
            <w:tcW w:w="1610" w:type="dxa"/>
          </w:tcPr>
          <w:p w14:paraId="09090BBC" w14:textId="77777777" w:rsidR="001F515C" w:rsidRPr="00CC740C" w:rsidRDefault="001F515C" w:rsidP="003F6431">
            <w:pPr>
              <w:jc w:val="right"/>
              <w:rPr>
                <w:rFonts w:ascii="Arial" w:hAnsi="Arial" w:cs="Arial"/>
                <w:color w:val="404040"/>
                <w:sz w:val="20"/>
                <w:szCs w:val="20"/>
              </w:rPr>
            </w:pPr>
            <w:r w:rsidRPr="00CC740C">
              <w:rPr>
                <w:rFonts w:ascii="Arial" w:hAnsi="Arial" w:cs="Arial"/>
                <w:color w:val="404040"/>
                <w:sz w:val="20"/>
                <w:szCs w:val="20"/>
              </w:rPr>
              <w:t>$236,000</w:t>
            </w:r>
          </w:p>
        </w:tc>
        <w:tc>
          <w:tcPr>
            <w:tcW w:w="1372" w:type="dxa"/>
          </w:tcPr>
          <w:p w14:paraId="3B13D050" w14:textId="77777777" w:rsidR="001F515C" w:rsidRPr="00CC740C" w:rsidRDefault="001F515C" w:rsidP="003F6431">
            <w:pPr>
              <w:rPr>
                <w:rFonts w:ascii="Arial" w:hAnsi="Arial" w:cs="Arial"/>
                <w:color w:val="404040"/>
                <w:sz w:val="20"/>
                <w:szCs w:val="20"/>
              </w:rPr>
            </w:pPr>
          </w:p>
        </w:tc>
      </w:tr>
      <w:tr w:rsidR="001F515C" w:rsidRPr="00370487" w14:paraId="4548A1BD" w14:textId="77777777" w:rsidTr="00AE37EC">
        <w:trPr>
          <w:cantSplit/>
        </w:trPr>
        <w:tc>
          <w:tcPr>
            <w:tcW w:w="6187" w:type="dxa"/>
          </w:tcPr>
          <w:p w14:paraId="548ACF70" w14:textId="77777777" w:rsidR="001F515C" w:rsidRPr="00CC740C" w:rsidRDefault="001F515C" w:rsidP="003F6431">
            <w:pPr>
              <w:rPr>
                <w:rFonts w:ascii="Arial" w:hAnsi="Arial" w:cs="Arial"/>
                <w:sz w:val="20"/>
                <w:szCs w:val="20"/>
              </w:rPr>
            </w:pPr>
            <w:r w:rsidRPr="00CC740C">
              <w:rPr>
                <w:rFonts w:ascii="Arial" w:hAnsi="Arial" w:cs="Arial"/>
                <w:color w:val="404040"/>
                <w:sz w:val="20"/>
                <w:szCs w:val="20"/>
              </w:rPr>
              <w:t>Improved transparency and accessibility of the development process by publishing development determinations and notifications online. This improved service levels using existing resources.</w:t>
            </w:r>
          </w:p>
        </w:tc>
        <w:tc>
          <w:tcPr>
            <w:tcW w:w="1610" w:type="dxa"/>
          </w:tcPr>
          <w:p w14:paraId="6C44CE55" w14:textId="77777777" w:rsidR="001F515C" w:rsidRPr="00CC740C" w:rsidRDefault="001F515C" w:rsidP="003F6431">
            <w:pPr>
              <w:jc w:val="right"/>
              <w:rPr>
                <w:rFonts w:ascii="Arial" w:hAnsi="Arial" w:cs="Arial"/>
                <w:color w:val="404040"/>
                <w:sz w:val="20"/>
                <w:szCs w:val="20"/>
              </w:rPr>
            </w:pPr>
            <w:r w:rsidRPr="00CC740C">
              <w:rPr>
                <w:rFonts w:ascii="Arial" w:hAnsi="Arial" w:cs="Arial"/>
                <w:color w:val="404040"/>
                <w:sz w:val="20"/>
                <w:szCs w:val="20"/>
              </w:rPr>
              <w:t>$81,720</w:t>
            </w:r>
          </w:p>
        </w:tc>
        <w:tc>
          <w:tcPr>
            <w:tcW w:w="1372" w:type="dxa"/>
          </w:tcPr>
          <w:p w14:paraId="26AC9123" w14:textId="77777777" w:rsidR="001F515C" w:rsidRPr="00CC740C" w:rsidRDefault="001F515C" w:rsidP="003F6431">
            <w:pPr>
              <w:rPr>
                <w:rFonts w:ascii="Arial" w:hAnsi="Arial" w:cs="Arial"/>
                <w:color w:val="404040"/>
                <w:sz w:val="20"/>
                <w:szCs w:val="20"/>
              </w:rPr>
            </w:pPr>
          </w:p>
        </w:tc>
      </w:tr>
      <w:tr w:rsidR="001F515C" w:rsidRPr="00370487" w14:paraId="60A7973F" w14:textId="77777777" w:rsidTr="00AE37EC">
        <w:trPr>
          <w:cantSplit/>
        </w:trPr>
        <w:tc>
          <w:tcPr>
            <w:tcW w:w="6187" w:type="dxa"/>
          </w:tcPr>
          <w:p w14:paraId="0E71A814" w14:textId="77777777" w:rsidR="001F515C" w:rsidRPr="00CC740C" w:rsidRDefault="001F515C" w:rsidP="003F6431">
            <w:pPr>
              <w:rPr>
                <w:rFonts w:ascii="Arial" w:hAnsi="Arial" w:cs="Arial"/>
                <w:sz w:val="20"/>
                <w:szCs w:val="20"/>
              </w:rPr>
            </w:pPr>
            <w:r w:rsidRPr="00CC740C">
              <w:rPr>
                <w:rFonts w:ascii="Arial" w:hAnsi="Arial" w:cs="Arial"/>
                <w:color w:val="404040"/>
                <w:sz w:val="20"/>
                <w:szCs w:val="20"/>
              </w:rPr>
              <w:t>Achieved quicker and cheaper delivery of rate notices by using e-mail.</w:t>
            </w:r>
          </w:p>
        </w:tc>
        <w:tc>
          <w:tcPr>
            <w:tcW w:w="1610" w:type="dxa"/>
          </w:tcPr>
          <w:p w14:paraId="3949C7A1" w14:textId="77777777" w:rsidR="001F515C" w:rsidRPr="00CC740C" w:rsidRDefault="001F515C" w:rsidP="003F6431">
            <w:pPr>
              <w:jc w:val="right"/>
              <w:rPr>
                <w:rFonts w:ascii="Arial" w:hAnsi="Arial" w:cs="Arial"/>
                <w:color w:val="404040"/>
                <w:sz w:val="20"/>
                <w:szCs w:val="20"/>
              </w:rPr>
            </w:pPr>
            <w:r w:rsidRPr="00CC740C">
              <w:rPr>
                <w:rFonts w:ascii="Arial" w:hAnsi="Arial" w:cs="Arial"/>
                <w:color w:val="404040"/>
                <w:sz w:val="20"/>
                <w:szCs w:val="20"/>
              </w:rPr>
              <w:t>$80,000</w:t>
            </w:r>
          </w:p>
        </w:tc>
        <w:tc>
          <w:tcPr>
            <w:tcW w:w="1372" w:type="dxa"/>
          </w:tcPr>
          <w:p w14:paraId="5E7C4673" w14:textId="77777777" w:rsidR="001F515C" w:rsidRPr="00CC740C" w:rsidRDefault="001F515C" w:rsidP="003F6431">
            <w:pPr>
              <w:rPr>
                <w:rFonts w:ascii="Arial" w:hAnsi="Arial" w:cs="Arial"/>
                <w:color w:val="404040"/>
                <w:sz w:val="20"/>
                <w:szCs w:val="20"/>
              </w:rPr>
            </w:pPr>
          </w:p>
        </w:tc>
      </w:tr>
      <w:tr w:rsidR="001F515C" w:rsidRPr="00370487" w14:paraId="4A67BF5E" w14:textId="77777777" w:rsidTr="00AE37EC">
        <w:trPr>
          <w:cantSplit/>
        </w:trPr>
        <w:tc>
          <w:tcPr>
            <w:tcW w:w="6187" w:type="dxa"/>
          </w:tcPr>
          <w:p w14:paraId="18623431" w14:textId="77777777" w:rsidR="001F515C" w:rsidRPr="00CC740C" w:rsidRDefault="001F515C" w:rsidP="003F6431">
            <w:pPr>
              <w:rPr>
                <w:rFonts w:ascii="Arial" w:hAnsi="Arial" w:cs="Arial"/>
                <w:sz w:val="20"/>
                <w:szCs w:val="20"/>
              </w:rPr>
            </w:pPr>
            <w:r w:rsidRPr="00CC740C">
              <w:rPr>
                <w:rFonts w:ascii="Arial" w:hAnsi="Arial" w:cs="Arial"/>
                <w:color w:val="404040"/>
                <w:sz w:val="20"/>
                <w:szCs w:val="20"/>
              </w:rPr>
              <w:t>Implemented in house electronic reporting that identifies data issues and contributes to improved business processes for managing customer requests, registers, applications and inspections. This has reduced consultancy costs. The reports are subject to continuous improvement.</w:t>
            </w:r>
          </w:p>
        </w:tc>
        <w:tc>
          <w:tcPr>
            <w:tcW w:w="1610" w:type="dxa"/>
          </w:tcPr>
          <w:p w14:paraId="0A78E949" w14:textId="77777777" w:rsidR="001F515C" w:rsidRPr="00CC740C" w:rsidRDefault="001F515C" w:rsidP="003F6431">
            <w:pPr>
              <w:jc w:val="right"/>
              <w:rPr>
                <w:rFonts w:ascii="Arial" w:hAnsi="Arial" w:cs="Arial"/>
                <w:color w:val="404040"/>
                <w:sz w:val="20"/>
                <w:szCs w:val="20"/>
              </w:rPr>
            </w:pPr>
            <w:r w:rsidRPr="00CC740C">
              <w:rPr>
                <w:rFonts w:ascii="Arial" w:hAnsi="Arial" w:cs="Arial"/>
                <w:color w:val="404040"/>
                <w:sz w:val="20"/>
                <w:szCs w:val="20"/>
              </w:rPr>
              <w:t>$66,880</w:t>
            </w:r>
          </w:p>
        </w:tc>
        <w:tc>
          <w:tcPr>
            <w:tcW w:w="1372" w:type="dxa"/>
          </w:tcPr>
          <w:p w14:paraId="5B9A52CF" w14:textId="77777777" w:rsidR="001F515C" w:rsidRPr="00CC740C" w:rsidRDefault="001F515C" w:rsidP="003F6431">
            <w:pPr>
              <w:rPr>
                <w:rFonts w:ascii="Arial" w:hAnsi="Arial" w:cs="Arial"/>
                <w:color w:val="404040"/>
                <w:sz w:val="20"/>
                <w:szCs w:val="20"/>
              </w:rPr>
            </w:pPr>
          </w:p>
        </w:tc>
      </w:tr>
      <w:tr w:rsidR="001F515C" w:rsidRPr="00370487" w14:paraId="617309D2" w14:textId="77777777" w:rsidTr="00AE37EC">
        <w:trPr>
          <w:cantSplit/>
        </w:trPr>
        <w:tc>
          <w:tcPr>
            <w:tcW w:w="6187" w:type="dxa"/>
          </w:tcPr>
          <w:p w14:paraId="09254FC5" w14:textId="77777777" w:rsidR="001F515C" w:rsidRPr="00CC740C" w:rsidRDefault="001F515C" w:rsidP="003F6431">
            <w:pPr>
              <w:rPr>
                <w:rFonts w:ascii="Arial" w:hAnsi="Arial" w:cs="Arial"/>
                <w:sz w:val="20"/>
                <w:szCs w:val="20"/>
              </w:rPr>
            </w:pPr>
            <w:r w:rsidRPr="00CC740C">
              <w:rPr>
                <w:rFonts w:ascii="Arial" w:hAnsi="Arial" w:cs="Arial"/>
                <w:color w:val="404040"/>
                <w:sz w:val="20"/>
                <w:szCs w:val="20"/>
              </w:rPr>
              <w:t>Reduced the need for additional staff resources by installing self-serve checkouts at Katoomba Library. This followed a large increase of loan rates.</w:t>
            </w:r>
          </w:p>
        </w:tc>
        <w:tc>
          <w:tcPr>
            <w:tcW w:w="1610" w:type="dxa"/>
          </w:tcPr>
          <w:p w14:paraId="7771EB24" w14:textId="77777777" w:rsidR="001F515C" w:rsidRPr="00CC740C" w:rsidRDefault="001F515C" w:rsidP="003F6431">
            <w:pPr>
              <w:jc w:val="right"/>
              <w:rPr>
                <w:rFonts w:ascii="Arial" w:hAnsi="Arial" w:cs="Arial"/>
                <w:color w:val="404040"/>
                <w:sz w:val="20"/>
                <w:szCs w:val="20"/>
              </w:rPr>
            </w:pPr>
            <w:r w:rsidRPr="00CC740C">
              <w:rPr>
                <w:rFonts w:ascii="Arial" w:hAnsi="Arial" w:cs="Arial"/>
                <w:color w:val="404040"/>
                <w:sz w:val="20"/>
                <w:szCs w:val="20"/>
              </w:rPr>
              <w:t>$58,000</w:t>
            </w:r>
          </w:p>
        </w:tc>
        <w:tc>
          <w:tcPr>
            <w:tcW w:w="1372" w:type="dxa"/>
          </w:tcPr>
          <w:p w14:paraId="6856B538" w14:textId="77777777" w:rsidR="001F515C" w:rsidRPr="00CC740C" w:rsidRDefault="001F515C" w:rsidP="003F6431">
            <w:pPr>
              <w:rPr>
                <w:rFonts w:ascii="Arial" w:hAnsi="Arial" w:cs="Arial"/>
                <w:color w:val="404040"/>
                <w:sz w:val="20"/>
                <w:szCs w:val="20"/>
              </w:rPr>
            </w:pPr>
          </w:p>
        </w:tc>
      </w:tr>
      <w:tr w:rsidR="001F515C" w:rsidRPr="00370487" w14:paraId="067A0378" w14:textId="77777777" w:rsidTr="00AE37EC">
        <w:trPr>
          <w:cantSplit/>
        </w:trPr>
        <w:tc>
          <w:tcPr>
            <w:tcW w:w="6187" w:type="dxa"/>
          </w:tcPr>
          <w:p w14:paraId="154CAD62" w14:textId="77777777" w:rsidR="001F515C" w:rsidRPr="00CC740C" w:rsidRDefault="001F515C" w:rsidP="003F6431">
            <w:pPr>
              <w:rPr>
                <w:rFonts w:ascii="Arial" w:hAnsi="Arial" w:cs="Arial"/>
                <w:sz w:val="20"/>
                <w:szCs w:val="20"/>
              </w:rPr>
            </w:pPr>
            <w:r w:rsidRPr="00CC740C">
              <w:rPr>
                <w:rFonts w:ascii="Arial" w:hAnsi="Arial" w:cs="Arial"/>
                <w:color w:val="404040"/>
                <w:sz w:val="20"/>
                <w:szCs w:val="20"/>
              </w:rPr>
              <w:t>Through internal efficiencies, the Council absorbed the additional workload from an increasing number of applications received under Government Information (Public Access) Act. The requests related to development consents and approvals.</w:t>
            </w:r>
          </w:p>
        </w:tc>
        <w:tc>
          <w:tcPr>
            <w:tcW w:w="1610" w:type="dxa"/>
          </w:tcPr>
          <w:p w14:paraId="39A45840" w14:textId="77777777" w:rsidR="001F515C" w:rsidRPr="00CC740C" w:rsidRDefault="001F515C" w:rsidP="003F6431">
            <w:pPr>
              <w:jc w:val="right"/>
              <w:rPr>
                <w:rFonts w:ascii="Arial" w:hAnsi="Arial" w:cs="Arial"/>
                <w:color w:val="404040"/>
                <w:sz w:val="20"/>
                <w:szCs w:val="20"/>
              </w:rPr>
            </w:pPr>
            <w:r w:rsidRPr="00CC740C">
              <w:rPr>
                <w:rFonts w:ascii="Arial" w:hAnsi="Arial" w:cs="Arial"/>
                <w:color w:val="404040"/>
                <w:sz w:val="20"/>
                <w:szCs w:val="20"/>
              </w:rPr>
              <w:t>$52,500</w:t>
            </w:r>
          </w:p>
        </w:tc>
        <w:tc>
          <w:tcPr>
            <w:tcW w:w="1372" w:type="dxa"/>
          </w:tcPr>
          <w:p w14:paraId="70DA6C4F" w14:textId="77777777" w:rsidR="001F515C" w:rsidRPr="00CC740C" w:rsidRDefault="001F515C" w:rsidP="003F6431">
            <w:pPr>
              <w:rPr>
                <w:rFonts w:ascii="Arial" w:hAnsi="Arial" w:cs="Arial"/>
                <w:color w:val="404040"/>
                <w:sz w:val="20"/>
                <w:szCs w:val="20"/>
              </w:rPr>
            </w:pPr>
          </w:p>
        </w:tc>
      </w:tr>
      <w:tr w:rsidR="001F515C" w:rsidRPr="00370487" w14:paraId="2DD7B08E" w14:textId="77777777" w:rsidTr="00AE37EC">
        <w:trPr>
          <w:cantSplit/>
        </w:trPr>
        <w:tc>
          <w:tcPr>
            <w:tcW w:w="6187" w:type="dxa"/>
          </w:tcPr>
          <w:p w14:paraId="11E3D44F" w14:textId="77777777" w:rsidR="001F515C" w:rsidRPr="00CC740C" w:rsidRDefault="001F515C" w:rsidP="003F6431">
            <w:pPr>
              <w:rPr>
                <w:rFonts w:ascii="Arial" w:hAnsi="Arial" w:cs="Arial"/>
                <w:sz w:val="20"/>
                <w:szCs w:val="20"/>
              </w:rPr>
            </w:pPr>
            <w:r w:rsidRPr="00CC740C">
              <w:rPr>
                <w:rFonts w:ascii="Arial" w:hAnsi="Arial" w:cs="Arial"/>
                <w:color w:val="404040"/>
                <w:sz w:val="20"/>
                <w:szCs w:val="20"/>
              </w:rPr>
              <w:t>Increased assessment demands as a result of a revised Planning for Bushfire Protection in 2006.</w:t>
            </w:r>
          </w:p>
        </w:tc>
        <w:tc>
          <w:tcPr>
            <w:tcW w:w="1610" w:type="dxa"/>
          </w:tcPr>
          <w:p w14:paraId="6C5499A3" w14:textId="77777777" w:rsidR="001F515C" w:rsidRPr="00CC740C" w:rsidRDefault="001F515C" w:rsidP="003F6431">
            <w:pPr>
              <w:jc w:val="right"/>
              <w:rPr>
                <w:rFonts w:ascii="Arial" w:hAnsi="Arial" w:cs="Arial"/>
                <w:color w:val="404040"/>
                <w:sz w:val="20"/>
                <w:szCs w:val="20"/>
              </w:rPr>
            </w:pPr>
            <w:r w:rsidRPr="00CC740C">
              <w:rPr>
                <w:rFonts w:ascii="Arial" w:hAnsi="Arial" w:cs="Arial"/>
                <w:color w:val="404040"/>
                <w:sz w:val="20"/>
                <w:szCs w:val="20"/>
              </w:rPr>
              <w:t>$34,000</w:t>
            </w:r>
          </w:p>
        </w:tc>
        <w:tc>
          <w:tcPr>
            <w:tcW w:w="1372" w:type="dxa"/>
          </w:tcPr>
          <w:p w14:paraId="0496F23D" w14:textId="77777777" w:rsidR="001F515C" w:rsidRPr="00CC740C" w:rsidRDefault="001F515C" w:rsidP="003F6431">
            <w:pPr>
              <w:rPr>
                <w:rFonts w:ascii="Arial" w:hAnsi="Arial" w:cs="Arial"/>
                <w:color w:val="404040"/>
                <w:sz w:val="20"/>
                <w:szCs w:val="20"/>
              </w:rPr>
            </w:pPr>
          </w:p>
        </w:tc>
      </w:tr>
      <w:tr w:rsidR="001F515C" w:rsidRPr="00370487" w14:paraId="430229A4" w14:textId="77777777" w:rsidTr="00AE37EC">
        <w:trPr>
          <w:cantSplit/>
        </w:trPr>
        <w:tc>
          <w:tcPr>
            <w:tcW w:w="6187" w:type="dxa"/>
          </w:tcPr>
          <w:p w14:paraId="469CF95F" w14:textId="77777777" w:rsidR="001F515C" w:rsidRPr="00CC740C" w:rsidRDefault="001F515C" w:rsidP="003F6431">
            <w:pPr>
              <w:rPr>
                <w:rFonts w:ascii="Arial" w:hAnsi="Arial" w:cs="Arial"/>
                <w:sz w:val="20"/>
                <w:szCs w:val="20"/>
              </w:rPr>
            </w:pPr>
            <w:r w:rsidRPr="00CC740C">
              <w:rPr>
                <w:rFonts w:ascii="Arial" w:hAnsi="Arial" w:cs="Arial"/>
                <w:color w:val="404040"/>
                <w:sz w:val="20"/>
                <w:szCs w:val="20"/>
              </w:rPr>
              <w:t>Implemented electronic signatures across organisation leading to savings in paper usage and eliminating the need to re-scan documents.</w:t>
            </w:r>
          </w:p>
        </w:tc>
        <w:tc>
          <w:tcPr>
            <w:tcW w:w="1610" w:type="dxa"/>
          </w:tcPr>
          <w:p w14:paraId="0F179DC9" w14:textId="77777777" w:rsidR="001F515C" w:rsidRPr="00CC740C" w:rsidRDefault="001F515C" w:rsidP="003F6431">
            <w:pPr>
              <w:jc w:val="right"/>
              <w:rPr>
                <w:rFonts w:ascii="Arial" w:hAnsi="Arial" w:cs="Arial"/>
                <w:color w:val="404040"/>
                <w:sz w:val="20"/>
                <w:szCs w:val="20"/>
              </w:rPr>
            </w:pPr>
            <w:r w:rsidRPr="00CC740C">
              <w:rPr>
                <w:rFonts w:ascii="Arial" w:hAnsi="Arial" w:cs="Arial"/>
                <w:color w:val="404040"/>
                <w:sz w:val="20"/>
                <w:szCs w:val="20"/>
              </w:rPr>
              <w:t>$26,400</w:t>
            </w:r>
          </w:p>
        </w:tc>
        <w:tc>
          <w:tcPr>
            <w:tcW w:w="1372" w:type="dxa"/>
          </w:tcPr>
          <w:p w14:paraId="180CED8E" w14:textId="77777777" w:rsidR="001F515C" w:rsidRPr="00CC740C" w:rsidRDefault="001F515C" w:rsidP="003F6431">
            <w:pPr>
              <w:rPr>
                <w:rFonts w:ascii="Arial" w:hAnsi="Arial" w:cs="Arial"/>
                <w:color w:val="404040"/>
                <w:sz w:val="20"/>
                <w:szCs w:val="20"/>
              </w:rPr>
            </w:pPr>
          </w:p>
        </w:tc>
      </w:tr>
      <w:tr w:rsidR="001F515C" w:rsidRPr="00370487" w14:paraId="2A0B6A08" w14:textId="77777777" w:rsidTr="00AE37EC">
        <w:trPr>
          <w:cantSplit/>
        </w:trPr>
        <w:tc>
          <w:tcPr>
            <w:tcW w:w="6187" w:type="dxa"/>
          </w:tcPr>
          <w:p w14:paraId="4504563D" w14:textId="77777777" w:rsidR="001F515C" w:rsidRPr="00CC740C" w:rsidRDefault="001F515C" w:rsidP="003F6431">
            <w:pPr>
              <w:rPr>
                <w:rFonts w:ascii="Arial" w:hAnsi="Arial" w:cs="Arial"/>
                <w:sz w:val="20"/>
                <w:szCs w:val="20"/>
              </w:rPr>
            </w:pPr>
            <w:r w:rsidRPr="00CC740C">
              <w:rPr>
                <w:rFonts w:ascii="Arial" w:hAnsi="Arial" w:cs="Arial"/>
                <w:color w:val="404040"/>
                <w:sz w:val="20"/>
                <w:szCs w:val="20"/>
              </w:rPr>
              <w:t>Improved processing of development applications within a water catchment area by introducing a preliminary checklist and online assessment tool (NorBE) to determine neutral or beneficial effect. This requirement followed the implementation of the Drinking Water Catchment Regional Environmental Plan No. 1 on 1 January 2007</w:t>
            </w:r>
          </w:p>
        </w:tc>
        <w:tc>
          <w:tcPr>
            <w:tcW w:w="1610" w:type="dxa"/>
          </w:tcPr>
          <w:p w14:paraId="526D3DF2" w14:textId="77777777" w:rsidR="001F515C" w:rsidRPr="00CC740C" w:rsidRDefault="001F515C" w:rsidP="003F6431">
            <w:pPr>
              <w:jc w:val="right"/>
              <w:rPr>
                <w:rFonts w:ascii="Arial" w:hAnsi="Arial" w:cs="Arial"/>
                <w:color w:val="404040"/>
                <w:sz w:val="20"/>
                <w:szCs w:val="20"/>
              </w:rPr>
            </w:pPr>
            <w:r w:rsidRPr="00CC740C">
              <w:rPr>
                <w:rFonts w:ascii="Arial" w:hAnsi="Arial" w:cs="Arial"/>
                <w:color w:val="404040"/>
                <w:sz w:val="20"/>
                <w:szCs w:val="20"/>
              </w:rPr>
              <w:t>$23,144</w:t>
            </w:r>
          </w:p>
        </w:tc>
        <w:tc>
          <w:tcPr>
            <w:tcW w:w="1372" w:type="dxa"/>
          </w:tcPr>
          <w:p w14:paraId="43EE5A4F" w14:textId="77777777" w:rsidR="001F515C" w:rsidRPr="00CC740C" w:rsidRDefault="001F515C" w:rsidP="003F6431">
            <w:pPr>
              <w:rPr>
                <w:rFonts w:ascii="Arial" w:hAnsi="Arial" w:cs="Arial"/>
                <w:color w:val="404040"/>
                <w:sz w:val="20"/>
                <w:szCs w:val="20"/>
              </w:rPr>
            </w:pPr>
          </w:p>
        </w:tc>
      </w:tr>
      <w:tr w:rsidR="001F515C" w:rsidRPr="00370487" w14:paraId="25596843" w14:textId="77777777" w:rsidTr="00AE37EC">
        <w:trPr>
          <w:cantSplit/>
        </w:trPr>
        <w:tc>
          <w:tcPr>
            <w:tcW w:w="6187" w:type="dxa"/>
          </w:tcPr>
          <w:p w14:paraId="12EF8CE0" w14:textId="77777777" w:rsidR="001F515C" w:rsidRPr="00CC740C" w:rsidRDefault="001F515C" w:rsidP="003F6431">
            <w:pPr>
              <w:rPr>
                <w:rFonts w:ascii="Arial" w:hAnsi="Arial" w:cs="Arial"/>
                <w:sz w:val="20"/>
                <w:szCs w:val="20"/>
              </w:rPr>
            </w:pPr>
            <w:r w:rsidRPr="00CC740C">
              <w:rPr>
                <w:rFonts w:ascii="Arial" w:hAnsi="Arial" w:cs="Arial"/>
                <w:color w:val="404040"/>
                <w:sz w:val="20"/>
                <w:szCs w:val="20"/>
              </w:rPr>
              <w:t>Implemented the electronic stamping of plans with savings in rescanning of plans.</w:t>
            </w:r>
          </w:p>
        </w:tc>
        <w:tc>
          <w:tcPr>
            <w:tcW w:w="1610" w:type="dxa"/>
          </w:tcPr>
          <w:p w14:paraId="0AFC2A4C" w14:textId="77777777" w:rsidR="001F515C" w:rsidRPr="00CC740C" w:rsidRDefault="001F515C" w:rsidP="003F6431">
            <w:pPr>
              <w:jc w:val="right"/>
              <w:rPr>
                <w:rFonts w:ascii="Arial" w:hAnsi="Arial" w:cs="Arial"/>
                <w:color w:val="404040"/>
                <w:sz w:val="20"/>
                <w:szCs w:val="20"/>
              </w:rPr>
            </w:pPr>
            <w:r w:rsidRPr="00CC740C">
              <w:rPr>
                <w:rFonts w:ascii="Arial" w:hAnsi="Arial" w:cs="Arial"/>
                <w:color w:val="404040"/>
                <w:sz w:val="20"/>
                <w:szCs w:val="20"/>
              </w:rPr>
              <w:t>$22,400</w:t>
            </w:r>
          </w:p>
        </w:tc>
        <w:tc>
          <w:tcPr>
            <w:tcW w:w="1372" w:type="dxa"/>
          </w:tcPr>
          <w:p w14:paraId="06EF4C93" w14:textId="77777777" w:rsidR="001F515C" w:rsidRPr="00CC740C" w:rsidRDefault="001F515C" w:rsidP="003F6431">
            <w:pPr>
              <w:rPr>
                <w:rFonts w:ascii="Arial" w:hAnsi="Arial" w:cs="Arial"/>
                <w:color w:val="404040"/>
                <w:sz w:val="20"/>
                <w:szCs w:val="20"/>
              </w:rPr>
            </w:pPr>
          </w:p>
        </w:tc>
      </w:tr>
      <w:tr w:rsidR="001F515C" w:rsidRPr="00370487" w14:paraId="769ED0DD" w14:textId="77777777" w:rsidTr="00AE37EC">
        <w:trPr>
          <w:cantSplit/>
        </w:trPr>
        <w:tc>
          <w:tcPr>
            <w:tcW w:w="6187" w:type="dxa"/>
          </w:tcPr>
          <w:p w14:paraId="7201A967" w14:textId="77777777" w:rsidR="001F515C" w:rsidRPr="00CC740C" w:rsidRDefault="001F515C" w:rsidP="003F6431">
            <w:pPr>
              <w:rPr>
                <w:rFonts w:ascii="Arial" w:hAnsi="Arial" w:cs="Arial"/>
                <w:sz w:val="20"/>
                <w:szCs w:val="20"/>
              </w:rPr>
            </w:pPr>
            <w:r w:rsidRPr="00CC740C">
              <w:rPr>
                <w:rFonts w:ascii="Arial" w:hAnsi="Arial" w:cs="Arial"/>
                <w:color w:val="404040"/>
                <w:sz w:val="20"/>
                <w:szCs w:val="20"/>
              </w:rPr>
              <w:t>Enhanced staff flexibility by cross training customer service staff to move between the call centre, the front counter and the RMS counter based on demand.</w:t>
            </w:r>
          </w:p>
        </w:tc>
        <w:tc>
          <w:tcPr>
            <w:tcW w:w="1610" w:type="dxa"/>
          </w:tcPr>
          <w:p w14:paraId="44CCD72B" w14:textId="77777777" w:rsidR="001F515C" w:rsidRPr="00CC740C" w:rsidRDefault="001F515C" w:rsidP="003F6431">
            <w:pPr>
              <w:jc w:val="right"/>
              <w:rPr>
                <w:rFonts w:ascii="Arial" w:hAnsi="Arial" w:cs="Arial"/>
                <w:color w:val="404040"/>
                <w:sz w:val="20"/>
                <w:szCs w:val="20"/>
              </w:rPr>
            </w:pPr>
            <w:r w:rsidRPr="00CC740C">
              <w:rPr>
                <w:rFonts w:ascii="Arial" w:hAnsi="Arial" w:cs="Arial"/>
                <w:color w:val="404040"/>
                <w:sz w:val="20"/>
                <w:szCs w:val="20"/>
              </w:rPr>
              <w:t>$20,000</w:t>
            </w:r>
          </w:p>
        </w:tc>
        <w:tc>
          <w:tcPr>
            <w:tcW w:w="1372" w:type="dxa"/>
          </w:tcPr>
          <w:p w14:paraId="0167651E" w14:textId="77777777" w:rsidR="001F515C" w:rsidRPr="00CC740C" w:rsidRDefault="001F515C" w:rsidP="003F6431">
            <w:pPr>
              <w:rPr>
                <w:rFonts w:ascii="Arial" w:hAnsi="Arial" w:cs="Arial"/>
                <w:color w:val="404040"/>
                <w:sz w:val="20"/>
                <w:szCs w:val="20"/>
              </w:rPr>
            </w:pPr>
          </w:p>
        </w:tc>
      </w:tr>
      <w:tr w:rsidR="001F515C" w:rsidRPr="00370487" w14:paraId="046D0D35" w14:textId="77777777" w:rsidTr="00AE37EC">
        <w:trPr>
          <w:cantSplit/>
        </w:trPr>
        <w:tc>
          <w:tcPr>
            <w:tcW w:w="6187" w:type="dxa"/>
          </w:tcPr>
          <w:p w14:paraId="45BFAB7E" w14:textId="6936414F" w:rsidR="001F515C" w:rsidRPr="00CC740C" w:rsidRDefault="001F515C" w:rsidP="003F6431">
            <w:pPr>
              <w:rPr>
                <w:rFonts w:ascii="Arial" w:hAnsi="Arial" w:cs="Arial"/>
                <w:sz w:val="20"/>
                <w:szCs w:val="20"/>
              </w:rPr>
            </w:pPr>
            <w:r w:rsidRPr="00CC740C">
              <w:rPr>
                <w:rFonts w:ascii="Arial" w:hAnsi="Arial" w:cs="Arial"/>
                <w:color w:val="404040"/>
                <w:sz w:val="20"/>
                <w:szCs w:val="20"/>
              </w:rPr>
              <w:t xml:space="preserve">Introduction and use of social media </w:t>
            </w:r>
            <w:r w:rsidR="00165AB2" w:rsidRPr="00CC740C">
              <w:rPr>
                <w:rFonts w:ascii="Arial" w:hAnsi="Arial" w:cs="Arial"/>
                <w:color w:val="404040"/>
                <w:sz w:val="20"/>
                <w:szCs w:val="20"/>
              </w:rPr>
              <w:t>e.g.</w:t>
            </w:r>
            <w:r w:rsidRPr="00CC740C">
              <w:rPr>
                <w:rFonts w:ascii="Arial" w:hAnsi="Arial" w:cs="Arial"/>
                <w:color w:val="404040"/>
                <w:sz w:val="20"/>
                <w:szCs w:val="20"/>
              </w:rPr>
              <w:t>., Flickr; Facebook; Twitter; Pinterest; Blogs to provide greater awareness of library services and information within existing resources</w:t>
            </w:r>
          </w:p>
        </w:tc>
        <w:tc>
          <w:tcPr>
            <w:tcW w:w="1610" w:type="dxa"/>
          </w:tcPr>
          <w:p w14:paraId="6522D3B8" w14:textId="77777777" w:rsidR="001F515C" w:rsidRPr="00CC740C" w:rsidRDefault="001F515C" w:rsidP="003F6431">
            <w:pPr>
              <w:jc w:val="right"/>
              <w:rPr>
                <w:rFonts w:ascii="Arial" w:hAnsi="Arial" w:cs="Arial"/>
                <w:color w:val="404040"/>
                <w:sz w:val="20"/>
                <w:szCs w:val="20"/>
              </w:rPr>
            </w:pPr>
            <w:r w:rsidRPr="00CC740C">
              <w:rPr>
                <w:rFonts w:ascii="Arial" w:hAnsi="Arial" w:cs="Arial"/>
                <w:color w:val="404040"/>
                <w:sz w:val="20"/>
                <w:szCs w:val="20"/>
              </w:rPr>
              <w:t>$18,600</w:t>
            </w:r>
          </w:p>
        </w:tc>
        <w:tc>
          <w:tcPr>
            <w:tcW w:w="1372" w:type="dxa"/>
          </w:tcPr>
          <w:p w14:paraId="0421169C" w14:textId="77777777" w:rsidR="001F515C" w:rsidRPr="00CC740C" w:rsidRDefault="001F515C" w:rsidP="003F6431">
            <w:pPr>
              <w:rPr>
                <w:rFonts w:ascii="Arial" w:hAnsi="Arial" w:cs="Arial"/>
                <w:color w:val="404040"/>
                <w:sz w:val="20"/>
                <w:szCs w:val="20"/>
              </w:rPr>
            </w:pPr>
          </w:p>
        </w:tc>
      </w:tr>
      <w:tr w:rsidR="001F515C" w:rsidRPr="00370487" w14:paraId="51F5E35E" w14:textId="77777777" w:rsidTr="00AE37EC">
        <w:trPr>
          <w:cantSplit/>
        </w:trPr>
        <w:tc>
          <w:tcPr>
            <w:tcW w:w="6187" w:type="dxa"/>
          </w:tcPr>
          <w:p w14:paraId="66A05603" w14:textId="77777777" w:rsidR="001F515C" w:rsidRPr="00CC740C" w:rsidRDefault="001F515C" w:rsidP="003F6431">
            <w:pPr>
              <w:rPr>
                <w:rFonts w:ascii="Arial" w:hAnsi="Arial" w:cs="Arial"/>
                <w:sz w:val="20"/>
                <w:szCs w:val="20"/>
              </w:rPr>
            </w:pPr>
            <w:r w:rsidRPr="00CC740C">
              <w:rPr>
                <w:rFonts w:ascii="Arial" w:hAnsi="Arial" w:cs="Arial"/>
                <w:color w:val="404040"/>
                <w:sz w:val="20"/>
                <w:szCs w:val="20"/>
              </w:rPr>
              <w:t>Enhanced our children’s programs and internet training at Council libraries with help from volunteers from Volunteers Australia.</w:t>
            </w:r>
          </w:p>
        </w:tc>
        <w:tc>
          <w:tcPr>
            <w:tcW w:w="1610" w:type="dxa"/>
          </w:tcPr>
          <w:p w14:paraId="30108DED" w14:textId="77777777" w:rsidR="001F515C" w:rsidRPr="00CC740C" w:rsidRDefault="001F515C" w:rsidP="003F6431">
            <w:pPr>
              <w:jc w:val="right"/>
              <w:rPr>
                <w:rFonts w:ascii="Arial" w:hAnsi="Arial" w:cs="Arial"/>
                <w:color w:val="404040"/>
                <w:sz w:val="20"/>
                <w:szCs w:val="20"/>
              </w:rPr>
            </w:pPr>
            <w:r w:rsidRPr="00CC740C">
              <w:rPr>
                <w:rFonts w:ascii="Arial" w:hAnsi="Arial" w:cs="Arial"/>
                <w:color w:val="404040"/>
                <w:sz w:val="20"/>
                <w:szCs w:val="20"/>
              </w:rPr>
              <w:t>$17,280</w:t>
            </w:r>
          </w:p>
        </w:tc>
        <w:tc>
          <w:tcPr>
            <w:tcW w:w="1372" w:type="dxa"/>
          </w:tcPr>
          <w:p w14:paraId="062198F7" w14:textId="77777777" w:rsidR="001F515C" w:rsidRPr="00CC740C" w:rsidRDefault="001F515C" w:rsidP="003F6431">
            <w:pPr>
              <w:rPr>
                <w:rFonts w:ascii="Arial" w:hAnsi="Arial" w:cs="Arial"/>
                <w:color w:val="404040"/>
                <w:sz w:val="20"/>
                <w:szCs w:val="20"/>
              </w:rPr>
            </w:pPr>
          </w:p>
        </w:tc>
      </w:tr>
      <w:tr w:rsidR="001F515C" w:rsidRPr="00370487" w14:paraId="5F35FFAA" w14:textId="77777777" w:rsidTr="00AE37EC">
        <w:trPr>
          <w:cantSplit/>
        </w:trPr>
        <w:tc>
          <w:tcPr>
            <w:tcW w:w="6187" w:type="dxa"/>
          </w:tcPr>
          <w:p w14:paraId="61206A5C" w14:textId="77777777" w:rsidR="001F515C" w:rsidRPr="00CC740C" w:rsidRDefault="001F515C" w:rsidP="003F6431">
            <w:pPr>
              <w:rPr>
                <w:rFonts w:ascii="Arial" w:hAnsi="Arial" w:cs="Arial"/>
                <w:sz w:val="20"/>
                <w:szCs w:val="20"/>
              </w:rPr>
            </w:pPr>
            <w:r w:rsidRPr="00CC740C">
              <w:rPr>
                <w:rFonts w:ascii="Arial" w:hAnsi="Arial" w:cs="Arial"/>
                <w:color w:val="404040"/>
                <w:sz w:val="20"/>
                <w:szCs w:val="20"/>
              </w:rPr>
              <w:t>Costs involved in the implementation of the requirements of the Education and Care Services National Regulation 2012 were reduced by client training sessions and the electronic distribution of information.</w:t>
            </w:r>
          </w:p>
        </w:tc>
        <w:tc>
          <w:tcPr>
            <w:tcW w:w="1610" w:type="dxa"/>
          </w:tcPr>
          <w:p w14:paraId="339D23C3" w14:textId="77777777" w:rsidR="001F515C" w:rsidRPr="00CC740C" w:rsidRDefault="001F515C" w:rsidP="003F6431">
            <w:pPr>
              <w:jc w:val="right"/>
              <w:rPr>
                <w:rFonts w:ascii="Arial" w:hAnsi="Arial" w:cs="Arial"/>
                <w:color w:val="404040"/>
                <w:sz w:val="20"/>
                <w:szCs w:val="20"/>
              </w:rPr>
            </w:pPr>
            <w:r w:rsidRPr="00CC740C">
              <w:rPr>
                <w:rFonts w:ascii="Arial" w:hAnsi="Arial" w:cs="Arial"/>
                <w:color w:val="404040"/>
                <w:sz w:val="20"/>
                <w:szCs w:val="20"/>
              </w:rPr>
              <w:t>$17,000</w:t>
            </w:r>
          </w:p>
        </w:tc>
        <w:tc>
          <w:tcPr>
            <w:tcW w:w="1372" w:type="dxa"/>
          </w:tcPr>
          <w:p w14:paraId="2E71CF99" w14:textId="77777777" w:rsidR="001F515C" w:rsidRPr="00CC740C" w:rsidRDefault="001F515C" w:rsidP="003F6431">
            <w:pPr>
              <w:rPr>
                <w:rFonts w:ascii="Arial" w:hAnsi="Arial" w:cs="Arial"/>
                <w:color w:val="404040"/>
                <w:sz w:val="20"/>
                <w:szCs w:val="20"/>
              </w:rPr>
            </w:pPr>
          </w:p>
        </w:tc>
      </w:tr>
      <w:tr w:rsidR="001F515C" w:rsidRPr="00370487" w14:paraId="06A218B4" w14:textId="77777777" w:rsidTr="00AE37EC">
        <w:trPr>
          <w:cantSplit/>
        </w:trPr>
        <w:tc>
          <w:tcPr>
            <w:tcW w:w="6187" w:type="dxa"/>
          </w:tcPr>
          <w:p w14:paraId="359E09DB" w14:textId="77777777" w:rsidR="001F515C" w:rsidRPr="00CC740C" w:rsidRDefault="001F515C" w:rsidP="003F6431">
            <w:pPr>
              <w:rPr>
                <w:rFonts w:ascii="Arial" w:hAnsi="Arial" w:cs="Arial"/>
                <w:sz w:val="20"/>
                <w:szCs w:val="20"/>
              </w:rPr>
            </w:pPr>
            <w:r w:rsidRPr="00CC740C">
              <w:rPr>
                <w:rFonts w:ascii="Arial" w:hAnsi="Arial" w:cs="Arial"/>
                <w:color w:val="404040"/>
                <w:sz w:val="20"/>
                <w:szCs w:val="20"/>
              </w:rPr>
              <w:t>By using automatic development application workflow to generate documents, we have streamlined procedures and ensured a greater level of consistency in documentation.</w:t>
            </w:r>
          </w:p>
        </w:tc>
        <w:tc>
          <w:tcPr>
            <w:tcW w:w="1610" w:type="dxa"/>
          </w:tcPr>
          <w:p w14:paraId="0AECDC05" w14:textId="77777777" w:rsidR="001F515C" w:rsidRPr="00CC740C" w:rsidRDefault="001F515C" w:rsidP="003F6431">
            <w:pPr>
              <w:jc w:val="right"/>
              <w:rPr>
                <w:rFonts w:ascii="Arial" w:hAnsi="Arial" w:cs="Arial"/>
                <w:color w:val="404040"/>
                <w:sz w:val="20"/>
                <w:szCs w:val="20"/>
              </w:rPr>
            </w:pPr>
            <w:r w:rsidRPr="00CC740C">
              <w:rPr>
                <w:rFonts w:ascii="Arial" w:hAnsi="Arial" w:cs="Arial"/>
                <w:color w:val="404040"/>
                <w:sz w:val="20"/>
                <w:szCs w:val="20"/>
              </w:rPr>
              <w:t>$16,640</w:t>
            </w:r>
          </w:p>
        </w:tc>
        <w:tc>
          <w:tcPr>
            <w:tcW w:w="1372" w:type="dxa"/>
          </w:tcPr>
          <w:p w14:paraId="3BC16DE7" w14:textId="77777777" w:rsidR="001F515C" w:rsidRPr="00CC740C" w:rsidRDefault="001F515C" w:rsidP="003F6431">
            <w:pPr>
              <w:rPr>
                <w:rFonts w:ascii="Arial" w:hAnsi="Arial" w:cs="Arial"/>
                <w:color w:val="404040"/>
                <w:sz w:val="20"/>
                <w:szCs w:val="20"/>
              </w:rPr>
            </w:pPr>
          </w:p>
        </w:tc>
      </w:tr>
      <w:tr w:rsidR="001F515C" w:rsidRPr="00370487" w14:paraId="273B3832" w14:textId="77777777" w:rsidTr="00AE37EC">
        <w:trPr>
          <w:cantSplit/>
        </w:trPr>
        <w:tc>
          <w:tcPr>
            <w:tcW w:w="6187" w:type="dxa"/>
          </w:tcPr>
          <w:p w14:paraId="139A6671" w14:textId="77777777" w:rsidR="001F515C" w:rsidRPr="00CC740C" w:rsidRDefault="001F515C" w:rsidP="003F6431">
            <w:pPr>
              <w:rPr>
                <w:rFonts w:ascii="Arial" w:hAnsi="Arial" w:cs="Arial"/>
                <w:sz w:val="20"/>
                <w:szCs w:val="20"/>
              </w:rPr>
            </w:pPr>
            <w:r w:rsidRPr="00CC740C">
              <w:rPr>
                <w:rFonts w:ascii="Arial" w:hAnsi="Arial" w:cs="Arial"/>
                <w:color w:val="404040"/>
                <w:sz w:val="20"/>
                <w:szCs w:val="20"/>
              </w:rPr>
              <w:t>Improved management of Companion Animals to contain costs associated with increased demand and legislative requirements (such as dangerous and restricted breeds provisions under the Companion Animals Management Act).</w:t>
            </w:r>
          </w:p>
        </w:tc>
        <w:tc>
          <w:tcPr>
            <w:tcW w:w="1610" w:type="dxa"/>
          </w:tcPr>
          <w:p w14:paraId="2558C79B" w14:textId="77777777" w:rsidR="001F515C" w:rsidRPr="00CC740C" w:rsidRDefault="001F515C" w:rsidP="003F6431">
            <w:pPr>
              <w:jc w:val="right"/>
              <w:rPr>
                <w:rFonts w:ascii="Arial" w:hAnsi="Arial" w:cs="Arial"/>
                <w:color w:val="404040"/>
                <w:sz w:val="20"/>
                <w:szCs w:val="20"/>
              </w:rPr>
            </w:pPr>
            <w:r w:rsidRPr="00CC740C">
              <w:rPr>
                <w:rFonts w:ascii="Arial" w:hAnsi="Arial" w:cs="Arial"/>
                <w:color w:val="404040"/>
                <w:sz w:val="20"/>
                <w:szCs w:val="20"/>
              </w:rPr>
              <w:t>$16,400</w:t>
            </w:r>
          </w:p>
        </w:tc>
        <w:tc>
          <w:tcPr>
            <w:tcW w:w="1372" w:type="dxa"/>
          </w:tcPr>
          <w:p w14:paraId="59EE54E2" w14:textId="77777777" w:rsidR="001F515C" w:rsidRPr="00CC740C" w:rsidRDefault="001F515C" w:rsidP="003F6431">
            <w:pPr>
              <w:rPr>
                <w:rFonts w:ascii="Arial" w:hAnsi="Arial" w:cs="Arial"/>
                <w:color w:val="404040"/>
                <w:sz w:val="20"/>
                <w:szCs w:val="20"/>
              </w:rPr>
            </w:pPr>
          </w:p>
        </w:tc>
      </w:tr>
      <w:tr w:rsidR="001F515C" w:rsidRPr="00370487" w14:paraId="40042501" w14:textId="77777777" w:rsidTr="00AE37EC">
        <w:trPr>
          <w:cantSplit/>
        </w:trPr>
        <w:tc>
          <w:tcPr>
            <w:tcW w:w="6187" w:type="dxa"/>
          </w:tcPr>
          <w:p w14:paraId="25E7A4B1" w14:textId="38DEF30D" w:rsidR="001F515C" w:rsidRPr="00CC740C" w:rsidRDefault="001F515C" w:rsidP="003F6431">
            <w:pPr>
              <w:rPr>
                <w:rFonts w:ascii="Arial" w:hAnsi="Arial" w:cs="Arial"/>
                <w:sz w:val="20"/>
                <w:szCs w:val="20"/>
              </w:rPr>
            </w:pPr>
            <w:r w:rsidRPr="00CC740C">
              <w:rPr>
                <w:rFonts w:ascii="Arial" w:hAnsi="Arial" w:cs="Arial"/>
                <w:color w:val="404040"/>
                <w:sz w:val="20"/>
                <w:szCs w:val="20"/>
              </w:rPr>
              <w:t>Efficiency in the generation of invoices for inspection programs (</w:t>
            </w:r>
            <w:r w:rsidR="00165AB2" w:rsidRPr="00CC740C">
              <w:rPr>
                <w:rFonts w:ascii="Arial" w:hAnsi="Arial" w:cs="Arial"/>
                <w:color w:val="404040"/>
                <w:sz w:val="20"/>
                <w:szCs w:val="20"/>
              </w:rPr>
              <w:t>e.g.</w:t>
            </w:r>
            <w:r w:rsidRPr="00CC740C">
              <w:rPr>
                <w:rFonts w:ascii="Arial" w:hAnsi="Arial" w:cs="Arial"/>
                <w:color w:val="404040"/>
                <w:sz w:val="20"/>
                <w:szCs w:val="20"/>
              </w:rPr>
              <w:t xml:space="preserve"> food, footpath dining, fire safety).are now linked to debtors. Previously paper copies of invoice were processed by Finance. </w:t>
            </w:r>
          </w:p>
        </w:tc>
        <w:tc>
          <w:tcPr>
            <w:tcW w:w="1610" w:type="dxa"/>
          </w:tcPr>
          <w:p w14:paraId="42A5DB90" w14:textId="77777777" w:rsidR="001F515C" w:rsidRPr="00CC740C" w:rsidRDefault="001F515C" w:rsidP="003F6431">
            <w:pPr>
              <w:jc w:val="right"/>
              <w:rPr>
                <w:rFonts w:ascii="Arial" w:hAnsi="Arial" w:cs="Arial"/>
                <w:color w:val="404040"/>
                <w:sz w:val="20"/>
                <w:szCs w:val="20"/>
              </w:rPr>
            </w:pPr>
            <w:r w:rsidRPr="00CC740C">
              <w:rPr>
                <w:rFonts w:ascii="Arial" w:hAnsi="Arial" w:cs="Arial"/>
                <w:color w:val="404040"/>
                <w:sz w:val="20"/>
                <w:szCs w:val="20"/>
              </w:rPr>
              <w:t>$16,000</w:t>
            </w:r>
          </w:p>
        </w:tc>
        <w:tc>
          <w:tcPr>
            <w:tcW w:w="1372" w:type="dxa"/>
          </w:tcPr>
          <w:p w14:paraId="6FE5052B" w14:textId="77777777" w:rsidR="001F515C" w:rsidRPr="00CC740C" w:rsidRDefault="001F515C" w:rsidP="003F6431">
            <w:pPr>
              <w:rPr>
                <w:rFonts w:ascii="Arial" w:hAnsi="Arial" w:cs="Arial"/>
                <w:color w:val="404040"/>
                <w:sz w:val="20"/>
                <w:szCs w:val="20"/>
              </w:rPr>
            </w:pPr>
          </w:p>
        </w:tc>
      </w:tr>
      <w:tr w:rsidR="001F515C" w:rsidRPr="00370487" w14:paraId="5BCF3D4D" w14:textId="77777777" w:rsidTr="00AE37EC">
        <w:trPr>
          <w:cantSplit/>
        </w:trPr>
        <w:tc>
          <w:tcPr>
            <w:tcW w:w="6187" w:type="dxa"/>
          </w:tcPr>
          <w:p w14:paraId="7A0C5DDE" w14:textId="77777777" w:rsidR="001F515C" w:rsidRPr="00CC740C" w:rsidRDefault="001F515C" w:rsidP="003F6431">
            <w:pPr>
              <w:rPr>
                <w:rFonts w:ascii="Arial" w:hAnsi="Arial" w:cs="Arial"/>
                <w:sz w:val="20"/>
                <w:szCs w:val="20"/>
              </w:rPr>
            </w:pPr>
            <w:r w:rsidRPr="00CC740C">
              <w:rPr>
                <w:rFonts w:ascii="Arial" w:hAnsi="Arial" w:cs="Arial"/>
                <w:color w:val="404040"/>
                <w:sz w:val="20"/>
                <w:szCs w:val="20"/>
              </w:rPr>
              <w:t>Outsourced legal services tender to Local Government Procurement creating savings of $14,000</w:t>
            </w:r>
          </w:p>
        </w:tc>
        <w:tc>
          <w:tcPr>
            <w:tcW w:w="1610" w:type="dxa"/>
          </w:tcPr>
          <w:p w14:paraId="477A0AEE" w14:textId="77777777" w:rsidR="001F515C" w:rsidRPr="00CC740C" w:rsidRDefault="001F515C" w:rsidP="003F6431">
            <w:pPr>
              <w:jc w:val="right"/>
              <w:rPr>
                <w:rFonts w:ascii="Arial" w:hAnsi="Arial" w:cs="Arial"/>
                <w:color w:val="404040"/>
                <w:sz w:val="20"/>
                <w:szCs w:val="20"/>
              </w:rPr>
            </w:pPr>
            <w:r w:rsidRPr="00CC740C">
              <w:rPr>
                <w:rFonts w:ascii="Arial" w:hAnsi="Arial" w:cs="Arial"/>
                <w:color w:val="404040"/>
                <w:sz w:val="20"/>
                <w:szCs w:val="20"/>
              </w:rPr>
              <w:t>$14,000</w:t>
            </w:r>
          </w:p>
        </w:tc>
        <w:tc>
          <w:tcPr>
            <w:tcW w:w="1372" w:type="dxa"/>
          </w:tcPr>
          <w:p w14:paraId="30021AEA" w14:textId="77777777" w:rsidR="001F515C" w:rsidRPr="00CC740C" w:rsidRDefault="001F515C" w:rsidP="003F6431">
            <w:pPr>
              <w:rPr>
                <w:rFonts w:ascii="Arial" w:hAnsi="Arial" w:cs="Arial"/>
                <w:color w:val="404040"/>
                <w:sz w:val="20"/>
                <w:szCs w:val="20"/>
              </w:rPr>
            </w:pPr>
          </w:p>
        </w:tc>
      </w:tr>
      <w:tr w:rsidR="001F515C" w:rsidRPr="00370487" w14:paraId="7C183C82" w14:textId="77777777" w:rsidTr="00AE37EC">
        <w:trPr>
          <w:cantSplit/>
        </w:trPr>
        <w:tc>
          <w:tcPr>
            <w:tcW w:w="6187" w:type="dxa"/>
          </w:tcPr>
          <w:p w14:paraId="386F98F3" w14:textId="77777777" w:rsidR="001F515C" w:rsidRPr="00CC740C" w:rsidRDefault="001F515C" w:rsidP="003F6431">
            <w:pPr>
              <w:rPr>
                <w:rFonts w:ascii="Arial" w:hAnsi="Arial" w:cs="Arial"/>
                <w:sz w:val="20"/>
                <w:szCs w:val="20"/>
              </w:rPr>
            </w:pPr>
            <w:r w:rsidRPr="00CC740C">
              <w:rPr>
                <w:rFonts w:ascii="Arial" w:hAnsi="Arial" w:cs="Arial"/>
                <w:color w:val="404040"/>
                <w:sz w:val="20"/>
                <w:szCs w:val="20"/>
              </w:rPr>
              <w:t>Introduction of digital scanners in libraries to retain currency and access to official records with the conversion over time of microfiche records (100,000) to digital records.</w:t>
            </w:r>
          </w:p>
        </w:tc>
        <w:tc>
          <w:tcPr>
            <w:tcW w:w="1610" w:type="dxa"/>
          </w:tcPr>
          <w:p w14:paraId="2C4B8449" w14:textId="77777777" w:rsidR="001F515C" w:rsidRPr="00CC740C" w:rsidRDefault="001F515C" w:rsidP="003F6431">
            <w:pPr>
              <w:jc w:val="right"/>
              <w:rPr>
                <w:rFonts w:ascii="Arial" w:hAnsi="Arial" w:cs="Arial"/>
                <w:color w:val="404040"/>
                <w:sz w:val="20"/>
                <w:szCs w:val="20"/>
              </w:rPr>
            </w:pPr>
            <w:r w:rsidRPr="00CC740C">
              <w:rPr>
                <w:rFonts w:ascii="Arial" w:hAnsi="Arial" w:cs="Arial"/>
                <w:color w:val="404040"/>
                <w:sz w:val="20"/>
                <w:szCs w:val="20"/>
              </w:rPr>
              <w:t>$10,000</w:t>
            </w:r>
          </w:p>
        </w:tc>
        <w:tc>
          <w:tcPr>
            <w:tcW w:w="1372" w:type="dxa"/>
          </w:tcPr>
          <w:p w14:paraId="681EAE79" w14:textId="77777777" w:rsidR="001F515C" w:rsidRPr="00CC740C" w:rsidRDefault="001F515C" w:rsidP="003F6431">
            <w:pPr>
              <w:rPr>
                <w:rFonts w:ascii="Arial" w:hAnsi="Arial" w:cs="Arial"/>
                <w:color w:val="404040"/>
                <w:sz w:val="20"/>
                <w:szCs w:val="20"/>
              </w:rPr>
            </w:pPr>
          </w:p>
        </w:tc>
      </w:tr>
      <w:tr w:rsidR="001F515C" w:rsidRPr="00370487" w14:paraId="0DBCC1E8" w14:textId="77777777" w:rsidTr="00AE37EC">
        <w:trPr>
          <w:cantSplit/>
        </w:trPr>
        <w:tc>
          <w:tcPr>
            <w:tcW w:w="6187" w:type="dxa"/>
          </w:tcPr>
          <w:p w14:paraId="48D63E4A" w14:textId="77777777" w:rsidR="001F515C" w:rsidRPr="00CC740C" w:rsidRDefault="001F515C" w:rsidP="003F6431">
            <w:pPr>
              <w:rPr>
                <w:rFonts w:ascii="Arial" w:hAnsi="Arial" w:cs="Arial"/>
                <w:sz w:val="20"/>
                <w:szCs w:val="20"/>
              </w:rPr>
            </w:pPr>
            <w:r w:rsidRPr="00CC740C">
              <w:rPr>
                <w:rFonts w:ascii="Arial" w:hAnsi="Arial" w:cs="Arial"/>
                <w:color w:val="404040"/>
                <w:sz w:val="20"/>
                <w:szCs w:val="20"/>
              </w:rPr>
              <w:t>Absorbed the additional assessment requirements of SEPP (Building Sustainability Index: BASIX) 2004 introduced 1 July 2005 and extended in October 2006 without needing additional resources.</w:t>
            </w:r>
          </w:p>
        </w:tc>
        <w:tc>
          <w:tcPr>
            <w:tcW w:w="1610" w:type="dxa"/>
          </w:tcPr>
          <w:p w14:paraId="5E20687C" w14:textId="77777777" w:rsidR="001F515C" w:rsidRPr="00CC740C" w:rsidRDefault="001F515C" w:rsidP="003F6431">
            <w:pPr>
              <w:jc w:val="right"/>
              <w:rPr>
                <w:rFonts w:ascii="Arial" w:hAnsi="Arial" w:cs="Arial"/>
                <w:color w:val="404040"/>
                <w:sz w:val="20"/>
                <w:szCs w:val="20"/>
              </w:rPr>
            </w:pPr>
            <w:r w:rsidRPr="00CC740C">
              <w:rPr>
                <w:rFonts w:ascii="Arial" w:hAnsi="Arial" w:cs="Arial"/>
                <w:color w:val="404040"/>
                <w:sz w:val="20"/>
                <w:szCs w:val="20"/>
              </w:rPr>
              <w:t>$3,000</w:t>
            </w:r>
          </w:p>
        </w:tc>
        <w:tc>
          <w:tcPr>
            <w:tcW w:w="1372" w:type="dxa"/>
          </w:tcPr>
          <w:p w14:paraId="1C554174" w14:textId="77777777" w:rsidR="001F515C" w:rsidRPr="00CC740C" w:rsidRDefault="001F515C" w:rsidP="003F6431">
            <w:pPr>
              <w:rPr>
                <w:rFonts w:ascii="Arial" w:hAnsi="Arial" w:cs="Arial"/>
                <w:color w:val="404040"/>
                <w:sz w:val="20"/>
                <w:szCs w:val="20"/>
              </w:rPr>
            </w:pPr>
          </w:p>
        </w:tc>
      </w:tr>
      <w:tr w:rsidR="001F515C" w:rsidRPr="00370487" w14:paraId="7E2B52F6" w14:textId="77777777" w:rsidTr="00AE37EC">
        <w:trPr>
          <w:cantSplit/>
        </w:trPr>
        <w:tc>
          <w:tcPr>
            <w:tcW w:w="6187" w:type="dxa"/>
          </w:tcPr>
          <w:p w14:paraId="1D678EB1" w14:textId="77777777" w:rsidR="001F515C" w:rsidRPr="00CC740C" w:rsidRDefault="001F515C" w:rsidP="003F6431">
            <w:pPr>
              <w:rPr>
                <w:rFonts w:ascii="Arial" w:hAnsi="Arial" w:cs="Arial"/>
                <w:sz w:val="20"/>
                <w:szCs w:val="20"/>
              </w:rPr>
            </w:pPr>
            <w:r w:rsidRPr="00CC740C">
              <w:rPr>
                <w:rFonts w:ascii="Arial" w:hAnsi="Arial" w:cs="Arial"/>
                <w:color w:val="404040"/>
                <w:sz w:val="20"/>
                <w:szCs w:val="20"/>
              </w:rPr>
              <w:t>Improved efficiencies and economies of scale with centralising Roads Act (1993) approvals in one location. Improving the approval process and fee capture. Increased transparency with separation of the regulatory approval from the restorations work.</w:t>
            </w:r>
          </w:p>
        </w:tc>
        <w:tc>
          <w:tcPr>
            <w:tcW w:w="1610" w:type="dxa"/>
          </w:tcPr>
          <w:p w14:paraId="28D9D2A0" w14:textId="77777777" w:rsidR="001F515C" w:rsidRPr="00CC740C" w:rsidRDefault="001F515C" w:rsidP="003F6431">
            <w:pPr>
              <w:jc w:val="right"/>
              <w:rPr>
                <w:rFonts w:ascii="Arial" w:hAnsi="Arial" w:cs="Arial"/>
                <w:color w:val="404040"/>
                <w:sz w:val="20"/>
                <w:szCs w:val="20"/>
              </w:rPr>
            </w:pPr>
            <w:r w:rsidRPr="00CC740C">
              <w:rPr>
                <w:rFonts w:ascii="Arial" w:hAnsi="Arial" w:cs="Arial"/>
                <w:color w:val="404040"/>
                <w:sz w:val="20"/>
                <w:szCs w:val="20"/>
              </w:rPr>
              <w:t>$9,600</w:t>
            </w:r>
          </w:p>
        </w:tc>
        <w:tc>
          <w:tcPr>
            <w:tcW w:w="1372" w:type="dxa"/>
          </w:tcPr>
          <w:p w14:paraId="4772120D" w14:textId="77777777" w:rsidR="001F515C" w:rsidRPr="00CC740C" w:rsidRDefault="001F515C" w:rsidP="003F6431">
            <w:pPr>
              <w:rPr>
                <w:rFonts w:ascii="Arial" w:hAnsi="Arial" w:cs="Arial"/>
                <w:color w:val="404040"/>
                <w:sz w:val="20"/>
                <w:szCs w:val="20"/>
              </w:rPr>
            </w:pPr>
          </w:p>
        </w:tc>
      </w:tr>
      <w:tr w:rsidR="001F515C" w:rsidRPr="00370487" w14:paraId="6D61888C" w14:textId="77777777" w:rsidTr="00AE37EC">
        <w:trPr>
          <w:cantSplit/>
        </w:trPr>
        <w:tc>
          <w:tcPr>
            <w:tcW w:w="6187" w:type="dxa"/>
          </w:tcPr>
          <w:p w14:paraId="5F1AAA31" w14:textId="77777777" w:rsidR="001F515C" w:rsidRPr="00CC740C" w:rsidRDefault="001F515C" w:rsidP="003F6431">
            <w:pPr>
              <w:rPr>
                <w:rFonts w:ascii="Arial" w:hAnsi="Arial" w:cs="Arial"/>
                <w:sz w:val="20"/>
                <w:szCs w:val="20"/>
              </w:rPr>
            </w:pPr>
            <w:r w:rsidRPr="00CC740C">
              <w:rPr>
                <w:rFonts w:ascii="Arial" w:hAnsi="Arial" w:cs="Arial"/>
                <w:color w:val="404040"/>
                <w:sz w:val="20"/>
                <w:szCs w:val="20"/>
              </w:rPr>
              <w:t>Centralised the organisational legal register. This reduced duplication, reduced time spent on reporting and provides more accurate and timely information.</w:t>
            </w:r>
          </w:p>
        </w:tc>
        <w:tc>
          <w:tcPr>
            <w:tcW w:w="1610" w:type="dxa"/>
          </w:tcPr>
          <w:p w14:paraId="1CFFF930" w14:textId="77777777" w:rsidR="001F515C" w:rsidRPr="00CC740C" w:rsidRDefault="001F515C" w:rsidP="003F6431">
            <w:pPr>
              <w:jc w:val="right"/>
              <w:rPr>
                <w:rFonts w:ascii="Arial" w:hAnsi="Arial" w:cs="Arial"/>
                <w:color w:val="404040"/>
                <w:sz w:val="20"/>
                <w:szCs w:val="20"/>
              </w:rPr>
            </w:pPr>
            <w:r w:rsidRPr="00CC740C">
              <w:rPr>
                <w:rFonts w:ascii="Arial" w:hAnsi="Arial" w:cs="Arial"/>
                <w:color w:val="404040"/>
                <w:sz w:val="20"/>
                <w:szCs w:val="20"/>
              </w:rPr>
              <w:t>$8,320</w:t>
            </w:r>
          </w:p>
        </w:tc>
        <w:tc>
          <w:tcPr>
            <w:tcW w:w="1372" w:type="dxa"/>
          </w:tcPr>
          <w:p w14:paraId="230762AF" w14:textId="77777777" w:rsidR="001F515C" w:rsidRPr="00CC740C" w:rsidRDefault="001F515C" w:rsidP="003F6431">
            <w:pPr>
              <w:rPr>
                <w:rFonts w:ascii="Arial" w:hAnsi="Arial" w:cs="Arial"/>
                <w:color w:val="404040"/>
                <w:sz w:val="20"/>
                <w:szCs w:val="20"/>
              </w:rPr>
            </w:pPr>
          </w:p>
        </w:tc>
      </w:tr>
      <w:tr w:rsidR="001F515C" w:rsidRPr="00370487" w14:paraId="4EFA9EB1" w14:textId="77777777" w:rsidTr="00AE37EC">
        <w:trPr>
          <w:cantSplit/>
        </w:trPr>
        <w:tc>
          <w:tcPr>
            <w:tcW w:w="6187" w:type="dxa"/>
          </w:tcPr>
          <w:p w14:paraId="51C04CCF" w14:textId="77777777" w:rsidR="001F515C" w:rsidRPr="00CC740C" w:rsidRDefault="001F515C" w:rsidP="003F6431">
            <w:pPr>
              <w:rPr>
                <w:rFonts w:ascii="Arial" w:hAnsi="Arial" w:cs="Arial"/>
                <w:sz w:val="20"/>
                <w:szCs w:val="20"/>
              </w:rPr>
            </w:pPr>
            <w:r w:rsidRPr="00CC740C">
              <w:rPr>
                <w:rFonts w:ascii="Arial" w:hAnsi="Arial" w:cs="Arial"/>
                <w:color w:val="404040"/>
                <w:sz w:val="20"/>
                <w:szCs w:val="20"/>
              </w:rPr>
              <w:t>Implemented an e-lodgement and tracking system (24x7) for public and Councillor customer service requests giving greater levels of service to our customers</w:t>
            </w:r>
            <w:r w:rsidRPr="00CC740C">
              <w:rPr>
                <w:rFonts w:ascii="Arial" w:hAnsi="Arial" w:cs="Arial"/>
                <w:sz w:val="20"/>
                <w:szCs w:val="20"/>
              </w:rPr>
              <w:t xml:space="preserve"> </w:t>
            </w:r>
            <w:r w:rsidRPr="00CC740C">
              <w:rPr>
                <w:rFonts w:ascii="Arial" w:hAnsi="Arial" w:cs="Arial"/>
                <w:color w:val="404040"/>
                <w:sz w:val="20"/>
                <w:szCs w:val="20"/>
              </w:rPr>
              <w:t>and saving one hour a week.</w:t>
            </w:r>
          </w:p>
        </w:tc>
        <w:tc>
          <w:tcPr>
            <w:tcW w:w="1610" w:type="dxa"/>
          </w:tcPr>
          <w:p w14:paraId="594F74E5" w14:textId="77777777" w:rsidR="001F515C" w:rsidRPr="00CC740C" w:rsidRDefault="001F515C" w:rsidP="003F6431">
            <w:pPr>
              <w:jc w:val="right"/>
              <w:rPr>
                <w:rFonts w:ascii="Arial" w:hAnsi="Arial" w:cs="Arial"/>
                <w:color w:val="404040"/>
                <w:sz w:val="20"/>
                <w:szCs w:val="20"/>
              </w:rPr>
            </w:pPr>
            <w:r w:rsidRPr="00CC740C">
              <w:rPr>
                <w:rFonts w:ascii="Arial" w:hAnsi="Arial" w:cs="Arial"/>
                <w:color w:val="404040"/>
                <w:sz w:val="20"/>
                <w:szCs w:val="20"/>
              </w:rPr>
              <w:t>$8,000</w:t>
            </w:r>
          </w:p>
        </w:tc>
        <w:tc>
          <w:tcPr>
            <w:tcW w:w="1372" w:type="dxa"/>
          </w:tcPr>
          <w:p w14:paraId="58444AE9" w14:textId="77777777" w:rsidR="001F515C" w:rsidRPr="00CC740C" w:rsidRDefault="001F515C" w:rsidP="003F6431">
            <w:pPr>
              <w:rPr>
                <w:rFonts w:ascii="Arial" w:hAnsi="Arial" w:cs="Arial"/>
                <w:color w:val="404040"/>
                <w:sz w:val="20"/>
                <w:szCs w:val="20"/>
              </w:rPr>
            </w:pPr>
          </w:p>
        </w:tc>
      </w:tr>
      <w:tr w:rsidR="001F515C" w:rsidRPr="00370487" w14:paraId="701D7F6D" w14:textId="77777777" w:rsidTr="00AE37EC">
        <w:trPr>
          <w:cantSplit/>
        </w:trPr>
        <w:tc>
          <w:tcPr>
            <w:tcW w:w="6187" w:type="dxa"/>
          </w:tcPr>
          <w:p w14:paraId="7FA6C22A" w14:textId="77777777" w:rsidR="001F515C" w:rsidRPr="00CC740C" w:rsidRDefault="001F515C" w:rsidP="003F6431">
            <w:pPr>
              <w:rPr>
                <w:rFonts w:ascii="Arial" w:hAnsi="Arial" w:cs="Arial"/>
                <w:sz w:val="20"/>
                <w:szCs w:val="20"/>
              </w:rPr>
            </w:pPr>
            <w:r w:rsidRPr="00CC740C">
              <w:rPr>
                <w:rFonts w:ascii="Arial" w:hAnsi="Arial" w:cs="Arial"/>
                <w:color w:val="404040"/>
                <w:sz w:val="20"/>
                <w:szCs w:val="20"/>
              </w:rPr>
              <w:t>Contained organisational mail out costs through use of emails to replace paper for library reservations and overdue notices. Decrease in mail costs. Over 80% of notices are now electronic.</w:t>
            </w:r>
          </w:p>
        </w:tc>
        <w:tc>
          <w:tcPr>
            <w:tcW w:w="1610" w:type="dxa"/>
          </w:tcPr>
          <w:p w14:paraId="3B73CB9B" w14:textId="77777777" w:rsidR="001F515C" w:rsidRPr="00CC740C" w:rsidRDefault="001F515C" w:rsidP="003F6431">
            <w:pPr>
              <w:jc w:val="right"/>
              <w:rPr>
                <w:rFonts w:ascii="Arial" w:hAnsi="Arial" w:cs="Arial"/>
                <w:color w:val="404040"/>
                <w:sz w:val="20"/>
                <w:szCs w:val="20"/>
              </w:rPr>
            </w:pPr>
            <w:r w:rsidRPr="00CC740C">
              <w:rPr>
                <w:rFonts w:ascii="Arial" w:hAnsi="Arial" w:cs="Arial"/>
                <w:color w:val="404040"/>
                <w:sz w:val="20"/>
                <w:szCs w:val="20"/>
              </w:rPr>
              <w:t>$7,800</w:t>
            </w:r>
          </w:p>
        </w:tc>
        <w:tc>
          <w:tcPr>
            <w:tcW w:w="1372" w:type="dxa"/>
          </w:tcPr>
          <w:p w14:paraId="6456C702" w14:textId="77777777" w:rsidR="001F515C" w:rsidRPr="00CC740C" w:rsidRDefault="001F515C" w:rsidP="003F6431">
            <w:pPr>
              <w:rPr>
                <w:rFonts w:ascii="Arial" w:hAnsi="Arial" w:cs="Arial"/>
                <w:color w:val="404040"/>
                <w:sz w:val="20"/>
                <w:szCs w:val="20"/>
              </w:rPr>
            </w:pPr>
          </w:p>
        </w:tc>
      </w:tr>
      <w:tr w:rsidR="001F515C" w:rsidRPr="00370487" w14:paraId="4C316A3B" w14:textId="77777777" w:rsidTr="00AE37EC">
        <w:trPr>
          <w:cantSplit/>
        </w:trPr>
        <w:tc>
          <w:tcPr>
            <w:tcW w:w="6187" w:type="dxa"/>
          </w:tcPr>
          <w:p w14:paraId="36AE616C" w14:textId="77777777" w:rsidR="001F515C" w:rsidRPr="00CC740C" w:rsidRDefault="001F515C" w:rsidP="003F6431">
            <w:pPr>
              <w:rPr>
                <w:rFonts w:ascii="Arial" w:hAnsi="Arial" w:cs="Arial"/>
                <w:sz w:val="20"/>
                <w:szCs w:val="20"/>
              </w:rPr>
            </w:pPr>
            <w:r w:rsidRPr="00CC740C">
              <w:rPr>
                <w:rFonts w:ascii="Arial" w:hAnsi="Arial" w:cs="Arial"/>
                <w:color w:val="404040"/>
                <w:sz w:val="20"/>
                <w:szCs w:val="20"/>
              </w:rPr>
              <w:t>Developed and implemented e-forms for bookings and applications. Reduces paper consumption and negates the need to scan paper copy.</w:t>
            </w:r>
          </w:p>
        </w:tc>
        <w:tc>
          <w:tcPr>
            <w:tcW w:w="1610" w:type="dxa"/>
          </w:tcPr>
          <w:p w14:paraId="5ADC4A91" w14:textId="77777777" w:rsidR="001F515C" w:rsidRPr="00CC740C" w:rsidRDefault="001F515C" w:rsidP="003F6431">
            <w:pPr>
              <w:jc w:val="right"/>
              <w:rPr>
                <w:rFonts w:ascii="Arial" w:hAnsi="Arial" w:cs="Arial"/>
                <w:color w:val="404040"/>
                <w:sz w:val="20"/>
                <w:szCs w:val="20"/>
              </w:rPr>
            </w:pPr>
            <w:r w:rsidRPr="00CC740C">
              <w:rPr>
                <w:rFonts w:ascii="Arial" w:hAnsi="Arial" w:cs="Arial"/>
                <w:color w:val="404040"/>
                <w:sz w:val="20"/>
                <w:szCs w:val="20"/>
              </w:rPr>
              <w:t>$6,000</w:t>
            </w:r>
          </w:p>
        </w:tc>
        <w:tc>
          <w:tcPr>
            <w:tcW w:w="1372" w:type="dxa"/>
          </w:tcPr>
          <w:p w14:paraId="502590D0" w14:textId="77777777" w:rsidR="001F515C" w:rsidRPr="00CC740C" w:rsidRDefault="001F515C" w:rsidP="003F6431">
            <w:pPr>
              <w:rPr>
                <w:rFonts w:ascii="Arial" w:hAnsi="Arial" w:cs="Arial"/>
                <w:color w:val="404040"/>
                <w:sz w:val="20"/>
                <w:szCs w:val="20"/>
              </w:rPr>
            </w:pPr>
          </w:p>
        </w:tc>
      </w:tr>
      <w:tr w:rsidR="001F515C" w:rsidRPr="00370487" w14:paraId="6901595E" w14:textId="77777777" w:rsidTr="00AE37EC">
        <w:trPr>
          <w:cantSplit/>
        </w:trPr>
        <w:tc>
          <w:tcPr>
            <w:tcW w:w="6187" w:type="dxa"/>
          </w:tcPr>
          <w:p w14:paraId="1EC53E24" w14:textId="77777777" w:rsidR="001F515C" w:rsidRPr="00CC740C" w:rsidRDefault="001F515C" w:rsidP="003F6431">
            <w:pPr>
              <w:rPr>
                <w:rFonts w:ascii="Arial" w:hAnsi="Arial" w:cs="Arial"/>
                <w:sz w:val="20"/>
                <w:szCs w:val="20"/>
              </w:rPr>
            </w:pPr>
            <w:r w:rsidRPr="00CC740C">
              <w:rPr>
                <w:rFonts w:ascii="Arial" w:hAnsi="Arial" w:cs="Arial"/>
                <w:color w:val="404040"/>
                <w:sz w:val="20"/>
                <w:szCs w:val="20"/>
              </w:rPr>
              <w:t>Redirected Family Day Care payments through the Customer Service Centre. Eliminating the manual credit card machine and cash handling requirements.</w:t>
            </w:r>
          </w:p>
        </w:tc>
        <w:tc>
          <w:tcPr>
            <w:tcW w:w="1610" w:type="dxa"/>
          </w:tcPr>
          <w:p w14:paraId="0FEDA35A" w14:textId="77777777" w:rsidR="001F515C" w:rsidRPr="00CC740C" w:rsidRDefault="001F515C" w:rsidP="003F6431">
            <w:pPr>
              <w:jc w:val="right"/>
              <w:rPr>
                <w:rFonts w:ascii="Arial" w:hAnsi="Arial" w:cs="Arial"/>
                <w:color w:val="404040"/>
                <w:sz w:val="20"/>
                <w:szCs w:val="20"/>
              </w:rPr>
            </w:pPr>
            <w:r w:rsidRPr="00CC740C">
              <w:rPr>
                <w:rFonts w:ascii="Arial" w:hAnsi="Arial" w:cs="Arial"/>
                <w:color w:val="404040"/>
                <w:sz w:val="20"/>
                <w:szCs w:val="20"/>
              </w:rPr>
              <w:t>$6,000</w:t>
            </w:r>
          </w:p>
        </w:tc>
        <w:tc>
          <w:tcPr>
            <w:tcW w:w="1372" w:type="dxa"/>
          </w:tcPr>
          <w:p w14:paraId="2AA076FC" w14:textId="77777777" w:rsidR="001F515C" w:rsidRPr="00CC740C" w:rsidRDefault="001F515C" w:rsidP="003F6431">
            <w:pPr>
              <w:rPr>
                <w:rFonts w:ascii="Arial" w:hAnsi="Arial" w:cs="Arial"/>
                <w:color w:val="404040"/>
                <w:sz w:val="20"/>
                <w:szCs w:val="20"/>
              </w:rPr>
            </w:pPr>
          </w:p>
        </w:tc>
      </w:tr>
      <w:tr w:rsidR="001F515C" w:rsidRPr="00370487" w14:paraId="17D3CDDF" w14:textId="77777777" w:rsidTr="00AE37EC">
        <w:trPr>
          <w:cantSplit/>
        </w:trPr>
        <w:tc>
          <w:tcPr>
            <w:tcW w:w="6187" w:type="dxa"/>
          </w:tcPr>
          <w:p w14:paraId="73CE5159" w14:textId="77777777" w:rsidR="001F515C" w:rsidRPr="00CC740C" w:rsidRDefault="001F515C" w:rsidP="003F6431">
            <w:pPr>
              <w:rPr>
                <w:rFonts w:ascii="Arial" w:hAnsi="Arial" w:cs="Arial"/>
                <w:sz w:val="20"/>
                <w:szCs w:val="20"/>
              </w:rPr>
            </w:pPr>
            <w:r w:rsidRPr="00CC740C">
              <w:rPr>
                <w:rFonts w:ascii="Arial" w:hAnsi="Arial" w:cs="Arial"/>
                <w:color w:val="404040"/>
                <w:sz w:val="20"/>
                <w:szCs w:val="20"/>
              </w:rPr>
              <w:t>Increased delegation from Council to negotiate / deal with matters before the courts.</w:t>
            </w:r>
          </w:p>
        </w:tc>
        <w:tc>
          <w:tcPr>
            <w:tcW w:w="1610" w:type="dxa"/>
          </w:tcPr>
          <w:p w14:paraId="4D13BA3E" w14:textId="77777777" w:rsidR="001F515C" w:rsidRPr="00CC740C" w:rsidRDefault="001F515C" w:rsidP="003F6431">
            <w:pPr>
              <w:jc w:val="right"/>
              <w:rPr>
                <w:rFonts w:ascii="Arial" w:hAnsi="Arial" w:cs="Arial"/>
                <w:color w:val="404040"/>
                <w:sz w:val="20"/>
                <w:szCs w:val="20"/>
              </w:rPr>
            </w:pPr>
            <w:r w:rsidRPr="00CC740C">
              <w:rPr>
                <w:rFonts w:ascii="Arial" w:hAnsi="Arial" w:cs="Arial"/>
                <w:color w:val="404040"/>
                <w:sz w:val="20"/>
                <w:szCs w:val="20"/>
              </w:rPr>
              <w:t>$6,000</w:t>
            </w:r>
          </w:p>
        </w:tc>
        <w:tc>
          <w:tcPr>
            <w:tcW w:w="1372" w:type="dxa"/>
          </w:tcPr>
          <w:p w14:paraId="08DCC08E" w14:textId="77777777" w:rsidR="001F515C" w:rsidRPr="00CC740C" w:rsidRDefault="001F515C" w:rsidP="003F6431">
            <w:pPr>
              <w:rPr>
                <w:rFonts w:ascii="Arial" w:hAnsi="Arial" w:cs="Arial"/>
                <w:color w:val="404040"/>
                <w:sz w:val="20"/>
                <w:szCs w:val="20"/>
              </w:rPr>
            </w:pPr>
          </w:p>
        </w:tc>
      </w:tr>
      <w:tr w:rsidR="001F515C" w:rsidRPr="00370487" w14:paraId="2E26A061" w14:textId="77777777" w:rsidTr="00AE37EC">
        <w:trPr>
          <w:cantSplit/>
        </w:trPr>
        <w:tc>
          <w:tcPr>
            <w:tcW w:w="6187" w:type="dxa"/>
          </w:tcPr>
          <w:p w14:paraId="338DA606" w14:textId="77777777" w:rsidR="001F515C" w:rsidRPr="00CC740C" w:rsidRDefault="001F515C" w:rsidP="003F6431">
            <w:pPr>
              <w:rPr>
                <w:rFonts w:ascii="Arial" w:hAnsi="Arial" w:cs="Arial"/>
                <w:color w:val="404040"/>
                <w:sz w:val="20"/>
                <w:szCs w:val="20"/>
              </w:rPr>
            </w:pPr>
            <w:r w:rsidRPr="00CC740C">
              <w:rPr>
                <w:rFonts w:ascii="Arial" w:hAnsi="Arial" w:cs="Arial"/>
                <w:color w:val="404040"/>
                <w:sz w:val="20"/>
                <w:szCs w:val="20"/>
              </w:rPr>
              <w:t xml:space="preserve">Staged implementation of Envisionware Internet Booking System at Council libraries. Savings in paper and ink usage by reducing unwanted printing by customers. </w:t>
            </w:r>
          </w:p>
        </w:tc>
        <w:tc>
          <w:tcPr>
            <w:tcW w:w="1610" w:type="dxa"/>
          </w:tcPr>
          <w:p w14:paraId="5C270EFE" w14:textId="77777777" w:rsidR="001F515C" w:rsidRPr="00CC740C" w:rsidRDefault="001F515C" w:rsidP="003F6431">
            <w:pPr>
              <w:jc w:val="right"/>
              <w:rPr>
                <w:rFonts w:ascii="Arial" w:hAnsi="Arial" w:cs="Arial"/>
                <w:color w:val="404040"/>
                <w:sz w:val="20"/>
                <w:szCs w:val="20"/>
              </w:rPr>
            </w:pPr>
            <w:r w:rsidRPr="00CC740C">
              <w:rPr>
                <w:rFonts w:ascii="Arial" w:hAnsi="Arial" w:cs="Arial"/>
                <w:color w:val="404040"/>
                <w:sz w:val="20"/>
                <w:szCs w:val="20"/>
              </w:rPr>
              <w:t>$4,680</w:t>
            </w:r>
          </w:p>
        </w:tc>
        <w:tc>
          <w:tcPr>
            <w:tcW w:w="1372" w:type="dxa"/>
          </w:tcPr>
          <w:p w14:paraId="617705CE" w14:textId="77777777" w:rsidR="001F515C" w:rsidRPr="00CC740C" w:rsidRDefault="001F515C" w:rsidP="003F6431">
            <w:pPr>
              <w:rPr>
                <w:rFonts w:ascii="Arial" w:hAnsi="Arial" w:cs="Arial"/>
                <w:color w:val="404040"/>
                <w:sz w:val="20"/>
                <w:szCs w:val="20"/>
              </w:rPr>
            </w:pPr>
          </w:p>
        </w:tc>
      </w:tr>
      <w:tr w:rsidR="001F515C" w:rsidRPr="00370487" w14:paraId="6BAE38BD" w14:textId="77777777" w:rsidTr="00AE37EC">
        <w:trPr>
          <w:cantSplit/>
        </w:trPr>
        <w:tc>
          <w:tcPr>
            <w:tcW w:w="6187" w:type="dxa"/>
          </w:tcPr>
          <w:p w14:paraId="1AE37C56" w14:textId="77777777" w:rsidR="001F515C" w:rsidRPr="00CC740C" w:rsidRDefault="001F515C" w:rsidP="003F6431">
            <w:pPr>
              <w:rPr>
                <w:rFonts w:ascii="Arial" w:hAnsi="Arial" w:cs="Arial"/>
                <w:sz w:val="20"/>
                <w:szCs w:val="20"/>
              </w:rPr>
            </w:pPr>
            <w:r w:rsidRPr="00CC740C">
              <w:rPr>
                <w:rFonts w:ascii="Arial" w:hAnsi="Arial" w:cs="Arial"/>
                <w:color w:val="404040"/>
                <w:sz w:val="20"/>
                <w:szCs w:val="20"/>
              </w:rPr>
              <w:t xml:space="preserve">Created efficiencies in processing and debt recovery by adding the “Septic Safe” fee to the rates notice. It used to be invoiced separately. </w:t>
            </w:r>
          </w:p>
        </w:tc>
        <w:tc>
          <w:tcPr>
            <w:tcW w:w="1610" w:type="dxa"/>
          </w:tcPr>
          <w:p w14:paraId="2425B394" w14:textId="77777777" w:rsidR="001F515C" w:rsidRPr="00CC740C" w:rsidRDefault="001F515C" w:rsidP="003F6431">
            <w:pPr>
              <w:jc w:val="right"/>
              <w:rPr>
                <w:rFonts w:ascii="Arial" w:hAnsi="Arial" w:cs="Arial"/>
                <w:color w:val="404040"/>
                <w:sz w:val="20"/>
                <w:szCs w:val="20"/>
              </w:rPr>
            </w:pPr>
            <w:r w:rsidRPr="00CC740C">
              <w:rPr>
                <w:rFonts w:ascii="Arial" w:hAnsi="Arial" w:cs="Arial"/>
                <w:color w:val="404040"/>
                <w:sz w:val="20"/>
                <w:szCs w:val="20"/>
              </w:rPr>
              <w:t>$4,000</w:t>
            </w:r>
          </w:p>
        </w:tc>
        <w:tc>
          <w:tcPr>
            <w:tcW w:w="1372" w:type="dxa"/>
          </w:tcPr>
          <w:p w14:paraId="5567016B" w14:textId="77777777" w:rsidR="001F515C" w:rsidRPr="00CC740C" w:rsidRDefault="001F515C" w:rsidP="003F6431">
            <w:pPr>
              <w:rPr>
                <w:rFonts w:ascii="Arial" w:hAnsi="Arial" w:cs="Arial"/>
                <w:color w:val="404040"/>
                <w:sz w:val="20"/>
                <w:szCs w:val="20"/>
              </w:rPr>
            </w:pPr>
          </w:p>
        </w:tc>
      </w:tr>
      <w:tr w:rsidR="001F515C" w:rsidRPr="00370487" w14:paraId="0CD0B8DC" w14:textId="77777777" w:rsidTr="00AE37EC">
        <w:trPr>
          <w:cantSplit/>
        </w:trPr>
        <w:tc>
          <w:tcPr>
            <w:tcW w:w="6187" w:type="dxa"/>
          </w:tcPr>
          <w:p w14:paraId="15C3A6D2" w14:textId="77777777" w:rsidR="001F515C" w:rsidRPr="00CC740C" w:rsidRDefault="001F515C" w:rsidP="003F6431">
            <w:pPr>
              <w:rPr>
                <w:rFonts w:ascii="Arial" w:hAnsi="Arial" w:cs="Arial"/>
                <w:sz w:val="20"/>
                <w:szCs w:val="20"/>
              </w:rPr>
            </w:pPr>
            <w:r w:rsidRPr="00CC740C">
              <w:rPr>
                <w:rFonts w:ascii="Arial" w:hAnsi="Arial" w:cs="Arial"/>
                <w:color w:val="404040"/>
                <w:sz w:val="20"/>
                <w:szCs w:val="20"/>
              </w:rPr>
              <w:t>Addressed risk by checking development applications against the Aboriginal Heritage when the application was lodged.</w:t>
            </w:r>
          </w:p>
        </w:tc>
        <w:tc>
          <w:tcPr>
            <w:tcW w:w="1610" w:type="dxa"/>
          </w:tcPr>
          <w:p w14:paraId="0DE37905" w14:textId="77777777" w:rsidR="001F515C" w:rsidRPr="00CC740C" w:rsidRDefault="001F515C" w:rsidP="003F6431">
            <w:pPr>
              <w:jc w:val="right"/>
              <w:rPr>
                <w:rFonts w:ascii="Arial" w:hAnsi="Arial" w:cs="Arial"/>
                <w:color w:val="404040"/>
                <w:sz w:val="20"/>
                <w:szCs w:val="20"/>
              </w:rPr>
            </w:pPr>
            <w:r w:rsidRPr="00CC740C">
              <w:rPr>
                <w:rFonts w:ascii="Arial" w:hAnsi="Arial" w:cs="Arial"/>
                <w:color w:val="404040"/>
                <w:sz w:val="20"/>
                <w:szCs w:val="20"/>
              </w:rPr>
              <w:t>$4,000</w:t>
            </w:r>
          </w:p>
        </w:tc>
        <w:tc>
          <w:tcPr>
            <w:tcW w:w="1372" w:type="dxa"/>
          </w:tcPr>
          <w:p w14:paraId="6AA6672A" w14:textId="77777777" w:rsidR="001F515C" w:rsidRPr="00CC740C" w:rsidRDefault="001F515C" w:rsidP="003F6431">
            <w:pPr>
              <w:rPr>
                <w:rFonts w:ascii="Arial" w:hAnsi="Arial" w:cs="Arial"/>
                <w:color w:val="404040"/>
                <w:sz w:val="20"/>
                <w:szCs w:val="20"/>
              </w:rPr>
            </w:pPr>
          </w:p>
        </w:tc>
      </w:tr>
      <w:tr w:rsidR="001F515C" w:rsidRPr="00370487" w14:paraId="7DFDAAD7" w14:textId="77777777" w:rsidTr="00AE37EC">
        <w:trPr>
          <w:cantSplit/>
        </w:trPr>
        <w:tc>
          <w:tcPr>
            <w:tcW w:w="6187" w:type="dxa"/>
          </w:tcPr>
          <w:p w14:paraId="3E509A67" w14:textId="77777777" w:rsidR="001F515C" w:rsidRPr="00CC740C" w:rsidRDefault="001F515C" w:rsidP="003F6431">
            <w:pPr>
              <w:rPr>
                <w:rFonts w:ascii="Arial" w:hAnsi="Arial" w:cs="Arial"/>
                <w:sz w:val="20"/>
                <w:szCs w:val="20"/>
              </w:rPr>
            </w:pPr>
            <w:r w:rsidRPr="00CC740C">
              <w:rPr>
                <w:rFonts w:ascii="Arial" w:hAnsi="Arial" w:cs="Arial"/>
                <w:color w:val="404040"/>
                <w:sz w:val="20"/>
                <w:szCs w:val="20"/>
              </w:rPr>
              <w:t>Developed and published guides to development resulting in 17% reduction in the number of rejected applications. Significant savings by client; efficiency savings in registering and scanning</w:t>
            </w:r>
          </w:p>
        </w:tc>
        <w:tc>
          <w:tcPr>
            <w:tcW w:w="1610" w:type="dxa"/>
          </w:tcPr>
          <w:p w14:paraId="35402A06" w14:textId="77777777" w:rsidR="001F515C" w:rsidRPr="00CC740C" w:rsidRDefault="001F515C" w:rsidP="003F6431">
            <w:pPr>
              <w:jc w:val="right"/>
              <w:rPr>
                <w:rFonts w:ascii="Arial" w:hAnsi="Arial" w:cs="Arial"/>
                <w:color w:val="404040"/>
                <w:sz w:val="20"/>
                <w:szCs w:val="20"/>
              </w:rPr>
            </w:pPr>
            <w:r w:rsidRPr="00CC740C">
              <w:rPr>
                <w:rFonts w:ascii="Arial" w:hAnsi="Arial" w:cs="Arial"/>
                <w:color w:val="404040"/>
                <w:sz w:val="20"/>
                <w:szCs w:val="20"/>
              </w:rPr>
              <w:t>$4,000</w:t>
            </w:r>
          </w:p>
        </w:tc>
        <w:tc>
          <w:tcPr>
            <w:tcW w:w="1372" w:type="dxa"/>
          </w:tcPr>
          <w:p w14:paraId="79990264" w14:textId="77777777" w:rsidR="001F515C" w:rsidRPr="00CC740C" w:rsidRDefault="001F515C" w:rsidP="003F6431">
            <w:pPr>
              <w:rPr>
                <w:rFonts w:ascii="Arial" w:hAnsi="Arial" w:cs="Arial"/>
                <w:color w:val="404040"/>
                <w:sz w:val="20"/>
                <w:szCs w:val="20"/>
              </w:rPr>
            </w:pPr>
          </w:p>
        </w:tc>
      </w:tr>
      <w:tr w:rsidR="001F515C" w:rsidRPr="00370487" w14:paraId="4D768842" w14:textId="77777777" w:rsidTr="00AE37EC">
        <w:trPr>
          <w:cantSplit/>
        </w:trPr>
        <w:tc>
          <w:tcPr>
            <w:tcW w:w="6187" w:type="dxa"/>
          </w:tcPr>
          <w:p w14:paraId="078FE555" w14:textId="77777777" w:rsidR="001F515C" w:rsidRPr="00CC740C" w:rsidRDefault="001F515C" w:rsidP="003F6431">
            <w:pPr>
              <w:rPr>
                <w:rFonts w:ascii="Arial" w:hAnsi="Arial" w:cs="Arial"/>
                <w:sz w:val="20"/>
                <w:szCs w:val="20"/>
              </w:rPr>
            </w:pPr>
            <w:r w:rsidRPr="00CC740C">
              <w:rPr>
                <w:rFonts w:ascii="Arial" w:hAnsi="Arial" w:cs="Arial"/>
                <w:color w:val="404040"/>
                <w:sz w:val="20"/>
                <w:szCs w:val="20"/>
              </w:rPr>
              <w:t>Investigate video conferencing option to save staff travelling to meetings.</w:t>
            </w:r>
          </w:p>
        </w:tc>
        <w:tc>
          <w:tcPr>
            <w:tcW w:w="1610" w:type="dxa"/>
          </w:tcPr>
          <w:p w14:paraId="365D9EA8" w14:textId="77777777" w:rsidR="001F515C" w:rsidRPr="00CC740C" w:rsidRDefault="001F515C" w:rsidP="003F6431">
            <w:pPr>
              <w:jc w:val="right"/>
              <w:rPr>
                <w:rFonts w:ascii="Arial" w:hAnsi="Arial" w:cs="Arial"/>
                <w:color w:val="404040"/>
                <w:sz w:val="20"/>
                <w:szCs w:val="20"/>
              </w:rPr>
            </w:pPr>
            <w:r>
              <w:rPr>
                <w:rFonts w:ascii="Arial" w:hAnsi="Arial" w:cs="Arial"/>
                <w:color w:val="404040"/>
                <w:sz w:val="20"/>
                <w:szCs w:val="20"/>
              </w:rPr>
              <w:t>Not determined</w:t>
            </w:r>
          </w:p>
        </w:tc>
        <w:tc>
          <w:tcPr>
            <w:tcW w:w="1372" w:type="dxa"/>
          </w:tcPr>
          <w:p w14:paraId="409C7663" w14:textId="77777777" w:rsidR="001F515C" w:rsidRPr="00CC740C" w:rsidRDefault="001F515C" w:rsidP="003F6431">
            <w:pPr>
              <w:rPr>
                <w:rFonts w:ascii="Arial" w:hAnsi="Arial" w:cs="Arial"/>
                <w:color w:val="404040"/>
                <w:sz w:val="20"/>
                <w:szCs w:val="20"/>
              </w:rPr>
            </w:pPr>
          </w:p>
        </w:tc>
      </w:tr>
      <w:tr w:rsidR="001F515C" w:rsidRPr="00370487" w14:paraId="176DB493" w14:textId="77777777" w:rsidTr="00AE37EC">
        <w:trPr>
          <w:cantSplit/>
        </w:trPr>
        <w:tc>
          <w:tcPr>
            <w:tcW w:w="6187" w:type="dxa"/>
          </w:tcPr>
          <w:p w14:paraId="57563314" w14:textId="77777777" w:rsidR="001F515C" w:rsidRPr="00CC740C" w:rsidRDefault="001F515C" w:rsidP="003F6431">
            <w:pPr>
              <w:rPr>
                <w:rFonts w:ascii="Arial" w:hAnsi="Arial" w:cs="Arial"/>
                <w:sz w:val="20"/>
                <w:szCs w:val="20"/>
              </w:rPr>
            </w:pPr>
            <w:r w:rsidRPr="00CC740C">
              <w:rPr>
                <w:rFonts w:ascii="Arial" w:hAnsi="Arial" w:cs="Arial"/>
                <w:color w:val="404040"/>
                <w:sz w:val="20"/>
                <w:szCs w:val="20"/>
              </w:rPr>
              <w:t>Implemented split shift facility cleansing teams to improve service quality and reduce contract security costs</w:t>
            </w:r>
            <w:r>
              <w:rPr>
                <w:rFonts w:ascii="Arial" w:hAnsi="Arial" w:cs="Arial"/>
                <w:color w:val="404040"/>
                <w:sz w:val="20"/>
                <w:szCs w:val="20"/>
              </w:rPr>
              <w:t>.</w:t>
            </w:r>
          </w:p>
        </w:tc>
        <w:tc>
          <w:tcPr>
            <w:tcW w:w="1610" w:type="dxa"/>
          </w:tcPr>
          <w:p w14:paraId="20F25DB6" w14:textId="77777777" w:rsidR="001F515C" w:rsidRPr="00CC740C" w:rsidRDefault="001F515C" w:rsidP="003F6431">
            <w:pPr>
              <w:jc w:val="right"/>
              <w:rPr>
                <w:rFonts w:ascii="Arial" w:hAnsi="Arial" w:cs="Arial"/>
                <w:color w:val="404040"/>
                <w:sz w:val="20"/>
                <w:szCs w:val="20"/>
              </w:rPr>
            </w:pPr>
            <w:r>
              <w:rPr>
                <w:rFonts w:ascii="Arial" w:hAnsi="Arial" w:cs="Arial"/>
                <w:color w:val="404040"/>
                <w:sz w:val="20"/>
                <w:szCs w:val="20"/>
              </w:rPr>
              <w:t>Not determined</w:t>
            </w:r>
          </w:p>
        </w:tc>
        <w:tc>
          <w:tcPr>
            <w:tcW w:w="1372" w:type="dxa"/>
          </w:tcPr>
          <w:p w14:paraId="0D01C19F" w14:textId="77777777" w:rsidR="001F515C" w:rsidRPr="00CC740C" w:rsidRDefault="001F515C" w:rsidP="003F6431">
            <w:pPr>
              <w:rPr>
                <w:rFonts w:ascii="Arial" w:hAnsi="Arial" w:cs="Arial"/>
                <w:color w:val="404040"/>
                <w:sz w:val="20"/>
                <w:szCs w:val="20"/>
              </w:rPr>
            </w:pPr>
          </w:p>
        </w:tc>
      </w:tr>
      <w:tr w:rsidR="001F515C" w:rsidRPr="00370487" w14:paraId="610355F0" w14:textId="77777777" w:rsidTr="00AE37EC">
        <w:trPr>
          <w:cantSplit/>
        </w:trPr>
        <w:tc>
          <w:tcPr>
            <w:tcW w:w="6187" w:type="dxa"/>
          </w:tcPr>
          <w:p w14:paraId="66B52DA3" w14:textId="77777777" w:rsidR="001F515C" w:rsidRPr="00CC740C" w:rsidRDefault="001F515C" w:rsidP="003F6431">
            <w:pPr>
              <w:rPr>
                <w:rFonts w:ascii="Arial" w:hAnsi="Arial" w:cs="Arial"/>
                <w:sz w:val="20"/>
                <w:szCs w:val="20"/>
              </w:rPr>
            </w:pPr>
            <w:r w:rsidRPr="00CC740C">
              <w:rPr>
                <w:rFonts w:ascii="Arial" w:hAnsi="Arial" w:cs="Arial"/>
                <w:color w:val="404040"/>
                <w:sz w:val="20"/>
                <w:szCs w:val="20"/>
              </w:rPr>
              <w:t>Purchased a second oval type mower for broad acre mowing - giving more options for maintaining sportgrounds and large grassed areas</w:t>
            </w:r>
          </w:p>
        </w:tc>
        <w:tc>
          <w:tcPr>
            <w:tcW w:w="1610" w:type="dxa"/>
          </w:tcPr>
          <w:p w14:paraId="4FA4B5EF" w14:textId="77777777" w:rsidR="001F515C" w:rsidRPr="00CC740C" w:rsidRDefault="001F515C" w:rsidP="003F6431">
            <w:pPr>
              <w:jc w:val="right"/>
              <w:rPr>
                <w:rFonts w:ascii="Arial" w:hAnsi="Arial" w:cs="Arial"/>
                <w:color w:val="404040"/>
                <w:sz w:val="20"/>
                <w:szCs w:val="20"/>
              </w:rPr>
            </w:pPr>
            <w:r>
              <w:rPr>
                <w:rFonts w:ascii="Arial" w:hAnsi="Arial" w:cs="Arial"/>
                <w:color w:val="404040"/>
                <w:sz w:val="20"/>
                <w:szCs w:val="20"/>
              </w:rPr>
              <w:t>Not determined</w:t>
            </w:r>
          </w:p>
        </w:tc>
        <w:tc>
          <w:tcPr>
            <w:tcW w:w="1372" w:type="dxa"/>
          </w:tcPr>
          <w:p w14:paraId="7CE464FE" w14:textId="77777777" w:rsidR="001F515C" w:rsidRPr="00CC740C" w:rsidRDefault="001F515C" w:rsidP="003F6431">
            <w:pPr>
              <w:rPr>
                <w:rFonts w:ascii="Arial" w:hAnsi="Arial" w:cs="Arial"/>
                <w:color w:val="404040"/>
                <w:sz w:val="20"/>
                <w:szCs w:val="20"/>
              </w:rPr>
            </w:pPr>
          </w:p>
        </w:tc>
      </w:tr>
      <w:tr w:rsidR="001F515C" w:rsidRPr="00370487" w14:paraId="6B2F86EA" w14:textId="77777777" w:rsidTr="00AE37EC">
        <w:trPr>
          <w:cantSplit/>
        </w:trPr>
        <w:tc>
          <w:tcPr>
            <w:tcW w:w="6187" w:type="dxa"/>
          </w:tcPr>
          <w:p w14:paraId="5804C728" w14:textId="77777777" w:rsidR="001F515C" w:rsidRPr="00CC740C" w:rsidRDefault="001F515C" w:rsidP="003F6431">
            <w:pPr>
              <w:rPr>
                <w:rFonts w:ascii="Arial" w:hAnsi="Arial" w:cs="Arial"/>
                <w:sz w:val="20"/>
                <w:szCs w:val="20"/>
              </w:rPr>
            </w:pPr>
            <w:r w:rsidRPr="00CC740C">
              <w:rPr>
                <w:rFonts w:ascii="Arial" w:hAnsi="Arial" w:cs="Arial"/>
                <w:color w:val="404040"/>
                <w:sz w:val="20"/>
                <w:szCs w:val="20"/>
              </w:rPr>
              <w:t>Introduced flexible work practices for phased retirement to allow smooth transfer of knowledge transition to new staff.</w:t>
            </w:r>
          </w:p>
        </w:tc>
        <w:tc>
          <w:tcPr>
            <w:tcW w:w="1610" w:type="dxa"/>
          </w:tcPr>
          <w:p w14:paraId="4A5923BF" w14:textId="77777777" w:rsidR="001F515C" w:rsidRPr="00CC740C" w:rsidRDefault="001F515C" w:rsidP="003F6431">
            <w:pPr>
              <w:jc w:val="right"/>
              <w:rPr>
                <w:rFonts w:ascii="Arial" w:hAnsi="Arial" w:cs="Arial"/>
                <w:color w:val="404040"/>
                <w:sz w:val="20"/>
                <w:szCs w:val="20"/>
              </w:rPr>
            </w:pPr>
            <w:r>
              <w:rPr>
                <w:rFonts w:ascii="Arial" w:hAnsi="Arial" w:cs="Arial"/>
                <w:color w:val="404040"/>
                <w:sz w:val="20"/>
                <w:szCs w:val="20"/>
              </w:rPr>
              <w:t>Not determined</w:t>
            </w:r>
          </w:p>
        </w:tc>
        <w:tc>
          <w:tcPr>
            <w:tcW w:w="1372" w:type="dxa"/>
          </w:tcPr>
          <w:p w14:paraId="58BD2489" w14:textId="77777777" w:rsidR="001F515C" w:rsidRPr="00CC740C" w:rsidRDefault="001F515C" w:rsidP="003F6431">
            <w:pPr>
              <w:rPr>
                <w:rFonts w:ascii="Arial" w:hAnsi="Arial" w:cs="Arial"/>
                <w:color w:val="404040"/>
                <w:sz w:val="20"/>
                <w:szCs w:val="20"/>
              </w:rPr>
            </w:pPr>
          </w:p>
        </w:tc>
      </w:tr>
      <w:tr w:rsidR="001F515C" w:rsidRPr="00370487" w14:paraId="454DD730" w14:textId="77777777" w:rsidTr="00AE37EC">
        <w:trPr>
          <w:cantSplit/>
        </w:trPr>
        <w:tc>
          <w:tcPr>
            <w:tcW w:w="6187" w:type="dxa"/>
          </w:tcPr>
          <w:p w14:paraId="1957B579" w14:textId="77777777" w:rsidR="001F515C" w:rsidRPr="00CC740C" w:rsidRDefault="001F515C" w:rsidP="003F6431">
            <w:pPr>
              <w:rPr>
                <w:rFonts w:ascii="Arial" w:hAnsi="Arial" w:cs="Arial"/>
                <w:sz w:val="20"/>
                <w:szCs w:val="20"/>
              </w:rPr>
            </w:pPr>
            <w:r w:rsidRPr="00CC740C">
              <w:rPr>
                <w:rFonts w:ascii="Arial" w:hAnsi="Arial" w:cs="Arial"/>
                <w:color w:val="404040"/>
                <w:sz w:val="20"/>
                <w:szCs w:val="20"/>
              </w:rPr>
              <w:t>Reviewed retail stock lines in Visitor Information Centres to be being responsive to sales trends</w:t>
            </w:r>
          </w:p>
        </w:tc>
        <w:tc>
          <w:tcPr>
            <w:tcW w:w="1610" w:type="dxa"/>
          </w:tcPr>
          <w:p w14:paraId="54D99D2D" w14:textId="77777777" w:rsidR="001F515C" w:rsidRPr="00CC740C" w:rsidRDefault="001F515C" w:rsidP="003F6431">
            <w:pPr>
              <w:jc w:val="right"/>
              <w:rPr>
                <w:rFonts w:ascii="Arial" w:hAnsi="Arial" w:cs="Arial"/>
                <w:color w:val="404040"/>
                <w:sz w:val="20"/>
                <w:szCs w:val="20"/>
              </w:rPr>
            </w:pPr>
            <w:r>
              <w:rPr>
                <w:rFonts w:ascii="Arial" w:hAnsi="Arial" w:cs="Arial"/>
                <w:color w:val="404040"/>
                <w:sz w:val="20"/>
                <w:szCs w:val="20"/>
              </w:rPr>
              <w:t>Not determined</w:t>
            </w:r>
          </w:p>
        </w:tc>
        <w:tc>
          <w:tcPr>
            <w:tcW w:w="1372" w:type="dxa"/>
          </w:tcPr>
          <w:p w14:paraId="3B6FA65B" w14:textId="77777777" w:rsidR="001F515C" w:rsidRPr="00CC740C" w:rsidRDefault="001F515C" w:rsidP="003F6431">
            <w:pPr>
              <w:rPr>
                <w:rFonts w:ascii="Arial" w:hAnsi="Arial" w:cs="Arial"/>
                <w:color w:val="404040"/>
                <w:sz w:val="20"/>
                <w:szCs w:val="20"/>
              </w:rPr>
            </w:pPr>
          </w:p>
        </w:tc>
      </w:tr>
      <w:tr w:rsidR="001F515C" w:rsidRPr="00370487" w14:paraId="204376FD" w14:textId="77777777" w:rsidTr="00AE37EC">
        <w:trPr>
          <w:cantSplit/>
        </w:trPr>
        <w:tc>
          <w:tcPr>
            <w:tcW w:w="6187" w:type="dxa"/>
          </w:tcPr>
          <w:p w14:paraId="56451604" w14:textId="77777777" w:rsidR="001F515C" w:rsidRPr="00CC740C" w:rsidRDefault="001F515C" w:rsidP="003F6431">
            <w:pPr>
              <w:rPr>
                <w:rFonts w:ascii="Arial" w:hAnsi="Arial" w:cs="Arial"/>
                <w:sz w:val="20"/>
                <w:szCs w:val="20"/>
              </w:rPr>
            </w:pPr>
            <w:r w:rsidRPr="00CC740C">
              <w:rPr>
                <w:rFonts w:ascii="Arial" w:hAnsi="Arial" w:cs="Arial"/>
                <w:color w:val="404040"/>
                <w:sz w:val="20"/>
                <w:szCs w:val="20"/>
              </w:rPr>
              <w:t>" Aquatic Monitoring and Action Program” – this is an efficiency measure to ensure that sound science underpins the Council’s understanding of local aquatic ecosystems, prioritisation of catchments and waterways for on-ground investment  and evaluation of program/project success. Aquatic monitoring results feed into the Catchment Prioritisation tool, which considers a range of values and risks for each sub catchment in the LGA, to help target catchment restoration resources appropriately and provides the evidence required to successfully seek additional external grant funding opportunities to match the Council’s contribution.</w:t>
            </w:r>
          </w:p>
        </w:tc>
        <w:tc>
          <w:tcPr>
            <w:tcW w:w="1610" w:type="dxa"/>
          </w:tcPr>
          <w:p w14:paraId="336A7F88" w14:textId="77777777" w:rsidR="001F515C" w:rsidRPr="00CC740C" w:rsidRDefault="001F515C" w:rsidP="003F6431">
            <w:pPr>
              <w:jc w:val="right"/>
              <w:rPr>
                <w:rFonts w:ascii="Arial" w:hAnsi="Arial" w:cs="Arial"/>
                <w:color w:val="404040"/>
                <w:sz w:val="20"/>
                <w:szCs w:val="20"/>
              </w:rPr>
            </w:pPr>
            <w:r>
              <w:rPr>
                <w:rFonts w:ascii="Arial" w:hAnsi="Arial" w:cs="Arial"/>
                <w:color w:val="404040"/>
                <w:sz w:val="20"/>
                <w:szCs w:val="20"/>
              </w:rPr>
              <w:t>Not determined</w:t>
            </w:r>
          </w:p>
        </w:tc>
        <w:tc>
          <w:tcPr>
            <w:tcW w:w="1372" w:type="dxa"/>
          </w:tcPr>
          <w:p w14:paraId="17AB4359" w14:textId="77777777" w:rsidR="001F515C" w:rsidRPr="00CC740C" w:rsidRDefault="001F515C" w:rsidP="003F6431">
            <w:pPr>
              <w:rPr>
                <w:rFonts w:ascii="Arial" w:hAnsi="Arial" w:cs="Arial"/>
                <w:color w:val="404040"/>
                <w:sz w:val="20"/>
                <w:szCs w:val="20"/>
              </w:rPr>
            </w:pPr>
          </w:p>
        </w:tc>
      </w:tr>
      <w:tr w:rsidR="001F515C" w:rsidRPr="00370487" w14:paraId="26A2A5EB" w14:textId="77777777" w:rsidTr="00AE37EC">
        <w:trPr>
          <w:cantSplit/>
        </w:trPr>
        <w:tc>
          <w:tcPr>
            <w:tcW w:w="6187" w:type="dxa"/>
          </w:tcPr>
          <w:p w14:paraId="57389097" w14:textId="77777777" w:rsidR="001F515C" w:rsidRPr="00CC740C" w:rsidRDefault="001F515C" w:rsidP="003F6431">
            <w:pPr>
              <w:rPr>
                <w:rFonts w:ascii="Arial" w:hAnsi="Arial" w:cs="Arial"/>
                <w:sz w:val="20"/>
                <w:szCs w:val="20"/>
              </w:rPr>
            </w:pPr>
            <w:r w:rsidRPr="00CC740C">
              <w:rPr>
                <w:rFonts w:ascii="Arial" w:hAnsi="Arial" w:cs="Arial"/>
                <w:color w:val="404040"/>
                <w:sz w:val="20"/>
                <w:szCs w:val="20"/>
              </w:rPr>
              <w:t>Relationships were established with adjoining Councils to achieve economies of scale in providing services in town centres</w:t>
            </w:r>
          </w:p>
        </w:tc>
        <w:tc>
          <w:tcPr>
            <w:tcW w:w="1610" w:type="dxa"/>
          </w:tcPr>
          <w:p w14:paraId="300FD20A" w14:textId="77777777" w:rsidR="001F515C" w:rsidRPr="00CC740C" w:rsidRDefault="001F515C" w:rsidP="003F6431">
            <w:pPr>
              <w:jc w:val="right"/>
              <w:rPr>
                <w:rFonts w:ascii="Arial" w:hAnsi="Arial" w:cs="Arial"/>
                <w:color w:val="404040"/>
                <w:sz w:val="20"/>
                <w:szCs w:val="20"/>
              </w:rPr>
            </w:pPr>
            <w:r>
              <w:rPr>
                <w:rFonts w:ascii="Arial" w:hAnsi="Arial" w:cs="Arial"/>
                <w:color w:val="404040"/>
                <w:sz w:val="20"/>
                <w:szCs w:val="20"/>
              </w:rPr>
              <w:t>Not determined</w:t>
            </w:r>
          </w:p>
        </w:tc>
        <w:tc>
          <w:tcPr>
            <w:tcW w:w="1372" w:type="dxa"/>
          </w:tcPr>
          <w:p w14:paraId="69F993A9" w14:textId="77777777" w:rsidR="001F515C" w:rsidRPr="00CC740C" w:rsidRDefault="001F515C" w:rsidP="003F6431">
            <w:pPr>
              <w:rPr>
                <w:rFonts w:ascii="Arial" w:hAnsi="Arial" w:cs="Arial"/>
                <w:color w:val="404040"/>
                <w:sz w:val="20"/>
                <w:szCs w:val="20"/>
              </w:rPr>
            </w:pPr>
          </w:p>
        </w:tc>
      </w:tr>
      <w:tr w:rsidR="001F515C" w:rsidRPr="00370487" w14:paraId="767A02C3" w14:textId="77777777" w:rsidTr="00AE37EC">
        <w:trPr>
          <w:cantSplit/>
        </w:trPr>
        <w:tc>
          <w:tcPr>
            <w:tcW w:w="6187" w:type="dxa"/>
          </w:tcPr>
          <w:p w14:paraId="48C3F4F3" w14:textId="77777777" w:rsidR="001F515C" w:rsidRPr="00CC740C" w:rsidRDefault="001F515C" w:rsidP="003F6431">
            <w:pPr>
              <w:rPr>
                <w:rFonts w:ascii="Arial" w:hAnsi="Arial" w:cs="Arial"/>
                <w:sz w:val="20"/>
                <w:szCs w:val="20"/>
              </w:rPr>
            </w:pPr>
            <w:r w:rsidRPr="00CC740C">
              <w:rPr>
                <w:rFonts w:ascii="Arial" w:hAnsi="Arial" w:cs="Arial"/>
                <w:color w:val="404040"/>
                <w:sz w:val="20"/>
                <w:szCs w:val="20"/>
              </w:rPr>
              <w:t xml:space="preserve">Footpath construction works and paving works are contracted out at a cheaper rate as it was identified that contractors could provide specialist construction equipment and economies of scale </w:t>
            </w:r>
          </w:p>
        </w:tc>
        <w:tc>
          <w:tcPr>
            <w:tcW w:w="1610" w:type="dxa"/>
          </w:tcPr>
          <w:p w14:paraId="2098DA2F" w14:textId="77777777" w:rsidR="001F515C" w:rsidRPr="00CC740C" w:rsidRDefault="001F515C" w:rsidP="003F6431">
            <w:pPr>
              <w:jc w:val="right"/>
              <w:rPr>
                <w:rFonts w:ascii="Arial" w:hAnsi="Arial" w:cs="Arial"/>
                <w:color w:val="404040"/>
                <w:sz w:val="20"/>
                <w:szCs w:val="20"/>
              </w:rPr>
            </w:pPr>
            <w:r>
              <w:rPr>
                <w:rFonts w:ascii="Arial" w:hAnsi="Arial" w:cs="Arial"/>
                <w:color w:val="404040"/>
                <w:sz w:val="20"/>
                <w:szCs w:val="20"/>
              </w:rPr>
              <w:t>Not determined</w:t>
            </w:r>
          </w:p>
        </w:tc>
        <w:tc>
          <w:tcPr>
            <w:tcW w:w="1372" w:type="dxa"/>
          </w:tcPr>
          <w:p w14:paraId="22F6F0A1" w14:textId="77777777" w:rsidR="001F515C" w:rsidRPr="00CC740C" w:rsidRDefault="001F515C" w:rsidP="003F6431">
            <w:pPr>
              <w:rPr>
                <w:rFonts w:ascii="Arial" w:hAnsi="Arial" w:cs="Arial"/>
                <w:color w:val="404040"/>
                <w:sz w:val="20"/>
                <w:szCs w:val="20"/>
              </w:rPr>
            </w:pPr>
          </w:p>
        </w:tc>
      </w:tr>
      <w:tr w:rsidR="001F515C" w:rsidRPr="00370487" w14:paraId="29DC7673" w14:textId="77777777" w:rsidTr="00AE37EC">
        <w:trPr>
          <w:cantSplit/>
        </w:trPr>
        <w:tc>
          <w:tcPr>
            <w:tcW w:w="6187" w:type="dxa"/>
          </w:tcPr>
          <w:p w14:paraId="41C8EE79" w14:textId="77777777" w:rsidR="001F515C" w:rsidRPr="00CC740C" w:rsidRDefault="001F515C" w:rsidP="003F6431">
            <w:pPr>
              <w:rPr>
                <w:rFonts w:ascii="Arial" w:hAnsi="Arial" w:cs="Arial"/>
                <w:sz w:val="20"/>
                <w:szCs w:val="20"/>
              </w:rPr>
            </w:pPr>
            <w:r w:rsidRPr="00CC740C">
              <w:rPr>
                <w:rFonts w:ascii="Arial" w:hAnsi="Arial" w:cs="Arial"/>
                <w:color w:val="404040"/>
                <w:sz w:val="20"/>
                <w:szCs w:val="20"/>
              </w:rPr>
              <w:t>Implemented changes under Local Government and Planning Legislation Amendment (Political Donations) Act in October 2008. New forms, website advice and changes to standard documentation made to reflect requirements using existing resources.</w:t>
            </w:r>
          </w:p>
        </w:tc>
        <w:tc>
          <w:tcPr>
            <w:tcW w:w="1610" w:type="dxa"/>
          </w:tcPr>
          <w:p w14:paraId="5471668E" w14:textId="77777777" w:rsidR="001F515C" w:rsidRPr="00CC740C" w:rsidRDefault="001F515C" w:rsidP="003F6431">
            <w:pPr>
              <w:jc w:val="right"/>
              <w:rPr>
                <w:rFonts w:ascii="Arial" w:hAnsi="Arial" w:cs="Arial"/>
                <w:color w:val="404040"/>
                <w:sz w:val="20"/>
                <w:szCs w:val="20"/>
              </w:rPr>
            </w:pPr>
            <w:r>
              <w:rPr>
                <w:rFonts w:ascii="Arial" w:hAnsi="Arial" w:cs="Arial"/>
                <w:color w:val="404040"/>
                <w:sz w:val="20"/>
                <w:szCs w:val="20"/>
              </w:rPr>
              <w:t>Not determined</w:t>
            </w:r>
          </w:p>
        </w:tc>
        <w:tc>
          <w:tcPr>
            <w:tcW w:w="1372" w:type="dxa"/>
          </w:tcPr>
          <w:p w14:paraId="1D78442F" w14:textId="77777777" w:rsidR="001F515C" w:rsidRPr="00CC740C" w:rsidRDefault="001F515C" w:rsidP="003F6431">
            <w:pPr>
              <w:rPr>
                <w:rFonts w:ascii="Arial" w:hAnsi="Arial" w:cs="Arial"/>
                <w:color w:val="404040"/>
                <w:sz w:val="20"/>
                <w:szCs w:val="20"/>
              </w:rPr>
            </w:pPr>
          </w:p>
        </w:tc>
      </w:tr>
      <w:tr w:rsidR="001F515C" w:rsidRPr="00370487" w14:paraId="28304E00" w14:textId="77777777" w:rsidTr="00AE37EC">
        <w:trPr>
          <w:cantSplit/>
        </w:trPr>
        <w:tc>
          <w:tcPr>
            <w:tcW w:w="6187" w:type="dxa"/>
          </w:tcPr>
          <w:p w14:paraId="09B8D62C" w14:textId="77777777" w:rsidR="001F515C" w:rsidRPr="00CC740C" w:rsidRDefault="001F515C" w:rsidP="003F6431">
            <w:pPr>
              <w:rPr>
                <w:rFonts w:ascii="Arial" w:hAnsi="Arial" w:cs="Arial"/>
                <w:sz w:val="20"/>
                <w:szCs w:val="20"/>
              </w:rPr>
            </w:pPr>
            <w:r w:rsidRPr="00CC740C">
              <w:rPr>
                <w:rFonts w:ascii="Arial" w:hAnsi="Arial" w:cs="Arial"/>
                <w:color w:val="404040"/>
                <w:sz w:val="20"/>
                <w:szCs w:val="20"/>
              </w:rPr>
              <w:t>Added WiFi to all library branches</w:t>
            </w:r>
          </w:p>
        </w:tc>
        <w:tc>
          <w:tcPr>
            <w:tcW w:w="1610" w:type="dxa"/>
          </w:tcPr>
          <w:p w14:paraId="12FD18E6" w14:textId="77777777" w:rsidR="001F515C" w:rsidRPr="00CC740C" w:rsidRDefault="001F515C" w:rsidP="003F6431">
            <w:pPr>
              <w:jc w:val="right"/>
              <w:rPr>
                <w:rFonts w:ascii="Arial" w:hAnsi="Arial" w:cs="Arial"/>
                <w:color w:val="404040"/>
                <w:sz w:val="20"/>
                <w:szCs w:val="20"/>
              </w:rPr>
            </w:pPr>
            <w:r>
              <w:rPr>
                <w:rFonts w:ascii="Arial" w:hAnsi="Arial" w:cs="Arial"/>
                <w:color w:val="404040"/>
                <w:sz w:val="20"/>
                <w:szCs w:val="20"/>
              </w:rPr>
              <w:t>Not determined</w:t>
            </w:r>
          </w:p>
        </w:tc>
        <w:tc>
          <w:tcPr>
            <w:tcW w:w="1372" w:type="dxa"/>
          </w:tcPr>
          <w:p w14:paraId="12B0EAE7" w14:textId="77777777" w:rsidR="001F515C" w:rsidRPr="00CC740C" w:rsidRDefault="001F515C" w:rsidP="003F6431">
            <w:pPr>
              <w:rPr>
                <w:rFonts w:ascii="Arial" w:hAnsi="Arial" w:cs="Arial"/>
                <w:color w:val="404040"/>
                <w:sz w:val="20"/>
                <w:szCs w:val="20"/>
              </w:rPr>
            </w:pPr>
          </w:p>
        </w:tc>
      </w:tr>
      <w:tr w:rsidR="001F515C" w:rsidRPr="00370487" w14:paraId="1B397497" w14:textId="77777777" w:rsidTr="00AE37EC">
        <w:trPr>
          <w:cantSplit/>
        </w:trPr>
        <w:tc>
          <w:tcPr>
            <w:tcW w:w="6187" w:type="dxa"/>
          </w:tcPr>
          <w:p w14:paraId="602D24AC" w14:textId="77777777" w:rsidR="001F515C" w:rsidRPr="00CC740C" w:rsidRDefault="001F515C" w:rsidP="003F6431">
            <w:pPr>
              <w:rPr>
                <w:rFonts w:ascii="Arial" w:hAnsi="Arial" w:cs="Arial"/>
                <w:sz w:val="20"/>
                <w:szCs w:val="20"/>
              </w:rPr>
            </w:pPr>
            <w:r w:rsidRPr="00CC740C">
              <w:rPr>
                <w:rFonts w:ascii="Arial" w:hAnsi="Arial" w:cs="Arial"/>
                <w:color w:val="404040"/>
                <w:sz w:val="20"/>
                <w:szCs w:val="20"/>
              </w:rPr>
              <w:t>Improved computer connectivity (speed) under State Library of NSW consortia contract.</w:t>
            </w:r>
          </w:p>
        </w:tc>
        <w:tc>
          <w:tcPr>
            <w:tcW w:w="1610" w:type="dxa"/>
          </w:tcPr>
          <w:p w14:paraId="3EE4D00C" w14:textId="77777777" w:rsidR="001F515C" w:rsidRPr="00CC740C" w:rsidRDefault="001F515C" w:rsidP="003F6431">
            <w:pPr>
              <w:jc w:val="right"/>
              <w:rPr>
                <w:rFonts w:ascii="Arial" w:hAnsi="Arial" w:cs="Arial"/>
                <w:color w:val="404040"/>
                <w:sz w:val="20"/>
                <w:szCs w:val="20"/>
              </w:rPr>
            </w:pPr>
            <w:r>
              <w:rPr>
                <w:rFonts w:ascii="Arial" w:hAnsi="Arial" w:cs="Arial"/>
                <w:color w:val="404040"/>
                <w:sz w:val="20"/>
                <w:szCs w:val="20"/>
              </w:rPr>
              <w:t>Not determined</w:t>
            </w:r>
          </w:p>
        </w:tc>
        <w:tc>
          <w:tcPr>
            <w:tcW w:w="1372" w:type="dxa"/>
          </w:tcPr>
          <w:p w14:paraId="6B0E35F9" w14:textId="77777777" w:rsidR="001F515C" w:rsidRPr="00CC740C" w:rsidRDefault="001F515C" w:rsidP="003F6431">
            <w:pPr>
              <w:rPr>
                <w:rFonts w:ascii="Arial" w:hAnsi="Arial" w:cs="Arial"/>
                <w:color w:val="404040"/>
                <w:sz w:val="20"/>
                <w:szCs w:val="20"/>
              </w:rPr>
            </w:pPr>
          </w:p>
        </w:tc>
      </w:tr>
      <w:tr w:rsidR="001F515C" w:rsidRPr="00370487" w14:paraId="5D151DB4" w14:textId="77777777" w:rsidTr="00AE37EC">
        <w:trPr>
          <w:cantSplit/>
        </w:trPr>
        <w:tc>
          <w:tcPr>
            <w:tcW w:w="6187" w:type="dxa"/>
          </w:tcPr>
          <w:p w14:paraId="063A8453" w14:textId="77777777" w:rsidR="001F515C" w:rsidRPr="00CC740C" w:rsidRDefault="001F515C" w:rsidP="003F6431">
            <w:pPr>
              <w:rPr>
                <w:rFonts w:ascii="Arial" w:hAnsi="Arial" w:cs="Arial"/>
                <w:sz w:val="20"/>
                <w:szCs w:val="20"/>
              </w:rPr>
            </w:pPr>
            <w:r w:rsidRPr="00CC740C">
              <w:rPr>
                <w:rFonts w:ascii="Arial" w:hAnsi="Arial" w:cs="Arial"/>
                <w:color w:val="404040"/>
                <w:sz w:val="20"/>
                <w:szCs w:val="20"/>
              </w:rPr>
              <w:t xml:space="preserve">We continue to off-set natural asset maintenance cost through use of community conservation </w:t>
            </w:r>
          </w:p>
        </w:tc>
        <w:tc>
          <w:tcPr>
            <w:tcW w:w="1610" w:type="dxa"/>
          </w:tcPr>
          <w:p w14:paraId="0DF311DD" w14:textId="77777777" w:rsidR="001F515C" w:rsidRPr="00CC740C" w:rsidRDefault="001F515C" w:rsidP="003F6431">
            <w:pPr>
              <w:jc w:val="right"/>
              <w:rPr>
                <w:rFonts w:ascii="Arial" w:hAnsi="Arial" w:cs="Arial"/>
                <w:color w:val="404040"/>
                <w:sz w:val="20"/>
                <w:szCs w:val="20"/>
              </w:rPr>
            </w:pPr>
            <w:r>
              <w:rPr>
                <w:rFonts w:ascii="Arial" w:hAnsi="Arial" w:cs="Arial"/>
                <w:color w:val="404040"/>
                <w:sz w:val="20"/>
                <w:szCs w:val="20"/>
              </w:rPr>
              <w:t>Not determined</w:t>
            </w:r>
          </w:p>
        </w:tc>
        <w:tc>
          <w:tcPr>
            <w:tcW w:w="1372" w:type="dxa"/>
          </w:tcPr>
          <w:p w14:paraId="4100F71E" w14:textId="77777777" w:rsidR="001F515C" w:rsidRPr="00CC740C" w:rsidRDefault="001F515C" w:rsidP="003F6431">
            <w:pPr>
              <w:rPr>
                <w:rFonts w:ascii="Arial" w:hAnsi="Arial" w:cs="Arial"/>
                <w:color w:val="404040"/>
                <w:sz w:val="20"/>
                <w:szCs w:val="20"/>
              </w:rPr>
            </w:pPr>
          </w:p>
        </w:tc>
      </w:tr>
      <w:tr w:rsidR="001F515C" w:rsidRPr="00370487" w14:paraId="192A5B14" w14:textId="77777777" w:rsidTr="00AE37EC">
        <w:trPr>
          <w:cantSplit/>
        </w:trPr>
        <w:tc>
          <w:tcPr>
            <w:tcW w:w="6187" w:type="dxa"/>
          </w:tcPr>
          <w:p w14:paraId="0E215A23" w14:textId="77777777" w:rsidR="001F515C" w:rsidRPr="00CC740C" w:rsidRDefault="001F515C" w:rsidP="003F6431">
            <w:pPr>
              <w:rPr>
                <w:rFonts w:ascii="Arial" w:hAnsi="Arial" w:cs="Arial"/>
                <w:sz w:val="20"/>
                <w:szCs w:val="20"/>
              </w:rPr>
            </w:pPr>
            <w:r w:rsidRPr="00CC740C">
              <w:rPr>
                <w:rFonts w:ascii="Arial" w:hAnsi="Arial" w:cs="Arial"/>
                <w:color w:val="404040"/>
                <w:sz w:val="20"/>
                <w:szCs w:val="20"/>
              </w:rPr>
              <w:t>The introduction of Bpay for debtors has improved cash flow and given better customer service</w:t>
            </w:r>
          </w:p>
        </w:tc>
        <w:tc>
          <w:tcPr>
            <w:tcW w:w="1610" w:type="dxa"/>
          </w:tcPr>
          <w:p w14:paraId="308B98BA" w14:textId="77777777" w:rsidR="001F515C" w:rsidRPr="00CC740C" w:rsidRDefault="001F515C" w:rsidP="003F6431">
            <w:pPr>
              <w:jc w:val="right"/>
              <w:rPr>
                <w:rFonts w:ascii="Arial" w:hAnsi="Arial" w:cs="Arial"/>
                <w:color w:val="404040"/>
                <w:sz w:val="20"/>
                <w:szCs w:val="20"/>
              </w:rPr>
            </w:pPr>
            <w:r>
              <w:rPr>
                <w:rFonts w:ascii="Arial" w:hAnsi="Arial" w:cs="Arial"/>
                <w:color w:val="404040"/>
                <w:sz w:val="20"/>
                <w:szCs w:val="20"/>
              </w:rPr>
              <w:t>Not determined</w:t>
            </w:r>
          </w:p>
        </w:tc>
        <w:tc>
          <w:tcPr>
            <w:tcW w:w="1372" w:type="dxa"/>
          </w:tcPr>
          <w:p w14:paraId="766EF142" w14:textId="77777777" w:rsidR="001F515C" w:rsidRPr="00CC740C" w:rsidRDefault="001F515C" w:rsidP="003F6431">
            <w:pPr>
              <w:rPr>
                <w:rFonts w:ascii="Arial" w:hAnsi="Arial" w:cs="Arial"/>
                <w:color w:val="404040"/>
                <w:sz w:val="20"/>
                <w:szCs w:val="20"/>
              </w:rPr>
            </w:pPr>
          </w:p>
        </w:tc>
      </w:tr>
      <w:tr w:rsidR="001F515C" w:rsidRPr="00370487" w14:paraId="28EC0967" w14:textId="77777777" w:rsidTr="00AE37EC">
        <w:trPr>
          <w:cantSplit/>
        </w:trPr>
        <w:tc>
          <w:tcPr>
            <w:tcW w:w="6187" w:type="dxa"/>
          </w:tcPr>
          <w:p w14:paraId="08F4C98A" w14:textId="77777777" w:rsidR="001F515C" w:rsidRPr="00CC740C" w:rsidRDefault="001F515C" w:rsidP="003F6431">
            <w:pPr>
              <w:rPr>
                <w:rFonts w:ascii="Arial" w:hAnsi="Arial" w:cs="Arial"/>
                <w:sz w:val="20"/>
                <w:szCs w:val="20"/>
              </w:rPr>
            </w:pPr>
            <w:r w:rsidRPr="00CC740C">
              <w:rPr>
                <w:rFonts w:ascii="Arial" w:hAnsi="Arial" w:cs="Arial"/>
                <w:color w:val="404040"/>
                <w:sz w:val="20"/>
                <w:szCs w:val="20"/>
              </w:rPr>
              <w:t>Road shoulder slashing practices reviewed and work methods/equipment changed to drive efficiencies. Parks maintenance teams are now rostered onto road works (generally vegetation control) during winter when mowing in the upper mountains slows down.</w:t>
            </w:r>
          </w:p>
        </w:tc>
        <w:tc>
          <w:tcPr>
            <w:tcW w:w="1610" w:type="dxa"/>
          </w:tcPr>
          <w:p w14:paraId="31E45A3F" w14:textId="77777777" w:rsidR="001F515C" w:rsidRPr="00CC740C" w:rsidRDefault="001F515C" w:rsidP="003F6431">
            <w:pPr>
              <w:jc w:val="right"/>
              <w:rPr>
                <w:rFonts w:ascii="Arial" w:hAnsi="Arial" w:cs="Arial"/>
                <w:color w:val="404040"/>
                <w:sz w:val="20"/>
                <w:szCs w:val="20"/>
              </w:rPr>
            </w:pPr>
            <w:r>
              <w:rPr>
                <w:rFonts w:ascii="Arial" w:hAnsi="Arial" w:cs="Arial"/>
                <w:color w:val="404040"/>
                <w:sz w:val="20"/>
                <w:szCs w:val="20"/>
              </w:rPr>
              <w:t>Not determined</w:t>
            </w:r>
          </w:p>
        </w:tc>
        <w:tc>
          <w:tcPr>
            <w:tcW w:w="1372" w:type="dxa"/>
          </w:tcPr>
          <w:p w14:paraId="2066F5AF" w14:textId="77777777" w:rsidR="001F515C" w:rsidRPr="00CC740C" w:rsidRDefault="001F515C" w:rsidP="003F6431">
            <w:pPr>
              <w:rPr>
                <w:rFonts w:ascii="Arial" w:hAnsi="Arial" w:cs="Arial"/>
                <w:color w:val="404040"/>
                <w:sz w:val="20"/>
                <w:szCs w:val="20"/>
              </w:rPr>
            </w:pPr>
          </w:p>
        </w:tc>
      </w:tr>
      <w:tr w:rsidR="001F515C" w:rsidRPr="00370487" w14:paraId="692C0AFF" w14:textId="77777777" w:rsidTr="00AE37EC">
        <w:trPr>
          <w:cantSplit/>
        </w:trPr>
        <w:tc>
          <w:tcPr>
            <w:tcW w:w="6187" w:type="dxa"/>
          </w:tcPr>
          <w:p w14:paraId="02316B32" w14:textId="77777777" w:rsidR="001F515C" w:rsidRPr="00CC740C" w:rsidRDefault="001F515C" w:rsidP="003F6431">
            <w:pPr>
              <w:rPr>
                <w:rFonts w:ascii="Arial" w:hAnsi="Arial" w:cs="Arial"/>
                <w:sz w:val="20"/>
                <w:szCs w:val="20"/>
              </w:rPr>
            </w:pPr>
            <w:r w:rsidRPr="00CC740C">
              <w:rPr>
                <w:rFonts w:ascii="Arial" w:hAnsi="Arial" w:cs="Arial"/>
                <w:color w:val="404040"/>
                <w:sz w:val="20"/>
                <w:szCs w:val="20"/>
              </w:rPr>
              <w:t>Installed rainwater tank Springwood Aquatic and Fitness Centre, completed in December 2012</w:t>
            </w:r>
          </w:p>
        </w:tc>
        <w:tc>
          <w:tcPr>
            <w:tcW w:w="1610" w:type="dxa"/>
          </w:tcPr>
          <w:p w14:paraId="3CEA082C" w14:textId="77777777" w:rsidR="001F515C" w:rsidRPr="00CC740C" w:rsidRDefault="001F515C" w:rsidP="003F6431">
            <w:pPr>
              <w:jc w:val="right"/>
              <w:rPr>
                <w:rFonts w:ascii="Arial" w:hAnsi="Arial" w:cs="Arial"/>
                <w:color w:val="404040"/>
                <w:sz w:val="20"/>
                <w:szCs w:val="20"/>
              </w:rPr>
            </w:pPr>
            <w:r>
              <w:rPr>
                <w:rFonts w:ascii="Arial" w:hAnsi="Arial" w:cs="Arial"/>
                <w:color w:val="404040"/>
                <w:sz w:val="20"/>
                <w:szCs w:val="20"/>
              </w:rPr>
              <w:t>Not determined</w:t>
            </w:r>
          </w:p>
        </w:tc>
        <w:tc>
          <w:tcPr>
            <w:tcW w:w="1372" w:type="dxa"/>
          </w:tcPr>
          <w:p w14:paraId="794863DD" w14:textId="77777777" w:rsidR="001F515C" w:rsidRPr="00CC740C" w:rsidRDefault="001F515C" w:rsidP="003F6431">
            <w:pPr>
              <w:rPr>
                <w:rFonts w:ascii="Arial" w:hAnsi="Arial" w:cs="Arial"/>
                <w:color w:val="404040"/>
                <w:sz w:val="20"/>
                <w:szCs w:val="20"/>
              </w:rPr>
            </w:pPr>
          </w:p>
        </w:tc>
      </w:tr>
      <w:tr w:rsidR="001F515C" w:rsidRPr="00370487" w14:paraId="436DAD4B" w14:textId="77777777" w:rsidTr="00AE37EC">
        <w:trPr>
          <w:cantSplit/>
        </w:trPr>
        <w:tc>
          <w:tcPr>
            <w:tcW w:w="6187" w:type="dxa"/>
          </w:tcPr>
          <w:p w14:paraId="59AEC043" w14:textId="77777777" w:rsidR="001F515C" w:rsidRPr="00CC740C" w:rsidRDefault="001F515C" w:rsidP="003F6431">
            <w:pPr>
              <w:rPr>
                <w:rFonts w:ascii="Arial" w:hAnsi="Arial" w:cs="Arial"/>
                <w:sz w:val="20"/>
                <w:szCs w:val="20"/>
              </w:rPr>
            </w:pPr>
            <w:r w:rsidRPr="00CC740C">
              <w:rPr>
                <w:rFonts w:ascii="Arial" w:hAnsi="Arial" w:cs="Arial"/>
                <w:color w:val="404040"/>
                <w:sz w:val="20"/>
                <w:szCs w:val="20"/>
              </w:rPr>
              <w:t>Asphalt paving attachment added to Flocon truck to speed up asphalt road repairs</w:t>
            </w:r>
          </w:p>
        </w:tc>
        <w:tc>
          <w:tcPr>
            <w:tcW w:w="1610" w:type="dxa"/>
          </w:tcPr>
          <w:p w14:paraId="2012AC33" w14:textId="77777777" w:rsidR="001F515C" w:rsidRPr="00CC740C" w:rsidRDefault="001F515C" w:rsidP="003F6431">
            <w:pPr>
              <w:jc w:val="right"/>
              <w:rPr>
                <w:rFonts w:ascii="Arial" w:hAnsi="Arial" w:cs="Arial"/>
                <w:color w:val="404040"/>
                <w:sz w:val="20"/>
                <w:szCs w:val="20"/>
              </w:rPr>
            </w:pPr>
            <w:r>
              <w:rPr>
                <w:rFonts w:ascii="Arial" w:hAnsi="Arial" w:cs="Arial"/>
                <w:color w:val="404040"/>
                <w:sz w:val="20"/>
                <w:szCs w:val="20"/>
              </w:rPr>
              <w:t>Not determined</w:t>
            </w:r>
          </w:p>
        </w:tc>
        <w:tc>
          <w:tcPr>
            <w:tcW w:w="1372" w:type="dxa"/>
          </w:tcPr>
          <w:p w14:paraId="0764DC8C" w14:textId="77777777" w:rsidR="001F515C" w:rsidRPr="00CC740C" w:rsidRDefault="001F515C" w:rsidP="003F6431">
            <w:pPr>
              <w:rPr>
                <w:rFonts w:ascii="Arial" w:hAnsi="Arial" w:cs="Arial"/>
                <w:color w:val="404040"/>
                <w:sz w:val="20"/>
                <w:szCs w:val="20"/>
              </w:rPr>
            </w:pPr>
          </w:p>
        </w:tc>
      </w:tr>
      <w:tr w:rsidR="001F515C" w:rsidRPr="00370487" w14:paraId="589CC144" w14:textId="77777777" w:rsidTr="00AE37EC">
        <w:trPr>
          <w:cantSplit/>
        </w:trPr>
        <w:tc>
          <w:tcPr>
            <w:tcW w:w="6187" w:type="dxa"/>
          </w:tcPr>
          <w:p w14:paraId="619DE631" w14:textId="77777777" w:rsidR="001F515C" w:rsidRPr="00CC740C" w:rsidRDefault="001F515C" w:rsidP="003F6431">
            <w:pPr>
              <w:rPr>
                <w:rFonts w:ascii="Arial" w:hAnsi="Arial" w:cs="Arial"/>
                <w:sz w:val="20"/>
                <w:szCs w:val="20"/>
              </w:rPr>
            </w:pPr>
            <w:r w:rsidRPr="00CC740C">
              <w:rPr>
                <w:rFonts w:ascii="Arial" w:hAnsi="Arial" w:cs="Arial"/>
                <w:color w:val="404040"/>
                <w:sz w:val="20"/>
                <w:szCs w:val="20"/>
              </w:rPr>
              <w:t>Up-skilled the project management team (capital works) by having all project managers complete a Diploma in Project Management.</w:t>
            </w:r>
          </w:p>
        </w:tc>
        <w:tc>
          <w:tcPr>
            <w:tcW w:w="1610" w:type="dxa"/>
          </w:tcPr>
          <w:p w14:paraId="0194DEBD" w14:textId="77777777" w:rsidR="001F515C" w:rsidRPr="00CC740C" w:rsidRDefault="001F515C" w:rsidP="003F6431">
            <w:pPr>
              <w:jc w:val="right"/>
              <w:rPr>
                <w:rFonts w:ascii="Arial" w:hAnsi="Arial" w:cs="Arial"/>
                <w:color w:val="404040"/>
                <w:sz w:val="20"/>
                <w:szCs w:val="20"/>
              </w:rPr>
            </w:pPr>
            <w:r>
              <w:rPr>
                <w:rFonts w:ascii="Arial" w:hAnsi="Arial" w:cs="Arial"/>
                <w:color w:val="404040"/>
                <w:sz w:val="20"/>
                <w:szCs w:val="20"/>
              </w:rPr>
              <w:t>Not determined</w:t>
            </w:r>
          </w:p>
        </w:tc>
        <w:tc>
          <w:tcPr>
            <w:tcW w:w="1372" w:type="dxa"/>
          </w:tcPr>
          <w:p w14:paraId="4731B294" w14:textId="77777777" w:rsidR="001F515C" w:rsidRPr="00CC740C" w:rsidRDefault="001F515C" w:rsidP="003F6431">
            <w:pPr>
              <w:rPr>
                <w:rFonts w:ascii="Arial" w:hAnsi="Arial" w:cs="Arial"/>
                <w:color w:val="404040"/>
                <w:sz w:val="20"/>
                <w:szCs w:val="20"/>
              </w:rPr>
            </w:pPr>
          </w:p>
        </w:tc>
      </w:tr>
      <w:tr w:rsidR="001F515C" w:rsidRPr="00370487" w14:paraId="6E826E62" w14:textId="77777777" w:rsidTr="00AE37EC">
        <w:trPr>
          <w:cantSplit/>
        </w:trPr>
        <w:tc>
          <w:tcPr>
            <w:tcW w:w="6187" w:type="dxa"/>
          </w:tcPr>
          <w:p w14:paraId="10AF296B" w14:textId="77777777" w:rsidR="001F515C" w:rsidRPr="00CC740C" w:rsidRDefault="001F515C" w:rsidP="003F6431">
            <w:pPr>
              <w:rPr>
                <w:rFonts w:ascii="Arial" w:hAnsi="Arial" w:cs="Arial"/>
                <w:sz w:val="20"/>
                <w:szCs w:val="20"/>
              </w:rPr>
            </w:pPr>
            <w:r w:rsidRPr="00CC740C">
              <w:rPr>
                <w:rFonts w:ascii="Arial" w:hAnsi="Arial" w:cs="Arial"/>
                <w:color w:val="404040"/>
                <w:sz w:val="20"/>
                <w:szCs w:val="20"/>
              </w:rPr>
              <w:t>Implemented vehicle sensing technology to manage high demand parking spaces in Leura Town Centre. The technology sensors when vehicles enter each parking space and identifies overstayed vehicles. This means only an enforcement patrol is required rather than both a mark-up and a separate enforcement patrol.</w:t>
            </w:r>
          </w:p>
        </w:tc>
        <w:tc>
          <w:tcPr>
            <w:tcW w:w="1610" w:type="dxa"/>
          </w:tcPr>
          <w:p w14:paraId="2AD4ADF0" w14:textId="77777777" w:rsidR="001F515C" w:rsidRPr="00CC740C" w:rsidRDefault="001F515C" w:rsidP="003F6431">
            <w:pPr>
              <w:jc w:val="right"/>
              <w:rPr>
                <w:rFonts w:ascii="Arial" w:hAnsi="Arial" w:cs="Arial"/>
                <w:color w:val="404040"/>
                <w:sz w:val="20"/>
                <w:szCs w:val="20"/>
              </w:rPr>
            </w:pPr>
            <w:r w:rsidRPr="00CC740C">
              <w:rPr>
                <w:rFonts w:ascii="Arial" w:hAnsi="Arial" w:cs="Arial"/>
                <w:color w:val="404040"/>
                <w:sz w:val="20"/>
                <w:szCs w:val="20"/>
              </w:rPr>
              <w:t>$4,000</w:t>
            </w:r>
          </w:p>
        </w:tc>
        <w:tc>
          <w:tcPr>
            <w:tcW w:w="1372" w:type="dxa"/>
          </w:tcPr>
          <w:p w14:paraId="3C218F47" w14:textId="77777777" w:rsidR="001F515C" w:rsidRPr="00CC740C" w:rsidRDefault="001F515C" w:rsidP="003F6431">
            <w:pPr>
              <w:rPr>
                <w:rFonts w:ascii="Arial" w:hAnsi="Arial" w:cs="Arial"/>
                <w:color w:val="404040"/>
                <w:sz w:val="20"/>
                <w:szCs w:val="20"/>
              </w:rPr>
            </w:pPr>
          </w:p>
        </w:tc>
      </w:tr>
      <w:tr w:rsidR="001F515C" w:rsidRPr="00370487" w14:paraId="228A33E3" w14:textId="77777777" w:rsidTr="00AE37EC">
        <w:trPr>
          <w:cantSplit/>
        </w:trPr>
        <w:tc>
          <w:tcPr>
            <w:tcW w:w="6187" w:type="dxa"/>
          </w:tcPr>
          <w:p w14:paraId="1CD18C68" w14:textId="77777777" w:rsidR="001F515C" w:rsidRPr="00CC740C" w:rsidRDefault="001F515C" w:rsidP="003F6431">
            <w:pPr>
              <w:rPr>
                <w:rFonts w:ascii="Arial" w:hAnsi="Arial" w:cs="Arial"/>
                <w:sz w:val="20"/>
                <w:szCs w:val="20"/>
              </w:rPr>
            </w:pPr>
            <w:r w:rsidRPr="00CC740C">
              <w:rPr>
                <w:rFonts w:ascii="Arial" w:hAnsi="Arial" w:cs="Arial"/>
                <w:color w:val="404040"/>
                <w:sz w:val="20"/>
                <w:szCs w:val="20"/>
              </w:rPr>
              <w:t>Implemented electronic lodgement of Complying Development Certificates under the e-housing code. Project implemented with Department of Planning.</w:t>
            </w:r>
          </w:p>
        </w:tc>
        <w:tc>
          <w:tcPr>
            <w:tcW w:w="1610" w:type="dxa"/>
          </w:tcPr>
          <w:p w14:paraId="2E042D5A" w14:textId="77777777" w:rsidR="001F515C" w:rsidRPr="00CC740C" w:rsidRDefault="001F515C" w:rsidP="003F6431">
            <w:pPr>
              <w:jc w:val="right"/>
              <w:rPr>
                <w:rFonts w:ascii="Arial" w:hAnsi="Arial" w:cs="Arial"/>
                <w:color w:val="404040"/>
                <w:sz w:val="20"/>
                <w:szCs w:val="20"/>
              </w:rPr>
            </w:pPr>
            <w:r w:rsidRPr="00CC740C">
              <w:rPr>
                <w:rFonts w:ascii="Arial" w:hAnsi="Arial" w:cs="Arial"/>
                <w:color w:val="404040"/>
                <w:sz w:val="20"/>
                <w:szCs w:val="20"/>
              </w:rPr>
              <w:t>$500</w:t>
            </w:r>
          </w:p>
        </w:tc>
        <w:tc>
          <w:tcPr>
            <w:tcW w:w="1372" w:type="dxa"/>
          </w:tcPr>
          <w:p w14:paraId="714C98AE" w14:textId="77777777" w:rsidR="001F515C" w:rsidRPr="00CC740C" w:rsidRDefault="001F515C" w:rsidP="003F6431">
            <w:pPr>
              <w:rPr>
                <w:rFonts w:ascii="Arial" w:hAnsi="Arial" w:cs="Arial"/>
                <w:color w:val="404040"/>
                <w:sz w:val="20"/>
                <w:szCs w:val="20"/>
              </w:rPr>
            </w:pPr>
          </w:p>
        </w:tc>
      </w:tr>
      <w:tr w:rsidR="001F515C" w:rsidRPr="00370487" w14:paraId="6BD7AC93" w14:textId="77777777" w:rsidTr="00AE37EC">
        <w:trPr>
          <w:cantSplit/>
        </w:trPr>
        <w:tc>
          <w:tcPr>
            <w:tcW w:w="6187" w:type="dxa"/>
          </w:tcPr>
          <w:p w14:paraId="2AF55BDD" w14:textId="77777777" w:rsidR="001F515C" w:rsidRPr="00CC740C" w:rsidRDefault="001F515C" w:rsidP="003F6431">
            <w:pPr>
              <w:rPr>
                <w:rFonts w:ascii="Arial" w:hAnsi="Arial" w:cs="Arial"/>
                <w:sz w:val="20"/>
                <w:szCs w:val="20"/>
              </w:rPr>
            </w:pPr>
            <w:r w:rsidRPr="00CC740C">
              <w:rPr>
                <w:rFonts w:ascii="Arial" w:hAnsi="Arial" w:cs="Arial"/>
                <w:color w:val="404040"/>
                <w:sz w:val="20"/>
                <w:szCs w:val="20"/>
              </w:rPr>
              <w:t>Introduced “Syncplicity” file sharing software for providing documentation from Government Information (Public Access) Act requests. Retrieval of information is by electronic URL link, removing the need to send multiple emails or save to CD and post when information required is large. Information is received by the requestor immediately.</w:t>
            </w:r>
          </w:p>
        </w:tc>
        <w:tc>
          <w:tcPr>
            <w:tcW w:w="1610" w:type="dxa"/>
          </w:tcPr>
          <w:p w14:paraId="21D2034E" w14:textId="77777777" w:rsidR="001F515C" w:rsidRPr="00CC740C" w:rsidRDefault="001F515C" w:rsidP="003F6431">
            <w:pPr>
              <w:jc w:val="right"/>
              <w:rPr>
                <w:rFonts w:ascii="Arial" w:hAnsi="Arial" w:cs="Arial"/>
                <w:color w:val="404040"/>
                <w:sz w:val="20"/>
                <w:szCs w:val="20"/>
              </w:rPr>
            </w:pPr>
            <w:r w:rsidRPr="00CC740C">
              <w:rPr>
                <w:rFonts w:ascii="Arial" w:hAnsi="Arial" w:cs="Arial"/>
                <w:color w:val="404040"/>
                <w:sz w:val="20"/>
                <w:szCs w:val="20"/>
              </w:rPr>
              <w:t>$375</w:t>
            </w:r>
          </w:p>
        </w:tc>
        <w:tc>
          <w:tcPr>
            <w:tcW w:w="1372" w:type="dxa"/>
          </w:tcPr>
          <w:p w14:paraId="10D58EE5" w14:textId="77777777" w:rsidR="001F515C" w:rsidRPr="00CC740C" w:rsidRDefault="001F515C" w:rsidP="003F6431">
            <w:pPr>
              <w:rPr>
                <w:rFonts w:ascii="Arial" w:hAnsi="Arial" w:cs="Arial"/>
                <w:color w:val="404040"/>
                <w:sz w:val="20"/>
                <w:szCs w:val="20"/>
              </w:rPr>
            </w:pPr>
          </w:p>
        </w:tc>
      </w:tr>
      <w:tr w:rsidR="001F515C" w:rsidRPr="00370487" w14:paraId="3BE3DC62" w14:textId="77777777" w:rsidTr="00AE37EC">
        <w:trPr>
          <w:cantSplit/>
        </w:trPr>
        <w:tc>
          <w:tcPr>
            <w:tcW w:w="6187" w:type="dxa"/>
          </w:tcPr>
          <w:p w14:paraId="4C0464E2" w14:textId="77777777" w:rsidR="001F515C" w:rsidRPr="00CC740C" w:rsidRDefault="001F515C" w:rsidP="003F6431">
            <w:pPr>
              <w:rPr>
                <w:rFonts w:ascii="Arial" w:hAnsi="Arial" w:cs="Arial"/>
                <w:sz w:val="20"/>
                <w:szCs w:val="20"/>
              </w:rPr>
            </w:pPr>
            <w:r w:rsidRPr="00CC740C">
              <w:rPr>
                <w:rFonts w:ascii="Arial" w:hAnsi="Arial" w:cs="Arial"/>
                <w:color w:val="404040"/>
                <w:sz w:val="20"/>
                <w:szCs w:val="20"/>
              </w:rPr>
              <w:t>BMCC Water and Catchments Working Group – Council formed an internal working group to link water resource stakeholders from different branches and directorates across the organisation. This group enhances communication and collaboration on water management issues and seeks continuous improvement and efficiencies in the delivery of the Water Resource Service. This includes seeking external grant funding opportunities such as the three recent Sydney Catchment Authority expressions of interest for approximately $550k of funding for the Jamison Creek catchment.</w:t>
            </w:r>
          </w:p>
        </w:tc>
        <w:tc>
          <w:tcPr>
            <w:tcW w:w="1610" w:type="dxa"/>
          </w:tcPr>
          <w:p w14:paraId="5F9F1814" w14:textId="77777777" w:rsidR="001F515C" w:rsidRPr="00CC740C" w:rsidRDefault="001F515C" w:rsidP="003F6431">
            <w:pPr>
              <w:jc w:val="right"/>
              <w:rPr>
                <w:rFonts w:ascii="Arial" w:hAnsi="Arial" w:cs="Arial"/>
                <w:color w:val="404040"/>
                <w:sz w:val="20"/>
                <w:szCs w:val="20"/>
              </w:rPr>
            </w:pPr>
            <w:r>
              <w:rPr>
                <w:rFonts w:ascii="Arial" w:hAnsi="Arial" w:cs="Arial"/>
                <w:color w:val="404040"/>
                <w:sz w:val="20"/>
                <w:szCs w:val="20"/>
              </w:rPr>
              <w:t>Not determined</w:t>
            </w:r>
          </w:p>
        </w:tc>
        <w:tc>
          <w:tcPr>
            <w:tcW w:w="1372" w:type="dxa"/>
          </w:tcPr>
          <w:p w14:paraId="756B9945" w14:textId="77777777" w:rsidR="001F515C" w:rsidRPr="00CC740C" w:rsidRDefault="001F515C" w:rsidP="003F6431">
            <w:pPr>
              <w:rPr>
                <w:rFonts w:ascii="Arial" w:hAnsi="Arial" w:cs="Arial"/>
                <w:color w:val="404040"/>
                <w:sz w:val="20"/>
                <w:szCs w:val="20"/>
              </w:rPr>
            </w:pPr>
          </w:p>
        </w:tc>
      </w:tr>
      <w:tr w:rsidR="001F515C" w:rsidRPr="00370487" w14:paraId="3E29BFDA" w14:textId="77777777" w:rsidTr="00AE37EC">
        <w:trPr>
          <w:cantSplit/>
        </w:trPr>
        <w:tc>
          <w:tcPr>
            <w:tcW w:w="7797" w:type="dxa"/>
            <w:gridSpan w:val="2"/>
            <w:shd w:val="clear" w:color="auto" w:fill="95B3D7" w:themeFill="accent1" w:themeFillTint="99"/>
          </w:tcPr>
          <w:p w14:paraId="2F8A803B" w14:textId="77777777" w:rsidR="001F515C" w:rsidRPr="00CC740C" w:rsidRDefault="001F515C" w:rsidP="003F6431">
            <w:pPr>
              <w:rPr>
                <w:rFonts w:ascii="Arial" w:hAnsi="Arial" w:cs="Arial"/>
                <w:color w:val="404040"/>
                <w:sz w:val="20"/>
                <w:szCs w:val="20"/>
              </w:rPr>
            </w:pPr>
            <w:r w:rsidRPr="00CC740C">
              <w:rPr>
                <w:rFonts w:ascii="Arial" w:hAnsi="Arial" w:cs="Arial"/>
                <w:b/>
                <w:sz w:val="20"/>
                <w:szCs w:val="20"/>
              </w:rPr>
              <w:t>Total</w:t>
            </w:r>
            <w:r>
              <w:rPr>
                <w:rFonts w:ascii="Arial" w:hAnsi="Arial" w:cs="Arial"/>
                <w:b/>
                <w:sz w:val="20"/>
                <w:szCs w:val="20"/>
              </w:rPr>
              <w:t xml:space="preserve"> Efficiencies</w:t>
            </w:r>
            <w:r w:rsidRPr="00CC740C">
              <w:rPr>
                <w:rFonts w:ascii="Arial" w:hAnsi="Arial" w:cs="Arial"/>
                <w:b/>
                <w:sz w:val="20"/>
                <w:szCs w:val="20"/>
              </w:rPr>
              <w:t xml:space="preserve"> 2011/12-2014/15</w:t>
            </w:r>
          </w:p>
        </w:tc>
        <w:tc>
          <w:tcPr>
            <w:tcW w:w="1372" w:type="dxa"/>
            <w:shd w:val="clear" w:color="auto" w:fill="95B3D7" w:themeFill="accent1" w:themeFillTint="99"/>
          </w:tcPr>
          <w:p w14:paraId="6F662F19" w14:textId="77777777" w:rsidR="001F515C" w:rsidRPr="007C3617" w:rsidRDefault="001F515C" w:rsidP="003F6431">
            <w:pPr>
              <w:jc w:val="right"/>
              <w:rPr>
                <w:rFonts w:ascii="Arial" w:hAnsi="Arial" w:cs="Arial"/>
                <w:b/>
                <w:color w:val="404040"/>
                <w:sz w:val="20"/>
                <w:szCs w:val="20"/>
              </w:rPr>
            </w:pPr>
            <w:r w:rsidRPr="007C3617">
              <w:rPr>
                <w:rFonts w:ascii="Arial" w:hAnsi="Arial" w:cs="Arial"/>
                <w:b/>
                <w:color w:val="404040"/>
                <w:sz w:val="20"/>
                <w:szCs w:val="20"/>
              </w:rPr>
              <w:fldChar w:fldCharType="begin"/>
            </w:r>
            <w:r w:rsidRPr="007C3617">
              <w:rPr>
                <w:rFonts w:ascii="Arial" w:hAnsi="Arial" w:cs="Arial"/>
                <w:b/>
                <w:color w:val="404040"/>
                <w:sz w:val="20"/>
                <w:szCs w:val="20"/>
              </w:rPr>
              <w:instrText xml:space="preserve"> =SUM(ABOVE) </w:instrText>
            </w:r>
            <w:r w:rsidRPr="007C3617">
              <w:rPr>
                <w:rFonts w:ascii="Arial" w:hAnsi="Arial" w:cs="Arial"/>
                <w:b/>
                <w:color w:val="404040"/>
                <w:sz w:val="20"/>
                <w:szCs w:val="20"/>
              </w:rPr>
              <w:fldChar w:fldCharType="separate"/>
            </w:r>
            <w:r w:rsidRPr="007C3617">
              <w:rPr>
                <w:rFonts w:ascii="Arial" w:hAnsi="Arial" w:cs="Arial"/>
                <w:b/>
                <w:noProof/>
                <w:color w:val="404040"/>
                <w:sz w:val="20"/>
                <w:szCs w:val="20"/>
              </w:rPr>
              <w:t>$903,239</w:t>
            </w:r>
            <w:r w:rsidRPr="007C3617">
              <w:rPr>
                <w:rFonts w:ascii="Arial" w:hAnsi="Arial" w:cs="Arial"/>
                <w:b/>
                <w:color w:val="404040"/>
                <w:sz w:val="20"/>
                <w:szCs w:val="20"/>
              </w:rPr>
              <w:fldChar w:fldCharType="end"/>
            </w:r>
          </w:p>
        </w:tc>
      </w:tr>
    </w:tbl>
    <w:p w14:paraId="62B1EC14" w14:textId="77777777" w:rsidR="001F515C" w:rsidRDefault="001F515C" w:rsidP="001F515C">
      <w:pPr>
        <w:spacing w:line="360" w:lineRule="auto"/>
        <w:jc w:val="both"/>
        <w:rPr>
          <w:rFonts w:ascii="Arial" w:hAnsi="Arial" w:cs="Arial"/>
          <w:sz w:val="21"/>
          <w:szCs w:val="21"/>
        </w:rPr>
      </w:pPr>
    </w:p>
    <w:p w14:paraId="67619271" w14:textId="253BDBA9" w:rsidR="005B5F6F" w:rsidRDefault="005B5F6F">
      <w:pPr>
        <w:rPr>
          <w:rFonts w:ascii="Arial" w:hAnsi="Arial" w:cs="Arial"/>
          <w:sz w:val="21"/>
          <w:szCs w:val="21"/>
        </w:rPr>
      </w:pPr>
      <w:r>
        <w:rPr>
          <w:rFonts w:ascii="Arial" w:hAnsi="Arial" w:cs="Arial"/>
          <w:sz w:val="21"/>
          <w:szCs w:val="21"/>
        </w:rPr>
        <w:br w:type="page"/>
      </w:r>
    </w:p>
    <w:p w14:paraId="5EBAABF5" w14:textId="7A6F6065" w:rsidR="001F515C" w:rsidRPr="00057853" w:rsidRDefault="001F515C" w:rsidP="00E72625">
      <w:pPr>
        <w:pStyle w:val="Heading3"/>
        <w:tabs>
          <w:tab w:val="clear" w:pos="1844"/>
          <w:tab w:val="num" w:pos="709"/>
        </w:tabs>
        <w:ind w:left="709"/>
      </w:pPr>
      <w:r>
        <w:t>Revenue Raised</w:t>
      </w:r>
      <w:r w:rsidRPr="00057853">
        <w:t xml:space="preserve"> </w:t>
      </w:r>
      <w:r>
        <w:t>- Past</w:t>
      </w:r>
      <w:r w:rsidRPr="00057853">
        <w:t xml:space="preserve"> </w:t>
      </w:r>
    </w:p>
    <w:p w14:paraId="0BB67DCA" w14:textId="77777777" w:rsidR="00690B39" w:rsidRDefault="00690B39" w:rsidP="001F515C">
      <w:pPr>
        <w:spacing w:line="360" w:lineRule="auto"/>
        <w:jc w:val="both"/>
        <w:rPr>
          <w:rFonts w:ascii="Arial" w:hAnsi="Arial" w:cs="Arial"/>
          <w:sz w:val="21"/>
          <w:szCs w:val="21"/>
        </w:rPr>
      </w:pPr>
    </w:p>
    <w:p w14:paraId="3A63B709" w14:textId="19C40F45" w:rsidR="001F515C" w:rsidRDefault="001F515C" w:rsidP="005B5F6F">
      <w:pPr>
        <w:spacing w:line="276" w:lineRule="auto"/>
        <w:jc w:val="both"/>
        <w:rPr>
          <w:rFonts w:ascii="Arial" w:hAnsi="Arial" w:cs="Arial"/>
          <w:sz w:val="21"/>
          <w:szCs w:val="21"/>
        </w:rPr>
      </w:pPr>
      <w:r w:rsidRPr="005C4F27">
        <w:rPr>
          <w:rFonts w:ascii="Arial" w:hAnsi="Arial" w:cs="Arial"/>
          <w:sz w:val="21"/>
          <w:szCs w:val="21"/>
        </w:rPr>
        <w:t xml:space="preserve">The Council has </w:t>
      </w:r>
      <w:r>
        <w:rPr>
          <w:rFonts w:ascii="Arial" w:hAnsi="Arial" w:cs="Arial"/>
          <w:sz w:val="21"/>
          <w:szCs w:val="21"/>
        </w:rPr>
        <w:t>raised almost $6</w:t>
      </w:r>
      <w:r w:rsidR="00A27A01">
        <w:rPr>
          <w:rFonts w:ascii="Arial" w:hAnsi="Arial" w:cs="Arial"/>
          <w:sz w:val="21"/>
          <w:szCs w:val="21"/>
        </w:rPr>
        <w:t xml:space="preserve"> million </w:t>
      </w:r>
      <w:r>
        <w:rPr>
          <w:rFonts w:ascii="Arial" w:hAnsi="Arial" w:cs="Arial"/>
          <w:sz w:val="21"/>
          <w:szCs w:val="21"/>
        </w:rPr>
        <w:t xml:space="preserve">of additional revenue </w:t>
      </w:r>
      <w:r w:rsidRPr="005C4F27">
        <w:rPr>
          <w:rFonts w:ascii="Arial" w:hAnsi="Arial" w:cs="Arial"/>
          <w:sz w:val="21"/>
          <w:szCs w:val="21"/>
        </w:rPr>
        <w:t xml:space="preserve">as a result of the initiatives implemented in the table below. </w:t>
      </w:r>
    </w:p>
    <w:p w14:paraId="41831F6A" w14:textId="7BE2CA59" w:rsidR="00690B39" w:rsidRDefault="00690B39">
      <w:pPr>
        <w:rPr>
          <w:rFonts w:ascii="Arial" w:hAnsi="Arial" w:cs="Arial"/>
          <w:b/>
          <w:sz w:val="18"/>
          <w:szCs w:val="18"/>
        </w:rPr>
      </w:pPr>
    </w:p>
    <w:p w14:paraId="0B7BCAFA" w14:textId="4E07A516" w:rsidR="001F515C" w:rsidRPr="005B5F6F" w:rsidRDefault="001F515C" w:rsidP="001F515C">
      <w:pPr>
        <w:spacing w:line="360" w:lineRule="auto"/>
        <w:jc w:val="both"/>
        <w:rPr>
          <w:rFonts w:ascii="Arial" w:hAnsi="Arial" w:cs="Arial"/>
          <w:b/>
          <w:sz w:val="18"/>
          <w:szCs w:val="18"/>
        </w:rPr>
      </w:pPr>
      <w:r w:rsidRPr="005B5F6F">
        <w:rPr>
          <w:rFonts w:ascii="Arial" w:hAnsi="Arial" w:cs="Arial"/>
          <w:b/>
          <w:sz w:val="18"/>
          <w:szCs w:val="18"/>
        </w:rPr>
        <w:t>Table 7.4</w:t>
      </w:r>
      <w:r w:rsidR="005B5F6F">
        <w:rPr>
          <w:rFonts w:ascii="Arial" w:hAnsi="Arial" w:cs="Arial"/>
          <w:b/>
          <w:sz w:val="18"/>
          <w:szCs w:val="18"/>
        </w:rPr>
        <w:t>:</w:t>
      </w:r>
      <w:r w:rsidRPr="005B5F6F">
        <w:rPr>
          <w:rFonts w:ascii="Arial" w:hAnsi="Arial" w:cs="Arial"/>
          <w:b/>
          <w:sz w:val="18"/>
          <w:szCs w:val="18"/>
        </w:rPr>
        <w:t xml:space="preserve"> Revenue 2011/12 - 2014/15</w:t>
      </w:r>
    </w:p>
    <w:tbl>
      <w:tblPr>
        <w:tblStyle w:val="TableGrid"/>
        <w:tblW w:w="8897" w:type="dxa"/>
        <w:tblLayout w:type="fixed"/>
        <w:tblLook w:val="04A0" w:firstRow="1" w:lastRow="0" w:firstColumn="1" w:lastColumn="0" w:noHBand="0" w:noVBand="1"/>
      </w:tblPr>
      <w:tblGrid>
        <w:gridCol w:w="6345"/>
        <w:gridCol w:w="1276"/>
        <w:gridCol w:w="1276"/>
      </w:tblGrid>
      <w:tr w:rsidR="001F515C" w:rsidRPr="00370487" w14:paraId="11421ABF" w14:textId="77777777" w:rsidTr="00A27A01">
        <w:trPr>
          <w:tblHeader/>
        </w:trPr>
        <w:tc>
          <w:tcPr>
            <w:tcW w:w="6345" w:type="dxa"/>
            <w:shd w:val="clear" w:color="auto" w:fill="4F81BD" w:themeFill="accent1"/>
          </w:tcPr>
          <w:p w14:paraId="27267E49" w14:textId="03238A09" w:rsidR="001F515C" w:rsidRPr="00A27A01" w:rsidRDefault="00A27A01" w:rsidP="003F6431">
            <w:pPr>
              <w:spacing w:line="276" w:lineRule="auto"/>
              <w:jc w:val="center"/>
              <w:rPr>
                <w:rFonts w:ascii="Arial" w:hAnsi="Arial" w:cs="Arial"/>
                <w:b/>
                <w:color w:val="FFFFFF" w:themeColor="background1"/>
                <w:sz w:val="20"/>
                <w:szCs w:val="20"/>
              </w:rPr>
            </w:pPr>
            <w:r w:rsidRPr="00A27A01">
              <w:rPr>
                <w:rFonts w:ascii="Arial" w:hAnsi="Arial" w:cs="Arial"/>
                <w:b/>
                <w:color w:val="FFFFFF" w:themeColor="background1"/>
                <w:sz w:val="20"/>
                <w:szCs w:val="20"/>
              </w:rPr>
              <w:t>Revenue 2011/12-2014/15</w:t>
            </w:r>
          </w:p>
          <w:p w14:paraId="0AC78978" w14:textId="2E9E8985" w:rsidR="001F515C" w:rsidRPr="00A27A01" w:rsidRDefault="00A27A01" w:rsidP="003F6431">
            <w:pPr>
              <w:spacing w:line="276" w:lineRule="auto"/>
              <w:jc w:val="center"/>
              <w:rPr>
                <w:rFonts w:ascii="Arial" w:hAnsi="Arial" w:cs="Arial"/>
                <w:b/>
                <w:color w:val="FFFFFF" w:themeColor="background1"/>
                <w:sz w:val="20"/>
                <w:szCs w:val="20"/>
              </w:rPr>
            </w:pPr>
            <w:r w:rsidRPr="00A27A01">
              <w:rPr>
                <w:rFonts w:ascii="Arial" w:hAnsi="Arial" w:cs="Arial"/>
                <w:b/>
                <w:color w:val="FFFFFF" w:themeColor="background1"/>
                <w:sz w:val="20"/>
                <w:szCs w:val="20"/>
              </w:rPr>
              <w:t>Area/Item</w:t>
            </w:r>
          </w:p>
        </w:tc>
        <w:tc>
          <w:tcPr>
            <w:tcW w:w="1276" w:type="dxa"/>
            <w:shd w:val="clear" w:color="auto" w:fill="4F81BD" w:themeFill="accent1"/>
            <w:vAlign w:val="center"/>
          </w:tcPr>
          <w:p w14:paraId="23F176FE" w14:textId="2E27B3C5" w:rsidR="001F515C" w:rsidRPr="00A27A01" w:rsidRDefault="00A27A01" w:rsidP="00A27A01">
            <w:pPr>
              <w:spacing w:line="276" w:lineRule="auto"/>
              <w:jc w:val="center"/>
              <w:rPr>
                <w:rFonts w:ascii="Arial" w:hAnsi="Arial" w:cs="Arial"/>
                <w:b/>
                <w:color w:val="FFFFFF" w:themeColor="background1"/>
                <w:sz w:val="20"/>
                <w:szCs w:val="20"/>
              </w:rPr>
            </w:pPr>
            <w:r w:rsidRPr="00A27A01">
              <w:rPr>
                <w:rFonts w:ascii="Arial" w:hAnsi="Arial" w:cs="Arial"/>
                <w:b/>
                <w:color w:val="FFFFFF" w:themeColor="background1"/>
                <w:sz w:val="20"/>
                <w:szCs w:val="20"/>
              </w:rPr>
              <w:t>Amount</w:t>
            </w:r>
          </w:p>
        </w:tc>
        <w:tc>
          <w:tcPr>
            <w:tcW w:w="1276" w:type="dxa"/>
            <w:shd w:val="clear" w:color="auto" w:fill="4F81BD" w:themeFill="accent1"/>
            <w:vAlign w:val="center"/>
          </w:tcPr>
          <w:p w14:paraId="016EC32C" w14:textId="2903CE40" w:rsidR="001F515C" w:rsidRPr="00A27A01" w:rsidRDefault="00A27A01" w:rsidP="00A27A01">
            <w:pPr>
              <w:spacing w:line="276" w:lineRule="auto"/>
              <w:jc w:val="center"/>
              <w:rPr>
                <w:rFonts w:ascii="Arial" w:hAnsi="Arial" w:cs="Arial"/>
                <w:b/>
                <w:color w:val="FFFFFF" w:themeColor="background1"/>
                <w:sz w:val="20"/>
                <w:szCs w:val="20"/>
              </w:rPr>
            </w:pPr>
            <w:r w:rsidRPr="00A27A01">
              <w:rPr>
                <w:rFonts w:ascii="Arial" w:hAnsi="Arial" w:cs="Arial"/>
                <w:b/>
                <w:color w:val="FFFFFF" w:themeColor="background1"/>
                <w:sz w:val="20"/>
                <w:szCs w:val="20"/>
              </w:rPr>
              <w:t>Total Over 4 Years</w:t>
            </w:r>
          </w:p>
        </w:tc>
      </w:tr>
      <w:tr w:rsidR="001F515C" w:rsidRPr="00370487" w14:paraId="74AB0F2A" w14:textId="77777777" w:rsidTr="003F6431">
        <w:tc>
          <w:tcPr>
            <w:tcW w:w="7621" w:type="dxa"/>
            <w:gridSpan w:val="2"/>
            <w:shd w:val="clear" w:color="auto" w:fill="DBE5F1" w:themeFill="accent1" w:themeFillTint="33"/>
          </w:tcPr>
          <w:p w14:paraId="3008C7DD" w14:textId="77777777" w:rsidR="001F515C" w:rsidRPr="00E76822" w:rsidRDefault="001F515C" w:rsidP="003F6431">
            <w:pPr>
              <w:spacing w:line="276" w:lineRule="auto"/>
              <w:rPr>
                <w:rFonts w:ascii="Arial" w:hAnsi="Arial" w:cs="Arial"/>
                <w:b/>
                <w:sz w:val="20"/>
                <w:szCs w:val="20"/>
              </w:rPr>
            </w:pPr>
            <w:r w:rsidRPr="00E76822">
              <w:rPr>
                <w:rFonts w:ascii="Arial" w:hAnsi="Arial" w:cs="Arial"/>
                <w:b/>
                <w:sz w:val="20"/>
                <w:szCs w:val="20"/>
              </w:rPr>
              <w:t>Uncategorised Items</w:t>
            </w:r>
          </w:p>
        </w:tc>
        <w:tc>
          <w:tcPr>
            <w:tcW w:w="1276" w:type="dxa"/>
            <w:shd w:val="clear" w:color="auto" w:fill="DBE5F1" w:themeFill="accent1" w:themeFillTint="33"/>
          </w:tcPr>
          <w:p w14:paraId="5BE82A49" w14:textId="77777777" w:rsidR="001F515C" w:rsidRPr="00E76822" w:rsidRDefault="001F515C" w:rsidP="003F6431">
            <w:pPr>
              <w:spacing w:line="276" w:lineRule="auto"/>
              <w:jc w:val="right"/>
              <w:rPr>
                <w:rFonts w:ascii="Arial" w:hAnsi="Arial" w:cs="Arial"/>
                <w:b/>
                <w:sz w:val="20"/>
                <w:szCs w:val="20"/>
              </w:rPr>
            </w:pPr>
            <w:r w:rsidRPr="00E76822">
              <w:rPr>
                <w:rFonts w:ascii="Arial" w:hAnsi="Arial" w:cs="Arial"/>
                <w:b/>
                <w:sz w:val="20"/>
                <w:szCs w:val="20"/>
              </w:rPr>
              <w:t>$1,527,325</w:t>
            </w:r>
          </w:p>
        </w:tc>
      </w:tr>
      <w:tr w:rsidR="001F515C" w:rsidRPr="00370487" w14:paraId="45A81E3F" w14:textId="77777777" w:rsidTr="003F6431">
        <w:tc>
          <w:tcPr>
            <w:tcW w:w="6345" w:type="dxa"/>
          </w:tcPr>
          <w:p w14:paraId="6171C248" w14:textId="77777777" w:rsidR="001F515C" w:rsidRPr="00E76822" w:rsidRDefault="001F515C" w:rsidP="003F6431">
            <w:pPr>
              <w:spacing w:line="276" w:lineRule="auto"/>
              <w:rPr>
                <w:rFonts w:ascii="Arial" w:hAnsi="Arial" w:cs="Arial"/>
                <w:sz w:val="20"/>
                <w:szCs w:val="20"/>
              </w:rPr>
            </w:pPr>
            <w:r w:rsidRPr="00E76822">
              <w:rPr>
                <w:rFonts w:ascii="Arial" w:hAnsi="Arial" w:cs="Arial"/>
                <w:sz w:val="20"/>
                <w:szCs w:val="20"/>
              </w:rPr>
              <w:t>Upgraded parking meters at Echo Point to take credit card payments (increase of 30%).</w:t>
            </w:r>
          </w:p>
        </w:tc>
        <w:tc>
          <w:tcPr>
            <w:tcW w:w="1276" w:type="dxa"/>
          </w:tcPr>
          <w:p w14:paraId="64371FF1" w14:textId="77777777" w:rsidR="001F515C" w:rsidRPr="00E76822" w:rsidRDefault="001F515C" w:rsidP="003F6431">
            <w:pPr>
              <w:spacing w:line="276" w:lineRule="auto"/>
              <w:jc w:val="right"/>
              <w:rPr>
                <w:rFonts w:ascii="Arial" w:hAnsi="Arial" w:cs="Arial"/>
                <w:sz w:val="20"/>
                <w:szCs w:val="20"/>
              </w:rPr>
            </w:pPr>
            <w:r w:rsidRPr="00E76822">
              <w:rPr>
                <w:rFonts w:ascii="Arial" w:hAnsi="Arial" w:cs="Arial"/>
                <w:sz w:val="20"/>
                <w:szCs w:val="20"/>
              </w:rPr>
              <w:t>$500,000</w:t>
            </w:r>
          </w:p>
        </w:tc>
        <w:tc>
          <w:tcPr>
            <w:tcW w:w="1276" w:type="dxa"/>
          </w:tcPr>
          <w:p w14:paraId="31D14DF3" w14:textId="77777777" w:rsidR="001F515C" w:rsidRPr="00E76822" w:rsidRDefault="001F515C" w:rsidP="003F6431">
            <w:pPr>
              <w:spacing w:line="276" w:lineRule="auto"/>
              <w:jc w:val="right"/>
              <w:rPr>
                <w:rFonts w:ascii="Arial" w:hAnsi="Arial" w:cs="Arial"/>
                <w:sz w:val="20"/>
                <w:szCs w:val="20"/>
              </w:rPr>
            </w:pPr>
          </w:p>
        </w:tc>
      </w:tr>
      <w:tr w:rsidR="001F515C" w:rsidRPr="00370487" w14:paraId="072AAA2B" w14:textId="77777777" w:rsidTr="003F6431">
        <w:tc>
          <w:tcPr>
            <w:tcW w:w="6345" w:type="dxa"/>
          </w:tcPr>
          <w:p w14:paraId="5D9D2EDA" w14:textId="77777777" w:rsidR="001F515C" w:rsidRPr="00E76822" w:rsidRDefault="001F515C" w:rsidP="003F6431">
            <w:pPr>
              <w:spacing w:line="276" w:lineRule="auto"/>
              <w:rPr>
                <w:rFonts w:ascii="Arial" w:hAnsi="Arial" w:cs="Arial"/>
                <w:sz w:val="20"/>
                <w:szCs w:val="20"/>
              </w:rPr>
            </w:pPr>
            <w:r w:rsidRPr="00E76822">
              <w:rPr>
                <w:rFonts w:ascii="Arial" w:hAnsi="Arial" w:cs="Arial"/>
                <w:sz w:val="20"/>
                <w:szCs w:val="20"/>
              </w:rPr>
              <w:t xml:space="preserve">Implemented an annual administrative fee and a tiered inspection program for food businesses under the NSW Food Partnership program </w:t>
            </w:r>
          </w:p>
        </w:tc>
        <w:tc>
          <w:tcPr>
            <w:tcW w:w="1276" w:type="dxa"/>
          </w:tcPr>
          <w:p w14:paraId="721B4479" w14:textId="77777777" w:rsidR="001F515C" w:rsidRPr="00E76822" w:rsidRDefault="001F515C" w:rsidP="003F6431">
            <w:pPr>
              <w:spacing w:line="276" w:lineRule="auto"/>
              <w:jc w:val="right"/>
              <w:rPr>
                <w:rFonts w:ascii="Arial" w:hAnsi="Arial" w:cs="Arial"/>
                <w:sz w:val="20"/>
                <w:szCs w:val="20"/>
              </w:rPr>
            </w:pPr>
            <w:r w:rsidRPr="00E76822">
              <w:rPr>
                <w:rFonts w:ascii="Arial" w:hAnsi="Arial" w:cs="Arial"/>
                <w:sz w:val="20"/>
                <w:szCs w:val="20"/>
              </w:rPr>
              <w:t>$360,000</w:t>
            </w:r>
          </w:p>
        </w:tc>
        <w:tc>
          <w:tcPr>
            <w:tcW w:w="1276" w:type="dxa"/>
          </w:tcPr>
          <w:p w14:paraId="1B1EC9A6" w14:textId="77777777" w:rsidR="001F515C" w:rsidRPr="00E76822" w:rsidRDefault="001F515C" w:rsidP="003F6431">
            <w:pPr>
              <w:spacing w:line="276" w:lineRule="auto"/>
              <w:jc w:val="right"/>
              <w:rPr>
                <w:rFonts w:ascii="Arial" w:hAnsi="Arial" w:cs="Arial"/>
                <w:sz w:val="20"/>
                <w:szCs w:val="20"/>
              </w:rPr>
            </w:pPr>
          </w:p>
        </w:tc>
      </w:tr>
      <w:tr w:rsidR="001F515C" w:rsidRPr="00370487" w14:paraId="5C56AF96" w14:textId="77777777" w:rsidTr="003F6431">
        <w:tc>
          <w:tcPr>
            <w:tcW w:w="6345" w:type="dxa"/>
          </w:tcPr>
          <w:p w14:paraId="0ACEE454" w14:textId="77777777" w:rsidR="001F515C" w:rsidRPr="00E76822" w:rsidRDefault="001F515C" w:rsidP="003F6431">
            <w:pPr>
              <w:spacing w:line="276" w:lineRule="auto"/>
              <w:rPr>
                <w:rFonts w:ascii="Arial" w:hAnsi="Arial" w:cs="Arial"/>
                <w:sz w:val="20"/>
                <w:szCs w:val="20"/>
              </w:rPr>
            </w:pPr>
            <w:r w:rsidRPr="00E76822">
              <w:rPr>
                <w:rFonts w:ascii="Arial" w:hAnsi="Arial" w:cs="Arial"/>
                <w:sz w:val="20"/>
                <w:szCs w:val="20"/>
              </w:rPr>
              <w:t>Increased patronage at Glenbrook Swim Centre by enclosing the learners’ pool and holding learn to swim classes year round.</w:t>
            </w:r>
          </w:p>
        </w:tc>
        <w:tc>
          <w:tcPr>
            <w:tcW w:w="1276" w:type="dxa"/>
          </w:tcPr>
          <w:p w14:paraId="3E1A208A" w14:textId="77777777" w:rsidR="001F515C" w:rsidRPr="00E76822" w:rsidRDefault="001F515C" w:rsidP="003F6431">
            <w:pPr>
              <w:spacing w:line="276" w:lineRule="auto"/>
              <w:jc w:val="right"/>
              <w:rPr>
                <w:rFonts w:ascii="Arial" w:hAnsi="Arial" w:cs="Arial"/>
                <w:sz w:val="20"/>
                <w:szCs w:val="20"/>
              </w:rPr>
            </w:pPr>
            <w:r w:rsidRPr="00E76822">
              <w:rPr>
                <w:rFonts w:ascii="Arial" w:hAnsi="Arial" w:cs="Arial"/>
                <w:sz w:val="20"/>
                <w:szCs w:val="20"/>
              </w:rPr>
              <w:t>$120,000</w:t>
            </w:r>
          </w:p>
        </w:tc>
        <w:tc>
          <w:tcPr>
            <w:tcW w:w="1276" w:type="dxa"/>
          </w:tcPr>
          <w:p w14:paraId="0B5F268D" w14:textId="77777777" w:rsidR="001F515C" w:rsidRPr="00E76822" w:rsidRDefault="001F515C" w:rsidP="003F6431">
            <w:pPr>
              <w:spacing w:line="276" w:lineRule="auto"/>
              <w:jc w:val="right"/>
              <w:rPr>
                <w:rFonts w:ascii="Arial" w:hAnsi="Arial" w:cs="Arial"/>
                <w:sz w:val="20"/>
                <w:szCs w:val="20"/>
              </w:rPr>
            </w:pPr>
          </w:p>
        </w:tc>
      </w:tr>
      <w:tr w:rsidR="001F515C" w:rsidRPr="00370487" w14:paraId="4A75DB4D" w14:textId="77777777" w:rsidTr="003F6431">
        <w:tc>
          <w:tcPr>
            <w:tcW w:w="6345" w:type="dxa"/>
          </w:tcPr>
          <w:p w14:paraId="049AE876" w14:textId="77777777" w:rsidR="001F515C" w:rsidRPr="00E76822" w:rsidRDefault="001F515C" w:rsidP="003F6431">
            <w:pPr>
              <w:spacing w:line="276" w:lineRule="auto"/>
              <w:rPr>
                <w:rFonts w:ascii="Arial" w:hAnsi="Arial" w:cs="Arial"/>
                <w:sz w:val="20"/>
                <w:szCs w:val="20"/>
              </w:rPr>
            </w:pPr>
            <w:r w:rsidRPr="00E76822">
              <w:rPr>
                <w:rFonts w:ascii="Arial" w:hAnsi="Arial" w:cs="Arial"/>
                <w:sz w:val="20"/>
                <w:szCs w:val="20"/>
              </w:rPr>
              <w:t>Revenue from implementing the on-site septic safe program. Incorporated fee on rates notice to streamline recovery (staged implementation from 07/2008 to 06/2013, with issue of 5 year approval to operate).</w:t>
            </w:r>
          </w:p>
        </w:tc>
        <w:tc>
          <w:tcPr>
            <w:tcW w:w="1276" w:type="dxa"/>
          </w:tcPr>
          <w:p w14:paraId="45D4979C" w14:textId="77777777" w:rsidR="001F515C" w:rsidRPr="00E76822" w:rsidRDefault="001F515C" w:rsidP="003F6431">
            <w:pPr>
              <w:spacing w:line="276" w:lineRule="auto"/>
              <w:jc w:val="right"/>
              <w:rPr>
                <w:rFonts w:ascii="Arial" w:hAnsi="Arial" w:cs="Arial"/>
                <w:sz w:val="20"/>
                <w:szCs w:val="20"/>
              </w:rPr>
            </w:pPr>
            <w:r w:rsidRPr="00E76822">
              <w:rPr>
                <w:rFonts w:ascii="Arial" w:hAnsi="Arial" w:cs="Arial"/>
                <w:sz w:val="20"/>
                <w:szCs w:val="20"/>
              </w:rPr>
              <w:t>$100,000</w:t>
            </w:r>
          </w:p>
        </w:tc>
        <w:tc>
          <w:tcPr>
            <w:tcW w:w="1276" w:type="dxa"/>
          </w:tcPr>
          <w:p w14:paraId="07C923FA" w14:textId="77777777" w:rsidR="001F515C" w:rsidRPr="00E76822" w:rsidRDefault="001F515C" w:rsidP="003F6431">
            <w:pPr>
              <w:spacing w:line="276" w:lineRule="auto"/>
              <w:jc w:val="right"/>
              <w:rPr>
                <w:rFonts w:ascii="Arial" w:hAnsi="Arial" w:cs="Arial"/>
                <w:sz w:val="20"/>
                <w:szCs w:val="20"/>
              </w:rPr>
            </w:pPr>
          </w:p>
        </w:tc>
      </w:tr>
      <w:tr w:rsidR="001F515C" w:rsidRPr="00370487" w14:paraId="3573843A" w14:textId="77777777" w:rsidTr="003F6431">
        <w:tc>
          <w:tcPr>
            <w:tcW w:w="6345" w:type="dxa"/>
          </w:tcPr>
          <w:p w14:paraId="266AFCA1" w14:textId="77777777" w:rsidR="001F515C" w:rsidRPr="00E76822" w:rsidRDefault="001F515C" w:rsidP="003F6431">
            <w:pPr>
              <w:spacing w:line="276" w:lineRule="auto"/>
              <w:rPr>
                <w:rFonts w:ascii="Arial" w:hAnsi="Arial" w:cs="Arial"/>
                <w:sz w:val="20"/>
                <w:szCs w:val="20"/>
              </w:rPr>
            </w:pPr>
            <w:r w:rsidRPr="00E76822">
              <w:rPr>
                <w:rFonts w:ascii="Arial" w:hAnsi="Arial" w:cs="Arial"/>
                <w:sz w:val="20"/>
                <w:szCs w:val="20"/>
              </w:rPr>
              <w:t>Increased revenue from the targeted improvement in recovery of court awarded costs / fines. This included advocacy with the Local Court Registrar with unpaid costs / fines now forwarded to State Debt Recovery Office. This are now better recording systems in Council for managing court income; increased awareness amongst officers to seek recovery of costs; changes to legislation that allows recovery of costs in the Land and Environment Court.</w:t>
            </w:r>
          </w:p>
        </w:tc>
        <w:tc>
          <w:tcPr>
            <w:tcW w:w="1276" w:type="dxa"/>
          </w:tcPr>
          <w:p w14:paraId="716A764A" w14:textId="77777777" w:rsidR="001F515C" w:rsidRPr="00E76822" w:rsidRDefault="001F515C" w:rsidP="003F6431">
            <w:pPr>
              <w:spacing w:line="276" w:lineRule="auto"/>
              <w:jc w:val="right"/>
              <w:rPr>
                <w:rFonts w:ascii="Arial" w:hAnsi="Arial" w:cs="Arial"/>
                <w:sz w:val="20"/>
                <w:szCs w:val="20"/>
              </w:rPr>
            </w:pPr>
            <w:r w:rsidRPr="00E76822">
              <w:rPr>
                <w:rFonts w:ascii="Arial" w:hAnsi="Arial" w:cs="Arial"/>
                <w:sz w:val="20"/>
                <w:szCs w:val="20"/>
              </w:rPr>
              <w:t>$91,400</w:t>
            </w:r>
          </w:p>
        </w:tc>
        <w:tc>
          <w:tcPr>
            <w:tcW w:w="1276" w:type="dxa"/>
          </w:tcPr>
          <w:p w14:paraId="1C48F1DE" w14:textId="77777777" w:rsidR="001F515C" w:rsidRPr="00E76822" w:rsidRDefault="001F515C" w:rsidP="003F6431">
            <w:pPr>
              <w:spacing w:line="276" w:lineRule="auto"/>
              <w:jc w:val="right"/>
              <w:rPr>
                <w:rFonts w:ascii="Arial" w:hAnsi="Arial" w:cs="Arial"/>
                <w:sz w:val="20"/>
                <w:szCs w:val="20"/>
              </w:rPr>
            </w:pPr>
          </w:p>
        </w:tc>
      </w:tr>
      <w:tr w:rsidR="001F515C" w:rsidRPr="00370487" w14:paraId="22A9C566" w14:textId="77777777" w:rsidTr="003F6431">
        <w:tc>
          <w:tcPr>
            <w:tcW w:w="6345" w:type="dxa"/>
          </w:tcPr>
          <w:p w14:paraId="2BA46FDA" w14:textId="77777777" w:rsidR="001F515C" w:rsidRPr="00E76822" w:rsidRDefault="001F515C" w:rsidP="003F6431">
            <w:pPr>
              <w:spacing w:line="276" w:lineRule="auto"/>
              <w:rPr>
                <w:rFonts w:ascii="Arial" w:hAnsi="Arial" w:cs="Arial"/>
                <w:sz w:val="20"/>
                <w:szCs w:val="20"/>
              </w:rPr>
            </w:pPr>
            <w:r w:rsidRPr="00E76822">
              <w:rPr>
                <w:rFonts w:ascii="Arial" w:hAnsi="Arial" w:cs="Arial"/>
                <w:sz w:val="20"/>
                <w:szCs w:val="20"/>
              </w:rPr>
              <w:t xml:space="preserve">Revenue from fees on temporary fencing following the development and adoption of the on Temporary Fencing (Hoarding) Policy in March 2009. </w:t>
            </w:r>
          </w:p>
        </w:tc>
        <w:tc>
          <w:tcPr>
            <w:tcW w:w="1276" w:type="dxa"/>
          </w:tcPr>
          <w:p w14:paraId="5E63BC4F" w14:textId="77777777" w:rsidR="001F515C" w:rsidRPr="00E76822" w:rsidRDefault="001F515C" w:rsidP="003F6431">
            <w:pPr>
              <w:spacing w:line="276" w:lineRule="auto"/>
              <w:jc w:val="right"/>
              <w:rPr>
                <w:rFonts w:ascii="Arial" w:hAnsi="Arial" w:cs="Arial"/>
                <w:sz w:val="20"/>
                <w:szCs w:val="20"/>
              </w:rPr>
            </w:pPr>
            <w:r w:rsidRPr="00E76822">
              <w:rPr>
                <w:rFonts w:ascii="Arial" w:hAnsi="Arial" w:cs="Arial"/>
                <w:sz w:val="20"/>
                <w:szCs w:val="20"/>
              </w:rPr>
              <w:t>$80,000</w:t>
            </w:r>
          </w:p>
        </w:tc>
        <w:tc>
          <w:tcPr>
            <w:tcW w:w="1276" w:type="dxa"/>
          </w:tcPr>
          <w:p w14:paraId="333C12CB" w14:textId="77777777" w:rsidR="001F515C" w:rsidRPr="00E76822" w:rsidRDefault="001F515C" w:rsidP="003F6431">
            <w:pPr>
              <w:spacing w:line="276" w:lineRule="auto"/>
              <w:jc w:val="right"/>
              <w:rPr>
                <w:rFonts w:ascii="Arial" w:hAnsi="Arial" w:cs="Arial"/>
                <w:sz w:val="20"/>
                <w:szCs w:val="20"/>
              </w:rPr>
            </w:pPr>
          </w:p>
        </w:tc>
      </w:tr>
      <w:tr w:rsidR="001F515C" w:rsidRPr="00370487" w14:paraId="07C9B7FB" w14:textId="77777777" w:rsidTr="003F6431">
        <w:tc>
          <w:tcPr>
            <w:tcW w:w="6345" w:type="dxa"/>
          </w:tcPr>
          <w:p w14:paraId="660690C0" w14:textId="77777777" w:rsidR="001F515C" w:rsidRPr="00E76822" w:rsidRDefault="001F515C" w:rsidP="003F6431">
            <w:pPr>
              <w:spacing w:line="276" w:lineRule="auto"/>
              <w:rPr>
                <w:rFonts w:ascii="Arial" w:hAnsi="Arial" w:cs="Arial"/>
                <w:sz w:val="20"/>
                <w:szCs w:val="20"/>
              </w:rPr>
            </w:pPr>
            <w:r w:rsidRPr="00E76822">
              <w:rPr>
                <w:rFonts w:ascii="Arial" w:hAnsi="Arial" w:cs="Arial"/>
                <w:sz w:val="20"/>
                <w:szCs w:val="20"/>
              </w:rPr>
              <w:t>Roads and Maritime Services Agency established at Council headquarters in January 2007. Estimated annual profit is $72,000</w:t>
            </w:r>
          </w:p>
        </w:tc>
        <w:tc>
          <w:tcPr>
            <w:tcW w:w="1276" w:type="dxa"/>
          </w:tcPr>
          <w:p w14:paraId="24EC0685" w14:textId="77777777" w:rsidR="001F515C" w:rsidRPr="00E76822" w:rsidRDefault="001F515C" w:rsidP="003F6431">
            <w:pPr>
              <w:spacing w:line="276" w:lineRule="auto"/>
              <w:jc w:val="right"/>
              <w:rPr>
                <w:rFonts w:ascii="Arial" w:hAnsi="Arial" w:cs="Arial"/>
                <w:sz w:val="20"/>
                <w:szCs w:val="20"/>
              </w:rPr>
            </w:pPr>
            <w:r w:rsidRPr="00E76822">
              <w:rPr>
                <w:rFonts w:ascii="Arial" w:hAnsi="Arial" w:cs="Arial"/>
                <w:sz w:val="20"/>
                <w:szCs w:val="20"/>
              </w:rPr>
              <w:t>$72,000</w:t>
            </w:r>
          </w:p>
        </w:tc>
        <w:tc>
          <w:tcPr>
            <w:tcW w:w="1276" w:type="dxa"/>
          </w:tcPr>
          <w:p w14:paraId="0DC2DDF5" w14:textId="77777777" w:rsidR="001F515C" w:rsidRPr="00E76822" w:rsidRDefault="001F515C" w:rsidP="003F6431">
            <w:pPr>
              <w:spacing w:line="276" w:lineRule="auto"/>
              <w:jc w:val="right"/>
              <w:rPr>
                <w:rFonts w:ascii="Arial" w:hAnsi="Arial" w:cs="Arial"/>
                <w:sz w:val="20"/>
                <w:szCs w:val="20"/>
              </w:rPr>
            </w:pPr>
          </w:p>
        </w:tc>
      </w:tr>
      <w:tr w:rsidR="001F515C" w:rsidRPr="00370487" w14:paraId="65C8CD41" w14:textId="77777777" w:rsidTr="003F6431">
        <w:tc>
          <w:tcPr>
            <w:tcW w:w="6345" w:type="dxa"/>
          </w:tcPr>
          <w:p w14:paraId="60A3BF98" w14:textId="77777777" w:rsidR="001F515C" w:rsidRPr="00E76822" w:rsidRDefault="001F515C" w:rsidP="003F6431">
            <w:pPr>
              <w:spacing w:line="276" w:lineRule="auto"/>
              <w:rPr>
                <w:rFonts w:ascii="Arial" w:hAnsi="Arial" w:cs="Arial"/>
                <w:sz w:val="20"/>
                <w:szCs w:val="20"/>
              </w:rPr>
            </w:pPr>
            <w:r w:rsidRPr="00E76822">
              <w:rPr>
                <w:rFonts w:ascii="Arial" w:hAnsi="Arial" w:cs="Arial"/>
                <w:sz w:val="20"/>
                <w:szCs w:val="20"/>
              </w:rPr>
              <w:t>Increased revenue and reduce risk through updates and improvements to the names and address register.</w:t>
            </w:r>
          </w:p>
        </w:tc>
        <w:tc>
          <w:tcPr>
            <w:tcW w:w="1276" w:type="dxa"/>
          </w:tcPr>
          <w:p w14:paraId="04FA18E4" w14:textId="77777777" w:rsidR="001F515C" w:rsidRPr="00E76822" w:rsidRDefault="001F515C" w:rsidP="003F6431">
            <w:pPr>
              <w:spacing w:line="276" w:lineRule="auto"/>
              <w:jc w:val="right"/>
              <w:rPr>
                <w:rFonts w:ascii="Arial" w:hAnsi="Arial" w:cs="Arial"/>
                <w:sz w:val="20"/>
                <w:szCs w:val="20"/>
              </w:rPr>
            </w:pPr>
            <w:r w:rsidRPr="00E76822">
              <w:rPr>
                <w:rFonts w:ascii="Arial" w:hAnsi="Arial" w:cs="Arial"/>
                <w:sz w:val="20"/>
                <w:szCs w:val="20"/>
              </w:rPr>
              <w:t>$70,000</w:t>
            </w:r>
          </w:p>
        </w:tc>
        <w:tc>
          <w:tcPr>
            <w:tcW w:w="1276" w:type="dxa"/>
          </w:tcPr>
          <w:p w14:paraId="0999A12C" w14:textId="77777777" w:rsidR="001F515C" w:rsidRPr="00E76822" w:rsidRDefault="001F515C" w:rsidP="003F6431">
            <w:pPr>
              <w:spacing w:line="276" w:lineRule="auto"/>
              <w:jc w:val="right"/>
              <w:rPr>
                <w:rFonts w:ascii="Arial" w:hAnsi="Arial" w:cs="Arial"/>
                <w:sz w:val="20"/>
                <w:szCs w:val="20"/>
              </w:rPr>
            </w:pPr>
          </w:p>
        </w:tc>
      </w:tr>
      <w:tr w:rsidR="001F515C" w:rsidRPr="00370487" w14:paraId="03DD48A7" w14:textId="77777777" w:rsidTr="003F6431">
        <w:tc>
          <w:tcPr>
            <w:tcW w:w="6345" w:type="dxa"/>
          </w:tcPr>
          <w:p w14:paraId="63772043" w14:textId="6495F1F3" w:rsidR="001F515C" w:rsidRPr="00E76822" w:rsidRDefault="001F515C" w:rsidP="003F6431">
            <w:pPr>
              <w:spacing w:line="276" w:lineRule="auto"/>
              <w:rPr>
                <w:rFonts w:ascii="Arial" w:hAnsi="Arial" w:cs="Arial"/>
                <w:sz w:val="20"/>
                <w:szCs w:val="20"/>
              </w:rPr>
            </w:pPr>
            <w:r w:rsidRPr="00E76822">
              <w:rPr>
                <w:rFonts w:ascii="Arial" w:hAnsi="Arial" w:cs="Arial"/>
                <w:sz w:val="20"/>
                <w:szCs w:val="20"/>
              </w:rPr>
              <w:t xml:space="preserve">Implemented revenue coordinator to manage the update of customer information for rating purposes. Audit rates area </w:t>
            </w:r>
            <w:r w:rsidR="00165AB2" w:rsidRPr="00E76822">
              <w:rPr>
                <w:rFonts w:ascii="Arial" w:hAnsi="Arial" w:cs="Arial"/>
                <w:sz w:val="20"/>
                <w:szCs w:val="20"/>
              </w:rPr>
              <w:t>e.g.</w:t>
            </w:r>
            <w:r w:rsidRPr="00E76822">
              <w:rPr>
                <w:rFonts w:ascii="Arial" w:hAnsi="Arial" w:cs="Arial"/>
                <w:sz w:val="20"/>
                <w:szCs w:val="20"/>
              </w:rPr>
              <w:t>. find all properties not currently rated to find missing revenue</w:t>
            </w:r>
          </w:p>
        </w:tc>
        <w:tc>
          <w:tcPr>
            <w:tcW w:w="1276" w:type="dxa"/>
          </w:tcPr>
          <w:p w14:paraId="6C1D8886" w14:textId="77777777" w:rsidR="001F515C" w:rsidRPr="00E76822" w:rsidRDefault="001F515C" w:rsidP="003F6431">
            <w:pPr>
              <w:spacing w:line="276" w:lineRule="auto"/>
              <w:jc w:val="right"/>
              <w:rPr>
                <w:rFonts w:ascii="Arial" w:hAnsi="Arial" w:cs="Arial"/>
                <w:sz w:val="20"/>
                <w:szCs w:val="20"/>
              </w:rPr>
            </w:pPr>
            <w:r w:rsidRPr="00E76822">
              <w:rPr>
                <w:rFonts w:ascii="Arial" w:hAnsi="Arial" w:cs="Arial"/>
                <w:sz w:val="20"/>
                <w:szCs w:val="20"/>
              </w:rPr>
              <w:t>$40,000</w:t>
            </w:r>
          </w:p>
        </w:tc>
        <w:tc>
          <w:tcPr>
            <w:tcW w:w="1276" w:type="dxa"/>
          </w:tcPr>
          <w:p w14:paraId="440B62E2" w14:textId="77777777" w:rsidR="001F515C" w:rsidRPr="00E76822" w:rsidRDefault="001F515C" w:rsidP="003F6431">
            <w:pPr>
              <w:spacing w:line="276" w:lineRule="auto"/>
              <w:jc w:val="right"/>
              <w:rPr>
                <w:rFonts w:ascii="Arial" w:hAnsi="Arial" w:cs="Arial"/>
                <w:sz w:val="20"/>
                <w:szCs w:val="20"/>
              </w:rPr>
            </w:pPr>
          </w:p>
        </w:tc>
      </w:tr>
      <w:tr w:rsidR="001F515C" w:rsidRPr="00370487" w14:paraId="6CB3D9B2" w14:textId="77777777" w:rsidTr="003F6431">
        <w:tc>
          <w:tcPr>
            <w:tcW w:w="6345" w:type="dxa"/>
          </w:tcPr>
          <w:p w14:paraId="5B38EC42" w14:textId="77777777" w:rsidR="001F515C" w:rsidRPr="00E76822" w:rsidRDefault="001F515C" w:rsidP="003F6431">
            <w:pPr>
              <w:spacing w:line="276" w:lineRule="auto"/>
              <w:rPr>
                <w:rFonts w:ascii="Arial" w:hAnsi="Arial" w:cs="Arial"/>
                <w:sz w:val="20"/>
                <w:szCs w:val="20"/>
              </w:rPr>
            </w:pPr>
            <w:r w:rsidRPr="00E76822">
              <w:rPr>
                <w:rFonts w:ascii="Arial" w:hAnsi="Arial" w:cs="Arial"/>
                <w:sz w:val="20"/>
                <w:szCs w:val="20"/>
              </w:rPr>
              <w:t>Introduced fee for registration of annual fire safety statements</w:t>
            </w:r>
          </w:p>
        </w:tc>
        <w:tc>
          <w:tcPr>
            <w:tcW w:w="1276" w:type="dxa"/>
          </w:tcPr>
          <w:p w14:paraId="31CC85A8" w14:textId="77777777" w:rsidR="001F515C" w:rsidRPr="00E76822" w:rsidRDefault="001F515C" w:rsidP="003F6431">
            <w:pPr>
              <w:spacing w:line="276" w:lineRule="auto"/>
              <w:jc w:val="right"/>
              <w:rPr>
                <w:rFonts w:ascii="Arial" w:hAnsi="Arial" w:cs="Arial"/>
                <w:sz w:val="20"/>
                <w:szCs w:val="20"/>
              </w:rPr>
            </w:pPr>
            <w:r w:rsidRPr="00E76822">
              <w:rPr>
                <w:rFonts w:ascii="Arial" w:hAnsi="Arial" w:cs="Arial"/>
                <w:sz w:val="20"/>
                <w:szCs w:val="20"/>
              </w:rPr>
              <w:t>$32,000</w:t>
            </w:r>
          </w:p>
        </w:tc>
        <w:tc>
          <w:tcPr>
            <w:tcW w:w="1276" w:type="dxa"/>
          </w:tcPr>
          <w:p w14:paraId="0E30442B" w14:textId="77777777" w:rsidR="001F515C" w:rsidRPr="00E76822" w:rsidRDefault="001F515C" w:rsidP="003F6431">
            <w:pPr>
              <w:spacing w:line="276" w:lineRule="auto"/>
              <w:jc w:val="right"/>
              <w:rPr>
                <w:rFonts w:ascii="Arial" w:hAnsi="Arial" w:cs="Arial"/>
                <w:sz w:val="20"/>
                <w:szCs w:val="20"/>
              </w:rPr>
            </w:pPr>
          </w:p>
        </w:tc>
      </w:tr>
      <w:tr w:rsidR="001F515C" w:rsidRPr="00370487" w14:paraId="7828560F" w14:textId="77777777" w:rsidTr="003F6431">
        <w:tc>
          <w:tcPr>
            <w:tcW w:w="6345" w:type="dxa"/>
          </w:tcPr>
          <w:p w14:paraId="4AB364B8" w14:textId="77777777" w:rsidR="001F515C" w:rsidRPr="00E76822" w:rsidRDefault="001F515C" w:rsidP="003F6431">
            <w:pPr>
              <w:spacing w:line="276" w:lineRule="auto"/>
              <w:rPr>
                <w:rFonts w:ascii="Arial" w:hAnsi="Arial" w:cs="Arial"/>
                <w:sz w:val="20"/>
                <w:szCs w:val="20"/>
              </w:rPr>
            </w:pPr>
            <w:r w:rsidRPr="00E76822">
              <w:rPr>
                <w:rFonts w:ascii="Arial" w:hAnsi="Arial" w:cs="Arial"/>
                <w:sz w:val="20"/>
                <w:szCs w:val="20"/>
              </w:rPr>
              <w:t>Electronic valuation tool developed to determine / confirm value of works associated with development applications (Note: Statutory fees based on the value of works).</w:t>
            </w:r>
          </w:p>
        </w:tc>
        <w:tc>
          <w:tcPr>
            <w:tcW w:w="1276" w:type="dxa"/>
          </w:tcPr>
          <w:p w14:paraId="5F2BC5A0" w14:textId="77777777" w:rsidR="001F515C" w:rsidRPr="00E76822" w:rsidRDefault="001F515C" w:rsidP="003F6431">
            <w:pPr>
              <w:spacing w:line="276" w:lineRule="auto"/>
              <w:jc w:val="right"/>
              <w:rPr>
                <w:rFonts w:ascii="Arial" w:hAnsi="Arial" w:cs="Arial"/>
                <w:sz w:val="20"/>
                <w:szCs w:val="20"/>
              </w:rPr>
            </w:pPr>
            <w:r w:rsidRPr="00E76822">
              <w:rPr>
                <w:rFonts w:ascii="Arial" w:hAnsi="Arial" w:cs="Arial"/>
                <w:sz w:val="20"/>
                <w:szCs w:val="20"/>
              </w:rPr>
              <w:t>$30,000</w:t>
            </w:r>
          </w:p>
        </w:tc>
        <w:tc>
          <w:tcPr>
            <w:tcW w:w="1276" w:type="dxa"/>
          </w:tcPr>
          <w:p w14:paraId="2D4982B6" w14:textId="77777777" w:rsidR="001F515C" w:rsidRPr="00E76822" w:rsidRDefault="001F515C" w:rsidP="003F6431">
            <w:pPr>
              <w:spacing w:line="276" w:lineRule="auto"/>
              <w:jc w:val="right"/>
              <w:rPr>
                <w:rFonts w:ascii="Arial" w:hAnsi="Arial" w:cs="Arial"/>
                <w:sz w:val="20"/>
                <w:szCs w:val="20"/>
              </w:rPr>
            </w:pPr>
          </w:p>
        </w:tc>
      </w:tr>
      <w:tr w:rsidR="001F515C" w:rsidRPr="00370487" w14:paraId="4DEB9387" w14:textId="77777777" w:rsidTr="003F6431">
        <w:tc>
          <w:tcPr>
            <w:tcW w:w="6345" w:type="dxa"/>
          </w:tcPr>
          <w:p w14:paraId="3E7A6467" w14:textId="77777777" w:rsidR="001F515C" w:rsidRPr="00E76822" w:rsidRDefault="001F515C" w:rsidP="003F6431">
            <w:pPr>
              <w:spacing w:line="276" w:lineRule="auto"/>
              <w:rPr>
                <w:rFonts w:ascii="Arial" w:hAnsi="Arial" w:cs="Arial"/>
                <w:sz w:val="20"/>
                <w:szCs w:val="20"/>
              </w:rPr>
            </w:pPr>
            <w:r w:rsidRPr="00E76822">
              <w:rPr>
                <w:rFonts w:ascii="Arial" w:hAnsi="Arial" w:cs="Arial"/>
                <w:sz w:val="20"/>
                <w:szCs w:val="20"/>
              </w:rPr>
              <w:t>Additional fuel tax credit - net savings</w:t>
            </w:r>
          </w:p>
        </w:tc>
        <w:tc>
          <w:tcPr>
            <w:tcW w:w="1276" w:type="dxa"/>
          </w:tcPr>
          <w:p w14:paraId="786A8CEB" w14:textId="77777777" w:rsidR="001F515C" w:rsidRPr="00E76822" w:rsidRDefault="001F515C" w:rsidP="003F6431">
            <w:pPr>
              <w:spacing w:line="276" w:lineRule="auto"/>
              <w:jc w:val="right"/>
              <w:rPr>
                <w:rFonts w:ascii="Arial" w:hAnsi="Arial" w:cs="Arial"/>
                <w:sz w:val="20"/>
                <w:szCs w:val="20"/>
              </w:rPr>
            </w:pPr>
            <w:r w:rsidRPr="00E76822">
              <w:rPr>
                <w:rFonts w:ascii="Arial" w:hAnsi="Arial" w:cs="Arial"/>
                <w:sz w:val="20"/>
                <w:szCs w:val="20"/>
              </w:rPr>
              <w:t>$29,395</w:t>
            </w:r>
          </w:p>
        </w:tc>
        <w:tc>
          <w:tcPr>
            <w:tcW w:w="1276" w:type="dxa"/>
          </w:tcPr>
          <w:p w14:paraId="2AAD1AD8" w14:textId="77777777" w:rsidR="001F515C" w:rsidRPr="00E76822" w:rsidRDefault="001F515C" w:rsidP="003F6431">
            <w:pPr>
              <w:spacing w:line="276" w:lineRule="auto"/>
              <w:jc w:val="right"/>
              <w:rPr>
                <w:rFonts w:ascii="Arial" w:hAnsi="Arial" w:cs="Arial"/>
                <w:sz w:val="20"/>
                <w:szCs w:val="20"/>
              </w:rPr>
            </w:pPr>
          </w:p>
        </w:tc>
      </w:tr>
      <w:tr w:rsidR="001F515C" w:rsidRPr="00370487" w14:paraId="09A06206" w14:textId="77777777" w:rsidTr="003F6431">
        <w:tc>
          <w:tcPr>
            <w:tcW w:w="6345" w:type="dxa"/>
          </w:tcPr>
          <w:p w14:paraId="618791AF" w14:textId="77777777" w:rsidR="001F515C" w:rsidRPr="00E76822" w:rsidRDefault="001F515C" w:rsidP="003F6431">
            <w:pPr>
              <w:spacing w:line="276" w:lineRule="auto"/>
              <w:rPr>
                <w:rFonts w:ascii="Arial" w:hAnsi="Arial" w:cs="Arial"/>
                <w:sz w:val="20"/>
                <w:szCs w:val="20"/>
              </w:rPr>
            </w:pPr>
            <w:r w:rsidRPr="00E76822">
              <w:rPr>
                <w:rFonts w:ascii="Arial" w:hAnsi="Arial" w:cs="Arial"/>
                <w:sz w:val="20"/>
                <w:szCs w:val="20"/>
              </w:rPr>
              <w:t>Revenue raised from additional booked waste services for chipping and bulky waste above the two services provided by the Council per property per financial year at no charge</w:t>
            </w:r>
          </w:p>
        </w:tc>
        <w:tc>
          <w:tcPr>
            <w:tcW w:w="1276" w:type="dxa"/>
          </w:tcPr>
          <w:p w14:paraId="28ECD924" w14:textId="77777777" w:rsidR="001F515C" w:rsidRPr="00E76822" w:rsidRDefault="001F515C" w:rsidP="003F6431">
            <w:pPr>
              <w:spacing w:line="276" w:lineRule="auto"/>
              <w:jc w:val="right"/>
              <w:rPr>
                <w:rFonts w:ascii="Arial" w:hAnsi="Arial" w:cs="Arial"/>
                <w:sz w:val="20"/>
                <w:szCs w:val="20"/>
              </w:rPr>
            </w:pPr>
            <w:r w:rsidRPr="00E76822">
              <w:rPr>
                <w:rFonts w:ascii="Arial" w:hAnsi="Arial" w:cs="Arial"/>
                <w:sz w:val="20"/>
                <w:szCs w:val="20"/>
              </w:rPr>
              <w:t>$2,530</w:t>
            </w:r>
          </w:p>
        </w:tc>
        <w:tc>
          <w:tcPr>
            <w:tcW w:w="1276" w:type="dxa"/>
          </w:tcPr>
          <w:p w14:paraId="21530981" w14:textId="77777777" w:rsidR="001F515C" w:rsidRPr="00E76822" w:rsidRDefault="001F515C" w:rsidP="003F6431">
            <w:pPr>
              <w:spacing w:line="276" w:lineRule="auto"/>
              <w:jc w:val="right"/>
              <w:rPr>
                <w:rFonts w:ascii="Arial" w:hAnsi="Arial" w:cs="Arial"/>
                <w:sz w:val="20"/>
                <w:szCs w:val="20"/>
              </w:rPr>
            </w:pPr>
          </w:p>
        </w:tc>
      </w:tr>
      <w:tr w:rsidR="001F515C" w:rsidRPr="00370487" w14:paraId="23B62E44" w14:textId="77777777" w:rsidTr="003F6431">
        <w:tc>
          <w:tcPr>
            <w:tcW w:w="7621" w:type="dxa"/>
            <w:gridSpan w:val="2"/>
            <w:shd w:val="clear" w:color="auto" w:fill="DBE5F1" w:themeFill="accent1" w:themeFillTint="33"/>
          </w:tcPr>
          <w:p w14:paraId="68DD3095" w14:textId="77777777" w:rsidR="001F515C" w:rsidRPr="00E76822" w:rsidRDefault="001F515C" w:rsidP="003F6431">
            <w:pPr>
              <w:spacing w:line="276" w:lineRule="auto"/>
              <w:rPr>
                <w:rFonts w:ascii="Arial" w:hAnsi="Arial" w:cs="Arial"/>
                <w:b/>
                <w:sz w:val="20"/>
                <w:szCs w:val="20"/>
              </w:rPr>
            </w:pPr>
            <w:r w:rsidRPr="00E76822">
              <w:rPr>
                <w:rFonts w:ascii="Arial" w:hAnsi="Arial" w:cs="Arial"/>
                <w:b/>
                <w:sz w:val="20"/>
                <w:szCs w:val="20"/>
              </w:rPr>
              <w:t>Business / Process Improvements</w:t>
            </w:r>
          </w:p>
        </w:tc>
        <w:tc>
          <w:tcPr>
            <w:tcW w:w="1276" w:type="dxa"/>
            <w:shd w:val="clear" w:color="auto" w:fill="DBE5F1" w:themeFill="accent1" w:themeFillTint="33"/>
          </w:tcPr>
          <w:p w14:paraId="089DAB02" w14:textId="77777777" w:rsidR="001F515C" w:rsidRPr="00E76822" w:rsidRDefault="001F515C" w:rsidP="003F6431">
            <w:pPr>
              <w:spacing w:line="276" w:lineRule="auto"/>
              <w:jc w:val="right"/>
              <w:rPr>
                <w:rFonts w:ascii="Arial" w:hAnsi="Arial" w:cs="Arial"/>
                <w:b/>
                <w:sz w:val="20"/>
                <w:szCs w:val="20"/>
              </w:rPr>
            </w:pPr>
            <w:r w:rsidRPr="00E76822">
              <w:rPr>
                <w:rFonts w:ascii="Arial" w:hAnsi="Arial" w:cs="Arial"/>
                <w:b/>
                <w:sz w:val="20"/>
                <w:szCs w:val="20"/>
              </w:rPr>
              <w:t>$4,304,637</w:t>
            </w:r>
          </w:p>
        </w:tc>
      </w:tr>
      <w:tr w:rsidR="001F515C" w:rsidRPr="00370487" w14:paraId="235ACD52" w14:textId="77777777" w:rsidTr="003F6431">
        <w:tc>
          <w:tcPr>
            <w:tcW w:w="6345" w:type="dxa"/>
          </w:tcPr>
          <w:p w14:paraId="1F19A592" w14:textId="77777777" w:rsidR="001F515C" w:rsidRPr="00E76822" w:rsidRDefault="001F515C" w:rsidP="003F6431">
            <w:pPr>
              <w:spacing w:line="276" w:lineRule="auto"/>
              <w:rPr>
                <w:rFonts w:ascii="Arial" w:hAnsi="Arial" w:cs="Arial"/>
                <w:sz w:val="20"/>
                <w:szCs w:val="20"/>
              </w:rPr>
            </w:pPr>
            <w:r w:rsidRPr="00E76822">
              <w:rPr>
                <w:rFonts w:ascii="Arial" w:hAnsi="Arial" w:cs="Arial"/>
                <w:sz w:val="20"/>
                <w:szCs w:val="20"/>
              </w:rPr>
              <w:t xml:space="preserve">Gross income from land and property sales and interest on funds in the Property Investment Fund PIF) under the Property Disposal &amp; Investment Program (PDIP) which was established in 2005. 50% of the investment return for this fund is reinvested into the fund with the balance being used to provide asset renewal and maintenance. As at 30.6.14 the total sales and interest generated under this program is calculated at $5,521,401, an average of the 9 year period of $613,489. </w:t>
            </w:r>
          </w:p>
        </w:tc>
        <w:tc>
          <w:tcPr>
            <w:tcW w:w="1276" w:type="dxa"/>
          </w:tcPr>
          <w:p w14:paraId="35F194BA" w14:textId="77777777" w:rsidR="001F515C" w:rsidRPr="00E76822" w:rsidRDefault="001F515C" w:rsidP="003F6431">
            <w:pPr>
              <w:spacing w:line="276" w:lineRule="auto"/>
              <w:jc w:val="right"/>
              <w:rPr>
                <w:rFonts w:ascii="Arial" w:hAnsi="Arial" w:cs="Arial"/>
                <w:sz w:val="20"/>
                <w:szCs w:val="20"/>
              </w:rPr>
            </w:pPr>
            <w:r w:rsidRPr="00E76822">
              <w:rPr>
                <w:rFonts w:ascii="Arial" w:hAnsi="Arial" w:cs="Arial"/>
                <w:sz w:val="20"/>
                <w:szCs w:val="20"/>
              </w:rPr>
              <w:t>$1,840,467</w:t>
            </w:r>
          </w:p>
        </w:tc>
        <w:tc>
          <w:tcPr>
            <w:tcW w:w="1276" w:type="dxa"/>
          </w:tcPr>
          <w:p w14:paraId="0FE37060" w14:textId="77777777" w:rsidR="001F515C" w:rsidRPr="00E76822" w:rsidRDefault="001F515C" w:rsidP="003F6431">
            <w:pPr>
              <w:spacing w:line="276" w:lineRule="auto"/>
              <w:jc w:val="right"/>
              <w:rPr>
                <w:rFonts w:ascii="Arial" w:hAnsi="Arial" w:cs="Arial"/>
                <w:sz w:val="20"/>
                <w:szCs w:val="20"/>
              </w:rPr>
            </w:pPr>
          </w:p>
        </w:tc>
      </w:tr>
      <w:tr w:rsidR="001F515C" w:rsidRPr="00370487" w14:paraId="53ECB191" w14:textId="77777777" w:rsidTr="003F6431">
        <w:tc>
          <w:tcPr>
            <w:tcW w:w="6345" w:type="dxa"/>
          </w:tcPr>
          <w:p w14:paraId="6D839056" w14:textId="77777777" w:rsidR="001F515C" w:rsidRPr="00E76822" w:rsidRDefault="001F515C" w:rsidP="003F6431">
            <w:pPr>
              <w:spacing w:line="276" w:lineRule="auto"/>
              <w:rPr>
                <w:rFonts w:ascii="Arial" w:hAnsi="Arial" w:cs="Arial"/>
                <w:sz w:val="20"/>
                <w:szCs w:val="20"/>
              </w:rPr>
            </w:pPr>
            <w:r w:rsidRPr="00E76822">
              <w:rPr>
                <w:rFonts w:ascii="Arial" w:hAnsi="Arial" w:cs="Arial"/>
                <w:sz w:val="20"/>
                <w:szCs w:val="20"/>
              </w:rPr>
              <w:t>Increase in revenue from the Council's two tourist (caravan) parks. This is due to a change in the business model which saw a new management contract, significant renovations including the installation of new cabins and camp kitchens, a rebranding strategy with a new website, new logos and marketing plan. While it is anticipated that this increased net revenue will continue, it should be noted that income from the tourist parks is sensitive to changes in the tourism market.</w:t>
            </w:r>
          </w:p>
        </w:tc>
        <w:tc>
          <w:tcPr>
            <w:tcW w:w="1276" w:type="dxa"/>
          </w:tcPr>
          <w:p w14:paraId="6B45335E" w14:textId="77777777" w:rsidR="001F515C" w:rsidRPr="00E76822" w:rsidRDefault="001F515C" w:rsidP="003F6431">
            <w:pPr>
              <w:spacing w:line="276" w:lineRule="auto"/>
              <w:jc w:val="right"/>
              <w:rPr>
                <w:rFonts w:ascii="Arial" w:hAnsi="Arial" w:cs="Arial"/>
                <w:sz w:val="20"/>
                <w:szCs w:val="20"/>
              </w:rPr>
            </w:pPr>
            <w:r w:rsidRPr="00E76822">
              <w:rPr>
                <w:rFonts w:ascii="Arial" w:hAnsi="Arial" w:cs="Arial"/>
                <w:sz w:val="20"/>
                <w:szCs w:val="20"/>
              </w:rPr>
              <w:t>$1,360,000</w:t>
            </w:r>
          </w:p>
        </w:tc>
        <w:tc>
          <w:tcPr>
            <w:tcW w:w="1276" w:type="dxa"/>
          </w:tcPr>
          <w:p w14:paraId="58D08E37" w14:textId="77777777" w:rsidR="001F515C" w:rsidRPr="00E76822" w:rsidRDefault="001F515C" w:rsidP="003F6431">
            <w:pPr>
              <w:spacing w:line="276" w:lineRule="auto"/>
              <w:jc w:val="right"/>
              <w:rPr>
                <w:rFonts w:ascii="Arial" w:hAnsi="Arial" w:cs="Arial"/>
                <w:sz w:val="20"/>
                <w:szCs w:val="20"/>
              </w:rPr>
            </w:pPr>
          </w:p>
        </w:tc>
      </w:tr>
      <w:tr w:rsidR="001F515C" w:rsidRPr="00370487" w14:paraId="7D27C597" w14:textId="77777777" w:rsidTr="003F6431">
        <w:tc>
          <w:tcPr>
            <w:tcW w:w="6345" w:type="dxa"/>
          </w:tcPr>
          <w:p w14:paraId="3A64DC7F" w14:textId="77777777" w:rsidR="001F515C" w:rsidRPr="00E76822" w:rsidRDefault="001F515C" w:rsidP="003F6431">
            <w:pPr>
              <w:spacing w:line="276" w:lineRule="auto"/>
              <w:rPr>
                <w:rFonts w:ascii="Arial" w:hAnsi="Arial" w:cs="Arial"/>
                <w:sz w:val="20"/>
                <w:szCs w:val="20"/>
              </w:rPr>
            </w:pPr>
            <w:r w:rsidRPr="00E76822">
              <w:rPr>
                <w:rFonts w:ascii="Arial" w:hAnsi="Arial" w:cs="Arial"/>
                <w:sz w:val="20"/>
                <w:szCs w:val="20"/>
              </w:rPr>
              <w:t>Retail rental income -average over 5 years. Income $1,859,244, expenditure $690,721, net income $1,168,523.</w:t>
            </w:r>
          </w:p>
        </w:tc>
        <w:tc>
          <w:tcPr>
            <w:tcW w:w="1276" w:type="dxa"/>
          </w:tcPr>
          <w:p w14:paraId="4A6BBF4A" w14:textId="77777777" w:rsidR="001F515C" w:rsidRPr="00E76822" w:rsidRDefault="001F515C" w:rsidP="003F6431">
            <w:pPr>
              <w:spacing w:line="276" w:lineRule="auto"/>
              <w:jc w:val="right"/>
              <w:rPr>
                <w:rFonts w:ascii="Arial" w:hAnsi="Arial" w:cs="Arial"/>
                <w:sz w:val="20"/>
                <w:szCs w:val="20"/>
              </w:rPr>
            </w:pPr>
            <w:r w:rsidRPr="00E76822">
              <w:rPr>
                <w:rFonts w:ascii="Arial" w:hAnsi="Arial" w:cs="Arial"/>
                <w:sz w:val="20"/>
                <w:szCs w:val="20"/>
              </w:rPr>
              <w:t>$701,112</w:t>
            </w:r>
          </w:p>
        </w:tc>
        <w:tc>
          <w:tcPr>
            <w:tcW w:w="1276" w:type="dxa"/>
          </w:tcPr>
          <w:p w14:paraId="22965AD8" w14:textId="77777777" w:rsidR="001F515C" w:rsidRPr="00E76822" w:rsidRDefault="001F515C" w:rsidP="003F6431">
            <w:pPr>
              <w:spacing w:line="276" w:lineRule="auto"/>
              <w:jc w:val="right"/>
              <w:rPr>
                <w:rFonts w:ascii="Arial" w:hAnsi="Arial" w:cs="Arial"/>
                <w:sz w:val="20"/>
                <w:szCs w:val="20"/>
              </w:rPr>
            </w:pPr>
          </w:p>
        </w:tc>
      </w:tr>
      <w:tr w:rsidR="001F515C" w:rsidRPr="00370487" w14:paraId="06B70743" w14:textId="77777777" w:rsidTr="003F6431">
        <w:tc>
          <w:tcPr>
            <w:tcW w:w="6345" w:type="dxa"/>
          </w:tcPr>
          <w:p w14:paraId="79D429BD" w14:textId="77777777" w:rsidR="001F515C" w:rsidRPr="00E76822" w:rsidRDefault="001F515C" w:rsidP="003F6431">
            <w:pPr>
              <w:spacing w:line="276" w:lineRule="auto"/>
              <w:rPr>
                <w:rFonts w:ascii="Arial" w:hAnsi="Arial" w:cs="Arial"/>
                <w:sz w:val="20"/>
                <w:szCs w:val="20"/>
              </w:rPr>
            </w:pPr>
            <w:r w:rsidRPr="00E76822">
              <w:rPr>
                <w:rFonts w:ascii="Arial" w:hAnsi="Arial" w:cs="Arial"/>
                <w:sz w:val="20"/>
                <w:szCs w:val="20"/>
              </w:rPr>
              <w:t xml:space="preserve">Other rental income - income $256,184, expenditure $106,288. </w:t>
            </w:r>
          </w:p>
        </w:tc>
        <w:tc>
          <w:tcPr>
            <w:tcW w:w="1276" w:type="dxa"/>
          </w:tcPr>
          <w:p w14:paraId="5B52297A" w14:textId="77777777" w:rsidR="001F515C" w:rsidRPr="00E76822" w:rsidRDefault="001F515C" w:rsidP="003F6431">
            <w:pPr>
              <w:spacing w:line="276" w:lineRule="auto"/>
              <w:jc w:val="right"/>
              <w:rPr>
                <w:rFonts w:ascii="Arial" w:hAnsi="Arial" w:cs="Arial"/>
                <w:sz w:val="20"/>
                <w:szCs w:val="20"/>
              </w:rPr>
            </w:pPr>
            <w:r w:rsidRPr="00E76822">
              <w:rPr>
                <w:rFonts w:ascii="Arial" w:hAnsi="Arial" w:cs="Arial"/>
                <w:sz w:val="20"/>
                <w:szCs w:val="20"/>
              </w:rPr>
              <w:t>$149,896</w:t>
            </w:r>
          </w:p>
        </w:tc>
        <w:tc>
          <w:tcPr>
            <w:tcW w:w="1276" w:type="dxa"/>
          </w:tcPr>
          <w:p w14:paraId="7A0E03DC" w14:textId="77777777" w:rsidR="001F515C" w:rsidRPr="00E76822" w:rsidRDefault="001F515C" w:rsidP="003F6431">
            <w:pPr>
              <w:spacing w:line="276" w:lineRule="auto"/>
              <w:jc w:val="right"/>
              <w:rPr>
                <w:rFonts w:ascii="Arial" w:hAnsi="Arial" w:cs="Arial"/>
                <w:sz w:val="20"/>
                <w:szCs w:val="20"/>
              </w:rPr>
            </w:pPr>
          </w:p>
        </w:tc>
      </w:tr>
      <w:tr w:rsidR="001F515C" w:rsidRPr="00370487" w14:paraId="7EE53226" w14:textId="77777777" w:rsidTr="003F6431">
        <w:tc>
          <w:tcPr>
            <w:tcW w:w="6345" w:type="dxa"/>
          </w:tcPr>
          <w:p w14:paraId="369E3DE1" w14:textId="77777777" w:rsidR="001F515C" w:rsidRPr="00E76822" w:rsidRDefault="001F515C" w:rsidP="003F6431">
            <w:pPr>
              <w:spacing w:line="276" w:lineRule="auto"/>
              <w:rPr>
                <w:rFonts w:ascii="Arial" w:hAnsi="Arial" w:cs="Arial"/>
                <w:sz w:val="20"/>
                <w:szCs w:val="20"/>
              </w:rPr>
            </w:pPr>
            <w:r w:rsidRPr="00E76822">
              <w:rPr>
                <w:rFonts w:ascii="Arial" w:hAnsi="Arial" w:cs="Arial"/>
                <w:sz w:val="20"/>
                <w:szCs w:val="20"/>
              </w:rPr>
              <w:t>Income from mobile phone towers. Income $126,581, expenditure $0.</w:t>
            </w:r>
          </w:p>
        </w:tc>
        <w:tc>
          <w:tcPr>
            <w:tcW w:w="1276" w:type="dxa"/>
          </w:tcPr>
          <w:p w14:paraId="6FB89E7A" w14:textId="77777777" w:rsidR="001F515C" w:rsidRPr="00E76822" w:rsidRDefault="001F515C" w:rsidP="003F6431">
            <w:pPr>
              <w:spacing w:line="276" w:lineRule="auto"/>
              <w:jc w:val="right"/>
              <w:rPr>
                <w:rFonts w:ascii="Arial" w:hAnsi="Arial" w:cs="Arial"/>
                <w:sz w:val="20"/>
                <w:szCs w:val="20"/>
              </w:rPr>
            </w:pPr>
            <w:r w:rsidRPr="00E76822">
              <w:rPr>
                <w:rFonts w:ascii="Arial" w:hAnsi="Arial" w:cs="Arial"/>
                <w:sz w:val="20"/>
                <w:szCs w:val="20"/>
              </w:rPr>
              <w:t>$253,162</w:t>
            </w:r>
          </w:p>
        </w:tc>
        <w:tc>
          <w:tcPr>
            <w:tcW w:w="1276" w:type="dxa"/>
          </w:tcPr>
          <w:p w14:paraId="18A4A1F0" w14:textId="77777777" w:rsidR="001F515C" w:rsidRPr="00E76822" w:rsidRDefault="001F515C" w:rsidP="003F6431">
            <w:pPr>
              <w:spacing w:line="276" w:lineRule="auto"/>
              <w:jc w:val="right"/>
              <w:rPr>
                <w:rFonts w:ascii="Arial" w:hAnsi="Arial" w:cs="Arial"/>
                <w:sz w:val="20"/>
                <w:szCs w:val="20"/>
              </w:rPr>
            </w:pPr>
          </w:p>
        </w:tc>
      </w:tr>
      <w:tr w:rsidR="001F515C" w:rsidRPr="00370487" w14:paraId="4694DE25" w14:textId="77777777" w:rsidTr="003F6431">
        <w:tc>
          <w:tcPr>
            <w:tcW w:w="6345" w:type="dxa"/>
            <w:shd w:val="clear" w:color="auto" w:fill="95B3D7" w:themeFill="accent1" w:themeFillTint="99"/>
          </w:tcPr>
          <w:p w14:paraId="39C1E453" w14:textId="77777777" w:rsidR="001F515C" w:rsidRPr="00E76822" w:rsidRDefault="001F515C" w:rsidP="003F6431">
            <w:pPr>
              <w:spacing w:line="276" w:lineRule="auto"/>
              <w:rPr>
                <w:rFonts w:ascii="Arial" w:hAnsi="Arial" w:cs="Arial"/>
                <w:b/>
                <w:sz w:val="20"/>
                <w:szCs w:val="20"/>
              </w:rPr>
            </w:pPr>
            <w:r w:rsidRPr="00E76822">
              <w:rPr>
                <w:rFonts w:ascii="Arial" w:hAnsi="Arial" w:cs="Arial"/>
                <w:b/>
                <w:sz w:val="20"/>
                <w:szCs w:val="20"/>
              </w:rPr>
              <w:t>Total Revenue 2011/12-2014/15</w:t>
            </w:r>
          </w:p>
        </w:tc>
        <w:tc>
          <w:tcPr>
            <w:tcW w:w="1276" w:type="dxa"/>
            <w:shd w:val="clear" w:color="auto" w:fill="95B3D7" w:themeFill="accent1" w:themeFillTint="99"/>
          </w:tcPr>
          <w:p w14:paraId="5E611C0B" w14:textId="77777777" w:rsidR="001F515C" w:rsidRPr="00E76822" w:rsidRDefault="001F515C" w:rsidP="003F6431">
            <w:pPr>
              <w:spacing w:line="276" w:lineRule="auto"/>
              <w:jc w:val="right"/>
              <w:rPr>
                <w:rFonts w:ascii="Arial" w:hAnsi="Arial" w:cs="Arial"/>
                <w:b/>
                <w:sz w:val="20"/>
                <w:szCs w:val="20"/>
              </w:rPr>
            </w:pPr>
          </w:p>
        </w:tc>
        <w:tc>
          <w:tcPr>
            <w:tcW w:w="1276" w:type="dxa"/>
            <w:shd w:val="clear" w:color="auto" w:fill="95B3D7" w:themeFill="accent1" w:themeFillTint="99"/>
          </w:tcPr>
          <w:p w14:paraId="4E7DAE4F" w14:textId="77777777" w:rsidR="001F515C" w:rsidRPr="00E76822" w:rsidRDefault="001F515C" w:rsidP="003F6431">
            <w:pPr>
              <w:spacing w:line="276" w:lineRule="auto"/>
              <w:jc w:val="right"/>
              <w:rPr>
                <w:rFonts w:ascii="Arial" w:hAnsi="Arial" w:cs="Arial"/>
                <w:b/>
                <w:sz w:val="20"/>
                <w:szCs w:val="20"/>
              </w:rPr>
            </w:pPr>
            <w:r w:rsidRPr="00E76822">
              <w:rPr>
                <w:rFonts w:ascii="Arial" w:hAnsi="Arial" w:cs="Arial"/>
                <w:b/>
                <w:sz w:val="20"/>
                <w:szCs w:val="20"/>
              </w:rPr>
              <w:t>$5,831,962</w:t>
            </w:r>
          </w:p>
        </w:tc>
      </w:tr>
    </w:tbl>
    <w:p w14:paraId="581B1C4A" w14:textId="77777777" w:rsidR="001F515C" w:rsidRDefault="001F515C" w:rsidP="001F515C">
      <w:pPr>
        <w:rPr>
          <w:rFonts w:ascii="Arial" w:hAnsi="Arial" w:cs="Arial"/>
        </w:rPr>
      </w:pPr>
    </w:p>
    <w:p w14:paraId="158C7597" w14:textId="12250BE4" w:rsidR="001F515C" w:rsidRPr="00057853" w:rsidRDefault="001F515C" w:rsidP="00690B39">
      <w:pPr>
        <w:pStyle w:val="Heading2"/>
      </w:pPr>
      <w:bookmarkStart w:id="110" w:name="_Toc412798934"/>
      <w:r>
        <w:t xml:space="preserve">Future </w:t>
      </w:r>
      <w:r w:rsidRPr="00057853">
        <w:t>Cost Savings, Efficiencies and Revenue Raising Initiatives</w:t>
      </w:r>
      <w:bookmarkEnd w:id="110"/>
      <w:r w:rsidRPr="00057853">
        <w:t xml:space="preserve"> </w:t>
      </w:r>
    </w:p>
    <w:p w14:paraId="3245EA31" w14:textId="77777777" w:rsidR="00690B39" w:rsidRDefault="00690B39" w:rsidP="001F515C">
      <w:pPr>
        <w:spacing w:line="360" w:lineRule="auto"/>
        <w:jc w:val="both"/>
        <w:rPr>
          <w:rFonts w:ascii="Arial" w:hAnsi="Arial" w:cs="Arial"/>
          <w:sz w:val="21"/>
          <w:szCs w:val="21"/>
        </w:rPr>
      </w:pPr>
    </w:p>
    <w:p w14:paraId="4887D209" w14:textId="2BEC1F6E" w:rsidR="001F515C" w:rsidRPr="005B5F6F" w:rsidRDefault="001F515C" w:rsidP="005B5F6F">
      <w:pPr>
        <w:spacing w:line="276" w:lineRule="auto"/>
        <w:jc w:val="both"/>
        <w:rPr>
          <w:rFonts w:ascii="Arial" w:hAnsi="Arial" w:cs="Arial"/>
          <w:sz w:val="20"/>
          <w:szCs w:val="20"/>
        </w:rPr>
      </w:pPr>
      <w:r w:rsidRPr="005B5F6F">
        <w:rPr>
          <w:rFonts w:ascii="Arial" w:hAnsi="Arial" w:cs="Arial"/>
          <w:sz w:val="20"/>
          <w:szCs w:val="20"/>
        </w:rPr>
        <w:t>Many of the savings made in the past will continue into the future and when combined with new initiatives, savings of $2</w:t>
      </w:r>
      <w:r w:rsidR="00690B39" w:rsidRPr="005B5F6F">
        <w:rPr>
          <w:rFonts w:ascii="Arial" w:hAnsi="Arial" w:cs="Arial"/>
          <w:sz w:val="20"/>
          <w:szCs w:val="20"/>
        </w:rPr>
        <w:t xml:space="preserve">0.9 </w:t>
      </w:r>
      <w:r w:rsidRPr="005B5F6F">
        <w:rPr>
          <w:rFonts w:ascii="Arial" w:hAnsi="Arial" w:cs="Arial"/>
          <w:sz w:val="20"/>
          <w:szCs w:val="20"/>
        </w:rPr>
        <w:t>m</w:t>
      </w:r>
      <w:r w:rsidR="00690B39" w:rsidRPr="005B5F6F">
        <w:rPr>
          <w:rFonts w:ascii="Arial" w:hAnsi="Arial" w:cs="Arial"/>
          <w:sz w:val="20"/>
          <w:szCs w:val="20"/>
        </w:rPr>
        <w:t>illion</w:t>
      </w:r>
      <w:r w:rsidRPr="005B5F6F">
        <w:rPr>
          <w:rFonts w:ascii="Arial" w:hAnsi="Arial" w:cs="Arial"/>
          <w:sz w:val="20"/>
          <w:szCs w:val="20"/>
        </w:rPr>
        <w:t xml:space="preserve"> are expected in the period 2015/16-18/19.  </w:t>
      </w:r>
    </w:p>
    <w:p w14:paraId="704B9A6C" w14:textId="527C4529" w:rsidR="001F515C" w:rsidRPr="00057853" w:rsidRDefault="001F515C" w:rsidP="005B5F6F">
      <w:pPr>
        <w:pStyle w:val="Heading3"/>
        <w:tabs>
          <w:tab w:val="clear" w:pos="1844"/>
          <w:tab w:val="num" w:pos="709"/>
        </w:tabs>
        <w:spacing w:line="276" w:lineRule="auto"/>
        <w:ind w:left="709"/>
      </w:pPr>
      <w:r w:rsidRPr="00057853">
        <w:t xml:space="preserve"> </w:t>
      </w:r>
      <w:r>
        <w:t>Cost Savings</w:t>
      </w:r>
      <w:r w:rsidRPr="00057853">
        <w:t xml:space="preserve"> </w:t>
      </w:r>
      <w:r>
        <w:t>- Future</w:t>
      </w:r>
      <w:r w:rsidRPr="00057853">
        <w:t xml:space="preserve"> </w:t>
      </w:r>
    </w:p>
    <w:p w14:paraId="789FD3FE" w14:textId="77777777" w:rsidR="000E0250" w:rsidRDefault="000E0250" w:rsidP="005B5F6F">
      <w:pPr>
        <w:spacing w:line="276" w:lineRule="auto"/>
        <w:jc w:val="both"/>
        <w:rPr>
          <w:rFonts w:ascii="Arial" w:hAnsi="Arial" w:cs="Arial"/>
          <w:sz w:val="21"/>
          <w:szCs w:val="21"/>
        </w:rPr>
      </w:pPr>
    </w:p>
    <w:p w14:paraId="1F700557" w14:textId="2E706F5E" w:rsidR="001F515C" w:rsidRDefault="001F515C" w:rsidP="005B5F6F">
      <w:pPr>
        <w:spacing w:line="276" w:lineRule="auto"/>
        <w:jc w:val="both"/>
        <w:rPr>
          <w:rFonts w:ascii="Arial" w:hAnsi="Arial" w:cs="Arial"/>
          <w:sz w:val="21"/>
          <w:szCs w:val="21"/>
        </w:rPr>
      </w:pPr>
      <w:r w:rsidRPr="005C4F27">
        <w:rPr>
          <w:rFonts w:ascii="Arial" w:hAnsi="Arial" w:cs="Arial"/>
          <w:sz w:val="21"/>
          <w:szCs w:val="21"/>
        </w:rPr>
        <w:t xml:space="preserve">The Council </w:t>
      </w:r>
      <w:r>
        <w:rPr>
          <w:rFonts w:ascii="Arial" w:hAnsi="Arial" w:cs="Arial"/>
          <w:sz w:val="21"/>
          <w:szCs w:val="21"/>
        </w:rPr>
        <w:t xml:space="preserve">will </w:t>
      </w:r>
      <w:r w:rsidRPr="005C4F27">
        <w:rPr>
          <w:rFonts w:ascii="Arial" w:hAnsi="Arial" w:cs="Arial"/>
          <w:sz w:val="21"/>
          <w:szCs w:val="21"/>
        </w:rPr>
        <w:t>save</w:t>
      </w:r>
      <w:r w:rsidR="00701D6E">
        <w:rPr>
          <w:rFonts w:ascii="Arial" w:hAnsi="Arial" w:cs="Arial"/>
          <w:sz w:val="21"/>
          <w:szCs w:val="21"/>
        </w:rPr>
        <w:t xml:space="preserve"> nearly $21</w:t>
      </w:r>
      <w:r w:rsidRPr="005C4F27">
        <w:rPr>
          <w:rFonts w:ascii="Arial" w:hAnsi="Arial" w:cs="Arial"/>
          <w:sz w:val="21"/>
          <w:szCs w:val="21"/>
        </w:rPr>
        <w:t xml:space="preserve"> million </w:t>
      </w:r>
      <w:r>
        <w:rPr>
          <w:rFonts w:ascii="Arial" w:hAnsi="Arial" w:cs="Arial"/>
          <w:sz w:val="21"/>
          <w:szCs w:val="21"/>
        </w:rPr>
        <w:t xml:space="preserve">in the next four years </w:t>
      </w:r>
      <w:r w:rsidRPr="005C4F27">
        <w:rPr>
          <w:rFonts w:ascii="Arial" w:hAnsi="Arial" w:cs="Arial"/>
          <w:sz w:val="21"/>
          <w:szCs w:val="21"/>
        </w:rPr>
        <w:t xml:space="preserve">as a result of the initiatives implemented in the table below. </w:t>
      </w:r>
    </w:p>
    <w:p w14:paraId="2789A7DC" w14:textId="77777777" w:rsidR="001F515C" w:rsidRDefault="001F515C" w:rsidP="001F515C">
      <w:pPr>
        <w:spacing w:line="360" w:lineRule="auto"/>
        <w:jc w:val="both"/>
        <w:rPr>
          <w:rFonts w:ascii="Arial" w:hAnsi="Arial" w:cs="Arial"/>
          <w:sz w:val="21"/>
          <w:szCs w:val="21"/>
        </w:rPr>
      </w:pPr>
    </w:p>
    <w:p w14:paraId="66F960D0" w14:textId="4679BEC1" w:rsidR="001F515C" w:rsidRPr="005B5F6F" w:rsidRDefault="001F515C" w:rsidP="001F515C">
      <w:pPr>
        <w:spacing w:line="360" w:lineRule="auto"/>
        <w:jc w:val="both"/>
        <w:rPr>
          <w:rFonts w:ascii="Arial" w:hAnsi="Arial" w:cs="Arial"/>
          <w:b/>
          <w:sz w:val="18"/>
          <w:szCs w:val="18"/>
        </w:rPr>
      </w:pPr>
      <w:r w:rsidRPr="005B5F6F">
        <w:rPr>
          <w:rFonts w:ascii="Arial" w:hAnsi="Arial" w:cs="Arial"/>
          <w:b/>
          <w:sz w:val="18"/>
          <w:szCs w:val="18"/>
        </w:rPr>
        <w:t>Table 7.5</w:t>
      </w:r>
      <w:r w:rsidR="00690B39" w:rsidRPr="005B5F6F">
        <w:rPr>
          <w:rFonts w:ascii="Arial" w:hAnsi="Arial" w:cs="Arial"/>
          <w:b/>
          <w:sz w:val="18"/>
          <w:szCs w:val="18"/>
        </w:rPr>
        <w:t>:</w:t>
      </w:r>
      <w:r w:rsidRPr="005B5F6F">
        <w:rPr>
          <w:rFonts w:ascii="Arial" w:hAnsi="Arial" w:cs="Arial"/>
          <w:b/>
          <w:sz w:val="18"/>
          <w:szCs w:val="18"/>
        </w:rPr>
        <w:t xml:space="preserve"> Cost Savings 2015/16-2018/19</w:t>
      </w:r>
    </w:p>
    <w:tbl>
      <w:tblPr>
        <w:tblStyle w:val="TableGrid"/>
        <w:tblW w:w="9180" w:type="dxa"/>
        <w:tblLayout w:type="fixed"/>
        <w:tblLook w:val="04A0" w:firstRow="1" w:lastRow="0" w:firstColumn="1" w:lastColumn="0" w:noHBand="0" w:noVBand="1"/>
      </w:tblPr>
      <w:tblGrid>
        <w:gridCol w:w="6062"/>
        <w:gridCol w:w="1559"/>
        <w:gridCol w:w="1559"/>
      </w:tblGrid>
      <w:tr w:rsidR="001F515C" w:rsidRPr="00370487" w14:paraId="3C7E2D6E" w14:textId="77777777" w:rsidTr="00A27A01">
        <w:trPr>
          <w:cantSplit/>
          <w:tblHeader/>
        </w:trPr>
        <w:tc>
          <w:tcPr>
            <w:tcW w:w="6062" w:type="dxa"/>
            <w:shd w:val="clear" w:color="auto" w:fill="4F81BD" w:themeFill="accent1"/>
            <w:vAlign w:val="center"/>
          </w:tcPr>
          <w:p w14:paraId="0803E6C1" w14:textId="6AD01716" w:rsidR="001F515C" w:rsidRPr="00A27A01" w:rsidRDefault="00A27A01" w:rsidP="003F6431">
            <w:pPr>
              <w:jc w:val="center"/>
              <w:rPr>
                <w:rFonts w:ascii="Arial" w:hAnsi="Arial" w:cs="Arial"/>
                <w:b/>
                <w:color w:val="FFFFFF" w:themeColor="background1"/>
                <w:sz w:val="20"/>
                <w:szCs w:val="20"/>
              </w:rPr>
            </w:pPr>
            <w:r w:rsidRPr="00A27A01">
              <w:rPr>
                <w:rFonts w:ascii="Arial" w:hAnsi="Arial" w:cs="Arial"/>
                <w:b/>
                <w:color w:val="FFFFFF" w:themeColor="background1"/>
                <w:sz w:val="20"/>
                <w:szCs w:val="20"/>
              </w:rPr>
              <w:t>Savings 2015/16-2018/19</w:t>
            </w:r>
          </w:p>
          <w:p w14:paraId="18B82FC4" w14:textId="684E3268" w:rsidR="001F515C" w:rsidRPr="00A27A01" w:rsidRDefault="00A27A01" w:rsidP="003F6431">
            <w:pPr>
              <w:jc w:val="center"/>
              <w:rPr>
                <w:rFonts w:ascii="Arial" w:hAnsi="Arial" w:cs="Arial"/>
                <w:b/>
                <w:color w:val="FFFFFF" w:themeColor="background1"/>
                <w:sz w:val="20"/>
                <w:szCs w:val="20"/>
              </w:rPr>
            </w:pPr>
            <w:r w:rsidRPr="00A27A01">
              <w:rPr>
                <w:rFonts w:ascii="Arial" w:hAnsi="Arial" w:cs="Arial"/>
                <w:b/>
                <w:color w:val="FFFFFF" w:themeColor="background1"/>
                <w:sz w:val="20"/>
                <w:szCs w:val="20"/>
              </w:rPr>
              <w:t>Area / Item</w:t>
            </w:r>
          </w:p>
        </w:tc>
        <w:tc>
          <w:tcPr>
            <w:tcW w:w="1559" w:type="dxa"/>
            <w:shd w:val="clear" w:color="auto" w:fill="4F81BD" w:themeFill="accent1"/>
            <w:vAlign w:val="center"/>
          </w:tcPr>
          <w:p w14:paraId="6D0D27C6" w14:textId="1F3BCCA8" w:rsidR="001F515C" w:rsidRPr="00A27A01" w:rsidRDefault="00A27A01" w:rsidP="009E5144">
            <w:pPr>
              <w:jc w:val="center"/>
              <w:rPr>
                <w:rFonts w:ascii="Arial" w:hAnsi="Arial" w:cs="Arial"/>
                <w:b/>
                <w:color w:val="FFFFFF" w:themeColor="background1"/>
                <w:sz w:val="20"/>
                <w:szCs w:val="20"/>
              </w:rPr>
            </w:pPr>
            <w:r w:rsidRPr="00A27A01">
              <w:rPr>
                <w:rFonts w:ascii="Arial" w:hAnsi="Arial" w:cs="Arial"/>
                <w:b/>
                <w:color w:val="FFFFFF" w:themeColor="background1"/>
                <w:sz w:val="20"/>
                <w:szCs w:val="20"/>
              </w:rPr>
              <w:t>Amount</w:t>
            </w:r>
          </w:p>
        </w:tc>
        <w:tc>
          <w:tcPr>
            <w:tcW w:w="1559" w:type="dxa"/>
            <w:shd w:val="clear" w:color="auto" w:fill="4F81BD" w:themeFill="accent1"/>
            <w:vAlign w:val="center"/>
          </w:tcPr>
          <w:p w14:paraId="2CBBD243" w14:textId="7A49E375" w:rsidR="00EE4B65" w:rsidRPr="00917CC1" w:rsidRDefault="00A27A01" w:rsidP="009E5144">
            <w:pPr>
              <w:jc w:val="center"/>
              <w:rPr>
                <w:rFonts w:ascii="Arial" w:hAnsi="Arial" w:cs="Arial"/>
                <w:b/>
                <w:sz w:val="20"/>
                <w:szCs w:val="20"/>
              </w:rPr>
            </w:pPr>
            <w:r w:rsidRPr="00A27A01">
              <w:rPr>
                <w:rFonts w:ascii="Arial" w:hAnsi="Arial" w:cs="Arial"/>
                <w:b/>
                <w:color w:val="FFFFFF" w:themeColor="background1"/>
                <w:sz w:val="20"/>
                <w:szCs w:val="20"/>
              </w:rPr>
              <w:t>Total Over 4 Years</w:t>
            </w:r>
          </w:p>
        </w:tc>
      </w:tr>
      <w:tr w:rsidR="001F515C" w:rsidRPr="00370487" w14:paraId="2FA6F079" w14:textId="77777777" w:rsidTr="003F6431">
        <w:trPr>
          <w:cantSplit/>
        </w:trPr>
        <w:tc>
          <w:tcPr>
            <w:tcW w:w="7621" w:type="dxa"/>
            <w:gridSpan w:val="2"/>
            <w:shd w:val="clear" w:color="auto" w:fill="DBE5F1" w:themeFill="accent1" w:themeFillTint="33"/>
          </w:tcPr>
          <w:p w14:paraId="4FA1ADAD" w14:textId="77777777" w:rsidR="001F515C" w:rsidRPr="00917CC1" w:rsidRDefault="001F515C" w:rsidP="003F6431">
            <w:pPr>
              <w:rPr>
                <w:rFonts w:ascii="Arial" w:hAnsi="Arial" w:cs="Arial"/>
                <w:b/>
                <w:color w:val="404040"/>
                <w:sz w:val="20"/>
                <w:szCs w:val="20"/>
              </w:rPr>
            </w:pPr>
            <w:r w:rsidRPr="00917CC1">
              <w:rPr>
                <w:rFonts w:ascii="Arial" w:hAnsi="Arial" w:cs="Arial"/>
                <w:b/>
                <w:sz w:val="20"/>
                <w:szCs w:val="20"/>
              </w:rPr>
              <w:t>Auditing</w:t>
            </w:r>
          </w:p>
        </w:tc>
        <w:tc>
          <w:tcPr>
            <w:tcW w:w="1559" w:type="dxa"/>
            <w:shd w:val="clear" w:color="auto" w:fill="DBE5F1" w:themeFill="accent1" w:themeFillTint="33"/>
          </w:tcPr>
          <w:p w14:paraId="0890A217" w14:textId="77777777" w:rsidR="001F515C" w:rsidRPr="00917CC1" w:rsidRDefault="001F515C" w:rsidP="003F6431">
            <w:pPr>
              <w:jc w:val="right"/>
              <w:rPr>
                <w:rFonts w:ascii="Arial" w:hAnsi="Arial" w:cs="Arial"/>
                <w:b/>
                <w:color w:val="404040"/>
                <w:sz w:val="20"/>
                <w:szCs w:val="20"/>
              </w:rPr>
            </w:pPr>
            <w:r w:rsidRPr="00917CC1">
              <w:rPr>
                <w:rFonts w:ascii="Arial" w:hAnsi="Arial" w:cs="Arial"/>
                <w:b/>
                <w:color w:val="404040"/>
                <w:sz w:val="20"/>
                <w:szCs w:val="20"/>
              </w:rPr>
              <w:t>$520,000</w:t>
            </w:r>
          </w:p>
        </w:tc>
      </w:tr>
      <w:tr w:rsidR="001F515C" w:rsidRPr="00370487" w14:paraId="46ED67F3" w14:textId="77777777" w:rsidTr="003F6431">
        <w:trPr>
          <w:cantSplit/>
        </w:trPr>
        <w:tc>
          <w:tcPr>
            <w:tcW w:w="6062" w:type="dxa"/>
          </w:tcPr>
          <w:p w14:paraId="32641A90" w14:textId="00CD7E19" w:rsidR="001F515C" w:rsidRPr="00E76822" w:rsidRDefault="001F515C" w:rsidP="003F6431">
            <w:pPr>
              <w:rPr>
                <w:rFonts w:ascii="Arial" w:hAnsi="Arial" w:cs="Arial"/>
                <w:sz w:val="20"/>
                <w:szCs w:val="20"/>
              </w:rPr>
            </w:pPr>
            <w:r w:rsidRPr="00E76822">
              <w:rPr>
                <w:rFonts w:ascii="Arial" w:hAnsi="Arial" w:cs="Arial"/>
                <w:color w:val="404040"/>
                <w:sz w:val="20"/>
                <w:szCs w:val="20"/>
              </w:rPr>
              <w:t>Implementation of a formal review of every major development application and auditing of technical assessments. This increased the quality and improved the turnaround times of development applications. This led to a reduction in Land and Environment Court challenges and subsequent costs</w:t>
            </w:r>
            <w:r w:rsidR="00540AAD">
              <w:rPr>
                <w:rFonts w:ascii="Arial" w:hAnsi="Arial" w:cs="Arial"/>
                <w:color w:val="404040"/>
                <w:sz w:val="20"/>
                <w:szCs w:val="20"/>
              </w:rPr>
              <w:t xml:space="preserve"> of $100,000 per annum.</w:t>
            </w:r>
          </w:p>
        </w:tc>
        <w:tc>
          <w:tcPr>
            <w:tcW w:w="1559" w:type="dxa"/>
          </w:tcPr>
          <w:p w14:paraId="455BE087"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$440,000</w:t>
            </w:r>
          </w:p>
        </w:tc>
        <w:tc>
          <w:tcPr>
            <w:tcW w:w="1559" w:type="dxa"/>
          </w:tcPr>
          <w:p w14:paraId="70C16931" w14:textId="77777777" w:rsidR="001F515C" w:rsidRPr="00E76822" w:rsidRDefault="001F515C" w:rsidP="003F6431">
            <w:pPr>
              <w:jc w:val="right"/>
              <w:rPr>
                <w:rFonts w:ascii="Arial" w:hAnsi="Arial" w:cs="Arial"/>
                <w:color w:val="404040"/>
                <w:sz w:val="20"/>
                <w:szCs w:val="20"/>
              </w:rPr>
            </w:pPr>
          </w:p>
        </w:tc>
      </w:tr>
      <w:tr w:rsidR="001F515C" w:rsidRPr="00370487" w14:paraId="07965CD5" w14:textId="77777777" w:rsidTr="003F6431">
        <w:trPr>
          <w:cantSplit/>
        </w:trPr>
        <w:tc>
          <w:tcPr>
            <w:tcW w:w="6062" w:type="dxa"/>
          </w:tcPr>
          <w:p w14:paraId="1CB9A561"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Implementation of a strategy to issue a Penalty Infringement Notice rather than prosecution through the local court as a means of containing costs.</w:t>
            </w:r>
          </w:p>
        </w:tc>
        <w:tc>
          <w:tcPr>
            <w:tcW w:w="1559" w:type="dxa"/>
          </w:tcPr>
          <w:p w14:paraId="190A3463"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$80,000</w:t>
            </w:r>
          </w:p>
        </w:tc>
        <w:tc>
          <w:tcPr>
            <w:tcW w:w="1559" w:type="dxa"/>
          </w:tcPr>
          <w:p w14:paraId="37886BA5" w14:textId="77777777" w:rsidR="001F515C" w:rsidRPr="00E76822" w:rsidRDefault="001F515C" w:rsidP="003F6431">
            <w:pPr>
              <w:jc w:val="right"/>
              <w:rPr>
                <w:rFonts w:ascii="Arial" w:hAnsi="Arial" w:cs="Arial"/>
                <w:color w:val="404040"/>
                <w:sz w:val="20"/>
                <w:szCs w:val="20"/>
              </w:rPr>
            </w:pPr>
          </w:p>
        </w:tc>
      </w:tr>
      <w:tr w:rsidR="001F515C" w:rsidRPr="00370487" w14:paraId="3A49EE19" w14:textId="77777777" w:rsidTr="003F6431">
        <w:trPr>
          <w:cantSplit/>
        </w:trPr>
        <w:tc>
          <w:tcPr>
            <w:tcW w:w="7621" w:type="dxa"/>
            <w:gridSpan w:val="2"/>
            <w:shd w:val="clear" w:color="auto" w:fill="DBE5F1" w:themeFill="accent1" w:themeFillTint="33"/>
          </w:tcPr>
          <w:p w14:paraId="2E73FA39" w14:textId="77777777" w:rsidR="001F515C" w:rsidRPr="00917CC1" w:rsidRDefault="001F515C" w:rsidP="003F6431">
            <w:pPr>
              <w:rPr>
                <w:rFonts w:ascii="Arial" w:hAnsi="Arial" w:cs="Arial"/>
                <w:b/>
                <w:color w:val="404040"/>
                <w:sz w:val="20"/>
                <w:szCs w:val="20"/>
              </w:rPr>
            </w:pPr>
            <w:r w:rsidRPr="00917CC1">
              <w:rPr>
                <w:rFonts w:ascii="Arial" w:hAnsi="Arial" w:cs="Arial"/>
                <w:b/>
                <w:sz w:val="20"/>
                <w:szCs w:val="20"/>
              </w:rPr>
              <w:t>Business / Process Improvements</w:t>
            </w:r>
          </w:p>
        </w:tc>
        <w:tc>
          <w:tcPr>
            <w:tcW w:w="1559" w:type="dxa"/>
            <w:shd w:val="clear" w:color="auto" w:fill="DBE5F1" w:themeFill="accent1" w:themeFillTint="33"/>
          </w:tcPr>
          <w:p w14:paraId="325321F1" w14:textId="77777777" w:rsidR="001F515C" w:rsidRPr="00917CC1" w:rsidRDefault="001F515C" w:rsidP="003F6431">
            <w:pPr>
              <w:jc w:val="right"/>
              <w:rPr>
                <w:rFonts w:ascii="Arial" w:hAnsi="Arial" w:cs="Arial"/>
                <w:b/>
                <w:color w:val="404040"/>
                <w:sz w:val="20"/>
                <w:szCs w:val="20"/>
              </w:rPr>
            </w:pPr>
            <w:r w:rsidRPr="00917CC1">
              <w:rPr>
                <w:rFonts w:ascii="Arial" w:hAnsi="Arial" w:cs="Arial"/>
                <w:b/>
                <w:color w:val="404040"/>
                <w:sz w:val="20"/>
                <w:szCs w:val="20"/>
              </w:rPr>
              <w:t>$2,740,917</w:t>
            </w:r>
          </w:p>
        </w:tc>
      </w:tr>
      <w:tr w:rsidR="001F515C" w:rsidRPr="00370487" w14:paraId="69C26557" w14:textId="77777777" w:rsidTr="003F6431">
        <w:trPr>
          <w:cantSplit/>
        </w:trPr>
        <w:tc>
          <w:tcPr>
            <w:tcW w:w="6062" w:type="dxa"/>
          </w:tcPr>
          <w:p w14:paraId="413FFCDD"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The phasing out of borrowing money for asset renewal reduced debt and led to savings in interest repayments. $356,689 in 2015-16, $528,653 in 2016-2017, $695,905 in 2017-2018, $858,070 in 2018-2019</w:t>
            </w:r>
          </w:p>
        </w:tc>
        <w:tc>
          <w:tcPr>
            <w:tcW w:w="1559" w:type="dxa"/>
          </w:tcPr>
          <w:p w14:paraId="4ED48493"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$2,439,317</w:t>
            </w:r>
          </w:p>
        </w:tc>
        <w:tc>
          <w:tcPr>
            <w:tcW w:w="1559" w:type="dxa"/>
          </w:tcPr>
          <w:p w14:paraId="49EED085" w14:textId="77777777" w:rsidR="001F515C" w:rsidRPr="00E76822" w:rsidRDefault="001F515C" w:rsidP="003F6431">
            <w:pPr>
              <w:jc w:val="right"/>
              <w:rPr>
                <w:rFonts w:ascii="Arial" w:hAnsi="Arial" w:cs="Arial"/>
                <w:color w:val="404040"/>
                <w:sz w:val="20"/>
                <w:szCs w:val="20"/>
              </w:rPr>
            </w:pPr>
          </w:p>
        </w:tc>
      </w:tr>
      <w:tr w:rsidR="001F515C" w:rsidRPr="00370487" w14:paraId="110A704D" w14:textId="77777777" w:rsidTr="003F6431">
        <w:trPr>
          <w:cantSplit/>
        </w:trPr>
        <w:tc>
          <w:tcPr>
            <w:tcW w:w="6062" w:type="dxa"/>
          </w:tcPr>
          <w:p w14:paraId="61B6B171"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Locker contract expiry, investigations and compromise to service levels resulted in a $30,000 recurrent saving</w:t>
            </w:r>
          </w:p>
        </w:tc>
        <w:tc>
          <w:tcPr>
            <w:tcW w:w="1559" w:type="dxa"/>
          </w:tcPr>
          <w:p w14:paraId="38C2190A"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$120,000</w:t>
            </w:r>
          </w:p>
        </w:tc>
        <w:tc>
          <w:tcPr>
            <w:tcW w:w="1559" w:type="dxa"/>
          </w:tcPr>
          <w:p w14:paraId="09475812" w14:textId="77777777" w:rsidR="001F515C" w:rsidRPr="00E76822" w:rsidRDefault="001F515C" w:rsidP="003F6431">
            <w:pPr>
              <w:jc w:val="right"/>
              <w:rPr>
                <w:rFonts w:ascii="Arial" w:hAnsi="Arial" w:cs="Arial"/>
                <w:color w:val="404040"/>
                <w:sz w:val="20"/>
                <w:szCs w:val="20"/>
              </w:rPr>
            </w:pPr>
          </w:p>
        </w:tc>
      </w:tr>
      <w:tr w:rsidR="001F515C" w:rsidRPr="00370487" w14:paraId="296BF200" w14:textId="77777777" w:rsidTr="003F6431">
        <w:trPr>
          <w:cantSplit/>
        </w:trPr>
        <w:tc>
          <w:tcPr>
            <w:tcW w:w="6062" w:type="dxa"/>
          </w:tcPr>
          <w:p w14:paraId="5882F191"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Re-programming of group fitness sessions at Katoomba Sports and Aquatic Centre to save $12,000</w:t>
            </w:r>
          </w:p>
        </w:tc>
        <w:tc>
          <w:tcPr>
            <w:tcW w:w="1559" w:type="dxa"/>
          </w:tcPr>
          <w:p w14:paraId="327A3F56"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$48,000</w:t>
            </w:r>
          </w:p>
        </w:tc>
        <w:tc>
          <w:tcPr>
            <w:tcW w:w="1559" w:type="dxa"/>
          </w:tcPr>
          <w:p w14:paraId="16DCA328" w14:textId="77777777" w:rsidR="001F515C" w:rsidRPr="00E76822" w:rsidRDefault="001F515C" w:rsidP="003F6431">
            <w:pPr>
              <w:jc w:val="right"/>
              <w:rPr>
                <w:rFonts w:ascii="Arial" w:hAnsi="Arial" w:cs="Arial"/>
                <w:color w:val="404040"/>
                <w:sz w:val="20"/>
                <w:szCs w:val="20"/>
              </w:rPr>
            </w:pPr>
          </w:p>
        </w:tc>
      </w:tr>
      <w:tr w:rsidR="001F515C" w:rsidRPr="00370487" w14:paraId="48D24B9C" w14:textId="77777777" w:rsidTr="003F6431">
        <w:trPr>
          <w:cantSplit/>
        </w:trPr>
        <w:tc>
          <w:tcPr>
            <w:tcW w:w="6062" w:type="dxa"/>
          </w:tcPr>
          <w:p w14:paraId="2D2FB3E1"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Changes to customer service desk rosters at Springwood Aquatic and Fitness Centre resulting in $10,000 saving.</w:t>
            </w:r>
          </w:p>
        </w:tc>
        <w:tc>
          <w:tcPr>
            <w:tcW w:w="1559" w:type="dxa"/>
          </w:tcPr>
          <w:p w14:paraId="1A149C54"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$40,000</w:t>
            </w:r>
          </w:p>
        </w:tc>
        <w:tc>
          <w:tcPr>
            <w:tcW w:w="1559" w:type="dxa"/>
          </w:tcPr>
          <w:p w14:paraId="23BDF0F9" w14:textId="77777777" w:rsidR="001F515C" w:rsidRPr="00E76822" w:rsidRDefault="001F515C" w:rsidP="003F6431">
            <w:pPr>
              <w:jc w:val="right"/>
              <w:rPr>
                <w:rFonts w:ascii="Arial" w:hAnsi="Arial" w:cs="Arial"/>
                <w:color w:val="404040"/>
                <w:sz w:val="20"/>
                <w:szCs w:val="20"/>
              </w:rPr>
            </w:pPr>
          </w:p>
        </w:tc>
      </w:tr>
      <w:tr w:rsidR="001F515C" w:rsidRPr="00370487" w14:paraId="32BFB66C" w14:textId="77777777" w:rsidTr="003F6431">
        <w:trPr>
          <w:cantSplit/>
        </w:trPr>
        <w:tc>
          <w:tcPr>
            <w:tcW w:w="6062" w:type="dxa"/>
          </w:tcPr>
          <w:p w14:paraId="46AB80A1"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Development of Standard Contracts to avoid repeat legal costs</w:t>
            </w:r>
          </w:p>
        </w:tc>
        <w:tc>
          <w:tcPr>
            <w:tcW w:w="1559" w:type="dxa"/>
          </w:tcPr>
          <w:p w14:paraId="3C727BFA"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$40,000</w:t>
            </w:r>
          </w:p>
        </w:tc>
        <w:tc>
          <w:tcPr>
            <w:tcW w:w="1559" w:type="dxa"/>
          </w:tcPr>
          <w:p w14:paraId="0F0AF758" w14:textId="77777777" w:rsidR="001F515C" w:rsidRPr="00E76822" w:rsidRDefault="001F515C" w:rsidP="003F6431">
            <w:pPr>
              <w:jc w:val="right"/>
              <w:rPr>
                <w:rFonts w:ascii="Arial" w:hAnsi="Arial" w:cs="Arial"/>
                <w:color w:val="404040"/>
                <w:sz w:val="20"/>
                <w:szCs w:val="20"/>
              </w:rPr>
            </w:pPr>
          </w:p>
        </w:tc>
      </w:tr>
      <w:tr w:rsidR="001F515C" w:rsidRPr="00370487" w14:paraId="27D49DCB" w14:textId="77777777" w:rsidTr="003F6431">
        <w:trPr>
          <w:cantSplit/>
        </w:trPr>
        <w:tc>
          <w:tcPr>
            <w:tcW w:w="6062" w:type="dxa"/>
          </w:tcPr>
          <w:p w14:paraId="7FC623B3"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Reduction in child-minding to match reduced customer demand $8000 recurrent saving.</w:t>
            </w:r>
          </w:p>
        </w:tc>
        <w:tc>
          <w:tcPr>
            <w:tcW w:w="1559" w:type="dxa"/>
          </w:tcPr>
          <w:p w14:paraId="6F547B64"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$32,000</w:t>
            </w:r>
          </w:p>
        </w:tc>
        <w:tc>
          <w:tcPr>
            <w:tcW w:w="1559" w:type="dxa"/>
          </w:tcPr>
          <w:p w14:paraId="170EA4CA" w14:textId="77777777" w:rsidR="001F515C" w:rsidRPr="00E76822" w:rsidRDefault="001F515C" w:rsidP="003F6431">
            <w:pPr>
              <w:jc w:val="right"/>
              <w:rPr>
                <w:rFonts w:ascii="Arial" w:hAnsi="Arial" w:cs="Arial"/>
                <w:color w:val="404040"/>
                <w:sz w:val="20"/>
                <w:szCs w:val="20"/>
              </w:rPr>
            </w:pPr>
          </w:p>
        </w:tc>
      </w:tr>
      <w:tr w:rsidR="001F515C" w:rsidRPr="00370487" w14:paraId="2D05F3B4" w14:textId="77777777" w:rsidTr="003F6431">
        <w:trPr>
          <w:cantSplit/>
        </w:trPr>
        <w:tc>
          <w:tcPr>
            <w:tcW w:w="6062" w:type="dxa"/>
          </w:tcPr>
          <w:p w14:paraId="22B6485E"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Replacement of Echo Point ticket parking machines is expected to result in a reduced maintenance burden for the Rangers Team</w:t>
            </w:r>
          </w:p>
        </w:tc>
        <w:tc>
          <w:tcPr>
            <w:tcW w:w="1559" w:type="dxa"/>
          </w:tcPr>
          <w:p w14:paraId="46030CE6"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$21,600</w:t>
            </w:r>
          </w:p>
        </w:tc>
        <w:tc>
          <w:tcPr>
            <w:tcW w:w="1559" w:type="dxa"/>
          </w:tcPr>
          <w:p w14:paraId="7E12A9B8" w14:textId="77777777" w:rsidR="001F515C" w:rsidRPr="00E76822" w:rsidRDefault="001F515C" w:rsidP="003F6431">
            <w:pPr>
              <w:jc w:val="right"/>
              <w:rPr>
                <w:rFonts w:ascii="Arial" w:hAnsi="Arial" w:cs="Arial"/>
                <w:color w:val="404040"/>
                <w:sz w:val="20"/>
                <w:szCs w:val="20"/>
              </w:rPr>
            </w:pPr>
          </w:p>
        </w:tc>
      </w:tr>
      <w:tr w:rsidR="001F515C" w:rsidRPr="00370487" w14:paraId="11F4B1F8" w14:textId="77777777" w:rsidTr="003F6431">
        <w:trPr>
          <w:cantSplit/>
        </w:trPr>
        <w:tc>
          <w:tcPr>
            <w:tcW w:w="7621" w:type="dxa"/>
            <w:gridSpan w:val="2"/>
            <w:shd w:val="clear" w:color="auto" w:fill="DBE5F1" w:themeFill="accent1" w:themeFillTint="33"/>
          </w:tcPr>
          <w:p w14:paraId="5862FD9B" w14:textId="77777777" w:rsidR="001F515C" w:rsidRPr="00917CC1" w:rsidRDefault="001F515C" w:rsidP="003F6431">
            <w:pPr>
              <w:rPr>
                <w:rFonts w:ascii="Arial" w:hAnsi="Arial" w:cs="Arial"/>
                <w:b/>
                <w:color w:val="404040"/>
                <w:sz w:val="20"/>
                <w:szCs w:val="20"/>
              </w:rPr>
            </w:pPr>
            <w:r w:rsidRPr="00917CC1">
              <w:rPr>
                <w:rFonts w:ascii="Arial" w:hAnsi="Arial" w:cs="Arial"/>
                <w:b/>
                <w:sz w:val="20"/>
                <w:szCs w:val="20"/>
              </w:rPr>
              <w:t>Consultancy Costs</w:t>
            </w:r>
          </w:p>
        </w:tc>
        <w:tc>
          <w:tcPr>
            <w:tcW w:w="1559" w:type="dxa"/>
            <w:shd w:val="clear" w:color="auto" w:fill="DBE5F1" w:themeFill="accent1" w:themeFillTint="33"/>
          </w:tcPr>
          <w:p w14:paraId="68A80C81" w14:textId="77777777" w:rsidR="001F515C" w:rsidRPr="00917CC1" w:rsidRDefault="001F515C" w:rsidP="003F6431">
            <w:pPr>
              <w:jc w:val="right"/>
              <w:rPr>
                <w:rFonts w:ascii="Arial" w:hAnsi="Arial" w:cs="Arial"/>
                <w:b/>
                <w:color w:val="404040"/>
                <w:sz w:val="20"/>
                <w:szCs w:val="20"/>
              </w:rPr>
            </w:pPr>
            <w:r w:rsidRPr="00917CC1">
              <w:rPr>
                <w:rFonts w:ascii="Arial" w:hAnsi="Arial" w:cs="Arial"/>
                <w:b/>
                <w:color w:val="404040"/>
                <w:sz w:val="20"/>
                <w:szCs w:val="20"/>
              </w:rPr>
              <w:t>$660,000</w:t>
            </w:r>
          </w:p>
        </w:tc>
      </w:tr>
      <w:tr w:rsidR="001F515C" w:rsidRPr="00370487" w14:paraId="4E83ACE0" w14:textId="77777777" w:rsidTr="003F6431">
        <w:trPr>
          <w:cantSplit/>
        </w:trPr>
        <w:tc>
          <w:tcPr>
            <w:tcW w:w="6062" w:type="dxa"/>
          </w:tcPr>
          <w:p w14:paraId="735C294B"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Reduced consultancy costs from using internal resources for Local Environment Plan development.</w:t>
            </w:r>
          </w:p>
        </w:tc>
        <w:tc>
          <w:tcPr>
            <w:tcW w:w="1559" w:type="dxa"/>
          </w:tcPr>
          <w:p w14:paraId="31A916E9"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$400,000</w:t>
            </w:r>
          </w:p>
        </w:tc>
        <w:tc>
          <w:tcPr>
            <w:tcW w:w="1559" w:type="dxa"/>
          </w:tcPr>
          <w:p w14:paraId="3EE0BB71" w14:textId="77777777" w:rsidR="001F515C" w:rsidRPr="00E76822" w:rsidRDefault="001F515C" w:rsidP="003F6431">
            <w:pPr>
              <w:jc w:val="right"/>
              <w:rPr>
                <w:rFonts w:ascii="Arial" w:hAnsi="Arial" w:cs="Arial"/>
                <w:color w:val="404040"/>
                <w:sz w:val="20"/>
                <w:szCs w:val="20"/>
              </w:rPr>
            </w:pPr>
          </w:p>
        </w:tc>
      </w:tr>
      <w:tr w:rsidR="001F515C" w:rsidRPr="00370487" w14:paraId="38FE8099" w14:textId="77777777" w:rsidTr="003F6431">
        <w:trPr>
          <w:cantSplit/>
        </w:trPr>
        <w:tc>
          <w:tcPr>
            <w:tcW w:w="6062" w:type="dxa"/>
          </w:tcPr>
          <w:p w14:paraId="2C8BEA83" w14:textId="1B534326" w:rsidR="001F515C" w:rsidRPr="00E76822" w:rsidRDefault="001F515C" w:rsidP="004436FA">
            <w:pPr>
              <w:rPr>
                <w:rFonts w:ascii="Arial" w:hAnsi="Arial" w:cs="Arial"/>
                <w:sz w:val="20"/>
                <w:szCs w:val="20"/>
              </w:rPr>
            </w:pPr>
            <w:r w:rsidRPr="00E76822">
              <w:rPr>
                <w:rFonts w:ascii="Arial" w:hAnsi="Arial" w:cs="Arial"/>
                <w:color w:val="404040"/>
                <w:sz w:val="20"/>
                <w:szCs w:val="20"/>
              </w:rPr>
              <w:t xml:space="preserve">Reduced reliance on </w:t>
            </w:r>
            <w:r w:rsidR="004436FA">
              <w:rPr>
                <w:rFonts w:ascii="Arial" w:hAnsi="Arial" w:cs="Arial"/>
                <w:color w:val="404040"/>
                <w:sz w:val="20"/>
                <w:szCs w:val="20"/>
              </w:rPr>
              <w:t>external r</w:t>
            </w:r>
            <w:r w:rsidRPr="00E76822">
              <w:rPr>
                <w:rFonts w:ascii="Arial" w:hAnsi="Arial" w:cs="Arial"/>
                <w:color w:val="404040"/>
                <w:sz w:val="20"/>
                <w:szCs w:val="20"/>
              </w:rPr>
              <w:t xml:space="preserve">ecruitment </w:t>
            </w:r>
            <w:r w:rsidR="004436FA">
              <w:rPr>
                <w:rFonts w:ascii="Arial" w:hAnsi="Arial" w:cs="Arial"/>
                <w:color w:val="404040"/>
                <w:sz w:val="20"/>
                <w:szCs w:val="20"/>
              </w:rPr>
              <w:t>c</w:t>
            </w:r>
            <w:r w:rsidRPr="00E76822">
              <w:rPr>
                <w:rFonts w:ascii="Arial" w:hAnsi="Arial" w:cs="Arial"/>
                <w:color w:val="404040"/>
                <w:sz w:val="20"/>
                <w:szCs w:val="20"/>
              </w:rPr>
              <w:t>onsultants</w:t>
            </w:r>
            <w:r w:rsidR="004436FA">
              <w:rPr>
                <w:rFonts w:ascii="Arial" w:hAnsi="Arial" w:cs="Arial"/>
                <w:color w:val="404040"/>
                <w:sz w:val="20"/>
                <w:szCs w:val="20"/>
              </w:rPr>
              <w:t xml:space="preserve"> relative to appointment of senior staff</w:t>
            </w:r>
            <w:r w:rsidRPr="00E76822">
              <w:rPr>
                <w:rFonts w:ascii="Arial" w:hAnsi="Arial" w:cs="Arial"/>
                <w:color w:val="404040"/>
                <w:sz w:val="20"/>
                <w:szCs w:val="20"/>
              </w:rPr>
              <w:t>. To date the in-house recruitment of 10 Manager/Senior Manager positions has led to a 15% saving</w:t>
            </w:r>
          </w:p>
        </w:tc>
        <w:tc>
          <w:tcPr>
            <w:tcW w:w="1559" w:type="dxa"/>
          </w:tcPr>
          <w:p w14:paraId="0EB074F7"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$220,000</w:t>
            </w:r>
          </w:p>
        </w:tc>
        <w:tc>
          <w:tcPr>
            <w:tcW w:w="1559" w:type="dxa"/>
          </w:tcPr>
          <w:p w14:paraId="2283E540" w14:textId="77777777" w:rsidR="001F515C" w:rsidRPr="00E76822" w:rsidRDefault="001F515C" w:rsidP="003F6431">
            <w:pPr>
              <w:jc w:val="right"/>
              <w:rPr>
                <w:rFonts w:ascii="Arial" w:hAnsi="Arial" w:cs="Arial"/>
                <w:color w:val="404040"/>
                <w:sz w:val="20"/>
                <w:szCs w:val="20"/>
              </w:rPr>
            </w:pPr>
          </w:p>
        </w:tc>
      </w:tr>
      <w:tr w:rsidR="001F515C" w:rsidRPr="00370487" w14:paraId="7EF5D688" w14:textId="77777777" w:rsidTr="003F6431">
        <w:trPr>
          <w:cantSplit/>
        </w:trPr>
        <w:tc>
          <w:tcPr>
            <w:tcW w:w="6062" w:type="dxa"/>
          </w:tcPr>
          <w:p w14:paraId="169837D7"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Reduced consultancy costs from only conducting the Community Survey (measuring community perception of performance) once every two years instead of annually after 2014. (Save $20,000 every two years)</w:t>
            </w:r>
          </w:p>
        </w:tc>
        <w:tc>
          <w:tcPr>
            <w:tcW w:w="1559" w:type="dxa"/>
          </w:tcPr>
          <w:p w14:paraId="68A2E6CE"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$40,000</w:t>
            </w:r>
          </w:p>
        </w:tc>
        <w:tc>
          <w:tcPr>
            <w:tcW w:w="1559" w:type="dxa"/>
          </w:tcPr>
          <w:p w14:paraId="4C7D536A" w14:textId="77777777" w:rsidR="001F515C" w:rsidRPr="00E76822" w:rsidRDefault="001F515C" w:rsidP="003F6431">
            <w:pPr>
              <w:jc w:val="right"/>
              <w:rPr>
                <w:rFonts w:ascii="Arial" w:hAnsi="Arial" w:cs="Arial"/>
                <w:color w:val="404040"/>
                <w:sz w:val="20"/>
                <w:szCs w:val="20"/>
              </w:rPr>
            </w:pPr>
          </w:p>
        </w:tc>
      </w:tr>
      <w:tr w:rsidR="001F515C" w:rsidRPr="00370487" w14:paraId="44FC8189" w14:textId="77777777" w:rsidTr="003F6431">
        <w:trPr>
          <w:cantSplit/>
        </w:trPr>
        <w:tc>
          <w:tcPr>
            <w:tcW w:w="7621" w:type="dxa"/>
            <w:gridSpan w:val="2"/>
            <w:shd w:val="clear" w:color="auto" w:fill="DBE5F1" w:themeFill="accent1" w:themeFillTint="33"/>
          </w:tcPr>
          <w:p w14:paraId="3834151F" w14:textId="77777777" w:rsidR="001F515C" w:rsidRPr="00917CC1" w:rsidRDefault="001F515C" w:rsidP="003F6431">
            <w:pPr>
              <w:rPr>
                <w:rFonts w:ascii="Arial" w:hAnsi="Arial" w:cs="Arial"/>
                <w:b/>
                <w:color w:val="404040"/>
                <w:sz w:val="20"/>
                <w:szCs w:val="20"/>
              </w:rPr>
            </w:pPr>
            <w:r w:rsidRPr="00917CC1">
              <w:rPr>
                <w:rFonts w:ascii="Arial" w:hAnsi="Arial" w:cs="Arial"/>
                <w:b/>
                <w:sz w:val="20"/>
                <w:szCs w:val="20"/>
              </w:rPr>
              <w:t>Contract Management</w:t>
            </w:r>
          </w:p>
        </w:tc>
        <w:tc>
          <w:tcPr>
            <w:tcW w:w="1559" w:type="dxa"/>
            <w:shd w:val="clear" w:color="auto" w:fill="DBE5F1" w:themeFill="accent1" w:themeFillTint="33"/>
          </w:tcPr>
          <w:p w14:paraId="411B0786" w14:textId="77777777" w:rsidR="001F515C" w:rsidRPr="00917CC1" w:rsidRDefault="001F515C" w:rsidP="003F6431">
            <w:pPr>
              <w:jc w:val="right"/>
              <w:rPr>
                <w:rFonts w:ascii="Arial" w:hAnsi="Arial" w:cs="Arial"/>
                <w:b/>
                <w:color w:val="404040"/>
                <w:sz w:val="20"/>
                <w:szCs w:val="20"/>
              </w:rPr>
            </w:pPr>
            <w:r w:rsidRPr="00917CC1">
              <w:rPr>
                <w:rFonts w:ascii="Arial" w:hAnsi="Arial" w:cs="Arial"/>
                <w:b/>
                <w:color w:val="404040"/>
                <w:sz w:val="20"/>
                <w:szCs w:val="20"/>
              </w:rPr>
              <w:t>$1,448,000</w:t>
            </w:r>
          </w:p>
        </w:tc>
      </w:tr>
      <w:tr w:rsidR="001F515C" w:rsidRPr="00370487" w14:paraId="37B20BC3" w14:textId="77777777" w:rsidTr="003F6431">
        <w:trPr>
          <w:cantSplit/>
        </w:trPr>
        <w:tc>
          <w:tcPr>
            <w:tcW w:w="6062" w:type="dxa"/>
          </w:tcPr>
          <w:p w14:paraId="26024727"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The existing Secretariat Agreement with Blue Mountains Lithgow and Oberon Tourism was not extended beyond 30 June 2012. The new funding agreement saw a handing over of tourism promotion responsibility to the private sector as part of a partnership arrangement and related Council expenses were reduced by 50% p.a.</w:t>
            </w:r>
          </w:p>
        </w:tc>
        <w:tc>
          <w:tcPr>
            <w:tcW w:w="1559" w:type="dxa"/>
          </w:tcPr>
          <w:p w14:paraId="4070699A"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$968,000</w:t>
            </w:r>
          </w:p>
        </w:tc>
        <w:tc>
          <w:tcPr>
            <w:tcW w:w="1559" w:type="dxa"/>
          </w:tcPr>
          <w:p w14:paraId="339008E5" w14:textId="77777777" w:rsidR="001F515C" w:rsidRPr="00E76822" w:rsidRDefault="001F515C" w:rsidP="003F6431">
            <w:pPr>
              <w:jc w:val="right"/>
              <w:rPr>
                <w:rFonts w:ascii="Arial" w:hAnsi="Arial" w:cs="Arial"/>
                <w:color w:val="404040"/>
                <w:sz w:val="20"/>
                <w:szCs w:val="20"/>
              </w:rPr>
            </w:pPr>
          </w:p>
        </w:tc>
      </w:tr>
      <w:tr w:rsidR="001F515C" w:rsidRPr="00370487" w14:paraId="606C756F" w14:textId="77777777" w:rsidTr="003F6431">
        <w:trPr>
          <w:cantSplit/>
        </w:trPr>
        <w:tc>
          <w:tcPr>
            <w:tcW w:w="6062" w:type="dxa"/>
          </w:tcPr>
          <w:p w14:paraId="447A181F"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Monthly payment to Thiess Pty Ltd for amortised capital works at Blaxland Waste Management Facility paid out as a lump sum funded by a loan at a lower interest rate than the specified contract payments.</w:t>
            </w:r>
          </w:p>
        </w:tc>
        <w:tc>
          <w:tcPr>
            <w:tcW w:w="1559" w:type="dxa"/>
          </w:tcPr>
          <w:p w14:paraId="1AFC46C3"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$480,000</w:t>
            </w:r>
          </w:p>
        </w:tc>
        <w:tc>
          <w:tcPr>
            <w:tcW w:w="1559" w:type="dxa"/>
          </w:tcPr>
          <w:p w14:paraId="5B337716" w14:textId="77777777" w:rsidR="001F515C" w:rsidRPr="00E76822" w:rsidRDefault="001F515C" w:rsidP="003F6431">
            <w:pPr>
              <w:jc w:val="right"/>
              <w:rPr>
                <w:rFonts w:ascii="Arial" w:hAnsi="Arial" w:cs="Arial"/>
                <w:color w:val="404040"/>
                <w:sz w:val="20"/>
                <w:szCs w:val="20"/>
              </w:rPr>
            </w:pPr>
          </w:p>
        </w:tc>
      </w:tr>
      <w:tr w:rsidR="001F515C" w:rsidRPr="00370487" w14:paraId="3A7AAF86" w14:textId="77777777" w:rsidTr="003F6431">
        <w:trPr>
          <w:cantSplit/>
        </w:trPr>
        <w:tc>
          <w:tcPr>
            <w:tcW w:w="7621" w:type="dxa"/>
            <w:gridSpan w:val="2"/>
            <w:shd w:val="clear" w:color="auto" w:fill="DBE5F1" w:themeFill="accent1" w:themeFillTint="33"/>
          </w:tcPr>
          <w:p w14:paraId="3BE2197D" w14:textId="77777777" w:rsidR="001F515C" w:rsidRPr="00917CC1" w:rsidRDefault="001F515C" w:rsidP="003F6431">
            <w:pPr>
              <w:rPr>
                <w:rFonts w:ascii="Arial" w:hAnsi="Arial" w:cs="Arial"/>
                <w:b/>
                <w:color w:val="404040"/>
                <w:sz w:val="20"/>
                <w:szCs w:val="20"/>
              </w:rPr>
            </w:pPr>
            <w:r w:rsidRPr="00917CC1">
              <w:rPr>
                <w:rFonts w:ascii="Arial" w:hAnsi="Arial" w:cs="Arial"/>
                <w:b/>
                <w:sz w:val="20"/>
                <w:szCs w:val="20"/>
              </w:rPr>
              <w:t>Energy</w:t>
            </w:r>
          </w:p>
        </w:tc>
        <w:tc>
          <w:tcPr>
            <w:tcW w:w="1559" w:type="dxa"/>
            <w:shd w:val="clear" w:color="auto" w:fill="DBE5F1" w:themeFill="accent1" w:themeFillTint="33"/>
          </w:tcPr>
          <w:p w14:paraId="6BF8950B" w14:textId="77777777" w:rsidR="001F515C" w:rsidRPr="00917CC1" w:rsidRDefault="001F515C" w:rsidP="003F6431">
            <w:pPr>
              <w:jc w:val="right"/>
              <w:rPr>
                <w:rFonts w:ascii="Arial" w:hAnsi="Arial" w:cs="Arial"/>
                <w:b/>
                <w:color w:val="404040"/>
                <w:sz w:val="20"/>
                <w:szCs w:val="20"/>
              </w:rPr>
            </w:pPr>
            <w:r w:rsidRPr="00917CC1">
              <w:rPr>
                <w:rFonts w:ascii="Arial" w:hAnsi="Arial" w:cs="Arial"/>
                <w:b/>
                <w:color w:val="404040"/>
                <w:sz w:val="20"/>
                <w:szCs w:val="20"/>
              </w:rPr>
              <w:t>$953,800</w:t>
            </w:r>
          </w:p>
        </w:tc>
      </w:tr>
      <w:tr w:rsidR="001F515C" w:rsidRPr="00370487" w14:paraId="6158EBEF" w14:textId="77777777" w:rsidTr="003F6431">
        <w:trPr>
          <w:cantSplit/>
        </w:trPr>
        <w:tc>
          <w:tcPr>
            <w:tcW w:w="6062" w:type="dxa"/>
          </w:tcPr>
          <w:p w14:paraId="0FAC6A25"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Undertook Energy Aggregation Review 2013-14 on current Energy Contracts and identified NUoS Contract where 1184 streetlights on Great Western Highway were returned to RMS management.</w:t>
            </w:r>
          </w:p>
        </w:tc>
        <w:tc>
          <w:tcPr>
            <w:tcW w:w="1559" w:type="dxa"/>
          </w:tcPr>
          <w:p w14:paraId="6470C556"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$473,600</w:t>
            </w:r>
          </w:p>
        </w:tc>
        <w:tc>
          <w:tcPr>
            <w:tcW w:w="1559" w:type="dxa"/>
          </w:tcPr>
          <w:p w14:paraId="554F6169" w14:textId="77777777" w:rsidR="001F515C" w:rsidRPr="00E76822" w:rsidRDefault="001F515C" w:rsidP="003F6431">
            <w:pPr>
              <w:jc w:val="right"/>
              <w:rPr>
                <w:rFonts w:ascii="Arial" w:hAnsi="Arial" w:cs="Arial"/>
                <w:color w:val="404040"/>
                <w:sz w:val="20"/>
                <w:szCs w:val="20"/>
              </w:rPr>
            </w:pPr>
          </w:p>
        </w:tc>
      </w:tr>
      <w:tr w:rsidR="001F515C" w:rsidRPr="00370487" w14:paraId="7374184E" w14:textId="77777777" w:rsidTr="003F6431">
        <w:trPr>
          <w:cantSplit/>
        </w:trPr>
        <w:tc>
          <w:tcPr>
            <w:tcW w:w="6062" w:type="dxa"/>
          </w:tcPr>
          <w:p w14:paraId="2B601428"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Savings from installation solar water heaters at Springwood Aquatic and Fitness Centre.</w:t>
            </w:r>
          </w:p>
        </w:tc>
        <w:tc>
          <w:tcPr>
            <w:tcW w:w="1559" w:type="dxa"/>
          </w:tcPr>
          <w:p w14:paraId="1FF1FE54"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$200,000</w:t>
            </w:r>
          </w:p>
        </w:tc>
        <w:tc>
          <w:tcPr>
            <w:tcW w:w="1559" w:type="dxa"/>
          </w:tcPr>
          <w:p w14:paraId="21B68E0C" w14:textId="77777777" w:rsidR="001F515C" w:rsidRPr="00E76822" w:rsidRDefault="001F515C" w:rsidP="003F6431">
            <w:pPr>
              <w:jc w:val="right"/>
              <w:rPr>
                <w:rFonts w:ascii="Arial" w:hAnsi="Arial" w:cs="Arial"/>
                <w:color w:val="404040"/>
                <w:sz w:val="20"/>
                <w:szCs w:val="20"/>
              </w:rPr>
            </w:pPr>
          </w:p>
        </w:tc>
      </w:tr>
      <w:tr w:rsidR="001F515C" w:rsidRPr="00370487" w14:paraId="15A5697B" w14:textId="77777777" w:rsidTr="003F6431">
        <w:trPr>
          <w:cantSplit/>
        </w:trPr>
        <w:tc>
          <w:tcPr>
            <w:tcW w:w="6062" w:type="dxa"/>
          </w:tcPr>
          <w:p w14:paraId="47D56025"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Savings from air handlers at Springwood Aquatic and Fitness Centre</w:t>
            </w:r>
          </w:p>
        </w:tc>
        <w:tc>
          <w:tcPr>
            <w:tcW w:w="1559" w:type="dxa"/>
          </w:tcPr>
          <w:p w14:paraId="5FD6565D"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$120,000</w:t>
            </w:r>
          </w:p>
        </w:tc>
        <w:tc>
          <w:tcPr>
            <w:tcW w:w="1559" w:type="dxa"/>
          </w:tcPr>
          <w:p w14:paraId="3CBC0F58" w14:textId="77777777" w:rsidR="001F515C" w:rsidRPr="00E76822" w:rsidRDefault="001F515C" w:rsidP="003F6431">
            <w:pPr>
              <w:jc w:val="right"/>
              <w:rPr>
                <w:rFonts w:ascii="Arial" w:hAnsi="Arial" w:cs="Arial"/>
                <w:color w:val="404040"/>
                <w:sz w:val="20"/>
                <w:szCs w:val="20"/>
              </w:rPr>
            </w:pPr>
          </w:p>
        </w:tc>
      </w:tr>
      <w:tr w:rsidR="001F515C" w:rsidRPr="00370487" w14:paraId="1CED6F7F" w14:textId="77777777" w:rsidTr="003F6431">
        <w:trPr>
          <w:cantSplit/>
        </w:trPr>
        <w:tc>
          <w:tcPr>
            <w:tcW w:w="6062" w:type="dxa"/>
          </w:tcPr>
          <w:p w14:paraId="05CC443E"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Reduced energy costs from solar pool heating; pool blankets and water saving devices at aquatic centres</w:t>
            </w:r>
          </w:p>
        </w:tc>
        <w:tc>
          <w:tcPr>
            <w:tcW w:w="1559" w:type="dxa"/>
          </w:tcPr>
          <w:p w14:paraId="0862A69D"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$76,000</w:t>
            </w:r>
          </w:p>
        </w:tc>
        <w:tc>
          <w:tcPr>
            <w:tcW w:w="1559" w:type="dxa"/>
          </w:tcPr>
          <w:p w14:paraId="4B9E8F54" w14:textId="77777777" w:rsidR="001F515C" w:rsidRPr="00E76822" w:rsidRDefault="001F515C" w:rsidP="003F6431">
            <w:pPr>
              <w:jc w:val="right"/>
              <w:rPr>
                <w:rFonts w:ascii="Arial" w:hAnsi="Arial" w:cs="Arial"/>
                <w:color w:val="404040"/>
                <w:sz w:val="20"/>
                <w:szCs w:val="20"/>
              </w:rPr>
            </w:pPr>
          </w:p>
        </w:tc>
      </w:tr>
      <w:tr w:rsidR="001F515C" w:rsidRPr="00370487" w14:paraId="13C452C5" w14:textId="77777777" w:rsidTr="003F6431">
        <w:trPr>
          <w:cantSplit/>
        </w:trPr>
        <w:tc>
          <w:tcPr>
            <w:tcW w:w="6062" w:type="dxa"/>
          </w:tcPr>
          <w:p w14:paraId="5BDB16C7"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Undertook Energy Aggregation Review 2013-14 on current Energy Contracts and renewed small site contract through Local Government Procurement  with 7% saving on contract rates</w:t>
            </w:r>
          </w:p>
        </w:tc>
        <w:tc>
          <w:tcPr>
            <w:tcW w:w="1559" w:type="dxa"/>
          </w:tcPr>
          <w:p w14:paraId="7F05C09B"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$40,800</w:t>
            </w:r>
          </w:p>
        </w:tc>
        <w:tc>
          <w:tcPr>
            <w:tcW w:w="1559" w:type="dxa"/>
          </w:tcPr>
          <w:p w14:paraId="1ABB053A" w14:textId="77777777" w:rsidR="001F515C" w:rsidRPr="00E76822" w:rsidRDefault="001F515C" w:rsidP="003F6431">
            <w:pPr>
              <w:jc w:val="right"/>
              <w:rPr>
                <w:rFonts w:ascii="Arial" w:hAnsi="Arial" w:cs="Arial"/>
                <w:color w:val="404040"/>
                <w:sz w:val="20"/>
                <w:szCs w:val="20"/>
              </w:rPr>
            </w:pPr>
          </w:p>
        </w:tc>
      </w:tr>
      <w:tr w:rsidR="001F515C" w:rsidRPr="00370487" w14:paraId="659A53C6" w14:textId="77777777" w:rsidTr="003F6431">
        <w:trPr>
          <w:cantSplit/>
        </w:trPr>
        <w:tc>
          <w:tcPr>
            <w:tcW w:w="6062" w:type="dxa"/>
          </w:tcPr>
          <w:p w14:paraId="6DA81B17"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Undertook Energy Aggregation Review 2013-14 on current Energy Contracts and identified improvements in Consolidated Invoice Management</w:t>
            </w:r>
          </w:p>
        </w:tc>
        <w:tc>
          <w:tcPr>
            <w:tcW w:w="1559" w:type="dxa"/>
          </w:tcPr>
          <w:p w14:paraId="65244527"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$20,000</w:t>
            </w:r>
          </w:p>
        </w:tc>
        <w:tc>
          <w:tcPr>
            <w:tcW w:w="1559" w:type="dxa"/>
          </w:tcPr>
          <w:p w14:paraId="3B7DD67D" w14:textId="77777777" w:rsidR="001F515C" w:rsidRPr="00E76822" w:rsidRDefault="001F515C" w:rsidP="003F6431">
            <w:pPr>
              <w:jc w:val="right"/>
              <w:rPr>
                <w:rFonts w:ascii="Arial" w:hAnsi="Arial" w:cs="Arial"/>
                <w:color w:val="404040"/>
                <w:sz w:val="20"/>
                <w:szCs w:val="20"/>
              </w:rPr>
            </w:pPr>
          </w:p>
        </w:tc>
      </w:tr>
      <w:tr w:rsidR="001F515C" w:rsidRPr="00370487" w14:paraId="6136E99B" w14:textId="77777777" w:rsidTr="003F6431">
        <w:trPr>
          <w:cantSplit/>
        </w:trPr>
        <w:tc>
          <w:tcPr>
            <w:tcW w:w="6062" w:type="dxa"/>
          </w:tcPr>
          <w:p w14:paraId="6C8CAF04"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Variable speed drives controlled by a turbidity meter, where fitted at some pools. These drives maintain water quality while reducing the energy consumption of pumps by about 25%.</w:t>
            </w:r>
          </w:p>
        </w:tc>
        <w:tc>
          <w:tcPr>
            <w:tcW w:w="1559" w:type="dxa"/>
          </w:tcPr>
          <w:p w14:paraId="6C230F5B"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$20,000</w:t>
            </w:r>
          </w:p>
        </w:tc>
        <w:tc>
          <w:tcPr>
            <w:tcW w:w="1559" w:type="dxa"/>
          </w:tcPr>
          <w:p w14:paraId="18110D46" w14:textId="77777777" w:rsidR="001F515C" w:rsidRPr="00E76822" w:rsidRDefault="001F515C" w:rsidP="003F6431">
            <w:pPr>
              <w:jc w:val="right"/>
              <w:rPr>
                <w:rFonts w:ascii="Arial" w:hAnsi="Arial" w:cs="Arial"/>
                <w:color w:val="404040"/>
                <w:sz w:val="20"/>
                <w:szCs w:val="20"/>
              </w:rPr>
            </w:pPr>
          </w:p>
        </w:tc>
      </w:tr>
      <w:tr w:rsidR="001F515C" w:rsidRPr="00370487" w14:paraId="6CC23FA0" w14:textId="77777777" w:rsidTr="003F6431">
        <w:trPr>
          <w:cantSplit/>
        </w:trPr>
        <w:tc>
          <w:tcPr>
            <w:tcW w:w="6062" w:type="dxa"/>
          </w:tcPr>
          <w:p w14:paraId="12ACBB79"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Undertook Energy Aggregation Review 2013-14 on current Energy Contracts and consolidated outlying small sites into existing Contract Rates</w:t>
            </w:r>
          </w:p>
        </w:tc>
        <w:tc>
          <w:tcPr>
            <w:tcW w:w="1559" w:type="dxa"/>
          </w:tcPr>
          <w:p w14:paraId="07A0D479"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$3,400</w:t>
            </w:r>
          </w:p>
        </w:tc>
        <w:tc>
          <w:tcPr>
            <w:tcW w:w="1559" w:type="dxa"/>
          </w:tcPr>
          <w:p w14:paraId="4003CC52" w14:textId="77777777" w:rsidR="001F515C" w:rsidRPr="00E76822" w:rsidRDefault="001F515C" w:rsidP="003F6431">
            <w:pPr>
              <w:jc w:val="right"/>
              <w:rPr>
                <w:rFonts w:ascii="Arial" w:hAnsi="Arial" w:cs="Arial"/>
                <w:color w:val="404040"/>
                <w:sz w:val="20"/>
                <w:szCs w:val="20"/>
              </w:rPr>
            </w:pPr>
          </w:p>
        </w:tc>
      </w:tr>
      <w:tr w:rsidR="001F515C" w:rsidRPr="00370487" w14:paraId="356141D2" w14:textId="77777777" w:rsidTr="003F6431">
        <w:trPr>
          <w:cantSplit/>
        </w:trPr>
        <w:tc>
          <w:tcPr>
            <w:tcW w:w="7621" w:type="dxa"/>
            <w:gridSpan w:val="2"/>
            <w:shd w:val="clear" w:color="auto" w:fill="DBE5F1" w:themeFill="accent1" w:themeFillTint="33"/>
          </w:tcPr>
          <w:p w14:paraId="730FD528" w14:textId="77777777" w:rsidR="001F515C" w:rsidRPr="00917CC1" w:rsidRDefault="001F515C" w:rsidP="003F6431">
            <w:pPr>
              <w:rPr>
                <w:rFonts w:ascii="Arial" w:hAnsi="Arial" w:cs="Arial"/>
                <w:b/>
                <w:color w:val="404040"/>
                <w:sz w:val="20"/>
                <w:szCs w:val="20"/>
              </w:rPr>
            </w:pPr>
            <w:r w:rsidRPr="00917CC1">
              <w:rPr>
                <w:rFonts w:ascii="Arial" w:hAnsi="Arial" w:cs="Arial"/>
                <w:b/>
                <w:sz w:val="20"/>
                <w:szCs w:val="20"/>
              </w:rPr>
              <w:t>Fleet Purchase and Management</w:t>
            </w:r>
          </w:p>
        </w:tc>
        <w:tc>
          <w:tcPr>
            <w:tcW w:w="1559" w:type="dxa"/>
            <w:shd w:val="clear" w:color="auto" w:fill="DBE5F1" w:themeFill="accent1" w:themeFillTint="33"/>
          </w:tcPr>
          <w:p w14:paraId="41715F49" w14:textId="77777777" w:rsidR="001F515C" w:rsidRPr="00917CC1" w:rsidRDefault="001F515C" w:rsidP="003F6431">
            <w:pPr>
              <w:jc w:val="right"/>
              <w:rPr>
                <w:rFonts w:ascii="Arial" w:hAnsi="Arial" w:cs="Arial"/>
                <w:b/>
                <w:color w:val="404040"/>
                <w:sz w:val="20"/>
                <w:szCs w:val="20"/>
              </w:rPr>
            </w:pPr>
            <w:r w:rsidRPr="00917CC1">
              <w:rPr>
                <w:rFonts w:ascii="Arial" w:hAnsi="Arial" w:cs="Arial"/>
                <w:b/>
                <w:color w:val="404040"/>
                <w:sz w:val="20"/>
                <w:szCs w:val="20"/>
              </w:rPr>
              <w:t>$2,557,416</w:t>
            </w:r>
          </w:p>
        </w:tc>
      </w:tr>
      <w:tr w:rsidR="001F515C" w:rsidRPr="00370487" w14:paraId="57A5CBDA" w14:textId="77777777" w:rsidTr="003F6431">
        <w:trPr>
          <w:cantSplit/>
        </w:trPr>
        <w:tc>
          <w:tcPr>
            <w:tcW w:w="6062" w:type="dxa"/>
          </w:tcPr>
          <w:p w14:paraId="6F26E802"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Reduced costs of fleet capital servicing by changing from six to four cylinder in light fleet vehicles.</w:t>
            </w:r>
          </w:p>
        </w:tc>
        <w:tc>
          <w:tcPr>
            <w:tcW w:w="1559" w:type="dxa"/>
          </w:tcPr>
          <w:p w14:paraId="429F82F2"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$1,280,000</w:t>
            </w:r>
          </w:p>
        </w:tc>
        <w:tc>
          <w:tcPr>
            <w:tcW w:w="1559" w:type="dxa"/>
          </w:tcPr>
          <w:p w14:paraId="7C6F5F3E" w14:textId="77777777" w:rsidR="001F515C" w:rsidRPr="00E76822" w:rsidRDefault="001F515C" w:rsidP="003F6431">
            <w:pPr>
              <w:jc w:val="right"/>
              <w:rPr>
                <w:rFonts w:ascii="Arial" w:hAnsi="Arial" w:cs="Arial"/>
                <w:color w:val="404040"/>
                <w:sz w:val="20"/>
                <w:szCs w:val="20"/>
              </w:rPr>
            </w:pPr>
          </w:p>
        </w:tc>
      </w:tr>
      <w:tr w:rsidR="001F515C" w:rsidRPr="00370487" w14:paraId="43021166" w14:textId="77777777" w:rsidTr="003F6431">
        <w:trPr>
          <w:cantSplit/>
        </w:trPr>
        <w:tc>
          <w:tcPr>
            <w:tcW w:w="6062" w:type="dxa"/>
          </w:tcPr>
          <w:p w14:paraId="0E8A4D7B"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Fleet repairs review leading to process change in referral and procurement of minor repairs and detailing on light vehicles.</w:t>
            </w:r>
          </w:p>
        </w:tc>
        <w:tc>
          <w:tcPr>
            <w:tcW w:w="1559" w:type="dxa"/>
          </w:tcPr>
          <w:p w14:paraId="6ACB0EA5"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$429,416</w:t>
            </w:r>
          </w:p>
        </w:tc>
        <w:tc>
          <w:tcPr>
            <w:tcW w:w="1559" w:type="dxa"/>
          </w:tcPr>
          <w:p w14:paraId="0AFDBB2B" w14:textId="77777777" w:rsidR="001F515C" w:rsidRPr="00E76822" w:rsidRDefault="001F515C" w:rsidP="003F6431">
            <w:pPr>
              <w:jc w:val="right"/>
              <w:rPr>
                <w:rFonts w:ascii="Arial" w:hAnsi="Arial" w:cs="Arial"/>
                <w:color w:val="404040"/>
                <w:sz w:val="20"/>
                <w:szCs w:val="20"/>
              </w:rPr>
            </w:pPr>
          </w:p>
        </w:tc>
      </w:tr>
      <w:tr w:rsidR="001F515C" w:rsidRPr="00370487" w14:paraId="241E7CD3" w14:textId="77777777" w:rsidTr="003F6431">
        <w:trPr>
          <w:cantSplit/>
        </w:trPr>
        <w:tc>
          <w:tcPr>
            <w:tcW w:w="6062" w:type="dxa"/>
          </w:tcPr>
          <w:p w14:paraId="41625969"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Agreement with the State Emergency Service to pay the fleet and mobile phone costs, previously paid by the Council.</w:t>
            </w:r>
          </w:p>
        </w:tc>
        <w:tc>
          <w:tcPr>
            <w:tcW w:w="1559" w:type="dxa"/>
          </w:tcPr>
          <w:p w14:paraId="750CE570"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$400,000</w:t>
            </w:r>
          </w:p>
        </w:tc>
        <w:tc>
          <w:tcPr>
            <w:tcW w:w="1559" w:type="dxa"/>
          </w:tcPr>
          <w:p w14:paraId="0ACAE0CB" w14:textId="77777777" w:rsidR="001F515C" w:rsidRPr="00E76822" w:rsidRDefault="001F515C" w:rsidP="003F6431">
            <w:pPr>
              <w:jc w:val="right"/>
              <w:rPr>
                <w:rFonts w:ascii="Arial" w:hAnsi="Arial" w:cs="Arial"/>
                <w:color w:val="404040"/>
                <w:sz w:val="20"/>
                <w:szCs w:val="20"/>
              </w:rPr>
            </w:pPr>
          </w:p>
        </w:tc>
      </w:tr>
      <w:tr w:rsidR="001F515C" w:rsidRPr="00370487" w14:paraId="69EF2F6C" w14:textId="77777777" w:rsidTr="003F6431">
        <w:trPr>
          <w:cantSplit/>
        </w:trPr>
        <w:tc>
          <w:tcPr>
            <w:tcW w:w="6062" w:type="dxa"/>
          </w:tcPr>
          <w:p w14:paraId="40A78385"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Reduced running costs from reduction in light fleet by twelve vehicles. $72k annual operating savings</w:t>
            </w:r>
          </w:p>
        </w:tc>
        <w:tc>
          <w:tcPr>
            <w:tcW w:w="1559" w:type="dxa"/>
          </w:tcPr>
          <w:p w14:paraId="756D4920"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$288,000</w:t>
            </w:r>
          </w:p>
        </w:tc>
        <w:tc>
          <w:tcPr>
            <w:tcW w:w="1559" w:type="dxa"/>
          </w:tcPr>
          <w:p w14:paraId="7C9B3939" w14:textId="77777777" w:rsidR="001F515C" w:rsidRPr="00E76822" w:rsidRDefault="001F515C" w:rsidP="003F6431">
            <w:pPr>
              <w:jc w:val="right"/>
              <w:rPr>
                <w:rFonts w:ascii="Arial" w:hAnsi="Arial" w:cs="Arial"/>
                <w:color w:val="404040"/>
                <w:sz w:val="20"/>
                <w:szCs w:val="20"/>
              </w:rPr>
            </w:pPr>
          </w:p>
        </w:tc>
      </w:tr>
      <w:tr w:rsidR="001F515C" w:rsidRPr="00370487" w14:paraId="7A1175F1" w14:textId="77777777" w:rsidTr="003F6431">
        <w:trPr>
          <w:cantSplit/>
        </w:trPr>
        <w:tc>
          <w:tcPr>
            <w:tcW w:w="6062" w:type="dxa"/>
          </w:tcPr>
          <w:p w14:paraId="17FB3BD9"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Change of vehicles in the trades section from trucks to utilities where practical. Ongoing fleet savings $30k a year</w:t>
            </w:r>
          </w:p>
        </w:tc>
        <w:tc>
          <w:tcPr>
            <w:tcW w:w="1559" w:type="dxa"/>
          </w:tcPr>
          <w:p w14:paraId="1C339FBE"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$120,000</w:t>
            </w:r>
          </w:p>
        </w:tc>
        <w:tc>
          <w:tcPr>
            <w:tcW w:w="1559" w:type="dxa"/>
          </w:tcPr>
          <w:p w14:paraId="03840070" w14:textId="77777777" w:rsidR="001F515C" w:rsidRPr="00E76822" w:rsidRDefault="001F515C" w:rsidP="003F6431">
            <w:pPr>
              <w:jc w:val="right"/>
              <w:rPr>
                <w:rFonts w:ascii="Arial" w:hAnsi="Arial" w:cs="Arial"/>
                <w:color w:val="404040"/>
                <w:sz w:val="20"/>
                <w:szCs w:val="20"/>
              </w:rPr>
            </w:pPr>
          </w:p>
        </w:tc>
      </w:tr>
      <w:tr w:rsidR="001F515C" w:rsidRPr="00370487" w14:paraId="23F02941" w14:textId="77777777" w:rsidTr="003F6431">
        <w:trPr>
          <w:cantSplit/>
        </w:trPr>
        <w:tc>
          <w:tcPr>
            <w:tcW w:w="6062" w:type="dxa"/>
          </w:tcPr>
          <w:p w14:paraId="0AE693AB"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Implementation of six month registration for fleet vehicles being replaced within this period.</w:t>
            </w:r>
          </w:p>
        </w:tc>
        <w:tc>
          <w:tcPr>
            <w:tcW w:w="1559" w:type="dxa"/>
          </w:tcPr>
          <w:p w14:paraId="4ABBB700"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$40,000</w:t>
            </w:r>
          </w:p>
        </w:tc>
        <w:tc>
          <w:tcPr>
            <w:tcW w:w="1559" w:type="dxa"/>
          </w:tcPr>
          <w:p w14:paraId="1E685777" w14:textId="77777777" w:rsidR="001F515C" w:rsidRPr="00E76822" w:rsidRDefault="001F515C" w:rsidP="003F6431">
            <w:pPr>
              <w:jc w:val="right"/>
              <w:rPr>
                <w:rFonts w:ascii="Arial" w:hAnsi="Arial" w:cs="Arial"/>
                <w:color w:val="404040"/>
                <w:sz w:val="20"/>
                <w:szCs w:val="20"/>
              </w:rPr>
            </w:pPr>
          </w:p>
        </w:tc>
      </w:tr>
      <w:tr w:rsidR="001F515C" w:rsidRPr="00370487" w14:paraId="495D89C6" w14:textId="77777777" w:rsidTr="003F6431">
        <w:trPr>
          <w:cantSplit/>
        </w:trPr>
        <w:tc>
          <w:tcPr>
            <w:tcW w:w="6062" w:type="dxa"/>
          </w:tcPr>
          <w:p w14:paraId="4F6B5EDB" w14:textId="77777777" w:rsidR="001F515C" w:rsidRPr="00E76822" w:rsidRDefault="001F515C" w:rsidP="003F6431">
            <w:pPr>
              <w:rPr>
                <w:rFonts w:ascii="Arial" w:hAnsi="Arial" w:cs="Arial"/>
                <w:sz w:val="20"/>
                <w:szCs w:val="20"/>
              </w:rPr>
            </w:pPr>
            <w:r w:rsidRPr="00E76822">
              <w:rPr>
                <w:rFonts w:ascii="Arial" w:hAnsi="Arial" w:cs="Arial"/>
                <w:sz w:val="20"/>
                <w:szCs w:val="20"/>
              </w:rPr>
              <w:t>Insurance</w:t>
            </w:r>
          </w:p>
        </w:tc>
        <w:tc>
          <w:tcPr>
            <w:tcW w:w="1559" w:type="dxa"/>
          </w:tcPr>
          <w:p w14:paraId="6522D2E5"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$2,560,000</w:t>
            </w:r>
          </w:p>
        </w:tc>
        <w:tc>
          <w:tcPr>
            <w:tcW w:w="1559" w:type="dxa"/>
          </w:tcPr>
          <w:p w14:paraId="04018525" w14:textId="77777777" w:rsidR="001F515C" w:rsidRPr="00E76822" w:rsidRDefault="001F515C" w:rsidP="003F6431">
            <w:pPr>
              <w:jc w:val="right"/>
              <w:rPr>
                <w:rFonts w:ascii="Arial" w:hAnsi="Arial" w:cs="Arial"/>
                <w:color w:val="404040"/>
                <w:sz w:val="20"/>
                <w:szCs w:val="20"/>
              </w:rPr>
            </w:pPr>
          </w:p>
        </w:tc>
      </w:tr>
      <w:tr w:rsidR="001F515C" w:rsidRPr="00370487" w14:paraId="05F95E4D" w14:textId="77777777" w:rsidTr="003F6431">
        <w:trPr>
          <w:cantSplit/>
        </w:trPr>
        <w:tc>
          <w:tcPr>
            <w:tcW w:w="6062" w:type="dxa"/>
          </w:tcPr>
          <w:p w14:paraId="247B46A6"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Change workers compensation model to Work Cover Retro-Paid Loss Model (2014/15-2018/19)</w:t>
            </w:r>
          </w:p>
        </w:tc>
        <w:tc>
          <w:tcPr>
            <w:tcW w:w="1559" w:type="dxa"/>
          </w:tcPr>
          <w:p w14:paraId="2852205A"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$2,560,000</w:t>
            </w:r>
          </w:p>
        </w:tc>
        <w:tc>
          <w:tcPr>
            <w:tcW w:w="1559" w:type="dxa"/>
          </w:tcPr>
          <w:p w14:paraId="71AFF28F" w14:textId="77777777" w:rsidR="001F515C" w:rsidRPr="00E76822" w:rsidRDefault="001F515C" w:rsidP="003F6431">
            <w:pPr>
              <w:jc w:val="right"/>
              <w:rPr>
                <w:rFonts w:ascii="Arial" w:hAnsi="Arial" w:cs="Arial"/>
                <w:color w:val="404040"/>
                <w:sz w:val="20"/>
                <w:szCs w:val="20"/>
              </w:rPr>
            </w:pPr>
          </w:p>
        </w:tc>
      </w:tr>
      <w:tr w:rsidR="001F515C" w:rsidRPr="00370487" w14:paraId="368E4413" w14:textId="77777777" w:rsidTr="003F6431">
        <w:trPr>
          <w:cantSplit/>
        </w:trPr>
        <w:tc>
          <w:tcPr>
            <w:tcW w:w="6062" w:type="dxa"/>
            <w:shd w:val="clear" w:color="auto" w:fill="DBE5F1" w:themeFill="accent1" w:themeFillTint="33"/>
          </w:tcPr>
          <w:p w14:paraId="4AA3574F" w14:textId="77777777" w:rsidR="001F515C" w:rsidRPr="00917CC1" w:rsidRDefault="001F515C" w:rsidP="003F6431">
            <w:pPr>
              <w:rPr>
                <w:rFonts w:ascii="Arial" w:hAnsi="Arial" w:cs="Arial"/>
                <w:b/>
                <w:sz w:val="20"/>
                <w:szCs w:val="20"/>
              </w:rPr>
            </w:pPr>
            <w:r w:rsidRPr="00917CC1">
              <w:rPr>
                <w:rFonts w:ascii="Arial" w:hAnsi="Arial" w:cs="Arial"/>
                <w:b/>
                <w:sz w:val="20"/>
                <w:szCs w:val="20"/>
              </w:rPr>
              <w:t>Materials Management Practices</w:t>
            </w:r>
          </w:p>
        </w:tc>
        <w:tc>
          <w:tcPr>
            <w:tcW w:w="1559" w:type="dxa"/>
            <w:shd w:val="clear" w:color="auto" w:fill="DBE5F1" w:themeFill="accent1" w:themeFillTint="33"/>
          </w:tcPr>
          <w:p w14:paraId="77595966" w14:textId="77777777" w:rsidR="001F515C" w:rsidRPr="00917CC1" w:rsidRDefault="001F515C" w:rsidP="003F6431">
            <w:pPr>
              <w:jc w:val="right"/>
              <w:rPr>
                <w:rFonts w:ascii="Arial" w:hAnsi="Arial" w:cs="Arial"/>
                <w:b/>
                <w:color w:val="404040"/>
                <w:sz w:val="20"/>
                <w:szCs w:val="20"/>
              </w:rPr>
            </w:pPr>
          </w:p>
        </w:tc>
        <w:tc>
          <w:tcPr>
            <w:tcW w:w="1559" w:type="dxa"/>
            <w:shd w:val="clear" w:color="auto" w:fill="DBE5F1" w:themeFill="accent1" w:themeFillTint="33"/>
          </w:tcPr>
          <w:p w14:paraId="39C786E1" w14:textId="77777777" w:rsidR="001F515C" w:rsidRPr="00917CC1" w:rsidRDefault="001F515C" w:rsidP="003F6431">
            <w:pPr>
              <w:jc w:val="right"/>
              <w:rPr>
                <w:rFonts w:ascii="Arial" w:hAnsi="Arial" w:cs="Arial"/>
                <w:b/>
                <w:color w:val="404040"/>
                <w:sz w:val="20"/>
                <w:szCs w:val="20"/>
              </w:rPr>
            </w:pPr>
            <w:r w:rsidRPr="00917CC1">
              <w:rPr>
                <w:rFonts w:ascii="Arial" w:hAnsi="Arial" w:cs="Arial"/>
                <w:b/>
                <w:color w:val="404040"/>
                <w:sz w:val="20"/>
                <w:szCs w:val="20"/>
              </w:rPr>
              <w:t>$1,234,760</w:t>
            </w:r>
          </w:p>
        </w:tc>
      </w:tr>
      <w:tr w:rsidR="001F515C" w:rsidRPr="00370487" w14:paraId="103D3CAB" w14:textId="77777777" w:rsidTr="003F6431">
        <w:trPr>
          <w:cantSplit/>
        </w:trPr>
        <w:tc>
          <w:tcPr>
            <w:tcW w:w="6062" w:type="dxa"/>
          </w:tcPr>
          <w:p w14:paraId="0AD65AAE" w14:textId="77777777" w:rsidR="001F515C" w:rsidRPr="00E76822" w:rsidRDefault="001F515C" w:rsidP="003F6431">
            <w:pPr>
              <w:rPr>
                <w:rFonts w:ascii="Arial" w:hAnsi="Arial" w:cs="Arial"/>
                <w:sz w:val="20"/>
                <w:szCs w:val="20"/>
              </w:rPr>
            </w:pPr>
            <w:r>
              <w:rPr>
                <w:rFonts w:ascii="Arial" w:hAnsi="Arial" w:cs="Arial"/>
                <w:color w:val="404040"/>
                <w:sz w:val="20"/>
                <w:szCs w:val="20"/>
              </w:rPr>
              <w:t xml:space="preserve">Sealing of Unsealed Roads - </w:t>
            </w:r>
            <w:r w:rsidRPr="00E76822">
              <w:rPr>
                <w:rFonts w:ascii="Arial" w:hAnsi="Arial" w:cs="Arial"/>
                <w:color w:val="404040"/>
                <w:sz w:val="20"/>
                <w:szCs w:val="20"/>
              </w:rPr>
              <w:t>Council was spending a disproportionate maintenance expense on unsealed roads. It prepared a detailed business case showing that sealing selected roads was justified by savings in maintenance costs, including through the reduction of one heavy plant team. The savings on the pilot project allowed work to be expanded. Around 20km of roads were sealed across the LGA, leading to annual savings of $250K</w:t>
            </w:r>
          </w:p>
        </w:tc>
        <w:tc>
          <w:tcPr>
            <w:tcW w:w="1559" w:type="dxa"/>
          </w:tcPr>
          <w:p w14:paraId="5C618D84"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$1,000,000</w:t>
            </w:r>
          </w:p>
        </w:tc>
        <w:tc>
          <w:tcPr>
            <w:tcW w:w="1559" w:type="dxa"/>
          </w:tcPr>
          <w:p w14:paraId="257EE5A9" w14:textId="77777777" w:rsidR="001F515C" w:rsidRPr="00E76822" w:rsidRDefault="001F515C" w:rsidP="003F6431">
            <w:pPr>
              <w:jc w:val="right"/>
              <w:rPr>
                <w:rFonts w:ascii="Arial" w:hAnsi="Arial" w:cs="Arial"/>
                <w:color w:val="404040"/>
                <w:sz w:val="20"/>
                <w:szCs w:val="20"/>
              </w:rPr>
            </w:pPr>
          </w:p>
        </w:tc>
      </w:tr>
      <w:tr w:rsidR="001F515C" w:rsidRPr="00370487" w14:paraId="7F5F7C5E" w14:textId="77777777" w:rsidTr="003F6431">
        <w:trPr>
          <w:cantSplit/>
        </w:trPr>
        <w:tc>
          <w:tcPr>
            <w:tcW w:w="6062" w:type="dxa"/>
          </w:tcPr>
          <w:p w14:paraId="184D2F69"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 xml:space="preserve">Savings from purchase of pool filter socks. Alternate suppliers were approached and BMCC had the socks made to specification at 2/3 the price resulting in an annual maintenance saving of $26,490. </w:t>
            </w:r>
          </w:p>
        </w:tc>
        <w:tc>
          <w:tcPr>
            <w:tcW w:w="1559" w:type="dxa"/>
          </w:tcPr>
          <w:p w14:paraId="642086F7"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$105,960</w:t>
            </w:r>
          </w:p>
        </w:tc>
        <w:tc>
          <w:tcPr>
            <w:tcW w:w="1559" w:type="dxa"/>
          </w:tcPr>
          <w:p w14:paraId="4EE697EF" w14:textId="77777777" w:rsidR="001F515C" w:rsidRPr="00E76822" w:rsidRDefault="001F515C" w:rsidP="003F6431">
            <w:pPr>
              <w:jc w:val="right"/>
              <w:rPr>
                <w:rFonts w:ascii="Arial" w:hAnsi="Arial" w:cs="Arial"/>
                <w:color w:val="404040"/>
                <w:sz w:val="20"/>
                <w:szCs w:val="20"/>
              </w:rPr>
            </w:pPr>
          </w:p>
        </w:tc>
      </w:tr>
      <w:tr w:rsidR="001F515C" w:rsidRPr="00370487" w14:paraId="506F82BB" w14:textId="77777777" w:rsidTr="003F6431">
        <w:trPr>
          <w:cantSplit/>
        </w:trPr>
        <w:tc>
          <w:tcPr>
            <w:tcW w:w="6062" w:type="dxa"/>
          </w:tcPr>
          <w:p w14:paraId="0D332C78"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Altered our library policy to 'meet' rather than 'exceed' public library benchmark standards. This enables us to extend the age of the library collection to with a subsequent reduction in capital.</w:t>
            </w:r>
          </w:p>
        </w:tc>
        <w:tc>
          <w:tcPr>
            <w:tcW w:w="1559" w:type="dxa"/>
          </w:tcPr>
          <w:p w14:paraId="7F3DB6E8"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$77,200</w:t>
            </w:r>
          </w:p>
        </w:tc>
        <w:tc>
          <w:tcPr>
            <w:tcW w:w="1559" w:type="dxa"/>
          </w:tcPr>
          <w:p w14:paraId="7D9ECEC6" w14:textId="77777777" w:rsidR="001F515C" w:rsidRPr="00E76822" w:rsidRDefault="001F515C" w:rsidP="003F6431">
            <w:pPr>
              <w:jc w:val="right"/>
              <w:rPr>
                <w:rFonts w:ascii="Arial" w:hAnsi="Arial" w:cs="Arial"/>
                <w:color w:val="404040"/>
                <w:sz w:val="20"/>
                <w:szCs w:val="20"/>
              </w:rPr>
            </w:pPr>
          </w:p>
        </w:tc>
      </w:tr>
      <w:tr w:rsidR="001F515C" w:rsidRPr="00370487" w14:paraId="664C459C" w14:textId="77777777" w:rsidTr="003F6431">
        <w:trPr>
          <w:cantSplit/>
        </w:trPr>
        <w:tc>
          <w:tcPr>
            <w:tcW w:w="6062" w:type="dxa"/>
          </w:tcPr>
          <w:p w14:paraId="60F72310"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Review of operation of sanitary bins at public facilities</w:t>
            </w:r>
          </w:p>
        </w:tc>
        <w:tc>
          <w:tcPr>
            <w:tcW w:w="1559" w:type="dxa"/>
          </w:tcPr>
          <w:p w14:paraId="04090292"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$32,000</w:t>
            </w:r>
          </w:p>
        </w:tc>
        <w:tc>
          <w:tcPr>
            <w:tcW w:w="1559" w:type="dxa"/>
          </w:tcPr>
          <w:p w14:paraId="68B441C6" w14:textId="77777777" w:rsidR="001F515C" w:rsidRPr="00E76822" w:rsidRDefault="001F515C" w:rsidP="003F6431">
            <w:pPr>
              <w:jc w:val="right"/>
              <w:rPr>
                <w:rFonts w:ascii="Arial" w:hAnsi="Arial" w:cs="Arial"/>
                <w:color w:val="404040"/>
                <w:sz w:val="20"/>
                <w:szCs w:val="20"/>
              </w:rPr>
            </w:pPr>
          </w:p>
        </w:tc>
      </w:tr>
      <w:tr w:rsidR="001F515C" w:rsidRPr="00370487" w14:paraId="03C12731" w14:textId="77777777" w:rsidTr="003F6431">
        <w:trPr>
          <w:cantSplit/>
        </w:trPr>
        <w:tc>
          <w:tcPr>
            <w:tcW w:w="6062" w:type="dxa"/>
          </w:tcPr>
          <w:p w14:paraId="1717551B"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Savings at Blackheath pool. The pool filtration plant is turned off for some periods during the off-season.</w:t>
            </w:r>
          </w:p>
        </w:tc>
        <w:tc>
          <w:tcPr>
            <w:tcW w:w="1559" w:type="dxa"/>
          </w:tcPr>
          <w:p w14:paraId="7528A1B4"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$15,600</w:t>
            </w:r>
          </w:p>
        </w:tc>
        <w:tc>
          <w:tcPr>
            <w:tcW w:w="1559" w:type="dxa"/>
          </w:tcPr>
          <w:p w14:paraId="32D07FBC" w14:textId="77777777" w:rsidR="001F515C" w:rsidRPr="00E76822" w:rsidRDefault="001F515C" w:rsidP="003F6431">
            <w:pPr>
              <w:jc w:val="right"/>
              <w:rPr>
                <w:rFonts w:ascii="Arial" w:hAnsi="Arial" w:cs="Arial"/>
                <w:color w:val="404040"/>
                <w:sz w:val="20"/>
                <w:szCs w:val="20"/>
              </w:rPr>
            </w:pPr>
          </w:p>
        </w:tc>
      </w:tr>
      <w:tr w:rsidR="001F515C" w:rsidRPr="00370487" w14:paraId="3A1E19AE" w14:textId="77777777" w:rsidTr="003F6431">
        <w:trPr>
          <w:cantSplit/>
        </w:trPr>
        <w:tc>
          <w:tcPr>
            <w:tcW w:w="6062" w:type="dxa"/>
          </w:tcPr>
          <w:p w14:paraId="240938C0"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Savings from an operating review of the toy library following a cost / benefit analysis.</w:t>
            </w:r>
          </w:p>
        </w:tc>
        <w:tc>
          <w:tcPr>
            <w:tcW w:w="1559" w:type="dxa"/>
          </w:tcPr>
          <w:p w14:paraId="10D2EF33"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$4,000</w:t>
            </w:r>
          </w:p>
        </w:tc>
        <w:tc>
          <w:tcPr>
            <w:tcW w:w="1559" w:type="dxa"/>
          </w:tcPr>
          <w:p w14:paraId="072F3C04" w14:textId="77777777" w:rsidR="001F515C" w:rsidRPr="00E76822" w:rsidRDefault="001F515C" w:rsidP="003F6431">
            <w:pPr>
              <w:jc w:val="right"/>
              <w:rPr>
                <w:rFonts w:ascii="Arial" w:hAnsi="Arial" w:cs="Arial"/>
                <w:color w:val="404040"/>
                <w:sz w:val="20"/>
                <w:szCs w:val="20"/>
              </w:rPr>
            </w:pPr>
          </w:p>
        </w:tc>
      </w:tr>
      <w:tr w:rsidR="001F515C" w:rsidRPr="00370487" w14:paraId="5162CA47" w14:textId="77777777" w:rsidTr="003F6431">
        <w:trPr>
          <w:cantSplit/>
        </w:trPr>
        <w:tc>
          <w:tcPr>
            <w:tcW w:w="7621" w:type="dxa"/>
            <w:gridSpan w:val="2"/>
            <w:shd w:val="clear" w:color="auto" w:fill="DBE5F1" w:themeFill="accent1" w:themeFillTint="33"/>
          </w:tcPr>
          <w:p w14:paraId="2FCBF2D7" w14:textId="77777777" w:rsidR="001F515C" w:rsidRPr="00917CC1" w:rsidRDefault="001F515C" w:rsidP="003F6431">
            <w:pPr>
              <w:rPr>
                <w:rFonts w:ascii="Arial" w:hAnsi="Arial" w:cs="Arial"/>
                <w:b/>
                <w:color w:val="404040"/>
                <w:sz w:val="20"/>
                <w:szCs w:val="20"/>
              </w:rPr>
            </w:pPr>
            <w:r w:rsidRPr="00917CC1">
              <w:rPr>
                <w:rFonts w:ascii="Arial" w:hAnsi="Arial" w:cs="Arial"/>
                <w:b/>
                <w:sz w:val="20"/>
                <w:szCs w:val="20"/>
              </w:rPr>
              <w:t>Plant Purchase and Management</w:t>
            </w:r>
          </w:p>
        </w:tc>
        <w:tc>
          <w:tcPr>
            <w:tcW w:w="1559" w:type="dxa"/>
            <w:shd w:val="clear" w:color="auto" w:fill="DBE5F1" w:themeFill="accent1" w:themeFillTint="33"/>
          </w:tcPr>
          <w:p w14:paraId="3E2FF8A6" w14:textId="77777777" w:rsidR="001F515C" w:rsidRPr="00917CC1" w:rsidRDefault="001F515C" w:rsidP="003F6431">
            <w:pPr>
              <w:jc w:val="right"/>
              <w:rPr>
                <w:rFonts w:ascii="Arial" w:hAnsi="Arial" w:cs="Arial"/>
                <w:b/>
                <w:color w:val="404040"/>
                <w:sz w:val="20"/>
                <w:szCs w:val="20"/>
              </w:rPr>
            </w:pPr>
            <w:r w:rsidRPr="00917CC1">
              <w:rPr>
                <w:rFonts w:ascii="Arial" w:hAnsi="Arial" w:cs="Arial"/>
                <w:b/>
                <w:color w:val="404040"/>
                <w:sz w:val="20"/>
                <w:szCs w:val="20"/>
              </w:rPr>
              <w:t>$60,000</w:t>
            </w:r>
          </w:p>
        </w:tc>
      </w:tr>
      <w:tr w:rsidR="001F515C" w:rsidRPr="00370487" w14:paraId="50631BF4" w14:textId="77777777" w:rsidTr="003F6431">
        <w:trPr>
          <w:cantSplit/>
        </w:trPr>
        <w:tc>
          <w:tcPr>
            <w:tcW w:w="6062" w:type="dxa"/>
          </w:tcPr>
          <w:p w14:paraId="55F6D4B1" w14:textId="77777777" w:rsidR="001F515C" w:rsidRPr="00E76822" w:rsidRDefault="001F515C" w:rsidP="003F6431">
            <w:pPr>
              <w:rPr>
                <w:rFonts w:ascii="Arial" w:hAnsi="Arial" w:cs="Arial"/>
                <w:color w:val="404040"/>
                <w:sz w:val="20"/>
                <w:szCs w:val="20"/>
              </w:rPr>
            </w:pPr>
            <w:r w:rsidRPr="00E76822">
              <w:rPr>
                <w:rFonts w:ascii="Arial" w:hAnsi="Arial" w:cs="Arial"/>
                <w:color w:val="404040"/>
                <w:sz w:val="20"/>
                <w:szCs w:val="20"/>
              </w:rPr>
              <w:t>Cost savings and improved productivity for pothole maintenance. Changed the patching machinery from a JetPatcher to a Paveline Autopatch reducing the crew from three to two people. There were also savings in operating costs with no loss in productivity.</w:t>
            </w:r>
          </w:p>
          <w:p w14:paraId="794A6E67" w14:textId="77777777" w:rsidR="001F515C" w:rsidRPr="00E76822" w:rsidRDefault="001F515C" w:rsidP="003F6431">
            <w:pPr>
              <w:rPr>
                <w:rFonts w:ascii="Arial" w:hAnsi="Arial" w:cs="Arial"/>
                <w:sz w:val="20"/>
                <w:szCs w:val="20"/>
              </w:rPr>
            </w:pPr>
          </w:p>
        </w:tc>
        <w:tc>
          <w:tcPr>
            <w:tcW w:w="1559" w:type="dxa"/>
          </w:tcPr>
          <w:p w14:paraId="377A5908"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$60,000</w:t>
            </w:r>
          </w:p>
        </w:tc>
        <w:tc>
          <w:tcPr>
            <w:tcW w:w="1559" w:type="dxa"/>
          </w:tcPr>
          <w:p w14:paraId="6BB66C3C" w14:textId="77777777" w:rsidR="001F515C" w:rsidRPr="00E76822" w:rsidRDefault="001F515C" w:rsidP="003F6431">
            <w:pPr>
              <w:jc w:val="right"/>
              <w:rPr>
                <w:rFonts w:ascii="Arial" w:hAnsi="Arial" w:cs="Arial"/>
                <w:color w:val="404040"/>
                <w:sz w:val="20"/>
                <w:szCs w:val="20"/>
              </w:rPr>
            </w:pPr>
          </w:p>
        </w:tc>
      </w:tr>
      <w:tr w:rsidR="001F515C" w:rsidRPr="00370487" w14:paraId="10E3BC4B" w14:textId="77777777" w:rsidTr="003F6431">
        <w:trPr>
          <w:cantSplit/>
        </w:trPr>
        <w:tc>
          <w:tcPr>
            <w:tcW w:w="7621" w:type="dxa"/>
            <w:gridSpan w:val="2"/>
            <w:shd w:val="clear" w:color="auto" w:fill="DBE5F1" w:themeFill="accent1" w:themeFillTint="33"/>
          </w:tcPr>
          <w:p w14:paraId="05343789" w14:textId="77777777" w:rsidR="001F515C" w:rsidRPr="00917CC1" w:rsidRDefault="001F515C" w:rsidP="003F6431">
            <w:pPr>
              <w:rPr>
                <w:rFonts w:ascii="Arial" w:hAnsi="Arial" w:cs="Arial"/>
                <w:b/>
                <w:color w:val="404040"/>
                <w:sz w:val="20"/>
                <w:szCs w:val="20"/>
              </w:rPr>
            </w:pPr>
            <w:r w:rsidRPr="00917CC1">
              <w:rPr>
                <w:rFonts w:ascii="Arial" w:hAnsi="Arial" w:cs="Arial"/>
                <w:b/>
                <w:sz w:val="20"/>
                <w:szCs w:val="20"/>
              </w:rPr>
              <w:t>Technology Solutions</w:t>
            </w:r>
          </w:p>
        </w:tc>
        <w:tc>
          <w:tcPr>
            <w:tcW w:w="1559" w:type="dxa"/>
            <w:shd w:val="clear" w:color="auto" w:fill="DBE5F1" w:themeFill="accent1" w:themeFillTint="33"/>
          </w:tcPr>
          <w:p w14:paraId="3F4338B8" w14:textId="77777777" w:rsidR="001F515C" w:rsidRPr="00917CC1" w:rsidRDefault="001F515C" w:rsidP="003F6431">
            <w:pPr>
              <w:jc w:val="right"/>
              <w:rPr>
                <w:rFonts w:ascii="Arial" w:hAnsi="Arial" w:cs="Arial"/>
                <w:b/>
                <w:color w:val="404040"/>
                <w:sz w:val="20"/>
                <w:szCs w:val="20"/>
              </w:rPr>
            </w:pPr>
            <w:r w:rsidRPr="00917CC1">
              <w:rPr>
                <w:rFonts w:ascii="Arial" w:hAnsi="Arial" w:cs="Arial"/>
                <w:b/>
                <w:color w:val="404040"/>
                <w:sz w:val="20"/>
                <w:szCs w:val="20"/>
              </w:rPr>
              <w:t>$158,200</w:t>
            </w:r>
          </w:p>
        </w:tc>
      </w:tr>
      <w:tr w:rsidR="001F515C" w:rsidRPr="00370487" w14:paraId="7D6C113D" w14:textId="77777777" w:rsidTr="003F6431">
        <w:trPr>
          <w:cantSplit/>
        </w:trPr>
        <w:tc>
          <w:tcPr>
            <w:tcW w:w="6062" w:type="dxa"/>
          </w:tcPr>
          <w:p w14:paraId="0BBB4DBC"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Business papers for Councillors and Senior Managers are now distributed electronically. This resulted in savings in printing costs and distribution.</w:t>
            </w:r>
          </w:p>
        </w:tc>
        <w:tc>
          <w:tcPr>
            <w:tcW w:w="1559" w:type="dxa"/>
          </w:tcPr>
          <w:p w14:paraId="2BA1D986"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$140,000</w:t>
            </w:r>
          </w:p>
        </w:tc>
        <w:tc>
          <w:tcPr>
            <w:tcW w:w="1559" w:type="dxa"/>
          </w:tcPr>
          <w:p w14:paraId="7B22B44E" w14:textId="77777777" w:rsidR="001F515C" w:rsidRPr="00E76822" w:rsidRDefault="001F515C" w:rsidP="003F6431">
            <w:pPr>
              <w:jc w:val="right"/>
              <w:rPr>
                <w:rFonts w:ascii="Arial" w:hAnsi="Arial" w:cs="Arial"/>
                <w:color w:val="404040"/>
                <w:sz w:val="20"/>
                <w:szCs w:val="20"/>
              </w:rPr>
            </w:pPr>
          </w:p>
        </w:tc>
      </w:tr>
      <w:tr w:rsidR="001F515C" w:rsidRPr="00370487" w14:paraId="16024F39" w14:textId="77777777" w:rsidTr="003F6431">
        <w:trPr>
          <w:cantSplit/>
        </w:trPr>
        <w:tc>
          <w:tcPr>
            <w:tcW w:w="6062" w:type="dxa"/>
          </w:tcPr>
          <w:p w14:paraId="35DE4992"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Reduction in operating costs with the promotion and use of electronic communications in Family Day Care.</w:t>
            </w:r>
          </w:p>
        </w:tc>
        <w:tc>
          <w:tcPr>
            <w:tcW w:w="1559" w:type="dxa"/>
          </w:tcPr>
          <w:p w14:paraId="2BB93BFC"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$9,200</w:t>
            </w:r>
          </w:p>
        </w:tc>
        <w:tc>
          <w:tcPr>
            <w:tcW w:w="1559" w:type="dxa"/>
          </w:tcPr>
          <w:p w14:paraId="7C3EF322" w14:textId="77777777" w:rsidR="001F515C" w:rsidRPr="00E76822" w:rsidRDefault="001F515C" w:rsidP="003F6431">
            <w:pPr>
              <w:jc w:val="right"/>
              <w:rPr>
                <w:rFonts w:ascii="Arial" w:hAnsi="Arial" w:cs="Arial"/>
                <w:color w:val="404040"/>
                <w:sz w:val="20"/>
                <w:szCs w:val="20"/>
              </w:rPr>
            </w:pPr>
          </w:p>
        </w:tc>
      </w:tr>
      <w:tr w:rsidR="001F515C" w:rsidRPr="00370487" w14:paraId="73CB5D63" w14:textId="77777777" w:rsidTr="003F6431">
        <w:trPr>
          <w:cantSplit/>
        </w:trPr>
        <w:tc>
          <w:tcPr>
            <w:tcW w:w="6062" w:type="dxa"/>
          </w:tcPr>
          <w:p w14:paraId="71A5F886"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Moved from paper to hand held devices for the issue of warnings and penalty infringement notices using PINFORCE. This led to a reduction in processing costs and fees paid to the State Debt Recovery Office. The saving is $3 for each penalty infringement notice.</w:t>
            </w:r>
          </w:p>
        </w:tc>
        <w:tc>
          <w:tcPr>
            <w:tcW w:w="1559" w:type="dxa"/>
          </w:tcPr>
          <w:p w14:paraId="073C1D13"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$9,000</w:t>
            </w:r>
          </w:p>
        </w:tc>
        <w:tc>
          <w:tcPr>
            <w:tcW w:w="1559" w:type="dxa"/>
          </w:tcPr>
          <w:p w14:paraId="28342710" w14:textId="77777777" w:rsidR="001F515C" w:rsidRPr="00E76822" w:rsidRDefault="001F515C" w:rsidP="003F6431">
            <w:pPr>
              <w:jc w:val="right"/>
              <w:rPr>
                <w:rFonts w:ascii="Arial" w:hAnsi="Arial" w:cs="Arial"/>
                <w:color w:val="404040"/>
                <w:sz w:val="20"/>
                <w:szCs w:val="20"/>
              </w:rPr>
            </w:pPr>
          </w:p>
        </w:tc>
      </w:tr>
      <w:tr w:rsidR="001F515C" w:rsidRPr="00370487" w14:paraId="785D34D7" w14:textId="77777777" w:rsidTr="003F6431">
        <w:trPr>
          <w:cantSplit/>
        </w:trPr>
        <w:tc>
          <w:tcPr>
            <w:tcW w:w="7621" w:type="dxa"/>
            <w:gridSpan w:val="2"/>
            <w:shd w:val="clear" w:color="auto" w:fill="DBE5F1" w:themeFill="accent1" w:themeFillTint="33"/>
          </w:tcPr>
          <w:p w14:paraId="5BCA913B" w14:textId="77777777" w:rsidR="001F515C" w:rsidRPr="00917CC1" w:rsidRDefault="001F515C" w:rsidP="003F6431">
            <w:pPr>
              <w:rPr>
                <w:rFonts w:ascii="Arial" w:hAnsi="Arial" w:cs="Arial"/>
                <w:b/>
                <w:color w:val="404040"/>
                <w:sz w:val="20"/>
                <w:szCs w:val="20"/>
              </w:rPr>
            </w:pPr>
            <w:r w:rsidRPr="00917CC1">
              <w:rPr>
                <w:rFonts w:ascii="Arial" w:hAnsi="Arial" w:cs="Arial"/>
                <w:b/>
                <w:sz w:val="20"/>
                <w:szCs w:val="20"/>
              </w:rPr>
              <w:t>Waste Initiatives</w:t>
            </w:r>
          </w:p>
        </w:tc>
        <w:tc>
          <w:tcPr>
            <w:tcW w:w="1559" w:type="dxa"/>
            <w:shd w:val="clear" w:color="auto" w:fill="DBE5F1" w:themeFill="accent1" w:themeFillTint="33"/>
          </w:tcPr>
          <w:p w14:paraId="05325E6D" w14:textId="77777777" w:rsidR="001F515C" w:rsidRPr="00917CC1" w:rsidRDefault="001F515C" w:rsidP="003F6431">
            <w:pPr>
              <w:jc w:val="right"/>
              <w:rPr>
                <w:rFonts w:ascii="Arial" w:hAnsi="Arial" w:cs="Arial"/>
                <w:b/>
                <w:color w:val="404040"/>
                <w:sz w:val="20"/>
                <w:szCs w:val="20"/>
              </w:rPr>
            </w:pPr>
            <w:r w:rsidRPr="00917CC1">
              <w:rPr>
                <w:rFonts w:ascii="Arial" w:hAnsi="Arial" w:cs="Arial"/>
                <w:b/>
                <w:color w:val="404040"/>
                <w:sz w:val="20"/>
                <w:szCs w:val="20"/>
              </w:rPr>
              <w:t>$5,343,600</w:t>
            </w:r>
          </w:p>
        </w:tc>
      </w:tr>
      <w:tr w:rsidR="001F515C" w:rsidRPr="00370487" w14:paraId="02DF9384" w14:textId="77777777" w:rsidTr="003F6431">
        <w:trPr>
          <w:cantSplit/>
        </w:trPr>
        <w:tc>
          <w:tcPr>
            <w:tcW w:w="6062" w:type="dxa"/>
          </w:tcPr>
          <w:p w14:paraId="2AC1139E"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Improved residential recycling service model as part of the Waste Avoidance &amp; Resource Recovery Strategy. Improvements include changing from a weekly to fortnightly collection and providing larger capacity bins.</w:t>
            </w:r>
          </w:p>
        </w:tc>
        <w:tc>
          <w:tcPr>
            <w:tcW w:w="1559" w:type="dxa"/>
          </w:tcPr>
          <w:p w14:paraId="4C1A6373"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$3,000,000</w:t>
            </w:r>
          </w:p>
        </w:tc>
        <w:tc>
          <w:tcPr>
            <w:tcW w:w="1559" w:type="dxa"/>
          </w:tcPr>
          <w:p w14:paraId="2B65FE75" w14:textId="77777777" w:rsidR="001F515C" w:rsidRPr="00E76822" w:rsidRDefault="001F515C" w:rsidP="003F6431">
            <w:pPr>
              <w:jc w:val="right"/>
              <w:rPr>
                <w:rFonts w:ascii="Arial" w:hAnsi="Arial" w:cs="Arial"/>
                <w:color w:val="404040"/>
                <w:sz w:val="20"/>
                <w:szCs w:val="20"/>
              </w:rPr>
            </w:pPr>
          </w:p>
        </w:tc>
      </w:tr>
      <w:tr w:rsidR="001F515C" w:rsidRPr="00370487" w14:paraId="3D70BE42" w14:textId="77777777" w:rsidTr="003F6431">
        <w:trPr>
          <w:cantSplit/>
        </w:trPr>
        <w:tc>
          <w:tcPr>
            <w:tcW w:w="6062" w:type="dxa"/>
          </w:tcPr>
          <w:p w14:paraId="562AED98"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Change from crates to mobile bins for kerbside recycling.</w:t>
            </w:r>
          </w:p>
        </w:tc>
        <w:tc>
          <w:tcPr>
            <w:tcW w:w="1559" w:type="dxa"/>
          </w:tcPr>
          <w:p w14:paraId="47E9B45E"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$1,600,000</w:t>
            </w:r>
          </w:p>
        </w:tc>
        <w:tc>
          <w:tcPr>
            <w:tcW w:w="1559" w:type="dxa"/>
          </w:tcPr>
          <w:p w14:paraId="6BB943F3" w14:textId="77777777" w:rsidR="001F515C" w:rsidRPr="00E76822" w:rsidRDefault="001F515C" w:rsidP="003F6431">
            <w:pPr>
              <w:jc w:val="right"/>
              <w:rPr>
                <w:rFonts w:ascii="Arial" w:hAnsi="Arial" w:cs="Arial"/>
                <w:color w:val="404040"/>
                <w:sz w:val="20"/>
                <w:szCs w:val="20"/>
              </w:rPr>
            </w:pPr>
          </w:p>
        </w:tc>
      </w:tr>
      <w:tr w:rsidR="001F515C" w:rsidRPr="00370487" w14:paraId="7F16943F" w14:textId="77777777" w:rsidTr="003F6431">
        <w:trPr>
          <w:cantSplit/>
        </w:trPr>
        <w:tc>
          <w:tcPr>
            <w:tcW w:w="6062" w:type="dxa"/>
          </w:tcPr>
          <w:p w14:paraId="293FC2EB"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A business case demonstrated that operational savings could be achieved through the Council taking over direct management of the Blaxland Resource Recovery and Waste Management Facility at the conclusion of the current outsourced contract. Savings will come from a consolidation of recycling and materials processing contracts, avoidance of contract profit component and variation payments, and resource sharing with the Katoomba facility.</w:t>
            </w:r>
          </w:p>
        </w:tc>
        <w:tc>
          <w:tcPr>
            <w:tcW w:w="1559" w:type="dxa"/>
          </w:tcPr>
          <w:p w14:paraId="0E257C27"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$400,000</w:t>
            </w:r>
          </w:p>
        </w:tc>
        <w:tc>
          <w:tcPr>
            <w:tcW w:w="1559" w:type="dxa"/>
          </w:tcPr>
          <w:p w14:paraId="4F18A248" w14:textId="77777777" w:rsidR="001F515C" w:rsidRPr="00E76822" w:rsidRDefault="001F515C" w:rsidP="003F6431">
            <w:pPr>
              <w:jc w:val="right"/>
              <w:rPr>
                <w:rFonts w:ascii="Arial" w:hAnsi="Arial" w:cs="Arial"/>
                <w:color w:val="404040"/>
                <w:sz w:val="20"/>
                <w:szCs w:val="20"/>
              </w:rPr>
            </w:pPr>
          </w:p>
        </w:tc>
      </w:tr>
      <w:tr w:rsidR="001F515C" w:rsidRPr="00370487" w14:paraId="34A30B5D" w14:textId="77777777" w:rsidTr="003F6431">
        <w:trPr>
          <w:cantSplit/>
        </w:trPr>
        <w:tc>
          <w:tcPr>
            <w:tcW w:w="6062" w:type="dxa"/>
          </w:tcPr>
          <w:p w14:paraId="20422AE7"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Change in provision of chipping and bulky waste services from a scheduled/whole city program to an on-demand/booked service</w:t>
            </w:r>
          </w:p>
        </w:tc>
        <w:tc>
          <w:tcPr>
            <w:tcW w:w="1559" w:type="dxa"/>
          </w:tcPr>
          <w:p w14:paraId="257496B1"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$254,000</w:t>
            </w:r>
          </w:p>
        </w:tc>
        <w:tc>
          <w:tcPr>
            <w:tcW w:w="1559" w:type="dxa"/>
          </w:tcPr>
          <w:p w14:paraId="04C5D5AD" w14:textId="77777777" w:rsidR="001F515C" w:rsidRPr="00E76822" w:rsidRDefault="001F515C" w:rsidP="003F6431">
            <w:pPr>
              <w:jc w:val="right"/>
              <w:rPr>
                <w:rFonts w:ascii="Arial" w:hAnsi="Arial" w:cs="Arial"/>
                <w:color w:val="404040"/>
                <w:sz w:val="20"/>
                <w:szCs w:val="20"/>
              </w:rPr>
            </w:pPr>
          </w:p>
        </w:tc>
      </w:tr>
      <w:tr w:rsidR="001F515C" w:rsidRPr="00370487" w14:paraId="430463C7" w14:textId="77777777" w:rsidTr="003F6431">
        <w:trPr>
          <w:cantSplit/>
        </w:trPr>
        <w:tc>
          <w:tcPr>
            <w:tcW w:w="6062" w:type="dxa"/>
          </w:tcPr>
          <w:p w14:paraId="6DF7CD7E"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Use of reclaimed material for road construction at Katoomba Waste Management Facility.</w:t>
            </w:r>
          </w:p>
        </w:tc>
        <w:tc>
          <w:tcPr>
            <w:tcW w:w="1559" w:type="dxa"/>
          </w:tcPr>
          <w:p w14:paraId="56934B64"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$60,000</w:t>
            </w:r>
          </w:p>
        </w:tc>
        <w:tc>
          <w:tcPr>
            <w:tcW w:w="1559" w:type="dxa"/>
          </w:tcPr>
          <w:p w14:paraId="6BC01577" w14:textId="77777777" w:rsidR="001F515C" w:rsidRPr="00E76822" w:rsidRDefault="001F515C" w:rsidP="003F6431">
            <w:pPr>
              <w:jc w:val="right"/>
              <w:rPr>
                <w:rFonts w:ascii="Arial" w:hAnsi="Arial" w:cs="Arial"/>
                <w:color w:val="404040"/>
                <w:sz w:val="20"/>
                <w:szCs w:val="20"/>
              </w:rPr>
            </w:pPr>
          </w:p>
        </w:tc>
      </w:tr>
      <w:tr w:rsidR="001F515C" w:rsidRPr="00370487" w14:paraId="1D8E2D71" w14:textId="77777777" w:rsidTr="003F6431">
        <w:trPr>
          <w:cantSplit/>
        </w:trPr>
        <w:tc>
          <w:tcPr>
            <w:tcW w:w="6062" w:type="dxa"/>
          </w:tcPr>
          <w:p w14:paraId="1A749233"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Removal of bottle bank in the library carpark</w:t>
            </w:r>
          </w:p>
        </w:tc>
        <w:tc>
          <w:tcPr>
            <w:tcW w:w="1559" w:type="dxa"/>
          </w:tcPr>
          <w:p w14:paraId="05197E41"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$29,600</w:t>
            </w:r>
          </w:p>
        </w:tc>
        <w:tc>
          <w:tcPr>
            <w:tcW w:w="1559" w:type="dxa"/>
          </w:tcPr>
          <w:p w14:paraId="3E0D4148" w14:textId="77777777" w:rsidR="001F515C" w:rsidRPr="00E76822" w:rsidRDefault="001F515C" w:rsidP="003F6431">
            <w:pPr>
              <w:jc w:val="right"/>
              <w:rPr>
                <w:rFonts w:ascii="Arial" w:hAnsi="Arial" w:cs="Arial"/>
                <w:color w:val="404040"/>
                <w:sz w:val="20"/>
                <w:szCs w:val="20"/>
              </w:rPr>
            </w:pPr>
          </w:p>
        </w:tc>
      </w:tr>
      <w:tr w:rsidR="001F515C" w:rsidRPr="00370487" w14:paraId="361AF3A9" w14:textId="77777777" w:rsidTr="003F6431">
        <w:trPr>
          <w:cantSplit/>
        </w:trPr>
        <w:tc>
          <w:tcPr>
            <w:tcW w:w="7621" w:type="dxa"/>
            <w:gridSpan w:val="2"/>
            <w:shd w:val="clear" w:color="auto" w:fill="DBE5F1" w:themeFill="accent1" w:themeFillTint="33"/>
          </w:tcPr>
          <w:p w14:paraId="72720A0F" w14:textId="77777777" w:rsidR="001F515C" w:rsidRPr="00917CC1" w:rsidRDefault="001F515C" w:rsidP="003F6431">
            <w:pPr>
              <w:rPr>
                <w:rFonts w:ascii="Arial" w:hAnsi="Arial" w:cs="Arial"/>
                <w:b/>
                <w:color w:val="404040"/>
                <w:sz w:val="20"/>
                <w:szCs w:val="20"/>
              </w:rPr>
            </w:pPr>
            <w:r w:rsidRPr="00917CC1">
              <w:rPr>
                <w:rFonts w:ascii="Arial" w:hAnsi="Arial" w:cs="Arial"/>
                <w:b/>
                <w:sz w:val="20"/>
                <w:szCs w:val="20"/>
              </w:rPr>
              <w:t>Work Redesign and Productivity</w:t>
            </w:r>
          </w:p>
        </w:tc>
        <w:tc>
          <w:tcPr>
            <w:tcW w:w="1559" w:type="dxa"/>
            <w:shd w:val="clear" w:color="auto" w:fill="DBE5F1" w:themeFill="accent1" w:themeFillTint="33"/>
          </w:tcPr>
          <w:p w14:paraId="1BF8E2A1" w14:textId="77777777" w:rsidR="001F515C" w:rsidRPr="00917CC1" w:rsidRDefault="001F515C" w:rsidP="003F6431">
            <w:pPr>
              <w:jc w:val="right"/>
              <w:rPr>
                <w:rFonts w:ascii="Arial" w:hAnsi="Arial" w:cs="Arial"/>
                <w:b/>
                <w:color w:val="404040"/>
                <w:sz w:val="20"/>
                <w:szCs w:val="20"/>
              </w:rPr>
            </w:pPr>
            <w:r w:rsidRPr="00917CC1">
              <w:rPr>
                <w:rFonts w:ascii="Arial" w:hAnsi="Arial" w:cs="Arial"/>
                <w:b/>
                <w:color w:val="404040"/>
                <w:sz w:val="20"/>
                <w:szCs w:val="20"/>
              </w:rPr>
              <w:t>$2,722,400</w:t>
            </w:r>
          </w:p>
        </w:tc>
      </w:tr>
      <w:tr w:rsidR="001F515C" w:rsidRPr="00370487" w14:paraId="7C2EE664" w14:textId="77777777" w:rsidTr="003F6431">
        <w:trPr>
          <w:cantSplit/>
        </w:trPr>
        <w:tc>
          <w:tcPr>
            <w:tcW w:w="6062" w:type="dxa"/>
          </w:tcPr>
          <w:p w14:paraId="43026493"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Rationalised the parks team by using day labour in the growing season, rather than full-time employees. This provided savings in employment and plant costs.</w:t>
            </w:r>
          </w:p>
        </w:tc>
        <w:tc>
          <w:tcPr>
            <w:tcW w:w="1559" w:type="dxa"/>
          </w:tcPr>
          <w:p w14:paraId="4DD92E7F"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$680,000</w:t>
            </w:r>
          </w:p>
        </w:tc>
        <w:tc>
          <w:tcPr>
            <w:tcW w:w="1559" w:type="dxa"/>
          </w:tcPr>
          <w:p w14:paraId="1FD9A8D6" w14:textId="77777777" w:rsidR="001F515C" w:rsidRPr="00E76822" w:rsidRDefault="001F515C" w:rsidP="003F6431">
            <w:pPr>
              <w:jc w:val="right"/>
              <w:rPr>
                <w:rFonts w:ascii="Arial" w:hAnsi="Arial" w:cs="Arial"/>
                <w:color w:val="404040"/>
                <w:sz w:val="20"/>
                <w:szCs w:val="20"/>
              </w:rPr>
            </w:pPr>
          </w:p>
        </w:tc>
      </w:tr>
      <w:tr w:rsidR="001F515C" w:rsidRPr="00370487" w14:paraId="0D360D67" w14:textId="77777777" w:rsidTr="003F6431">
        <w:trPr>
          <w:cantSplit/>
        </w:trPr>
        <w:tc>
          <w:tcPr>
            <w:tcW w:w="6062" w:type="dxa"/>
          </w:tcPr>
          <w:p w14:paraId="2E498390"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Rationalised the road maintenance team to account for increased productivity. This resulted in employment and plant cost savings with no less in the level of service.</w:t>
            </w:r>
          </w:p>
        </w:tc>
        <w:tc>
          <w:tcPr>
            <w:tcW w:w="1559" w:type="dxa"/>
          </w:tcPr>
          <w:p w14:paraId="5549011B"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$680,000</w:t>
            </w:r>
          </w:p>
        </w:tc>
        <w:tc>
          <w:tcPr>
            <w:tcW w:w="1559" w:type="dxa"/>
          </w:tcPr>
          <w:p w14:paraId="6CBC41D2" w14:textId="77777777" w:rsidR="001F515C" w:rsidRPr="00E76822" w:rsidRDefault="001F515C" w:rsidP="003F6431">
            <w:pPr>
              <w:jc w:val="right"/>
              <w:rPr>
                <w:rFonts w:ascii="Arial" w:hAnsi="Arial" w:cs="Arial"/>
                <w:color w:val="404040"/>
                <w:sz w:val="20"/>
                <w:szCs w:val="20"/>
              </w:rPr>
            </w:pPr>
          </w:p>
        </w:tc>
      </w:tr>
      <w:tr w:rsidR="001F515C" w:rsidRPr="00370487" w14:paraId="225300EB" w14:textId="77777777" w:rsidTr="003F6431">
        <w:trPr>
          <w:cantSplit/>
        </w:trPr>
        <w:tc>
          <w:tcPr>
            <w:tcW w:w="6062" w:type="dxa"/>
          </w:tcPr>
          <w:p w14:paraId="6DACE27C"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Savings from 1 EFT staff in the noxious weeds team</w:t>
            </w:r>
          </w:p>
        </w:tc>
        <w:tc>
          <w:tcPr>
            <w:tcW w:w="1559" w:type="dxa"/>
          </w:tcPr>
          <w:p w14:paraId="1C79A67C"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$240,000</w:t>
            </w:r>
          </w:p>
        </w:tc>
        <w:tc>
          <w:tcPr>
            <w:tcW w:w="1559" w:type="dxa"/>
          </w:tcPr>
          <w:p w14:paraId="01F4AB0F" w14:textId="77777777" w:rsidR="001F515C" w:rsidRPr="00E76822" w:rsidRDefault="001F515C" w:rsidP="003F6431">
            <w:pPr>
              <w:jc w:val="right"/>
              <w:rPr>
                <w:rFonts w:ascii="Arial" w:hAnsi="Arial" w:cs="Arial"/>
                <w:color w:val="404040"/>
                <w:sz w:val="20"/>
                <w:szCs w:val="20"/>
              </w:rPr>
            </w:pPr>
          </w:p>
        </w:tc>
      </w:tr>
      <w:tr w:rsidR="001F515C" w:rsidRPr="00370487" w14:paraId="5C4E4FDB" w14:textId="77777777" w:rsidTr="003F6431">
        <w:trPr>
          <w:cantSplit/>
        </w:trPr>
        <w:tc>
          <w:tcPr>
            <w:tcW w:w="6062" w:type="dxa"/>
          </w:tcPr>
          <w:p w14:paraId="65570020"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Savings from 1 EFT staff in the bush regeneration team</w:t>
            </w:r>
          </w:p>
        </w:tc>
        <w:tc>
          <w:tcPr>
            <w:tcW w:w="1559" w:type="dxa"/>
          </w:tcPr>
          <w:p w14:paraId="55ACCAC7"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$240,000</w:t>
            </w:r>
          </w:p>
        </w:tc>
        <w:tc>
          <w:tcPr>
            <w:tcW w:w="1559" w:type="dxa"/>
          </w:tcPr>
          <w:p w14:paraId="60EC177F" w14:textId="77777777" w:rsidR="001F515C" w:rsidRPr="00E76822" w:rsidRDefault="001F515C" w:rsidP="003F6431">
            <w:pPr>
              <w:jc w:val="right"/>
              <w:rPr>
                <w:rFonts w:ascii="Arial" w:hAnsi="Arial" w:cs="Arial"/>
                <w:color w:val="404040"/>
                <w:sz w:val="20"/>
                <w:szCs w:val="20"/>
              </w:rPr>
            </w:pPr>
          </w:p>
        </w:tc>
      </w:tr>
      <w:tr w:rsidR="001F515C" w:rsidRPr="00370487" w14:paraId="0950ADCB" w14:textId="77777777" w:rsidTr="003F6431">
        <w:trPr>
          <w:cantSplit/>
        </w:trPr>
        <w:tc>
          <w:tcPr>
            <w:tcW w:w="6062" w:type="dxa"/>
          </w:tcPr>
          <w:p w14:paraId="435A73E7"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Consolidated the Customer Services and Information Technology branches leading to savings in employment and vehicle costs.</w:t>
            </w:r>
          </w:p>
        </w:tc>
        <w:tc>
          <w:tcPr>
            <w:tcW w:w="1559" w:type="dxa"/>
          </w:tcPr>
          <w:p w14:paraId="001D3B9D"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$226,000</w:t>
            </w:r>
          </w:p>
        </w:tc>
        <w:tc>
          <w:tcPr>
            <w:tcW w:w="1559" w:type="dxa"/>
          </w:tcPr>
          <w:p w14:paraId="7C84AF94" w14:textId="77777777" w:rsidR="001F515C" w:rsidRPr="00E76822" w:rsidRDefault="001F515C" w:rsidP="003F6431">
            <w:pPr>
              <w:jc w:val="right"/>
              <w:rPr>
                <w:rFonts w:ascii="Arial" w:hAnsi="Arial" w:cs="Arial"/>
                <w:color w:val="404040"/>
                <w:sz w:val="20"/>
                <w:szCs w:val="20"/>
              </w:rPr>
            </w:pPr>
          </w:p>
        </w:tc>
      </w:tr>
      <w:tr w:rsidR="001F515C" w:rsidRPr="00370487" w14:paraId="68FE196E" w14:textId="77777777" w:rsidTr="003F6431">
        <w:trPr>
          <w:cantSplit/>
        </w:trPr>
        <w:tc>
          <w:tcPr>
            <w:tcW w:w="6062" w:type="dxa"/>
          </w:tcPr>
          <w:p w14:paraId="7727EB2E"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Increased productivity in roads maintenance meant the civil construction team did not have to fill a recent vacancy. Extra day labour will be hired if a project demands it.</w:t>
            </w:r>
          </w:p>
        </w:tc>
        <w:tc>
          <w:tcPr>
            <w:tcW w:w="1559" w:type="dxa"/>
          </w:tcPr>
          <w:p w14:paraId="51764AE1"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$120,000</w:t>
            </w:r>
          </w:p>
        </w:tc>
        <w:tc>
          <w:tcPr>
            <w:tcW w:w="1559" w:type="dxa"/>
          </w:tcPr>
          <w:p w14:paraId="42238DA7" w14:textId="77777777" w:rsidR="001F515C" w:rsidRPr="00E76822" w:rsidRDefault="001F515C" w:rsidP="003F6431">
            <w:pPr>
              <w:jc w:val="right"/>
              <w:rPr>
                <w:rFonts w:ascii="Arial" w:hAnsi="Arial" w:cs="Arial"/>
                <w:color w:val="404040"/>
                <w:sz w:val="20"/>
                <w:szCs w:val="20"/>
              </w:rPr>
            </w:pPr>
          </w:p>
        </w:tc>
      </w:tr>
      <w:tr w:rsidR="001F515C" w:rsidRPr="00370487" w14:paraId="2EA99877" w14:textId="77777777" w:rsidTr="003F6431">
        <w:trPr>
          <w:cantSplit/>
        </w:trPr>
        <w:tc>
          <w:tcPr>
            <w:tcW w:w="6062" w:type="dxa"/>
          </w:tcPr>
          <w:p w14:paraId="77228206"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Visitor Information Centres - introduce new rosters. Revised rosters have been introduced.</w:t>
            </w:r>
          </w:p>
        </w:tc>
        <w:tc>
          <w:tcPr>
            <w:tcW w:w="1559" w:type="dxa"/>
          </w:tcPr>
          <w:p w14:paraId="01E3240F"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$80,000</w:t>
            </w:r>
          </w:p>
        </w:tc>
        <w:tc>
          <w:tcPr>
            <w:tcW w:w="1559" w:type="dxa"/>
          </w:tcPr>
          <w:p w14:paraId="01EAFAF1" w14:textId="77777777" w:rsidR="001F515C" w:rsidRPr="00E76822" w:rsidRDefault="001F515C" w:rsidP="003F6431">
            <w:pPr>
              <w:jc w:val="right"/>
              <w:rPr>
                <w:rFonts w:ascii="Arial" w:hAnsi="Arial" w:cs="Arial"/>
                <w:color w:val="404040"/>
                <w:sz w:val="20"/>
                <w:szCs w:val="20"/>
              </w:rPr>
            </w:pPr>
          </w:p>
        </w:tc>
      </w:tr>
      <w:tr w:rsidR="001F515C" w:rsidRPr="00370487" w14:paraId="56D5CEC4" w14:textId="77777777" w:rsidTr="003F6431">
        <w:trPr>
          <w:cantSplit/>
        </w:trPr>
        <w:tc>
          <w:tcPr>
            <w:tcW w:w="6062" w:type="dxa"/>
          </w:tcPr>
          <w:p w14:paraId="3B4ADE73"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Reduction in employment costs with pre cataloguing negotiated as part of a strategic procurement package</w:t>
            </w:r>
          </w:p>
        </w:tc>
        <w:tc>
          <w:tcPr>
            <w:tcW w:w="1559" w:type="dxa"/>
          </w:tcPr>
          <w:p w14:paraId="4244B014"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$80,000</w:t>
            </w:r>
          </w:p>
        </w:tc>
        <w:tc>
          <w:tcPr>
            <w:tcW w:w="1559" w:type="dxa"/>
          </w:tcPr>
          <w:p w14:paraId="6023C1FC" w14:textId="77777777" w:rsidR="001F515C" w:rsidRPr="00E76822" w:rsidRDefault="001F515C" w:rsidP="003F6431">
            <w:pPr>
              <w:jc w:val="right"/>
              <w:rPr>
                <w:rFonts w:ascii="Arial" w:hAnsi="Arial" w:cs="Arial"/>
                <w:color w:val="404040"/>
                <w:sz w:val="20"/>
                <w:szCs w:val="20"/>
              </w:rPr>
            </w:pPr>
          </w:p>
        </w:tc>
      </w:tr>
      <w:tr w:rsidR="001F515C" w:rsidRPr="00370487" w14:paraId="539422E3" w14:textId="77777777" w:rsidTr="003F6431">
        <w:trPr>
          <w:cantSplit/>
        </w:trPr>
        <w:tc>
          <w:tcPr>
            <w:tcW w:w="6062" w:type="dxa"/>
          </w:tcPr>
          <w:p w14:paraId="636A1675"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Training costs of accredited certifiers – using training options other than (more expensive) external courses to achieve Continual Professional Development (CPD) points for accreditation. Examples include shared in-house training with Penrith Council and online training.</w:t>
            </w:r>
          </w:p>
        </w:tc>
        <w:tc>
          <w:tcPr>
            <w:tcW w:w="1559" w:type="dxa"/>
          </w:tcPr>
          <w:p w14:paraId="77EC7DDD"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$66,400</w:t>
            </w:r>
          </w:p>
        </w:tc>
        <w:tc>
          <w:tcPr>
            <w:tcW w:w="1559" w:type="dxa"/>
          </w:tcPr>
          <w:p w14:paraId="46A56EB0" w14:textId="77777777" w:rsidR="001F515C" w:rsidRPr="00E76822" w:rsidRDefault="001F515C" w:rsidP="003F6431">
            <w:pPr>
              <w:jc w:val="right"/>
              <w:rPr>
                <w:rFonts w:ascii="Arial" w:hAnsi="Arial" w:cs="Arial"/>
                <w:color w:val="404040"/>
                <w:sz w:val="20"/>
                <w:szCs w:val="20"/>
              </w:rPr>
            </w:pPr>
          </w:p>
        </w:tc>
      </w:tr>
      <w:tr w:rsidR="001F515C" w:rsidRPr="00370487" w14:paraId="0BDA8D92" w14:textId="77777777" w:rsidTr="003F6431">
        <w:trPr>
          <w:cantSplit/>
        </w:trPr>
        <w:tc>
          <w:tcPr>
            <w:tcW w:w="6062" w:type="dxa"/>
          </w:tcPr>
          <w:p w14:paraId="750B4D35"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Consolidated the. Environmental &amp; Regulatory Compliance and Land Use Management branches leading to savings in employment and vehicle costs.</w:t>
            </w:r>
          </w:p>
        </w:tc>
        <w:tc>
          <w:tcPr>
            <w:tcW w:w="1559" w:type="dxa"/>
          </w:tcPr>
          <w:p w14:paraId="4D9DD5ED"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$60,000</w:t>
            </w:r>
          </w:p>
        </w:tc>
        <w:tc>
          <w:tcPr>
            <w:tcW w:w="1559" w:type="dxa"/>
          </w:tcPr>
          <w:p w14:paraId="3B24BFB0" w14:textId="77777777" w:rsidR="001F515C" w:rsidRPr="00E76822" w:rsidRDefault="001F515C" w:rsidP="003F6431">
            <w:pPr>
              <w:jc w:val="right"/>
              <w:rPr>
                <w:rFonts w:ascii="Arial" w:hAnsi="Arial" w:cs="Arial"/>
                <w:color w:val="404040"/>
                <w:sz w:val="20"/>
                <w:szCs w:val="20"/>
              </w:rPr>
            </w:pPr>
          </w:p>
        </w:tc>
      </w:tr>
      <w:tr w:rsidR="001F515C" w:rsidRPr="00370487" w14:paraId="25B79655" w14:textId="77777777" w:rsidTr="003F6431">
        <w:trPr>
          <w:cantSplit/>
        </w:trPr>
        <w:tc>
          <w:tcPr>
            <w:tcW w:w="6062" w:type="dxa"/>
          </w:tcPr>
          <w:p w14:paraId="5A75CA37"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Sign truck reduced from 2 person to 1 person with production maintained and unit rates reduced.</w:t>
            </w:r>
          </w:p>
        </w:tc>
        <w:tc>
          <w:tcPr>
            <w:tcW w:w="1559" w:type="dxa"/>
          </w:tcPr>
          <w:p w14:paraId="73DB9850"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$60,000</w:t>
            </w:r>
          </w:p>
        </w:tc>
        <w:tc>
          <w:tcPr>
            <w:tcW w:w="1559" w:type="dxa"/>
          </w:tcPr>
          <w:p w14:paraId="4A6F2A53" w14:textId="77777777" w:rsidR="001F515C" w:rsidRPr="00E76822" w:rsidRDefault="001F515C" w:rsidP="003F6431">
            <w:pPr>
              <w:jc w:val="right"/>
              <w:rPr>
                <w:rFonts w:ascii="Arial" w:hAnsi="Arial" w:cs="Arial"/>
                <w:color w:val="404040"/>
                <w:sz w:val="20"/>
                <w:szCs w:val="20"/>
              </w:rPr>
            </w:pPr>
          </w:p>
        </w:tc>
      </w:tr>
      <w:tr w:rsidR="001F515C" w:rsidRPr="00370487" w14:paraId="25F4E3FD" w14:textId="77777777" w:rsidTr="003F6431">
        <w:trPr>
          <w:cantSplit/>
        </w:trPr>
        <w:tc>
          <w:tcPr>
            <w:tcW w:w="6062" w:type="dxa"/>
          </w:tcPr>
          <w:p w14:paraId="0F0F0F1A"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Cemeteries team rationalised through increased productivity. One FTE transferred pavements team to reduce labour hire costs.</w:t>
            </w:r>
          </w:p>
        </w:tc>
        <w:tc>
          <w:tcPr>
            <w:tcW w:w="1559" w:type="dxa"/>
          </w:tcPr>
          <w:p w14:paraId="4FC31237"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$60,000</w:t>
            </w:r>
          </w:p>
        </w:tc>
        <w:tc>
          <w:tcPr>
            <w:tcW w:w="1559" w:type="dxa"/>
          </w:tcPr>
          <w:p w14:paraId="099EA38C" w14:textId="77777777" w:rsidR="001F515C" w:rsidRPr="00E76822" w:rsidRDefault="001F515C" w:rsidP="003F6431">
            <w:pPr>
              <w:jc w:val="right"/>
              <w:rPr>
                <w:rFonts w:ascii="Arial" w:hAnsi="Arial" w:cs="Arial"/>
                <w:color w:val="404040"/>
                <w:sz w:val="20"/>
                <w:szCs w:val="20"/>
              </w:rPr>
            </w:pPr>
          </w:p>
        </w:tc>
      </w:tr>
      <w:tr w:rsidR="001F515C" w:rsidRPr="00370487" w14:paraId="13F9FF45" w14:textId="77777777" w:rsidTr="003F6431">
        <w:trPr>
          <w:cantSplit/>
        </w:trPr>
        <w:tc>
          <w:tcPr>
            <w:tcW w:w="6062" w:type="dxa"/>
          </w:tcPr>
          <w:p w14:paraId="3EDB283E"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Reduction of casual budget for Bushcare for groups that can operate without supervision during periods of staff leave</w:t>
            </w:r>
          </w:p>
        </w:tc>
        <w:tc>
          <w:tcPr>
            <w:tcW w:w="1559" w:type="dxa"/>
          </w:tcPr>
          <w:p w14:paraId="78A3A95D"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$48,000</w:t>
            </w:r>
          </w:p>
        </w:tc>
        <w:tc>
          <w:tcPr>
            <w:tcW w:w="1559" w:type="dxa"/>
          </w:tcPr>
          <w:p w14:paraId="39A542A1" w14:textId="77777777" w:rsidR="001F515C" w:rsidRPr="00E76822" w:rsidRDefault="001F515C" w:rsidP="003F6431">
            <w:pPr>
              <w:jc w:val="right"/>
              <w:rPr>
                <w:rFonts w:ascii="Arial" w:hAnsi="Arial" w:cs="Arial"/>
                <w:color w:val="404040"/>
                <w:sz w:val="20"/>
                <w:szCs w:val="20"/>
              </w:rPr>
            </w:pPr>
          </w:p>
        </w:tc>
      </w:tr>
      <w:tr w:rsidR="001F515C" w:rsidRPr="00370487" w14:paraId="5CF04705" w14:textId="77777777" w:rsidTr="003F6431">
        <w:trPr>
          <w:cantSplit/>
        </w:trPr>
        <w:tc>
          <w:tcPr>
            <w:tcW w:w="6062" w:type="dxa"/>
          </w:tcPr>
          <w:p w14:paraId="78C2B94E"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Use of multi-skilled staff to provide front reception service</w:t>
            </w:r>
          </w:p>
        </w:tc>
        <w:tc>
          <w:tcPr>
            <w:tcW w:w="1559" w:type="dxa"/>
          </w:tcPr>
          <w:p w14:paraId="614BCADD"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$42,000</w:t>
            </w:r>
          </w:p>
        </w:tc>
        <w:tc>
          <w:tcPr>
            <w:tcW w:w="1559" w:type="dxa"/>
          </w:tcPr>
          <w:p w14:paraId="33B25EEC" w14:textId="77777777" w:rsidR="001F515C" w:rsidRPr="00E76822" w:rsidRDefault="001F515C" w:rsidP="003F6431">
            <w:pPr>
              <w:jc w:val="right"/>
              <w:rPr>
                <w:rFonts w:ascii="Arial" w:hAnsi="Arial" w:cs="Arial"/>
                <w:color w:val="404040"/>
                <w:sz w:val="20"/>
                <w:szCs w:val="20"/>
              </w:rPr>
            </w:pPr>
          </w:p>
        </w:tc>
      </w:tr>
      <w:tr w:rsidR="001F515C" w:rsidRPr="00370487" w14:paraId="2EF99EA5" w14:textId="77777777" w:rsidTr="003F6431">
        <w:trPr>
          <w:cantSplit/>
        </w:trPr>
        <w:tc>
          <w:tcPr>
            <w:tcW w:w="6062" w:type="dxa"/>
          </w:tcPr>
          <w:p w14:paraId="08E16901"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Changed from external energy reporting provider to inhouse reporting</w:t>
            </w:r>
          </w:p>
        </w:tc>
        <w:tc>
          <w:tcPr>
            <w:tcW w:w="1559" w:type="dxa"/>
          </w:tcPr>
          <w:p w14:paraId="4A860B34"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$20,000</w:t>
            </w:r>
          </w:p>
        </w:tc>
        <w:tc>
          <w:tcPr>
            <w:tcW w:w="1559" w:type="dxa"/>
          </w:tcPr>
          <w:p w14:paraId="13689A71" w14:textId="77777777" w:rsidR="001F515C" w:rsidRPr="00E76822" w:rsidRDefault="001F515C" w:rsidP="003F6431">
            <w:pPr>
              <w:jc w:val="right"/>
              <w:rPr>
                <w:rFonts w:ascii="Arial" w:hAnsi="Arial" w:cs="Arial"/>
                <w:color w:val="404040"/>
                <w:sz w:val="20"/>
                <w:szCs w:val="20"/>
              </w:rPr>
            </w:pPr>
          </w:p>
        </w:tc>
      </w:tr>
      <w:tr w:rsidR="001F515C" w:rsidRPr="00370487" w14:paraId="600A74BA" w14:textId="77777777" w:rsidTr="003F6431">
        <w:trPr>
          <w:cantSplit/>
        </w:trPr>
        <w:tc>
          <w:tcPr>
            <w:tcW w:w="6062" w:type="dxa"/>
          </w:tcPr>
          <w:p w14:paraId="3947DF42" w14:textId="77777777" w:rsidR="001F515C" w:rsidRPr="00E76822" w:rsidRDefault="001F515C" w:rsidP="003F6431">
            <w:pPr>
              <w:rPr>
                <w:rFonts w:ascii="Arial" w:hAnsi="Arial" w:cs="Arial"/>
                <w:sz w:val="20"/>
                <w:szCs w:val="20"/>
              </w:rPr>
            </w:pPr>
            <w:r w:rsidRPr="00E76822">
              <w:rPr>
                <w:rFonts w:ascii="Arial" w:hAnsi="Arial" w:cs="Arial"/>
                <w:color w:val="404040"/>
                <w:sz w:val="20"/>
                <w:szCs w:val="20"/>
              </w:rPr>
              <w:t>Reduction in consultancy costs with reciprocal  arrangements for peer review of development applications with other local government service providers</w:t>
            </w:r>
          </w:p>
        </w:tc>
        <w:tc>
          <w:tcPr>
            <w:tcW w:w="1559" w:type="dxa"/>
          </w:tcPr>
          <w:p w14:paraId="154CAD1D" w14:textId="77777777" w:rsidR="001F515C" w:rsidRPr="00E76822" w:rsidRDefault="001F515C" w:rsidP="003F6431">
            <w:pPr>
              <w:jc w:val="right"/>
              <w:rPr>
                <w:rFonts w:ascii="Arial" w:hAnsi="Arial" w:cs="Arial"/>
                <w:color w:val="404040"/>
                <w:sz w:val="20"/>
                <w:szCs w:val="20"/>
              </w:rPr>
            </w:pPr>
            <w:r w:rsidRPr="00E76822">
              <w:rPr>
                <w:rFonts w:ascii="Arial" w:hAnsi="Arial" w:cs="Arial"/>
                <w:color w:val="404040"/>
                <w:sz w:val="20"/>
                <w:szCs w:val="20"/>
              </w:rPr>
              <w:t>$20,000</w:t>
            </w:r>
          </w:p>
        </w:tc>
        <w:tc>
          <w:tcPr>
            <w:tcW w:w="1559" w:type="dxa"/>
          </w:tcPr>
          <w:p w14:paraId="3999E59C" w14:textId="77777777" w:rsidR="001F515C" w:rsidRPr="00E76822" w:rsidRDefault="001F515C" w:rsidP="003F6431">
            <w:pPr>
              <w:jc w:val="right"/>
              <w:rPr>
                <w:rFonts w:ascii="Arial" w:hAnsi="Arial" w:cs="Arial"/>
                <w:color w:val="404040"/>
                <w:sz w:val="20"/>
                <w:szCs w:val="20"/>
              </w:rPr>
            </w:pPr>
          </w:p>
        </w:tc>
      </w:tr>
      <w:tr w:rsidR="001F515C" w:rsidRPr="00370487" w14:paraId="3103361A" w14:textId="77777777" w:rsidTr="003F6431">
        <w:trPr>
          <w:cantSplit/>
        </w:trPr>
        <w:tc>
          <w:tcPr>
            <w:tcW w:w="7621" w:type="dxa"/>
            <w:gridSpan w:val="2"/>
            <w:shd w:val="clear" w:color="auto" w:fill="95B3D7" w:themeFill="accent1" w:themeFillTint="99"/>
          </w:tcPr>
          <w:p w14:paraId="73E0F89A" w14:textId="77777777" w:rsidR="005B5F6F" w:rsidRDefault="005B5F6F" w:rsidP="003F6431">
            <w:pPr>
              <w:rPr>
                <w:rFonts w:ascii="Arial" w:hAnsi="Arial" w:cs="Arial"/>
                <w:b/>
                <w:sz w:val="20"/>
                <w:szCs w:val="20"/>
              </w:rPr>
            </w:pPr>
          </w:p>
          <w:p w14:paraId="0C2CE25C" w14:textId="77777777" w:rsidR="001F515C" w:rsidRPr="00917CC1" w:rsidRDefault="001F515C" w:rsidP="003F6431">
            <w:pPr>
              <w:rPr>
                <w:rFonts w:ascii="Arial" w:hAnsi="Arial" w:cs="Arial"/>
                <w:b/>
                <w:sz w:val="20"/>
                <w:szCs w:val="20"/>
              </w:rPr>
            </w:pPr>
            <w:r w:rsidRPr="00917CC1">
              <w:rPr>
                <w:rFonts w:ascii="Arial" w:hAnsi="Arial" w:cs="Arial"/>
                <w:b/>
                <w:sz w:val="20"/>
                <w:szCs w:val="20"/>
              </w:rPr>
              <w:t>Total Savings 2015/16-2018/19</w:t>
            </w:r>
          </w:p>
        </w:tc>
        <w:tc>
          <w:tcPr>
            <w:tcW w:w="1559" w:type="dxa"/>
            <w:shd w:val="clear" w:color="auto" w:fill="95B3D7" w:themeFill="accent1" w:themeFillTint="99"/>
          </w:tcPr>
          <w:p w14:paraId="18AE2974" w14:textId="77777777" w:rsidR="005B5F6F" w:rsidRDefault="005B5F6F" w:rsidP="003F6431">
            <w:pPr>
              <w:jc w:val="right"/>
              <w:rPr>
                <w:rFonts w:ascii="Arial" w:hAnsi="Arial" w:cs="Arial"/>
                <w:b/>
                <w:sz w:val="20"/>
                <w:szCs w:val="20"/>
              </w:rPr>
            </w:pPr>
          </w:p>
          <w:p w14:paraId="30F48E48" w14:textId="77777777" w:rsidR="001F515C" w:rsidRPr="00917CC1" w:rsidRDefault="001F515C" w:rsidP="003F6431">
            <w:pPr>
              <w:jc w:val="right"/>
              <w:rPr>
                <w:rFonts w:ascii="Arial" w:hAnsi="Arial" w:cs="Arial"/>
                <w:b/>
                <w:sz w:val="20"/>
                <w:szCs w:val="20"/>
              </w:rPr>
            </w:pPr>
            <w:r w:rsidRPr="00917CC1">
              <w:rPr>
                <w:rFonts w:ascii="Arial" w:hAnsi="Arial" w:cs="Arial"/>
                <w:b/>
                <w:sz w:val="20"/>
                <w:szCs w:val="20"/>
              </w:rPr>
              <w:t>$20,959,093</w:t>
            </w:r>
          </w:p>
        </w:tc>
      </w:tr>
    </w:tbl>
    <w:p w14:paraId="633F4408" w14:textId="77777777" w:rsidR="001F515C" w:rsidRDefault="001F515C" w:rsidP="001F515C">
      <w:pPr>
        <w:widowControl w:val="0"/>
        <w:tabs>
          <w:tab w:val="right" w:pos="8947"/>
          <w:tab w:val="right" w:pos="10909"/>
        </w:tabs>
        <w:autoSpaceDE w:val="0"/>
        <w:autoSpaceDN w:val="0"/>
        <w:adjustRightInd w:val="0"/>
        <w:spacing w:before="132"/>
        <w:rPr>
          <w:rFonts w:ascii="Arial" w:hAnsi="Arial" w:cs="Arial"/>
          <w:color w:val="404040"/>
          <w:sz w:val="30"/>
          <w:szCs w:val="30"/>
        </w:rPr>
      </w:pPr>
    </w:p>
    <w:p w14:paraId="38E6AA7E" w14:textId="77777777" w:rsidR="00D6033D" w:rsidRDefault="00D6033D">
      <w:pPr>
        <w:rPr>
          <w:rFonts w:ascii="Arial" w:hAnsi="Arial" w:cs="Arial"/>
          <w:b/>
          <w:sz w:val="21"/>
          <w:szCs w:val="21"/>
        </w:rPr>
      </w:pPr>
      <w:r>
        <w:rPr>
          <w:rFonts w:ascii="Arial" w:hAnsi="Arial" w:cs="Arial"/>
          <w:b/>
          <w:sz w:val="21"/>
          <w:szCs w:val="21"/>
        </w:rPr>
        <w:br w:type="page"/>
      </w:r>
    </w:p>
    <w:p w14:paraId="0D21D6C7" w14:textId="2275AC65" w:rsidR="001F515C" w:rsidRPr="00057853" w:rsidRDefault="001F515C" w:rsidP="00E72625">
      <w:pPr>
        <w:pStyle w:val="Heading3"/>
        <w:tabs>
          <w:tab w:val="clear" w:pos="1844"/>
          <w:tab w:val="num" w:pos="709"/>
        </w:tabs>
        <w:ind w:left="709"/>
      </w:pPr>
      <w:r>
        <w:t>Efficiencies</w:t>
      </w:r>
      <w:r w:rsidRPr="00057853">
        <w:t xml:space="preserve"> </w:t>
      </w:r>
      <w:r>
        <w:t>- Future</w:t>
      </w:r>
      <w:r w:rsidRPr="00057853">
        <w:t xml:space="preserve"> </w:t>
      </w:r>
    </w:p>
    <w:p w14:paraId="176354B8" w14:textId="77777777" w:rsidR="000E0250" w:rsidRDefault="000E0250" w:rsidP="001F515C">
      <w:pPr>
        <w:spacing w:line="360" w:lineRule="auto"/>
        <w:jc w:val="both"/>
        <w:rPr>
          <w:rFonts w:ascii="Arial" w:hAnsi="Arial" w:cs="Arial"/>
          <w:sz w:val="21"/>
          <w:szCs w:val="21"/>
        </w:rPr>
      </w:pPr>
    </w:p>
    <w:p w14:paraId="66394B09" w14:textId="715639E6" w:rsidR="001F515C" w:rsidRDefault="001F515C" w:rsidP="001F515C">
      <w:pPr>
        <w:spacing w:line="360" w:lineRule="auto"/>
        <w:jc w:val="both"/>
        <w:rPr>
          <w:rFonts w:ascii="Arial" w:hAnsi="Arial" w:cs="Arial"/>
          <w:sz w:val="21"/>
          <w:szCs w:val="21"/>
        </w:rPr>
      </w:pPr>
      <w:r w:rsidRPr="005C4F27">
        <w:rPr>
          <w:rFonts w:ascii="Arial" w:hAnsi="Arial" w:cs="Arial"/>
          <w:sz w:val="21"/>
          <w:szCs w:val="21"/>
        </w:rPr>
        <w:t xml:space="preserve">The Council </w:t>
      </w:r>
      <w:r w:rsidR="005E07AA">
        <w:rPr>
          <w:rFonts w:ascii="Arial" w:hAnsi="Arial" w:cs="Arial"/>
          <w:sz w:val="21"/>
          <w:szCs w:val="21"/>
        </w:rPr>
        <w:t xml:space="preserve">is estimated to </w:t>
      </w:r>
      <w:r w:rsidRPr="005C4F27">
        <w:rPr>
          <w:rFonts w:ascii="Arial" w:hAnsi="Arial" w:cs="Arial"/>
          <w:sz w:val="21"/>
          <w:szCs w:val="21"/>
        </w:rPr>
        <w:t xml:space="preserve">save </w:t>
      </w:r>
      <w:r w:rsidR="005E07AA">
        <w:rPr>
          <w:rFonts w:ascii="Arial" w:hAnsi="Arial" w:cs="Arial"/>
          <w:sz w:val="21"/>
          <w:szCs w:val="21"/>
        </w:rPr>
        <w:t>over $870,000 in</w:t>
      </w:r>
      <w:r>
        <w:rPr>
          <w:rFonts w:ascii="Arial" w:hAnsi="Arial" w:cs="Arial"/>
          <w:sz w:val="21"/>
          <w:szCs w:val="21"/>
        </w:rPr>
        <w:t xml:space="preserve"> the next four years </w:t>
      </w:r>
      <w:r w:rsidRPr="005C4F27">
        <w:rPr>
          <w:rFonts w:ascii="Arial" w:hAnsi="Arial" w:cs="Arial"/>
          <w:sz w:val="21"/>
          <w:szCs w:val="21"/>
        </w:rPr>
        <w:t xml:space="preserve">as a result of the </w:t>
      </w:r>
      <w:r>
        <w:rPr>
          <w:rFonts w:ascii="Arial" w:hAnsi="Arial" w:cs="Arial"/>
          <w:sz w:val="21"/>
          <w:szCs w:val="21"/>
        </w:rPr>
        <w:t xml:space="preserve">efficiency </w:t>
      </w:r>
      <w:r w:rsidRPr="005C4F27">
        <w:rPr>
          <w:rFonts w:ascii="Arial" w:hAnsi="Arial" w:cs="Arial"/>
          <w:sz w:val="21"/>
          <w:szCs w:val="21"/>
        </w:rPr>
        <w:t xml:space="preserve">initiatives implemented in the table below. </w:t>
      </w:r>
    </w:p>
    <w:p w14:paraId="37E91121" w14:textId="042780D7" w:rsidR="00D6033D" w:rsidRDefault="00D6033D">
      <w:pPr>
        <w:rPr>
          <w:rFonts w:ascii="Arial" w:hAnsi="Arial" w:cs="Arial"/>
          <w:b/>
          <w:sz w:val="18"/>
          <w:szCs w:val="18"/>
        </w:rPr>
      </w:pPr>
    </w:p>
    <w:p w14:paraId="117C52F2" w14:textId="06EEEAF0" w:rsidR="001F515C" w:rsidRPr="005B5F6F" w:rsidRDefault="001F515C" w:rsidP="001F515C">
      <w:pPr>
        <w:spacing w:line="360" w:lineRule="auto"/>
        <w:jc w:val="both"/>
        <w:rPr>
          <w:rFonts w:ascii="Arial" w:hAnsi="Arial" w:cs="Arial"/>
          <w:b/>
          <w:sz w:val="18"/>
          <w:szCs w:val="18"/>
        </w:rPr>
      </w:pPr>
      <w:r w:rsidRPr="005B5F6F">
        <w:rPr>
          <w:rFonts w:ascii="Arial" w:hAnsi="Arial" w:cs="Arial"/>
          <w:b/>
          <w:sz w:val="18"/>
          <w:szCs w:val="18"/>
        </w:rPr>
        <w:t>Table 7.6</w:t>
      </w:r>
      <w:r w:rsidR="005B5F6F" w:rsidRPr="005B5F6F">
        <w:rPr>
          <w:rFonts w:ascii="Arial" w:hAnsi="Arial" w:cs="Arial"/>
          <w:b/>
          <w:sz w:val="18"/>
          <w:szCs w:val="18"/>
        </w:rPr>
        <w:t>:</w:t>
      </w:r>
      <w:r w:rsidRPr="005B5F6F">
        <w:rPr>
          <w:rFonts w:ascii="Arial" w:hAnsi="Arial" w:cs="Arial"/>
          <w:b/>
          <w:sz w:val="18"/>
          <w:szCs w:val="18"/>
        </w:rPr>
        <w:t xml:space="preserve"> Efficiencies 2015/16-2018/19</w:t>
      </w:r>
    </w:p>
    <w:tbl>
      <w:tblPr>
        <w:tblStyle w:val="TableGrid"/>
        <w:tblW w:w="9214" w:type="dxa"/>
        <w:tblInd w:w="-34" w:type="dxa"/>
        <w:tblLook w:val="04A0" w:firstRow="1" w:lastRow="0" w:firstColumn="1" w:lastColumn="0" w:noHBand="0" w:noVBand="1"/>
      </w:tblPr>
      <w:tblGrid>
        <w:gridCol w:w="6072"/>
        <w:gridCol w:w="1587"/>
        <w:gridCol w:w="1555"/>
      </w:tblGrid>
      <w:tr w:rsidR="001F515C" w:rsidRPr="00370487" w14:paraId="48FFECFA" w14:textId="77777777" w:rsidTr="00A27A01">
        <w:trPr>
          <w:cantSplit/>
          <w:tblHeader/>
        </w:trPr>
        <w:tc>
          <w:tcPr>
            <w:tcW w:w="6072" w:type="dxa"/>
            <w:shd w:val="clear" w:color="auto" w:fill="4F81BD" w:themeFill="accent1"/>
            <w:vAlign w:val="center"/>
          </w:tcPr>
          <w:p w14:paraId="6986DA1D" w14:textId="4175165A" w:rsidR="001F515C" w:rsidRPr="00A27A01" w:rsidRDefault="00A27A01" w:rsidP="003F6431">
            <w:pPr>
              <w:spacing w:line="276" w:lineRule="auto"/>
              <w:jc w:val="center"/>
              <w:rPr>
                <w:rFonts w:ascii="Arial" w:hAnsi="Arial" w:cs="Arial"/>
                <w:b/>
                <w:color w:val="FFFFFF" w:themeColor="background1"/>
                <w:sz w:val="20"/>
                <w:szCs w:val="20"/>
              </w:rPr>
            </w:pPr>
            <w:r w:rsidRPr="00A27A01">
              <w:rPr>
                <w:rFonts w:ascii="Arial" w:hAnsi="Arial" w:cs="Arial"/>
                <w:b/>
                <w:color w:val="FFFFFF" w:themeColor="background1"/>
                <w:sz w:val="20"/>
                <w:szCs w:val="20"/>
              </w:rPr>
              <w:t>Efficiencies 2015/16-2018/19</w:t>
            </w:r>
          </w:p>
          <w:p w14:paraId="756A8052" w14:textId="0E632D41" w:rsidR="001F515C" w:rsidRPr="00A27A01" w:rsidRDefault="00A27A01" w:rsidP="003F6431">
            <w:pPr>
              <w:spacing w:line="276" w:lineRule="auto"/>
              <w:jc w:val="center"/>
              <w:rPr>
                <w:rFonts w:ascii="Arial" w:hAnsi="Arial" w:cs="Arial"/>
                <w:b/>
                <w:color w:val="FFFFFF" w:themeColor="background1"/>
                <w:sz w:val="20"/>
                <w:szCs w:val="20"/>
              </w:rPr>
            </w:pPr>
            <w:r w:rsidRPr="00A27A01">
              <w:rPr>
                <w:rFonts w:ascii="Arial" w:hAnsi="Arial" w:cs="Arial"/>
                <w:b/>
                <w:color w:val="FFFFFF" w:themeColor="background1"/>
                <w:sz w:val="20"/>
                <w:szCs w:val="20"/>
              </w:rPr>
              <w:t>Area / Item</w:t>
            </w:r>
          </w:p>
        </w:tc>
        <w:tc>
          <w:tcPr>
            <w:tcW w:w="1587" w:type="dxa"/>
            <w:shd w:val="clear" w:color="auto" w:fill="4F81BD" w:themeFill="accent1"/>
            <w:vAlign w:val="center"/>
          </w:tcPr>
          <w:p w14:paraId="11C9B850" w14:textId="60E345B2" w:rsidR="001F515C" w:rsidRPr="00A27A01" w:rsidRDefault="00A27A01" w:rsidP="003F6431">
            <w:pPr>
              <w:spacing w:line="276" w:lineRule="auto"/>
              <w:jc w:val="center"/>
              <w:rPr>
                <w:rFonts w:ascii="Arial" w:hAnsi="Arial" w:cs="Arial"/>
                <w:b/>
                <w:color w:val="FFFFFF" w:themeColor="background1"/>
                <w:sz w:val="20"/>
                <w:szCs w:val="20"/>
              </w:rPr>
            </w:pPr>
            <w:r w:rsidRPr="00A27A01">
              <w:rPr>
                <w:rFonts w:ascii="Arial" w:hAnsi="Arial" w:cs="Arial"/>
                <w:b/>
                <w:color w:val="FFFFFF" w:themeColor="background1"/>
                <w:sz w:val="20"/>
                <w:szCs w:val="20"/>
              </w:rPr>
              <w:t>Amount</w:t>
            </w:r>
          </w:p>
        </w:tc>
        <w:tc>
          <w:tcPr>
            <w:tcW w:w="1555" w:type="dxa"/>
            <w:shd w:val="clear" w:color="auto" w:fill="4F81BD" w:themeFill="accent1"/>
            <w:vAlign w:val="center"/>
          </w:tcPr>
          <w:p w14:paraId="02B0858C" w14:textId="0072CF54" w:rsidR="00D6033D" w:rsidRPr="00954CE5" w:rsidRDefault="00A27A01" w:rsidP="003F6431">
            <w:pPr>
              <w:spacing w:line="276" w:lineRule="auto"/>
              <w:jc w:val="center"/>
              <w:rPr>
                <w:rFonts w:ascii="Arial" w:hAnsi="Arial" w:cs="Arial"/>
                <w:b/>
                <w:sz w:val="20"/>
                <w:szCs w:val="20"/>
              </w:rPr>
            </w:pPr>
            <w:r w:rsidRPr="00A27A01">
              <w:rPr>
                <w:rFonts w:ascii="Arial" w:hAnsi="Arial" w:cs="Arial"/>
                <w:b/>
                <w:color w:val="FFFFFF" w:themeColor="background1"/>
                <w:sz w:val="20"/>
                <w:szCs w:val="20"/>
              </w:rPr>
              <w:t>Total Over 4 Years</w:t>
            </w:r>
          </w:p>
        </w:tc>
      </w:tr>
      <w:tr w:rsidR="001F515C" w:rsidRPr="00370487" w14:paraId="45523CF0" w14:textId="77777777" w:rsidTr="003F6431">
        <w:trPr>
          <w:cantSplit/>
        </w:trPr>
        <w:tc>
          <w:tcPr>
            <w:tcW w:w="6072" w:type="dxa"/>
          </w:tcPr>
          <w:p w14:paraId="1D33179B" w14:textId="77777777" w:rsidR="001F515C" w:rsidRPr="00954CE5" w:rsidRDefault="001F515C" w:rsidP="003F6431">
            <w:pPr>
              <w:spacing w:line="276" w:lineRule="auto"/>
              <w:rPr>
                <w:rFonts w:ascii="Arial" w:hAnsi="Arial" w:cs="Arial"/>
                <w:sz w:val="20"/>
                <w:szCs w:val="20"/>
              </w:rPr>
            </w:pPr>
            <w:r w:rsidRPr="00954CE5">
              <w:rPr>
                <w:rFonts w:ascii="Arial" w:hAnsi="Arial" w:cs="Arial"/>
                <w:sz w:val="20"/>
                <w:szCs w:val="20"/>
              </w:rPr>
              <w:t>An administrative position was redirected to a para-technical position to provide simple planning advice over the counter or phone. This improved the quality of applications and freed up more experienced development planners to focus on more complex assessment issues. This improved the turn-around times for development applications.</w:t>
            </w:r>
          </w:p>
        </w:tc>
        <w:tc>
          <w:tcPr>
            <w:tcW w:w="1587" w:type="dxa"/>
          </w:tcPr>
          <w:p w14:paraId="4C1D4530" w14:textId="77777777" w:rsidR="001F515C" w:rsidRPr="00954CE5" w:rsidRDefault="001F515C" w:rsidP="003F6431">
            <w:pPr>
              <w:spacing w:line="276" w:lineRule="auto"/>
              <w:jc w:val="right"/>
              <w:rPr>
                <w:rFonts w:ascii="Arial" w:hAnsi="Arial" w:cs="Arial"/>
                <w:sz w:val="20"/>
                <w:szCs w:val="20"/>
              </w:rPr>
            </w:pPr>
            <w:r w:rsidRPr="00954CE5">
              <w:rPr>
                <w:rFonts w:ascii="Arial" w:hAnsi="Arial" w:cs="Arial"/>
                <w:sz w:val="20"/>
                <w:szCs w:val="20"/>
              </w:rPr>
              <w:t>$236,000</w:t>
            </w:r>
          </w:p>
        </w:tc>
        <w:tc>
          <w:tcPr>
            <w:tcW w:w="1555" w:type="dxa"/>
          </w:tcPr>
          <w:p w14:paraId="19F41EE7" w14:textId="77777777" w:rsidR="001F515C" w:rsidRPr="00954CE5" w:rsidRDefault="001F515C" w:rsidP="003F6431">
            <w:pPr>
              <w:spacing w:line="276" w:lineRule="auto"/>
              <w:jc w:val="right"/>
              <w:rPr>
                <w:rFonts w:ascii="Arial" w:hAnsi="Arial" w:cs="Arial"/>
                <w:sz w:val="20"/>
                <w:szCs w:val="20"/>
              </w:rPr>
            </w:pPr>
          </w:p>
        </w:tc>
      </w:tr>
      <w:tr w:rsidR="001F515C" w:rsidRPr="00370487" w14:paraId="4E5E4C55" w14:textId="77777777" w:rsidTr="003F6431">
        <w:trPr>
          <w:cantSplit/>
        </w:trPr>
        <w:tc>
          <w:tcPr>
            <w:tcW w:w="6072" w:type="dxa"/>
          </w:tcPr>
          <w:p w14:paraId="7EF8A5CA" w14:textId="77777777" w:rsidR="001F515C" w:rsidRPr="00954CE5" w:rsidRDefault="001F515C" w:rsidP="003F6431">
            <w:pPr>
              <w:spacing w:line="276" w:lineRule="auto"/>
              <w:rPr>
                <w:rFonts w:ascii="Arial" w:hAnsi="Arial" w:cs="Arial"/>
                <w:sz w:val="20"/>
                <w:szCs w:val="20"/>
              </w:rPr>
            </w:pPr>
            <w:r w:rsidRPr="00954CE5">
              <w:rPr>
                <w:rFonts w:ascii="Arial" w:hAnsi="Arial" w:cs="Arial"/>
                <w:sz w:val="20"/>
                <w:szCs w:val="20"/>
              </w:rPr>
              <w:t>Reduced the need for additional staff resources by installing self-serve checkouts at Katoomba Library. This followed a large increase of loan rates.</w:t>
            </w:r>
          </w:p>
        </w:tc>
        <w:tc>
          <w:tcPr>
            <w:tcW w:w="1587" w:type="dxa"/>
          </w:tcPr>
          <w:p w14:paraId="23FD3816" w14:textId="77777777" w:rsidR="001F515C" w:rsidRPr="00954CE5" w:rsidRDefault="001F515C" w:rsidP="003F6431">
            <w:pPr>
              <w:spacing w:line="276" w:lineRule="auto"/>
              <w:jc w:val="right"/>
              <w:rPr>
                <w:rFonts w:ascii="Arial" w:hAnsi="Arial" w:cs="Arial"/>
                <w:sz w:val="20"/>
                <w:szCs w:val="20"/>
              </w:rPr>
            </w:pPr>
            <w:r w:rsidRPr="00954CE5">
              <w:rPr>
                <w:rFonts w:ascii="Arial" w:hAnsi="Arial" w:cs="Arial"/>
                <w:sz w:val="20"/>
                <w:szCs w:val="20"/>
              </w:rPr>
              <w:t>$116,000</w:t>
            </w:r>
          </w:p>
        </w:tc>
        <w:tc>
          <w:tcPr>
            <w:tcW w:w="1555" w:type="dxa"/>
          </w:tcPr>
          <w:p w14:paraId="445D67A7" w14:textId="77777777" w:rsidR="001F515C" w:rsidRPr="00954CE5" w:rsidRDefault="001F515C" w:rsidP="003F6431">
            <w:pPr>
              <w:spacing w:line="276" w:lineRule="auto"/>
              <w:jc w:val="right"/>
              <w:rPr>
                <w:rFonts w:ascii="Arial" w:hAnsi="Arial" w:cs="Arial"/>
                <w:sz w:val="20"/>
                <w:szCs w:val="20"/>
              </w:rPr>
            </w:pPr>
          </w:p>
        </w:tc>
      </w:tr>
      <w:tr w:rsidR="001F515C" w:rsidRPr="00370487" w14:paraId="35DA82E4" w14:textId="77777777" w:rsidTr="003F6431">
        <w:trPr>
          <w:cantSplit/>
        </w:trPr>
        <w:tc>
          <w:tcPr>
            <w:tcW w:w="6072" w:type="dxa"/>
          </w:tcPr>
          <w:p w14:paraId="12A32A7B" w14:textId="77777777" w:rsidR="001F515C" w:rsidRPr="00954CE5" w:rsidRDefault="001F515C" w:rsidP="003F6431">
            <w:pPr>
              <w:spacing w:line="276" w:lineRule="auto"/>
              <w:rPr>
                <w:rFonts w:ascii="Arial" w:hAnsi="Arial" w:cs="Arial"/>
                <w:sz w:val="20"/>
                <w:szCs w:val="20"/>
              </w:rPr>
            </w:pPr>
            <w:r w:rsidRPr="00954CE5">
              <w:rPr>
                <w:rFonts w:ascii="Arial" w:hAnsi="Arial" w:cs="Arial"/>
                <w:sz w:val="20"/>
                <w:szCs w:val="20"/>
              </w:rPr>
              <w:t>Improved transparency and accessibility of the development process by publishing development determinations and notifications online. This improved service levels using existing resources.</w:t>
            </w:r>
          </w:p>
        </w:tc>
        <w:tc>
          <w:tcPr>
            <w:tcW w:w="1587" w:type="dxa"/>
          </w:tcPr>
          <w:p w14:paraId="18A15CBF" w14:textId="77777777" w:rsidR="001F515C" w:rsidRPr="00954CE5" w:rsidRDefault="001F515C" w:rsidP="003F6431">
            <w:pPr>
              <w:spacing w:line="276" w:lineRule="auto"/>
              <w:jc w:val="right"/>
              <w:rPr>
                <w:rFonts w:ascii="Arial" w:hAnsi="Arial" w:cs="Arial"/>
                <w:sz w:val="20"/>
                <w:szCs w:val="20"/>
              </w:rPr>
            </w:pPr>
            <w:r w:rsidRPr="00954CE5">
              <w:rPr>
                <w:rFonts w:ascii="Arial" w:hAnsi="Arial" w:cs="Arial"/>
                <w:sz w:val="20"/>
                <w:szCs w:val="20"/>
              </w:rPr>
              <w:t>$81,720</w:t>
            </w:r>
          </w:p>
        </w:tc>
        <w:tc>
          <w:tcPr>
            <w:tcW w:w="1555" w:type="dxa"/>
          </w:tcPr>
          <w:p w14:paraId="016FB760" w14:textId="77777777" w:rsidR="001F515C" w:rsidRPr="00954CE5" w:rsidRDefault="001F515C" w:rsidP="003F6431">
            <w:pPr>
              <w:spacing w:line="276" w:lineRule="auto"/>
              <w:jc w:val="right"/>
              <w:rPr>
                <w:rFonts w:ascii="Arial" w:hAnsi="Arial" w:cs="Arial"/>
                <w:sz w:val="20"/>
                <w:szCs w:val="20"/>
              </w:rPr>
            </w:pPr>
          </w:p>
        </w:tc>
      </w:tr>
      <w:tr w:rsidR="001F515C" w:rsidRPr="00370487" w14:paraId="39531A3B" w14:textId="77777777" w:rsidTr="003F6431">
        <w:trPr>
          <w:cantSplit/>
        </w:trPr>
        <w:tc>
          <w:tcPr>
            <w:tcW w:w="6072" w:type="dxa"/>
          </w:tcPr>
          <w:p w14:paraId="1ADC3455" w14:textId="77777777" w:rsidR="001F515C" w:rsidRPr="00954CE5" w:rsidRDefault="001F515C" w:rsidP="003F6431">
            <w:pPr>
              <w:spacing w:line="276" w:lineRule="auto"/>
              <w:rPr>
                <w:rFonts w:ascii="Arial" w:hAnsi="Arial" w:cs="Arial"/>
                <w:sz w:val="20"/>
                <w:szCs w:val="20"/>
              </w:rPr>
            </w:pPr>
            <w:r w:rsidRPr="00954CE5">
              <w:rPr>
                <w:rFonts w:ascii="Arial" w:hAnsi="Arial" w:cs="Arial"/>
                <w:sz w:val="20"/>
                <w:szCs w:val="20"/>
              </w:rPr>
              <w:t>Through internal efficiencies, the Council absorbed the additional workload from an increasing number of applications received under Government Information (Public Access) Act. The requests related to development consents and approvals.</w:t>
            </w:r>
          </w:p>
        </w:tc>
        <w:tc>
          <w:tcPr>
            <w:tcW w:w="1587" w:type="dxa"/>
          </w:tcPr>
          <w:p w14:paraId="0CD0551B" w14:textId="77777777" w:rsidR="001F515C" w:rsidRPr="00954CE5" w:rsidRDefault="001F515C" w:rsidP="003F6431">
            <w:pPr>
              <w:spacing w:line="276" w:lineRule="auto"/>
              <w:jc w:val="right"/>
              <w:rPr>
                <w:rFonts w:ascii="Arial" w:hAnsi="Arial" w:cs="Arial"/>
                <w:sz w:val="20"/>
                <w:szCs w:val="20"/>
              </w:rPr>
            </w:pPr>
            <w:r w:rsidRPr="00954CE5">
              <w:rPr>
                <w:rFonts w:ascii="Arial" w:hAnsi="Arial" w:cs="Arial"/>
                <w:sz w:val="20"/>
                <w:szCs w:val="20"/>
              </w:rPr>
              <w:t>$70,000</w:t>
            </w:r>
          </w:p>
        </w:tc>
        <w:tc>
          <w:tcPr>
            <w:tcW w:w="1555" w:type="dxa"/>
          </w:tcPr>
          <w:p w14:paraId="2F5DB770" w14:textId="77777777" w:rsidR="001F515C" w:rsidRPr="00954CE5" w:rsidRDefault="001F515C" w:rsidP="003F6431">
            <w:pPr>
              <w:spacing w:line="276" w:lineRule="auto"/>
              <w:jc w:val="right"/>
              <w:rPr>
                <w:rFonts w:ascii="Arial" w:hAnsi="Arial" w:cs="Arial"/>
                <w:sz w:val="20"/>
                <w:szCs w:val="20"/>
              </w:rPr>
            </w:pPr>
          </w:p>
        </w:tc>
      </w:tr>
      <w:tr w:rsidR="001F515C" w:rsidRPr="00370487" w14:paraId="56CBB6AD" w14:textId="77777777" w:rsidTr="003F6431">
        <w:trPr>
          <w:cantSplit/>
        </w:trPr>
        <w:tc>
          <w:tcPr>
            <w:tcW w:w="6072" w:type="dxa"/>
          </w:tcPr>
          <w:p w14:paraId="44221B68" w14:textId="77777777" w:rsidR="001F515C" w:rsidRPr="00954CE5" w:rsidRDefault="001F515C" w:rsidP="003F6431">
            <w:pPr>
              <w:spacing w:line="276" w:lineRule="auto"/>
              <w:rPr>
                <w:rFonts w:ascii="Arial" w:hAnsi="Arial" w:cs="Arial"/>
                <w:sz w:val="20"/>
                <w:szCs w:val="20"/>
              </w:rPr>
            </w:pPr>
            <w:r w:rsidRPr="00954CE5">
              <w:rPr>
                <w:rFonts w:ascii="Arial" w:hAnsi="Arial" w:cs="Arial"/>
                <w:sz w:val="20"/>
                <w:szCs w:val="20"/>
              </w:rPr>
              <w:t>Implemented electronic signatures across organisation leading to savings in paper usage and eliminating the need to re-scan documents.</w:t>
            </w:r>
          </w:p>
        </w:tc>
        <w:tc>
          <w:tcPr>
            <w:tcW w:w="1587" w:type="dxa"/>
          </w:tcPr>
          <w:p w14:paraId="6B8233AE" w14:textId="77777777" w:rsidR="001F515C" w:rsidRPr="00954CE5" w:rsidRDefault="001F515C" w:rsidP="003F6431">
            <w:pPr>
              <w:spacing w:line="276" w:lineRule="auto"/>
              <w:jc w:val="right"/>
              <w:rPr>
                <w:rFonts w:ascii="Arial" w:hAnsi="Arial" w:cs="Arial"/>
                <w:sz w:val="20"/>
                <w:szCs w:val="20"/>
              </w:rPr>
            </w:pPr>
            <w:r w:rsidRPr="00954CE5">
              <w:rPr>
                <w:rFonts w:ascii="Arial" w:hAnsi="Arial" w:cs="Arial"/>
                <w:sz w:val="20"/>
                <w:szCs w:val="20"/>
              </w:rPr>
              <w:t>$35,200</w:t>
            </w:r>
          </w:p>
        </w:tc>
        <w:tc>
          <w:tcPr>
            <w:tcW w:w="1555" w:type="dxa"/>
          </w:tcPr>
          <w:p w14:paraId="7D057E50" w14:textId="77777777" w:rsidR="001F515C" w:rsidRPr="00954CE5" w:rsidRDefault="001F515C" w:rsidP="003F6431">
            <w:pPr>
              <w:spacing w:line="276" w:lineRule="auto"/>
              <w:jc w:val="right"/>
              <w:rPr>
                <w:rFonts w:ascii="Arial" w:hAnsi="Arial" w:cs="Arial"/>
                <w:sz w:val="20"/>
                <w:szCs w:val="20"/>
              </w:rPr>
            </w:pPr>
          </w:p>
        </w:tc>
      </w:tr>
      <w:tr w:rsidR="001F515C" w:rsidRPr="00370487" w14:paraId="0C7E0F6E" w14:textId="77777777" w:rsidTr="003F6431">
        <w:trPr>
          <w:cantSplit/>
        </w:trPr>
        <w:tc>
          <w:tcPr>
            <w:tcW w:w="6072" w:type="dxa"/>
          </w:tcPr>
          <w:p w14:paraId="602BEF2D" w14:textId="77777777" w:rsidR="001F515C" w:rsidRPr="00954CE5" w:rsidRDefault="001F515C" w:rsidP="003F6431">
            <w:pPr>
              <w:spacing w:line="276" w:lineRule="auto"/>
              <w:rPr>
                <w:rFonts w:ascii="Arial" w:hAnsi="Arial" w:cs="Arial"/>
                <w:sz w:val="20"/>
                <w:szCs w:val="20"/>
              </w:rPr>
            </w:pPr>
            <w:r w:rsidRPr="00954CE5">
              <w:rPr>
                <w:rFonts w:ascii="Arial" w:hAnsi="Arial" w:cs="Arial"/>
                <w:sz w:val="20"/>
                <w:szCs w:val="20"/>
              </w:rPr>
              <w:t>Implemented in house electronic reporting that identifies data issues and contributes to improved business processes for managing customer requests, registers, applications and inspections. This has reduced consultancy costs. The reports are subject to continuous improvement.</w:t>
            </w:r>
          </w:p>
        </w:tc>
        <w:tc>
          <w:tcPr>
            <w:tcW w:w="1587" w:type="dxa"/>
          </w:tcPr>
          <w:p w14:paraId="10837382" w14:textId="77777777" w:rsidR="001F515C" w:rsidRPr="00954CE5" w:rsidRDefault="001F515C" w:rsidP="003F6431">
            <w:pPr>
              <w:spacing w:line="276" w:lineRule="auto"/>
              <w:jc w:val="right"/>
              <w:rPr>
                <w:rFonts w:ascii="Arial" w:hAnsi="Arial" w:cs="Arial"/>
                <w:sz w:val="20"/>
                <w:szCs w:val="20"/>
              </w:rPr>
            </w:pPr>
            <w:r w:rsidRPr="00954CE5">
              <w:rPr>
                <w:rFonts w:ascii="Arial" w:hAnsi="Arial" w:cs="Arial"/>
                <w:sz w:val="20"/>
                <w:szCs w:val="20"/>
              </w:rPr>
              <w:t>$33,440</w:t>
            </w:r>
          </w:p>
        </w:tc>
        <w:tc>
          <w:tcPr>
            <w:tcW w:w="1555" w:type="dxa"/>
          </w:tcPr>
          <w:p w14:paraId="1DF2F3C2" w14:textId="77777777" w:rsidR="001F515C" w:rsidRPr="00954CE5" w:rsidRDefault="001F515C" w:rsidP="003F6431">
            <w:pPr>
              <w:spacing w:line="276" w:lineRule="auto"/>
              <w:jc w:val="right"/>
              <w:rPr>
                <w:rFonts w:ascii="Arial" w:hAnsi="Arial" w:cs="Arial"/>
                <w:sz w:val="20"/>
                <w:szCs w:val="20"/>
              </w:rPr>
            </w:pPr>
          </w:p>
        </w:tc>
      </w:tr>
      <w:tr w:rsidR="001F515C" w:rsidRPr="00370487" w14:paraId="5DAED114" w14:textId="77777777" w:rsidTr="003F6431">
        <w:trPr>
          <w:cantSplit/>
        </w:trPr>
        <w:tc>
          <w:tcPr>
            <w:tcW w:w="6072" w:type="dxa"/>
          </w:tcPr>
          <w:p w14:paraId="5B229A0B" w14:textId="5FF72B79" w:rsidR="001F515C" w:rsidRPr="00954CE5" w:rsidRDefault="001F515C" w:rsidP="003F6431">
            <w:pPr>
              <w:spacing w:line="276" w:lineRule="auto"/>
              <w:rPr>
                <w:rFonts w:ascii="Arial" w:hAnsi="Arial" w:cs="Arial"/>
                <w:sz w:val="20"/>
                <w:szCs w:val="20"/>
              </w:rPr>
            </w:pPr>
            <w:r w:rsidRPr="00954CE5">
              <w:rPr>
                <w:rFonts w:ascii="Arial" w:hAnsi="Arial" w:cs="Arial"/>
                <w:sz w:val="20"/>
                <w:szCs w:val="20"/>
              </w:rPr>
              <w:t xml:space="preserve">Introduction and use of social media </w:t>
            </w:r>
            <w:r w:rsidR="00165AB2" w:rsidRPr="00954CE5">
              <w:rPr>
                <w:rFonts w:ascii="Arial" w:hAnsi="Arial" w:cs="Arial"/>
                <w:sz w:val="20"/>
                <w:szCs w:val="20"/>
              </w:rPr>
              <w:t>e.g.</w:t>
            </w:r>
            <w:r w:rsidRPr="00954CE5">
              <w:rPr>
                <w:rFonts w:ascii="Arial" w:hAnsi="Arial" w:cs="Arial"/>
                <w:sz w:val="20"/>
                <w:szCs w:val="20"/>
              </w:rPr>
              <w:t>., Flickr; Facebook; Twitter; Pinterest; Blogs to provide greater awareness of library services and information within existing resources.</w:t>
            </w:r>
          </w:p>
        </w:tc>
        <w:tc>
          <w:tcPr>
            <w:tcW w:w="1587" w:type="dxa"/>
          </w:tcPr>
          <w:p w14:paraId="597C82D8" w14:textId="77777777" w:rsidR="001F515C" w:rsidRPr="00954CE5" w:rsidRDefault="001F515C" w:rsidP="003F6431">
            <w:pPr>
              <w:spacing w:line="276" w:lineRule="auto"/>
              <w:jc w:val="right"/>
              <w:rPr>
                <w:rFonts w:ascii="Arial" w:hAnsi="Arial" w:cs="Arial"/>
                <w:sz w:val="20"/>
                <w:szCs w:val="20"/>
              </w:rPr>
            </w:pPr>
            <w:r w:rsidRPr="00954CE5">
              <w:rPr>
                <w:rFonts w:ascii="Arial" w:hAnsi="Arial" w:cs="Arial"/>
                <w:sz w:val="20"/>
                <w:szCs w:val="20"/>
              </w:rPr>
              <w:t>$24,800</w:t>
            </w:r>
          </w:p>
        </w:tc>
        <w:tc>
          <w:tcPr>
            <w:tcW w:w="1555" w:type="dxa"/>
          </w:tcPr>
          <w:p w14:paraId="18B4730F" w14:textId="77777777" w:rsidR="001F515C" w:rsidRPr="00954CE5" w:rsidRDefault="001F515C" w:rsidP="003F6431">
            <w:pPr>
              <w:spacing w:line="276" w:lineRule="auto"/>
              <w:jc w:val="right"/>
              <w:rPr>
                <w:rFonts w:ascii="Arial" w:hAnsi="Arial" w:cs="Arial"/>
                <w:sz w:val="20"/>
                <w:szCs w:val="20"/>
              </w:rPr>
            </w:pPr>
          </w:p>
        </w:tc>
      </w:tr>
      <w:tr w:rsidR="001F515C" w:rsidRPr="00370487" w14:paraId="550C6934" w14:textId="77777777" w:rsidTr="003F6431">
        <w:trPr>
          <w:cantSplit/>
        </w:trPr>
        <w:tc>
          <w:tcPr>
            <w:tcW w:w="6072" w:type="dxa"/>
          </w:tcPr>
          <w:p w14:paraId="1697C2D0" w14:textId="77777777" w:rsidR="001F515C" w:rsidRPr="00954CE5" w:rsidRDefault="001F515C" w:rsidP="003F6431">
            <w:pPr>
              <w:spacing w:line="276" w:lineRule="auto"/>
              <w:rPr>
                <w:rFonts w:ascii="Arial" w:hAnsi="Arial" w:cs="Arial"/>
                <w:sz w:val="20"/>
                <w:szCs w:val="20"/>
              </w:rPr>
            </w:pPr>
            <w:r w:rsidRPr="00954CE5">
              <w:rPr>
                <w:rFonts w:ascii="Arial" w:hAnsi="Arial" w:cs="Arial"/>
                <w:sz w:val="20"/>
                <w:szCs w:val="20"/>
              </w:rPr>
              <w:t>Enhanced our children’s programs and internet training at Council libraries with help from volunteers from Volunteers Australia.</w:t>
            </w:r>
          </w:p>
        </w:tc>
        <w:tc>
          <w:tcPr>
            <w:tcW w:w="1587" w:type="dxa"/>
          </w:tcPr>
          <w:p w14:paraId="5719512B" w14:textId="77777777" w:rsidR="001F515C" w:rsidRPr="00954CE5" w:rsidRDefault="001F515C" w:rsidP="003F6431">
            <w:pPr>
              <w:spacing w:line="276" w:lineRule="auto"/>
              <w:jc w:val="right"/>
              <w:rPr>
                <w:rFonts w:ascii="Arial" w:hAnsi="Arial" w:cs="Arial"/>
                <w:sz w:val="20"/>
                <w:szCs w:val="20"/>
              </w:rPr>
            </w:pPr>
            <w:r w:rsidRPr="00954CE5">
              <w:rPr>
                <w:rFonts w:ascii="Arial" w:hAnsi="Arial" w:cs="Arial"/>
                <w:sz w:val="20"/>
                <w:szCs w:val="20"/>
              </w:rPr>
              <w:t>$23,040</w:t>
            </w:r>
          </w:p>
        </w:tc>
        <w:tc>
          <w:tcPr>
            <w:tcW w:w="1555" w:type="dxa"/>
          </w:tcPr>
          <w:p w14:paraId="014BD3E3" w14:textId="77777777" w:rsidR="001F515C" w:rsidRPr="00954CE5" w:rsidRDefault="001F515C" w:rsidP="003F6431">
            <w:pPr>
              <w:spacing w:line="276" w:lineRule="auto"/>
              <w:jc w:val="right"/>
              <w:rPr>
                <w:rFonts w:ascii="Arial" w:hAnsi="Arial" w:cs="Arial"/>
                <w:sz w:val="20"/>
                <w:szCs w:val="20"/>
              </w:rPr>
            </w:pPr>
          </w:p>
        </w:tc>
      </w:tr>
      <w:tr w:rsidR="001F515C" w:rsidRPr="00370487" w14:paraId="6C695346" w14:textId="77777777" w:rsidTr="003F6431">
        <w:trPr>
          <w:cantSplit/>
        </w:trPr>
        <w:tc>
          <w:tcPr>
            <w:tcW w:w="6072" w:type="dxa"/>
          </w:tcPr>
          <w:p w14:paraId="582CE381" w14:textId="77777777" w:rsidR="001F515C" w:rsidRPr="00954CE5" w:rsidRDefault="001F515C" w:rsidP="003F6431">
            <w:pPr>
              <w:spacing w:line="276" w:lineRule="auto"/>
              <w:rPr>
                <w:rFonts w:ascii="Arial" w:hAnsi="Arial" w:cs="Arial"/>
                <w:sz w:val="20"/>
                <w:szCs w:val="20"/>
              </w:rPr>
            </w:pPr>
            <w:r w:rsidRPr="00954CE5">
              <w:rPr>
                <w:rFonts w:ascii="Arial" w:hAnsi="Arial" w:cs="Arial"/>
                <w:sz w:val="20"/>
                <w:szCs w:val="20"/>
              </w:rPr>
              <w:t>Implemented the electronic stamping of plans with savings in rescanning of plans.</w:t>
            </w:r>
          </w:p>
        </w:tc>
        <w:tc>
          <w:tcPr>
            <w:tcW w:w="1587" w:type="dxa"/>
          </w:tcPr>
          <w:p w14:paraId="4D20BB95" w14:textId="77777777" w:rsidR="001F515C" w:rsidRPr="00954CE5" w:rsidRDefault="001F515C" w:rsidP="003F6431">
            <w:pPr>
              <w:spacing w:line="276" w:lineRule="auto"/>
              <w:jc w:val="right"/>
              <w:rPr>
                <w:rFonts w:ascii="Arial" w:hAnsi="Arial" w:cs="Arial"/>
                <w:sz w:val="20"/>
                <w:szCs w:val="20"/>
              </w:rPr>
            </w:pPr>
            <w:r w:rsidRPr="00954CE5">
              <w:rPr>
                <w:rFonts w:ascii="Arial" w:hAnsi="Arial" w:cs="Arial"/>
                <w:sz w:val="20"/>
                <w:szCs w:val="20"/>
              </w:rPr>
              <w:t>$22,400</w:t>
            </w:r>
          </w:p>
        </w:tc>
        <w:tc>
          <w:tcPr>
            <w:tcW w:w="1555" w:type="dxa"/>
          </w:tcPr>
          <w:p w14:paraId="7BC9164C" w14:textId="77777777" w:rsidR="001F515C" w:rsidRPr="00954CE5" w:rsidRDefault="001F515C" w:rsidP="003F6431">
            <w:pPr>
              <w:spacing w:line="276" w:lineRule="auto"/>
              <w:jc w:val="right"/>
              <w:rPr>
                <w:rFonts w:ascii="Arial" w:hAnsi="Arial" w:cs="Arial"/>
                <w:sz w:val="20"/>
                <w:szCs w:val="20"/>
              </w:rPr>
            </w:pPr>
          </w:p>
        </w:tc>
      </w:tr>
      <w:tr w:rsidR="001F515C" w:rsidRPr="00370487" w14:paraId="16675E05" w14:textId="77777777" w:rsidTr="003F6431">
        <w:trPr>
          <w:cantSplit/>
        </w:trPr>
        <w:tc>
          <w:tcPr>
            <w:tcW w:w="6072" w:type="dxa"/>
          </w:tcPr>
          <w:p w14:paraId="1FAC9367" w14:textId="77777777" w:rsidR="001F515C" w:rsidRPr="00954CE5" w:rsidRDefault="001F515C" w:rsidP="003F6431">
            <w:pPr>
              <w:spacing w:line="276" w:lineRule="auto"/>
              <w:rPr>
                <w:rFonts w:ascii="Arial" w:hAnsi="Arial" w:cs="Arial"/>
                <w:sz w:val="20"/>
                <w:szCs w:val="20"/>
              </w:rPr>
            </w:pPr>
            <w:r w:rsidRPr="00954CE5">
              <w:rPr>
                <w:rFonts w:ascii="Arial" w:hAnsi="Arial" w:cs="Arial"/>
                <w:sz w:val="20"/>
                <w:szCs w:val="20"/>
              </w:rPr>
              <w:t>Enhanced staff flexibility by cross training customer service staff to move between the call centre, the front counter and the RMS counter based on demand.</w:t>
            </w:r>
          </w:p>
        </w:tc>
        <w:tc>
          <w:tcPr>
            <w:tcW w:w="1587" w:type="dxa"/>
          </w:tcPr>
          <w:p w14:paraId="3A9F8A58" w14:textId="77777777" w:rsidR="001F515C" w:rsidRPr="00954CE5" w:rsidRDefault="001F515C" w:rsidP="003F6431">
            <w:pPr>
              <w:spacing w:line="276" w:lineRule="auto"/>
              <w:jc w:val="right"/>
              <w:rPr>
                <w:rFonts w:ascii="Arial" w:hAnsi="Arial" w:cs="Arial"/>
                <w:sz w:val="20"/>
                <w:szCs w:val="20"/>
              </w:rPr>
            </w:pPr>
            <w:r w:rsidRPr="00954CE5">
              <w:rPr>
                <w:rFonts w:ascii="Arial" w:hAnsi="Arial" w:cs="Arial"/>
                <w:sz w:val="20"/>
                <w:szCs w:val="20"/>
              </w:rPr>
              <w:t>$20,000</w:t>
            </w:r>
          </w:p>
        </w:tc>
        <w:tc>
          <w:tcPr>
            <w:tcW w:w="1555" w:type="dxa"/>
          </w:tcPr>
          <w:p w14:paraId="158B2717" w14:textId="77777777" w:rsidR="001F515C" w:rsidRPr="00954CE5" w:rsidRDefault="001F515C" w:rsidP="003F6431">
            <w:pPr>
              <w:spacing w:line="276" w:lineRule="auto"/>
              <w:jc w:val="right"/>
              <w:rPr>
                <w:rFonts w:ascii="Arial" w:hAnsi="Arial" w:cs="Arial"/>
                <w:sz w:val="20"/>
                <w:szCs w:val="20"/>
              </w:rPr>
            </w:pPr>
          </w:p>
        </w:tc>
      </w:tr>
      <w:tr w:rsidR="001F515C" w:rsidRPr="00370487" w14:paraId="07E7108A" w14:textId="77777777" w:rsidTr="003F6431">
        <w:trPr>
          <w:cantSplit/>
        </w:trPr>
        <w:tc>
          <w:tcPr>
            <w:tcW w:w="6072" w:type="dxa"/>
          </w:tcPr>
          <w:p w14:paraId="168EB64B" w14:textId="77777777" w:rsidR="001F515C" w:rsidRPr="00954CE5" w:rsidRDefault="001F515C" w:rsidP="003F6431">
            <w:pPr>
              <w:spacing w:line="276" w:lineRule="auto"/>
              <w:rPr>
                <w:rFonts w:ascii="Arial" w:hAnsi="Arial" w:cs="Arial"/>
                <w:sz w:val="20"/>
                <w:szCs w:val="20"/>
              </w:rPr>
            </w:pPr>
            <w:r w:rsidRPr="00954CE5">
              <w:rPr>
                <w:rFonts w:ascii="Arial" w:hAnsi="Arial" w:cs="Arial"/>
                <w:sz w:val="20"/>
                <w:szCs w:val="20"/>
              </w:rPr>
              <w:t>Introduction of digital scanners in Libraries to retain currency and access to official records with the conversion over time of microfiche records (100,000) to digital records.</w:t>
            </w:r>
          </w:p>
        </w:tc>
        <w:tc>
          <w:tcPr>
            <w:tcW w:w="1587" w:type="dxa"/>
          </w:tcPr>
          <w:p w14:paraId="7BF411DE" w14:textId="77777777" w:rsidR="001F515C" w:rsidRPr="00954CE5" w:rsidRDefault="001F515C" w:rsidP="003F6431">
            <w:pPr>
              <w:spacing w:line="276" w:lineRule="auto"/>
              <w:jc w:val="right"/>
              <w:rPr>
                <w:rFonts w:ascii="Arial" w:hAnsi="Arial" w:cs="Arial"/>
                <w:sz w:val="20"/>
                <w:szCs w:val="20"/>
              </w:rPr>
            </w:pPr>
            <w:r w:rsidRPr="00954CE5">
              <w:rPr>
                <w:rFonts w:ascii="Arial" w:hAnsi="Arial" w:cs="Arial"/>
                <w:sz w:val="20"/>
                <w:szCs w:val="20"/>
              </w:rPr>
              <w:t>$20,000</w:t>
            </w:r>
          </w:p>
        </w:tc>
        <w:tc>
          <w:tcPr>
            <w:tcW w:w="1555" w:type="dxa"/>
          </w:tcPr>
          <w:p w14:paraId="5D5E5B72" w14:textId="77777777" w:rsidR="001F515C" w:rsidRPr="00954CE5" w:rsidRDefault="001F515C" w:rsidP="003F6431">
            <w:pPr>
              <w:spacing w:line="276" w:lineRule="auto"/>
              <w:jc w:val="right"/>
              <w:rPr>
                <w:rFonts w:ascii="Arial" w:hAnsi="Arial" w:cs="Arial"/>
                <w:sz w:val="20"/>
                <w:szCs w:val="20"/>
              </w:rPr>
            </w:pPr>
          </w:p>
        </w:tc>
      </w:tr>
      <w:tr w:rsidR="001F515C" w:rsidRPr="00370487" w14:paraId="56234ECC" w14:textId="77777777" w:rsidTr="003F6431">
        <w:trPr>
          <w:cantSplit/>
        </w:trPr>
        <w:tc>
          <w:tcPr>
            <w:tcW w:w="6072" w:type="dxa"/>
          </w:tcPr>
          <w:p w14:paraId="467235BB" w14:textId="77777777" w:rsidR="001F515C" w:rsidRPr="00954CE5" w:rsidRDefault="001F515C" w:rsidP="003F6431">
            <w:pPr>
              <w:spacing w:line="276" w:lineRule="auto"/>
              <w:rPr>
                <w:rFonts w:ascii="Arial" w:hAnsi="Arial" w:cs="Arial"/>
                <w:sz w:val="20"/>
                <w:szCs w:val="20"/>
              </w:rPr>
            </w:pPr>
            <w:r w:rsidRPr="00954CE5">
              <w:rPr>
                <w:rFonts w:ascii="Arial" w:hAnsi="Arial" w:cs="Arial"/>
                <w:sz w:val="20"/>
                <w:szCs w:val="20"/>
              </w:rPr>
              <w:t>Increased assessment demands as a result of a revised Planning for Bushfire Protection in 2006.</w:t>
            </w:r>
          </w:p>
        </w:tc>
        <w:tc>
          <w:tcPr>
            <w:tcW w:w="1587" w:type="dxa"/>
          </w:tcPr>
          <w:p w14:paraId="2684183C" w14:textId="77777777" w:rsidR="001F515C" w:rsidRPr="00954CE5" w:rsidRDefault="001F515C" w:rsidP="003F6431">
            <w:pPr>
              <w:spacing w:line="276" w:lineRule="auto"/>
              <w:jc w:val="right"/>
              <w:rPr>
                <w:rFonts w:ascii="Arial" w:hAnsi="Arial" w:cs="Arial"/>
                <w:sz w:val="20"/>
                <w:szCs w:val="20"/>
              </w:rPr>
            </w:pPr>
            <w:r w:rsidRPr="00954CE5">
              <w:rPr>
                <w:rFonts w:ascii="Arial" w:hAnsi="Arial" w:cs="Arial"/>
                <w:sz w:val="20"/>
                <w:szCs w:val="20"/>
              </w:rPr>
              <w:t>$17,000</w:t>
            </w:r>
          </w:p>
        </w:tc>
        <w:tc>
          <w:tcPr>
            <w:tcW w:w="1555" w:type="dxa"/>
          </w:tcPr>
          <w:p w14:paraId="34A26C58" w14:textId="77777777" w:rsidR="001F515C" w:rsidRPr="00954CE5" w:rsidRDefault="001F515C" w:rsidP="003F6431">
            <w:pPr>
              <w:spacing w:line="276" w:lineRule="auto"/>
              <w:jc w:val="right"/>
              <w:rPr>
                <w:rFonts w:ascii="Arial" w:hAnsi="Arial" w:cs="Arial"/>
                <w:sz w:val="20"/>
                <w:szCs w:val="20"/>
              </w:rPr>
            </w:pPr>
          </w:p>
        </w:tc>
      </w:tr>
      <w:tr w:rsidR="001F515C" w:rsidRPr="00370487" w14:paraId="48FB89F9" w14:textId="77777777" w:rsidTr="003F6431">
        <w:trPr>
          <w:cantSplit/>
        </w:trPr>
        <w:tc>
          <w:tcPr>
            <w:tcW w:w="6072" w:type="dxa"/>
          </w:tcPr>
          <w:p w14:paraId="2392D85B" w14:textId="77777777" w:rsidR="001F515C" w:rsidRPr="00954CE5" w:rsidRDefault="001F515C" w:rsidP="003F6431">
            <w:pPr>
              <w:spacing w:line="276" w:lineRule="auto"/>
              <w:rPr>
                <w:rFonts w:ascii="Arial" w:hAnsi="Arial" w:cs="Arial"/>
                <w:sz w:val="20"/>
                <w:szCs w:val="20"/>
              </w:rPr>
            </w:pPr>
            <w:r w:rsidRPr="00954CE5">
              <w:rPr>
                <w:rFonts w:ascii="Arial" w:hAnsi="Arial" w:cs="Arial"/>
                <w:sz w:val="20"/>
                <w:szCs w:val="20"/>
              </w:rPr>
              <w:t>By using automatic development application workflow to generate documents, we have streamlined procedures and ensured a greater level of consistency in documentation.</w:t>
            </w:r>
          </w:p>
        </w:tc>
        <w:tc>
          <w:tcPr>
            <w:tcW w:w="1587" w:type="dxa"/>
          </w:tcPr>
          <w:p w14:paraId="5382D248" w14:textId="77777777" w:rsidR="001F515C" w:rsidRPr="00954CE5" w:rsidRDefault="001F515C" w:rsidP="003F6431">
            <w:pPr>
              <w:spacing w:line="276" w:lineRule="auto"/>
              <w:jc w:val="right"/>
              <w:rPr>
                <w:rFonts w:ascii="Arial" w:hAnsi="Arial" w:cs="Arial"/>
                <w:sz w:val="20"/>
                <w:szCs w:val="20"/>
              </w:rPr>
            </w:pPr>
            <w:r w:rsidRPr="00954CE5">
              <w:rPr>
                <w:rFonts w:ascii="Arial" w:hAnsi="Arial" w:cs="Arial"/>
                <w:sz w:val="20"/>
                <w:szCs w:val="20"/>
              </w:rPr>
              <w:t>$16,640</w:t>
            </w:r>
          </w:p>
        </w:tc>
        <w:tc>
          <w:tcPr>
            <w:tcW w:w="1555" w:type="dxa"/>
          </w:tcPr>
          <w:p w14:paraId="5CC9E8F9" w14:textId="77777777" w:rsidR="001F515C" w:rsidRPr="00954CE5" w:rsidRDefault="001F515C" w:rsidP="003F6431">
            <w:pPr>
              <w:spacing w:line="276" w:lineRule="auto"/>
              <w:jc w:val="right"/>
              <w:rPr>
                <w:rFonts w:ascii="Arial" w:hAnsi="Arial" w:cs="Arial"/>
                <w:sz w:val="20"/>
                <w:szCs w:val="20"/>
              </w:rPr>
            </w:pPr>
          </w:p>
        </w:tc>
      </w:tr>
      <w:tr w:rsidR="001F515C" w:rsidRPr="00370487" w14:paraId="1EA5EB38" w14:textId="77777777" w:rsidTr="003F6431">
        <w:trPr>
          <w:cantSplit/>
        </w:trPr>
        <w:tc>
          <w:tcPr>
            <w:tcW w:w="6072" w:type="dxa"/>
          </w:tcPr>
          <w:p w14:paraId="74E8F669" w14:textId="77777777" w:rsidR="001F515C" w:rsidRPr="00954CE5" w:rsidRDefault="001F515C" w:rsidP="003F6431">
            <w:pPr>
              <w:spacing w:line="276" w:lineRule="auto"/>
              <w:rPr>
                <w:rFonts w:ascii="Arial" w:hAnsi="Arial" w:cs="Arial"/>
                <w:sz w:val="20"/>
                <w:szCs w:val="20"/>
              </w:rPr>
            </w:pPr>
            <w:r w:rsidRPr="00954CE5">
              <w:rPr>
                <w:rFonts w:ascii="Arial" w:hAnsi="Arial" w:cs="Arial"/>
                <w:sz w:val="20"/>
                <w:szCs w:val="20"/>
              </w:rPr>
              <w:t>Centralised the organisational legal register. This reduced duplication, reduced time spent on reporting and provides more accurate and timely information.</w:t>
            </w:r>
          </w:p>
        </w:tc>
        <w:tc>
          <w:tcPr>
            <w:tcW w:w="1587" w:type="dxa"/>
          </w:tcPr>
          <w:p w14:paraId="28421BFF" w14:textId="77777777" w:rsidR="001F515C" w:rsidRPr="00954CE5" w:rsidRDefault="001F515C" w:rsidP="003F6431">
            <w:pPr>
              <w:spacing w:line="276" w:lineRule="auto"/>
              <w:jc w:val="right"/>
              <w:rPr>
                <w:rFonts w:ascii="Arial" w:hAnsi="Arial" w:cs="Arial"/>
                <w:sz w:val="20"/>
                <w:szCs w:val="20"/>
              </w:rPr>
            </w:pPr>
            <w:r w:rsidRPr="00954CE5">
              <w:rPr>
                <w:rFonts w:ascii="Arial" w:hAnsi="Arial" w:cs="Arial"/>
                <w:sz w:val="20"/>
                <w:szCs w:val="20"/>
              </w:rPr>
              <w:t>$16,640</w:t>
            </w:r>
          </w:p>
        </w:tc>
        <w:tc>
          <w:tcPr>
            <w:tcW w:w="1555" w:type="dxa"/>
          </w:tcPr>
          <w:p w14:paraId="0B38D73D" w14:textId="77777777" w:rsidR="001F515C" w:rsidRPr="00954CE5" w:rsidRDefault="001F515C" w:rsidP="003F6431">
            <w:pPr>
              <w:spacing w:line="276" w:lineRule="auto"/>
              <w:jc w:val="right"/>
              <w:rPr>
                <w:rFonts w:ascii="Arial" w:hAnsi="Arial" w:cs="Arial"/>
                <w:sz w:val="20"/>
                <w:szCs w:val="20"/>
              </w:rPr>
            </w:pPr>
          </w:p>
        </w:tc>
      </w:tr>
      <w:tr w:rsidR="001F515C" w:rsidRPr="00370487" w14:paraId="481BB151" w14:textId="77777777" w:rsidTr="003F6431">
        <w:trPr>
          <w:cantSplit/>
        </w:trPr>
        <w:tc>
          <w:tcPr>
            <w:tcW w:w="6072" w:type="dxa"/>
          </w:tcPr>
          <w:p w14:paraId="5E3D95B0" w14:textId="2E6BA62B" w:rsidR="001F515C" w:rsidRPr="00954CE5" w:rsidRDefault="001F515C" w:rsidP="003F6431">
            <w:pPr>
              <w:spacing w:line="276" w:lineRule="auto"/>
              <w:rPr>
                <w:rFonts w:ascii="Arial" w:hAnsi="Arial" w:cs="Arial"/>
                <w:sz w:val="20"/>
                <w:szCs w:val="20"/>
              </w:rPr>
            </w:pPr>
            <w:r w:rsidRPr="00954CE5">
              <w:rPr>
                <w:rFonts w:ascii="Arial" w:hAnsi="Arial" w:cs="Arial"/>
                <w:sz w:val="20"/>
                <w:szCs w:val="20"/>
              </w:rPr>
              <w:t>Efficiency in the generation of invoices for inspection programs (</w:t>
            </w:r>
            <w:r w:rsidR="00165AB2" w:rsidRPr="00954CE5">
              <w:rPr>
                <w:rFonts w:ascii="Arial" w:hAnsi="Arial" w:cs="Arial"/>
                <w:sz w:val="20"/>
                <w:szCs w:val="20"/>
              </w:rPr>
              <w:t>e.g.</w:t>
            </w:r>
            <w:r w:rsidRPr="00954CE5">
              <w:rPr>
                <w:rFonts w:ascii="Arial" w:hAnsi="Arial" w:cs="Arial"/>
                <w:sz w:val="20"/>
                <w:szCs w:val="20"/>
              </w:rPr>
              <w:t xml:space="preserve"> food, footpath dining, fire safety).are now linked to debtors. Previously paper copies of invoice were processed by Finance</w:t>
            </w:r>
          </w:p>
        </w:tc>
        <w:tc>
          <w:tcPr>
            <w:tcW w:w="1587" w:type="dxa"/>
          </w:tcPr>
          <w:p w14:paraId="7BA472AD" w14:textId="77777777" w:rsidR="001F515C" w:rsidRPr="00954CE5" w:rsidRDefault="001F515C" w:rsidP="003F6431">
            <w:pPr>
              <w:spacing w:line="276" w:lineRule="auto"/>
              <w:jc w:val="right"/>
              <w:rPr>
                <w:rFonts w:ascii="Arial" w:hAnsi="Arial" w:cs="Arial"/>
                <w:sz w:val="20"/>
                <w:szCs w:val="20"/>
              </w:rPr>
            </w:pPr>
            <w:r w:rsidRPr="00954CE5">
              <w:rPr>
                <w:rFonts w:ascii="Arial" w:hAnsi="Arial" w:cs="Arial"/>
                <w:sz w:val="20"/>
                <w:szCs w:val="20"/>
              </w:rPr>
              <w:t>$16,000</w:t>
            </w:r>
          </w:p>
        </w:tc>
        <w:tc>
          <w:tcPr>
            <w:tcW w:w="1555" w:type="dxa"/>
          </w:tcPr>
          <w:p w14:paraId="6ED04CB5" w14:textId="77777777" w:rsidR="001F515C" w:rsidRPr="00954CE5" w:rsidRDefault="001F515C" w:rsidP="003F6431">
            <w:pPr>
              <w:spacing w:line="276" w:lineRule="auto"/>
              <w:jc w:val="right"/>
              <w:rPr>
                <w:rFonts w:ascii="Arial" w:hAnsi="Arial" w:cs="Arial"/>
                <w:sz w:val="20"/>
                <w:szCs w:val="20"/>
              </w:rPr>
            </w:pPr>
          </w:p>
        </w:tc>
      </w:tr>
      <w:tr w:rsidR="001F515C" w:rsidRPr="00370487" w14:paraId="6ECD2E85" w14:textId="77777777" w:rsidTr="003F6431">
        <w:trPr>
          <w:cantSplit/>
        </w:trPr>
        <w:tc>
          <w:tcPr>
            <w:tcW w:w="6072" w:type="dxa"/>
          </w:tcPr>
          <w:p w14:paraId="696E4A1D" w14:textId="77777777" w:rsidR="001F515C" w:rsidRPr="00954CE5" w:rsidRDefault="001F515C" w:rsidP="003F6431">
            <w:pPr>
              <w:spacing w:line="276" w:lineRule="auto"/>
              <w:rPr>
                <w:rFonts w:ascii="Arial" w:hAnsi="Arial" w:cs="Arial"/>
                <w:sz w:val="20"/>
                <w:szCs w:val="20"/>
              </w:rPr>
            </w:pPr>
            <w:r w:rsidRPr="00954CE5">
              <w:rPr>
                <w:rFonts w:ascii="Arial" w:hAnsi="Arial" w:cs="Arial"/>
                <w:sz w:val="20"/>
                <w:szCs w:val="20"/>
              </w:rPr>
              <w:t>Increased delegation from Council to negotiate / deal with matters before the courts</w:t>
            </w:r>
          </w:p>
        </w:tc>
        <w:tc>
          <w:tcPr>
            <w:tcW w:w="1587" w:type="dxa"/>
          </w:tcPr>
          <w:p w14:paraId="471E24A2" w14:textId="77777777" w:rsidR="001F515C" w:rsidRPr="00954CE5" w:rsidRDefault="001F515C" w:rsidP="003F6431">
            <w:pPr>
              <w:spacing w:line="276" w:lineRule="auto"/>
              <w:jc w:val="right"/>
              <w:rPr>
                <w:rFonts w:ascii="Arial" w:hAnsi="Arial" w:cs="Arial"/>
                <w:sz w:val="20"/>
                <w:szCs w:val="20"/>
              </w:rPr>
            </w:pPr>
            <w:r w:rsidRPr="00954CE5">
              <w:rPr>
                <w:rFonts w:ascii="Arial" w:hAnsi="Arial" w:cs="Arial"/>
                <w:sz w:val="20"/>
                <w:szCs w:val="20"/>
              </w:rPr>
              <w:t>$12,000</w:t>
            </w:r>
          </w:p>
        </w:tc>
        <w:tc>
          <w:tcPr>
            <w:tcW w:w="1555" w:type="dxa"/>
          </w:tcPr>
          <w:p w14:paraId="6A703C7B" w14:textId="77777777" w:rsidR="001F515C" w:rsidRPr="00954CE5" w:rsidRDefault="001F515C" w:rsidP="003F6431">
            <w:pPr>
              <w:spacing w:line="276" w:lineRule="auto"/>
              <w:jc w:val="right"/>
              <w:rPr>
                <w:rFonts w:ascii="Arial" w:hAnsi="Arial" w:cs="Arial"/>
                <w:sz w:val="20"/>
                <w:szCs w:val="20"/>
              </w:rPr>
            </w:pPr>
          </w:p>
        </w:tc>
      </w:tr>
      <w:tr w:rsidR="001F515C" w:rsidRPr="00370487" w14:paraId="670E5107" w14:textId="77777777" w:rsidTr="003F6431">
        <w:trPr>
          <w:cantSplit/>
        </w:trPr>
        <w:tc>
          <w:tcPr>
            <w:tcW w:w="6072" w:type="dxa"/>
          </w:tcPr>
          <w:p w14:paraId="507E9D7A" w14:textId="77777777" w:rsidR="001F515C" w:rsidRPr="00954CE5" w:rsidRDefault="001F515C" w:rsidP="003F6431">
            <w:pPr>
              <w:spacing w:line="276" w:lineRule="auto"/>
              <w:rPr>
                <w:rFonts w:ascii="Arial" w:hAnsi="Arial" w:cs="Arial"/>
                <w:sz w:val="20"/>
                <w:szCs w:val="20"/>
              </w:rPr>
            </w:pPr>
            <w:r w:rsidRPr="00954CE5">
              <w:rPr>
                <w:rFonts w:ascii="Arial" w:hAnsi="Arial" w:cs="Arial"/>
                <w:sz w:val="20"/>
                <w:szCs w:val="20"/>
              </w:rPr>
              <w:t>Improved processing of development applications within a water catchment area by introducing a preliminary checklist and online assessment tool (NorBE) to determine neutral or beneficial effect. This requirement followed the implementation of the Drinking Water Catchment Regional Environmental Plan No. 1 on 1 January 2007</w:t>
            </w:r>
          </w:p>
        </w:tc>
        <w:tc>
          <w:tcPr>
            <w:tcW w:w="1587" w:type="dxa"/>
          </w:tcPr>
          <w:p w14:paraId="246C2039" w14:textId="77777777" w:rsidR="001F515C" w:rsidRPr="00954CE5" w:rsidRDefault="001F515C" w:rsidP="003F6431">
            <w:pPr>
              <w:spacing w:line="276" w:lineRule="auto"/>
              <w:jc w:val="right"/>
              <w:rPr>
                <w:rFonts w:ascii="Arial" w:hAnsi="Arial" w:cs="Arial"/>
                <w:sz w:val="20"/>
                <w:szCs w:val="20"/>
              </w:rPr>
            </w:pPr>
            <w:r w:rsidRPr="00954CE5">
              <w:rPr>
                <w:rFonts w:ascii="Arial" w:hAnsi="Arial" w:cs="Arial"/>
                <w:sz w:val="20"/>
                <w:szCs w:val="20"/>
              </w:rPr>
              <w:t>$11,572</w:t>
            </w:r>
          </w:p>
        </w:tc>
        <w:tc>
          <w:tcPr>
            <w:tcW w:w="1555" w:type="dxa"/>
          </w:tcPr>
          <w:p w14:paraId="631CE872" w14:textId="77777777" w:rsidR="001F515C" w:rsidRPr="00954CE5" w:rsidRDefault="001F515C" w:rsidP="003F6431">
            <w:pPr>
              <w:spacing w:line="276" w:lineRule="auto"/>
              <w:jc w:val="right"/>
              <w:rPr>
                <w:rFonts w:ascii="Arial" w:hAnsi="Arial" w:cs="Arial"/>
                <w:sz w:val="20"/>
                <w:szCs w:val="20"/>
              </w:rPr>
            </w:pPr>
          </w:p>
        </w:tc>
      </w:tr>
      <w:tr w:rsidR="001F515C" w:rsidRPr="00370487" w14:paraId="03EBF8B4" w14:textId="77777777" w:rsidTr="003F6431">
        <w:trPr>
          <w:cantSplit/>
        </w:trPr>
        <w:tc>
          <w:tcPr>
            <w:tcW w:w="6072" w:type="dxa"/>
          </w:tcPr>
          <w:p w14:paraId="2B475DCC" w14:textId="77777777" w:rsidR="001F515C" w:rsidRPr="00954CE5" w:rsidRDefault="001F515C" w:rsidP="003F6431">
            <w:pPr>
              <w:spacing w:line="276" w:lineRule="auto"/>
              <w:rPr>
                <w:rFonts w:ascii="Arial" w:hAnsi="Arial" w:cs="Arial"/>
                <w:sz w:val="20"/>
                <w:szCs w:val="20"/>
              </w:rPr>
            </w:pPr>
            <w:r w:rsidRPr="00954CE5">
              <w:rPr>
                <w:rFonts w:ascii="Arial" w:hAnsi="Arial" w:cs="Arial"/>
                <w:sz w:val="20"/>
                <w:szCs w:val="20"/>
              </w:rPr>
              <w:t>Contained organisational mail out costs through use of emails to replace paper for library reservations and overdue notices. Decrease in mail costs. Over 80% of notices are now electronic.</w:t>
            </w:r>
          </w:p>
        </w:tc>
        <w:tc>
          <w:tcPr>
            <w:tcW w:w="1587" w:type="dxa"/>
          </w:tcPr>
          <w:p w14:paraId="6BE6364B" w14:textId="77777777" w:rsidR="001F515C" w:rsidRPr="00954CE5" w:rsidRDefault="001F515C" w:rsidP="003F6431">
            <w:pPr>
              <w:spacing w:line="276" w:lineRule="auto"/>
              <w:jc w:val="right"/>
              <w:rPr>
                <w:rFonts w:ascii="Arial" w:hAnsi="Arial" w:cs="Arial"/>
                <w:sz w:val="20"/>
                <w:szCs w:val="20"/>
              </w:rPr>
            </w:pPr>
            <w:r w:rsidRPr="00954CE5">
              <w:rPr>
                <w:rFonts w:ascii="Arial" w:hAnsi="Arial" w:cs="Arial"/>
                <w:sz w:val="20"/>
                <w:szCs w:val="20"/>
              </w:rPr>
              <w:t>$10,400</w:t>
            </w:r>
          </w:p>
        </w:tc>
        <w:tc>
          <w:tcPr>
            <w:tcW w:w="1555" w:type="dxa"/>
          </w:tcPr>
          <w:p w14:paraId="79BDDD9E" w14:textId="77777777" w:rsidR="001F515C" w:rsidRPr="00954CE5" w:rsidRDefault="001F515C" w:rsidP="003F6431">
            <w:pPr>
              <w:spacing w:line="276" w:lineRule="auto"/>
              <w:jc w:val="right"/>
              <w:rPr>
                <w:rFonts w:ascii="Arial" w:hAnsi="Arial" w:cs="Arial"/>
                <w:sz w:val="20"/>
                <w:szCs w:val="20"/>
              </w:rPr>
            </w:pPr>
          </w:p>
        </w:tc>
      </w:tr>
      <w:tr w:rsidR="001F515C" w:rsidRPr="00370487" w14:paraId="115476F6" w14:textId="77777777" w:rsidTr="003F6431">
        <w:trPr>
          <w:cantSplit/>
        </w:trPr>
        <w:tc>
          <w:tcPr>
            <w:tcW w:w="6072" w:type="dxa"/>
          </w:tcPr>
          <w:p w14:paraId="0EB0C013" w14:textId="77777777" w:rsidR="001F515C" w:rsidRPr="00954CE5" w:rsidRDefault="001F515C" w:rsidP="003F6431">
            <w:pPr>
              <w:spacing w:line="276" w:lineRule="auto"/>
              <w:rPr>
                <w:rFonts w:ascii="Arial" w:hAnsi="Arial" w:cs="Arial"/>
                <w:sz w:val="20"/>
                <w:szCs w:val="20"/>
              </w:rPr>
            </w:pPr>
            <w:r w:rsidRPr="00954CE5">
              <w:rPr>
                <w:rFonts w:ascii="Arial" w:hAnsi="Arial" w:cs="Arial"/>
                <w:sz w:val="20"/>
                <w:szCs w:val="20"/>
              </w:rPr>
              <w:t>Improved efficiencies and economies of scale with centralising Roads Act (1993) approvals in one location. Improving the approval process and fee capture. Increased transparency with separation of the regulatory approval from the restorations work</w:t>
            </w:r>
          </w:p>
        </w:tc>
        <w:tc>
          <w:tcPr>
            <w:tcW w:w="1587" w:type="dxa"/>
          </w:tcPr>
          <w:p w14:paraId="2DC55299" w14:textId="77777777" w:rsidR="001F515C" w:rsidRPr="00954CE5" w:rsidRDefault="001F515C" w:rsidP="003F6431">
            <w:pPr>
              <w:spacing w:line="276" w:lineRule="auto"/>
              <w:jc w:val="right"/>
              <w:rPr>
                <w:rFonts w:ascii="Arial" w:hAnsi="Arial" w:cs="Arial"/>
                <w:sz w:val="20"/>
                <w:szCs w:val="20"/>
              </w:rPr>
            </w:pPr>
            <w:r w:rsidRPr="00954CE5">
              <w:rPr>
                <w:rFonts w:ascii="Arial" w:hAnsi="Arial" w:cs="Arial"/>
                <w:sz w:val="20"/>
                <w:szCs w:val="20"/>
              </w:rPr>
              <w:t>$9,600</w:t>
            </w:r>
          </w:p>
        </w:tc>
        <w:tc>
          <w:tcPr>
            <w:tcW w:w="1555" w:type="dxa"/>
          </w:tcPr>
          <w:p w14:paraId="05FE8C2E" w14:textId="77777777" w:rsidR="001F515C" w:rsidRPr="00954CE5" w:rsidRDefault="001F515C" w:rsidP="003F6431">
            <w:pPr>
              <w:spacing w:line="276" w:lineRule="auto"/>
              <w:jc w:val="right"/>
              <w:rPr>
                <w:rFonts w:ascii="Arial" w:hAnsi="Arial" w:cs="Arial"/>
                <w:sz w:val="20"/>
                <w:szCs w:val="20"/>
              </w:rPr>
            </w:pPr>
          </w:p>
        </w:tc>
      </w:tr>
      <w:tr w:rsidR="001F515C" w:rsidRPr="00370487" w14:paraId="54459A8A" w14:textId="77777777" w:rsidTr="003F6431">
        <w:trPr>
          <w:cantSplit/>
        </w:trPr>
        <w:tc>
          <w:tcPr>
            <w:tcW w:w="6072" w:type="dxa"/>
          </w:tcPr>
          <w:p w14:paraId="70648252" w14:textId="77777777" w:rsidR="001F515C" w:rsidRPr="00954CE5" w:rsidRDefault="001F515C" w:rsidP="003F6431">
            <w:pPr>
              <w:spacing w:line="276" w:lineRule="auto"/>
              <w:rPr>
                <w:rFonts w:ascii="Arial" w:hAnsi="Arial" w:cs="Arial"/>
                <w:sz w:val="20"/>
                <w:szCs w:val="20"/>
              </w:rPr>
            </w:pPr>
            <w:r w:rsidRPr="00954CE5">
              <w:rPr>
                <w:rFonts w:ascii="Arial" w:hAnsi="Arial" w:cs="Arial"/>
                <w:sz w:val="20"/>
                <w:szCs w:val="20"/>
              </w:rPr>
              <w:t>Improved management of Companion Animals to contain costs associated with increased demand and legislative requirements (such as dangerous and restricted breeds provisions under the Companion Animals Management Act).</w:t>
            </w:r>
          </w:p>
        </w:tc>
        <w:tc>
          <w:tcPr>
            <w:tcW w:w="1587" w:type="dxa"/>
          </w:tcPr>
          <w:p w14:paraId="5AE88484" w14:textId="77777777" w:rsidR="001F515C" w:rsidRPr="00954CE5" w:rsidRDefault="001F515C" w:rsidP="003F6431">
            <w:pPr>
              <w:spacing w:line="276" w:lineRule="auto"/>
              <w:jc w:val="right"/>
              <w:rPr>
                <w:rFonts w:ascii="Arial" w:hAnsi="Arial" w:cs="Arial"/>
                <w:sz w:val="20"/>
                <w:szCs w:val="20"/>
              </w:rPr>
            </w:pPr>
            <w:r w:rsidRPr="00954CE5">
              <w:rPr>
                <w:rFonts w:ascii="Arial" w:hAnsi="Arial" w:cs="Arial"/>
                <w:sz w:val="20"/>
                <w:szCs w:val="20"/>
              </w:rPr>
              <w:t>$8,200</w:t>
            </w:r>
          </w:p>
        </w:tc>
        <w:tc>
          <w:tcPr>
            <w:tcW w:w="1555" w:type="dxa"/>
          </w:tcPr>
          <w:p w14:paraId="2530980B" w14:textId="77777777" w:rsidR="001F515C" w:rsidRPr="00954CE5" w:rsidRDefault="001F515C" w:rsidP="003F6431">
            <w:pPr>
              <w:spacing w:line="276" w:lineRule="auto"/>
              <w:jc w:val="right"/>
              <w:rPr>
                <w:rFonts w:ascii="Arial" w:hAnsi="Arial" w:cs="Arial"/>
                <w:sz w:val="20"/>
                <w:szCs w:val="20"/>
              </w:rPr>
            </w:pPr>
          </w:p>
        </w:tc>
      </w:tr>
      <w:tr w:rsidR="001F515C" w:rsidRPr="00370487" w14:paraId="504D8D21" w14:textId="77777777" w:rsidTr="003F6431">
        <w:trPr>
          <w:cantSplit/>
        </w:trPr>
        <w:tc>
          <w:tcPr>
            <w:tcW w:w="6072" w:type="dxa"/>
          </w:tcPr>
          <w:p w14:paraId="0D4670FC" w14:textId="77777777" w:rsidR="001F515C" w:rsidRPr="00954CE5" w:rsidRDefault="001F515C" w:rsidP="003F6431">
            <w:pPr>
              <w:spacing w:line="276" w:lineRule="auto"/>
              <w:rPr>
                <w:rFonts w:ascii="Arial" w:hAnsi="Arial" w:cs="Arial"/>
                <w:sz w:val="20"/>
                <w:szCs w:val="20"/>
              </w:rPr>
            </w:pPr>
            <w:r w:rsidRPr="00954CE5">
              <w:rPr>
                <w:rFonts w:ascii="Arial" w:hAnsi="Arial" w:cs="Arial"/>
                <w:sz w:val="20"/>
                <w:szCs w:val="20"/>
              </w:rPr>
              <w:t>Addressed risk by checking development applications against the Aboriginal Heritage when the application was lodged.</w:t>
            </w:r>
          </w:p>
        </w:tc>
        <w:tc>
          <w:tcPr>
            <w:tcW w:w="1587" w:type="dxa"/>
          </w:tcPr>
          <w:p w14:paraId="626926A5" w14:textId="77777777" w:rsidR="001F515C" w:rsidRPr="00954CE5" w:rsidRDefault="001F515C" w:rsidP="003F6431">
            <w:pPr>
              <w:spacing w:line="276" w:lineRule="auto"/>
              <w:jc w:val="right"/>
              <w:rPr>
                <w:rFonts w:ascii="Arial" w:hAnsi="Arial" w:cs="Arial"/>
                <w:sz w:val="20"/>
                <w:szCs w:val="20"/>
              </w:rPr>
            </w:pPr>
            <w:r w:rsidRPr="00954CE5">
              <w:rPr>
                <w:rFonts w:ascii="Arial" w:hAnsi="Arial" w:cs="Arial"/>
                <w:sz w:val="20"/>
                <w:szCs w:val="20"/>
              </w:rPr>
              <w:t>$8,000</w:t>
            </w:r>
          </w:p>
        </w:tc>
        <w:tc>
          <w:tcPr>
            <w:tcW w:w="1555" w:type="dxa"/>
          </w:tcPr>
          <w:p w14:paraId="76FC837F" w14:textId="77777777" w:rsidR="001F515C" w:rsidRPr="00954CE5" w:rsidRDefault="001F515C" w:rsidP="003F6431">
            <w:pPr>
              <w:spacing w:line="276" w:lineRule="auto"/>
              <w:jc w:val="right"/>
              <w:rPr>
                <w:rFonts w:ascii="Arial" w:hAnsi="Arial" w:cs="Arial"/>
                <w:sz w:val="20"/>
                <w:szCs w:val="20"/>
              </w:rPr>
            </w:pPr>
          </w:p>
        </w:tc>
      </w:tr>
      <w:tr w:rsidR="001F515C" w:rsidRPr="00370487" w14:paraId="5E82F70F" w14:textId="77777777" w:rsidTr="003F6431">
        <w:trPr>
          <w:cantSplit/>
        </w:trPr>
        <w:tc>
          <w:tcPr>
            <w:tcW w:w="6072" w:type="dxa"/>
          </w:tcPr>
          <w:p w14:paraId="4A2C1DB4" w14:textId="77777777" w:rsidR="001F515C" w:rsidRPr="00954CE5" w:rsidRDefault="001F515C" w:rsidP="003F6431">
            <w:pPr>
              <w:spacing w:line="276" w:lineRule="auto"/>
              <w:rPr>
                <w:rFonts w:ascii="Arial" w:hAnsi="Arial" w:cs="Arial"/>
                <w:sz w:val="20"/>
                <w:szCs w:val="20"/>
              </w:rPr>
            </w:pPr>
            <w:r w:rsidRPr="00954CE5">
              <w:rPr>
                <w:rFonts w:ascii="Arial" w:hAnsi="Arial" w:cs="Arial"/>
                <w:sz w:val="20"/>
                <w:szCs w:val="20"/>
              </w:rPr>
              <w:t>Developed and implemented e-forms for bookings and applications. Reduces paper consumption and negates the need to scan paper copy.</w:t>
            </w:r>
          </w:p>
        </w:tc>
        <w:tc>
          <w:tcPr>
            <w:tcW w:w="1587" w:type="dxa"/>
          </w:tcPr>
          <w:p w14:paraId="197C5FC1" w14:textId="77777777" w:rsidR="001F515C" w:rsidRPr="00954CE5" w:rsidRDefault="001F515C" w:rsidP="003F6431">
            <w:pPr>
              <w:spacing w:line="276" w:lineRule="auto"/>
              <w:jc w:val="right"/>
              <w:rPr>
                <w:rFonts w:ascii="Arial" w:hAnsi="Arial" w:cs="Arial"/>
                <w:sz w:val="20"/>
                <w:szCs w:val="20"/>
              </w:rPr>
            </w:pPr>
            <w:r w:rsidRPr="00954CE5">
              <w:rPr>
                <w:rFonts w:ascii="Arial" w:hAnsi="Arial" w:cs="Arial"/>
                <w:sz w:val="20"/>
                <w:szCs w:val="20"/>
              </w:rPr>
              <w:t>$8,000</w:t>
            </w:r>
          </w:p>
        </w:tc>
        <w:tc>
          <w:tcPr>
            <w:tcW w:w="1555" w:type="dxa"/>
          </w:tcPr>
          <w:p w14:paraId="53722F07" w14:textId="77777777" w:rsidR="001F515C" w:rsidRPr="00954CE5" w:rsidRDefault="001F515C" w:rsidP="003F6431">
            <w:pPr>
              <w:spacing w:line="276" w:lineRule="auto"/>
              <w:jc w:val="right"/>
              <w:rPr>
                <w:rFonts w:ascii="Arial" w:hAnsi="Arial" w:cs="Arial"/>
                <w:sz w:val="20"/>
                <w:szCs w:val="20"/>
              </w:rPr>
            </w:pPr>
          </w:p>
        </w:tc>
      </w:tr>
      <w:tr w:rsidR="001F515C" w:rsidRPr="00370487" w14:paraId="3B5E4144" w14:textId="77777777" w:rsidTr="003F6431">
        <w:trPr>
          <w:cantSplit/>
        </w:trPr>
        <w:tc>
          <w:tcPr>
            <w:tcW w:w="6072" w:type="dxa"/>
          </w:tcPr>
          <w:p w14:paraId="614CDA48" w14:textId="77777777" w:rsidR="001F515C" w:rsidRPr="00954CE5" w:rsidRDefault="001F515C" w:rsidP="003F6431">
            <w:pPr>
              <w:spacing w:line="276" w:lineRule="auto"/>
              <w:rPr>
                <w:rFonts w:ascii="Arial" w:hAnsi="Arial" w:cs="Arial"/>
                <w:sz w:val="20"/>
                <w:szCs w:val="20"/>
              </w:rPr>
            </w:pPr>
            <w:r w:rsidRPr="00954CE5">
              <w:rPr>
                <w:rFonts w:ascii="Arial" w:hAnsi="Arial" w:cs="Arial"/>
                <w:sz w:val="20"/>
                <w:szCs w:val="20"/>
              </w:rPr>
              <w:t>Redirected Family Day Care payments through the Customer Service Centre. Eliminating the manual credit card machine and cash handling requirements.</w:t>
            </w:r>
          </w:p>
        </w:tc>
        <w:tc>
          <w:tcPr>
            <w:tcW w:w="1587" w:type="dxa"/>
          </w:tcPr>
          <w:p w14:paraId="5C5EE235" w14:textId="77777777" w:rsidR="001F515C" w:rsidRPr="00954CE5" w:rsidRDefault="001F515C" w:rsidP="003F6431">
            <w:pPr>
              <w:spacing w:line="276" w:lineRule="auto"/>
              <w:jc w:val="right"/>
              <w:rPr>
                <w:rFonts w:ascii="Arial" w:hAnsi="Arial" w:cs="Arial"/>
                <w:sz w:val="20"/>
                <w:szCs w:val="20"/>
              </w:rPr>
            </w:pPr>
            <w:r w:rsidRPr="00954CE5">
              <w:rPr>
                <w:rFonts w:ascii="Arial" w:hAnsi="Arial" w:cs="Arial"/>
                <w:sz w:val="20"/>
                <w:szCs w:val="20"/>
              </w:rPr>
              <w:t>$8,000</w:t>
            </w:r>
          </w:p>
        </w:tc>
        <w:tc>
          <w:tcPr>
            <w:tcW w:w="1555" w:type="dxa"/>
          </w:tcPr>
          <w:p w14:paraId="3F18F43B" w14:textId="77777777" w:rsidR="001F515C" w:rsidRPr="00954CE5" w:rsidRDefault="001F515C" w:rsidP="003F6431">
            <w:pPr>
              <w:spacing w:line="276" w:lineRule="auto"/>
              <w:jc w:val="right"/>
              <w:rPr>
                <w:rFonts w:ascii="Arial" w:hAnsi="Arial" w:cs="Arial"/>
                <w:sz w:val="20"/>
                <w:szCs w:val="20"/>
              </w:rPr>
            </w:pPr>
          </w:p>
        </w:tc>
      </w:tr>
      <w:tr w:rsidR="001F515C" w:rsidRPr="00370487" w14:paraId="7EA67752" w14:textId="77777777" w:rsidTr="003F6431">
        <w:trPr>
          <w:cantSplit/>
        </w:trPr>
        <w:tc>
          <w:tcPr>
            <w:tcW w:w="6072" w:type="dxa"/>
          </w:tcPr>
          <w:p w14:paraId="29FAB2A2" w14:textId="77777777" w:rsidR="001F515C" w:rsidRPr="00954CE5" w:rsidRDefault="001F515C" w:rsidP="003F6431">
            <w:pPr>
              <w:spacing w:line="276" w:lineRule="auto"/>
              <w:rPr>
                <w:rFonts w:ascii="Arial" w:hAnsi="Arial" w:cs="Arial"/>
                <w:sz w:val="20"/>
                <w:szCs w:val="20"/>
              </w:rPr>
            </w:pPr>
            <w:r w:rsidRPr="00954CE5">
              <w:rPr>
                <w:rFonts w:ascii="Arial" w:hAnsi="Arial" w:cs="Arial"/>
                <w:sz w:val="20"/>
                <w:szCs w:val="20"/>
              </w:rPr>
              <w:t>Developed and published guides to development resulting in 17% reduction in the number of rejected applications. Significant savings by client;  efficiency savings in registering and scanning</w:t>
            </w:r>
          </w:p>
        </w:tc>
        <w:tc>
          <w:tcPr>
            <w:tcW w:w="1587" w:type="dxa"/>
          </w:tcPr>
          <w:p w14:paraId="11A3BE08" w14:textId="77777777" w:rsidR="001F515C" w:rsidRPr="00954CE5" w:rsidRDefault="001F515C" w:rsidP="003F6431">
            <w:pPr>
              <w:spacing w:line="276" w:lineRule="auto"/>
              <w:jc w:val="right"/>
              <w:rPr>
                <w:rFonts w:ascii="Arial" w:hAnsi="Arial" w:cs="Arial"/>
                <w:sz w:val="20"/>
                <w:szCs w:val="20"/>
              </w:rPr>
            </w:pPr>
            <w:r w:rsidRPr="00954CE5">
              <w:rPr>
                <w:rFonts w:ascii="Arial" w:hAnsi="Arial" w:cs="Arial"/>
                <w:sz w:val="20"/>
                <w:szCs w:val="20"/>
              </w:rPr>
              <w:t>$8,000</w:t>
            </w:r>
          </w:p>
        </w:tc>
        <w:tc>
          <w:tcPr>
            <w:tcW w:w="1555" w:type="dxa"/>
          </w:tcPr>
          <w:p w14:paraId="51BDEFD4" w14:textId="77777777" w:rsidR="001F515C" w:rsidRPr="00954CE5" w:rsidRDefault="001F515C" w:rsidP="003F6431">
            <w:pPr>
              <w:spacing w:line="276" w:lineRule="auto"/>
              <w:jc w:val="right"/>
              <w:rPr>
                <w:rFonts w:ascii="Arial" w:hAnsi="Arial" w:cs="Arial"/>
                <w:sz w:val="20"/>
                <w:szCs w:val="20"/>
              </w:rPr>
            </w:pPr>
          </w:p>
        </w:tc>
      </w:tr>
      <w:tr w:rsidR="001F515C" w:rsidRPr="00370487" w14:paraId="010A3353" w14:textId="77777777" w:rsidTr="003F6431">
        <w:trPr>
          <w:cantSplit/>
        </w:trPr>
        <w:tc>
          <w:tcPr>
            <w:tcW w:w="6072" w:type="dxa"/>
          </w:tcPr>
          <w:p w14:paraId="533C86CA" w14:textId="77777777" w:rsidR="001F515C" w:rsidRPr="00954CE5" w:rsidRDefault="001F515C" w:rsidP="003F6431">
            <w:pPr>
              <w:spacing w:line="276" w:lineRule="auto"/>
              <w:rPr>
                <w:rFonts w:ascii="Arial" w:hAnsi="Arial" w:cs="Arial"/>
                <w:sz w:val="20"/>
                <w:szCs w:val="20"/>
              </w:rPr>
            </w:pPr>
            <w:r w:rsidRPr="00954CE5">
              <w:rPr>
                <w:rFonts w:ascii="Arial" w:hAnsi="Arial" w:cs="Arial"/>
                <w:sz w:val="20"/>
                <w:szCs w:val="20"/>
              </w:rPr>
              <w:t>Implemented an e-lodgement and tracking system (24x7) for public and Councillor customer service requests giving greater levels of service to our customers and saving one hour a week.</w:t>
            </w:r>
          </w:p>
        </w:tc>
        <w:tc>
          <w:tcPr>
            <w:tcW w:w="1587" w:type="dxa"/>
          </w:tcPr>
          <w:p w14:paraId="540BD2EA" w14:textId="77777777" w:rsidR="001F515C" w:rsidRPr="00954CE5" w:rsidRDefault="001F515C" w:rsidP="003F6431">
            <w:pPr>
              <w:spacing w:line="276" w:lineRule="auto"/>
              <w:jc w:val="right"/>
              <w:rPr>
                <w:rFonts w:ascii="Arial" w:hAnsi="Arial" w:cs="Arial"/>
                <w:sz w:val="20"/>
                <w:szCs w:val="20"/>
              </w:rPr>
            </w:pPr>
            <w:r w:rsidRPr="00954CE5">
              <w:rPr>
                <w:rFonts w:ascii="Arial" w:hAnsi="Arial" w:cs="Arial"/>
                <w:sz w:val="20"/>
                <w:szCs w:val="20"/>
              </w:rPr>
              <w:t>$8,000</w:t>
            </w:r>
          </w:p>
        </w:tc>
        <w:tc>
          <w:tcPr>
            <w:tcW w:w="1555" w:type="dxa"/>
          </w:tcPr>
          <w:p w14:paraId="64A74B8C" w14:textId="77777777" w:rsidR="001F515C" w:rsidRPr="00954CE5" w:rsidRDefault="001F515C" w:rsidP="003F6431">
            <w:pPr>
              <w:spacing w:line="276" w:lineRule="auto"/>
              <w:jc w:val="right"/>
              <w:rPr>
                <w:rFonts w:ascii="Arial" w:hAnsi="Arial" w:cs="Arial"/>
                <w:sz w:val="20"/>
                <w:szCs w:val="20"/>
              </w:rPr>
            </w:pPr>
          </w:p>
        </w:tc>
      </w:tr>
      <w:tr w:rsidR="001F515C" w:rsidRPr="00370487" w14:paraId="0E363AC4" w14:textId="77777777" w:rsidTr="003F6431">
        <w:trPr>
          <w:cantSplit/>
        </w:trPr>
        <w:tc>
          <w:tcPr>
            <w:tcW w:w="6072" w:type="dxa"/>
          </w:tcPr>
          <w:p w14:paraId="7F5F951F" w14:textId="77777777" w:rsidR="001F515C" w:rsidRPr="00954CE5" w:rsidRDefault="001F515C" w:rsidP="003F6431">
            <w:pPr>
              <w:spacing w:line="276" w:lineRule="auto"/>
              <w:rPr>
                <w:rFonts w:ascii="Arial" w:hAnsi="Arial" w:cs="Arial"/>
                <w:sz w:val="20"/>
                <w:szCs w:val="20"/>
              </w:rPr>
            </w:pPr>
            <w:r w:rsidRPr="00954CE5">
              <w:rPr>
                <w:rFonts w:ascii="Arial" w:hAnsi="Arial" w:cs="Arial"/>
                <w:sz w:val="20"/>
                <w:szCs w:val="20"/>
              </w:rPr>
              <w:t>Staged implementation of Envisionware Internet Booking System at Council libraries. Savings in paper and ink usage by reducing unwanted printing by customers.</w:t>
            </w:r>
          </w:p>
        </w:tc>
        <w:tc>
          <w:tcPr>
            <w:tcW w:w="1587" w:type="dxa"/>
          </w:tcPr>
          <w:p w14:paraId="10E8B948" w14:textId="77777777" w:rsidR="001F515C" w:rsidRPr="00954CE5" w:rsidRDefault="001F515C" w:rsidP="003F6431">
            <w:pPr>
              <w:spacing w:line="276" w:lineRule="auto"/>
              <w:jc w:val="right"/>
              <w:rPr>
                <w:rFonts w:ascii="Arial" w:hAnsi="Arial" w:cs="Arial"/>
                <w:sz w:val="20"/>
                <w:szCs w:val="20"/>
              </w:rPr>
            </w:pPr>
            <w:r w:rsidRPr="00954CE5">
              <w:rPr>
                <w:rFonts w:ascii="Arial" w:hAnsi="Arial" w:cs="Arial"/>
                <w:sz w:val="20"/>
                <w:szCs w:val="20"/>
              </w:rPr>
              <w:t>$6,240</w:t>
            </w:r>
          </w:p>
        </w:tc>
        <w:tc>
          <w:tcPr>
            <w:tcW w:w="1555" w:type="dxa"/>
          </w:tcPr>
          <w:p w14:paraId="4B18B721" w14:textId="77777777" w:rsidR="001F515C" w:rsidRPr="00954CE5" w:rsidRDefault="001F515C" w:rsidP="003F6431">
            <w:pPr>
              <w:spacing w:line="276" w:lineRule="auto"/>
              <w:jc w:val="right"/>
              <w:rPr>
                <w:rFonts w:ascii="Arial" w:hAnsi="Arial" w:cs="Arial"/>
                <w:sz w:val="20"/>
                <w:szCs w:val="20"/>
              </w:rPr>
            </w:pPr>
          </w:p>
        </w:tc>
      </w:tr>
      <w:tr w:rsidR="001F515C" w:rsidRPr="00370487" w14:paraId="0A7BFB5F" w14:textId="77777777" w:rsidTr="003F6431">
        <w:trPr>
          <w:cantSplit/>
        </w:trPr>
        <w:tc>
          <w:tcPr>
            <w:tcW w:w="6072" w:type="dxa"/>
          </w:tcPr>
          <w:p w14:paraId="51793982" w14:textId="77777777" w:rsidR="001F515C" w:rsidRPr="00954CE5" w:rsidRDefault="001F515C" w:rsidP="003F6431">
            <w:pPr>
              <w:spacing w:line="276" w:lineRule="auto"/>
              <w:rPr>
                <w:rFonts w:ascii="Arial" w:hAnsi="Arial" w:cs="Arial"/>
                <w:sz w:val="20"/>
                <w:szCs w:val="20"/>
              </w:rPr>
            </w:pPr>
            <w:r w:rsidRPr="00954CE5">
              <w:rPr>
                <w:rFonts w:ascii="Arial" w:hAnsi="Arial" w:cs="Arial"/>
                <w:sz w:val="20"/>
                <w:szCs w:val="20"/>
              </w:rPr>
              <w:t>Created efficiencies in processing and debt recovery by adding the “Septic Safe” fee to the rates notice. It used to be invoiced separately.</w:t>
            </w:r>
          </w:p>
        </w:tc>
        <w:tc>
          <w:tcPr>
            <w:tcW w:w="1587" w:type="dxa"/>
          </w:tcPr>
          <w:p w14:paraId="32A014EE" w14:textId="77777777" w:rsidR="001F515C" w:rsidRPr="00954CE5" w:rsidRDefault="001F515C" w:rsidP="003F6431">
            <w:pPr>
              <w:spacing w:line="276" w:lineRule="auto"/>
              <w:jc w:val="right"/>
              <w:rPr>
                <w:rFonts w:ascii="Arial" w:hAnsi="Arial" w:cs="Arial"/>
                <w:sz w:val="20"/>
                <w:szCs w:val="20"/>
              </w:rPr>
            </w:pPr>
            <w:r w:rsidRPr="00954CE5">
              <w:rPr>
                <w:rFonts w:ascii="Arial" w:hAnsi="Arial" w:cs="Arial"/>
                <w:sz w:val="20"/>
                <w:szCs w:val="20"/>
              </w:rPr>
              <w:t>$4,000</w:t>
            </w:r>
          </w:p>
        </w:tc>
        <w:tc>
          <w:tcPr>
            <w:tcW w:w="1555" w:type="dxa"/>
          </w:tcPr>
          <w:p w14:paraId="424FCD18" w14:textId="77777777" w:rsidR="001F515C" w:rsidRPr="00954CE5" w:rsidRDefault="001F515C" w:rsidP="003F6431">
            <w:pPr>
              <w:spacing w:line="276" w:lineRule="auto"/>
              <w:jc w:val="right"/>
              <w:rPr>
                <w:rFonts w:ascii="Arial" w:hAnsi="Arial" w:cs="Arial"/>
                <w:sz w:val="20"/>
                <w:szCs w:val="20"/>
              </w:rPr>
            </w:pPr>
          </w:p>
        </w:tc>
      </w:tr>
      <w:tr w:rsidR="001F515C" w:rsidRPr="00370487" w14:paraId="2337AA61" w14:textId="77777777" w:rsidTr="003F6431">
        <w:trPr>
          <w:cantSplit/>
        </w:trPr>
        <w:tc>
          <w:tcPr>
            <w:tcW w:w="6072" w:type="dxa"/>
          </w:tcPr>
          <w:p w14:paraId="51672355" w14:textId="77777777" w:rsidR="001F515C" w:rsidRPr="00954CE5" w:rsidRDefault="001F515C" w:rsidP="003F6431">
            <w:pPr>
              <w:spacing w:line="276" w:lineRule="auto"/>
              <w:rPr>
                <w:rFonts w:ascii="Arial" w:hAnsi="Arial" w:cs="Arial"/>
                <w:sz w:val="20"/>
                <w:szCs w:val="20"/>
              </w:rPr>
            </w:pPr>
            <w:r w:rsidRPr="00954CE5">
              <w:rPr>
                <w:rFonts w:ascii="Arial" w:hAnsi="Arial" w:cs="Arial"/>
                <w:sz w:val="20"/>
                <w:szCs w:val="20"/>
              </w:rPr>
              <w:t>Absorbed the additional assessment requirements of SEPP (Building Sustainability Index: BASIX) 2004 introduced 1 July 2005 and extended in October 2006 without needing additional resources.</w:t>
            </w:r>
          </w:p>
        </w:tc>
        <w:tc>
          <w:tcPr>
            <w:tcW w:w="1587" w:type="dxa"/>
          </w:tcPr>
          <w:p w14:paraId="7CC35A14" w14:textId="77777777" w:rsidR="001F515C" w:rsidRPr="00954CE5" w:rsidRDefault="001F515C" w:rsidP="003F6431">
            <w:pPr>
              <w:spacing w:line="276" w:lineRule="auto"/>
              <w:jc w:val="right"/>
              <w:rPr>
                <w:rFonts w:ascii="Arial" w:hAnsi="Arial" w:cs="Arial"/>
                <w:sz w:val="20"/>
                <w:szCs w:val="20"/>
              </w:rPr>
            </w:pPr>
            <w:r w:rsidRPr="00954CE5">
              <w:rPr>
                <w:rFonts w:ascii="Arial" w:hAnsi="Arial" w:cs="Arial"/>
                <w:sz w:val="20"/>
                <w:szCs w:val="20"/>
              </w:rPr>
              <w:t>$3,000</w:t>
            </w:r>
          </w:p>
        </w:tc>
        <w:tc>
          <w:tcPr>
            <w:tcW w:w="1555" w:type="dxa"/>
          </w:tcPr>
          <w:p w14:paraId="6D63A82D" w14:textId="77777777" w:rsidR="001F515C" w:rsidRPr="00954CE5" w:rsidRDefault="001F515C" w:rsidP="003F6431">
            <w:pPr>
              <w:spacing w:line="276" w:lineRule="auto"/>
              <w:jc w:val="right"/>
              <w:rPr>
                <w:rFonts w:ascii="Arial" w:hAnsi="Arial" w:cs="Arial"/>
                <w:sz w:val="20"/>
                <w:szCs w:val="20"/>
              </w:rPr>
            </w:pPr>
          </w:p>
        </w:tc>
      </w:tr>
      <w:tr w:rsidR="001F515C" w:rsidRPr="00370487" w14:paraId="68F02045" w14:textId="77777777" w:rsidTr="003F6431">
        <w:trPr>
          <w:cantSplit/>
        </w:trPr>
        <w:tc>
          <w:tcPr>
            <w:tcW w:w="6072" w:type="dxa"/>
          </w:tcPr>
          <w:p w14:paraId="29901199" w14:textId="77777777" w:rsidR="001F515C" w:rsidRPr="00954CE5" w:rsidRDefault="001F515C" w:rsidP="003F6431">
            <w:pPr>
              <w:spacing w:line="276" w:lineRule="auto"/>
              <w:rPr>
                <w:rFonts w:ascii="Arial" w:hAnsi="Arial" w:cs="Arial"/>
                <w:sz w:val="20"/>
                <w:szCs w:val="20"/>
              </w:rPr>
            </w:pPr>
            <w:r w:rsidRPr="00954CE5">
              <w:rPr>
                <w:rFonts w:ascii="Arial" w:hAnsi="Arial" w:cs="Arial"/>
                <w:sz w:val="20"/>
                <w:szCs w:val="20"/>
              </w:rPr>
              <w:t>Investigate video conferencing option to save staff travelling to meetings.</w:t>
            </w:r>
          </w:p>
        </w:tc>
        <w:tc>
          <w:tcPr>
            <w:tcW w:w="1587" w:type="dxa"/>
          </w:tcPr>
          <w:p w14:paraId="16FFE391" w14:textId="77777777" w:rsidR="001F515C" w:rsidRPr="00954CE5" w:rsidRDefault="001F515C" w:rsidP="003F6431">
            <w:pPr>
              <w:spacing w:line="276" w:lineRule="auto"/>
              <w:jc w:val="right"/>
              <w:rPr>
                <w:rFonts w:ascii="Arial" w:hAnsi="Arial" w:cs="Arial"/>
                <w:sz w:val="20"/>
                <w:szCs w:val="20"/>
              </w:rPr>
            </w:pPr>
            <w:r>
              <w:rPr>
                <w:rFonts w:ascii="Arial" w:hAnsi="Arial" w:cs="Arial"/>
                <w:sz w:val="20"/>
                <w:szCs w:val="20"/>
              </w:rPr>
              <w:t>Not determined</w:t>
            </w:r>
          </w:p>
        </w:tc>
        <w:tc>
          <w:tcPr>
            <w:tcW w:w="1555" w:type="dxa"/>
          </w:tcPr>
          <w:p w14:paraId="71C9E200" w14:textId="77777777" w:rsidR="001F515C" w:rsidRPr="00954CE5" w:rsidRDefault="001F515C" w:rsidP="003F6431">
            <w:pPr>
              <w:spacing w:line="276" w:lineRule="auto"/>
              <w:jc w:val="right"/>
              <w:rPr>
                <w:rFonts w:ascii="Arial" w:hAnsi="Arial" w:cs="Arial"/>
                <w:sz w:val="20"/>
                <w:szCs w:val="20"/>
              </w:rPr>
            </w:pPr>
          </w:p>
        </w:tc>
      </w:tr>
      <w:tr w:rsidR="001F515C" w:rsidRPr="00370487" w14:paraId="4048C41D" w14:textId="77777777" w:rsidTr="003F6431">
        <w:trPr>
          <w:cantSplit/>
        </w:trPr>
        <w:tc>
          <w:tcPr>
            <w:tcW w:w="6072" w:type="dxa"/>
          </w:tcPr>
          <w:p w14:paraId="5F12E416" w14:textId="77777777" w:rsidR="001F515C" w:rsidRPr="00954CE5" w:rsidRDefault="001F515C" w:rsidP="003F6431">
            <w:pPr>
              <w:spacing w:line="276" w:lineRule="auto"/>
              <w:rPr>
                <w:rFonts w:ascii="Arial" w:hAnsi="Arial" w:cs="Arial"/>
                <w:sz w:val="20"/>
                <w:szCs w:val="20"/>
              </w:rPr>
            </w:pPr>
            <w:r w:rsidRPr="00954CE5">
              <w:rPr>
                <w:rFonts w:ascii="Arial" w:hAnsi="Arial" w:cs="Arial"/>
                <w:sz w:val="20"/>
                <w:szCs w:val="20"/>
              </w:rPr>
              <w:t>Purchased a second oval type mower for broad acre mowing - giving more options for maintaining sportgrounds and large grassed areas</w:t>
            </w:r>
          </w:p>
        </w:tc>
        <w:tc>
          <w:tcPr>
            <w:tcW w:w="1587" w:type="dxa"/>
          </w:tcPr>
          <w:p w14:paraId="72C504D8" w14:textId="77777777" w:rsidR="001F515C" w:rsidRPr="00954CE5" w:rsidRDefault="001F515C" w:rsidP="003F6431">
            <w:pPr>
              <w:spacing w:line="276" w:lineRule="auto"/>
              <w:jc w:val="right"/>
              <w:rPr>
                <w:rFonts w:ascii="Arial" w:hAnsi="Arial" w:cs="Arial"/>
                <w:sz w:val="20"/>
                <w:szCs w:val="20"/>
              </w:rPr>
            </w:pPr>
            <w:r>
              <w:rPr>
                <w:rFonts w:ascii="Arial" w:hAnsi="Arial" w:cs="Arial"/>
                <w:sz w:val="20"/>
                <w:szCs w:val="20"/>
              </w:rPr>
              <w:t>Not determined</w:t>
            </w:r>
          </w:p>
        </w:tc>
        <w:tc>
          <w:tcPr>
            <w:tcW w:w="1555" w:type="dxa"/>
          </w:tcPr>
          <w:p w14:paraId="0B57BF0B" w14:textId="77777777" w:rsidR="001F515C" w:rsidRPr="00954CE5" w:rsidRDefault="001F515C" w:rsidP="003F6431">
            <w:pPr>
              <w:spacing w:line="276" w:lineRule="auto"/>
              <w:jc w:val="right"/>
              <w:rPr>
                <w:rFonts w:ascii="Arial" w:hAnsi="Arial" w:cs="Arial"/>
                <w:sz w:val="20"/>
                <w:szCs w:val="20"/>
              </w:rPr>
            </w:pPr>
          </w:p>
        </w:tc>
      </w:tr>
      <w:tr w:rsidR="001F515C" w:rsidRPr="00370487" w14:paraId="2740AC1F" w14:textId="77777777" w:rsidTr="003F6431">
        <w:trPr>
          <w:cantSplit/>
        </w:trPr>
        <w:tc>
          <w:tcPr>
            <w:tcW w:w="6072" w:type="dxa"/>
          </w:tcPr>
          <w:p w14:paraId="42987270" w14:textId="77777777" w:rsidR="001F515C" w:rsidRPr="00954CE5" w:rsidRDefault="001F515C" w:rsidP="003F6431">
            <w:pPr>
              <w:spacing w:line="276" w:lineRule="auto"/>
              <w:rPr>
                <w:rFonts w:ascii="Arial" w:hAnsi="Arial" w:cs="Arial"/>
                <w:sz w:val="20"/>
                <w:szCs w:val="20"/>
              </w:rPr>
            </w:pPr>
            <w:r w:rsidRPr="00954CE5">
              <w:rPr>
                <w:rFonts w:ascii="Arial" w:hAnsi="Arial" w:cs="Arial"/>
                <w:sz w:val="20"/>
                <w:szCs w:val="20"/>
              </w:rPr>
              <w:t>Introduced flexible work practices for phased retirement to allow smooth transfer of knowledge transition to new staff.</w:t>
            </w:r>
          </w:p>
        </w:tc>
        <w:tc>
          <w:tcPr>
            <w:tcW w:w="1587" w:type="dxa"/>
          </w:tcPr>
          <w:p w14:paraId="6D6B0DB9" w14:textId="77777777" w:rsidR="001F515C" w:rsidRPr="00954CE5" w:rsidRDefault="001F515C" w:rsidP="003F6431">
            <w:pPr>
              <w:spacing w:line="276" w:lineRule="auto"/>
              <w:jc w:val="right"/>
              <w:rPr>
                <w:rFonts w:ascii="Arial" w:hAnsi="Arial" w:cs="Arial"/>
                <w:sz w:val="20"/>
                <w:szCs w:val="20"/>
              </w:rPr>
            </w:pPr>
            <w:r>
              <w:rPr>
                <w:rFonts w:ascii="Arial" w:hAnsi="Arial" w:cs="Arial"/>
                <w:sz w:val="20"/>
                <w:szCs w:val="20"/>
              </w:rPr>
              <w:t>Not determined</w:t>
            </w:r>
          </w:p>
        </w:tc>
        <w:tc>
          <w:tcPr>
            <w:tcW w:w="1555" w:type="dxa"/>
          </w:tcPr>
          <w:p w14:paraId="3EFA66A5" w14:textId="77777777" w:rsidR="001F515C" w:rsidRPr="00954CE5" w:rsidRDefault="001F515C" w:rsidP="003F6431">
            <w:pPr>
              <w:spacing w:line="276" w:lineRule="auto"/>
              <w:jc w:val="right"/>
              <w:rPr>
                <w:rFonts w:ascii="Arial" w:hAnsi="Arial" w:cs="Arial"/>
                <w:sz w:val="20"/>
                <w:szCs w:val="20"/>
              </w:rPr>
            </w:pPr>
          </w:p>
        </w:tc>
      </w:tr>
      <w:tr w:rsidR="001F515C" w:rsidRPr="00370487" w14:paraId="1CE6D3D9" w14:textId="77777777" w:rsidTr="003F6431">
        <w:trPr>
          <w:cantSplit/>
        </w:trPr>
        <w:tc>
          <w:tcPr>
            <w:tcW w:w="6072" w:type="dxa"/>
          </w:tcPr>
          <w:p w14:paraId="7717F57A" w14:textId="77777777" w:rsidR="001F515C" w:rsidRPr="00954CE5" w:rsidRDefault="001F515C" w:rsidP="003F6431">
            <w:pPr>
              <w:spacing w:line="276" w:lineRule="auto"/>
              <w:rPr>
                <w:rFonts w:ascii="Arial" w:hAnsi="Arial" w:cs="Arial"/>
                <w:sz w:val="20"/>
                <w:szCs w:val="20"/>
              </w:rPr>
            </w:pPr>
            <w:r w:rsidRPr="00954CE5">
              <w:rPr>
                <w:rFonts w:ascii="Arial" w:hAnsi="Arial" w:cs="Arial"/>
                <w:sz w:val="20"/>
                <w:szCs w:val="20"/>
              </w:rPr>
              <w:t>Implemented split shift facility cleansing teams to improve service quality and reduce contract security costs</w:t>
            </w:r>
          </w:p>
        </w:tc>
        <w:tc>
          <w:tcPr>
            <w:tcW w:w="1587" w:type="dxa"/>
          </w:tcPr>
          <w:p w14:paraId="6D314FD0" w14:textId="77777777" w:rsidR="001F515C" w:rsidRPr="00954CE5" w:rsidRDefault="001F515C" w:rsidP="003F6431">
            <w:pPr>
              <w:spacing w:line="276" w:lineRule="auto"/>
              <w:jc w:val="right"/>
              <w:rPr>
                <w:rFonts w:ascii="Arial" w:hAnsi="Arial" w:cs="Arial"/>
                <w:sz w:val="20"/>
                <w:szCs w:val="20"/>
              </w:rPr>
            </w:pPr>
            <w:r>
              <w:rPr>
                <w:rFonts w:ascii="Arial" w:hAnsi="Arial" w:cs="Arial"/>
                <w:sz w:val="20"/>
                <w:szCs w:val="20"/>
              </w:rPr>
              <w:t>Not determined</w:t>
            </w:r>
          </w:p>
        </w:tc>
        <w:tc>
          <w:tcPr>
            <w:tcW w:w="1555" w:type="dxa"/>
          </w:tcPr>
          <w:p w14:paraId="17CFE091" w14:textId="77777777" w:rsidR="001F515C" w:rsidRPr="00954CE5" w:rsidRDefault="001F515C" w:rsidP="003F6431">
            <w:pPr>
              <w:spacing w:line="276" w:lineRule="auto"/>
              <w:jc w:val="right"/>
              <w:rPr>
                <w:rFonts w:ascii="Arial" w:hAnsi="Arial" w:cs="Arial"/>
                <w:sz w:val="20"/>
                <w:szCs w:val="20"/>
              </w:rPr>
            </w:pPr>
          </w:p>
        </w:tc>
      </w:tr>
      <w:tr w:rsidR="001F515C" w:rsidRPr="00370487" w14:paraId="0DD43D96" w14:textId="77777777" w:rsidTr="003F6431">
        <w:trPr>
          <w:cantSplit/>
        </w:trPr>
        <w:tc>
          <w:tcPr>
            <w:tcW w:w="6072" w:type="dxa"/>
          </w:tcPr>
          <w:p w14:paraId="5E59F602" w14:textId="77777777" w:rsidR="001F515C" w:rsidRPr="00954CE5" w:rsidRDefault="001F515C" w:rsidP="003F6431">
            <w:pPr>
              <w:spacing w:line="276" w:lineRule="auto"/>
              <w:rPr>
                <w:rFonts w:ascii="Arial" w:hAnsi="Arial" w:cs="Arial"/>
                <w:sz w:val="20"/>
                <w:szCs w:val="20"/>
              </w:rPr>
            </w:pPr>
            <w:r w:rsidRPr="00954CE5">
              <w:rPr>
                <w:rFonts w:ascii="Arial" w:hAnsi="Arial" w:cs="Arial"/>
                <w:sz w:val="20"/>
                <w:szCs w:val="20"/>
              </w:rPr>
              <w:t>Footpath construction works and large paving works are contracted out as contractors are able to provide specialist equipment and economies of scale</w:t>
            </w:r>
          </w:p>
        </w:tc>
        <w:tc>
          <w:tcPr>
            <w:tcW w:w="1587" w:type="dxa"/>
          </w:tcPr>
          <w:p w14:paraId="3C3FA430" w14:textId="77777777" w:rsidR="001F515C" w:rsidRPr="00954CE5" w:rsidRDefault="001F515C" w:rsidP="003F6431">
            <w:pPr>
              <w:spacing w:line="276" w:lineRule="auto"/>
              <w:jc w:val="right"/>
              <w:rPr>
                <w:rFonts w:ascii="Arial" w:hAnsi="Arial" w:cs="Arial"/>
                <w:sz w:val="20"/>
                <w:szCs w:val="20"/>
              </w:rPr>
            </w:pPr>
            <w:r>
              <w:rPr>
                <w:rFonts w:ascii="Arial" w:hAnsi="Arial" w:cs="Arial"/>
                <w:sz w:val="20"/>
                <w:szCs w:val="20"/>
              </w:rPr>
              <w:t>Not determined</w:t>
            </w:r>
          </w:p>
        </w:tc>
        <w:tc>
          <w:tcPr>
            <w:tcW w:w="1555" w:type="dxa"/>
          </w:tcPr>
          <w:p w14:paraId="708A89C5" w14:textId="77777777" w:rsidR="001F515C" w:rsidRPr="00954CE5" w:rsidRDefault="001F515C" w:rsidP="003F6431">
            <w:pPr>
              <w:spacing w:line="276" w:lineRule="auto"/>
              <w:jc w:val="right"/>
              <w:rPr>
                <w:rFonts w:ascii="Arial" w:hAnsi="Arial" w:cs="Arial"/>
                <w:sz w:val="20"/>
                <w:szCs w:val="20"/>
              </w:rPr>
            </w:pPr>
          </w:p>
        </w:tc>
      </w:tr>
      <w:tr w:rsidR="001F515C" w:rsidRPr="00370487" w14:paraId="7C92DBC9" w14:textId="77777777" w:rsidTr="003F6431">
        <w:trPr>
          <w:cantSplit/>
        </w:trPr>
        <w:tc>
          <w:tcPr>
            <w:tcW w:w="6072" w:type="dxa"/>
          </w:tcPr>
          <w:p w14:paraId="224B5014" w14:textId="77777777" w:rsidR="001F515C" w:rsidRPr="00954CE5" w:rsidRDefault="001F515C" w:rsidP="003F6431">
            <w:pPr>
              <w:spacing w:line="276" w:lineRule="auto"/>
              <w:rPr>
                <w:rFonts w:ascii="Arial" w:hAnsi="Arial" w:cs="Arial"/>
                <w:sz w:val="20"/>
                <w:szCs w:val="20"/>
              </w:rPr>
            </w:pPr>
            <w:r w:rsidRPr="00954CE5">
              <w:rPr>
                <w:rFonts w:ascii="Arial" w:hAnsi="Arial" w:cs="Arial"/>
                <w:sz w:val="20"/>
                <w:szCs w:val="20"/>
              </w:rPr>
              <w:t>Asphalt paving attachment added to Flocon truck to speed up asphalt road repairs</w:t>
            </w:r>
          </w:p>
        </w:tc>
        <w:tc>
          <w:tcPr>
            <w:tcW w:w="1587" w:type="dxa"/>
          </w:tcPr>
          <w:p w14:paraId="3E4BC5AA" w14:textId="77777777" w:rsidR="001F515C" w:rsidRPr="00954CE5" w:rsidRDefault="001F515C" w:rsidP="003F6431">
            <w:pPr>
              <w:spacing w:line="276" w:lineRule="auto"/>
              <w:jc w:val="right"/>
              <w:rPr>
                <w:rFonts w:ascii="Arial" w:hAnsi="Arial" w:cs="Arial"/>
                <w:sz w:val="20"/>
                <w:szCs w:val="20"/>
              </w:rPr>
            </w:pPr>
            <w:r>
              <w:rPr>
                <w:rFonts w:ascii="Arial" w:hAnsi="Arial" w:cs="Arial"/>
                <w:sz w:val="20"/>
                <w:szCs w:val="20"/>
              </w:rPr>
              <w:t>Not determined</w:t>
            </w:r>
          </w:p>
        </w:tc>
        <w:tc>
          <w:tcPr>
            <w:tcW w:w="1555" w:type="dxa"/>
          </w:tcPr>
          <w:p w14:paraId="7BEADFA6" w14:textId="77777777" w:rsidR="001F515C" w:rsidRPr="00954CE5" w:rsidRDefault="001F515C" w:rsidP="003F6431">
            <w:pPr>
              <w:spacing w:line="276" w:lineRule="auto"/>
              <w:jc w:val="right"/>
              <w:rPr>
                <w:rFonts w:ascii="Arial" w:hAnsi="Arial" w:cs="Arial"/>
                <w:sz w:val="20"/>
                <w:szCs w:val="20"/>
              </w:rPr>
            </w:pPr>
          </w:p>
        </w:tc>
      </w:tr>
      <w:tr w:rsidR="001F515C" w:rsidRPr="00370487" w14:paraId="12991CB8" w14:textId="77777777" w:rsidTr="003F6431">
        <w:trPr>
          <w:cantSplit/>
        </w:trPr>
        <w:tc>
          <w:tcPr>
            <w:tcW w:w="6072" w:type="dxa"/>
          </w:tcPr>
          <w:p w14:paraId="2906B138" w14:textId="77777777" w:rsidR="001F515C" w:rsidRPr="00954CE5" w:rsidRDefault="001F515C" w:rsidP="003F6431">
            <w:pPr>
              <w:spacing w:line="276" w:lineRule="auto"/>
              <w:rPr>
                <w:rFonts w:ascii="Arial" w:hAnsi="Arial" w:cs="Arial"/>
                <w:sz w:val="20"/>
                <w:szCs w:val="20"/>
              </w:rPr>
            </w:pPr>
            <w:r w:rsidRPr="00954CE5">
              <w:rPr>
                <w:rFonts w:ascii="Arial" w:hAnsi="Arial" w:cs="Arial"/>
                <w:sz w:val="20"/>
                <w:szCs w:val="20"/>
              </w:rPr>
              <w:t>Crossed trained cemetery staff in all skills such as  GIS mapping, cemetery register, ground staff work and  liaising with families</w:t>
            </w:r>
          </w:p>
        </w:tc>
        <w:tc>
          <w:tcPr>
            <w:tcW w:w="1587" w:type="dxa"/>
          </w:tcPr>
          <w:p w14:paraId="00C98D49" w14:textId="77777777" w:rsidR="001F515C" w:rsidRPr="00954CE5" w:rsidRDefault="001F515C" w:rsidP="003F6431">
            <w:pPr>
              <w:spacing w:line="276" w:lineRule="auto"/>
              <w:jc w:val="right"/>
              <w:rPr>
                <w:rFonts w:ascii="Arial" w:hAnsi="Arial" w:cs="Arial"/>
                <w:sz w:val="20"/>
                <w:szCs w:val="20"/>
              </w:rPr>
            </w:pPr>
            <w:r>
              <w:rPr>
                <w:rFonts w:ascii="Arial" w:hAnsi="Arial" w:cs="Arial"/>
                <w:sz w:val="20"/>
                <w:szCs w:val="20"/>
              </w:rPr>
              <w:t>Not determined</w:t>
            </w:r>
          </w:p>
        </w:tc>
        <w:tc>
          <w:tcPr>
            <w:tcW w:w="1555" w:type="dxa"/>
          </w:tcPr>
          <w:p w14:paraId="4F3DD820" w14:textId="77777777" w:rsidR="001F515C" w:rsidRPr="00954CE5" w:rsidRDefault="001F515C" w:rsidP="003F6431">
            <w:pPr>
              <w:spacing w:line="276" w:lineRule="auto"/>
              <w:jc w:val="right"/>
              <w:rPr>
                <w:rFonts w:ascii="Arial" w:hAnsi="Arial" w:cs="Arial"/>
                <w:sz w:val="20"/>
                <w:szCs w:val="20"/>
              </w:rPr>
            </w:pPr>
          </w:p>
        </w:tc>
      </w:tr>
      <w:tr w:rsidR="001F515C" w:rsidRPr="00370487" w14:paraId="32E3C342" w14:textId="77777777" w:rsidTr="003F6431">
        <w:trPr>
          <w:cantSplit/>
        </w:trPr>
        <w:tc>
          <w:tcPr>
            <w:tcW w:w="6072" w:type="dxa"/>
          </w:tcPr>
          <w:p w14:paraId="16EF7CAA" w14:textId="77777777" w:rsidR="001F515C" w:rsidRPr="00954CE5" w:rsidRDefault="001F515C" w:rsidP="003F6431">
            <w:pPr>
              <w:spacing w:line="276" w:lineRule="auto"/>
              <w:rPr>
                <w:rFonts w:ascii="Arial" w:hAnsi="Arial" w:cs="Arial"/>
                <w:sz w:val="20"/>
                <w:szCs w:val="20"/>
              </w:rPr>
            </w:pPr>
            <w:r w:rsidRPr="00954CE5">
              <w:rPr>
                <w:rFonts w:ascii="Arial" w:hAnsi="Arial" w:cs="Arial"/>
                <w:sz w:val="20"/>
                <w:szCs w:val="20"/>
              </w:rPr>
              <w:t>Reviewed retail stock lines in Visitor Information Centres to be being responsive to sales trends</w:t>
            </w:r>
          </w:p>
        </w:tc>
        <w:tc>
          <w:tcPr>
            <w:tcW w:w="1587" w:type="dxa"/>
          </w:tcPr>
          <w:p w14:paraId="7C8E339C" w14:textId="77777777" w:rsidR="001F515C" w:rsidRPr="00954CE5" w:rsidRDefault="001F515C" w:rsidP="003F6431">
            <w:pPr>
              <w:spacing w:line="276" w:lineRule="auto"/>
              <w:jc w:val="right"/>
              <w:rPr>
                <w:rFonts w:ascii="Arial" w:hAnsi="Arial" w:cs="Arial"/>
                <w:sz w:val="20"/>
                <w:szCs w:val="20"/>
              </w:rPr>
            </w:pPr>
            <w:r>
              <w:rPr>
                <w:rFonts w:ascii="Arial" w:hAnsi="Arial" w:cs="Arial"/>
                <w:sz w:val="20"/>
                <w:szCs w:val="20"/>
              </w:rPr>
              <w:t>Not determined</w:t>
            </w:r>
          </w:p>
        </w:tc>
        <w:tc>
          <w:tcPr>
            <w:tcW w:w="1555" w:type="dxa"/>
          </w:tcPr>
          <w:p w14:paraId="765EEE2A" w14:textId="77777777" w:rsidR="001F515C" w:rsidRPr="00954CE5" w:rsidRDefault="001F515C" w:rsidP="003F6431">
            <w:pPr>
              <w:spacing w:line="276" w:lineRule="auto"/>
              <w:jc w:val="right"/>
              <w:rPr>
                <w:rFonts w:ascii="Arial" w:hAnsi="Arial" w:cs="Arial"/>
                <w:sz w:val="20"/>
                <w:szCs w:val="20"/>
              </w:rPr>
            </w:pPr>
          </w:p>
        </w:tc>
      </w:tr>
      <w:tr w:rsidR="001F515C" w:rsidRPr="00370487" w14:paraId="6B3C3B2A" w14:textId="77777777" w:rsidTr="003F6431">
        <w:trPr>
          <w:cantSplit/>
        </w:trPr>
        <w:tc>
          <w:tcPr>
            <w:tcW w:w="6072" w:type="dxa"/>
          </w:tcPr>
          <w:p w14:paraId="66C69A82" w14:textId="77777777" w:rsidR="001F515C" w:rsidRPr="00954CE5" w:rsidRDefault="001F515C" w:rsidP="003F6431">
            <w:pPr>
              <w:spacing w:line="276" w:lineRule="auto"/>
              <w:rPr>
                <w:rFonts w:ascii="Arial" w:hAnsi="Arial" w:cs="Arial"/>
                <w:sz w:val="20"/>
                <w:szCs w:val="20"/>
              </w:rPr>
            </w:pPr>
            <w:r w:rsidRPr="00954CE5">
              <w:rPr>
                <w:rFonts w:ascii="Arial" w:hAnsi="Arial" w:cs="Arial"/>
                <w:sz w:val="20"/>
                <w:szCs w:val="20"/>
              </w:rPr>
              <w:t>" Aquatic Monitoring and Action Program” – this is an efficiency measure to ensure that sound science underpins the Council’s understanding of local aquatic ecosystems, prioritisation of catchments and waterways for on-ground investment  and evaluation of program/project success. Aquatic monitoring results feed into the Catchment Prioritisation tool, which considers a range of values and risks for each sub catchment in the LGA, to help target catchment restoration resources appropriately and provides the evidence required to successfully seek additional external grant funding opportunities to match the Council’s contribution.</w:t>
            </w:r>
          </w:p>
        </w:tc>
        <w:tc>
          <w:tcPr>
            <w:tcW w:w="1587" w:type="dxa"/>
          </w:tcPr>
          <w:p w14:paraId="6C225DC4" w14:textId="77777777" w:rsidR="001F515C" w:rsidRPr="00954CE5" w:rsidRDefault="001F515C" w:rsidP="003F6431">
            <w:pPr>
              <w:spacing w:line="276" w:lineRule="auto"/>
              <w:jc w:val="right"/>
              <w:rPr>
                <w:rFonts w:ascii="Arial" w:hAnsi="Arial" w:cs="Arial"/>
                <w:sz w:val="20"/>
                <w:szCs w:val="20"/>
              </w:rPr>
            </w:pPr>
            <w:r>
              <w:rPr>
                <w:rFonts w:ascii="Arial" w:hAnsi="Arial" w:cs="Arial"/>
                <w:sz w:val="20"/>
                <w:szCs w:val="20"/>
              </w:rPr>
              <w:t>Not determined</w:t>
            </w:r>
          </w:p>
        </w:tc>
        <w:tc>
          <w:tcPr>
            <w:tcW w:w="1555" w:type="dxa"/>
          </w:tcPr>
          <w:p w14:paraId="7D7421A9" w14:textId="77777777" w:rsidR="001F515C" w:rsidRPr="00954CE5" w:rsidRDefault="001F515C" w:rsidP="003F6431">
            <w:pPr>
              <w:spacing w:line="276" w:lineRule="auto"/>
              <w:jc w:val="right"/>
              <w:rPr>
                <w:rFonts w:ascii="Arial" w:hAnsi="Arial" w:cs="Arial"/>
                <w:sz w:val="20"/>
                <w:szCs w:val="20"/>
              </w:rPr>
            </w:pPr>
          </w:p>
        </w:tc>
      </w:tr>
      <w:tr w:rsidR="001F515C" w:rsidRPr="00370487" w14:paraId="3281D4B5" w14:textId="77777777" w:rsidTr="003F6431">
        <w:trPr>
          <w:cantSplit/>
        </w:trPr>
        <w:tc>
          <w:tcPr>
            <w:tcW w:w="6072" w:type="dxa"/>
          </w:tcPr>
          <w:p w14:paraId="00B6B452" w14:textId="77777777" w:rsidR="001F515C" w:rsidRPr="00954CE5" w:rsidRDefault="001F515C" w:rsidP="003F6431">
            <w:pPr>
              <w:spacing w:line="276" w:lineRule="auto"/>
              <w:rPr>
                <w:rFonts w:ascii="Arial" w:hAnsi="Arial" w:cs="Arial"/>
                <w:sz w:val="20"/>
                <w:szCs w:val="20"/>
              </w:rPr>
            </w:pPr>
            <w:r w:rsidRPr="00954CE5">
              <w:rPr>
                <w:rFonts w:ascii="Arial" w:hAnsi="Arial" w:cs="Arial"/>
                <w:sz w:val="20"/>
                <w:szCs w:val="20"/>
              </w:rPr>
              <w:t>Road shoulder slashing practices reviewed and work methods/equipment changed to drive efficiencies. Parks maintenance teams are now rostered onto road works (generally vegetation control) during winter when mowing in the upper mountains slows down.</w:t>
            </w:r>
          </w:p>
        </w:tc>
        <w:tc>
          <w:tcPr>
            <w:tcW w:w="1587" w:type="dxa"/>
          </w:tcPr>
          <w:p w14:paraId="7C305D37" w14:textId="77777777" w:rsidR="001F515C" w:rsidRPr="00954CE5" w:rsidRDefault="001F515C" w:rsidP="003F6431">
            <w:pPr>
              <w:spacing w:line="276" w:lineRule="auto"/>
              <w:jc w:val="right"/>
              <w:rPr>
                <w:rFonts w:ascii="Arial" w:hAnsi="Arial" w:cs="Arial"/>
                <w:sz w:val="20"/>
                <w:szCs w:val="20"/>
              </w:rPr>
            </w:pPr>
            <w:r>
              <w:rPr>
                <w:rFonts w:ascii="Arial" w:hAnsi="Arial" w:cs="Arial"/>
                <w:sz w:val="20"/>
                <w:szCs w:val="20"/>
              </w:rPr>
              <w:t>Not determined</w:t>
            </w:r>
          </w:p>
        </w:tc>
        <w:tc>
          <w:tcPr>
            <w:tcW w:w="1555" w:type="dxa"/>
          </w:tcPr>
          <w:p w14:paraId="6675065C" w14:textId="77777777" w:rsidR="001F515C" w:rsidRPr="00954CE5" w:rsidRDefault="001F515C" w:rsidP="003F6431">
            <w:pPr>
              <w:spacing w:line="276" w:lineRule="auto"/>
              <w:jc w:val="right"/>
              <w:rPr>
                <w:rFonts w:ascii="Arial" w:hAnsi="Arial" w:cs="Arial"/>
                <w:sz w:val="20"/>
                <w:szCs w:val="20"/>
              </w:rPr>
            </w:pPr>
          </w:p>
        </w:tc>
      </w:tr>
      <w:tr w:rsidR="001F515C" w:rsidRPr="00370487" w14:paraId="5A48CE5F" w14:textId="77777777" w:rsidTr="003F6431">
        <w:trPr>
          <w:cantSplit/>
        </w:trPr>
        <w:tc>
          <w:tcPr>
            <w:tcW w:w="6072" w:type="dxa"/>
          </w:tcPr>
          <w:p w14:paraId="39CA0310" w14:textId="77777777" w:rsidR="001F515C" w:rsidRPr="00954CE5" w:rsidRDefault="001F515C" w:rsidP="003F6431">
            <w:pPr>
              <w:spacing w:line="276" w:lineRule="auto"/>
              <w:rPr>
                <w:rFonts w:ascii="Arial" w:hAnsi="Arial" w:cs="Arial"/>
                <w:sz w:val="20"/>
                <w:szCs w:val="20"/>
              </w:rPr>
            </w:pPr>
            <w:r w:rsidRPr="00954CE5">
              <w:rPr>
                <w:rFonts w:ascii="Arial" w:hAnsi="Arial" w:cs="Arial"/>
                <w:sz w:val="20"/>
                <w:szCs w:val="20"/>
              </w:rPr>
              <w:t>Added WiFi to all library branches</w:t>
            </w:r>
          </w:p>
        </w:tc>
        <w:tc>
          <w:tcPr>
            <w:tcW w:w="1587" w:type="dxa"/>
          </w:tcPr>
          <w:p w14:paraId="15E45874" w14:textId="77777777" w:rsidR="001F515C" w:rsidRPr="00954CE5" w:rsidRDefault="001F515C" w:rsidP="003F6431">
            <w:pPr>
              <w:spacing w:line="276" w:lineRule="auto"/>
              <w:jc w:val="right"/>
              <w:rPr>
                <w:rFonts w:ascii="Arial" w:hAnsi="Arial" w:cs="Arial"/>
                <w:sz w:val="20"/>
                <w:szCs w:val="20"/>
              </w:rPr>
            </w:pPr>
            <w:r>
              <w:rPr>
                <w:rFonts w:ascii="Arial" w:hAnsi="Arial" w:cs="Arial"/>
                <w:sz w:val="20"/>
                <w:szCs w:val="20"/>
              </w:rPr>
              <w:t>Not determined</w:t>
            </w:r>
          </w:p>
        </w:tc>
        <w:tc>
          <w:tcPr>
            <w:tcW w:w="1555" w:type="dxa"/>
          </w:tcPr>
          <w:p w14:paraId="7422133C" w14:textId="77777777" w:rsidR="001F515C" w:rsidRPr="00954CE5" w:rsidRDefault="001F515C" w:rsidP="003F6431">
            <w:pPr>
              <w:spacing w:line="276" w:lineRule="auto"/>
              <w:jc w:val="right"/>
              <w:rPr>
                <w:rFonts w:ascii="Arial" w:hAnsi="Arial" w:cs="Arial"/>
                <w:sz w:val="20"/>
                <w:szCs w:val="20"/>
              </w:rPr>
            </w:pPr>
          </w:p>
        </w:tc>
      </w:tr>
      <w:tr w:rsidR="001F515C" w:rsidRPr="00370487" w14:paraId="7B888276" w14:textId="77777777" w:rsidTr="003F6431">
        <w:trPr>
          <w:cantSplit/>
        </w:trPr>
        <w:tc>
          <w:tcPr>
            <w:tcW w:w="6072" w:type="dxa"/>
          </w:tcPr>
          <w:p w14:paraId="3621E9CE" w14:textId="77777777" w:rsidR="001F515C" w:rsidRPr="00954CE5" w:rsidRDefault="001F515C" w:rsidP="003F6431">
            <w:pPr>
              <w:spacing w:line="276" w:lineRule="auto"/>
              <w:rPr>
                <w:rFonts w:ascii="Arial" w:hAnsi="Arial" w:cs="Arial"/>
                <w:sz w:val="20"/>
                <w:szCs w:val="20"/>
              </w:rPr>
            </w:pPr>
            <w:r w:rsidRPr="00954CE5">
              <w:rPr>
                <w:rFonts w:ascii="Arial" w:hAnsi="Arial" w:cs="Arial"/>
                <w:sz w:val="20"/>
                <w:szCs w:val="20"/>
              </w:rPr>
              <w:t>Improved computer connectivity (speed) under State Library of NSW consortia contract.</w:t>
            </w:r>
          </w:p>
        </w:tc>
        <w:tc>
          <w:tcPr>
            <w:tcW w:w="1587" w:type="dxa"/>
          </w:tcPr>
          <w:p w14:paraId="4E134EC4" w14:textId="77777777" w:rsidR="001F515C" w:rsidRPr="00954CE5" w:rsidRDefault="001F515C" w:rsidP="003F6431">
            <w:pPr>
              <w:spacing w:line="276" w:lineRule="auto"/>
              <w:jc w:val="right"/>
              <w:rPr>
                <w:rFonts w:ascii="Arial" w:hAnsi="Arial" w:cs="Arial"/>
                <w:sz w:val="20"/>
                <w:szCs w:val="20"/>
              </w:rPr>
            </w:pPr>
            <w:r>
              <w:rPr>
                <w:rFonts w:ascii="Arial" w:hAnsi="Arial" w:cs="Arial"/>
                <w:sz w:val="20"/>
                <w:szCs w:val="20"/>
              </w:rPr>
              <w:t>Not determined</w:t>
            </w:r>
          </w:p>
        </w:tc>
        <w:tc>
          <w:tcPr>
            <w:tcW w:w="1555" w:type="dxa"/>
          </w:tcPr>
          <w:p w14:paraId="55C18141" w14:textId="77777777" w:rsidR="001F515C" w:rsidRPr="00954CE5" w:rsidRDefault="001F515C" w:rsidP="003F6431">
            <w:pPr>
              <w:spacing w:line="276" w:lineRule="auto"/>
              <w:jc w:val="right"/>
              <w:rPr>
                <w:rFonts w:ascii="Arial" w:hAnsi="Arial" w:cs="Arial"/>
                <w:sz w:val="20"/>
                <w:szCs w:val="20"/>
              </w:rPr>
            </w:pPr>
          </w:p>
        </w:tc>
      </w:tr>
      <w:tr w:rsidR="001F515C" w:rsidRPr="00370487" w14:paraId="4FD9C94B" w14:textId="77777777" w:rsidTr="003F6431">
        <w:trPr>
          <w:cantSplit/>
        </w:trPr>
        <w:tc>
          <w:tcPr>
            <w:tcW w:w="6072" w:type="dxa"/>
          </w:tcPr>
          <w:p w14:paraId="3F01DFA1" w14:textId="77777777" w:rsidR="001F515C" w:rsidRPr="00954CE5" w:rsidRDefault="001F515C" w:rsidP="003F6431">
            <w:pPr>
              <w:spacing w:line="276" w:lineRule="auto"/>
              <w:rPr>
                <w:rFonts w:ascii="Arial" w:hAnsi="Arial" w:cs="Arial"/>
                <w:sz w:val="20"/>
                <w:szCs w:val="20"/>
              </w:rPr>
            </w:pPr>
            <w:r w:rsidRPr="00954CE5">
              <w:rPr>
                <w:rFonts w:ascii="Arial" w:hAnsi="Arial" w:cs="Arial"/>
                <w:sz w:val="20"/>
                <w:szCs w:val="20"/>
              </w:rPr>
              <w:t>Implemented changes under Local Government and Planning Legislation Amendment (Political Donations) Act in October 2008. New forms, website advice and changes to standard documentation made to reflect requirements using existing resources.</w:t>
            </w:r>
          </w:p>
        </w:tc>
        <w:tc>
          <w:tcPr>
            <w:tcW w:w="1587" w:type="dxa"/>
          </w:tcPr>
          <w:p w14:paraId="45ECF995" w14:textId="77777777" w:rsidR="001F515C" w:rsidRPr="00954CE5" w:rsidRDefault="001F515C" w:rsidP="003F6431">
            <w:pPr>
              <w:spacing w:line="276" w:lineRule="auto"/>
              <w:jc w:val="right"/>
              <w:rPr>
                <w:rFonts w:ascii="Arial" w:hAnsi="Arial" w:cs="Arial"/>
                <w:sz w:val="20"/>
                <w:szCs w:val="20"/>
              </w:rPr>
            </w:pPr>
            <w:r>
              <w:rPr>
                <w:rFonts w:ascii="Arial" w:hAnsi="Arial" w:cs="Arial"/>
                <w:sz w:val="20"/>
                <w:szCs w:val="20"/>
              </w:rPr>
              <w:t>Not determined</w:t>
            </w:r>
          </w:p>
        </w:tc>
        <w:tc>
          <w:tcPr>
            <w:tcW w:w="1555" w:type="dxa"/>
          </w:tcPr>
          <w:p w14:paraId="2F2F97A8" w14:textId="77777777" w:rsidR="001F515C" w:rsidRPr="00954CE5" w:rsidRDefault="001F515C" w:rsidP="003F6431">
            <w:pPr>
              <w:spacing w:line="276" w:lineRule="auto"/>
              <w:jc w:val="right"/>
              <w:rPr>
                <w:rFonts w:ascii="Arial" w:hAnsi="Arial" w:cs="Arial"/>
                <w:sz w:val="20"/>
                <w:szCs w:val="20"/>
              </w:rPr>
            </w:pPr>
          </w:p>
        </w:tc>
      </w:tr>
      <w:tr w:rsidR="001F515C" w:rsidRPr="00370487" w14:paraId="10655DAD" w14:textId="77777777" w:rsidTr="003F6431">
        <w:trPr>
          <w:cantSplit/>
        </w:trPr>
        <w:tc>
          <w:tcPr>
            <w:tcW w:w="6072" w:type="dxa"/>
          </w:tcPr>
          <w:p w14:paraId="710C241A" w14:textId="77777777" w:rsidR="001F515C" w:rsidRPr="00954CE5" w:rsidRDefault="001F515C" w:rsidP="003F6431">
            <w:pPr>
              <w:spacing w:line="276" w:lineRule="auto"/>
              <w:rPr>
                <w:rFonts w:ascii="Arial" w:hAnsi="Arial" w:cs="Arial"/>
                <w:sz w:val="20"/>
                <w:szCs w:val="20"/>
              </w:rPr>
            </w:pPr>
            <w:r w:rsidRPr="00954CE5">
              <w:rPr>
                <w:rFonts w:ascii="Arial" w:hAnsi="Arial" w:cs="Arial"/>
                <w:sz w:val="20"/>
                <w:szCs w:val="20"/>
              </w:rPr>
              <w:t>Costs involved in the implementation of the requirements of the Education and Care Services National Regulation 2012 were reduced by client training sessions and the electronic distribution of information.</w:t>
            </w:r>
          </w:p>
        </w:tc>
        <w:tc>
          <w:tcPr>
            <w:tcW w:w="1587" w:type="dxa"/>
          </w:tcPr>
          <w:p w14:paraId="79D1DBD3" w14:textId="77777777" w:rsidR="001F515C" w:rsidRPr="00954CE5" w:rsidRDefault="001F515C" w:rsidP="003F6431">
            <w:pPr>
              <w:spacing w:line="276" w:lineRule="auto"/>
              <w:jc w:val="right"/>
              <w:rPr>
                <w:rFonts w:ascii="Arial" w:hAnsi="Arial" w:cs="Arial"/>
                <w:sz w:val="20"/>
                <w:szCs w:val="20"/>
              </w:rPr>
            </w:pPr>
            <w:r>
              <w:rPr>
                <w:rFonts w:ascii="Arial" w:hAnsi="Arial" w:cs="Arial"/>
                <w:sz w:val="20"/>
                <w:szCs w:val="20"/>
              </w:rPr>
              <w:t>Not determined</w:t>
            </w:r>
          </w:p>
        </w:tc>
        <w:tc>
          <w:tcPr>
            <w:tcW w:w="1555" w:type="dxa"/>
          </w:tcPr>
          <w:p w14:paraId="02EB1A87" w14:textId="77777777" w:rsidR="001F515C" w:rsidRPr="00954CE5" w:rsidRDefault="001F515C" w:rsidP="003F6431">
            <w:pPr>
              <w:spacing w:line="276" w:lineRule="auto"/>
              <w:jc w:val="right"/>
              <w:rPr>
                <w:rFonts w:ascii="Arial" w:hAnsi="Arial" w:cs="Arial"/>
                <w:sz w:val="20"/>
                <w:szCs w:val="20"/>
              </w:rPr>
            </w:pPr>
          </w:p>
        </w:tc>
      </w:tr>
      <w:tr w:rsidR="001F515C" w:rsidRPr="00370487" w14:paraId="5A9EA2B1" w14:textId="77777777" w:rsidTr="003F6431">
        <w:trPr>
          <w:cantSplit/>
        </w:trPr>
        <w:tc>
          <w:tcPr>
            <w:tcW w:w="6072" w:type="dxa"/>
          </w:tcPr>
          <w:p w14:paraId="1BC764E8" w14:textId="77777777" w:rsidR="001F515C" w:rsidRPr="00954CE5" w:rsidRDefault="001F515C" w:rsidP="003F6431">
            <w:pPr>
              <w:spacing w:line="276" w:lineRule="auto"/>
              <w:rPr>
                <w:rFonts w:ascii="Arial" w:hAnsi="Arial" w:cs="Arial"/>
                <w:sz w:val="20"/>
                <w:szCs w:val="20"/>
              </w:rPr>
            </w:pPr>
            <w:r w:rsidRPr="00954CE5">
              <w:rPr>
                <w:rFonts w:ascii="Arial" w:hAnsi="Arial" w:cs="Arial"/>
                <w:sz w:val="20"/>
                <w:szCs w:val="20"/>
              </w:rPr>
              <w:t>We continue to off-set natural asset maintenance cost through use of community conservation</w:t>
            </w:r>
          </w:p>
        </w:tc>
        <w:tc>
          <w:tcPr>
            <w:tcW w:w="1587" w:type="dxa"/>
          </w:tcPr>
          <w:p w14:paraId="4B76E575" w14:textId="77777777" w:rsidR="001F515C" w:rsidRPr="00954CE5" w:rsidRDefault="001F515C" w:rsidP="003F6431">
            <w:pPr>
              <w:spacing w:line="276" w:lineRule="auto"/>
              <w:jc w:val="right"/>
              <w:rPr>
                <w:rFonts w:ascii="Arial" w:hAnsi="Arial" w:cs="Arial"/>
                <w:sz w:val="20"/>
                <w:szCs w:val="20"/>
              </w:rPr>
            </w:pPr>
            <w:r>
              <w:rPr>
                <w:rFonts w:ascii="Arial" w:hAnsi="Arial" w:cs="Arial"/>
                <w:sz w:val="20"/>
                <w:szCs w:val="20"/>
              </w:rPr>
              <w:t>Not determined</w:t>
            </w:r>
          </w:p>
        </w:tc>
        <w:tc>
          <w:tcPr>
            <w:tcW w:w="1555" w:type="dxa"/>
          </w:tcPr>
          <w:p w14:paraId="2B4D96CB" w14:textId="77777777" w:rsidR="001F515C" w:rsidRPr="00954CE5" w:rsidRDefault="001F515C" w:rsidP="003F6431">
            <w:pPr>
              <w:spacing w:line="276" w:lineRule="auto"/>
              <w:jc w:val="right"/>
              <w:rPr>
                <w:rFonts w:ascii="Arial" w:hAnsi="Arial" w:cs="Arial"/>
                <w:sz w:val="20"/>
                <w:szCs w:val="20"/>
              </w:rPr>
            </w:pPr>
          </w:p>
        </w:tc>
      </w:tr>
      <w:tr w:rsidR="001F515C" w:rsidRPr="00370487" w14:paraId="6C92033E" w14:textId="77777777" w:rsidTr="003F6431">
        <w:trPr>
          <w:cantSplit/>
        </w:trPr>
        <w:tc>
          <w:tcPr>
            <w:tcW w:w="6072" w:type="dxa"/>
          </w:tcPr>
          <w:p w14:paraId="12D43BF1" w14:textId="77777777" w:rsidR="001F515C" w:rsidRPr="00954CE5" w:rsidRDefault="001F515C" w:rsidP="003F6431">
            <w:pPr>
              <w:spacing w:line="276" w:lineRule="auto"/>
              <w:rPr>
                <w:rFonts w:ascii="Arial" w:hAnsi="Arial" w:cs="Arial"/>
                <w:sz w:val="20"/>
                <w:szCs w:val="20"/>
              </w:rPr>
            </w:pPr>
            <w:r w:rsidRPr="00954CE5">
              <w:rPr>
                <w:rFonts w:ascii="Arial" w:hAnsi="Arial" w:cs="Arial"/>
                <w:sz w:val="20"/>
                <w:szCs w:val="20"/>
              </w:rPr>
              <w:t>The introduction of Bpay for debtors has improved cash flow and given better customer service</w:t>
            </w:r>
          </w:p>
        </w:tc>
        <w:tc>
          <w:tcPr>
            <w:tcW w:w="1587" w:type="dxa"/>
          </w:tcPr>
          <w:p w14:paraId="730C45A5" w14:textId="77777777" w:rsidR="001F515C" w:rsidRPr="00954CE5" w:rsidRDefault="001F515C" w:rsidP="003F6431">
            <w:pPr>
              <w:spacing w:line="276" w:lineRule="auto"/>
              <w:jc w:val="right"/>
              <w:rPr>
                <w:rFonts w:ascii="Arial" w:hAnsi="Arial" w:cs="Arial"/>
                <w:sz w:val="20"/>
                <w:szCs w:val="20"/>
              </w:rPr>
            </w:pPr>
            <w:r>
              <w:rPr>
                <w:rFonts w:ascii="Arial" w:hAnsi="Arial" w:cs="Arial"/>
                <w:sz w:val="20"/>
                <w:szCs w:val="20"/>
              </w:rPr>
              <w:t>Not determined</w:t>
            </w:r>
          </w:p>
        </w:tc>
        <w:tc>
          <w:tcPr>
            <w:tcW w:w="1555" w:type="dxa"/>
          </w:tcPr>
          <w:p w14:paraId="38D8B484" w14:textId="77777777" w:rsidR="001F515C" w:rsidRPr="00954CE5" w:rsidRDefault="001F515C" w:rsidP="003F6431">
            <w:pPr>
              <w:spacing w:line="276" w:lineRule="auto"/>
              <w:jc w:val="right"/>
              <w:rPr>
                <w:rFonts w:ascii="Arial" w:hAnsi="Arial" w:cs="Arial"/>
                <w:sz w:val="20"/>
                <w:szCs w:val="20"/>
              </w:rPr>
            </w:pPr>
          </w:p>
        </w:tc>
      </w:tr>
      <w:tr w:rsidR="001F515C" w:rsidRPr="00370487" w14:paraId="49631BE2" w14:textId="77777777" w:rsidTr="003F6431">
        <w:trPr>
          <w:cantSplit/>
        </w:trPr>
        <w:tc>
          <w:tcPr>
            <w:tcW w:w="6072" w:type="dxa"/>
          </w:tcPr>
          <w:p w14:paraId="389352D1" w14:textId="77777777" w:rsidR="001F515C" w:rsidRPr="00954CE5" w:rsidRDefault="001F515C" w:rsidP="003F6431">
            <w:pPr>
              <w:spacing w:line="276" w:lineRule="auto"/>
              <w:rPr>
                <w:rFonts w:ascii="Arial" w:hAnsi="Arial" w:cs="Arial"/>
                <w:sz w:val="20"/>
                <w:szCs w:val="20"/>
              </w:rPr>
            </w:pPr>
            <w:r w:rsidRPr="00954CE5">
              <w:rPr>
                <w:rFonts w:ascii="Arial" w:hAnsi="Arial" w:cs="Arial"/>
                <w:sz w:val="20"/>
                <w:szCs w:val="20"/>
              </w:rPr>
              <w:t>Achieved quicker and cheaper delivery of rate notices by using e-mail.</w:t>
            </w:r>
          </w:p>
        </w:tc>
        <w:tc>
          <w:tcPr>
            <w:tcW w:w="1587" w:type="dxa"/>
          </w:tcPr>
          <w:p w14:paraId="06DCE7FB" w14:textId="77777777" w:rsidR="001F515C" w:rsidRPr="00954CE5" w:rsidRDefault="001F515C" w:rsidP="003F6431">
            <w:pPr>
              <w:spacing w:line="276" w:lineRule="auto"/>
              <w:jc w:val="right"/>
              <w:rPr>
                <w:rFonts w:ascii="Arial" w:hAnsi="Arial" w:cs="Arial"/>
                <w:sz w:val="20"/>
                <w:szCs w:val="20"/>
              </w:rPr>
            </w:pPr>
            <w:r>
              <w:rPr>
                <w:rFonts w:ascii="Arial" w:hAnsi="Arial" w:cs="Arial"/>
                <w:sz w:val="20"/>
                <w:szCs w:val="20"/>
              </w:rPr>
              <w:t>Not determined</w:t>
            </w:r>
          </w:p>
        </w:tc>
        <w:tc>
          <w:tcPr>
            <w:tcW w:w="1555" w:type="dxa"/>
          </w:tcPr>
          <w:p w14:paraId="63BC49AB" w14:textId="77777777" w:rsidR="001F515C" w:rsidRPr="00954CE5" w:rsidRDefault="001F515C" w:rsidP="003F6431">
            <w:pPr>
              <w:spacing w:line="276" w:lineRule="auto"/>
              <w:jc w:val="right"/>
              <w:rPr>
                <w:rFonts w:ascii="Arial" w:hAnsi="Arial" w:cs="Arial"/>
                <w:sz w:val="20"/>
                <w:szCs w:val="20"/>
              </w:rPr>
            </w:pPr>
          </w:p>
        </w:tc>
      </w:tr>
      <w:tr w:rsidR="001F515C" w:rsidRPr="00370487" w14:paraId="47030BD6" w14:textId="77777777" w:rsidTr="003F6431">
        <w:trPr>
          <w:cantSplit/>
        </w:trPr>
        <w:tc>
          <w:tcPr>
            <w:tcW w:w="6072" w:type="dxa"/>
          </w:tcPr>
          <w:p w14:paraId="7A31831E" w14:textId="77777777" w:rsidR="001F515C" w:rsidRPr="00954CE5" w:rsidRDefault="001F515C" w:rsidP="003F6431">
            <w:pPr>
              <w:spacing w:line="276" w:lineRule="auto"/>
              <w:rPr>
                <w:rFonts w:ascii="Arial" w:hAnsi="Arial" w:cs="Arial"/>
                <w:sz w:val="20"/>
                <w:szCs w:val="20"/>
              </w:rPr>
            </w:pPr>
            <w:r w:rsidRPr="00954CE5">
              <w:rPr>
                <w:rFonts w:ascii="Arial" w:hAnsi="Arial" w:cs="Arial"/>
                <w:sz w:val="20"/>
                <w:szCs w:val="20"/>
              </w:rPr>
              <w:t>Installed rainwater tank Springwood Aquatic and Fitness Centre, completed in December 2012.</w:t>
            </w:r>
          </w:p>
        </w:tc>
        <w:tc>
          <w:tcPr>
            <w:tcW w:w="1587" w:type="dxa"/>
          </w:tcPr>
          <w:p w14:paraId="588003D1" w14:textId="77777777" w:rsidR="001F515C" w:rsidRPr="00954CE5" w:rsidRDefault="001F515C" w:rsidP="003F6431">
            <w:pPr>
              <w:spacing w:line="276" w:lineRule="auto"/>
              <w:jc w:val="right"/>
              <w:rPr>
                <w:rFonts w:ascii="Arial" w:hAnsi="Arial" w:cs="Arial"/>
                <w:sz w:val="20"/>
                <w:szCs w:val="20"/>
              </w:rPr>
            </w:pPr>
            <w:r>
              <w:rPr>
                <w:rFonts w:ascii="Arial" w:hAnsi="Arial" w:cs="Arial"/>
                <w:sz w:val="20"/>
                <w:szCs w:val="20"/>
              </w:rPr>
              <w:t>Not determined</w:t>
            </w:r>
          </w:p>
        </w:tc>
        <w:tc>
          <w:tcPr>
            <w:tcW w:w="1555" w:type="dxa"/>
          </w:tcPr>
          <w:p w14:paraId="421F54BF" w14:textId="77777777" w:rsidR="001F515C" w:rsidRPr="00954CE5" w:rsidRDefault="001F515C" w:rsidP="003F6431">
            <w:pPr>
              <w:spacing w:line="276" w:lineRule="auto"/>
              <w:jc w:val="right"/>
              <w:rPr>
                <w:rFonts w:ascii="Arial" w:hAnsi="Arial" w:cs="Arial"/>
                <w:sz w:val="20"/>
                <w:szCs w:val="20"/>
              </w:rPr>
            </w:pPr>
          </w:p>
        </w:tc>
      </w:tr>
      <w:tr w:rsidR="001F515C" w:rsidRPr="00370487" w14:paraId="0E6B6E02" w14:textId="77777777" w:rsidTr="003F6431">
        <w:trPr>
          <w:cantSplit/>
        </w:trPr>
        <w:tc>
          <w:tcPr>
            <w:tcW w:w="6072" w:type="dxa"/>
          </w:tcPr>
          <w:p w14:paraId="5AE9F286" w14:textId="77777777" w:rsidR="001F515C" w:rsidRPr="00954CE5" w:rsidRDefault="001F515C" w:rsidP="003F6431">
            <w:pPr>
              <w:spacing w:line="276" w:lineRule="auto"/>
              <w:rPr>
                <w:rFonts w:ascii="Arial" w:hAnsi="Arial" w:cs="Arial"/>
                <w:sz w:val="20"/>
                <w:szCs w:val="20"/>
              </w:rPr>
            </w:pPr>
            <w:r w:rsidRPr="00954CE5">
              <w:rPr>
                <w:rFonts w:ascii="Arial" w:hAnsi="Arial" w:cs="Arial"/>
                <w:sz w:val="20"/>
                <w:szCs w:val="20"/>
              </w:rPr>
              <w:t>Relationships were established with adjoining Councils to achieve economies of scale in providing services in town centres town centres</w:t>
            </w:r>
          </w:p>
        </w:tc>
        <w:tc>
          <w:tcPr>
            <w:tcW w:w="1587" w:type="dxa"/>
          </w:tcPr>
          <w:p w14:paraId="5C09DA17" w14:textId="77777777" w:rsidR="001F515C" w:rsidRPr="00954CE5" w:rsidRDefault="001F515C" w:rsidP="003F6431">
            <w:pPr>
              <w:spacing w:line="276" w:lineRule="auto"/>
              <w:jc w:val="right"/>
              <w:rPr>
                <w:rFonts w:ascii="Arial" w:hAnsi="Arial" w:cs="Arial"/>
                <w:sz w:val="20"/>
                <w:szCs w:val="20"/>
              </w:rPr>
            </w:pPr>
            <w:r>
              <w:rPr>
                <w:rFonts w:ascii="Arial" w:hAnsi="Arial" w:cs="Arial"/>
                <w:sz w:val="20"/>
                <w:szCs w:val="20"/>
              </w:rPr>
              <w:t>Not determined</w:t>
            </w:r>
          </w:p>
        </w:tc>
        <w:tc>
          <w:tcPr>
            <w:tcW w:w="1555" w:type="dxa"/>
          </w:tcPr>
          <w:p w14:paraId="01009547" w14:textId="77777777" w:rsidR="001F515C" w:rsidRPr="00954CE5" w:rsidRDefault="001F515C" w:rsidP="003F6431">
            <w:pPr>
              <w:spacing w:line="276" w:lineRule="auto"/>
              <w:jc w:val="right"/>
              <w:rPr>
                <w:rFonts w:ascii="Arial" w:hAnsi="Arial" w:cs="Arial"/>
                <w:sz w:val="20"/>
                <w:szCs w:val="20"/>
              </w:rPr>
            </w:pPr>
          </w:p>
        </w:tc>
      </w:tr>
      <w:tr w:rsidR="001F515C" w:rsidRPr="00370487" w14:paraId="59BBEEA1" w14:textId="77777777" w:rsidTr="003F6431">
        <w:trPr>
          <w:cantSplit/>
        </w:trPr>
        <w:tc>
          <w:tcPr>
            <w:tcW w:w="6072" w:type="dxa"/>
          </w:tcPr>
          <w:p w14:paraId="4A67F275" w14:textId="77777777" w:rsidR="001F515C" w:rsidRPr="00954CE5" w:rsidRDefault="001F515C" w:rsidP="003F6431">
            <w:pPr>
              <w:spacing w:line="276" w:lineRule="auto"/>
              <w:rPr>
                <w:rFonts w:ascii="Arial" w:hAnsi="Arial" w:cs="Arial"/>
                <w:sz w:val="20"/>
                <w:szCs w:val="20"/>
              </w:rPr>
            </w:pPr>
            <w:r w:rsidRPr="00954CE5">
              <w:rPr>
                <w:rFonts w:ascii="Arial" w:hAnsi="Arial" w:cs="Arial"/>
                <w:sz w:val="20"/>
                <w:szCs w:val="20"/>
              </w:rPr>
              <w:t>Up-skilled the project management team (capital works) by having all project managers complete a Diploma in Project Management</w:t>
            </w:r>
          </w:p>
        </w:tc>
        <w:tc>
          <w:tcPr>
            <w:tcW w:w="1587" w:type="dxa"/>
          </w:tcPr>
          <w:p w14:paraId="10CD4C89" w14:textId="77777777" w:rsidR="001F515C" w:rsidRPr="00954CE5" w:rsidRDefault="001F515C" w:rsidP="003F6431">
            <w:pPr>
              <w:spacing w:line="276" w:lineRule="auto"/>
              <w:jc w:val="right"/>
              <w:rPr>
                <w:rFonts w:ascii="Arial" w:hAnsi="Arial" w:cs="Arial"/>
                <w:sz w:val="20"/>
                <w:szCs w:val="20"/>
              </w:rPr>
            </w:pPr>
            <w:r>
              <w:rPr>
                <w:rFonts w:ascii="Arial" w:hAnsi="Arial" w:cs="Arial"/>
                <w:sz w:val="20"/>
                <w:szCs w:val="20"/>
              </w:rPr>
              <w:t>Not determined</w:t>
            </w:r>
          </w:p>
        </w:tc>
        <w:tc>
          <w:tcPr>
            <w:tcW w:w="1555" w:type="dxa"/>
          </w:tcPr>
          <w:p w14:paraId="2EFDCD5B" w14:textId="77777777" w:rsidR="001F515C" w:rsidRPr="00954CE5" w:rsidRDefault="001F515C" w:rsidP="003F6431">
            <w:pPr>
              <w:spacing w:line="276" w:lineRule="auto"/>
              <w:jc w:val="right"/>
              <w:rPr>
                <w:rFonts w:ascii="Arial" w:hAnsi="Arial" w:cs="Arial"/>
                <w:sz w:val="20"/>
                <w:szCs w:val="20"/>
              </w:rPr>
            </w:pPr>
          </w:p>
        </w:tc>
      </w:tr>
      <w:tr w:rsidR="001F515C" w:rsidRPr="00370487" w14:paraId="3F85FEAE" w14:textId="77777777" w:rsidTr="003F6431">
        <w:trPr>
          <w:cantSplit/>
        </w:trPr>
        <w:tc>
          <w:tcPr>
            <w:tcW w:w="6072" w:type="dxa"/>
          </w:tcPr>
          <w:p w14:paraId="19BE76C6" w14:textId="77777777" w:rsidR="001F515C" w:rsidRPr="00954CE5" w:rsidRDefault="001F515C" w:rsidP="003F6431">
            <w:pPr>
              <w:spacing w:line="276" w:lineRule="auto"/>
              <w:rPr>
                <w:rFonts w:ascii="Arial" w:hAnsi="Arial" w:cs="Arial"/>
                <w:sz w:val="20"/>
                <w:szCs w:val="20"/>
              </w:rPr>
            </w:pPr>
            <w:r w:rsidRPr="00954CE5">
              <w:rPr>
                <w:rFonts w:ascii="Arial" w:hAnsi="Arial" w:cs="Arial"/>
                <w:sz w:val="20"/>
                <w:szCs w:val="20"/>
              </w:rPr>
              <w:t>Implemented vehicle sensing technology to manage high demand parking spaces in Leura Town Centre. The technology sensors when vehicles enter each parking space and identifies overstayed vehicles. This means only an enforcement patrol is required rather than both a mark- up and a separate enforcement patrol.</w:t>
            </w:r>
          </w:p>
        </w:tc>
        <w:tc>
          <w:tcPr>
            <w:tcW w:w="1587" w:type="dxa"/>
          </w:tcPr>
          <w:p w14:paraId="3ADF4D11" w14:textId="77777777" w:rsidR="001F515C" w:rsidRPr="00954CE5" w:rsidRDefault="001F515C" w:rsidP="003F6431">
            <w:pPr>
              <w:spacing w:line="276" w:lineRule="auto"/>
              <w:jc w:val="right"/>
              <w:rPr>
                <w:rFonts w:ascii="Arial" w:hAnsi="Arial" w:cs="Arial"/>
                <w:sz w:val="20"/>
                <w:szCs w:val="20"/>
              </w:rPr>
            </w:pPr>
            <w:r w:rsidRPr="00954CE5">
              <w:rPr>
                <w:rFonts w:ascii="Arial" w:hAnsi="Arial" w:cs="Arial"/>
                <w:sz w:val="20"/>
                <w:szCs w:val="20"/>
              </w:rPr>
              <w:t>$16,000</w:t>
            </w:r>
          </w:p>
        </w:tc>
        <w:tc>
          <w:tcPr>
            <w:tcW w:w="1555" w:type="dxa"/>
          </w:tcPr>
          <w:p w14:paraId="239C556D" w14:textId="77777777" w:rsidR="001F515C" w:rsidRPr="00954CE5" w:rsidRDefault="001F515C" w:rsidP="003F6431">
            <w:pPr>
              <w:spacing w:line="276" w:lineRule="auto"/>
              <w:jc w:val="right"/>
              <w:rPr>
                <w:rFonts w:ascii="Arial" w:hAnsi="Arial" w:cs="Arial"/>
                <w:sz w:val="20"/>
                <w:szCs w:val="20"/>
              </w:rPr>
            </w:pPr>
          </w:p>
        </w:tc>
      </w:tr>
      <w:tr w:rsidR="001F515C" w:rsidRPr="00370487" w14:paraId="107D67B0" w14:textId="77777777" w:rsidTr="003F6431">
        <w:trPr>
          <w:cantSplit/>
        </w:trPr>
        <w:tc>
          <w:tcPr>
            <w:tcW w:w="6072" w:type="dxa"/>
          </w:tcPr>
          <w:p w14:paraId="12882903" w14:textId="77777777" w:rsidR="001F515C" w:rsidRPr="00954CE5" w:rsidRDefault="001F515C" w:rsidP="003F6431">
            <w:pPr>
              <w:spacing w:line="276" w:lineRule="auto"/>
              <w:rPr>
                <w:rFonts w:ascii="Arial" w:hAnsi="Arial" w:cs="Arial"/>
                <w:sz w:val="20"/>
                <w:szCs w:val="20"/>
              </w:rPr>
            </w:pPr>
            <w:r w:rsidRPr="00954CE5">
              <w:rPr>
                <w:rFonts w:ascii="Arial" w:hAnsi="Arial" w:cs="Arial"/>
                <w:sz w:val="20"/>
                <w:szCs w:val="20"/>
              </w:rPr>
              <w:t>Implemented electronic lodgement of Complying Development Certificates under the e-housing code. Project implemented with Department of Planning.</w:t>
            </w:r>
          </w:p>
        </w:tc>
        <w:tc>
          <w:tcPr>
            <w:tcW w:w="1587" w:type="dxa"/>
          </w:tcPr>
          <w:p w14:paraId="0C9A1CBA" w14:textId="77777777" w:rsidR="001F515C" w:rsidRPr="00954CE5" w:rsidRDefault="001F515C" w:rsidP="003F6431">
            <w:pPr>
              <w:spacing w:line="276" w:lineRule="auto"/>
              <w:jc w:val="right"/>
              <w:rPr>
                <w:rFonts w:ascii="Arial" w:hAnsi="Arial" w:cs="Arial"/>
                <w:sz w:val="20"/>
                <w:szCs w:val="20"/>
              </w:rPr>
            </w:pPr>
            <w:r w:rsidRPr="00954CE5">
              <w:rPr>
                <w:rFonts w:ascii="Arial" w:hAnsi="Arial" w:cs="Arial"/>
                <w:sz w:val="20"/>
                <w:szCs w:val="20"/>
              </w:rPr>
              <w:t>$2,000</w:t>
            </w:r>
          </w:p>
        </w:tc>
        <w:tc>
          <w:tcPr>
            <w:tcW w:w="1555" w:type="dxa"/>
          </w:tcPr>
          <w:p w14:paraId="0F4CCDBC" w14:textId="77777777" w:rsidR="001F515C" w:rsidRPr="00954CE5" w:rsidRDefault="001F515C" w:rsidP="003F6431">
            <w:pPr>
              <w:spacing w:line="276" w:lineRule="auto"/>
              <w:jc w:val="right"/>
              <w:rPr>
                <w:rFonts w:ascii="Arial" w:hAnsi="Arial" w:cs="Arial"/>
                <w:sz w:val="20"/>
                <w:szCs w:val="20"/>
              </w:rPr>
            </w:pPr>
          </w:p>
        </w:tc>
      </w:tr>
      <w:tr w:rsidR="001F515C" w:rsidRPr="00370487" w14:paraId="3828DCC7" w14:textId="77777777" w:rsidTr="003F6431">
        <w:trPr>
          <w:cantSplit/>
        </w:trPr>
        <w:tc>
          <w:tcPr>
            <w:tcW w:w="6072" w:type="dxa"/>
          </w:tcPr>
          <w:p w14:paraId="35FF7BDE" w14:textId="77777777" w:rsidR="001F515C" w:rsidRPr="00954CE5" w:rsidRDefault="001F515C" w:rsidP="003F6431">
            <w:pPr>
              <w:spacing w:line="276" w:lineRule="auto"/>
              <w:rPr>
                <w:rFonts w:ascii="Arial" w:hAnsi="Arial" w:cs="Arial"/>
                <w:sz w:val="20"/>
                <w:szCs w:val="20"/>
              </w:rPr>
            </w:pPr>
            <w:r w:rsidRPr="00954CE5">
              <w:rPr>
                <w:rFonts w:ascii="Arial" w:hAnsi="Arial" w:cs="Arial"/>
                <w:sz w:val="20"/>
                <w:szCs w:val="20"/>
              </w:rPr>
              <w:t>Introduced “Syncplicity” file sharing software for providing documentation from Government Information (Public Access) Act requests. Retrieval of information is by electronic URL link, removing the need to send multiple emails or save to CD and post when information required is large. Information is received by the requestor immediately.</w:t>
            </w:r>
          </w:p>
        </w:tc>
        <w:tc>
          <w:tcPr>
            <w:tcW w:w="1587" w:type="dxa"/>
          </w:tcPr>
          <w:p w14:paraId="253FBE94" w14:textId="77777777" w:rsidR="001F515C" w:rsidRPr="00954CE5" w:rsidRDefault="001F515C" w:rsidP="003F6431">
            <w:pPr>
              <w:spacing w:line="276" w:lineRule="auto"/>
              <w:jc w:val="right"/>
              <w:rPr>
                <w:rFonts w:ascii="Arial" w:hAnsi="Arial" w:cs="Arial"/>
                <w:sz w:val="20"/>
                <w:szCs w:val="20"/>
              </w:rPr>
            </w:pPr>
            <w:r w:rsidRPr="00954CE5">
              <w:rPr>
                <w:rFonts w:ascii="Arial" w:hAnsi="Arial" w:cs="Arial"/>
                <w:sz w:val="20"/>
                <w:szCs w:val="20"/>
              </w:rPr>
              <w:t>$1,500</w:t>
            </w:r>
          </w:p>
        </w:tc>
        <w:tc>
          <w:tcPr>
            <w:tcW w:w="1555" w:type="dxa"/>
          </w:tcPr>
          <w:p w14:paraId="197EFFD2" w14:textId="77777777" w:rsidR="001F515C" w:rsidRPr="00954CE5" w:rsidRDefault="001F515C" w:rsidP="003F6431">
            <w:pPr>
              <w:spacing w:line="276" w:lineRule="auto"/>
              <w:jc w:val="right"/>
              <w:rPr>
                <w:rFonts w:ascii="Arial" w:hAnsi="Arial" w:cs="Arial"/>
                <w:sz w:val="20"/>
                <w:szCs w:val="20"/>
              </w:rPr>
            </w:pPr>
          </w:p>
        </w:tc>
      </w:tr>
      <w:tr w:rsidR="001F515C" w:rsidRPr="00370487" w14:paraId="56D34AB7" w14:textId="77777777" w:rsidTr="003F6431">
        <w:trPr>
          <w:cantSplit/>
        </w:trPr>
        <w:tc>
          <w:tcPr>
            <w:tcW w:w="6072" w:type="dxa"/>
          </w:tcPr>
          <w:p w14:paraId="12AA8EB2" w14:textId="77777777" w:rsidR="001F515C" w:rsidRPr="00954CE5" w:rsidRDefault="001F515C" w:rsidP="003F6431">
            <w:pPr>
              <w:spacing w:line="276" w:lineRule="auto"/>
              <w:rPr>
                <w:rFonts w:ascii="Arial" w:hAnsi="Arial" w:cs="Arial"/>
                <w:sz w:val="20"/>
                <w:szCs w:val="20"/>
              </w:rPr>
            </w:pPr>
            <w:r w:rsidRPr="00954CE5">
              <w:rPr>
                <w:rFonts w:ascii="Arial" w:hAnsi="Arial" w:cs="Arial"/>
                <w:sz w:val="20"/>
                <w:szCs w:val="20"/>
              </w:rPr>
              <w:t>BMCC Water and Catchments Working Group – Council formed an internal working group to link water resource stakeholders from different branches and directorates across the organisation. This group enhances communication and collaboration on water management issues and seeks continuous improvement and efficiencies in the delivery of the Water Resource Service. This includes seeking external grant funding opportunities such as the three recent Sydney Catchment Authority expressions of interest for approximately $550k of funding for the Jamison Creek catchment.</w:t>
            </w:r>
          </w:p>
        </w:tc>
        <w:tc>
          <w:tcPr>
            <w:tcW w:w="1587" w:type="dxa"/>
          </w:tcPr>
          <w:p w14:paraId="3430F252" w14:textId="77777777" w:rsidR="001F515C" w:rsidRPr="00954CE5" w:rsidRDefault="001F515C" w:rsidP="003F6431">
            <w:pPr>
              <w:spacing w:line="276" w:lineRule="auto"/>
              <w:jc w:val="right"/>
              <w:rPr>
                <w:rFonts w:ascii="Arial" w:hAnsi="Arial" w:cs="Arial"/>
                <w:sz w:val="20"/>
                <w:szCs w:val="20"/>
              </w:rPr>
            </w:pPr>
            <w:r>
              <w:rPr>
                <w:rFonts w:ascii="Arial" w:hAnsi="Arial" w:cs="Arial"/>
                <w:sz w:val="20"/>
                <w:szCs w:val="20"/>
              </w:rPr>
              <w:t>Not determined</w:t>
            </w:r>
          </w:p>
        </w:tc>
        <w:tc>
          <w:tcPr>
            <w:tcW w:w="1555" w:type="dxa"/>
          </w:tcPr>
          <w:p w14:paraId="54CCFB58" w14:textId="77777777" w:rsidR="001F515C" w:rsidRPr="00954CE5" w:rsidRDefault="001F515C" w:rsidP="003F6431">
            <w:pPr>
              <w:spacing w:line="276" w:lineRule="auto"/>
              <w:jc w:val="right"/>
              <w:rPr>
                <w:rFonts w:ascii="Arial" w:hAnsi="Arial" w:cs="Arial"/>
                <w:sz w:val="20"/>
                <w:szCs w:val="20"/>
              </w:rPr>
            </w:pPr>
          </w:p>
        </w:tc>
      </w:tr>
      <w:tr w:rsidR="001F515C" w:rsidRPr="00370487" w14:paraId="278AF01C" w14:textId="77777777" w:rsidTr="003F6431">
        <w:trPr>
          <w:cantSplit/>
        </w:trPr>
        <w:tc>
          <w:tcPr>
            <w:tcW w:w="7659" w:type="dxa"/>
            <w:gridSpan w:val="2"/>
            <w:shd w:val="clear" w:color="auto" w:fill="95B3D7" w:themeFill="accent1" w:themeFillTint="99"/>
          </w:tcPr>
          <w:p w14:paraId="03E34704" w14:textId="77777777" w:rsidR="001F515C" w:rsidRDefault="001F515C" w:rsidP="003F6431">
            <w:pPr>
              <w:spacing w:line="276" w:lineRule="auto"/>
              <w:rPr>
                <w:rFonts w:ascii="Arial" w:hAnsi="Arial" w:cs="Arial"/>
                <w:b/>
                <w:sz w:val="20"/>
                <w:szCs w:val="20"/>
              </w:rPr>
            </w:pPr>
            <w:r w:rsidRPr="00954CE5">
              <w:rPr>
                <w:rFonts w:ascii="Arial" w:hAnsi="Arial" w:cs="Arial"/>
                <w:b/>
                <w:sz w:val="20"/>
                <w:szCs w:val="20"/>
              </w:rPr>
              <w:t>Total Savings 2015/16-2018/19</w:t>
            </w:r>
          </w:p>
          <w:p w14:paraId="02E62FF7" w14:textId="77777777" w:rsidR="00D6033D" w:rsidRPr="00954CE5" w:rsidRDefault="00D6033D" w:rsidP="003F6431">
            <w:pPr>
              <w:spacing w:line="276" w:lineRule="auto"/>
              <w:rPr>
                <w:rFonts w:ascii="Arial" w:hAnsi="Arial" w:cs="Arial"/>
                <w:b/>
                <w:sz w:val="20"/>
                <w:szCs w:val="20"/>
              </w:rPr>
            </w:pPr>
          </w:p>
        </w:tc>
        <w:tc>
          <w:tcPr>
            <w:tcW w:w="1555" w:type="dxa"/>
            <w:shd w:val="clear" w:color="auto" w:fill="95B3D7" w:themeFill="accent1" w:themeFillTint="99"/>
          </w:tcPr>
          <w:p w14:paraId="53CAD645" w14:textId="77777777" w:rsidR="001F515C" w:rsidRPr="00954CE5" w:rsidRDefault="001F515C" w:rsidP="003F6431">
            <w:pPr>
              <w:spacing w:line="276" w:lineRule="auto"/>
              <w:jc w:val="right"/>
              <w:rPr>
                <w:rFonts w:ascii="Arial" w:hAnsi="Arial" w:cs="Arial"/>
                <w:b/>
                <w:sz w:val="20"/>
                <w:szCs w:val="20"/>
              </w:rPr>
            </w:pPr>
            <w:r w:rsidRPr="00954CE5">
              <w:rPr>
                <w:rFonts w:ascii="Arial" w:hAnsi="Arial" w:cs="Arial"/>
                <w:b/>
                <w:sz w:val="20"/>
                <w:szCs w:val="20"/>
              </w:rPr>
              <w:fldChar w:fldCharType="begin"/>
            </w:r>
            <w:r w:rsidRPr="00954CE5">
              <w:rPr>
                <w:rFonts w:ascii="Arial" w:hAnsi="Arial" w:cs="Arial"/>
                <w:b/>
                <w:sz w:val="20"/>
                <w:szCs w:val="20"/>
              </w:rPr>
              <w:instrText xml:space="preserve"> =SUM(ABOVE) </w:instrText>
            </w:r>
            <w:r w:rsidRPr="00954CE5">
              <w:rPr>
                <w:rFonts w:ascii="Arial" w:hAnsi="Arial" w:cs="Arial"/>
                <w:b/>
                <w:sz w:val="20"/>
                <w:szCs w:val="20"/>
              </w:rPr>
              <w:fldChar w:fldCharType="separate"/>
            </w:r>
            <w:r w:rsidRPr="00954CE5">
              <w:rPr>
                <w:rFonts w:ascii="Arial" w:hAnsi="Arial" w:cs="Arial"/>
                <w:b/>
                <w:noProof/>
                <w:sz w:val="20"/>
                <w:szCs w:val="20"/>
              </w:rPr>
              <w:t>$873,392.00</w:t>
            </w:r>
            <w:r w:rsidRPr="00954CE5">
              <w:rPr>
                <w:rFonts w:ascii="Arial" w:hAnsi="Arial" w:cs="Arial"/>
                <w:b/>
                <w:sz w:val="20"/>
                <w:szCs w:val="20"/>
              </w:rPr>
              <w:fldChar w:fldCharType="end"/>
            </w:r>
          </w:p>
        </w:tc>
      </w:tr>
    </w:tbl>
    <w:p w14:paraId="233C7F94" w14:textId="5C062751" w:rsidR="001F515C" w:rsidRPr="00057853" w:rsidRDefault="001F515C" w:rsidP="00E72625">
      <w:pPr>
        <w:pStyle w:val="Heading3"/>
        <w:tabs>
          <w:tab w:val="clear" w:pos="1844"/>
          <w:tab w:val="num" w:pos="709"/>
        </w:tabs>
        <w:ind w:left="709"/>
      </w:pPr>
      <w:r>
        <w:t>Revenue - Future</w:t>
      </w:r>
      <w:r w:rsidRPr="00057853">
        <w:t xml:space="preserve"> </w:t>
      </w:r>
    </w:p>
    <w:p w14:paraId="76B8A1AE" w14:textId="77777777" w:rsidR="000E0250" w:rsidRDefault="000E0250" w:rsidP="001F515C">
      <w:pPr>
        <w:spacing w:line="360" w:lineRule="auto"/>
        <w:jc w:val="both"/>
        <w:rPr>
          <w:rFonts w:ascii="Arial" w:hAnsi="Arial" w:cs="Arial"/>
          <w:sz w:val="21"/>
          <w:szCs w:val="21"/>
        </w:rPr>
      </w:pPr>
    </w:p>
    <w:p w14:paraId="62F725CF" w14:textId="501C87ED" w:rsidR="001F515C" w:rsidRDefault="001F515C" w:rsidP="00A5223D">
      <w:pPr>
        <w:spacing w:line="276" w:lineRule="auto"/>
        <w:jc w:val="both"/>
        <w:rPr>
          <w:rFonts w:ascii="Arial" w:hAnsi="Arial" w:cs="Arial"/>
          <w:sz w:val="21"/>
          <w:szCs w:val="21"/>
        </w:rPr>
      </w:pPr>
      <w:r w:rsidRPr="005C4F27">
        <w:rPr>
          <w:rFonts w:ascii="Arial" w:hAnsi="Arial" w:cs="Arial"/>
          <w:sz w:val="21"/>
          <w:szCs w:val="21"/>
        </w:rPr>
        <w:t xml:space="preserve">The Council </w:t>
      </w:r>
      <w:r>
        <w:rPr>
          <w:rFonts w:ascii="Arial" w:hAnsi="Arial" w:cs="Arial"/>
          <w:sz w:val="21"/>
          <w:szCs w:val="21"/>
        </w:rPr>
        <w:t>will raise</w:t>
      </w:r>
      <w:r w:rsidRPr="005C4F27">
        <w:rPr>
          <w:rFonts w:ascii="Arial" w:hAnsi="Arial" w:cs="Arial"/>
          <w:sz w:val="21"/>
          <w:szCs w:val="21"/>
        </w:rPr>
        <w:t xml:space="preserve"> </w:t>
      </w:r>
      <w:r w:rsidR="005E07AA">
        <w:rPr>
          <w:rFonts w:ascii="Arial" w:hAnsi="Arial" w:cs="Arial"/>
          <w:sz w:val="21"/>
          <w:szCs w:val="21"/>
        </w:rPr>
        <w:t xml:space="preserve">an estimated </w:t>
      </w:r>
      <w:r>
        <w:rPr>
          <w:rFonts w:ascii="Arial" w:hAnsi="Arial" w:cs="Arial"/>
          <w:sz w:val="21"/>
          <w:szCs w:val="21"/>
        </w:rPr>
        <w:t>$3.</w:t>
      </w:r>
      <w:r w:rsidR="005E07AA">
        <w:rPr>
          <w:rFonts w:ascii="Arial" w:hAnsi="Arial" w:cs="Arial"/>
          <w:sz w:val="21"/>
          <w:szCs w:val="21"/>
        </w:rPr>
        <w:t>3</w:t>
      </w:r>
      <w:r>
        <w:rPr>
          <w:rFonts w:ascii="Arial" w:hAnsi="Arial" w:cs="Arial"/>
          <w:sz w:val="21"/>
          <w:szCs w:val="21"/>
        </w:rPr>
        <w:t xml:space="preserve"> million in the next four years </w:t>
      </w:r>
      <w:r w:rsidRPr="005C4F27">
        <w:rPr>
          <w:rFonts w:ascii="Arial" w:hAnsi="Arial" w:cs="Arial"/>
          <w:sz w:val="21"/>
          <w:szCs w:val="21"/>
        </w:rPr>
        <w:t xml:space="preserve">as a result of the </w:t>
      </w:r>
      <w:r>
        <w:rPr>
          <w:rFonts w:ascii="Arial" w:hAnsi="Arial" w:cs="Arial"/>
          <w:sz w:val="21"/>
          <w:szCs w:val="21"/>
        </w:rPr>
        <w:t xml:space="preserve">efficiency </w:t>
      </w:r>
      <w:r w:rsidRPr="005C4F27">
        <w:rPr>
          <w:rFonts w:ascii="Arial" w:hAnsi="Arial" w:cs="Arial"/>
          <w:sz w:val="21"/>
          <w:szCs w:val="21"/>
        </w:rPr>
        <w:t xml:space="preserve">initiatives implemented in the table below. </w:t>
      </w:r>
    </w:p>
    <w:p w14:paraId="729718F3" w14:textId="77777777" w:rsidR="004127DF" w:rsidRDefault="004127DF" w:rsidP="001F515C">
      <w:pPr>
        <w:spacing w:line="360" w:lineRule="auto"/>
        <w:jc w:val="both"/>
        <w:rPr>
          <w:rFonts w:ascii="Arial" w:hAnsi="Arial" w:cs="Arial"/>
          <w:b/>
          <w:sz w:val="20"/>
          <w:szCs w:val="20"/>
        </w:rPr>
      </w:pPr>
    </w:p>
    <w:p w14:paraId="4363F692" w14:textId="7985495C" w:rsidR="001F515C" w:rsidRPr="00D6033D" w:rsidRDefault="0053356A" w:rsidP="001F515C">
      <w:pPr>
        <w:spacing w:line="360" w:lineRule="auto"/>
        <w:jc w:val="both"/>
        <w:rPr>
          <w:rFonts w:ascii="Arial" w:hAnsi="Arial" w:cs="Arial"/>
          <w:b/>
          <w:sz w:val="20"/>
          <w:szCs w:val="20"/>
        </w:rPr>
      </w:pPr>
      <w:r>
        <w:rPr>
          <w:rFonts w:ascii="Arial" w:hAnsi="Arial" w:cs="Arial"/>
          <w:b/>
          <w:sz w:val="20"/>
          <w:szCs w:val="20"/>
        </w:rPr>
        <w:t>Table 7.7</w:t>
      </w:r>
      <w:r w:rsidR="001F515C" w:rsidRPr="00D6033D">
        <w:rPr>
          <w:rFonts w:ascii="Arial" w:hAnsi="Arial" w:cs="Arial"/>
          <w:b/>
          <w:sz w:val="20"/>
          <w:szCs w:val="20"/>
        </w:rPr>
        <w:t xml:space="preserve"> Revenue 2015/16-2018/19</w:t>
      </w:r>
    </w:p>
    <w:tbl>
      <w:tblPr>
        <w:tblStyle w:val="TableGrid"/>
        <w:tblW w:w="9180" w:type="dxa"/>
        <w:tblLook w:val="04A0" w:firstRow="1" w:lastRow="0" w:firstColumn="1" w:lastColumn="0" w:noHBand="0" w:noVBand="1"/>
      </w:tblPr>
      <w:tblGrid>
        <w:gridCol w:w="6062"/>
        <w:gridCol w:w="1559"/>
        <w:gridCol w:w="1559"/>
      </w:tblGrid>
      <w:tr w:rsidR="001F515C" w:rsidRPr="004949E2" w14:paraId="0937AFF0" w14:textId="77777777" w:rsidTr="00A27A01">
        <w:trPr>
          <w:tblHeader/>
        </w:trPr>
        <w:tc>
          <w:tcPr>
            <w:tcW w:w="6062" w:type="dxa"/>
            <w:shd w:val="clear" w:color="auto" w:fill="4F81BD" w:themeFill="accent1"/>
          </w:tcPr>
          <w:p w14:paraId="6CF71BA6" w14:textId="31EE46E9" w:rsidR="001F515C" w:rsidRPr="00A27A01" w:rsidRDefault="00A27A01" w:rsidP="00A27A01">
            <w:pPr>
              <w:jc w:val="center"/>
              <w:rPr>
                <w:rFonts w:ascii="Arial" w:eastAsiaTheme="majorEastAsia" w:hAnsi="Arial" w:cs="Arial"/>
                <w:b/>
                <w:color w:val="FFFFFF" w:themeColor="background1"/>
                <w:sz w:val="20"/>
                <w:szCs w:val="20"/>
              </w:rPr>
            </w:pPr>
            <w:r w:rsidRPr="00A27A01">
              <w:rPr>
                <w:rFonts w:ascii="Arial" w:eastAsiaTheme="majorEastAsia" w:hAnsi="Arial" w:cs="Arial"/>
                <w:b/>
                <w:color w:val="FFFFFF" w:themeColor="background1"/>
                <w:sz w:val="20"/>
                <w:szCs w:val="20"/>
              </w:rPr>
              <w:br w:type="page"/>
              <w:t>Revenue 2015/16-2018/19</w:t>
            </w:r>
          </w:p>
          <w:p w14:paraId="5EEC9CA0" w14:textId="66D3B911" w:rsidR="001F515C" w:rsidRPr="00A27A01" w:rsidRDefault="00A27A01" w:rsidP="00A27A01">
            <w:pPr>
              <w:jc w:val="center"/>
              <w:rPr>
                <w:rFonts w:ascii="Arial" w:eastAsiaTheme="majorEastAsia" w:hAnsi="Arial" w:cs="Arial"/>
                <w:b/>
                <w:color w:val="FFFFFF" w:themeColor="background1"/>
                <w:sz w:val="20"/>
                <w:szCs w:val="20"/>
              </w:rPr>
            </w:pPr>
            <w:r w:rsidRPr="00A27A01">
              <w:rPr>
                <w:rFonts w:ascii="Arial" w:eastAsiaTheme="majorEastAsia" w:hAnsi="Arial" w:cs="Arial"/>
                <w:b/>
                <w:color w:val="FFFFFF" w:themeColor="background1"/>
                <w:sz w:val="20"/>
                <w:szCs w:val="20"/>
              </w:rPr>
              <w:t>Area/Item</w:t>
            </w:r>
          </w:p>
        </w:tc>
        <w:tc>
          <w:tcPr>
            <w:tcW w:w="1559" w:type="dxa"/>
            <w:shd w:val="clear" w:color="auto" w:fill="4F81BD" w:themeFill="accent1"/>
          </w:tcPr>
          <w:p w14:paraId="36418090" w14:textId="4E8058C2" w:rsidR="001F515C" w:rsidRPr="00A27A01" w:rsidRDefault="00A27A01" w:rsidP="00A27A01">
            <w:pPr>
              <w:jc w:val="center"/>
              <w:rPr>
                <w:rFonts w:ascii="Arial" w:hAnsi="Arial" w:cs="Arial"/>
                <w:b/>
                <w:color w:val="FFFFFF" w:themeColor="background1"/>
                <w:sz w:val="20"/>
                <w:szCs w:val="20"/>
              </w:rPr>
            </w:pPr>
            <w:r w:rsidRPr="00A27A01">
              <w:rPr>
                <w:rFonts w:ascii="Arial" w:hAnsi="Arial" w:cs="Arial"/>
                <w:b/>
                <w:color w:val="FFFFFF" w:themeColor="background1"/>
                <w:sz w:val="20"/>
                <w:szCs w:val="20"/>
              </w:rPr>
              <w:t>Amount</w:t>
            </w:r>
          </w:p>
        </w:tc>
        <w:tc>
          <w:tcPr>
            <w:tcW w:w="1559" w:type="dxa"/>
            <w:shd w:val="clear" w:color="auto" w:fill="4F81BD" w:themeFill="accent1"/>
          </w:tcPr>
          <w:p w14:paraId="09EDF75F" w14:textId="2E8578BE" w:rsidR="00D6033D" w:rsidRPr="00A27A01" w:rsidRDefault="00A27A01" w:rsidP="00A27A01">
            <w:pPr>
              <w:jc w:val="center"/>
              <w:rPr>
                <w:rFonts w:ascii="Arial" w:hAnsi="Arial" w:cs="Arial"/>
                <w:b/>
                <w:color w:val="FFFFFF" w:themeColor="background1"/>
                <w:sz w:val="20"/>
                <w:szCs w:val="20"/>
              </w:rPr>
            </w:pPr>
            <w:r w:rsidRPr="00A27A01">
              <w:rPr>
                <w:rFonts w:ascii="Arial" w:hAnsi="Arial" w:cs="Arial"/>
                <w:b/>
                <w:color w:val="FFFFFF" w:themeColor="background1"/>
                <w:sz w:val="20"/>
                <w:szCs w:val="20"/>
              </w:rPr>
              <w:t>Total Over 4 Years</w:t>
            </w:r>
          </w:p>
        </w:tc>
      </w:tr>
      <w:tr w:rsidR="001F515C" w:rsidRPr="004949E2" w14:paraId="260CE7ED" w14:textId="77777777" w:rsidTr="003F6431">
        <w:tc>
          <w:tcPr>
            <w:tcW w:w="7621" w:type="dxa"/>
            <w:gridSpan w:val="2"/>
            <w:shd w:val="clear" w:color="auto" w:fill="DBE5F1" w:themeFill="accent1" w:themeFillTint="33"/>
          </w:tcPr>
          <w:p w14:paraId="7D1E217C" w14:textId="77777777" w:rsidR="004037CC" w:rsidRDefault="004037CC" w:rsidP="004037CC">
            <w:pPr>
              <w:rPr>
                <w:rFonts w:ascii="Arial" w:eastAsiaTheme="majorEastAsia" w:hAnsi="Arial" w:cs="Arial"/>
                <w:b/>
                <w:sz w:val="20"/>
                <w:szCs w:val="20"/>
              </w:rPr>
            </w:pPr>
          </w:p>
          <w:p w14:paraId="3865350C" w14:textId="3DC9C8FC" w:rsidR="004037CC" w:rsidRPr="00D050D2" w:rsidRDefault="004037CC" w:rsidP="004037CC">
            <w:pPr>
              <w:rPr>
                <w:rFonts w:ascii="Arial" w:hAnsi="Arial" w:cs="Arial"/>
                <w:b/>
                <w:sz w:val="20"/>
                <w:szCs w:val="20"/>
              </w:rPr>
            </w:pPr>
            <w:r>
              <w:rPr>
                <w:rFonts w:ascii="Arial" w:eastAsiaTheme="majorEastAsia" w:hAnsi="Arial" w:cs="Arial"/>
                <w:b/>
                <w:sz w:val="20"/>
                <w:szCs w:val="20"/>
              </w:rPr>
              <w:t>Various Initiatives</w:t>
            </w:r>
          </w:p>
        </w:tc>
        <w:tc>
          <w:tcPr>
            <w:tcW w:w="1559" w:type="dxa"/>
            <w:shd w:val="clear" w:color="auto" w:fill="DBE5F1" w:themeFill="accent1" w:themeFillTint="33"/>
          </w:tcPr>
          <w:p w14:paraId="01302F96" w14:textId="77777777" w:rsidR="004037CC" w:rsidRDefault="004037CC" w:rsidP="003F6431">
            <w:pPr>
              <w:jc w:val="right"/>
              <w:rPr>
                <w:rFonts w:ascii="Arial" w:hAnsi="Arial" w:cs="Arial"/>
                <w:b/>
                <w:sz w:val="20"/>
                <w:szCs w:val="20"/>
              </w:rPr>
            </w:pPr>
          </w:p>
          <w:p w14:paraId="1DB0E34E" w14:textId="77777777" w:rsidR="001F515C" w:rsidRPr="00D050D2" w:rsidRDefault="001F515C" w:rsidP="003F6431">
            <w:pPr>
              <w:jc w:val="right"/>
              <w:rPr>
                <w:rFonts w:ascii="Arial" w:hAnsi="Arial" w:cs="Arial"/>
                <w:b/>
                <w:sz w:val="20"/>
                <w:szCs w:val="20"/>
              </w:rPr>
            </w:pPr>
            <w:r w:rsidRPr="00D050D2">
              <w:rPr>
                <w:rFonts w:ascii="Arial" w:hAnsi="Arial" w:cs="Arial"/>
                <w:b/>
                <w:sz w:val="20"/>
                <w:szCs w:val="20"/>
              </w:rPr>
              <w:t>$1,473,060</w:t>
            </w:r>
          </w:p>
        </w:tc>
      </w:tr>
      <w:tr w:rsidR="001F515C" w:rsidRPr="004949E2" w14:paraId="26CFDC16" w14:textId="77777777" w:rsidTr="003F6431">
        <w:tc>
          <w:tcPr>
            <w:tcW w:w="6062" w:type="dxa"/>
          </w:tcPr>
          <w:p w14:paraId="582A389A" w14:textId="77777777" w:rsidR="001F515C" w:rsidRPr="00D050D2" w:rsidRDefault="001F515C" w:rsidP="003F6431">
            <w:pPr>
              <w:rPr>
                <w:rFonts w:ascii="Arial" w:hAnsi="Arial" w:cs="Arial"/>
                <w:sz w:val="20"/>
                <w:szCs w:val="20"/>
              </w:rPr>
            </w:pPr>
            <w:r w:rsidRPr="00D050D2">
              <w:rPr>
                <w:rFonts w:ascii="Arial" w:hAnsi="Arial" w:cs="Arial"/>
                <w:sz w:val="20"/>
                <w:szCs w:val="20"/>
              </w:rPr>
              <w:t>Upgraded parking meters at Echo Point to take credit card payments (increase of 30%).</w:t>
            </w:r>
          </w:p>
        </w:tc>
        <w:tc>
          <w:tcPr>
            <w:tcW w:w="1559" w:type="dxa"/>
          </w:tcPr>
          <w:p w14:paraId="66CA4D0D" w14:textId="77777777" w:rsidR="001F515C" w:rsidRPr="00D050D2" w:rsidRDefault="001F515C" w:rsidP="003F6431">
            <w:pPr>
              <w:jc w:val="right"/>
              <w:rPr>
                <w:rFonts w:ascii="Arial" w:hAnsi="Arial" w:cs="Arial"/>
                <w:sz w:val="20"/>
                <w:szCs w:val="20"/>
              </w:rPr>
            </w:pPr>
            <w:r w:rsidRPr="00D050D2">
              <w:rPr>
                <w:rFonts w:ascii="Arial" w:hAnsi="Arial" w:cs="Arial"/>
                <w:sz w:val="20"/>
                <w:szCs w:val="20"/>
              </w:rPr>
              <w:t>$500,000</w:t>
            </w:r>
          </w:p>
        </w:tc>
        <w:tc>
          <w:tcPr>
            <w:tcW w:w="1559" w:type="dxa"/>
          </w:tcPr>
          <w:p w14:paraId="79FAD525" w14:textId="77777777" w:rsidR="001F515C" w:rsidRPr="00D050D2" w:rsidRDefault="001F515C" w:rsidP="003F6431">
            <w:pPr>
              <w:jc w:val="right"/>
              <w:rPr>
                <w:rFonts w:ascii="Arial" w:hAnsi="Arial" w:cs="Arial"/>
                <w:sz w:val="20"/>
                <w:szCs w:val="20"/>
              </w:rPr>
            </w:pPr>
          </w:p>
        </w:tc>
      </w:tr>
      <w:tr w:rsidR="001F515C" w:rsidRPr="004949E2" w14:paraId="1E90F7DC" w14:textId="77777777" w:rsidTr="003F6431">
        <w:tc>
          <w:tcPr>
            <w:tcW w:w="6062" w:type="dxa"/>
          </w:tcPr>
          <w:p w14:paraId="0F3B0433" w14:textId="77777777" w:rsidR="001F515C" w:rsidRPr="00D050D2" w:rsidRDefault="001F515C" w:rsidP="003F6431">
            <w:pPr>
              <w:rPr>
                <w:rFonts w:ascii="Arial" w:hAnsi="Arial" w:cs="Arial"/>
                <w:sz w:val="20"/>
                <w:szCs w:val="20"/>
              </w:rPr>
            </w:pPr>
            <w:r w:rsidRPr="00D050D2">
              <w:rPr>
                <w:rFonts w:ascii="Arial" w:hAnsi="Arial" w:cs="Arial"/>
                <w:sz w:val="20"/>
                <w:szCs w:val="20"/>
              </w:rPr>
              <w:t>In accordance with the NSW Food Partnership program implemented the annual administrative fee and a tiered inspection program for food businesses</w:t>
            </w:r>
          </w:p>
        </w:tc>
        <w:tc>
          <w:tcPr>
            <w:tcW w:w="1559" w:type="dxa"/>
          </w:tcPr>
          <w:p w14:paraId="661CC196" w14:textId="77777777" w:rsidR="001F515C" w:rsidRPr="00D050D2" w:rsidRDefault="001F515C" w:rsidP="003F6431">
            <w:pPr>
              <w:jc w:val="right"/>
              <w:rPr>
                <w:rFonts w:ascii="Arial" w:hAnsi="Arial" w:cs="Arial"/>
                <w:sz w:val="20"/>
                <w:szCs w:val="20"/>
              </w:rPr>
            </w:pPr>
            <w:r w:rsidRPr="00D050D2">
              <w:rPr>
                <w:rFonts w:ascii="Arial" w:hAnsi="Arial" w:cs="Arial"/>
                <w:sz w:val="20"/>
                <w:szCs w:val="20"/>
              </w:rPr>
              <w:t>$360,000</w:t>
            </w:r>
          </w:p>
        </w:tc>
        <w:tc>
          <w:tcPr>
            <w:tcW w:w="1559" w:type="dxa"/>
          </w:tcPr>
          <w:p w14:paraId="783B8602" w14:textId="77777777" w:rsidR="001F515C" w:rsidRPr="00D050D2" w:rsidRDefault="001F515C" w:rsidP="003F6431">
            <w:pPr>
              <w:jc w:val="right"/>
              <w:rPr>
                <w:rFonts w:ascii="Arial" w:hAnsi="Arial" w:cs="Arial"/>
                <w:sz w:val="20"/>
                <w:szCs w:val="20"/>
              </w:rPr>
            </w:pPr>
          </w:p>
        </w:tc>
      </w:tr>
      <w:tr w:rsidR="001F515C" w:rsidRPr="004949E2" w14:paraId="7EA46EDF" w14:textId="77777777" w:rsidTr="003F6431">
        <w:tc>
          <w:tcPr>
            <w:tcW w:w="6062" w:type="dxa"/>
          </w:tcPr>
          <w:p w14:paraId="3A817370" w14:textId="77777777" w:rsidR="001F515C" w:rsidRPr="00D050D2" w:rsidRDefault="001F515C" w:rsidP="003F6431">
            <w:pPr>
              <w:rPr>
                <w:rFonts w:ascii="Arial" w:hAnsi="Arial" w:cs="Arial"/>
                <w:sz w:val="20"/>
                <w:szCs w:val="20"/>
              </w:rPr>
            </w:pPr>
            <w:r w:rsidRPr="00D050D2">
              <w:rPr>
                <w:rFonts w:ascii="Arial" w:hAnsi="Arial" w:cs="Arial"/>
                <w:sz w:val="20"/>
                <w:szCs w:val="20"/>
              </w:rPr>
              <w:t>Increased patronage at Glenbrook Swim Centre by enclosing the learners’ pool and holding learn to swim classes year round</w:t>
            </w:r>
          </w:p>
        </w:tc>
        <w:tc>
          <w:tcPr>
            <w:tcW w:w="1559" w:type="dxa"/>
          </w:tcPr>
          <w:p w14:paraId="1336523A" w14:textId="77777777" w:rsidR="001F515C" w:rsidRPr="00D050D2" w:rsidRDefault="001F515C" w:rsidP="003F6431">
            <w:pPr>
              <w:jc w:val="right"/>
              <w:rPr>
                <w:rFonts w:ascii="Arial" w:hAnsi="Arial" w:cs="Arial"/>
                <w:sz w:val="20"/>
                <w:szCs w:val="20"/>
              </w:rPr>
            </w:pPr>
            <w:r w:rsidRPr="00D050D2">
              <w:rPr>
                <w:rFonts w:ascii="Arial" w:hAnsi="Arial" w:cs="Arial"/>
                <w:sz w:val="20"/>
                <w:szCs w:val="20"/>
              </w:rPr>
              <w:t>$240,000</w:t>
            </w:r>
          </w:p>
        </w:tc>
        <w:tc>
          <w:tcPr>
            <w:tcW w:w="1559" w:type="dxa"/>
          </w:tcPr>
          <w:p w14:paraId="25FD39F0" w14:textId="77777777" w:rsidR="001F515C" w:rsidRPr="00D050D2" w:rsidRDefault="001F515C" w:rsidP="003F6431">
            <w:pPr>
              <w:jc w:val="right"/>
              <w:rPr>
                <w:rFonts w:ascii="Arial" w:hAnsi="Arial" w:cs="Arial"/>
                <w:sz w:val="20"/>
                <w:szCs w:val="20"/>
              </w:rPr>
            </w:pPr>
          </w:p>
        </w:tc>
      </w:tr>
      <w:tr w:rsidR="001F515C" w:rsidRPr="004949E2" w14:paraId="11150049" w14:textId="77777777" w:rsidTr="003F6431">
        <w:tc>
          <w:tcPr>
            <w:tcW w:w="6062" w:type="dxa"/>
          </w:tcPr>
          <w:p w14:paraId="053E542E" w14:textId="77777777" w:rsidR="001F515C" w:rsidRPr="00D050D2" w:rsidRDefault="001F515C" w:rsidP="003F6431">
            <w:pPr>
              <w:rPr>
                <w:rFonts w:ascii="Arial" w:hAnsi="Arial" w:cs="Arial"/>
                <w:sz w:val="20"/>
                <w:szCs w:val="20"/>
              </w:rPr>
            </w:pPr>
            <w:r w:rsidRPr="00D050D2">
              <w:rPr>
                <w:rFonts w:ascii="Arial" w:hAnsi="Arial" w:cs="Arial"/>
                <w:sz w:val="20"/>
                <w:szCs w:val="20"/>
              </w:rPr>
              <w:t>Revenue from implementing the on-site septic safe program. Incorporated fee on rates notice to streamline recovery (staged implementation from 07/2008 to 06/2013, with issue of 5 year approval to operate).</w:t>
            </w:r>
          </w:p>
        </w:tc>
        <w:tc>
          <w:tcPr>
            <w:tcW w:w="1559" w:type="dxa"/>
          </w:tcPr>
          <w:p w14:paraId="4330233B" w14:textId="77777777" w:rsidR="001F515C" w:rsidRPr="00D050D2" w:rsidRDefault="001F515C" w:rsidP="003F6431">
            <w:pPr>
              <w:jc w:val="right"/>
              <w:rPr>
                <w:rFonts w:ascii="Arial" w:hAnsi="Arial" w:cs="Arial"/>
                <w:sz w:val="20"/>
                <w:szCs w:val="20"/>
              </w:rPr>
            </w:pPr>
            <w:r w:rsidRPr="00D050D2">
              <w:rPr>
                <w:rFonts w:ascii="Arial" w:hAnsi="Arial" w:cs="Arial"/>
                <w:sz w:val="20"/>
                <w:szCs w:val="20"/>
              </w:rPr>
              <w:t>$100,000</w:t>
            </w:r>
          </w:p>
        </w:tc>
        <w:tc>
          <w:tcPr>
            <w:tcW w:w="1559" w:type="dxa"/>
          </w:tcPr>
          <w:p w14:paraId="28C462F4" w14:textId="77777777" w:rsidR="001F515C" w:rsidRPr="00D050D2" w:rsidRDefault="001F515C" w:rsidP="003F6431">
            <w:pPr>
              <w:jc w:val="right"/>
              <w:rPr>
                <w:rFonts w:ascii="Arial" w:hAnsi="Arial" w:cs="Arial"/>
                <w:sz w:val="20"/>
                <w:szCs w:val="20"/>
              </w:rPr>
            </w:pPr>
          </w:p>
        </w:tc>
      </w:tr>
      <w:tr w:rsidR="001F515C" w:rsidRPr="004949E2" w14:paraId="68FE3752" w14:textId="77777777" w:rsidTr="003F6431">
        <w:tc>
          <w:tcPr>
            <w:tcW w:w="6062" w:type="dxa"/>
          </w:tcPr>
          <w:p w14:paraId="6DB8BB98" w14:textId="77777777" w:rsidR="001F515C" w:rsidRPr="00D050D2" w:rsidRDefault="001F515C" w:rsidP="003F6431">
            <w:pPr>
              <w:rPr>
                <w:rFonts w:ascii="Arial" w:hAnsi="Arial" w:cs="Arial"/>
                <w:sz w:val="20"/>
                <w:szCs w:val="20"/>
              </w:rPr>
            </w:pPr>
            <w:r w:rsidRPr="00D050D2">
              <w:rPr>
                <w:rFonts w:ascii="Arial" w:hAnsi="Arial" w:cs="Arial"/>
                <w:sz w:val="20"/>
                <w:szCs w:val="20"/>
              </w:rPr>
              <w:t>Revenue from fees on temporary fencing following the development and adoption of the on Temporary Fencing (Hoarding) Policy in March 2009.</w:t>
            </w:r>
          </w:p>
        </w:tc>
        <w:tc>
          <w:tcPr>
            <w:tcW w:w="1559" w:type="dxa"/>
          </w:tcPr>
          <w:p w14:paraId="6301B692" w14:textId="77777777" w:rsidR="001F515C" w:rsidRPr="00D050D2" w:rsidRDefault="001F515C" w:rsidP="003F6431">
            <w:pPr>
              <w:jc w:val="right"/>
              <w:rPr>
                <w:rFonts w:ascii="Arial" w:hAnsi="Arial" w:cs="Arial"/>
                <w:sz w:val="20"/>
                <w:szCs w:val="20"/>
              </w:rPr>
            </w:pPr>
            <w:r w:rsidRPr="00D050D2">
              <w:rPr>
                <w:rFonts w:ascii="Arial" w:hAnsi="Arial" w:cs="Arial"/>
                <w:sz w:val="20"/>
                <w:szCs w:val="20"/>
              </w:rPr>
              <w:t>$80,000</w:t>
            </w:r>
          </w:p>
        </w:tc>
        <w:tc>
          <w:tcPr>
            <w:tcW w:w="1559" w:type="dxa"/>
          </w:tcPr>
          <w:p w14:paraId="53C5DEB9" w14:textId="77777777" w:rsidR="001F515C" w:rsidRPr="00D050D2" w:rsidRDefault="001F515C" w:rsidP="003F6431">
            <w:pPr>
              <w:jc w:val="right"/>
              <w:rPr>
                <w:rFonts w:ascii="Arial" w:hAnsi="Arial" w:cs="Arial"/>
                <w:sz w:val="20"/>
                <w:szCs w:val="20"/>
              </w:rPr>
            </w:pPr>
          </w:p>
        </w:tc>
      </w:tr>
      <w:tr w:rsidR="001F515C" w:rsidRPr="004949E2" w14:paraId="4FE15C02" w14:textId="77777777" w:rsidTr="003F6431">
        <w:tc>
          <w:tcPr>
            <w:tcW w:w="6062" w:type="dxa"/>
          </w:tcPr>
          <w:p w14:paraId="7B9D3601" w14:textId="6B1D7304" w:rsidR="001F515C" w:rsidRPr="00D050D2" w:rsidRDefault="001F515C" w:rsidP="003F6431">
            <w:pPr>
              <w:rPr>
                <w:rFonts w:ascii="Arial" w:hAnsi="Arial" w:cs="Arial"/>
                <w:sz w:val="20"/>
                <w:szCs w:val="20"/>
              </w:rPr>
            </w:pPr>
            <w:r w:rsidRPr="00D050D2">
              <w:rPr>
                <w:rFonts w:ascii="Arial" w:hAnsi="Arial" w:cs="Arial"/>
                <w:sz w:val="20"/>
                <w:szCs w:val="20"/>
              </w:rPr>
              <w:t xml:space="preserve">Implemented revenue coordinator to manage the update of customer information for rating purposes. Audit rates area </w:t>
            </w:r>
            <w:r w:rsidR="00165AB2" w:rsidRPr="00D050D2">
              <w:rPr>
                <w:rFonts w:ascii="Arial" w:hAnsi="Arial" w:cs="Arial"/>
                <w:sz w:val="20"/>
                <w:szCs w:val="20"/>
              </w:rPr>
              <w:t>e.g.</w:t>
            </w:r>
            <w:r w:rsidRPr="00D050D2">
              <w:rPr>
                <w:rFonts w:ascii="Arial" w:hAnsi="Arial" w:cs="Arial"/>
                <w:sz w:val="20"/>
                <w:szCs w:val="20"/>
              </w:rPr>
              <w:t>. find all properties not currently rated to find missing revenue</w:t>
            </w:r>
          </w:p>
        </w:tc>
        <w:tc>
          <w:tcPr>
            <w:tcW w:w="1559" w:type="dxa"/>
          </w:tcPr>
          <w:p w14:paraId="592DAFCF" w14:textId="77777777" w:rsidR="001F515C" w:rsidRPr="00D050D2" w:rsidRDefault="001F515C" w:rsidP="003F6431">
            <w:pPr>
              <w:jc w:val="right"/>
              <w:rPr>
                <w:rFonts w:ascii="Arial" w:hAnsi="Arial" w:cs="Arial"/>
                <w:sz w:val="20"/>
                <w:szCs w:val="20"/>
              </w:rPr>
            </w:pPr>
            <w:r w:rsidRPr="00D050D2">
              <w:rPr>
                <w:rFonts w:ascii="Arial" w:hAnsi="Arial" w:cs="Arial"/>
                <w:sz w:val="20"/>
                <w:szCs w:val="20"/>
              </w:rPr>
              <w:t>$80,000</w:t>
            </w:r>
          </w:p>
        </w:tc>
        <w:tc>
          <w:tcPr>
            <w:tcW w:w="1559" w:type="dxa"/>
          </w:tcPr>
          <w:p w14:paraId="48BE842C" w14:textId="77777777" w:rsidR="001F515C" w:rsidRPr="00D050D2" w:rsidRDefault="001F515C" w:rsidP="003F6431">
            <w:pPr>
              <w:jc w:val="right"/>
              <w:rPr>
                <w:rFonts w:ascii="Arial" w:hAnsi="Arial" w:cs="Arial"/>
                <w:sz w:val="20"/>
                <w:szCs w:val="20"/>
              </w:rPr>
            </w:pPr>
          </w:p>
        </w:tc>
      </w:tr>
      <w:tr w:rsidR="001F515C" w:rsidRPr="004949E2" w14:paraId="0EE21FA0" w14:textId="77777777" w:rsidTr="003F6431">
        <w:tc>
          <w:tcPr>
            <w:tcW w:w="6062" w:type="dxa"/>
          </w:tcPr>
          <w:p w14:paraId="13939245" w14:textId="77777777" w:rsidR="001F515C" w:rsidRPr="00D050D2" w:rsidRDefault="001F515C" w:rsidP="003F6431">
            <w:pPr>
              <w:rPr>
                <w:rFonts w:ascii="Arial" w:hAnsi="Arial" w:cs="Arial"/>
                <w:sz w:val="20"/>
                <w:szCs w:val="20"/>
              </w:rPr>
            </w:pPr>
            <w:r w:rsidRPr="00D050D2">
              <w:rPr>
                <w:rFonts w:ascii="Arial" w:hAnsi="Arial" w:cs="Arial"/>
                <w:sz w:val="20"/>
                <w:szCs w:val="20"/>
              </w:rPr>
              <w:t>Electronic valuation tool developed to determine / confirm value of works associated with development applications (Note: Statutory fees based on the value of works).</w:t>
            </w:r>
          </w:p>
        </w:tc>
        <w:tc>
          <w:tcPr>
            <w:tcW w:w="1559" w:type="dxa"/>
          </w:tcPr>
          <w:p w14:paraId="1F5F16DE" w14:textId="77777777" w:rsidR="001F515C" w:rsidRPr="00D050D2" w:rsidRDefault="001F515C" w:rsidP="003F6431">
            <w:pPr>
              <w:jc w:val="right"/>
              <w:rPr>
                <w:rFonts w:ascii="Arial" w:hAnsi="Arial" w:cs="Arial"/>
                <w:sz w:val="20"/>
                <w:szCs w:val="20"/>
              </w:rPr>
            </w:pPr>
            <w:r w:rsidRPr="00D050D2">
              <w:rPr>
                <w:rFonts w:ascii="Arial" w:hAnsi="Arial" w:cs="Arial"/>
                <w:sz w:val="20"/>
                <w:szCs w:val="20"/>
              </w:rPr>
              <w:t>$40,000</w:t>
            </w:r>
          </w:p>
        </w:tc>
        <w:tc>
          <w:tcPr>
            <w:tcW w:w="1559" w:type="dxa"/>
          </w:tcPr>
          <w:p w14:paraId="1DFD0629" w14:textId="77777777" w:rsidR="001F515C" w:rsidRPr="00D050D2" w:rsidRDefault="001F515C" w:rsidP="003F6431">
            <w:pPr>
              <w:jc w:val="right"/>
              <w:rPr>
                <w:rFonts w:ascii="Arial" w:hAnsi="Arial" w:cs="Arial"/>
                <w:sz w:val="20"/>
                <w:szCs w:val="20"/>
              </w:rPr>
            </w:pPr>
          </w:p>
        </w:tc>
      </w:tr>
      <w:tr w:rsidR="001F515C" w:rsidRPr="004949E2" w14:paraId="54873E9B" w14:textId="77777777" w:rsidTr="003F6431">
        <w:tc>
          <w:tcPr>
            <w:tcW w:w="6062" w:type="dxa"/>
          </w:tcPr>
          <w:p w14:paraId="13E3F09B" w14:textId="77777777" w:rsidR="001F515C" w:rsidRPr="00D050D2" w:rsidRDefault="001F515C" w:rsidP="003F6431">
            <w:pPr>
              <w:rPr>
                <w:rFonts w:ascii="Arial" w:hAnsi="Arial" w:cs="Arial"/>
                <w:sz w:val="20"/>
                <w:szCs w:val="20"/>
              </w:rPr>
            </w:pPr>
            <w:r w:rsidRPr="00D050D2">
              <w:rPr>
                <w:rFonts w:ascii="Arial" w:hAnsi="Arial" w:cs="Arial"/>
                <w:sz w:val="20"/>
                <w:szCs w:val="20"/>
              </w:rPr>
              <w:t>Roads and Maritime Services Agency established at Council headquarters in January 2007. Estimated annual profit is $18,000.</w:t>
            </w:r>
          </w:p>
        </w:tc>
        <w:tc>
          <w:tcPr>
            <w:tcW w:w="1559" w:type="dxa"/>
          </w:tcPr>
          <w:p w14:paraId="2A92159E" w14:textId="77777777" w:rsidR="001F515C" w:rsidRPr="00D050D2" w:rsidRDefault="001F515C" w:rsidP="003F6431">
            <w:pPr>
              <w:jc w:val="right"/>
              <w:rPr>
                <w:rFonts w:ascii="Arial" w:hAnsi="Arial" w:cs="Arial"/>
                <w:sz w:val="20"/>
                <w:szCs w:val="20"/>
              </w:rPr>
            </w:pPr>
            <w:r w:rsidRPr="00D050D2">
              <w:rPr>
                <w:rFonts w:ascii="Arial" w:hAnsi="Arial" w:cs="Arial"/>
                <w:sz w:val="20"/>
                <w:szCs w:val="20"/>
              </w:rPr>
              <w:t>$36,000</w:t>
            </w:r>
          </w:p>
        </w:tc>
        <w:tc>
          <w:tcPr>
            <w:tcW w:w="1559" w:type="dxa"/>
          </w:tcPr>
          <w:p w14:paraId="415427CA" w14:textId="77777777" w:rsidR="001F515C" w:rsidRPr="00D050D2" w:rsidRDefault="001F515C" w:rsidP="003F6431">
            <w:pPr>
              <w:jc w:val="right"/>
              <w:rPr>
                <w:rFonts w:ascii="Arial" w:hAnsi="Arial" w:cs="Arial"/>
                <w:sz w:val="20"/>
                <w:szCs w:val="20"/>
              </w:rPr>
            </w:pPr>
          </w:p>
        </w:tc>
      </w:tr>
      <w:tr w:rsidR="001F515C" w:rsidRPr="004949E2" w14:paraId="49E2700A" w14:textId="77777777" w:rsidTr="003F6431">
        <w:tc>
          <w:tcPr>
            <w:tcW w:w="6062" w:type="dxa"/>
          </w:tcPr>
          <w:p w14:paraId="6379B26C" w14:textId="77777777" w:rsidR="001F515C" w:rsidRPr="00D050D2" w:rsidRDefault="001F515C" w:rsidP="003F6431">
            <w:pPr>
              <w:rPr>
                <w:rFonts w:ascii="Arial" w:hAnsi="Arial" w:cs="Arial"/>
                <w:sz w:val="20"/>
                <w:szCs w:val="20"/>
              </w:rPr>
            </w:pPr>
            <w:r w:rsidRPr="00D050D2">
              <w:rPr>
                <w:rFonts w:ascii="Arial" w:hAnsi="Arial" w:cs="Arial"/>
                <w:sz w:val="20"/>
                <w:szCs w:val="20"/>
              </w:rPr>
              <w:t>Introduced fee for registration of annual fire safety statements</w:t>
            </w:r>
          </w:p>
        </w:tc>
        <w:tc>
          <w:tcPr>
            <w:tcW w:w="1559" w:type="dxa"/>
          </w:tcPr>
          <w:p w14:paraId="4EBECB93" w14:textId="77777777" w:rsidR="001F515C" w:rsidRPr="00D050D2" w:rsidRDefault="001F515C" w:rsidP="003F6431">
            <w:pPr>
              <w:jc w:val="right"/>
              <w:rPr>
                <w:rFonts w:ascii="Arial" w:hAnsi="Arial" w:cs="Arial"/>
                <w:sz w:val="20"/>
                <w:szCs w:val="20"/>
              </w:rPr>
            </w:pPr>
            <w:r w:rsidRPr="00D050D2">
              <w:rPr>
                <w:rFonts w:ascii="Arial" w:hAnsi="Arial" w:cs="Arial"/>
                <w:sz w:val="20"/>
                <w:szCs w:val="20"/>
              </w:rPr>
              <w:t>$32,000</w:t>
            </w:r>
          </w:p>
        </w:tc>
        <w:tc>
          <w:tcPr>
            <w:tcW w:w="1559" w:type="dxa"/>
          </w:tcPr>
          <w:p w14:paraId="0894A74A" w14:textId="77777777" w:rsidR="001F515C" w:rsidRPr="00D050D2" w:rsidRDefault="001F515C" w:rsidP="003F6431">
            <w:pPr>
              <w:jc w:val="right"/>
              <w:rPr>
                <w:rFonts w:ascii="Arial" w:hAnsi="Arial" w:cs="Arial"/>
                <w:sz w:val="20"/>
                <w:szCs w:val="20"/>
              </w:rPr>
            </w:pPr>
          </w:p>
        </w:tc>
      </w:tr>
      <w:tr w:rsidR="001F515C" w:rsidRPr="004949E2" w14:paraId="3252679C" w14:textId="77777777" w:rsidTr="003F6431">
        <w:tc>
          <w:tcPr>
            <w:tcW w:w="6062" w:type="dxa"/>
          </w:tcPr>
          <w:p w14:paraId="0EF10547" w14:textId="77777777" w:rsidR="001F515C" w:rsidRPr="00D050D2" w:rsidRDefault="001F515C" w:rsidP="003F6431">
            <w:pPr>
              <w:rPr>
                <w:rFonts w:ascii="Arial" w:hAnsi="Arial" w:cs="Arial"/>
                <w:sz w:val="20"/>
                <w:szCs w:val="20"/>
              </w:rPr>
            </w:pPr>
            <w:r w:rsidRPr="00D050D2">
              <w:rPr>
                <w:rFonts w:ascii="Arial" w:hAnsi="Arial" w:cs="Arial"/>
                <w:sz w:val="20"/>
                <w:szCs w:val="20"/>
              </w:rPr>
              <w:t>Revenue raised from additional booked waste services for chipping and bulky waste above the two services provided by the Council per property per financial year at no charge</w:t>
            </w:r>
          </w:p>
        </w:tc>
        <w:tc>
          <w:tcPr>
            <w:tcW w:w="1559" w:type="dxa"/>
          </w:tcPr>
          <w:p w14:paraId="4F643FDF" w14:textId="77777777" w:rsidR="001F515C" w:rsidRPr="00D050D2" w:rsidRDefault="001F515C" w:rsidP="003F6431">
            <w:pPr>
              <w:jc w:val="right"/>
              <w:rPr>
                <w:rFonts w:ascii="Arial" w:hAnsi="Arial" w:cs="Arial"/>
                <w:sz w:val="20"/>
                <w:szCs w:val="20"/>
              </w:rPr>
            </w:pPr>
            <w:r w:rsidRPr="00D050D2">
              <w:rPr>
                <w:rFonts w:ascii="Arial" w:hAnsi="Arial" w:cs="Arial"/>
                <w:sz w:val="20"/>
                <w:szCs w:val="20"/>
              </w:rPr>
              <w:t>$5,060</w:t>
            </w:r>
          </w:p>
        </w:tc>
        <w:tc>
          <w:tcPr>
            <w:tcW w:w="1559" w:type="dxa"/>
          </w:tcPr>
          <w:p w14:paraId="53F32800" w14:textId="77777777" w:rsidR="001F515C" w:rsidRPr="00D050D2" w:rsidRDefault="001F515C" w:rsidP="003F6431">
            <w:pPr>
              <w:jc w:val="right"/>
              <w:rPr>
                <w:rFonts w:ascii="Arial" w:hAnsi="Arial" w:cs="Arial"/>
                <w:sz w:val="20"/>
                <w:szCs w:val="20"/>
              </w:rPr>
            </w:pPr>
          </w:p>
        </w:tc>
      </w:tr>
      <w:tr w:rsidR="001F515C" w:rsidRPr="004949E2" w14:paraId="64623C69" w14:textId="77777777" w:rsidTr="003F6431">
        <w:tc>
          <w:tcPr>
            <w:tcW w:w="7621" w:type="dxa"/>
            <w:gridSpan w:val="2"/>
            <w:shd w:val="clear" w:color="auto" w:fill="DBE5F1" w:themeFill="accent1" w:themeFillTint="33"/>
          </w:tcPr>
          <w:p w14:paraId="309E3E46" w14:textId="77777777" w:rsidR="004037CC" w:rsidRDefault="004037CC" w:rsidP="003F6431">
            <w:pPr>
              <w:rPr>
                <w:rFonts w:ascii="Arial" w:eastAsiaTheme="majorEastAsia" w:hAnsi="Arial" w:cs="Arial"/>
                <w:b/>
                <w:sz w:val="20"/>
                <w:szCs w:val="20"/>
              </w:rPr>
            </w:pPr>
          </w:p>
          <w:p w14:paraId="1E5D9CD2" w14:textId="77777777" w:rsidR="001F515C" w:rsidRPr="00A76D9D" w:rsidRDefault="001F515C" w:rsidP="003F6431">
            <w:pPr>
              <w:rPr>
                <w:rFonts w:ascii="Arial" w:hAnsi="Arial" w:cs="Arial"/>
                <w:b/>
                <w:sz w:val="20"/>
                <w:szCs w:val="20"/>
              </w:rPr>
            </w:pPr>
            <w:r w:rsidRPr="00A76D9D">
              <w:rPr>
                <w:rFonts w:ascii="Arial" w:eastAsiaTheme="majorEastAsia" w:hAnsi="Arial" w:cs="Arial"/>
                <w:b/>
                <w:sz w:val="20"/>
                <w:szCs w:val="20"/>
              </w:rPr>
              <w:t>Business / Process Improvements</w:t>
            </w:r>
          </w:p>
        </w:tc>
        <w:tc>
          <w:tcPr>
            <w:tcW w:w="1559" w:type="dxa"/>
            <w:shd w:val="clear" w:color="auto" w:fill="DBE5F1" w:themeFill="accent1" w:themeFillTint="33"/>
          </w:tcPr>
          <w:p w14:paraId="41C7C06C" w14:textId="77777777" w:rsidR="004037CC" w:rsidRDefault="004037CC" w:rsidP="003F6431">
            <w:pPr>
              <w:jc w:val="right"/>
              <w:rPr>
                <w:rFonts w:ascii="Arial" w:hAnsi="Arial" w:cs="Arial"/>
                <w:b/>
                <w:sz w:val="20"/>
                <w:szCs w:val="20"/>
              </w:rPr>
            </w:pPr>
          </w:p>
          <w:p w14:paraId="0855F344" w14:textId="77777777" w:rsidR="001F515C" w:rsidRPr="00A76D9D" w:rsidRDefault="001F515C" w:rsidP="003F6431">
            <w:pPr>
              <w:jc w:val="right"/>
              <w:rPr>
                <w:rFonts w:ascii="Arial" w:hAnsi="Arial" w:cs="Arial"/>
                <w:b/>
                <w:sz w:val="20"/>
                <w:szCs w:val="20"/>
              </w:rPr>
            </w:pPr>
            <w:r w:rsidRPr="00A76D9D">
              <w:rPr>
                <w:rFonts w:ascii="Arial" w:hAnsi="Arial" w:cs="Arial"/>
                <w:b/>
                <w:sz w:val="20"/>
                <w:szCs w:val="20"/>
              </w:rPr>
              <w:t>$1,866,324</w:t>
            </w:r>
          </w:p>
        </w:tc>
      </w:tr>
      <w:tr w:rsidR="001F515C" w:rsidRPr="004949E2" w14:paraId="551A901F" w14:textId="77777777" w:rsidTr="003F6431">
        <w:tc>
          <w:tcPr>
            <w:tcW w:w="6062" w:type="dxa"/>
          </w:tcPr>
          <w:p w14:paraId="27B477A4" w14:textId="4D152625" w:rsidR="001F515C" w:rsidRPr="00D050D2" w:rsidRDefault="001F515C" w:rsidP="004037CC">
            <w:pPr>
              <w:rPr>
                <w:rFonts w:ascii="Arial" w:hAnsi="Arial" w:cs="Arial"/>
                <w:sz w:val="20"/>
                <w:szCs w:val="20"/>
              </w:rPr>
            </w:pPr>
            <w:r w:rsidRPr="00D050D2">
              <w:rPr>
                <w:rFonts w:ascii="Arial" w:hAnsi="Arial" w:cs="Arial"/>
                <w:sz w:val="20"/>
                <w:szCs w:val="20"/>
              </w:rPr>
              <w:t>Increase in revenue from the Council's two</w:t>
            </w:r>
            <w:r w:rsidR="004037CC">
              <w:rPr>
                <w:rFonts w:ascii="Arial" w:hAnsi="Arial" w:cs="Arial"/>
                <w:sz w:val="20"/>
                <w:szCs w:val="20"/>
              </w:rPr>
              <w:t xml:space="preserve"> T</w:t>
            </w:r>
            <w:r w:rsidRPr="00D050D2">
              <w:rPr>
                <w:rFonts w:ascii="Arial" w:hAnsi="Arial" w:cs="Arial"/>
                <w:sz w:val="20"/>
                <w:szCs w:val="20"/>
              </w:rPr>
              <w:t xml:space="preserve">ourist (caravan) </w:t>
            </w:r>
            <w:r w:rsidR="004037CC">
              <w:rPr>
                <w:rFonts w:ascii="Arial" w:hAnsi="Arial" w:cs="Arial"/>
                <w:sz w:val="20"/>
                <w:szCs w:val="20"/>
              </w:rPr>
              <w:t>P</w:t>
            </w:r>
            <w:r w:rsidRPr="00D050D2">
              <w:rPr>
                <w:rFonts w:ascii="Arial" w:hAnsi="Arial" w:cs="Arial"/>
                <w:sz w:val="20"/>
                <w:szCs w:val="20"/>
              </w:rPr>
              <w:t>arks. This is due to a change in the business model which saw a new management contract, significant renovations including the installation of new cabins and camp kitchens, a rebranding strategy with a new website, new logos and marketing plan. While it is anticipated that this increased net revenue will continue, it should be noted that income from the tourist parks is sensitive to changes in the tourism market</w:t>
            </w:r>
          </w:p>
        </w:tc>
        <w:tc>
          <w:tcPr>
            <w:tcW w:w="1559" w:type="dxa"/>
          </w:tcPr>
          <w:p w14:paraId="515E8CD8" w14:textId="77777777" w:rsidR="001F515C" w:rsidRPr="00D050D2" w:rsidRDefault="001F515C" w:rsidP="003F6431">
            <w:pPr>
              <w:jc w:val="right"/>
              <w:rPr>
                <w:rFonts w:ascii="Arial" w:hAnsi="Arial" w:cs="Arial"/>
                <w:sz w:val="20"/>
                <w:szCs w:val="20"/>
              </w:rPr>
            </w:pPr>
            <w:r w:rsidRPr="00D050D2">
              <w:rPr>
                <w:rFonts w:ascii="Arial" w:hAnsi="Arial" w:cs="Arial"/>
                <w:sz w:val="20"/>
                <w:szCs w:val="20"/>
              </w:rPr>
              <w:t>$1,360,000</w:t>
            </w:r>
          </w:p>
        </w:tc>
        <w:tc>
          <w:tcPr>
            <w:tcW w:w="1559" w:type="dxa"/>
          </w:tcPr>
          <w:p w14:paraId="334E1223" w14:textId="77777777" w:rsidR="001F515C" w:rsidRPr="00D050D2" w:rsidRDefault="001F515C" w:rsidP="003F6431">
            <w:pPr>
              <w:jc w:val="right"/>
              <w:rPr>
                <w:rFonts w:ascii="Arial" w:hAnsi="Arial" w:cs="Arial"/>
                <w:sz w:val="20"/>
                <w:szCs w:val="20"/>
              </w:rPr>
            </w:pPr>
          </w:p>
        </w:tc>
      </w:tr>
      <w:tr w:rsidR="001F515C" w:rsidRPr="004949E2" w14:paraId="5CAE11B9" w14:textId="77777777" w:rsidTr="003F6431">
        <w:tc>
          <w:tcPr>
            <w:tcW w:w="6062" w:type="dxa"/>
          </w:tcPr>
          <w:p w14:paraId="7717D312" w14:textId="77777777" w:rsidR="001F515C" w:rsidRPr="00D050D2" w:rsidRDefault="001F515C" w:rsidP="003F6431">
            <w:pPr>
              <w:rPr>
                <w:rFonts w:ascii="Arial" w:hAnsi="Arial" w:cs="Arial"/>
                <w:sz w:val="20"/>
                <w:szCs w:val="20"/>
              </w:rPr>
            </w:pPr>
            <w:r w:rsidRPr="00D050D2">
              <w:rPr>
                <w:rFonts w:ascii="Arial" w:hAnsi="Arial" w:cs="Arial"/>
                <w:sz w:val="20"/>
                <w:szCs w:val="20"/>
              </w:rPr>
              <w:t>Income from mobile phone towers. Income $126,581, expenditure $0.</w:t>
            </w:r>
          </w:p>
        </w:tc>
        <w:tc>
          <w:tcPr>
            <w:tcW w:w="1559" w:type="dxa"/>
          </w:tcPr>
          <w:p w14:paraId="68094343" w14:textId="77777777" w:rsidR="001F515C" w:rsidRPr="00D050D2" w:rsidRDefault="001F515C" w:rsidP="003F6431">
            <w:pPr>
              <w:jc w:val="right"/>
              <w:rPr>
                <w:rFonts w:ascii="Arial" w:hAnsi="Arial" w:cs="Arial"/>
                <w:sz w:val="20"/>
                <w:szCs w:val="20"/>
              </w:rPr>
            </w:pPr>
            <w:r w:rsidRPr="00D050D2">
              <w:rPr>
                <w:rFonts w:ascii="Arial" w:hAnsi="Arial" w:cs="Arial"/>
                <w:sz w:val="20"/>
                <w:szCs w:val="20"/>
              </w:rPr>
              <w:t>$506,324</w:t>
            </w:r>
          </w:p>
        </w:tc>
        <w:tc>
          <w:tcPr>
            <w:tcW w:w="1559" w:type="dxa"/>
          </w:tcPr>
          <w:p w14:paraId="46664691" w14:textId="77777777" w:rsidR="001F515C" w:rsidRPr="00D050D2" w:rsidRDefault="001F515C" w:rsidP="003F6431">
            <w:pPr>
              <w:jc w:val="right"/>
              <w:rPr>
                <w:rFonts w:ascii="Arial" w:hAnsi="Arial" w:cs="Arial"/>
                <w:sz w:val="20"/>
                <w:szCs w:val="20"/>
              </w:rPr>
            </w:pPr>
          </w:p>
        </w:tc>
      </w:tr>
      <w:tr w:rsidR="001F515C" w:rsidRPr="004949E2" w14:paraId="01724073" w14:textId="77777777" w:rsidTr="003F6431">
        <w:tc>
          <w:tcPr>
            <w:tcW w:w="6062" w:type="dxa"/>
            <w:shd w:val="clear" w:color="auto" w:fill="95B3D7" w:themeFill="accent1" w:themeFillTint="99"/>
          </w:tcPr>
          <w:p w14:paraId="060EE13B" w14:textId="77777777" w:rsidR="001F515C" w:rsidRDefault="001F515C" w:rsidP="003F6431">
            <w:pPr>
              <w:rPr>
                <w:rFonts w:ascii="Arial" w:eastAsiaTheme="majorEastAsia" w:hAnsi="Arial" w:cs="Arial"/>
                <w:b/>
                <w:sz w:val="20"/>
                <w:szCs w:val="20"/>
              </w:rPr>
            </w:pPr>
            <w:r w:rsidRPr="00A76D9D">
              <w:rPr>
                <w:rFonts w:ascii="Arial" w:eastAsiaTheme="majorEastAsia" w:hAnsi="Arial" w:cs="Arial"/>
                <w:b/>
                <w:sz w:val="20"/>
                <w:szCs w:val="20"/>
              </w:rPr>
              <w:t>Total Revenue 2015/16-2018/19</w:t>
            </w:r>
          </w:p>
          <w:p w14:paraId="1CEAD960" w14:textId="77777777" w:rsidR="00D6033D" w:rsidRPr="00A76D9D" w:rsidRDefault="00D6033D" w:rsidP="003F6431">
            <w:pPr>
              <w:rPr>
                <w:rFonts w:ascii="Arial" w:eastAsiaTheme="majorEastAsia" w:hAnsi="Arial" w:cs="Arial"/>
                <w:b/>
                <w:sz w:val="20"/>
                <w:szCs w:val="20"/>
              </w:rPr>
            </w:pPr>
          </w:p>
        </w:tc>
        <w:tc>
          <w:tcPr>
            <w:tcW w:w="1559" w:type="dxa"/>
            <w:shd w:val="clear" w:color="auto" w:fill="95B3D7" w:themeFill="accent1" w:themeFillTint="99"/>
          </w:tcPr>
          <w:p w14:paraId="78A1F251" w14:textId="77777777" w:rsidR="001F515C" w:rsidRPr="00A76D9D" w:rsidRDefault="001F515C" w:rsidP="003F6431">
            <w:pPr>
              <w:jc w:val="right"/>
              <w:rPr>
                <w:rFonts w:ascii="Arial" w:eastAsiaTheme="majorEastAsia" w:hAnsi="Arial" w:cs="Arial"/>
                <w:b/>
                <w:sz w:val="20"/>
                <w:szCs w:val="20"/>
              </w:rPr>
            </w:pPr>
          </w:p>
        </w:tc>
        <w:tc>
          <w:tcPr>
            <w:tcW w:w="1559" w:type="dxa"/>
            <w:shd w:val="clear" w:color="auto" w:fill="95B3D7" w:themeFill="accent1" w:themeFillTint="99"/>
          </w:tcPr>
          <w:p w14:paraId="77DA0156" w14:textId="77777777" w:rsidR="001F515C" w:rsidRPr="00A76D9D" w:rsidRDefault="001F515C" w:rsidP="003F6431">
            <w:pPr>
              <w:jc w:val="right"/>
              <w:rPr>
                <w:rFonts w:ascii="Arial" w:eastAsiaTheme="majorEastAsia" w:hAnsi="Arial" w:cs="Arial"/>
                <w:b/>
                <w:sz w:val="20"/>
                <w:szCs w:val="20"/>
              </w:rPr>
            </w:pPr>
            <w:r w:rsidRPr="00A76D9D">
              <w:rPr>
                <w:rFonts w:ascii="Arial" w:eastAsiaTheme="majorEastAsia" w:hAnsi="Arial" w:cs="Arial"/>
                <w:b/>
                <w:sz w:val="20"/>
                <w:szCs w:val="20"/>
              </w:rPr>
              <w:t>$3,339,384</w:t>
            </w:r>
          </w:p>
        </w:tc>
      </w:tr>
    </w:tbl>
    <w:p w14:paraId="171F272A" w14:textId="77777777" w:rsidR="001F515C" w:rsidRPr="00370487" w:rsidRDefault="001F515C" w:rsidP="001F515C">
      <w:pPr>
        <w:widowControl w:val="0"/>
        <w:tabs>
          <w:tab w:val="right" w:pos="8947"/>
          <w:tab w:val="right" w:pos="10909"/>
        </w:tabs>
        <w:autoSpaceDE w:val="0"/>
        <w:autoSpaceDN w:val="0"/>
        <w:adjustRightInd w:val="0"/>
        <w:spacing w:before="132"/>
        <w:rPr>
          <w:rFonts w:ascii="Arial" w:hAnsi="Arial" w:cs="Arial"/>
          <w:color w:val="404040"/>
          <w:sz w:val="30"/>
          <w:szCs w:val="30"/>
        </w:rPr>
      </w:pPr>
    </w:p>
    <w:p w14:paraId="29A51A64" w14:textId="112ED1B6" w:rsidR="004127DF" w:rsidRPr="00504163" w:rsidRDefault="0053356A" w:rsidP="00504163">
      <w:pPr>
        <w:pStyle w:val="BodyText"/>
        <w:rPr>
          <w:rFonts w:ascii="Arial" w:hAnsi="Arial" w:cs="Arial"/>
          <w:b/>
          <w:sz w:val="18"/>
          <w:szCs w:val="18"/>
        </w:rPr>
      </w:pPr>
      <w:r w:rsidRPr="00504163">
        <w:rPr>
          <w:rFonts w:ascii="Arial" w:hAnsi="Arial" w:cs="Arial"/>
          <w:b/>
          <w:sz w:val="18"/>
          <w:szCs w:val="18"/>
        </w:rPr>
        <w:t>Table 7.8</w:t>
      </w:r>
      <w:r w:rsidR="004127DF" w:rsidRPr="00504163">
        <w:rPr>
          <w:rFonts w:ascii="Arial" w:hAnsi="Arial" w:cs="Arial"/>
          <w:b/>
          <w:sz w:val="18"/>
          <w:szCs w:val="18"/>
        </w:rPr>
        <w:t>: Document Reference for Assessment Criteria 7</w:t>
      </w:r>
    </w:p>
    <w:tbl>
      <w:tblPr>
        <w:tblStyle w:val="TableGrid"/>
        <w:tblW w:w="0" w:type="auto"/>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418"/>
        <w:gridCol w:w="7087"/>
      </w:tblGrid>
      <w:tr w:rsidR="004127DF" w:rsidRPr="000B344C" w14:paraId="62CC93FE" w14:textId="77777777" w:rsidTr="007474B5">
        <w:trPr>
          <w:trHeight w:val="454"/>
        </w:trPr>
        <w:tc>
          <w:tcPr>
            <w:tcW w:w="1418" w:type="dxa"/>
            <w:shd w:val="clear" w:color="auto" w:fill="365F91" w:themeFill="accent1" w:themeFillShade="BF"/>
            <w:vAlign w:val="center"/>
          </w:tcPr>
          <w:p w14:paraId="3DF22866" w14:textId="77777777" w:rsidR="004127DF" w:rsidRPr="004127DF" w:rsidRDefault="004127DF" w:rsidP="007474B5">
            <w:pPr>
              <w:pStyle w:val="Default"/>
              <w:spacing w:before="40" w:after="40"/>
              <w:jc w:val="center"/>
              <w:rPr>
                <w:b/>
                <w:color w:val="FFFFFF" w:themeColor="background1"/>
                <w:sz w:val="20"/>
                <w:szCs w:val="20"/>
              </w:rPr>
            </w:pPr>
            <w:r w:rsidRPr="004127DF">
              <w:rPr>
                <w:b/>
                <w:color w:val="FFFFFF" w:themeColor="background1"/>
                <w:sz w:val="20"/>
                <w:szCs w:val="20"/>
              </w:rPr>
              <w:t>Attachment No.</w:t>
            </w:r>
          </w:p>
        </w:tc>
        <w:tc>
          <w:tcPr>
            <w:tcW w:w="7087" w:type="dxa"/>
            <w:shd w:val="clear" w:color="auto" w:fill="365F91" w:themeFill="accent1" w:themeFillShade="BF"/>
            <w:vAlign w:val="center"/>
          </w:tcPr>
          <w:p w14:paraId="0E04A221" w14:textId="77777777" w:rsidR="004127DF" w:rsidRPr="004127DF" w:rsidRDefault="004127DF" w:rsidP="007474B5">
            <w:pPr>
              <w:pStyle w:val="Default"/>
              <w:spacing w:before="40" w:after="40"/>
              <w:jc w:val="center"/>
              <w:rPr>
                <w:b/>
                <w:color w:val="FFFFFF" w:themeColor="background1"/>
                <w:sz w:val="20"/>
                <w:szCs w:val="20"/>
              </w:rPr>
            </w:pPr>
            <w:r w:rsidRPr="004127DF">
              <w:rPr>
                <w:b/>
                <w:color w:val="FFFFFF" w:themeColor="background1"/>
                <w:sz w:val="20"/>
                <w:szCs w:val="20"/>
              </w:rPr>
              <w:t>Document</w:t>
            </w:r>
          </w:p>
        </w:tc>
      </w:tr>
      <w:tr w:rsidR="004127DF" w:rsidRPr="000B344C" w14:paraId="3283887C" w14:textId="77777777" w:rsidTr="007474B5">
        <w:tc>
          <w:tcPr>
            <w:tcW w:w="1418" w:type="dxa"/>
            <w:shd w:val="clear" w:color="auto" w:fill="DBE5F1" w:themeFill="accent1" w:themeFillTint="33"/>
            <w:vAlign w:val="center"/>
          </w:tcPr>
          <w:p w14:paraId="5D566677" w14:textId="09029A89" w:rsidR="004127DF" w:rsidRPr="00EB0003" w:rsidRDefault="004127DF" w:rsidP="004127DF">
            <w:pPr>
              <w:pStyle w:val="Default"/>
              <w:spacing w:before="40" w:after="40"/>
              <w:jc w:val="center"/>
              <w:rPr>
                <w:rFonts w:asciiTheme="minorHAnsi" w:hAnsiTheme="minorHAnsi"/>
                <w:sz w:val="20"/>
                <w:szCs w:val="20"/>
              </w:rPr>
            </w:pPr>
            <w:r w:rsidRPr="00EB0003">
              <w:rPr>
                <w:rFonts w:asciiTheme="minorHAnsi" w:hAnsiTheme="minorHAnsi"/>
                <w:sz w:val="20"/>
                <w:szCs w:val="20"/>
              </w:rPr>
              <w:t>13</w:t>
            </w:r>
          </w:p>
        </w:tc>
        <w:tc>
          <w:tcPr>
            <w:tcW w:w="7087" w:type="dxa"/>
            <w:shd w:val="clear" w:color="auto" w:fill="DBE5F1" w:themeFill="accent1" w:themeFillTint="33"/>
            <w:vAlign w:val="center"/>
          </w:tcPr>
          <w:p w14:paraId="56A5D259" w14:textId="1E4D22E8" w:rsidR="004127DF" w:rsidRPr="00EB0003" w:rsidRDefault="004127DF" w:rsidP="007474B5">
            <w:pPr>
              <w:pStyle w:val="Default"/>
              <w:spacing w:before="40" w:after="40"/>
              <w:rPr>
                <w:rFonts w:asciiTheme="minorHAnsi" w:hAnsiTheme="minorHAnsi"/>
                <w:sz w:val="20"/>
                <w:szCs w:val="20"/>
              </w:rPr>
            </w:pPr>
            <w:r w:rsidRPr="00EB0003">
              <w:rPr>
                <w:rFonts w:asciiTheme="minorHAnsi" w:hAnsiTheme="minorHAnsi"/>
                <w:sz w:val="20"/>
                <w:szCs w:val="20"/>
              </w:rPr>
              <w:t>Resourcing Strategy 2014-202</w:t>
            </w:r>
            <w:r w:rsidR="00EB0003" w:rsidRPr="00EB0003">
              <w:rPr>
                <w:rFonts w:asciiTheme="minorHAnsi" w:hAnsiTheme="minorHAnsi"/>
                <w:sz w:val="20"/>
                <w:szCs w:val="20"/>
              </w:rPr>
              <w:t>4  (Part 5 Workforce Management)</w:t>
            </w:r>
          </w:p>
        </w:tc>
      </w:tr>
      <w:tr w:rsidR="004127DF" w:rsidRPr="000B344C" w14:paraId="4264D530" w14:textId="77777777" w:rsidTr="007474B5">
        <w:tc>
          <w:tcPr>
            <w:tcW w:w="1418" w:type="dxa"/>
            <w:shd w:val="clear" w:color="auto" w:fill="DBE5F1" w:themeFill="accent1" w:themeFillTint="33"/>
            <w:vAlign w:val="center"/>
          </w:tcPr>
          <w:p w14:paraId="7B17C2F4" w14:textId="47BC11AC" w:rsidR="004127DF" w:rsidRPr="00EB0003" w:rsidRDefault="004127DF" w:rsidP="004127DF">
            <w:pPr>
              <w:pStyle w:val="Default"/>
              <w:spacing w:before="40" w:after="40"/>
              <w:jc w:val="center"/>
              <w:rPr>
                <w:rFonts w:asciiTheme="minorHAnsi" w:hAnsiTheme="minorHAnsi"/>
                <w:sz w:val="20"/>
                <w:szCs w:val="20"/>
              </w:rPr>
            </w:pPr>
            <w:r w:rsidRPr="00EB0003">
              <w:rPr>
                <w:rFonts w:asciiTheme="minorHAnsi" w:hAnsiTheme="minorHAnsi"/>
                <w:sz w:val="20"/>
                <w:szCs w:val="20"/>
              </w:rPr>
              <w:t>14</w:t>
            </w:r>
          </w:p>
        </w:tc>
        <w:tc>
          <w:tcPr>
            <w:tcW w:w="7087" w:type="dxa"/>
            <w:shd w:val="clear" w:color="auto" w:fill="DBE5F1" w:themeFill="accent1" w:themeFillTint="33"/>
            <w:vAlign w:val="center"/>
          </w:tcPr>
          <w:p w14:paraId="599EF689" w14:textId="13BCBC09" w:rsidR="004127DF" w:rsidRPr="00EB0003" w:rsidRDefault="004127DF" w:rsidP="007474B5">
            <w:pPr>
              <w:pStyle w:val="Default"/>
              <w:spacing w:before="40" w:after="40"/>
              <w:rPr>
                <w:rFonts w:asciiTheme="minorHAnsi" w:hAnsiTheme="minorHAnsi"/>
                <w:sz w:val="20"/>
                <w:szCs w:val="20"/>
              </w:rPr>
            </w:pPr>
            <w:r w:rsidRPr="00EB0003">
              <w:rPr>
                <w:rFonts w:asciiTheme="minorHAnsi" w:hAnsiTheme="minorHAnsi"/>
                <w:sz w:val="20"/>
                <w:szCs w:val="20"/>
              </w:rPr>
              <w:t>BMCC Service Framework: Guidelines for Achieving Best Value Services that Meet Community Needs</w:t>
            </w:r>
          </w:p>
        </w:tc>
      </w:tr>
    </w:tbl>
    <w:p w14:paraId="341ECB54" w14:textId="77777777" w:rsidR="004127DF" w:rsidRPr="000B344C" w:rsidRDefault="004127DF" w:rsidP="004127DF">
      <w:pPr>
        <w:rPr>
          <w:rFonts w:ascii="Arial" w:hAnsi="Arial" w:cs="Arial"/>
          <w:sz w:val="20"/>
          <w:szCs w:val="20"/>
        </w:rPr>
      </w:pPr>
    </w:p>
    <w:p w14:paraId="1C6B2D7C" w14:textId="77777777" w:rsidR="004127DF" w:rsidRPr="005B4428" w:rsidRDefault="004127DF" w:rsidP="004127DF">
      <w:pPr>
        <w:rPr>
          <w:rFonts w:ascii="Arial" w:hAnsi="Arial" w:cs="Arial"/>
          <w:sz w:val="20"/>
          <w:szCs w:val="20"/>
        </w:rPr>
      </w:pPr>
    </w:p>
    <w:p w14:paraId="56BCAAF6" w14:textId="77777777" w:rsidR="004127DF" w:rsidRDefault="004127DF" w:rsidP="004127DF">
      <w:pPr>
        <w:rPr>
          <w:rFonts w:ascii="Arial" w:hAnsi="Arial" w:cs="Arial"/>
          <w:b/>
          <w:bCs/>
          <w:color w:val="00408A"/>
          <w:kern w:val="32"/>
          <w:sz w:val="30"/>
          <w:szCs w:val="30"/>
        </w:rPr>
      </w:pPr>
      <w:r>
        <w:br w:type="page"/>
      </w:r>
    </w:p>
    <w:p w14:paraId="18D70536" w14:textId="77777777" w:rsidR="00D60EA5" w:rsidRDefault="007304A8" w:rsidP="006607B9">
      <w:pPr>
        <w:pStyle w:val="Heading1"/>
      </w:pPr>
      <w:bookmarkStart w:id="111" w:name="_Toc412798935"/>
      <w:r>
        <w:t>List of attachments</w:t>
      </w:r>
      <w:bookmarkEnd w:id="111"/>
    </w:p>
    <w:p w14:paraId="18D70537" w14:textId="79DC490E" w:rsidR="006C0DA7" w:rsidRPr="00DD2B86" w:rsidRDefault="006C0DA7" w:rsidP="005C4769">
      <w:pPr>
        <w:pStyle w:val="BodyText"/>
        <w:rPr>
          <w:color w:val="548DD4" w:themeColor="text2" w:themeTint="99"/>
          <w:sz w:val="16"/>
          <w:szCs w:val="16"/>
        </w:rPr>
      </w:pPr>
    </w:p>
    <w:tbl>
      <w:tblPr>
        <w:tblW w:w="9748" w:type="dxa"/>
        <w:tblBorders>
          <w:top w:val="single" w:sz="8" w:space="0" w:color="7F7F7F" w:themeColor="text1" w:themeTint="80"/>
          <w:bottom w:val="single" w:sz="8" w:space="0" w:color="7F7F7F" w:themeColor="text1" w:themeTint="80"/>
        </w:tblBorders>
        <w:tblLook w:val="01E0" w:firstRow="1" w:lastRow="1" w:firstColumn="1" w:lastColumn="1" w:noHBand="0" w:noVBand="0"/>
      </w:tblPr>
      <w:tblGrid>
        <w:gridCol w:w="7196"/>
        <w:gridCol w:w="1134"/>
        <w:gridCol w:w="1418"/>
      </w:tblGrid>
      <w:tr w:rsidR="00DD2B86" w:rsidRPr="00DD2B86" w14:paraId="6505977F" w14:textId="77777777" w:rsidTr="00702C53">
        <w:tc>
          <w:tcPr>
            <w:tcW w:w="7196" w:type="dxa"/>
            <w:tcBorders>
              <w:top w:val="single" w:sz="8" w:space="0" w:color="7F7F7F" w:themeColor="text1" w:themeTint="80"/>
              <w:bottom w:val="single" w:sz="4" w:space="0" w:color="7F7F7F" w:themeColor="text1" w:themeTint="80"/>
            </w:tcBorders>
            <w:vAlign w:val="center"/>
          </w:tcPr>
          <w:p w14:paraId="7770D1C2" w14:textId="77777777" w:rsidR="00DD2B86" w:rsidRPr="00DD2B86" w:rsidRDefault="00DD2B86" w:rsidP="00DD2B86">
            <w:pPr>
              <w:keepLines/>
              <w:spacing w:before="80" w:after="80" w:line="210" w:lineRule="atLeast"/>
              <w:rPr>
                <w:rFonts w:ascii="Arial" w:hAnsi="Arial"/>
                <w:b/>
                <w:sz w:val="24"/>
                <w:lang w:eastAsia="en-US"/>
              </w:rPr>
            </w:pPr>
            <w:r w:rsidRPr="00DD2B86">
              <w:rPr>
                <w:rFonts w:ascii="Arial" w:hAnsi="Arial"/>
                <w:b/>
                <w:sz w:val="24"/>
                <w:lang w:eastAsia="en-US"/>
              </w:rPr>
              <w:t>Items</w:t>
            </w:r>
          </w:p>
        </w:tc>
        <w:tc>
          <w:tcPr>
            <w:tcW w:w="1134" w:type="dxa"/>
            <w:tcBorders>
              <w:top w:val="single" w:sz="8" w:space="0" w:color="7F7F7F" w:themeColor="text1" w:themeTint="80"/>
              <w:bottom w:val="single" w:sz="4" w:space="0" w:color="7F7F7F" w:themeColor="text1" w:themeTint="80"/>
            </w:tcBorders>
            <w:vAlign w:val="center"/>
          </w:tcPr>
          <w:p w14:paraId="3E2BED2C" w14:textId="77777777" w:rsidR="00DD2B86" w:rsidRPr="00DD2B86" w:rsidRDefault="00DD2B86" w:rsidP="00DD2B86">
            <w:pPr>
              <w:keepLines/>
              <w:spacing w:before="80" w:after="80" w:line="210" w:lineRule="atLeast"/>
              <w:jc w:val="right"/>
              <w:rPr>
                <w:rFonts w:ascii="Arial" w:hAnsi="Arial"/>
                <w:b/>
                <w:sz w:val="24"/>
                <w:lang w:eastAsia="en-US"/>
              </w:rPr>
            </w:pPr>
            <w:r w:rsidRPr="00DD2B86">
              <w:rPr>
                <w:rFonts w:ascii="Arial" w:hAnsi="Arial"/>
                <w:b/>
                <w:sz w:val="24"/>
                <w:lang w:eastAsia="en-US"/>
              </w:rPr>
              <w:t>Page #s</w:t>
            </w:r>
          </w:p>
        </w:tc>
        <w:tc>
          <w:tcPr>
            <w:tcW w:w="1418" w:type="dxa"/>
            <w:tcBorders>
              <w:top w:val="single" w:sz="8" w:space="0" w:color="7F7F7F" w:themeColor="text1" w:themeTint="80"/>
              <w:bottom w:val="single" w:sz="4" w:space="0" w:color="7F7F7F" w:themeColor="text1" w:themeTint="80"/>
            </w:tcBorders>
            <w:vAlign w:val="center"/>
          </w:tcPr>
          <w:p w14:paraId="363687D4" w14:textId="77777777" w:rsidR="00DD2B86" w:rsidRPr="00DD2B86" w:rsidRDefault="00DD2B86" w:rsidP="00DD2B86">
            <w:pPr>
              <w:keepLines/>
              <w:spacing w:before="80" w:after="80" w:line="210" w:lineRule="atLeast"/>
              <w:rPr>
                <w:rFonts w:ascii="Arial" w:hAnsi="Arial"/>
                <w:b/>
                <w:sz w:val="24"/>
                <w:lang w:eastAsia="en-US"/>
              </w:rPr>
            </w:pPr>
            <w:r w:rsidRPr="00DD2B86">
              <w:rPr>
                <w:rFonts w:ascii="Arial" w:hAnsi="Arial"/>
                <w:b/>
                <w:sz w:val="24"/>
                <w:lang w:eastAsia="en-US"/>
              </w:rPr>
              <w:t>Included?</w:t>
            </w:r>
          </w:p>
        </w:tc>
      </w:tr>
      <w:tr w:rsidR="00DD2B86" w:rsidRPr="00DD2B86" w14:paraId="3A3CFA16" w14:textId="77777777" w:rsidTr="00702C53">
        <w:tc>
          <w:tcPr>
            <w:tcW w:w="7196" w:type="dxa"/>
            <w:tcBorders>
              <w:top w:val="single" w:sz="4" w:space="0" w:color="7F7F7F" w:themeColor="text1" w:themeTint="80"/>
            </w:tcBorders>
            <w:vAlign w:val="center"/>
          </w:tcPr>
          <w:p w14:paraId="2291C7EB" w14:textId="77777777" w:rsidR="00DD2B86" w:rsidRPr="00DD2B86" w:rsidRDefault="00DD2B86" w:rsidP="00DD2B86">
            <w:pPr>
              <w:keepLines/>
              <w:spacing w:afterLines="60" w:after="144" w:line="210" w:lineRule="atLeast"/>
              <w:rPr>
                <w:rFonts w:ascii="Arial" w:hAnsi="Arial"/>
                <w:b/>
                <w:sz w:val="24"/>
                <w:lang w:eastAsia="en-US"/>
              </w:rPr>
            </w:pPr>
            <w:r w:rsidRPr="00DD2B86">
              <w:rPr>
                <w:rFonts w:ascii="Arial" w:hAnsi="Arial"/>
                <w:b/>
                <w:sz w:val="24"/>
                <w:lang w:eastAsia="en-US"/>
              </w:rPr>
              <w:t>Mandatory forms and Attachments</w:t>
            </w:r>
          </w:p>
        </w:tc>
        <w:tc>
          <w:tcPr>
            <w:tcW w:w="1134" w:type="dxa"/>
            <w:tcBorders>
              <w:top w:val="single" w:sz="4" w:space="0" w:color="7F7F7F" w:themeColor="text1" w:themeTint="80"/>
            </w:tcBorders>
            <w:vAlign w:val="center"/>
          </w:tcPr>
          <w:p w14:paraId="4DAF419C" w14:textId="77777777" w:rsidR="00DD2B86" w:rsidRPr="00DD2B86" w:rsidRDefault="00DD2B86" w:rsidP="00DD2B86">
            <w:pPr>
              <w:keepLines/>
              <w:spacing w:afterLines="60" w:after="144" w:line="210" w:lineRule="atLeast"/>
              <w:jc w:val="right"/>
              <w:rPr>
                <w:rFonts w:ascii="Arial" w:hAnsi="Arial"/>
                <w:sz w:val="24"/>
                <w:lang w:eastAsia="en-US"/>
              </w:rPr>
            </w:pPr>
          </w:p>
        </w:tc>
        <w:tc>
          <w:tcPr>
            <w:tcW w:w="1418" w:type="dxa"/>
            <w:tcBorders>
              <w:top w:val="single" w:sz="4" w:space="0" w:color="7F7F7F" w:themeColor="text1" w:themeTint="80"/>
            </w:tcBorders>
            <w:vAlign w:val="center"/>
          </w:tcPr>
          <w:p w14:paraId="5774E333" w14:textId="77777777" w:rsidR="00DD2B86" w:rsidRPr="00DD2B86" w:rsidRDefault="00DD2B86" w:rsidP="00DD2B86">
            <w:pPr>
              <w:keepLines/>
              <w:spacing w:afterLines="60" w:after="144" w:line="210" w:lineRule="atLeast"/>
              <w:jc w:val="center"/>
              <w:rPr>
                <w:rFonts w:ascii="Arial" w:hAnsi="Arial"/>
                <w:sz w:val="24"/>
                <w:lang w:eastAsia="en-US"/>
              </w:rPr>
            </w:pPr>
          </w:p>
        </w:tc>
      </w:tr>
      <w:tr w:rsidR="00DD2B86" w:rsidRPr="00DD2B86" w14:paraId="7F2672AF" w14:textId="77777777" w:rsidTr="00702C53">
        <w:tc>
          <w:tcPr>
            <w:tcW w:w="7196" w:type="dxa"/>
            <w:vAlign w:val="center"/>
          </w:tcPr>
          <w:p w14:paraId="505300AC" w14:textId="77777777" w:rsidR="00DD2B86" w:rsidRPr="00DD2B86" w:rsidRDefault="00DD2B86" w:rsidP="00DD2B86">
            <w:pPr>
              <w:keepLines/>
              <w:spacing w:afterLines="60" w:after="144" w:line="210" w:lineRule="atLeast"/>
              <w:rPr>
                <w:rFonts w:ascii="Arial" w:hAnsi="Arial" w:cs="Arial"/>
                <w:szCs w:val="22"/>
                <w:lang w:eastAsia="en-US"/>
              </w:rPr>
            </w:pPr>
            <w:r w:rsidRPr="00DD2B86">
              <w:rPr>
                <w:rFonts w:ascii="Arial" w:hAnsi="Arial" w:cs="Arial"/>
                <w:b/>
                <w:szCs w:val="22"/>
                <w:lang w:eastAsia="en-US"/>
              </w:rPr>
              <w:t>Part A</w:t>
            </w:r>
            <w:r w:rsidRPr="00DD2B86">
              <w:rPr>
                <w:rFonts w:ascii="Arial" w:hAnsi="Arial" w:cs="Arial"/>
                <w:szCs w:val="22"/>
                <w:lang w:eastAsia="en-US"/>
              </w:rPr>
              <w:t xml:space="preserve"> Section 508A and Section 508(2) Application form (Excel spreadsheet) </w:t>
            </w:r>
          </w:p>
        </w:tc>
        <w:tc>
          <w:tcPr>
            <w:tcW w:w="1134" w:type="dxa"/>
            <w:vAlign w:val="center"/>
          </w:tcPr>
          <w:p w14:paraId="1B4DA8CB" w14:textId="77777777" w:rsidR="00DD2B86" w:rsidRPr="00DD2B86" w:rsidRDefault="00DD2B86" w:rsidP="00DD2B86">
            <w:pPr>
              <w:keepLines/>
              <w:spacing w:afterLines="60" w:after="144" w:line="210" w:lineRule="atLeast"/>
              <w:jc w:val="right"/>
              <w:rPr>
                <w:rFonts w:ascii="Arial" w:hAnsi="Arial" w:cs="Arial"/>
                <w:szCs w:val="22"/>
                <w:lang w:eastAsia="en-US"/>
              </w:rPr>
            </w:pPr>
          </w:p>
        </w:tc>
        <w:tc>
          <w:tcPr>
            <w:tcW w:w="1418" w:type="dxa"/>
            <w:vAlign w:val="center"/>
          </w:tcPr>
          <w:p w14:paraId="0D513337" w14:textId="77777777" w:rsidR="00DD2B86" w:rsidRPr="00DD2B86" w:rsidRDefault="00DD2B86" w:rsidP="00DD2B86">
            <w:pPr>
              <w:keepLines/>
              <w:spacing w:afterLines="60" w:after="144" w:line="210" w:lineRule="atLeast"/>
              <w:jc w:val="center"/>
              <w:rPr>
                <w:rFonts w:ascii="Arial" w:hAnsi="Arial" w:cs="Arial"/>
                <w:szCs w:val="22"/>
                <w:lang w:eastAsia="en-US"/>
              </w:rPr>
            </w:pPr>
            <w:r w:rsidRPr="00DD2B86">
              <w:rPr>
                <w:rFonts w:ascii="Arial" w:hAnsi="Arial" w:cs="Arial"/>
                <w:szCs w:val="22"/>
                <w:lang w:eastAsia="en-US"/>
              </w:rPr>
              <w:sym w:font="Wingdings" w:char="F0FC"/>
            </w:r>
          </w:p>
        </w:tc>
      </w:tr>
      <w:tr w:rsidR="00DD2B86" w:rsidRPr="00DD2B86" w14:paraId="1A396733" w14:textId="77777777" w:rsidTr="00702C53">
        <w:tc>
          <w:tcPr>
            <w:tcW w:w="7196" w:type="dxa"/>
            <w:vAlign w:val="center"/>
          </w:tcPr>
          <w:p w14:paraId="010A9C23" w14:textId="77777777" w:rsidR="00DD2B86" w:rsidRPr="00DD2B86" w:rsidRDefault="00DD2B86" w:rsidP="00DD2B86">
            <w:pPr>
              <w:keepLines/>
              <w:spacing w:afterLines="60" w:after="144" w:line="210" w:lineRule="atLeast"/>
              <w:rPr>
                <w:rFonts w:ascii="Arial" w:hAnsi="Arial" w:cs="Arial"/>
                <w:szCs w:val="22"/>
                <w:lang w:eastAsia="en-US"/>
              </w:rPr>
            </w:pPr>
            <w:r w:rsidRPr="00DD2B86">
              <w:rPr>
                <w:rFonts w:ascii="Arial" w:hAnsi="Arial" w:cs="Arial"/>
                <w:b/>
                <w:szCs w:val="22"/>
                <w:lang w:eastAsia="en-US"/>
              </w:rPr>
              <w:t>Part B</w:t>
            </w:r>
            <w:r w:rsidRPr="00DD2B86">
              <w:rPr>
                <w:rFonts w:ascii="Arial" w:hAnsi="Arial" w:cs="Arial"/>
                <w:szCs w:val="22"/>
                <w:lang w:eastAsia="en-US"/>
              </w:rPr>
              <w:t xml:space="preserve"> Application form (Word document) – this document</w:t>
            </w:r>
          </w:p>
        </w:tc>
        <w:tc>
          <w:tcPr>
            <w:tcW w:w="1134" w:type="dxa"/>
          </w:tcPr>
          <w:p w14:paraId="0F14A83C" w14:textId="77777777" w:rsidR="00DD2B86" w:rsidRPr="00DD2B86" w:rsidRDefault="00DD2B86" w:rsidP="00DD2B86">
            <w:pPr>
              <w:keepLines/>
              <w:spacing w:afterLines="60" w:after="144" w:line="210" w:lineRule="atLeast"/>
              <w:jc w:val="right"/>
              <w:rPr>
                <w:rFonts w:ascii="Arial" w:hAnsi="Arial" w:cs="Arial"/>
                <w:szCs w:val="22"/>
                <w:lang w:eastAsia="en-US"/>
              </w:rPr>
            </w:pPr>
          </w:p>
        </w:tc>
        <w:tc>
          <w:tcPr>
            <w:tcW w:w="1418" w:type="dxa"/>
          </w:tcPr>
          <w:p w14:paraId="2686BE25" w14:textId="77777777" w:rsidR="00DD2B86" w:rsidRPr="00DD2B86" w:rsidRDefault="00DD2B86" w:rsidP="00DD2B86">
            <w:pPr>
              <w:keepLines/>
              <w:spacing w:afterLines="60" w:after="144" w:line="210" w:lineRule="atLeast"/>
              <w:jc w:val="center"/>
              <w:rPr>
                <w:rFonts w:ascii="Arial" w:hAnsi="Arial" w:cs="Arial"/>
                <w:szCs w:val="22"/>
                <w:lang w:eastAsia="en-US"/>
              </w:rPr>
            </w:pPr>
            <w:r w:rsidRPr="00DD2B86">
              <w:rPr>
                <w:rFonts w:ascii="Arial" w:hAnsi="Arial" w:cs="Arial"/>
                <w:szCs w:val="22"/>
                <w:lang w:eastAsia="en-US"/>
              </w:rPr>
              <w:sym w:font="Wingdings" w:char="F0FC"/>
            </w:r>
          </w:p>
        </w:tc>
      </w:tr>
      <w:tr w:rsidR="00DD2B86" w:rsidRPr="00DD2B86" w14:paraId="072102E9" w14:textId="77777777" w:rsidTr="00702C53">
        <w:tc>
          <w:tcPr>
            <w:tcW w:w="7196" w:type="dxa"/>
            <w:vAlign w:val="center"/>
          </w:tcPr>
          <w:p w14:paraId="2738D1E1" w14:textId="77777777" w:rsidR="00DD2B86" w:rsidRPr="00DD2B86" w:rsidRDefault="00DD2B86" w:rsidP="00DD2B86">
            <w:pPr>
              <w:keepLines/>
              <w:spacing w:afterLines="60" w:after="144" w:line="210" w:lineRule="atLeast"/>
              <w:rPr>
                <w:rFonts w:ascii="Arial" w:hAnsi="Arial" w:cs="Arial"/>
                <w:szCs w:val="22"/>
                <w:lang w:eastAsia="en-US"/>
              </w:rPr>
            </w:pPr>
            <w:r w:rsidRPr="00DD2B86">
              <w:rPr>
                <w:rFonts w:ascii="Arial" w:hAnsi="Arial" w:cs="Arial"/>
                <w:b/>
                <w:szCs w:val="22"/>
                <w:lang w:eastAsia="en-US"/>
              </w:rPr>
              <w:t>Attachment 1</w:t>
            </w:r>
            <w:r w:rsidRPr="00DD2B86">
              <w:rPr>
                <w:rFonts w:ascii="Arial" w:hAnsi="Arial" w:cs="Arial"/>
                <w:szCs w:val="22"/>
                <w:lang w:eastAsia="en-US"/>
              </w:rPr>
              <w:t>: Relevant extracts from the Community Strategic Plan</w:t>
            </w:r>
          </w:p>
        </w:tc>
        <w:tc>
          <w:tcPr>
            <w:tcW w:w="1134" w:type="dxa"/>
          </w:tcPr>
          <w:p w14:paraId="49D8655D" w14:textId="77777777" w:rsidR="00DD2B86" w:rsidRPr="00DD2B86" w:rsidRDefault="00DD2B86" w:rsidP="00DD2B86">
            <w:pPr>
              <w:keepLines/>
              <w:spacing w:afterLines="60" w:after="144" w:line="210" w:lineRule="atLeast"/>
              <w:jc w:val="right"/>
              <w:rPr>
                <w:rFonts w:ascii="Arial" w:hAnsi="Arial" w:cs="Arial"/>
                <w:szCs w:val="22"/>
                <w:lang w:eastAsia="en-US"/>
              </w:rPr>
            </w:pPr>
            <w:r w:rsidRPr="00DD2B86">
              <w:rPr>
                <w:rFonts w:ascii="Arial" w:hAnsi="Arial" w:cs="Arial"/>
                <w:szCs w:val="22"/>
                <w:lang w:eastAsia="en-US"/>
              </w:rPr>
              <w:t>1-48</w:t>
            </w:r>
          </w:p>
        </w:tc>
        <w:tc>
          <w:tcPr>
            <w:tcW w:w="1418" w:type="dxa"/>
          </w:tcPr>
          <w:p w14:paraId="0DB580F6" w14:textId="77777777" w:rsidR="00DD2B86" w:rsidRPr="00DD2B86" w:rsidRDefault="00DD2B86" w:rsidP="00DD2B86">
            <w:pPr>
              <w:keepLines/>
              <w:spacing w:afterLines="60" w:after="144" w:line="210" w:lineRule="atLeast"/>
              <w:jc w:val="center"/>
              <w:rPr>
                <w:rFonts w:ascii="Arial" w:hAnsi="Arial" w:cs="Arial"/>
                <w:szCs w:val="22"/>
                <w:lang w:eastAsia="en-US"/>
              </w:rPr>
            </w:pPr>
            <w:r w:rsidRPr="00DD2B86">
              <w:rPr>
                <w:rFonts w:ascii="Arial" w:hAnsi="Arial" w:cs="Arial"/>
                <w:szCs w:val="22"/>
                <w:lang w:eastAsia="en-US"/>
              </w:rPr>
              <w:sym w:font="Wingdings" w:char="F0FC"/>
            </w:r>
          </w:p>
        </w:tc>
      </w:tr>
      <w:tr w:rsidR="00DD2B86" w:rsidRPr="00DD2B86" w14:paraId="363D7C69" w14:textId="77777777" w:rsidTr="00702C53">
        <w:tc>
          <w:tcPr>
            <w:tcW w:w="7196" w:type="dxa"/>
            <w:vAlign w:val="center"/>
          </w:tcPr>
          <w:p w14:paraId="18795833" w14:textId="77777777" w:rsidR="00DD2B86" w:rsidRPr="00DD2B86" w:rsidRDefault="00DD2B86" w:rsidP="00DD2B86">
            <w:pPr>
              <w:keepLines/>
              <w:spacing w:afterLines="60" w:after="144" w:line="210" w:lineRule="atLeast"/>
              <w:rPr>
                <w:rFonts w:ascii="Arial" w:hAnsi="Arial" w:cs="Arial"/>
                <w:szCs w:val="22"/>
                <w:lang w:eastAsia="en-US"/>
              </w:rPr>
            </w:pPr>
            <w:r w:rsidRPr="00DD2B86">
              <w:rPr>
                <w:rFonts w:ascii="Arial" w:hAnsi="Arial" w:cs="Arial"/>
                <w:b/>
                <w:szCs w:val="22"/>
                <w:lang w:eastAsia="en-US"/>
              </w:rPr>
              <w:t>Attachment 2</w:t>
            </w:r>
            <w:r w:rsidRPr="00DD2B86">
              <w:rPr>
                <w:rFonts w:ascii="Arial" w:hAnsi="Arial" w:cs="Arial"/>
                <w:szCs w:val="22"/>
                <w:lang w:eastAsia="en-US"/>
              </w:rPr>
              <w:t>: Supplementary Delivery Program</w:t>
            </w:r>
          </w:p>
        </w:tc>
        <w:tc>
          <w:tcPr>
            <w:tcW w:w="1134" w:type="dxa"/>
          </w:tcPr>
          <w:p w14:paraId="02394ECF" w14:textId="77777777" w:rsidR="00DD2B86" w:rsidRPr="00DD2B86" w:rsidRDefault="00DD2B86" w:rsidP="00DD2B86">
            <w:pPr>
              <w:keepLines/>
              <w:spacing w:afterLines="60" w:after="144" w:line="210" w:lineRule="atLeast"/>
              <w:jc w:val="right"/>
              <w:rPr>
                <w:rFonts w:ascii="Arial" w:hAnsi="Arial" w:cs="Arial"/>
                <w:szCs w:val="22"/>
                <w:lang w:eastAsia="en-US"/>
              </w:rPr>
            </w:pPr>
            <w:r w:rsidRPr="00DD2B86">
              <w:rPr>
                <w:rFonts w:ascii="Arial" w:hAnsi="Arial" w:cs="Arial"/>
                <w:szCs w:val="22"/>
                <w:lang w:eastAsia="en-US"/>
              </w:rPr>
              <w:t>1-64</w:t>
            </w:r>
          </w:p>
        </w:tc>
        <w:tc>
          <w:tcPr>
            <w:tcW w:w="1418" w:type="dxa"/>
          </w:tcPr>
          <w:p w14:paraId="6B910A1A" w14:textId="77777777" w:rsidR="00DD2B86" w:rsidRPr="00DD2B86" w:rsidRDefault="00DD2B86" w:rsidP="00DD2B86">
            <w:pPr>
              <w:keepLines/>
              <w:spacing w:afterLines="60" w:after="144" w:line="210" w:lineRule="atLeast"/>
              <w:jc w:val="center"/>
              <w:rPr>
                <w:rFonts w:ascii="Arial" w:hAnsi="Arial" w:cs="Arial"/>
                <w:szCs w:val="22"/>
                <w:lang w:eastAsia="en-US"/>
              </w:rPr>
            </w:pPr>
            <w:r w:rsidRPr="00DD2B86">
              <w:rPr>
                <w:rFonts w:ascii="Arial" w:hAnsi="Arial" w:cs="Arial"/>
                <w:szCs w:val="22"/>
                <w:lang w:eastAsia="en-US"/>
              </w:rPr>
              <w:sym w:font="Wingdings" w:char="F0FC"/>
            </w:r>
          </w:p>
        </w:tc>
      </w:tr>
      <w:tr w:rsidR="00DD2B86" w:rsidRPr="00DD2B86" w14:paraId="1429D420" w14:textId="77777777" w:rsidTr="00702C53">
        <w:tc>
          <w:tcPr>
            <w:tcW w:w="7196" w:type="dxa"/>
            <w:vAlign w:val="center"/>
          </w:tcPr>
          <w:p w14:paraId="6FDAA760" w14:textId="77777777" w:rsidR="00DD2B86" w:rsidRPr="00DD2B86" w:rsidRDefault="00DD2B86" w:rsidP="00DD2B86">
            <w:pPr>
              <w:keepLines/>
              <w:spacing w:afterLines="60" w:after="144" w:line="210" w:lineRule="atLeast"/>
              <w:rPr>
                <w:rFonts w:ascii="Arial" w:hAnsi="Arial" w:cs="Arial"/>
                <w:szCs w:val="22"/>
                <w:lang w:eastAsia="en-US"/>
              </w:rPr>
            </w:pPr>
            <w:r w:rsidRPr="00DD2B86">
              <w:rPr>
                <w:rFonts w:ascii="Arial" w:hAnsi="Arial" w:cs="Arial"/>
                <w:b/>
                <w:szCs w:val="22"/>
                <w:lang w:eastAsia="en-US"/>
              </w:rPr>
              <w:t>Attachment 3</w:t>
            </w:r>
            <w:r w:rsidRPr="00DD2B86">
              <w:rPr>
                <w:rFonts w:ascii="Arial" w:hAnsi="Arial" w:cs="Arial"/>
                <w:szCs w:val="22"/>
                <w:lang w:eastAsia="en-US"/>
              </w:rPr>
              <w:t xml:space="preserve">: Long Term Financial Plan 2014 – 2024 with projected [LTFP] (General Fund) financial statements (Income, Cash Flow and Financial Position in Excel format)  </w:t>
            </w:r>
          </w:p>
        </w:tc>
        <w:tc>
          <w:tcPr>
            <w:tcW w:w="1134" w:type="dxa"/>
          </w:tcPr>
          <w:p w14:paraId="325408E9" w14:textId="77777777" w:rsidR="00DD2B86" w:rsidRPr="00DD2B86" w:rsidRDefault="00DD2B86" w:rsidP="00DD2B86">
            <w:pPr>
              <w:keepLines/>
              <w:spacing w:afterLines="60" w:after="144" w:line="210" w:lineRule="atLeast"/>
              <w:jc w:val="right"/>
              <w:rPr>
                <w:rFonts w:ascii="Arial" w:hAnsi="Arial" w:cs="Arial"/>
                <w:szCs w:val="22"/>
                <w:lang w:eastAsia="en-US"/>
              </w:rPr>
            </w:pPr>
            <w:r w:rsidRPr="00DD2B86">
              <w:rPr>
                <w:rFonts w:ascii="Arial" w:hAnsi="Arial" w:cs="Arial"/>
                <w:szCs w:val="22"/>
                <w:lang w:eastAsia="en-US"/>
              </w:rPr>
              <w:t>73-143</w:t>
            </w:r>
          </w:p>
        </w:tc>
        <w:tc>
          <w:tcPr>
            <w:tcW w:w="1418" w:type="dxa"/>
          </w:tcPr>
          <w:p w14:paraId="5CE68FDC" w14:textId="77777777" w:rsidR="00DD2B86" w:rsidRPr="00DD2B86" w:rsidRDefault="00DD2B86" w:rsidP="00DD2B86">
            <w:pPr>
              <w:keepLines/>
              <w:spacing w:afterLines="60" w:after="144" w:line="210" w:lineRule="atLeast"/>
              <w:jc w:val="center"/>
              <w:rPr>
                <w:rFonts w:ascii="Arial" w:hAnsi="Arial" w:cs="Arial"/>
                <w:szCs w:val="22"/>
                <w:lang w:eastAsia="en-US"/>
              </w:rPr>
            </w:pPr>
            <w:r w:rsidRPr="00DD2B86">
              <w:rPr>
                <w:rFonts w:ascii="Arial" w:hAnsi="Arial" w:cs="Arial"/>
                <w:szCs w:val="22"/>
                <w:lang w:eastAsia="en-US"/>
              </w:rPr>
              <w:sym w:font="Wingdings" w:char="F0FC"/>
            </w:r>
          </w:p>
        </w:tc>
      </w:tr>
      <w:tr w:rsidR="00DD2B86" w:rsidRPr="00DD2B86" w14:paraId="7544DD9D" w14:textId="77777777" w:rsidTr="00702C53">
        <w:tc>
          <w:tcPr>
            <w:tcW w:w="7196" w:type="dxa"/>
            <w:vAlign w:val="center"/>
          </w:tcPr>
          <w:p w14:paraId="23BB8400" w14:textId="77777777" w:rsidR="00DD2B86" w:rsidRPr="00DD2B86" w:rsidRDefault="00DD2B86" w:rsidP="00DD2B86">
            <w:pPr>
              <w:keepLines/>
              <w:spacing w:afterLines="60" w:after="144" w:line="210" w:lineRule="atLeast"/>
              <w:rPr>
                <w:rFonts w:ascii="Arial" w:hAnsi="Arial" w:cs="Arial"/>
                <w:b/>
                <w:szCs w:val="22"/>
                <w:lang w:eastAsia="en-US"/>
              </w:rPr>
            </w:pPr>
            <w:r w:rsidRPr="00DD2B86">
              <w:rPr>
                <w:rFonts w:ascii="Arial" w:hAnsi="Arial" w:cs="Arial"/>
                <w:b/>
                <w:szCs w:val="22"/>
                <w:lang w:eastAsia="en-US"/>
              </w:rPr>
              <w:t>Attachment 4</w:t>
            </w:r>
            <w:r w:rsidRPr="00DD2B86">
              <w:rPr>
                <w:rFonts w:ascii="Arial" w:hAnsi="Arial" w:cs="Arial"/>
                <w:szCs w:val="22"/>
                <w:lang w:eastAsia="en-US"/>
              </w:rPr>
              <w:t>: TCorp Financial Assessment Report on BMCC financial sustainability</w:t>
            </w:r>
          </w:p>
        </w:tc>
        <w:tc>
          <w:tcPr>
            <w:tcW w:w="1134" w:type="dxa"/>
          </w:tcPr>
          <w:p w14:paraId="6BC3CC90" w14:textId="77777777" w:rsidR="00DD2B86" w:rsidRPr="00DD2B86" w:rsidRDefault="00DD2B86" w:rsidP="00DD2B86">
            <w:pPr>
              <w:keepLines/>
              <w:spacing w:afterLines="60" w:after="144" w:line="210" w:lineRule="atLeast"/>
              <w:jc w:val="right"/>
              <w:rPr>
                <w:rFonts w:ascii="Arial" w:hAnsi="Arial" w:cs="Arial"/>
                <w:szCs w:val="22"/>
                <w:lang w:eastAsia="en-US"/>
              </w:rPr>
            </w:pPr>
            <w:r w:rsidRPr="00DD2B86">
              <w:rPr>
                <w:rFonts w:ascii="Arial" w:hAnsi="Arial" w:cs="Arial"/>
                <w:szCs w:val="22"/>
                <w:lang w:eastAsia="en-US"/>
              </w:rPr>
              <w:t>1-41</w:t>
            </w:r>
          </w:p>
        </w:tc>
        <w:tc>
          <w:tcPr>
            <w:tcW w:w="1418" w:type="dxa"/>
          </w:tcPr>
          <w:p w14:paraId="518BA4FA" w14:textId="77777777" w:rsidR="00DD2B86" w:rsidRPr="00DD2B86" w:rsidRDefault="00DD2B86" w:rsidP="00DD2B86">
            <w:pPr>
              <w:keepLines/>
              <w:spacing w:afterLines="60" w:after="144" w:line="210" w:lineRule="atLeast"/>
              <w:jc w:val="center"/>
              <w:rPr>
                <w:rFonts w:ascii="Arial" w:hAnsi="Arial" w:cs="Arial"/>
                <w:szCs w:val="22"/>
                <w:lang w:eastAsia="en-US"/>
              </w:rPr>
            </w:pPr>
            <w:r w:rsidRPr="00DD2B86">
              <w:rPr>
                <w:rFonts w:ascii="Arial" w:hAnsi="Arial" w:cs="Arial"/>
                <w:szCs w:val="22"/>
                <w:lang w:eastAsia="en-US"/>
              </w:rPr>
              <w:sym w:font="Wingdings" w:char="F0FC"/>
            </w:r>
          </w:p>
        </w:tc>
      </w:tr>
      <w:tr w:rsidR="00DD2B86" w:rsidRPr="00DD2B86" w14:paraId="6826C6DA" w14:textId="77777777" w:rsidTr="00702C53">
        <w:tc>
          <w:tcPr>
            <w:tcW w:w="7196" w:type="dxa"/>
            <w:vAlign w:val="center"/>
          </w:tcPr>
          <w:p w14:paraId="6DF6C538" w14:textId="77777777" w:rsidR="00DD2B86" w:rsidRPr="00DD2B86" w:rsidRDefault="00DD2B86" w:rsidP="00DD2B86">
            <w:pPr>
              <w:keepLines/>
              <w:spacing w:afterLines="60" w:after="144" w:line="210" w:lineRule="atLeast"/>
              <w:rPr>
                <w:rFonts w:ascii="Arial" w:hAnsi="Arial" w:cs="Arial"/>
                <w:szCs w:val="22"/>
                <w:lang w:eastAsia="en-US"/>
              </w:rPr>
            </w:pPr>
            <w:r w:rsidRPr="00DD2B86">
              <w:rPr>
                <w:rFonts w:ascii="Arial" w:hAnsi="Arial" w:cs="Arial"/>
                <w:b/>
                <w:szCs w:val="22"/>
                <w:lang w:eastAsia="en-US"/>
              </w:rPr>
              <w:t>Attachment 5a</w:t>
            </w:r>
            <w:r w:rsidRPr="00DD2B86">
              <w:rPr>
                <w:rFonts w:ascii="Arial" w:hAnsi="Arial" w:cs="Arial"/>
                <w:szCs w:val="22"/>
                <w:lang w:eastAsia="en-US"/>
              </w:rPr>
              <w:t xml:space="preserve">: Community Engagement Strategy. </w:t>
            </w:r>
          </w:p>
        </w:tc>
        <w:tc>
          <w:tcPr>
            <w:tcW w:w="1134" w:type="dxa"/>
          </w:tcPr>
          <w:p w14:paraId="2EF8F8D8" w14:textId="77777777" w:rsidR="00DD2B86" w:rsidRPr="00DD2B86" w:rsidRDefault="00DD2B86" w:rsidP="00DD2B86">
            <w:pPr>
              <w:keepLines/>
              <w:spacing w:afterLines="60" w:after="144" w:line="210" w:lineRule="atLeast"/>
              <w:jc w:val="right"/>
              <w:rPr>
                <w:rFonts w:ascii="Arial" w:hAnsi="Arial" w:cs="Arial"/>
                <w:szCs w:val="22"/>
                <w:lang w:eastAsia="en-US"/>
              </w:rPr>
            </w:pPr>
            <w:r w:rsidRPr="00DD2B86">
              <w:rPr>
                <w:rFonts w:ascii="Arial" w:hAnsi="Arial" w:cs="Arial"/>
                <w:szCs w:val="22"/>
                <w:lang w:eastAsia="en-US"/>
              </w:rPr>
              <w:t>1-23</w:t>
            </w:r>
          </w:p>
        </w:tc>
        <w:tc>
          <w:tcPr>
            <w:tcW w:w="1418" w:type="dxa"/>
          </w:tcPr>
          <w:p w14:paraId="206F47EB" w14:textId="77777777" w:rsidR="00DD2B86" w:rsidRPr="00DD2B86" w:rsidRDefault="00DD2B86" w:rsidP="00DD2B86">
            <w:pPr>
              <w:keepLines/>
              <w:spacing w:afterLines="60" w:after="144" w:line="210" w:lineRule="atLeast"/>
              <w:jc w:val="center"/>
              <w:rPr>
                <w:rFonts w:ascii="Arial" w:hAnsi="Arial" w:cs="Arial"/>
                <w:szCs w:val="22"/>
                <w:lang w:eastAsia="en-US"/>
              </w:rPr>
            </w:pPr>
            <w:r w:rsidRPr="00DD2B86">
              <w:rPr>
                <w:rFonts w:ascii="Arial" w:hAnsi="Arial" w:cs="Arial"/>
                <w:szCs w:val="22"/>
                <w:lang w:eastAsia="en-US"/>
              </w:rPr>
              <w:sym w:font="Wingdings" w:char="F0FC"/>
            </w:r>
          </w:p>
        </w:tc>
      </w:tr>
      <w:tr w:rsidR="00DD2B86" w:rsidRPr="00DD2B86" w14:paraId="1B580C9F" w14:textId="77777777" w:rsidTr="00702C53">
        <w:tc>
          <w:tcPr>
            <w:tcW w:w="7196" w:type="dxa"/>
            <w:vAlign w:val="center"/>
          </w:tcPr>
          <w:p w14:paraId="32A79A26" w14:textId="77777777" w:rsidR="00DD2B86" w:rsidRPr="00DD2B86" w:rsidRDefault="00DD2B86" w:rsidP="00DD2B86">
            <w:pPr>
              <w:keepLines/>
              <w:spacing w:afterLines="60" w:after="144" w:line="210" w:lineRule="atLeast"/>
              <w:rPr>
                <w:rFonts w:ascii="Arial" w:hAnsi="Arial" w:cs="Arial"/>
                <w:szCs w:val="22"/>
                <w:lang w:eastAsia="en-US"/>
              </w:rPr>
            </w:pPr>
            <w:r w:rsidRPr="00DD2B86">
              <w:rPr>
                <w:rFonts w:ascii="Arial" w:hAnsi="Arial" w:cs="Arial"/>
                <w:b/>
                <w:szCs w:val="22"/>
                <w:lang w:eastAsia="en-US"/>
              </w:rPr>
              <w:t>Attachment 5b:</w:t>
            </w:r>
            <w:r w:rsidRPr="00DD2B86">
              <w:rPr>
                <w:rFonts w:ascii="Arial" w:hAnsi="Arial" w:cs="Arial"/>
                <w:szCs w:val="22"/>
                <w:lang w:eastAsia="en-US"/>
              </w:rPr>
              <w:t xml:space="preserve"> Community Engagement Materials. Media releases, public meeting notices, newspaper articles, fact sheets relating to the rate increase and special variation.</w:t>
            </w:r>
          </w:p>
        </w:tc>
        <w:tc>
          <w:tcPr>
            <w:tcW w:w="1134" w:type="dxa"/>
          </w:tcPr>
          <w:p w14:paraId="62D16E6E" w14:textId="77777777" w:rsidR="00DD2B86" w:rsidRPr="00DD2B86" w:rsidRDefault="00DD2B86" w:rsidP="00DD2B86">
            <w:pPr>
              <w:keepLines/>
              <w:spacing w:afterLines="60" w:after="144" w:line="210" w:lineRule="atLeast"/>
              <w:jc w:val="right"/>
              <w:rPr>
                <w:rFonts w:ascii="Arial" w:hAnsi="Arial" w:cs="Arial"/>
                <w:szCs w:val="22"/>
                <w:lang w:eastAsia="en-US"/>
              </w:rPr>
            </w:pPr>
            <w:r w:rsidRPr="00DD2B86">
              <w:rPr>
                <w:rFonts w:ascii="Arial" w:hAnsi="Arial" w:cs="Arial"/>
                <w:szCs w:val="22"/>
                <w:lang w:eastAsia="en-US"/>
              </w:rPr>
              <w:t>1-142</w:t>
            </w:r>
          </w:p>
        </w:tc>
        <w:tc>
          <w:tcPr>
            <w:tcW w:w="1418" w:type="dxa"/>
          </w:tcPr>
          <w:p w14:paraId="17866EDF" w14:textId="77777777" w:rsidR="00DD2B86" w:rsidRPr="00DD2B86" w:rsidRDefault="00DD2B86" w:rsidP="00DD2B86">
            <w:pPr>
              <w:keepLines/>
              <w:spacing w:afterLines="60" w:after="144" w:line="210" w:lineRule="atLeast"/>
              <w:jc w:val="center"/>
              <w:rPr>
                <w:rFonts w:ascii="Arial" w:hAnsi="Arial" w:cs="Arial"/>
                <w:szCs w:val="22"/>
                <w:lang w:eastAsia="en-US"/>
              </w:rPr>
            </w:pPr>
            <w:r w:rsidRPr="00DD2B86">
              <w:rPr>
                <w:rFonts w:ascii="Arial" w:hAnsi="Arial" w:cs="Arial"/>
                <w:szCs w:val="22"/>
                <w:lang w:eastAsia="en-US"/>
              </w:rPr>
              <w:sym w:font="Wingdings" w:char="F0FC"/>
            </w:r>
          </w:p>
        </w:tc>
      </w:tr>
      <w:tr w:rsidR="00DD2B86" w:rsidRPr="00DD2B86" w14:paraId="31A2FE01" w14:textId="77777777" w:rsidTr="00702C53">
        <w:tc>
          <w:tcPr>
            <w:tcW w:w="7196" w:type="dxa"/>
            <w:vAlign w:val="center"/>
          </w:tcPr>
          <w:p w14:paraId="1BE8FEAA" w14:textId="77777777" w:rsidR="00DD2B86" w:rsidRPr="00DD2B86" w:rsidRDefault="00DD2B86" w:rsidP="00DD2B86">
            <w:pPr>
              <w:keepLines/>
              <w:spacing w:afterLines="60" w:after="144" w:line="210" w:lineRule="atLeast"/>
              <w:rPr>
                <w:rFonts w:ascii="Arial" w:hAnsi="Arial" w:cs="Arial"/>
                <w:szCs w:val="22"/>
                <w:lang w:eastAsia="en-US"/>
              </w:rPr>
            </w:pPr>
            <w:r w:rsidRPr="00DD2B86">
              <w:rPr>
                <w:rFonts w:ascii="Arial" w:hAnsi="Arial" w:cs="Arial"/>
                <w:b/>
                <w:szCs w:val="22"/>
                <w:lang w:eastAsia="en-US"/>
              </w:rPr>
              <w:t>Attachment 5c</w:t>
            </w:r>
            <w:r w:rsidRPr="00DD2B86">
              <w:rPr>
                <w:rFonts w:ascii="Arial" w:hAnsi="Arial" w:cs="Arial"/>
                <w:szCs w:val="22"/>
                <w:lang w:eastAsia="en-US"/>
              </w:rPr>
              <w:t>:Community Workshop Presentation</w:t>
            </w:r>
          </w:p>
        </w:tc>
        <w:tc>
          <w:tcPr>
            <w:tcW w:w="1134" w:type="dxa"/>
          </w:tcPr>
          <w:p w14:paraId="547E7D7F" w14:textId="77777777" w:rsidR="00DD2B86" w:rsidRPr="00DD2B86" w:rsidRDefault="00DD2B86" w:rsidP="00DD2B86">
            <w:pPr>
              <w:keepLines/>
              <w:spacing w:afterLines="60" w:after="144" w:line="210" w:lineRule="atLeast"/>
              <w:jc w:val="right"/>
              <w:rPr>
                <w:rFonts w:ascii="Arial" w:hAnsi="Arial" w:cs="Arial"/>
                <w:szCs w:val="22"/>
                <w:lang w:eastAsia="en-US"/>
              </w:rPr>
            </w:pPr>
            <w:r w:rsidRPr="00DD2B86">
              <w:rPr>
                <w:rFonts w:ascii="Arial" w:hAnsi="Arial" w:cs="Arial"/>
                <w:szCs w:val="22"/>
                <w:lang w:eastAsia="en-US"/>
              </w:rPr>
              <w:t>1-85</w:t>
            </w:r>
          </w:p>
        </w:tc>
        <w:tc>
          <w:tcPr>
            <w:tcW w:w="1418" w:type="dxa"/>
          </w:tcPr>
          <w:p w14:paraId="13A164C1" w14:textId="77777777" w:rsidR="00DD2B86" w:rsidRPr="00DD2B86" w:rsidRDefault="00DD2B86" w:rsidP="00DD2B86">
            <w:pPr>
              <w:keepLines/>
              <w:spacing w:afterLines="60" w:after="144" w:line="210" w:lineRule="atLeast"/>
              <w:jc w:val="center"/>
              <w:rPr>
                <w:rFonts w:ascii="Arial" w:hAnsi="Arial" w:cs="Arial"/>
                <w:szCs w:val="22"/>
                <w:lang w:eastAsia="en-US"/>
              </w:rPr>
            </w:pPr>
            <w:r w:rsidRPr="00DD2B86">
              <w:rPr>
                <w:rFonts w:ascii="Arial" w:hAnsi="Arial" w:cs="Arial"/>
                <w:szCs w:val="22"/>
                <w:lang w:eastAsia="en-US"/>
              </w:rPr>
              <w:sym w:font="Wingdings" w:char="F0FC"/>
            </w:r>
          </w:p>
        </w:tc>
      </w:tr>
      <w:tr w:rsidR="00DD2B86" w:rsidRPr="00DD2B86" w14:paraId="3613DE44" w14:textId="77777777" w:rsidTr="00702C53">
        <w:tc>
          <w:tcPr>
            <w:tcW w:w="7196" w:type="dxa"/>
            <w:vAlign w:val="center"/>
          </w:tcPr>
          <w:p w14:paraId="54F7478D" w14:textId="77777777" w:rsidR="00DD2B86" w:rsidRPr="00DD2B86" w:rsidRDefault="00DD2B86" w:rsidP="00DD2B86">
            <w:pPr>
              <w:keepLines/>
              <w:spacing w:afterLines="60" w:after="144" w:line="210" w:lineRule="atLeast"/>
              <w:rPr>
                <w:rFonts w:ascii="Arial" w:hAnsi="Arial" w:cs="Arial"/>
                <w:szCs w:val="22"/>
                <w:lang w:eastAsia="en-US"/>
              </w:rPr>
            </w:pPr>
            <w:r w:rsidRPr="00DD2B86">
              <w:rPr>
                <w:rFonts w:ascii="Arial" w:hAnsi="Arial" w:cs="Arial"/>
                <w:b/>
                <w:szCs w:val="22"/>
                <w:lang w:eastAsia="en-US"/>
              </w:rPr>
              <w:t>Attachment 6a</w:t>
            </w:r>
            <w:r w:rsidRPr="00DD2B86">
              <w:rPr>
                <w:rFonts w:ascii="Arial" w:hAnsi="Arial" w:cs="Arial"/>
                <w:szCs w:val="22"/>
                <w:lang w:eastAsia="en-US"/>
              </w:rPr>
              <w:t xml:space="preserve">: Outcomes of Community Workshop Report </w:t>
            </w:r>
          </w:p>
        </w:tc>
        <w:tc>
          <w:tcPr>
            <w:tcW w:w="1134" w:type="dxa"/>
          </w:tcPr>
          <w:p w14:paraId="2D80C83C" w14:textId="77777777" w:rsidR="00DD2B86" w:rsidRPr="00DD2B86" w:rsidRDefault="00DD2B86" w:rsidP="00DD2B86">
            <w:pPr>
              <w:keepLines/>
              <w:spacing w:afterLines="60" w:after="144" w:line="210" w:lineRule="atLeast"/>
              <w:jc w:val="right"/>
              <w:rPr>
                <w:rFonts w:ascii="Arial" w:hAnsi="Arial" w:cs="Arial"/>
                <w:szCs w:val="22"/>
                <w:lang w:eastAsia="en-US"/>
              </w:rPr>
            </w:pPr>
            <w:r w:rsidRPr="00DD2B86">
              <w:rPr>
                <w:rFonts w:ascii="Arial" w:hAnsi="Arial" w:cs="Arial"/>
                <w:szCs w:val="22"/>
                <w:lang w:eastAsia="en-US"/>
              </w:rPr>
              <w:t>1-22</w:t>
            </w:r>
          </w:p>
        </w:tc>
        <w:tc>
          <w:tcPr>
            <w:tcW w:w="1418" w:type="dxa"/>
          </w:tcPr>
          <w:p w14:paraId="408E81BC" w14:textId="77777777" w:rsidR="00DD2B86" w:rsidRPr="00DD2B86" w:rsidRDefault="00DD2B86" w:rsidP="00DD2B86">
            <w:pPr>
              <w:keepLines/>
              <w:spacing w:afterLines="60" w:after="144" w:line="210" w:lineRule="atLeast"/>
              <w:jc w:val="center"/>
              <w:rPr>
                <w:rFonts w:ascii="Arial" w:hAnsi="Arial" w:cs="Arial"/>
                <w:szCs w:val="22"/>
                <w:lang w:eastAsia="en-US"/>
              </w:rPr>
            </w:pPr>
            <w:r w:rsidRPr="00DD2B86">
              <w:rPr>
                <w:rFonts w:ascii="Arial" w:hAnsi="Arial" w:cs="Arial"/>
                <w:szCs w:val="22"/>
                <w:lang w:eastAsia="en-US"/>
              </w:rPr>
              <w:sym w:font="Wingdings" w:char="F0FC"/>
            </w:r>
          </w:p>
        </w:tc>
      </w:tr>
      <w:tr w:rsidR="00DD2B86" w:rsidRPr="00DD2B86" w14:paraId="55FD2449" w14:textId="77777777" w:rsidTr="00702C53">
        <w:tc>
          <w:tcPr>
            <w:tcW w:w="7196" w:type="dxa"/>
            <w:vAlign w:val="center"/>
          </w:tcPr>
          <w:p w14:paraId="3342AFCB" w14:textId="77777777" w:rsidR="00DD2B86" w:rsidRPr="00DD2B86" w:rsidRDefault="00DD2B86" w:rsidP="00DD2B86">
            <w:pPr>
              <w:keepLines/>
              <w:spacing w:afterLines="60" w:after="144" w:line="210" w:lineRule="atLeast"/>
              <w:rPr>
                <w:rFonts w:ascii="Arial" w:hAnsi="Arial" w:cs="Arial"/>
                <w:szCs w:val="22"/>
                <w:lang w:eastAsia="en-US"/>
              </w:rPr>
            </w:pPr>
            <w:r w:rsidRPr="00DD2B86">
              <w:rPr>
                <w:rFonts w:ascii="Arial" w:hAnsi="Arial" w:cs="Arial"/>
                <w:b/>
                <w:szCs w:val="22"/>
                <w:lang w:eastAsia="en-US"/>
              </w:rPr>
              <w:t>Attachment 6b:</w:t>
            </w:r>
            <w:r w:rsidRPr="00DD2B86">
              <w:rPr>
                <w:rFonts w:ascii="Arial" w:hAnsi="Arial" w:cs="Arial"/>
                <w:szCs w:val="22"/>
                <w:lang w:eastAsia="en-US"/>
              </w:rPr>
              <w:t xml:space="preserve"> Telephone Survey Report</w:t>
            </w:r>
          </w:p>
        </w:tc>
        <w:tc>
          <w:tcPr>
            <w:tcW w:w="1134" w:type="dxa"/>
          </w:tcPr>
          <w:p w14:paraId="205ED777" w14:textId="77777777" w:rsidR="00DD2B86" w:rsidRPr="00DD2B86" w:rsidRDefault="00DD2B86" w:rsidP="00DD2B86">
            <w:pPr>
              <w:keepLines/>
              <w:spacing w:afterLines="60" w:after="144" w:line="210" w:lineRule="atLeast"/>
              <w:jc w:val="right"/>
              <w:rPr>
                <w:rFonts w:ascii="Arial" w:hAnsi="Arial" w:cs="Arial"/>
                <w:szCs w:val="22"/>
                <w:lang w:eastAsia="en-US"/>
              </w:rPr>
            </w:pPr>
            <w:r w:rsidRPr="00DD2B86">
              <w:rPr>
                <w:rFonts w:ascii="Arial" w:hAnsi="Arial" w:cs="Arial"/>
                <w:szCs w:val="22"/>
                <w:lang w:eastAsia="en-US"/>
              </w:rPr>
              <w:t>1-53</w:t>
            </w:r>
          </w:p>
        </w:tc>
        <w:tc>
          <w:tcPr>
            <w:tcW w:w="1418" w:type="dxa"/>
          </w:tcPr>
          <w:p w14:paraId="717CA61A" w14:textId="77777777" w:rsidR="00DD2B86" w:rsidRPr="00DD2B86" w:rsidRDefault="00DD2B86" w:rsidP="00DD2B86">
            <w:pPr>
              <w:keepLines/>
              <w:spacing w:afterLines="60" w:after="144" w:line="210" w:lineRule="atLeast"/>
              <w:jc w:val="center"/>
              <w:rPr>
                <w:rFonts w:ascii="Arial" w:hAnsi="Arial" w:cs="Arial"/>
                <w:szCs w:val="22"/>
                <w:lang w:eastAsia="en-US"/>
              </w:rPr>
            </w:pPr>
          </w:p>
        </w:tc>
      </w:tr>
      <w:tr w:rsidR="00DD2B86" w:rsidRPr="00DD2B86" w14:paraId="3CC6CC94" w14:textId="77777777" w:rsidTr="00702C53">
        <w:tc>
          <w:tcPr>
            <w:tcW w:w="7196" w:type="dxa"/>
            <w:vAlign w:val="center"/>
          </w:tcPr>
          <w:p w14:paraId="6B65F37C" w14:textId="77777777" w:rsidR="00DD2B86" w:rsidRPr="00DD2B86" w:rsidRDefault="00DD2B86" w:rsidP="00DD2B86">
            <w:pPr>
              <w:keepLines/>
              <w:spacing w:afterLines="60" w:after="144" w:line="210" w:lineRule="atLeast"/>
              <w:rPr>
                <w:rFonts w:ascii="Arial" w:hAnsi="Arial" w:cs="Arial"/>
                <w:szCs w:val="22"/>
                <w:lang w:eastAsia="en-US"/>
              </w:rPr>
            </w:pPr>
            <w:r w:rsidRPr="00DD2B86">
              <w:rPr>
                <w:rFonts w:ascii="Arial" w:hAnsi="Arial" w:cs="Arial"/>
                <w:b/>
                <w:szCs w:val="22"/>
                <w:lang w:eastAsia="en-US"/>
              </w:rPr>
              <w:t>Attachment 6c</w:t>
            </w:r>
            <w:r w:rsidRPr="00DD2B86">
              <w:rPr>
                <w:rFonts w:ascii="Arial" w:hAnsi="Arial" w:cs="Arial"/>
                <w:szCs w:val="22"/>
                <w:lang w:eastAsia="en-US"/>
              </w:rPr>
              <w:t>: Community Workshops Report</w:t>
            </w:r>
          </w:p>
        </w:tc>
        <w:tc>
          <w:tcPr>
            <w:tcW w:w="1134" w:type="dxa"/>
          </w:tcPr>
          <w:p w14:paraId="413ADCA0" w14:textId="77777777" w:rsidR="00DD2B86" w:rsidRPr="00DD2B86" w:rsidRDefault="00DD2B86" w:rsidP="00DD2B86">
            <w:pPr>
              <w:keepLines/>
              <w:spacing w:afterLines="60" w:after="144" w:line="210" w:lineRule="atLeast"/>
              <w:jc w:val="right"/>
              <w:rPr>
                <w:rFonts w:ascii="Arial" w:hAnsi="Arial" w:cs="Arial"/>
                <w:szCs w:val="22"/>
                <w:lang w:eastAsia="en-US"/>
              </w:rPr>
            </w:pPr>
            <w:r w:rsidRPr="00DD2B86">
              <w:rPr>
                <w:rFonts w:ascii="Arial" w:hAnsi="Arial" w:cs="Arial"/>
                <w:szCs w:val="22"/>
                <w:lang w:eastAsia="en-US"/>
              </w:rPr>
              <w:t>1-103</w:t>
            </w:r>
          </w:p>
        </w:tc>
        <w:tc>
          <w:tcPr>
            <w:tcW w:w="1418" w:type="dxa"/>
          </w:tcPr>
          <w:p w14:paraId="0A2EB447" w14:textId="77777777" w:rsidR="00DD2B86" w:rsidRPr="00DD2B86" w:rsidRDefault="00DD2B86" w:rsidP="00DD2B86">
            <w:pPr>
              <w:keepLines/>
              <w:spacing w:afterLines="60" w:after="144" w:line="210" w:lineRule="atLeast"/>
              <w:jc w:val="center"/>
              <w:rPr>
                <w:rFonts w:ascii="Arial" w:hAnsi="Arial" w:cs="Arial"/>
                <w:szCs w:val="22"/>
                <w:lang w:eastAsia="en-US"/>
              </w:rPr>
            </w:pPr>
          </w:p>
        </w:tc>
      </w:tr>
      <w:tr w:rsidR="00DD2B86" w:rsidRPr="00DD2B86" w14:paraId="322E4B45" w14:textId="77777777" w:rsidTr="00702C53">
        <w:tc>
          <w:tcPr>
            <w:tcW w:w="7196" w:type="dxa"/>
            <w:vAlign w:val="center"/>
          </w:tcPr>
          <w:p w14:paraId="31A319DD" w14:textId="77777777" w:rsidR="00DD2B86" w:rsidRPr="00DD2B86" w:rsidRDefault="00DD2B86" w:rsidP="00DD2B86">
            <w:pPr>
              <w:keepLines/>
              <w:spacing w:afterLines="60" w:after="144" w:line="210" w:lineRule="atLeast"/>
              <w:rPr>
                <w:rFonts w:ascii="Arial" w:hAnsi="Arial" w:cs="Arial"/>
                <w:szCs w:val="22"/>
                <w:lang w:eastAsia="en-US"/>
              </w:rPr>
            </w:pPr>
            <w:r w:rsidRPr="00DD2B86">
              <w:rPr>
                <w:rFonts w:ascii="Arial" w:hAnsi="Arial" w:cs="Arial"/>
                <w:b/>
                <w:szCs w:val="22"/>
                <w:lang w:eastAsia="en-US"/>
              </w:rPr>
              <w:t>Attachment 7:</w:t>
            </w:r>
            <w:r w:rsidRPr="00DD2B86">
              <w:rPr>
                <w:rFonts w:ascii="Arial" w:hAnsi="Arial" w:cs="Arial"/>
                <w:szCs w:val="22"/>
                <w:lang w:eastAsia="en-US"/>
              </w:rPr>
              <w:t xml:space="preserve"> Hardship Policy</w:t>
            </w:r>
          </w:p>
        </w:tc>
        <w:tc>
          <w:tcPr>
            <w:tcW w:w="1134" w:type="dxa"/>
          </w:tcPr>
          <w:p w14:paraId="592413CB" w14:textId="77777777" w:rsidR="00DD2B86" w:rsidRPr="00DD2B86" w:rsidRDefault="00DD2B86" w:rsidP="00DD2B86">
            <w:pPr>
              <w:keepLines/>
              <w:spacing w:afterLines="60" w:after="144" w:line="210" w:lineRule="atLeast"/>
              <w:jc w:val="right"/>
              <w:rPr>
                <w:rFonts w:ascii="Arial" w:hAnsi="Arial" w:cs="Arial"/>
                <w:szCs w:val="22"/>
                <w:lang w:eastAsia="en-US"/>
              </w:rPr>
            </w:pPr>
            <w:r w:rsidRPr="00DD2B86">
              <w:rPr>
                <w:rFonts w:ascii="Arial" w:hAnsi="Arial" w:cs="Arial"/>
                <w:szCs w:val="22"/>
                <w:lang w:eastAsia="en-US"/>
              </w:rPr>
              <w:t>1-3</w:t>
            </w:r>
          </w:p>
        </w:tc>
        <w:tc>
          <w:tcPr>
            <w:tcW w:w="1418" w:type="dxa"/>
          </w:tcPr>
          <w:p w14:paraId="58182AC9" w14:textId="77777777" w:rsidR="00DD2B86" w:rsidRPr="00DD2B86" w:rsidRDefault="00DD2B86" w:rsidP="00DD2B86">
            <w:pPr>
              <w:keepLines/>
              <w:spacing w:afterLines="60" w:after="144" w:line="210" w:lineRule="atLeast"/>
              <w:jc w:val="center"/>
              <w:rPr>
                <w:rFonts w:ascii="Arial" w:hAnsi="Arial" w:cs="Arial"/>
                <w:szCs w:val="22"/>
                <w:lang w:eastAsia="en-US"/>
              </w:rPr>
            </w:pPr>
            <w:r w:rsidRPr="00DD2B86">
              <w:rPr>
                <w:rFonts w:ascii="Arial" w:hAnsi="Arial" w:cs="Arial"/>
                <w:szCs w:val="22"/>
                <w:lang w:eastAsia="en-US"/>
              </w:rPr>
              <w:sym w:font="Wingdings" w:char="F0FC"/>
            </w:r>
          </w:p>
        </w:tc>
      </w:tr>
      <w:tr w:rsidR="00DD2B86" w:rsidRPr="00DD2B86" w14:paraId="46D91E1E" w14:textId="77777777" w:rsidTr="00702C53">
        <w:tc>
          <w:tcPr>
            <w:tcW w:w="7196" w:type="dxa"/>
            <w:vAlign w:val="center"/>
          </w:tcPr>
          <w:p w14:paraId="350A5F46" w14:textId="77777777" w:rsidR="00DD2B86" w:rsidRPr="00DD2B86" w:rsidRDefault="00DD2B86" w:rsidP="00DD2B86">
            <w:pPr>
              <w:keepLines/>
              <w:spacing w:afterLines="60" w:after="144" w:line="210" w:lineRule="atLeast"/>
              <w:rPr>
                <w:rFonts w:ascii="Arial" w:hAnsi="Arial" w:cs="Arial"/>
                <w:szCs w:val="22"/>
                <w:lang w:eastAsia="en-US"/>
              </w:rPr>
            </w:pPr>
            <w:r w:rsidRPr="00DD2B86">
              <w:rPr>
                <w:rFonts w:ascii="Arial" w:hAnsi="Arial" w:cs="Arial"/>
                <w:b/>
                <w:szCs w:val="22"/>
                <w:lang w:eastAsia="en-US"/>
              </w:rPr>
              <w:t>Attachment 8:</w:t>
            </w:r>
            <w:r w:rsidRPr="00DD2B86">
              <w:rPr>
                <w:rFonts w:ascii="Arial" w:hAnsi="Arial" w:cs="Arial"/>
                <w:szCs w:val="22"/>
                <w:lang w:eastAsia="en-US"/>
              </w:rPr>
              <w:t xml:space="preserve"> Council Resolution to apply for the special variation</w:t>
            </w:r>
          </w:p>
        </w:tc>
        <w:tc>
          <w:tcPr>
            <w:tcW w:w="1134" w:type="dxa"/>
          </w:tcPr>
          <w:p w14:paraId="69F5C5A9" w14:textId="77777777" w:rsidR="00DD2B86" w:rsidRPr="00DD2B86" w:rsidRDefault="00DD2B86" w:rsidP="00DD2B86">
            <w:pPr>
              <w:keepLines/>
              <w:spacing w:afterLines="60" w:after="144" w:line="210" w:lineRule="atLeast"/>
              <w:jc w:val="right"/>
              <w:rPr>
                <w:rFonts w:ascii="Arial" w:hAnsi="Arial" w:cs="Arial"/>
                <w:szCs w:val="22"/>
                <w:lang w:eastAsia="en-US"/>
              </w:rPr>
            </w:pPr>
            <w:r w:rsidRPr="00DD2B86">
              <w:rPr>
                <w:rFonts w:ascii="Arial" w:hAnsi="Arial" w:cs="Arial"/>
                <w:szCs w:val="22"/>
                <w:lang w:eastAsia="en-US"/>
              </w:rPr>
              <w:t>1</w:t>
            </w:r>
          </w:p>
        </w:tc>
        <w:tc>
          <w:tcPr>
            <w:tcW w:w="1418" w:type="dxa"/>
          </w:tcPr>
          <w:p w14:paraId="14ACDE4E" w14:textId="77777777" w:rsidR="00DD2B86" w:rsidRPr="00DD2B86" w:rsidRDefault="00DD2B86" w:rsidP="00DD2B86">
            <w:pPr>
              <w:keepLines/>
              <w:spacing w:afterLines="60" w:after="144" w:line="210" w:lineRule="atLeast"/>
              <w:jc w:val="center"/>
              <w:rPr>
                <w:rFonts w:ascii="Arial" w:hAnsi="Arial" w:cs="Arial"/>
                <w:szCs w:val="22"/>
                <w:lang w:eastAsia="en-US"/>
              </w:rPr>
            </w:pPr>
            <w:r w:rsidRPr="00DD2B86">
              <w:rPr>
                <w:rFonts w:ascii="Arial" w:hAnsi="Arial" w:cs="Arial"/>
                <w:szCs w:val="22"/>
                <w:lang w:eastAsia="en-US"/>
              </w:rPr>
              <w:sym w:font="Wingdings" w:char="F0FC"/>
            </w:r>
          </w:p>
        </w:tc>
      </w:tr>
      <w:tr w:rsidR="00DD2B86" w:rsidRPr="00DD2B86" w14:paraId="70BBFE81" w14:textId="77777777" w:rsidTr="00702C53">
        <w:tc>
          <w:tcPr>
            <w:tcW w:w="7196" w:type="dxa"/>
            <w:vAlign w:val="center"/>
          </w:tcPr>
          <w:p w14:paraId="12653F31" w14:textId="77777777" w:rsidR="00DD2B86" w:rsidRPr="00DD2B86" w:rsidRDefault="00DD2B86" w:rsidP="00DD2B86">
            <w:pPr>
              <w:keepLines/>
              <w:spacing w:afterLines="60" w:after="144" w:line="210" w:lineRule="atLeast"/>
              <w:rPr>
                <w:rFonts w:ascii="Arial" w:hAnsi="Arial" w:cs="Arial"/>
                <w:szCs w:val="22"/>
                <w:lang w:eastAsia="en-US"/>
              </w:rPr>
            </w:pPr>
            <w:r w:rsidRPr="00DD2B86">
              <w:rPr>
                <w:rFonts w:ascii="Arial" w:hAnsi="Arial" w:cs="Arial"/>
                <w:b/>
                <w:szCs w:val="22"/>
                <w:lang w:eastAsia="en-US"/>
              </w:rPr>
              <w:t>Attachment 9:</w:t>
            </w:r>
            <w:r w:rsidRPr="00DD2B86">
              <w:rPr>
                <w:rFonts w:ascii="Arial" w:hAnsi="Arial" w:cs="Arial"/>
                <w:szCs w:val="22"/>
                <w:lang w:eastAsia="en-US"/>
              </w:rPr>
              <w:t xml:space="preserve"> Certification</w:t>
            </w:r>
          </w:p>
        </w:tc>
        <w:tc>
          <w:tcPr>
            <w:tcW w:w="1134" w:type="dxa"/>
          </w:tcPr>
          <w:p w14:paraId="5135E98E" w14:textId="77777777" w:rsidR="00DD2B86" w:rsidRPr="00DD2B86" w:rsidRDefault="00DD2B86" w:rsidP="00DD2B86">
            <w:pPr>
              <w:keepLines/>
              <w:spacing w:afterLines="60" w:after="144" w:line="210" w:lineRule="atLeast"/>
              <w:jc w:val="right"/>
              <w:rPr>
                <w:rFonts w:ascii="Arial" w:hAnsi="Arial" w:cs="Arial"/>
                <w:szCs w:val="22"/>
                <w:lang w:eastAsia="en-US"/>
              </w:rPr>
            </w:pPr>
            <w:r w:rsidRPr="00DD2B86">
              <w:rPr>
                <w:rFonts w:ascii="Arial" w:hAnsi="Arial" w:cs="Arial"/>
                <w:szCs w:val="22"/>
                <w:lang w:eastAsia="en-US"/>
              </w:rPr>
              <w:t>1</w:t>
            </w:r>
          </w:p>
        </w:tc>
        <w:tc>
          <w:tcPr>
            <w:tcW w:w="1418" w:type="dxa"/>
          </w:tcPr>
          <w:p w14:paraId="1C4DD39D" w14:textId="77777777" w:rsidR="00DD2B86" w:rsidRPr="00DD2B86" w:rsidRDefault="00DD2B86" w:rsidP="00DD2B86">
            <w:pPr>
              <w:keepLines/>
              <w:spacing w:afterLines="60" w:after="144" w:line="210" w:lineRule="atLeast"/>
              <w:jc w:val="center"/>
              <w:rPr>
                <w:rFonts w:ascii="Arial" w:hAnsi="Arial" w:cs="Arial"/>
                <w:szCs w:val="22"/>
                <w:lang w:eastAsia="en-US"/>
              </w:rPr>
            </w:pPr>
            <w:r w:rsidRPr="00DD2B86">
              <w:rPr>
                <w:rFonts w:ascii="Arial" w:hAnsi="Arial" w:cs="Arial"/>
                <w:szCs w:val="22"/>
                <w:lang w:eastAsia="en-US"/>
              </w:rPr>
              <w:sym w:font="Wingdings" w:char="F0FC"/>
            </w:r>
          </w:p>
        </w:tc>
      </w:tr>
      <w:tr w:rsidR="00DD2B86" w:rsidRPr="00DD2B86" w14:paraId="6EC1FD35" w14:textId="77777777" w:rsidTr="00702C53">
        <w:tc>
          <w:tcPr>
            <w:tcW w:w="7196" w:type="dxa"/>
            <w:vAlign w:val="center"/>
          </w:tcPr>
          <w:p w14:paraId="771F9E36" w14:textId="77777777" w:rsidR="00DD2B86" w:rsidRPr="00DD2B86" w:rsidRDefault="00DD2B86" w:rsidP="00DD2B86">
            <w:pPr>
              <w:keepLines/>
              <w:spacing w:afterLines="60" w:after="144" w:line="210" w:lineRule="atLeast"/>
              <w:rPr>
                <w:rFonts w:ascii="Arial" w:hAnsi="Arial" w:cs="Arial"/>
                <w:b/>
                <w:szCs w:val="22"/>
                <w:lang w:eastAsia="en-US"/>
              </w:rPr>
            </w:pPr>
            <w:r w:rsidRPr="00DD2B86">
              <w:rPr>
                <w:rFonts w:ascii="Arial" w:hAnsi="Arial" w:cs="Arial"/>
                <w:b/>
                <w:color w:val="0070C0"/>
                <w:szCs w:val="22"/>
                <w:lang w:eastAsia="en-US"/>
              </w:rPr>
              <w:t>Other Attachments</w:t>
            </w:r>
          </w:p>
        </w:tc>
        <w:tc>
          <w:tcPr>
            <w:tcW w:w="1134" w:type="dxa"/>
          </w:tcPr>
          <w:p w14:paraId="1305677E" w14:textId="77777777" w:rsidR="00DD2B86" w:rsidRPr="00DD2B86" w:rsidRDefault="00DD2B86" w:rsidP="00DD2B86">
            <w:pPr>
              <w:keepLines/>
              <w:spacing w:afterLines="60" w:after="144" w:line="210" w:lineRule="atLeast"/>
              <w:jc w:val="right"/>
              <w:rPr>
                <w:rFonts w:ascii="Arial" w:hAnsi="Arial" w:cs="Arial"/>
                <w:szCs w:val="22"/>
                <w:lang w:eastAsia="en-US"/>
              </w:rPr>
            </w:pPr>
          </w:p>
        </w:tc>
        <w:tc>
          <w:tcPr>
            <w:tcW w:w="1418" w:type="dxa"/>
          </w:tcPr>
          <w:p w14:paraId="51601993" w14:textId="77777777" w:rsidR="00DD2B86" w:rsidRPr="00DD2B86" w:rsidRDefault="00DD2B86" w:rsidP="00DD2B86">
            <w:pPr>
              <w:keepLines/>
              <w:spacing w:afterLines="60" w:after="144" w:line="210" w:lineRule="atLeast"/>
              <w:jc w:val="center"/>
              <w:rPr>
                <w:rFonts w:ascii="Arial" w:hAnsi="Arial" w:cs="Arial"/>
                <w:szCs w:val="22"/>
                <w:lang w:eastAsia="en-US"/>
              </w:rPr>
            </w:pPr>
            <w:r w:rsidRPr="00DD2B86">
              <w:rPr>
                <w:rFonts w:ascii="Arial" w:hAnsi="Arial" w:cs="Arial"/>
                <w:szCs w:val="22"/>
                <w:lang w:eastAsia="en-US"/>
              </w:rPr>
              <w:sym w:font="Wingdings" w:char="F0FC"/>
            </w:r>
          </w:p>
        </w:tc>
      </w:tr>
      <w:tr w:rsidR="00DD2B86" w:rsidRPr="00DD2B86" w14:paraId="2435F086" w14:textId="77777777" w:rsidTr="00702C53">
        <w:tc>
          <w:tcPr>
            <w:tcW w:w="7196" w:type="dxa"/>
            <w:vAlign w:val="center"/>
          </w:tcPr>
          <w:p w14:paraId="231BCE2C" w14:textId="77777777" w:rsidR="00DD2B86" w:rsidRPr="00DD2B86" w:rsidRDefault="00DD2B86" w:rsidP="00DD2B86">
            <w:pPr>
              <w:keepLines/>
              <w:spacing w:afterLines="60" w:after="144" w:line="210" w:lineRule="atLeast"/>
              <w:rPr>
                <w:rFonts w:ascii="Arial" w:hAnsi="Arial" w:cs="Arial"/>
                <w:szCs w:val="22"/>
                <w:lang w:eastAsia="en-US"/>
              </w:rPr>
            </w:pPr>
            <w:r w:rsidRPr="00DD2B86">
              <w:rPr>
                <w:rFonts w:ascii="Arial" w:hAnsi="Arial" w:cs="Arial"/>
                <w:b/>
                <w:szCs w:val="22"/>
                <w:lang w:eastAsia="en-US"/>
              </w:rPr>
              <w:t>Attachment 10:</w:t>
            </w:r>
            <w:r w:rsidRPr="00DD2B86">
              <w:rPr>
                <w:rFonts w:ascii="Arial" w:hAnsi="Arial" w:cs="Arial"/>
                <w:szCs w:val="22"/>
                <w:lang w:eastAsia="en-US"/>
              </w:rPr>
              <w:t xml:space="preserve"> Summary Service Dashboards and Asset Plans</w:t>
            </w:r>
          </w:p>
        </w:tc>
        <w:tc>
          <w:tcPr>
            <w:tcW w:w="1134" w:type="dxa"/>
          </w:tcPr>
          <w:p w14:paraId="7CC12175" w14:textId="77777777" w:rsidR="00DD2B86" w:rsidRPr="00DD2B86" w:rsidRDefault="00DD2B86" w:rsidP="00DD2B86">
            <w:pPr>
              <w:keepLines/>
              <w:spacing w:afterLines="60" w:after="144" w:line="210" w:lineRule="atLeast"/>
              <w:jc w:val="right"/>
              <w:rPr>
                <w:rFonts w:ascii="Arial" w:hAnsi="Arial" w:cs="Arial"/>
                <w:szCs w:val="22"/>
                <w:lang w:eastAsia="en-US"/>
              </w:rPr>
            </w:pPr>
            <w:r w:rsidRPr="00DD2B86">
              <w:rPr>
                <w:rFonts w:ascii="Arial" w:hAnsi="Arial" w:cs="Arial"/>
                <w:szCs w:val="22"/>
                <w:lang w:eastAsia="en-US"/>
              </w:rPr>
              <w:t>1-147</w:t>
            </w:r>
          </w:p>
        </w:tc>
        <w:tc>
          <w:tcPr>
            <w:tcW w:w="1418" w:type="dxa"/>
          </w:tcPr>
          <w:p w14:paraId="182D7D8B" w14:textId="77777777" w:rsidR="00DD2B86" w:rsidRPr="00DD2B86" w:rsidRDefault="00DD2B86" w:rsidP="00DD2B86">
            <w:pPr>
              <w:keepLines/>
              <w:spacing w:afterLines="60" w:after="144" w:line="210" w:lineRule="atLeast"/>
              <w:jc w:val="center"/>
              <w:rPr>
                <w:rFonts w:ascii="Arial" w:hAnsi="Arial" w:cs="Arial"/>
                <w:szCs w:val="22"/>
                <w:lang w:eastAsia="en-US"/>
              </w:rPr>
            </w:pPr>
            <w:r w:rsidRPr="00DD2B86">
              <w:rPr>
                <w:rFonts w:ascii="Arial" w:hAnsi="Arial" w:cs="Arial"/>
                <w:szCs w:val="22"/>
                <w:lang w:eastAsia="en-US"/>
              </w:rPr>
              <w:sym w:font="Wingdings" w:char="F0FC"/>
            </w:r>
          </w:p>
        </w:tc>
      </w:tr>
      <w:tr w:rsidR="00DD2B86" w:rsidRPr="00DD2B86" w14:paraId="302D2CC5" w14:textId="77777777" w:rsidTr="00702C53">
        <w:tc>
          <w:tcPr>
            <w:tcW w:w="7196" w:type="dxa"/>
            <w:vAlign w:val="center"/>
          </w:tcPr>
          <w:p w14:paraId="445912E8" w14:textId="77777777" w:rsidR="00DD2B86" w:rsidRPr="00DD2B86" w:rsidRDefault="00DD2B86" w:rsidP="00DD2B86">
            <w:pPr>
              <w:keepLines/>
              <w:spacing w:afterLines="60" w:after="144" w:line="210" w:lineRule="atLeast"/>
              <w:rPr>
                <w:rFonts w:ascii="Arial" w:hAnsi="Arial" w:cs="Arial"/>
                <w:szCs w:val="22"/>
                <w:lang w:eastAsia="en-US"/>
              </w:rPr>
            </w:pPr>
            <w:r w:rsidRPr="00DD2B86">
              <w:rPr>
                <w:rFonts w:ascii="Arial" w:hAnsi="Arial" w:cs="Arial"/>
                <w:b/>
                <w:szCs w:val="22"/>
                <w:lang w:eastAsia="en-US"/>
              </w:rPr>
              <w:t>Attachment 11:</w:t>
            </w:r>
            <w:r w:rsidRPr="00DD2B86">
              <w:rPr>
                <w:rFonts w:ascii="Arial" w:hAnsi="Arial" w:cs="Arial"/>
                <w:szCs w:val="22"/>
                <w:lang w:eastAsia="en-US"/>
              </w:rPr>
              <w:t xml:space="preserve"> Instrument of Approval for Environment Levy</w:t>
            </w:r>
          </w:p>
        </w:tc>
        <w:tc>
          <w:tcPr>
            <w:tcW w:w="1134" w:type="dxa"/>
          </w:tcPr>
          <w:p w14:paraId="28371A09" w14:textId="77777777" w:rsidR="00DD2B86" w:rsidRPr="00DD2B86" w:rsidRDefault="00DD2B86" w:rsidP="00DD2B86">
            <w:pPr>
              <w:keepLines/>
              <w:spacing w:afterLines="60" w:after="144" w:line="210" w:lineRule="atLeast"/>
              <w:jc w:val="right"/>
              <w:rPr>
                <w:rFonts w:ascii="Arial" w:hAnsi="Arial" w:cs="Arial"/>
                <w:szCs w:val="22"/>
                <w:lang w:eastAsia="en-US"/>
              </w:rPr>
            </w:pPr>
            <w:r w:rsidRPr="00DD2B86">
              <w:rPr>
                <w:rFonts w:ascii="Arial" w:hAnsi="Arial" w:cs="Arial"/>
                <w:szCs w:val="22"/>
                <w:lang w:eastAsia="en-US"/>
              </w:rPr>
              <w:t>2</w:t>
            </w:r>
          </w:p>
        </w:tc>
        <w:tc>
          <w:tcPr>
            <w:tcW w:w="1418" w:type="dxa"/>
          </w:tcPr>
          <w:p w14:paraId="64EE973F" w14:textId="77777777" w:rsidR="00DD2B86" w:rsidRPr="00DD2B86" w:rsidRDefault="00DD2B86" w:rsidP="00DD2B86">
            <w:pPr>
              <w:keepLines/>
              <w:spacing w:afterLines="60" w:after="144" w:line="210" w:lineRule="atLeast"/>
              <w:jc w:val="center"/>
              <w:rPr>
                <w:rFonts w:ascii="Arial" w:hAnsi="Arial" w:cs="Arial"/>
                <w:szCs w:val="22"/>
                <w:lang w:eastAsia="en-US"/>
              </w:rPr>
            </w:pPr>
            <w:r w:rsidRPr="00DD2B86">
              <w:rPr>
                <w:rFonts w:ascii="Arial" w:hAnsi="Arial" w:cs="Arial"/>
                <w:szCs w:val="22"/>
                <w:lang w:eastAsia="en-US"/>
              </w:rPr>
              <w:sym w:font="Wingdings" w:char="F0FC"/>
            </w:r>
          </w:p>
        </w:tc>
      </w:tr>
      <w:tr w:rsidR="00DD2B86" w:rsidRPr="00DD2B86" w14:paraId="12AD063D" w14:textId="77777777" w:rsidTr="00702C53">
        <w:tc>
          <w:tcPr>
            <w:tcW w:w="7196" w:type="dxa"/>
            <w:vAlign w:val="center"/>
          </w:tcPr>
          <w:p w14:paraId="501B5616" w14:textId="77777777" w:rsidR="00DD2B86" w:rsidRPr="00DD2B86" w:rsidRDefault="00DD2B86" w:rsidP="00DD2B86">
            <w:pPr>
              <w:keepLines/>
              <w:spacing w:afterLines="60" w:after="144" w:line="210" w:lineRule="atLeast"/>
              <w:rPr>
                <w:rFonts w:ascii="Arial" w:hAnsi="Arial" w:cs="Arial"/>
                <w:szCs w:val="22"/>
                <w:lang w:eastAsia="en-US"/>
              </w:rPr>
            </w:pPr>
            <w:r w:rsidRPr="00DD2B86">
              <w:rPr>
                <w:rFonts w:ascii="Arial" w:hAnsi="Arial" w:cs="Arial"/>
                <w:b/>
                <w:szCs w:val="22"/>
                <w:lang w:eastAsia="en-US"/>
              </w:rPr>
              <w:t>Attachment 12:</w:t>
            </w:r>
            <w:r w:rsidRPr="00DD2B86">
              <w:rPr>
                <w:rFonts w:ascii="Arial" w:hAnsi="Arial" w:cs="Arial"/>
                <w:szCs w:val="22"/>
                <w:lang w:eastAsia="en-US"/>
              </w:rPr>
              <w:t xml:space="preserve"> Resolution to adopt IP&amp;R Documents</w:t>
            </w:r>
          </w:p>
        </w:tc>
        <w:tc>
          <w:tcPr>
            <w:tcW w:w="1134" w:type="dxa"/>
          </w:tcPr>
          <w:p w14:paraId="43C25FA3" w14:textId="77777777" w:rsidR="00DD2B86" w:rsidRPr="00DD2B86" w:rsidRDefault="00DD2B86" w:rsidP="00DD2B86">
            <w:pPr>
              <w:keepLines/>
              <w:spacing w:afterLines="60" w:after="144" w:line="210" w:lineRule="atLeast"/>
              <w:jc w:val="right"/>
              <w:rPr>
                <w:rFonts w:ascii="Arial" w:hAnsi="Arial" w:cs="Arial"/>
                <w:szCs w:val="22"/>
                <w:lang w:eastAsia="en-US"/>
              </w:rPr>
            </w:pPr>
            <w:r w:rsidRPr="00DD2B86">
              <w:rPr>
                <w:rFonts w:ascii="Arial" w:hAnsi="Arial" w:cs="Arial"/>
                <w:szCs w:val="22"/>
                <w:lang w:eastAsia="en-US"/>
              </w:rPr>
              <w:t>7</w:t>
            </w:r>
          </w:p>
        </w:tc>
        <w:tc>
          <w:tcPr>
            <w:tcW w:w="1418" w:type="dxa"/>
          </w:tcPr>
          <w:p w14:paraId="12DBBB4C" w14:textId="77777777" w:rsidR="00DD2B86" w:rsidRPr="00DD2B86" w:rsidRDefault="00DD2B86" w:rsidP="00DD2B86">
            <w:pPr>
              <w:keepLines/>
              <w:spacing w:afterLines="60" w:after="144" w:line="210" w:lineRule="atLeast"/>
              <w:jc w:val="center"/>
              <w:rPr>
                <w:rFonts w:ascii="Arial" w:hAnsi="Arial" w:cs="Arial"/>
                <w:szCs w:val="22"/>
                <w:lang w:eastAsia="en-US"/>
              </w:rPr>
            </w:pPr>
            <w:r w:rsidRPr="00DD2B86">
              <w:rPr>
                <w:rFonts w:ascii="Arial" w:hAnsi="Arial" w:cs="Arial"/>
                <w:szCs w:val="22"/>
                <w:lang w:eastAsia="en-US"/>
              </w:rPr>
              <w:sym w:font="Wingdings" w:char="F0FC"/>
            </w:r>
          </w:p>
        </w:tc>
      </w:tr>
      <w:tr w:rsidR="00DD2B86" w:rsidRPr="00DD2B86" w14:paraId="680ACF65" w14:textId="77777777" w:rsidTr="00702C53">
        <w:tc>
          <w:tcPr>
            <w:tcW w:w="7196" w:type="dxa"/>
            <w:vAlign w:val="center"/>
          </w:tcPr>
          <w:p w14:paraId="12D50B69" w14:textId="1CEB4BCB" w:rsidR="00DD2B86" w:rsidRPr="00DD2B86" w:rsidRDefault="00DD2B86" w:rsidP="00A60056">
            <w:pPr>
              <w:keepLines/>
              <w:spacing w:afterLines="60" w:after="144" w:line="210" w:lineRule="atLeast"/>
              <w:rPr>
                <w:rFonts w:ascii="Arial" w:hAnsi="Arial" w:cs="Arial"/>
                <w:szCs w:val="22"/>
                <w:lang w:eastAsia="en-US"/>
              </w:rPr>
            </w:pPr>
            <w:r w:rsidRPr="00DD2B86">
              <w:rPr>
                <w:rFonts w:ascii="Arial" w:hAnsi="Arial" w:cs="Arial"/>
                <w:b/>
                <w:szCs w:val="22"/>
                <w:lang w:eastAsia="en-US"/>
              </w:rPr>
              <w:t>Attachment 13</w:t>
            </w:r>
            <w:r w:rsidRPr="00DD2B86">
              <w:rPr>
                <w:rFonts w:ascii="Arial" w:hAnsi="Arial" w:cs="Arial"/>
                <w:szCs w:val="22"/>
                <w:lang w:eastAsia="en-US"/>
              </w:rPr>
              <w:t xml:space="preserve">: Resourcing Strategy 2014-2024 </w:t>
            </w:r>
          </w:p>
        </w:tc>
        <w:tc>
          <w:tcPr>
            <w:tcW w:w="1134" w:type="dxa"/>
          </w:tcPr>
          <w:p w14:paraId="122365EF" w14:textId="77777777" w:rsidR="00DD2B86" w:rsidRPr="00DD2B86" w:rsidRDefault="00DD2B86" w:rsidP="00DD2B86">
            <w:pPr>
              <w:keepLines/>
              <w:spacing w:afterLines="60" w:after="144" w:line="210" w:lineRule="atLeast"/>
              <w:jc w:val="right"/>
              <w:rPr>
                <w:rFonts w:ascii="Arial" w:hAnsi="Arial" w:cs="Arial"/>
                <w:szCs w:val="22"/>
                <w:lang w:eastAsia="en-US"/>
              </w:rPr>
            </w:pPr>
            <w:r w:rsidRPr="00DD2B86">
              <w:rPr>
                <w:rFonts w:ascii="Arial" w:hAnsi="Arial" w:cs="Arial"/>
                <w:szCs w:val="22"/>
                <w:lang w:eastAsia="en-US"/>
              </w:rPr>
              <w:t>1-204</w:t>
            </w:r>
          </w:p>
        </w:tc>
        <w:tc>
          <w:tcPr>
            <w:tcW w:w="1418" w:type="dxa"/>
          </w:tcPr>
          <w:p w14:paraId="730A2A6F" w14:textId="77777777" w:rsidR="00DD2B86" w:rsidRPr="00DD2B86" w:rsidRDefault="00DD2B86" w:rsidP="00DD2B86">
            <w:pPr>
              <w:keepLines/>
              <w:spacing w:afterLines="60" w:after="144" w:line="210" w:lineRule="atLeast"/>
              <w:jc w:val="center"/>
              <w:rPr>
                <w:rFonts w:ascii="Arial" w:hAnsi="Arial" w:cs="Arial"/>
                <w:szCs w:val="22"/>
                <w:lang w:eastAsia="en-US"/>
              </w:rPr>
            </w:pPr>
            <w:r w:rsidRPr="00DD2B86">
              <w:rPr>
                <w:rFonts w:ascii="Arial" w:hAnsi="Arial" w:cs="Arial"/>
                <w:szCs w:val="22"/>
                <w:lang w:eastAsia="en-US"/>
              </w:rPr>
              <w:sym w:font="Wingdings" w:char="F0FC"/>
            </w:r>
          </w:p>
        </w:tc>
      </w:tr>
      <w:tr w:rsidR="00DD2B86" w:rsidRPr="00DD2B86" w14:paraId="25AA5B10" w14:textId="77777777" w:rsidTr="00702C53">
        <w:tc>
          <w:tcPr>
            <w:tcW w:w="7196" w:type="dxa"/>
            <w:vAlign w:val="center"/>
          </w:tcPr>
          <w:p w14:paraId="01C34544" w14:textId="77777777" w:rsidR="00DD2B86" w:rsidRPr="00DD2B86" w:rsidRDefault="00DD2B86" w:rsidP="00DD2B86">
            <w:pPr>
              <w:keepLines/>
              <w:spacing w:afterLines="60" w:after="144" w:line="210" w:lineRule="atLeast"/>
              <w:rPr>
                <w:rFonts w:ascii="Arial" w:hAnsi="Arial" w:cs="Arial"/>
                <w:szCs w:val="22"/>
                <w:lang w:eastAsia="en-US"/>
              </w:rPr>
            </w:pPr>
            <w:r w:rsidRPr="00DD2B86">
              <w:rPr>
                <w:rFonts w:ascii="Arial" w:hAnsi="Arial" w:cs="Arial"/>
                <w:b/>
                <w:szCs w:val="22"/>
                <w:lang w:eastAsia="en-US"/>
              </w:rPr>
              <w:t>Attachment 14:</w:t>
            </w:r>
            <w:r w:rsidRPr="00DD2B86">
              <w:rPr>
                <w:rFonts w:ascii="Arial" w:hAnsi="Arial" w:cs="Arial"/>
                <w:szCs w:val="22"/>
                <w:lang w:eastAsia="en-US"/>
              </w:rPr>
              <w:t xml:space="preserve"> BMCC Service Framework</w:t>
            </w:r>
          </w:p>
        </w:tc>
        <w:tc>
          <w:tcPr>
            <w:tcW w:w="1134" w:type="dxa"/>
          </w:tcPr>
          <w:p w14:paraId="3B44E093" w14:textId="77777777" w:rsidR="00DD2B86" w:rsidRPr="00DD2B86" w:rsidRDefault="00DD2B86" w:rsidP="00DD2B86">
            <w:pPr>
              <w:keepLines/>
              <w:spacing w:afterLines="60" w:after="144" w:line="210" w:lineRule="atLeast"/>
              <w:jc w:val="right"/>
              <w:rPr>
                <w:rFonts w:ascii="Arial" w:hAnsi="Arial" w:cs="Arial"/>
                <w:szCs w:val="22"/>
                <w:lang w:eastAsia="en-US"/>
              </w:rPr>
            </w:pPr>
            <w:r w:rsidRPr="00DD2B86">
              <w:rPr>
                <w:rFonts w:ascii="Arial" w:hAnsi="Arial" w:cs="Arial"/>
                <w:szCs w:val="22"/>
                <w:lang w:eastAsia="en-US"/>
              </w:rPr>
              <w:t>1-36</w:t>
            </w:r>
          </w:p>
        </w:tc>
        <w:tc>
          <w:tcPr>
            <w:tcW w:w="1418" w:type="dxa"/>
          </w:tcPr>
          <w:p w14:paraId="5C683AF3" w14:textId="77777777" w:rsidR="00DD2B86" w:rsidRPr="00DD2B86" w:rsidRDefault="00DD2B86" w:rsidP="00DD2B86">
            <w:pPr>
              <w:keepLines/>
              <w:spacing w:afterLines="60" w:after="144" w:line="210" w:lineRule="atLeast"/>
              <w:jc w:val="center"/>
              <w:rPr>
                <w:rFonts w:ascii="Arial" w:hAnsi="Arial" w:cs="Arial"/>
                <w:szCs w:val="22"/>
                <w:lang w:eastAsia="en-US"/>
              </w:rPr>
            </w:pPr>
            <w:r w:rsidRPr="00DD2B86">
              <w:rPr>
                <w:rFonts w:ascii="Arial" w:hAnsi="Arial" w:cs="Arial"/>
                <w:szCs w:val="22"/>
                <w:lang w:eastAsia="en-US"/>
              </w:rPr>
              <w:sym w:font="Wingdings" w:char="F0FC"/>
            </w:r>
          </w:p>
        </w:tc>
      </w:tr>
      <w:tr w:rsidR="00DD2B86" w:rsidRPr="00DD2B86" w14:paraId="4142358B" w14:textId="77777777" w:rsidTr="00702C53">
        <w:tc>
          <w:tcPr>
            <w:tcW w:w="7196" w:type="dxa"/>
            <w:vAlign w:val="center"/>
          </w:tcPr>
          <w:p w14:paraId="1374460A" w14:textId="77777777" w:rsidR="00DD2B86" w:rsidRPr="00DD2B86" w:rsidRDefault="00DD2B86" w:rsidP="00DD2B86">
            <w:pPr>
              <w:keepLines/>
              <w:spacing w:afterLines="60" w:after="144" w:line="210" w:lineRule="atLeast"/>
              <w:rPr>
                <w:rFonts w:ascii="Arial" w:hAnsi="Arial" w:cs="Arial"/>
                <w:szCs w:val="22"/>
                <w:lang w:eastAsia="en-US"/>
              </w:rPr>
            </w:pPr>
            <w:r w:rsidRPr="00DD2B86">
              <w:rPr>
                <w:rFonts w:ascii="Arial" w:hAnsi="Arial" w:cs="Arial"/>
                <w:b/>
                <w:szCs w:val="22"/>
                <w:lang w:eastAsia="en-US"/>
              </w:rPr>
              <w:t>Attachment 15:</w:t>
            </w:r>
            <w:r w:rsidRPr="00DD2B86">
              <w:rPr>
                <w:rFonts w:ascii="Arial" w:hAnsi="Arial" w:cs="Arial"/>
                <w:szCs w:val="22"/>
                <w:lang w:eastAsia="en-US"/>
              </w:rPr>
              <w:t xml:space="preserve"> BMCC Community Survey Results 2009-2014</w:t>
            </w:r>
          </w:p>
        </w:tc>
        <w:tc>
          <w:tcPr>
            <w:tcW w:w="1134" w:type="dxa"/>
          </w:tcPr>
          <w:p w14:paraId="6EAF9D36" w14:textId="77777777" w:rsidR="00DD2B86" w:rsidRPr="00DD2B86" w:rsidRDefault="00DD2B86" w:rsidP="00DD2B86">
            <w:pPr>
              <w:keepLines/>
              <w:spacing w:afterLines="60" w:after="144" w:line="210" w:lineRule="atLeast"/>
              <w:jc w:val="right"/>
              <w:rPr>
                <w:rFonts w:ascii="Arial" w:hAnsi="Arial" w:cs="Arial"/>
                <w:szCs w:val="22"/>
                <w:lang w:eastAsia="en-US"/>
              </w:rPr>
            </w:pPr>
            <w:r w:rsidRPr="00DD2B86">
              <w:rPr>
                <w:rFonts w:ascii="Arial" w:hAnsi="Arial" w:cs="Arial"/>
                <w:szCs w:val="22"/>
                <w:lang w:eastAsia="en-US"/>
              </w:rPr>
              <w:t>1-12</w:t>
            </w:r>
          </w:p>
        </w:tc>
        <w:tc>
          <w:tcPr>
            <w:tcW w:w="1418" w:type="dxa"/>
          </w:tcPr>
          <w:p w14:paraId="622F0791" w14:textId="77777777" w:rsidR="00DD2B86" w:rsidRPr="00DD2B86" w:rsidRDefault="00DD2B86" w:rsidP="00DD2B86">
            <w:pPr>
              <w:keepLines/>
              <w:spacing w:afterLines="60" w:after="144" w:line="210" w:lineRule="atLeast"/>
              <w:jc w:val="center"/>
              <w:rPr>
                <w:rFonts w:ascii="Arial" w:hAnsi="Arial" w:cs="Arial"/>
                <w:szCs w:val="22"/>
                <w:lang w:eastAsia="en-US"/>
              </w:rPr>
            </w:pPr>
            <w:r w:rsidRPr="00DD2B86">
              <w:rPr>
                <w:rFonts w:ascii="Arial" w:hAnsi="Arial" w:cs="Arial"/>
                <w:szCs w:val="22"/>
                <w:lang w:eastAsia="en-US"/>
              </w:rPr>
              <w:sym w:font="Wingdings" w:char="F0FC"/>
            </w:r>
          </w:p>
        </w:tc>
      </w:tr>
    </w:tbl>
    <w:p w14:paraId="240CF69B" w14:textId="77777777" w:rsidR="00DD2B86" w:rsidRPr="00DD2B86" w:rsidRDefault="00DD2B86" w:rsidP="00DD2B86">
      <w:pPr>
        <w:spacing w:before="240" w:after="200"/>
        <w:ind w:right="1371"/>
        <w:jc w:val="both"/>
        <w:rPr>
          <w:rFonts w:asciiTheme="minorHAnsi" w:eastAsiaTheme="minorHAnsi" w:hAnsiTheme="minorHAnsi" w:cstheme="minorBidi"/>
          <w:szCs w:val="22"/>
          <w:lang w:eastAsia="en-US"/>
        </w:rPr>
      </w:pPr>
      <w:r w:rsidRPr="00DD2B86">
        <w:rPr>
          <w:rFonts w:asciiTheme="minorHAnsi" w:eastAsiaTheme="minorHAnsi" w:hAnsiTheme="minorHAnsi" w:cstheme="minorBidi"/>
          <w:szCs w:val="22"/>
          <w:u w:val="single"/>
          <w:lang w:eastAsia="en-US"/>
        </w:rPr>
        <w:t>Note</w:t>
      </w:r>
      <w:r w:rsidRPr="00DD2B86">
        <w:rPr>
          <w:rFonts w:asciiTheme="minorHAnsi" w:eastAsiaTheme="minorHAnsi" w:hAnsiTheme="minorHAnsi" w:cstheme="minorBidi"/>
          <w:szCs w:val="22"/>
          <w:lang w:eastAsia="en-US"/>
        </w:rPr>
        <w:t xml:space="preserve">: Internal referencing in Part B is made to the PDF Attachments as listed above and sent to IPART 16 February 2015.  </w:t>
      </w:r>
    </w:p>
    <w:p w14:paraId="205D5B5F" w14:textId="77777777" w:rsidR="00DD2B86" w:rsidRPr="00DD2B86" w:rsidRDefault="00DD2B86" w:rsidP="00DD2B86">
      <w:pPr>
        <w:spacing w:before="240" w:after="200"/>
        <w:ind w:right="1371"/>
        <w:jc w:val="both"/>
        <w:rPr>
          <w:rFonts w:asciiTheme="minorHAnsi" w:eastAsiaTheme="minorHAnsi" w:hAnsiTheme="minorHAnsi" w:cstheme="minorBidi"/>
          <w:szCs w:val="22"/>
          <w:lang w:eastAsia="en-US"/>
        </w:rPr>
      </w:pPr>
      <w:r w:rsidRPr="00DD2B86">
        <w:rPr>
          <w:rFonts w:asciiTheme="minorHAnsi" w:eastAsiaTheme="minorHAnsi" w:hAnsiTheme="minorHAnsi" w:cstheme="minorBidi"/>
          <w:szCs w:val="22"/>
          <w:lang w:eastAsia="en-US"/>
        </w:rPr>
        <w:t>Referral to specific Attachment page numbers are made to the numbers shown within each PDF Attachment in the bottom right corner - except for 5b where the numbering is at the top right; and 6a where it is at bottom left.</w:t>
      </w:r>
    </w:p>
    <w:p w14:paraId="18D70571" w14:textId="77777777" w:rsidR="00D60EA5" w:rsidRPr="00303275" w:rsidRDefault="004340DD" w:rsidP="006607B9">
      <w:pPr>
        <w:pStyle w:val="Heading1"/>
      </w:pPr>
      <w:r>
        <w:br w:type="column"/>
      </w:r>
      <w:bookmarkStart w:id="112" w:name="_Toc412798936"/>
      <w:r w:rsidR="00D60EA5" w:rsidRPr="00303275">
        <w:t>Certification</w:t>
      </w:r>
      <w:bookmarkEnd w:id="112"/>
    </w:p>
    <w:p w14:paraId="18D70572" w14:textId="77777777" w:rsidR="005C4769" w:rsidRPr="00303275" w:rsidRDefault="005C4769" w:rsidP="005C4769">
      <w:pPr>
        <w:pStyle w:val="BodyText"/>
        <w:rPr>
          <w:b/>
        </w:rPr>
      </w:pPr>
      <w:r w:rsidRPr="00303275">
        <w:rPr>
          <w:b/>
        </w:rPr>
        <w:t xml:space="preserve">APPLICATION FOR A SPECIAL RATE VARIATION </w:t>
      </w:r>
    </w:p>
    <w:p w14:paraId="18D70573" w14:textId="77777777" w:rsidR="005C4769" w:rsidRPr="00303275" w:rsidRDefault="005C4769" w:rsidP="005C4769">
      <w:pPr>
        <w:pStyle w:val="BodyText"/>
        <w:rPr>
          <w:b/>
        </w:rPr>
      </w:pPr>
      <w:r w:rsidRPr="00303275">
        <w:rPr>
          <w:b/>
        </w:rPr>
        <w:t>To be completed by General Manager and Responsible Accounting Officer</w:t>
      </w:r>
    </w:p>
    <w:p w14:paraId="18D70574" w14:textId="57021CA3" w:rsidR="005C4769" w:rsidRPr="00303275" w:rsidRDefault="005C4769" w:rsidP="005C4769">
      <w:pPr>
        <w:pStyle w:val="BodyText"/>
      </w:pPr>
      <w:r w:rsidRPr="00303275">
        <w:t xml:space="preserve">Name of council: </w:t>
      </w:r>
      <w:r w:rsidR="00315A2B">
        <w:t>Blue Mountains City Council</w:t>
      </w:r>
    </w:p>
    <w:p w14:paraId="18D70575" w14:textId="77777777" w:rsidR="002550E3" w:rsidRPr="00303275" w:rsidRDefault="002550E3" w:rsidP="005C4769">
      <w:pPr>
        <w:pStyle w:val="BodyText"/>
      </w:pPr>
    </w:p>
    <w:p w14:paraId="18D70576" w14:textId="77777777" w:rsidR="002550E3" w:rsidRPr="00303275" w:rsidRDefault="005C4769" w:rsidP="005C4769">
      <w:pPr>
        <w:pStyle w:val="BodyText"/>
      </w:pPr>
      <w:r w:rsidRPr="00303275">
        <w:t>We certify that to the best of our knowledge the information provided in this appli</w:t>
      </w:r>
      <w:r w:rsidR="002550E3" w:rsidRPr="00303275">
        <w:t>cation is correct and complete.</w:t>
      </w:r>
    </w:p>
    <w:p w14:paraId="18D70577" w14:textId="42B43A8D" w:rsidR="005C4769" w:rsidRPr="00303275" w:rsidRDefault="005C4769" w:rsidP="005C4769">
      <w:pPr>
        <w:pStyle w:val="BodyText"/>
      </w:pPr>
      <w:r w:rsidRPr="00303275">
        <w:t xml:space="preserve">General Manager (name): </w:t>
      </w:r>
      <w:r w:rsidR="00315A2B">
        <w:t>Robert Greenwood</w:t>
      </w:r>
    </w:p>
    <w:p w14:paraId="18D70578" w14:textId="77777777" w:rsidR="005C4769" w:rsidRPr="00303275" w:rsidRDefault="005C4769" w:rsidP="005C4769">
      <w:pPr>
        <w:pStyle w:val="BodyText"/>
      </w:pPr>
      <w:r w:rsidRPr="00303275">
        <w:t xml:space="preserve">Signature and Date: </w:t>
      </w:r>
      <w:r w:rsidRPr="00303275">
        <w:fldChar w:fldCharType="begin">
          <w:ffData>
            <w:name w:val="Text25"/>
            <w:enabled/>
            <w:calcOnExit w:val="0"/>
            <w:textInput/>
          </w:ffData>
        </w:fldChar>
      </w:r>
      <w:bookmarkStart w:id="113" w:name="Text25"/>
      <w:r w:rsidRPr="00303275">
        <w:instrText xml:space="preserve"> FORMTEXT </w:instrText>
      </w:r>
      <w:r w:rsidRPr="00303275">
        <w:fldChar w:fldCharType="separate"/>
      </w:r>
      <w:r w:rsidRPr="00303275">
        <w:rPr>
          <w:noProof/>
        </w:rPr>
        <w:t> </w:t>
      </w:r>
      <w:r w:rsidRPr="00303275">
        <w:rPr>
          <w:noProof/>
        </w:rPr>
        <w:t> </w:t>
      </w:r>
      <w:r w:rsidRPr="00303275">
        <w:rPr>
          <w:noProof/>
        </w:rPr>
        <w:t> </w:t>
      </w:r>
      <w:r w:rsidRPr="00303275">
        <w:rPr>
          <w:noProof/>
        </w:rPr>
        <w:t> </w:t>
      </w:r>
      <w:r w:rsidRPr="00303275">
        <w:rPr>
          <w:noProof/>
        </w:rPr>
        <w:t> </w:t>
      </w:r>
      <w:r w:rsidRPr="00303275">
        <w:fldChar w:fldCharType="end"/>
      </w:r>
      <w:bookmarkEnd w:id="113"/>
    </w:p>
    <w:p w14:paraId="18D70579" w14:textId="37AC1D16" w:rsidR="005C4769" w:rsidRPr="00303275" w:rsidRDefault="005C4769" w:rsidP="005C4769">
      <w:pPr>
        <w:pStyle w:val="BodyText"/>
      </w:pPr>
      <w:r w:rsidRPr="00303275">
        <w:t xml:space="preserve">Responsible Accounting Officer (name): </w:t>
      </w:r>
      <w:r w:rsidR="00315A2B">
        <w:t>Neil Farquharson</w:t>
      </w:r>
    </w:p>
    <w:p w14:paraId="18D7057A" w14:textId="77777777" w:rsidR="005C4769" w:rsidRPr="00303275" w:rsidRDefault="005C4769" w:rsidP="005C4769">
      <w:pPr>
        <w:pStyle w:val="BodyText"/>
      </w:pPr>
      <w:r w:rsidRPr="00303275">
        <w:t xml:space="preserve">Signature and Date: </w:t>
      </w:r>
      <w:r w:rsidRPr="00303275">
        <w:fldChar w:fldCharType="begin">
          <w:ffData>
            <w:name w:val="Text27"/>
            <w:enabled/>
            <w:calcOnExit w:val="0"/>
            <w:textInput/>
          </w:ffData>
        </w:fldChar>
      </w:r>
      <w:bookmarkStart w:id="114" w:name="Text27"/>
      <w:r w:rsidRPr="00303275">
        <w:instrText xml:space="preserve"> FORMTEXT </w:instrText>
      </w:r>
      <w:r w:rsidRPr="00303275">
        <w:fldChar w:fldCharType="separate"/>
      </w:r>
      <w:r w:rsidRPr="00303275">
        <w:rPr>
          <w:noProof/>
        </w:rPr>
        <w:t> </w:t>
      </w:r>
      <w:r w:rsidRPr="00303275">
        <w:rPr>
          <w:noProof/>
        </w:rPr>
        <w:t> </w:t>
      </w:r>
      <w:r w:rsidRPr="00303275">
        <w:rPr>
          <w:noProof/>
        </w:rPr>
        <w:t> </w:t>
      </w:r>
      <w:r w:rsidRPr="00303275">
        <w:rPr>
          <w:noProof/>
        </w:rPr>
        <w:t> </w:t>
      </w:r>
      <w:r w:rsidRPr="00303275">
        <w:rPr>
          <w:noProof/>
        </w:rPr>
        <w:t> </w:t>
      </w:r>
      <w:r w:rsidRPr="00303275">
        <w:fldChar w:fldCharType="end"/>
      </w:r>
      <w:bookmarkEnd w:id="114"/>
    </w:p>
    <w:p w14:paraId="18D7057B" w14:textId="77777777" w:rsidR="002550E3" w:rsidRPr="00303275" w:rsidRDefault="002550E3" w:rsidP="005C4769">
      <w:pPr>
        <w:pStyle w:val="BodyText"/>
      </w:pPr>
    </w:p>
    <w:p w14:paraId="18D7057C" w14:textId="77777777" w:rsidR="005C4769" w:rsidRDefault="005C4769" w:rsidP="005C4769">
      <w:pPr>
        <w:pStyle w:val="BodyText"/>
      </w:pPr>
      <w:r w:rsidRPr="00303275">
        <w:t xml:space="preserve">Once completed, </w:t>
      </w:r>
      <w:r w:rsidR="00303275" w:rsidRPr="00303275">
        <w:t xml:space="preserve">please </w:t>
      </w:r>
      <w:r w:rsidRPr="00303275">
        <w:t xml:space="preserve">scan the signed certification and attach it as a public supporting document online via the Council Portal on </w:t>
      </w:r>
      <w:r w:rsidR="00B417F9" w:rsidRPr="00303275">
        <w:t>IPART’s</w:t>
      </w:r>
      <w:r w:rsidRPr="00303275">
        <w:t xml:space="preserve"> website.</w:t>
      </w:r>
    </w:p>
    <w:p w14:paraId="18D7057D" w14:textId="77777777" w:rsidR="00D60EA5" w:rsidRPr="000F359C" w:rsidRDefault="00D60EA5" w:rsidP="000F359C">
      <w:pPr>
        <w:pStyle w:val="BodyText"/>
      </w:pPr>
    </w:p>
    <w:p w14:paraId="18D7057E" w14:textId="77777777" w:rsidR="000F359C" w:rsidRDefault="000F359C" w:rsidP="00562CD3">
      <w:pPr>
        <w:pStyle w:val="BodyText"/>
      </w:pPr>
    </w:p>
    <w:sectPr w:rsidR="000F359C" w:rsidSect="00411C53">
      <w:pgSz w:w="11907" w:h="16840" w:code="9"/>
      <w:pgMar w:top="426" w:right="1701" w:bottom="1276" w:left="1560" w:header="113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D70584" w14:textId="77777777" w:rsidR="005864FD" w:rsidRDefault="005864FD" w:rsidP="00856DDC">
      <w:r>
        <w:separator/>
      </w:r>
    </w:p>
    <w:p w14:paraId="18D70585" w14:textId="77777777" w:rsidR="005864FD" w:rsidRDefault="005864FD"/>
  </w:endnote>
  <w:endnote w:type="continuationSeparator" w:id="0">
    <w:p w14:paraId="18D70586" w14:textId="77777777" w:rsidR="005864FD" w:rsidRDefault="005864FD" w:rsidP="00856DDC">
      <w:r>
        <w:continuationSeparator/>
      </w:r>
    </w:p>
    <w:p w14:paraId="18D70587" w14:textId="77777777" w:rsidR="005864FD" w:rsidRDefault="005864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Frutiger LT Std 45 Light">
    <w:altName w:val="Century Gothic"/>
    <w:panose1 w:val="00000000000000000000"/>
    <w:charset w:val="00"/>
    <w:family w:val="swiss"/>
    <w:notTrueType/>
    <w:pitch w:val="variable"/>
    <w:sig w:usb0="800000AF" w:usb1="4000204A"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FrutigerLTStd-Light">
    <w:altName w:val="Century Gothic"/>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567"/>
      <w:gridCol w:w="142"/>
      <w:gridCol w:w="142"/>
      <w:gridCol w:w="7938"/>
    </w:tblGrid>
    <w:tr w:rsidR="005864FD" w14:paraId="18D7058F" w14:textId="77777777">
      <w:trPr>
        <w:cantSplit/>
      </w:trPr>
      <w:tc>
        <w:tcPr>
          <w:tcW w:w="567" w:type="dxa"/>
          <w:vAlign w:val="bottom"/>
        </w:tcPr>
        <w:p w14:paraId="18D7058B" w14:textId="77777777" w:rsidR="005864FD" w:rsidRDefault="005864FD" w:rsidP="00321AF3">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tc>
      <w:tc>
        <w:tcPr>
          <w:tcW w:w="142" w:type="dxa"/>
          <w:tcBorders>
            <w:right w:val="single" w:sz="8" w:space="0" w:color="7C7C7C"/>
          </w:tcBorders>
          <w:vAlign w:val="bottom"/>
        </w:tcPr>
        <w:p w14:paraId="18D7058C" w14:textId="77777777" w:rsidR="005864FD" w:rsidRDefault="005864FD" w:rsidP="00321AF3">
          <w:pPr>
            <w:pStyle w:val="Footer"/>
          </w:pPr>
        </w:p>
      </w:tc>
      <w:tc>
        <w:tcPr>
          <w:tcW w:w="142" w:type="dxa"/>
          <w:tcBorders>
            <w:left w:val="single" w:sz="8" w:space="0" w:color="7C7C7C"/>
          </w:tcBorders>
          <w:vAlign w:val="bottom"/>
        </w:tcPr>
        <w:p w14:paraId="18D7058D" w14:textId="77777777" w:rsidR="005864FD" w:rsidRDefault="005864FD" w:rsidP="00321AF3">
          <w:pPr>
            <w:pStyle w:val="Footer"/>
          </w:pPr>
        </w:p>
      </w:tc>
      <w:tc>
        <w:tcPr>
          <w:tcW w:w="7938" w:type="dxa"/>
          <w:vAlign w:val="bottom"/>
        </w:tcPr>
        <w:p w14:paraId="18D7058E" w14:textId="77777777" w:rsidR="005864FD" w:rsidRDefault="005864FD" w:rsidP="00321AF3">
          <w:pPr>
            <w:pStyle w:val="Footer"/>
          </w:pPr>
          <w:r w:rsidRPr="00D661A7">
            <w:rPr>
              <w:b/>
            </w:rPr>
            <w:t>IPART</w:t>
          </w:r>
          <w:r w:rsidRPr="00CF179E">
            <w:rPr>
              <w:rFonts w:eastAsia="Arial Unicode MS" w:hAnsi="Arial Unicode MS" w:cs="Arial"/>
            </w:rPr>
            <w:t> </w:t>
          </w:r>
          <w:fldSimple w:instr=" STYLEREF  Title ">
            <w:r w:rsidR="00EA74FD">
              <w:rPr>
                <w:noProof/>
              </w:rPr>
              <w:t>Special Variation Application Form – Part B</w:t>
            </w:r>
          </w:fldSimple>
        </w:p>
      </w:tc>
    </w:tr>
  </w:tbl>
  <w:p w14:paraId="18D70590" w14:textId="77777777" w:rsidR="005864FD" w:rsidRPr="00D661A7" w:rsidRDefault="005864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938"/>
      <w:gridCol w:w="142"/>
      <w:gridCol w:w="142"/>
      <w:gridCol w:w="567"/>
    </w:tblGrid>
    <w:tr w:rsidR="005864FD" w14:paraId="18D70595" w14:textId="77777777">
      <w:trPr>
        <w:cantSplit/>
      </w:trPr>
      <w:tc>
        <w:tcPr>
          <w:tcW w:w="7938" w:type="dxa"/>
          <w:vAlign w:val="bottom"/>
        </w:tcPr>
        <w:p w14:paraId="18D70591" w14:textId="77777777" w:rsidR="005864FD" w:rsidRDefault="00EA74FD" w:rsidP="00321AF3">
          <w:pPr>
            <w:pStyle w:val="Footer"/>
            <w:jc w:val="right"/>
          </w:pPr>
          <w:fldSimple w:instr=" STYLEREF  Title ">
            <w:r w:rsidR="004217BA">
              <w:rPr>
                <w:noProof/>
              </w:rPr>
              <w:t>Special Variation Application Form – Part B</w:t>
            </w:r>
          </w:fldSimple>
          <w:r w:rsidR="005864FD" w:rsidRPr="00AE38E8">
            <w:rPr>
              <w:rFonts w:ascii="Arial Unicode MS" w:eastAsia="Arial Unicode MS" w:hAnsi="Arial Unicode MS" w:cs="Arial Unicode MS" w:hint="eastAsia"/>
            </w:rPr>
            <w:t> </w:t>
          </w:r>
          <w:r w:rsidR="005864FD" w:rsidRPr="00D661A7">
            <w:rPr>
              <w:b/>
            </w:rPr>
            <w:t>IPART</w:t>
          </w:r>
        </w:p>
      </w:tc>
      <w:tc>
        <w:tcPr>
          <w:tcW w:w="142" w:type="dxa"/>
          <w:tcBorders>
            <w:right w:val="single" w:sz="8" w:space="0" w:color="7C7C7C"/>
          </w:tcBorders>
          <w:vAlign w:val="bottom"/>
        </w:tcPr>
        <w:p w14:paraId="18D70592" w14:textId="77777777" w:rsidR="005864FD" w:rsidRDefault="005864FD" w:rsidP="00321AF3">
          <w:pPr>
            <w:pStyle w:val="Footer"/>
          </w:pPr>
        </w:p>
      </w:tc>
      <w:tc>
        <w:tcPr>
          <w:tcW w:w="142" w:type="dxa"/>
          <w:tcBorders>
            <w:left w:val="single" w:sz="8" w:space="0" w:color="7C7C7C"/>
          </w:tcBorders>
          <w:vAlign w:val="bottom"/>
        </w:tcPr>
        <w:p w14:paraId="18D70593" w14:textId="77777777" w:rsidR="005864FD" w:rsidRDefault="005864FD" w:rsidP="00321AF3">
          <w:pPr>
            <w:pStyle w:val="Footer"/>
          </w:pPr>
        </w:p>
      </w:tc>
      <w:tc>
        <w:tcPr>
          <w:tcW w:w="567" w:type="dxa"/>
          <w:vAlign w:val="bottom"/>
        </w:tcPr>
        <w:p w14:paraId="18D70594" w14:textId="77777777" w:rsidR="005864FD" w:rsidRDefault="005864FD" w:rsidP="00321AF3">
          <w:pPr>
            <w:pStyle w:val="Footer"/>
          </w:pPr>
          <w:r>
            <w:rPr>
              <w:rStyle w:val="PageNumber"/>
            </w:rPr>
            <w:fldChar w:fldCharType="begin"/>
          </w:r>
          <w:r>
            <w:rPr>
              <w:rStyle w:val="PageNumber"/>
            </w:rPr>
            <w:instrText xml:space="preserve"> PAGE </w:instrText>
          </w:r>
          <w:r>
            <w:rPr>
              <w:rStyle w:val="PageNumber"/>
            </w:rPr>
            <w:fldChar w:fldCharType="separate"/>
          </w:r>
          <w:r w:rsidR="004217BA">
            <w:rPr>
              <w:rStyle w:val="PageNumber"/>
              <w:noProof/>
            </w:rPr>
            <w:t>v</w:t>
          </w:r>
          <w:r>
            <w:rPr>
              <w:rStyle w:val="PageNumber"/>
            </w:rPr>
            <w:fldChar w:fldCharType="end"/>
          </w:r>
        </w:p>
      </w:tc>
    </w:tr>
  </w:tbl>
  <w:p w14:paraId="18D70596" w14:textId="77777777" w:rsidR="005864FD" w:rsidRPr="00BB2D33" w:rsidRDefault="005864F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D7059A" w14:textId="77777777" w:rsidR="005864FD" w:rsidRPr="002231EC" w:rsidRDefault="005864FD">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r>
      <w:rPr>
        <w:rStyle w:val="PageNumber"/>
      </w:rPr>
      <w:tab/>
    </w:r>
    <w:r w:rsidRPr="002231EC">
      <w:rPr>
        <w:b/>
      </w:rPr>
      <w:t>IPART</w:t>
    </w:r>
    <w:r w:rsidRPr="002231EC">
      <w:tab/>
    </w:r>
    <w:r w:rsidRPr="002231EC">
      <w:rPr>
        <w:sz w:val="24"/>
        <w:szCs w:val="24"/>
      </w:rPr>
      <w:t>|</w:t>
    </w:r>
    <w:r w:rsidRPr="002231EC">
      <w:tab/>
      <w:t>Report title goes here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567"/>
      <w:gridCol w:w="142"/>
      <w:gridCol w:w="142"/>
      <w:gridCol w:w="7938"/>
    </w:tblGrid>
    <w:tr w:rsidR="005864FD" w14:paraId="18D705A1" w14:textId="77777777">
      <w:trPr>
        <w:cantSplit/>
      </w:trPr>
      <w:tc>
        <w:tcPr>
          <w:tcW w:w="567" w:type="dxa"/>
          <w:vAlign w:val="bottom"/>
        </w:tcPr>
        <w:p w14:paraId="18D7059D" w14:textId="77777777" w:rsidR="005864FD" w:rsidRDefault="005864FD" w:rsidP="00BB7D2D">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tc>
      <w:tc>
        <w:tcPr>
          <w:tcW w:w="142" w:type="dxa"/>
          <w:tcBorders>
            <w:right w:val="single" w:sz="8" w:space="0" w:color="7C7C7C"/>
          </w:tcBorders>
          <w:vAlign w:val="bottom"/>
        </w:tcPr>
        <w:p w14:paraId="18D7059E" w14:textId="77777777" w:rsidR="005864FD" w:rsidRDefault="005864FD" w:rsidP="00BB7D2D">
          <w:pPr>
            <w:pStyle w:val="Footer"/>
          </w:pPr>
        </w:p>
      </w:tc>
      <w:tc>
        <w:tcPr>
          <w:tcW w:w="142" w:type="dxa"/>
          <w:tcBorders>
            <w:left w:val="single" w:sz="8" w:space="0" w:color="7C7C7C"/>
          </w:tcBorders>
          <w:vAlign w:val="bottom"/>
        </w:tcPr>
        <w:p w14:paraId="18D7059F" w14:textId="77777777" w:rsidR="005864FD" w:rsidRDefault="005864FD" w:rsidP="00BB7D2D">
          <w:pPr>
            <w:pStyle w:val="Footer"/>
          </w:pPr>
        </w:p>
      </w:tc>
      <w:tc>
        <w:tcPr>
          <w:tcW w:w="7938" w:type="dxa"/>
          <w:vAlign w:val="bottom"/>
        </w:tcPr>
        <w:p w14:paraId="18D705A0" w14:textId="77777777" w:rsidR="005864FD" w:rsidRDefault="005864FD" w:rsidP="00BB7D2D">
          <w:pPr>
            <w:pStyle w:val="Footer"/>
          </w:pPr>
          <w:r w:rsidRPr="00D661A7">
            <w:rPr>
              <w:b/>
            </w:rPr>
            <w:t>IPART</w:t>
          </w:r>
          <w:r w:rsidRPr="00CF179E">
            <w:rPr>
              <w:rFonts w:eastAsia="Arial Unicode MS" w:hAnsi="Arial Unicode MS" w:cs="Arial"/>
            </w:rPr>
            <w:t> </w:t>
          </w:r>
          <w:fldSimple w:instr=" STYLEREF  Title ">
            <w:r w:rsidR="00EA74FD">
              <w:rPr>
                <w:noProof/>
              </w:rPr>
              <w:t>Special Variation Application Form – Part B</w:t>
            </w:r>
          </w:fldSimple>
        </w:p>
      </w:tc>
    </w:tr>
  </w:tbl>
  <w:p w14:paraId="18D705A2" w14:textId="77777777" w:rsidR="005864FD" w:rsidRDefault="005864FD" w:rsidP="00D174F9">
    <w:pPr>
      <w:pStyle w:val="Footer"/>
    </w:pPr>
  </w:p>
  <w:p w14:paraId="395FA0A8" w14:textId="77777777" w:rsidR="005864FD" w:rsidRDefault="005864F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789"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938"/>
      <w:gridCol w:w="142"/>
      <w:gridCol w:w="142"/>
      <w:gridCol w:w="567"/>
    </w:tblGrid>
    <w:tr w:rsidR="005864FD" w14:paraId="18D705A7" w14:textId="77777777" w:rsidTr="000D0C45">
      <w:trPr>
        <w:cantSplit/>
      </w:trPr>
      <w:tc>
        <w:tcPr>
          <w:tcW w:w="7938" w:type="dxa"/>
          <w:vAlign w:val="bottom"/>
        </w:tcPr>
        <w:p w14:paraId="18D705A3" w14:textId="583C0760" w:rsidR="005864FD" w:rsidRDefault="005864FD" w:rsidP="00E0722D">
          <w:pPr>
            <w:pStyle w:val="Footer"/>
            <w:jc w:val="right"/>
          </w:pPr>
          <w:r w:rsidRPr="00E0722D">
            <w:rPr>
              <w:b/>
            </w:rPr>
            <w:t>B</w:t>
          </w:r>
          <w:r>
            <w:rPr>
              <w:b/>
            </w:rPr>
            <w:t xml:space="preserve">LUE MOUNTAINS CITY COUNCIL </w:t>
          </w:r>
          <w:r>
            <w:t xml:space="preserve">- </w:t>
          </w:r>
          <w:fldSimple w:instr=" STYLEREF  Title ">
            <w:r w:rsidR="004217BA">
              <w:rPr>
                <w:noProof/>
              </w:rPr>
              <w:t>Special Variation Application Form – Part B</w:t>
            </w:r>
          </w:fldSimple>
          <w:bookmarkStart w:id="85" w:name="_Toc175058581"/>
          <w:r w:rsidRPr="00AE38E8">
            <w:rPr>
              <w:rFonts w:ascii="Arial Unicode MS" w:eastAsia="Arial Unicode MS" w:hAnsi="Arial Unicode MS" w:cs="Arial Unicode MS" w:hint="eastAsia"/>
            </w:rPr>
            <w:t> </w:t>
          </w:r>
          <w:r w:rsidRPr="00D661A7">
            <w:rPr>
              <w:b/>
            </w:rPr>
            <w:t>IPART</w:t>
          </w:r>
        </w:p>
      </w:tc>
      <w:tc>
        <w:tcPr>
          <w:tcW w:w="142" w:type="dxa"/>
          <w:vAlign w:val="bottom"/>
        </w:tcPr>
        <w:p w14:paraId="18D705A4" w14:textId="77777777" w:rsidR="005864FD" w:rsidRDefault="005864FD" w:rsidP="00BB7D2D">
          <w:pPr>
            <w:pStyle w:val="Footer"/>
          </w:pPr>
        </w:p>
      </w:tc>
      <w:tc>
        <w:tcPr>
          <w:tcW w:w="142" w:type="dxa"/>
          <w:vAlign w:val="bottom"/>
        </w:tcPr>
        <w:p w14:paraId="18D705A5" w14:textId="77777777" w:rsidR="005864FD" w:rsidRDefault="005864FD" w:rsidP="00BB7D2D">
          <w:pPr>
            <w:pStyle w:val="Footer"/>
          </w:pPr>
        </w:p>
      </w:tc>
      <w:tc>
        <w:tcPr>
          <w:tcW w:w="567" w:type="dxa"/>
          <w:vAlign w:val="bottom"/>
        </w:tcPr>
        <w:p w14:paraId="18D705A6" w14:textId="77777777" w:rsidR="005864FD" w:rsidRDefault="005864FD" w:rsidP="00BB7D2D">
          <w:pPr>
            <w:pStyle w:val="Footer"/>
          </w:pPr>
          <w:r>
            <w:rPr>
              <w:rStyle w:val="PageNumber"/>
            </w:rPr>
            <w:fldChar w:fldCharType="begin"/>
          </w:r>
          <w:r>
            <w:rPr>
              <w:rStyle w:val="PageNumber"/>
            </w:rPr>
            <w:instrText xml:space="preserve"> PAGE </w:instrText>
          </w:r>
          <w:r>
            <w:rPr>
              <w:rStyle w:val="PageNumber"/>
            </w:rPr>
            <w:fldChar w:fldCharType="separate"/>
          </w:r>
          <w:r w:rsidR="004217BA">
            <w:rPr>
              <w:rStyle w:val="PageNumber"/>
              <w:noProof/>
            </w:rPr>
            <w:t>43</w:t>
          </w:r>
          <w:r>
            <w:rPr>
              <w:rStyle w:val="PageNumber"/>
            </w:rPr>
            <w:fldChar w:fldCharType="end"/>
          </w:r>
        </w:p>
      </w:tc>
    </w:tr>
    <w:bookmarkEnd w:id="85"/>
  </w:tbl>
  <w:p w14:paraId="18D705A8" w14:textId="77777777" w:rsidR="005864FD" w:rsidRDefault="005864FD" w:rsidP="00916F92">
    <w:pPr>
      <w:pStyle w:val="Footer"/>
    </w:pPr>
  </w:p>
  <w:p w14:paraId="0AE61A65" w14:textId="77777777" w:rsidR="005864FD" w:rsidRDefault="005864F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D70581" w14:textId="77777777" w:rsidR="005864FD" w:rsidRDefault="005864FD" w:rsidP="00856DDC">
      <w:r>
        <w:separator/>
      </w:r>
    </w:p>
  </w:footnote>
  <w:footnote w:type="continuationSeparator" w:id="0">
    <w:p w14:paraId="18D70582" w14:textId="77777777" w:rsidR="005864FD" w:rsidRDefault="005864FD" w:rsidP="00856DDC">
      <w:r>
        <w:continuationSeparator/>
      </w:r>
    </w:p>
    <w:p w14:paraId="18D70583" w14:textId="77777777" w:rsidR="005864FD" w:rsidRDefault="005864FD"/>
  </w:footnote>
  <w:footnote w:id="1">
    <w:p w14:paraId="7276381B" w14:textId="1663EE68" w:rsidR="005864FD" w:rsidRDefault="005864FD" w:rsidP="009012F5">
      <w:pPr>
        <w:pStyle w:val="FootnoteText"/>
        <w:rPr>
          <w:rFonts w:ascii="Arial" w:hAnsi="Arial" w:cs="Arial"/>
        </w:rPr>
      </w:pPr>
      <w:r>
        <w:rPr>
          <w:rStyle w:val="FootnoteReference"/>
        </w:rPr>
        <w:footnoteRef/>
      </w:r>
      <w:r>
        <w:t xml:space="preserve"> </w:t>
      </w:r>
      <w:r>
        <w:rPr>
          <w:rFonts w:ascii="Arial" w:hAnsi="Arial" w:cs="Arial"/>
        </w:rPr>
        <w:t xml:space="preserve">See </w:t>
      </w:r>
      <w:r w:rsidRPr="00146480">
        <w:rPr>
          <w:rFonts w:ascii="Arial" w:hAnsi="Arial" w:cs="Arial"/>
          <w:b/>
        </w:rPr>
        <w:t>Attachment 4</w:t>
      </w:r>
      <w:r w:rsidRPr="000D22D4">
        <w:rPr>
          <w:rFonts w:ascii="Arial" w:hAnsi="Arial" w:cs="Arial"/>
        </w:rPr>
        <w:t xml:space="preserve"> – </w:t>
      </w:r>
      <w:r w:rsidRPr="00B30DAD">
        <w:rPr>
          <w:rFonts w:ascii="Arial" w:hAnsi="Arial" w:cs="Arial"/>
          <w:i/>
        </w:rPr>
        <w:t>TCorp Financial Assessment and Benchmarking Report</w:t>
      </w:r>
      <w:r w:rsidRPr="000D22D4">
        <w:rPr>
          <w:rFonts w:ascii="Arial" w:hAnsi="Arial" w:cs="Arial"/>
        </w:rPr>
        <w:t xml:space="preserve"> on </w:t>
      </w:r>
      <w:r>
        <w:rPr>
          <w:rFonts w:ascii="Arial" w:hAnsi="Arial" w:cs="Arial"/>
        </w:rPr>
        <w:t>B</w:t>
      </w:r>
      <w:r w:rsidRPr="000D22D4">
        <w:rPr>
          <w:rFonts w:ascii="Arial" w:hAnsi="Arial" w:cs="Arial"/>
        </w:rPr>
        <w:t xml:space="preserve">lue Mountains City Council </w:t>
      </w:r>
      <w:r>
        <w:rPr>
          <w:rFonts w:ascii="Arial" w:hAnsi="Arial" w:cs="Arial"/>
        </w:rPr>
        <w:t xml:space="preserve">  (27 March 2013, page</w:t>
      </w:r>
      <w:r w:rsidR="00704F11">
        <w:rPr>
          <w:rFonts w:ascii="Arial" w:hAnsi="Arial" w:cs="Arial"/>
        </w:rPr>
        <w:t>s 4 and</w:t>
      </w:r>
      <w:r>
        <w:rPr>
          <w:rFonts w:ascii="Arial" w:hAnsi="Arial" w:cs="Arial"/>
        </w:rPr>
        <w:t xml:space="preserve"> </w:t>
      </w:r>
      <w:r w:rsidRPr="000D22D4">
        <w:rPr>
          <w:rFonts w:ascii="Arial" w:hAnsi="Arial" w:cs="Arial"/>
        </w:rPr>
        <w:t>5)</w:t>
      </w:r>
    </w:p>
    <w:p w14:paraId="3C5345E4" w14:textId="77777777" w:rsidR="005864FD" w:rsidRPr="000D22D4" w:rsidRDefault="005864FD" w:rsidP="009012F5">
      <w:pPr>
        <w:pStyle w:val="FootnoteText"/>
        <w:rPr>
          <w:rFonts w:ascii="Arial" w:hAnsi="Arial" w:cs="Arial"/>
        </w:rPr>
      </w:pPr>
    </w:p>
  </w:footnote>
  <w:footnote w:id="2">
    <w:p w14:paraId="0FB1DB52" w14:textId="36B9B27B" w:rsidR="005864FD" w:rsidRPr="000D22D4" w:rsidRDefault="005864FD" w:rsidP="009012F5">
      <w:pPr>
        <w:spacing w:line="276" w:lineRule="auto"/>
        <w:ind w:left="284" w:hanging="284"/>
        <w:jc w:val="both"/>
        <w:rPr>
          <w:rFonts w:ascii="Arial" w:eastAsia="Calibri" w:hAnsi="Arial" w:cs="Arial"/>
          <w:sz w:val="18"/>
          <w:szCs w:val="18"/>
          <w:lang w:val="en-US"/>
        </w:rPr>
      </w:pPr>
      <w:r>
        <w:rPr>
          <w:rStyle w:val="FootnoteReference"/>
        </w:rPr>
        <w:footnoteRef/>
      </w:r>
      <w:r>
        <w:t xml:space="preserve"> </w:t>
      </w:r>
      <w:r w:rsidRPr="000D22D4">
        <w:rPr>
          <w:rFonts w:ascii="Arial" w:eastAsia="Calibri" w:hAnsi="Arial" w:cs="Arial"/>
          <w:sz w:val="18"/>
          <w:szCs w:val="18"/>
          <w:lang w:val="en-US"/>
        </w:rPr>
        <w:t xml:space="preserve">The Bring to Satisfactory (BTS) measurement following community consultation is condition 3 and shown in </w:t>
      </w:r>
      <w:r w:rsidRPr="00B74436">
        <w:rPr>
          <w:rFonts w:ascii="Arial" w:eastAsia="Calibri" w:hAnsi="Arial" w:cs="Arial"/>
          <w:b/>
          <w:color w:val="000000" w:themeColor="text1"/>
          <w:sz w:val="18"/>
          <w:szCs w:val="18"/>
          <w:lang w:val="en-US"/>
        </w:rPr>
        <w:t>Section 3.3</w:t>
      </w:r>
      <w:r>
        <w:rPr>
          <w:rFonts w:ascii="Arial" w:eastAsia="Calibri" w:hAnsi="Arial" w:cs="Arial"/>
          <w:b/>
          <w:color w:val="000000" w:themeColor="text1"/>
          <w:sz w:val="18"/>
          <w:szCs w:val="18"/>
          <w:lang w:val="en-US"/>
        </w:rPr>
        <w:t>.7</w:t>
      </w:r>
      <w:r w:rsidRPr="00B74436">
        <w:rPr>
          <w:rFonts w:ascii="Arial" w:eastAsia="Calibri" w:hAnsi="Arial" w:cs="Arial"/>
          <w:b/>
          <w:color w:val="000000" w:themeColor="text1"/>
          <w:sz w:val="18"/>
          <w:szCs w:val="18"/>
          <w:lang w:val="en-US"/>
        </w:rPr>
        <w:t xml:space="preserve"> –</w:t>
      </w:r>
      <w:r>
        <w:rPr>
          <w:rFonts w:ascii="Arial" w:eastAsia="Calibri" w:hAnsi="Arial" w:cs="Arial"/>
          <w:b/>
          <w:color w:val="000000" w:themeColor="text1"/>
          <w:sz w:val="18"/>
          <w:szCs w:val="18"/>
          <w:lang w:val="en-US"/>
        </w:rPr>
        <w:t xml:space="preserve"> </w:t>
      </w:r>
      <w:r w:rsidRPr="00B74436">
        <w:rPr>
          <w:rFonts w:ascii="Arial" w:eastAsia="Calibri" w:hAnsi="Arial" w:cs="Arial"/>
          <w:b/>
          <w:color w:val="000000" w:themeColor="text1"/>
          <w:sz w:val="18"/>
          <w:szCs w:val="18"/>
          <w:lang w:val="en-US"/>
        </w:rPr>
        <w:t>Revised Schedule 7.</w:t>
      </w:r>
      <w:r w:rsidRPr="00B74436">
        <w:rPr>
          <w:rFonts w:ascii="Arial" w:eastAsia="Calibri" w:hAnsi="Arial" w:cs="Arial"/>
          <w:color w:val="000000" w:themeColor="text1"/>
          <w:sz w:val="18"/>
          <w:szCs w:val="18"/>
          <w:lang w:val="en-US"/>
        </w:rPr>
        <w:t xml:space="preserve">   </w:t>
      </w:r>
      <w:r w:rsidRPr="000D22D4">
        <w:rPr>
          <w:rFonts w:ascii="Arial" w:eastAsia="Calibri" w:hAnsi="Arial" w:cs="Arial"/>
          <w:sz w:val="18"/>
          <w:szCs w:val="18"/>
          <w:lang w:val="en-US"/>
        </w:rPr>
        <w:t xml:space="preserve">This shows a BTS of more than $183 million at 30 June 2014 with an </w:t>
      </w:r>
      <w:r w:rsidRPr="000D22D4">
        <w:rPr>
          <w:rFonts w:ascii="Arial" w:eastAsia="Calibri" w:hAnsi="Arial" w:cs="Arial"/>
          <w:b/>
          <w:sz w:val="18"/>
          <w:szCs w:val="18"/>
          <w:lang w:val="en-US"/>
        </w:rPr>
        <w:t>Infrastructure Backlog Ratio of 0.19</w:t>
      </w:r>
      <w:r w:rsidRPr="000D22D4">
        <w:rPr>
          <w:rFonts w:ascii="Arial" w:eastAsia="Calibri" w:hAnsi="Arial" w:cs="Arial"/>
          <w:sz w:val="18"/>
          <w:szCs w:val="18"/>
          <w:lang w:val="en-US"/>
        </w:rPr>
        <w:t>.  This is consistent with Councils Resourcing Strategy and community engagement.  However, it is less tha</w:t>
      </w:r>
      <w:r>
        <w:rPr>
          <w:rFonts w:ascii="Arial" w:eastAsia="Calibri" w:hAnsi="Arial" w:cs="Arial"/>
          <w:sz w:val="18"/>
          <w:szCs w:val="18"/>
          <w:lang w:val="en-US"/>
        </w:rPr>
        <w:t>n OLG’s recommended condition 2</w:t>
      </w:r>
      <w:r w:rsidRPr="000D22D4">
        <w:rPr>
          <w:rFonts w:ascii="Arial" w:eastAsia="Calibri" w:hAnsi="Arial" w:cs="Arial"/>
          <w:sz w:val="18"/>
          <w:szCs w:val="18"/>
          <w:lang w:val="en-US"/>
        </w:rPr>
        <w:t xml:space="preserve"> measurement, which </w:t>
      </w:r>
      <w:r>
        <w:rPr>
          <w:rFonts w:ascii="Arial" w:eastAsia="Calibri" w:hAnsi="Arial" w:cs="Arial"/>
          <w:sz w:val="18"/>
          <w:szCs w:val="18"/>
          <w:lang w:val="en-US"/>
        </w:rPr>
        <w:t xml:space="preserve">if applied, </w:t>
      </w:r>
      <w:r w:rsidRPr="000D22D4">
        <w:rPr>
          <w:rFonts w:ascii="Arial" w:eastAsia="Calibri" w:hAnsi="Arial" w:cs="Arial"/>
          <w:sz w:val="18"/>
          <w:szCs w:val="18"/>
          <w:lang w:val="en-US"/>
        </w:rPr>
        <w:t xml:space="preserve">would result in the Blue Mountains having a BTS of $671 million. </w:t>
      </w:r>
    </w:p>
    <w:p w14:paraId="3537A36B" w14:textId="77777777" w:rsidR="005864FD" w:rsidRDefault="005864FD" w:rsidP="009012F5">
      <w:pPr>
        <w:pStyle w:val="FootnoteText"/>
      </w:pPr>
    </w:p>
  </w:footnote>
  <w:footnote w:id="3">
    <w:p w14:paraId="06B4B617" w14:textId="77777777" w:rsidR="005864FD" w:rsidRDefault="005864FD" w:rsidP="00D86C8E">
      <w:pPr>
        <w:pStyle w:val="FootnoteText"/>
        <w:jc w:val="left"/>
      </w:pPr>
      <w:r>
        <w:rPr>
          <w:rStyle w:val="FootnoteReference"/>
        </w:rPr>
        <w:footnoteRef/>
      </w:r>
      <w:r>
        <w:t xml:space="preserve"> </w:t>
      </w:r>
      <w:r w:rsidRPr="00285280">
        <w:rPr>
          <w:rFonts w:ascii="Arial" w:hAnsi="Arial" w:cs="Arial"/>
        </w:rPr>
        <w:t xml:space="preserve">BMCC Community Survey Reports can be viewed on the Council’s website at: </w:t>
      </w:r>
      <w:hyperlink r:id="rId1" w:history="1">
        <w:r w:rsidRPr="00285280">
          <w:rPr>
            <w:rStyle w:val="Hyperlink"/>
            <w:rFonts w:ascii="Arial" w:hAnsi="Arial" w:cs="Arial"/>
          </w:rPr>
          <w:t>www.bmcc.nsw.gov.au/yourcommunity/communitysurvey</w:t>
        </w:r>
      </w:hyperlink>
      <w:r>
        <w:t xml:space="preserve"> </w:t>
      </w:r>
    </w:p>
  </w:footnote>
  <w:footnote w:id="4">
    <w:p w14:paraId="4D326A3A" w14:textId="77777777" w:rsidR="005864FD" w:rsidRPr="00452CBD" w:rsidRDefault="005864FD" w:rsidP="009D75CB">
      <w:pPr>
        <w:pStyle w:val="FootnoteText"/>
        <w:rPr>
          <w:lang w:val="en-US"/>
        </w:rPr>
      </w:pPr>
      <w:r w:rsidRPr="00D114DC">
        <w:rPr>
          <w:rStyle w:val="FootnoteReference"/>
          <w:color w:val="548DD4"/>
        </w:rPr>
        <w:footnoteRef/>
      </w:r>
      <w:r w:rsidRPr="00DD5DED">
        <w:t xml:space="preserve"> </w:t>
      </w:r>
      <w:r w:rsidRPr="00DD5DED">
        <w:tab/>
        <w:t xml:space="preserve">The OLG’s October 2014 </w:t>
      </w:r>
      <w:r w:rsidRPr="00DD5DED">
        <w:rPr>
          <w:i/>
        </w:rPr>
        <w:t>Guidelines</w:t>
      </w:r>
      <w:r w:rsidRPr="00DD5DED">
        <w:t xml:space="preserve"> and the IP&amp;R Manual outline this link between the special variation and the IP&amp;R process.</w:t>
      </w:r>
    </w:p>
  </w:footnote>
  <w:footnote w:id="5">
    <w:p w14:paraId="7A05DEF2" w14:textId="77777777" w:rsidR="005864FD" w:rsidRPr="0035428F" w:rsidRDefault="005864FD" w:rsidP="00371ACD">
      <w:pPr>
        <w:pStyle w:val="FootnoteText"/>
        <w:rPr>
          <w:lang w:val="en-US"/>
        </w:rPr>
      </w:pPr>
      <w:r w:rsidRPr="00B17EC1">
        <w:rPr>
          <w:rStyle w:val="FootnoteReference"/>
        </w:rPr>
        <w:footnoteRef/>
      </w:r>
      <w:r w:rsidRPr="00B17EC1">
        <w:t xml:space="preserve"> </w:t>
      </w:r>
      <w:r w:rsidRPr="00B17EC1">
        <w:tab/>
      </w:r>
      <w:r w:rsidRPr="00552EB8">
        <w:t xml:space="preserve">See </w:t>
      </w:r>
      <w:r w:rsidRPr="00552EB8">
        <w:rPr>
          <w:lang w:val="en-US"/>
        </w:rPr>
        <w:t xml:space="preserve">Planning Circular 10-025 dated 24 November 2010 at </w:t>
      </w:r>
      <w:hyperlink r:id="rId2" w:history="1">
        <w:r w:rsidRPr="00552EB8">
          <w:rPr>
            <w:rStyle w:val="Hyperlink"/>
            <w:lang w:val="en-US"/>
          </w:rPr>
          <w:t>www.planning.nsw.gov.au</w:t>
        </w:r>
      </w:hyperlink>
      <w:r w:rsidRPr="00552EB8">
        <w:rPr>
          <w:rStyle w:val="Hyperlink"/>
          <w:lang w:val="en-US"/>
        </w:rPr>
        <w:t xml:space="preserve"> </w:t>
      </w:r>
      <w:r w:rsidRPr="00552EB8">
        <w:t>and</w:t>
      </w:r>
      <w:r w:rsidRPr="00552EB8">
        <w:rPr>
          <w:lang w:val="en-US"/>
        </w:rPr>
        <w:t xml:space="preserve"> for t</w:t>
      </w:r>
      <w:r w:rsidRPr="00552EB8">
        <w:t xml:space="preserve">he most recent </w:t>
      </w:r>
      <w:r w:rsidRPr="00552EB8">
        <w:rPr>
          <w:lang w:val="en-US"/>
        </w:rPr>
        <w:t xml:space="preserve">Direction issued under section 94E of the </w:t>
      </w:r>
      <w:r w:rsidRPr="00552EB8">
        <w:rPr>
          <w:i/>
        </w:rPr>
        <w:t>Environmental Planning and Assessment Act 1979</w:t>
      </w:r>
      <w:r w:rsidRPr="00552EB8">
        <w:rPr>
          <w:lang w:val="en-US"/>
        </w:rPr>
        <w:t xml:space="preserve">.  See also </w:t>
      </w:r>
      <w:r w:rsidRPr="00552EB8">
        <w:t xml:space="preserve">Planning Circular </w:t>
      </w:r>
      <w:r w:rsidRPr="00552EB8">
        <w:rPr>
          <w:lang w:val="en-US"/>
        </w:rPr>
        <w:t>PS 10-022 dated 16 September 2010.</w:t>
      </w:r>
    </w:p>
  </w:footnote>
  <w:footnote w:id="6">
    <w:p w14:paraId="18D705B3" w14:textId="77777777" w:rsidR="005864FD" w:rsidRPr="009E5315" w:rsidRDefault="005864FD" w:rsidP="001F1E22">
      <w:pPr>
        <w:pStyle w:val="FootnoteText"/>
        <w:rPr>
          <w:color w:val="548DD4" w:themeColor="text2" w:themeTint="99"/>
          <w:lang w:val="en-US"/>
        </w:rPr>
      </w:pPr>
      <w:r w:rsidRPr="009E5315">
        <w:rPr>
          <w:rStyle w:val="FootnoteReference"/>
          <w:color w:val="548DD4" w:themeColor="text2" w:themeTint="99"/>
        </w:rPr>
        <w:footnoteRef/>
      </w:r>
      <w:r w:rsidRPr="009E5315">
        <w:rPr>
          <w:color w:val="548DD4" w:themeColor="text2" w:themeTint="99"/>
        </w:rPr>
        <w:t xml:space="preserve"> </w:t>
      </w:r>
      <w:r w:rsidRPr="009E5315">
        <w:rPr>
          <w:color w:val="548DD4" w:themeColor="text2" w:themeTint="99"/>
          <w:lang w:val="en-US"/>
        </w:rPr>
        <w:tab/>
        <w:t>Relevant documents are the Community Strategic Plan, Delivery Program, Long Term Financial Plan and where applicable, the Asset Management Plan.</w:t>
      </w:r>
    </w:p>
  </w:footnote>
  <w:footnote w:id="7">
    <w:p w14:paraId="18D705B4" w14:textId="77777777" w:rsidR="005864FD" w:rsidRPr="00AF2242" w:rsidRDefault="005864FD">
      <w:pPr>
        <w:pStyle w:val="FootnoteText"/>
        <w:rPr>
          <w:lang w:val="en-US"/>
        </w:rPr>
      </w:pPr>
      <w:r w:rsidRPr="009E5315">
        <w:rPr>
          <w:rStyle w:val="FootnoteReference"/>
          <w:color w:val="548DD4" w:themeColor="text2" w:themeTint="99"/>
        </w:rPr>
        <w:footnoteRef/>
      </w:r>
      <w:r w:rsidRPr="009E5315">
        <w:rPr>
          <w:color w:val="548DD4" w:themeColor="text2" w:themeTint="99"/>
        </w:rPr>
        <w:t xml:space="preserve"> </w:t>
      </w:r>
      <w:r w:rsidRPr="009E5315">
        <w:rPr>
          <w:color w:val="548DD4" w:themeColor="text2" w:themeTint="99"/>
          <w:lang w:val="en-US"/>
        </w:rPr>
        <w:tab/>
        <w:t xml:space="preserve">Office of Local Government (the then Division of Local Government), </w:t>
      </w:r>
      <w:r w:rsidRPr="009E5315">
        <w:rPr>
          <w:i/>
          <w:color w:val="548DD4" w:themeColor="text2" w:themeTint="99"/>
          <w:lang w:val="en-US"/>
        </w:rPr>
        <w:t>Integrated Planning and Reporting Manual for local government in NSW</w:t>
      </w:r>
      <w:r w:rsidRPr="009E5315">
        <w:rPr>
          <w:color w:val="548DD4" w:themeColor="text2" w:themeTint="99"/>
          <w:lang w:val="en-US"/>
        </w:rPr>
        <w:t>, March 2013, p 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D70588" w14:textId="77777777" w:rsidR="005864FD" w:rsidRDefault="005864FD" w:rsidP="00667EA7">
    <w:pPr>
      <w:pStyle w:val="Header"/>
      <w:jc w:val="right"/>
    </w:pPr>
    <w:r>
      <w:rPr>
        <w:noProof/>
      </w:rPr>
      <w:drawing>
        <wp:anchor distT="0" distB="0" distL="114300" distR="114300" simplePos="0" relativeHeight="251666432" behindDoc="1" locked="0" layoutInCell="0" allowOverlap="0" wp14:anchorId="18D705A9" wp14:editId="18D705AA">
          <wp:simplePos x="0" y="0"/>
          <wp:positionH relativeFrom="page">
            <wp:posOffset>0</wp:posOffset>
          </wp:positionH>
          <wp:positionV relativeFrom="page">
            <wp:posOffset>0</wp:posOffset>
          </wp:positionV>
          <wp:extent cx="7574280" cy="10694035"/>
          <wp:effectExtent l="0" t="0" r="7620" b="0"/>
          <wp:wrapNone/>
          <wp:docPr id="7" name="Picture 7" descr="IPART title 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IPART title page_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280" cy="10694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D70589" w14:textId="77777777" w:rsidR="005864FD" w:rsidRDefault="005864F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D7058A" w14:textId="77777777" w:rsidR="005864FD" w:rsidRPr="00BB2D33" w:rsidRDefault="005864F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D70597" w14:textId="77777777" w:rsidR="005864FD" w:rsidRPr="0026621F" w:rsidRDefault="005864FD" w:rsidP="005E2D3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D70598" w14:textId="77777777" w:rsidR="005864FD" w:rsidRPr="0026621F" w:rsidRDefault="005864FD" w:rsidP="005E2D3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D70599" w14:textId="77777777" w:rsidR="005864FD" w:rsidRPr="00083981" w:rsidRDefault="005864F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D7059B" w14:textId="77777777" w:rsidR="005864FD" w:rsidRDefault="005864FD">
    <w:pPr>
      <w:pStyle w:val="Header"/>
    </w:pPr>
    <w:r>
      <w:rPr>
        <w:noProof/>
      </w:rPr>
      <mc:AlternateContent>
        <mc:Choice Requires="wps">
          <w:drawing>
            <wp:anchor distT="0" distB="0" distL="114300" distR="114300" simplePos="0" relativeHeight="251664384" behindDoc="0" locked="0" layoutInCell="0" allowOverlap="0" wp14:anchorId="18D705AB" wp14:editId="18D705AC">
              <wp:simplePos x="0" y="0"/>
              <wp:positionH relativeFrom="page">
                <wp:posOffset>9721215</wp:posOffset>
              </wp:positionH>
              <wp:positionV relativeFrom="page">
                <wp:posOffset>1080135</wp:posOffset>
              </wp:positionV>
              <wp:extent cx="173355" cy="2879725"/>
              <wp:effectExtent l="0" t="3810" r="1905" b="2540"/>
              <wp:wrapNone/>
              <wp:docPr id="3"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287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D705B5" w14:textId="77777777" w:rsidR="005864FD" w:rsidRDefault="005864FD"/>
                      </w:txbxContent>
                    </wps:txbx>
                    <wps:bodyPr rot="0" vert="vert"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3" o:spid="_x0000_s1053" type="#_x0000_t202" style="position:absolute;margin-left:765.45pt;margin-top:85.05pt;width:13.65pt;height:226.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" o:allowincell="f" o:allowoverlap="f" stroked="f">
              <v:textbox style="layout-flow:vertical;mso-fit-shape-to-text:t" inset="0,0,0,0">
                <w:txbxContent>
                  <w:p w14:paraId="18D705B5" w14:textId="77777777" w:rsidR="005864FD" w:rsidRDefault="005864FD"/>
                </w:txbxContent>
              </v:textbox>
              <w10:wrap anchorx="page" anchory="page"/>
            </v:shape>
          </w:pict>
        </mc:Fallback>
      </mc:AlternateContent>
    </w:r>
  </w:p>
  <w:p w14:paraId="21EB5751" w14:textId="77777777" w:rsidR="005864FD" w:rsidRDefault="005864FD"/>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5D99B" w14:textId="3C0209AE" w:rsidR="005864FD" w:rsidRDefault="005864FD" w:rsidP="004256F6">
    <w:pPr>
      <w:pStyle w:val="Header"/>
    </w:pPr>
    <w:r>
      <w:rPr>
        <w:noProof/>
      </w:rPr>
      <mc:AlternateContent>
        <mc:Choice Requires="wps">
          <w:drawing>
            <wp:anchor distT="0" distB="0" distL="114300" distR="114300" simplePos="0" relativeHeight="251665408" behindDoc="0" locked="0" layoutInCell="0" allowOverlap="0" wp14:anchorId="18D705AD" wp14:editId="18D705AE">
              <wp:simplePos x="0" y="0"/>
              <wp:positionH relativeFrom="page">
                <wp:posOffset>9721215</wp:posOffset>
              </wp:positionH>
              <wp:positionV relativeFrom="page">
                <wp:posOffset>3564255</wp:posOffset>
              </wp:positionV>
              <wp:extent cx="203200" cy="2879725"/>
              <wp:effectExtent l="0" t="1905" r="635" b="4445"/>
              <wp:wrapNone/>
              <wp:docPr id="2"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87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D705B6" w14:textId="77777777" w:rsidR="005864FD" w:rsidRDefault="005864FD"/>
                      </w:txbxContent>
                    </wps:txbx>
                    <wps:bodyPr rot="0" vert="vert"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7" o:spid="_x0000_s1054" type="#_x0000_t202" style="position:absolute;margin-left:765.45pt;margin-top:280.65pt;width:16pt;height:226.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" o:allowincell="f" o:allowoverlap="f" stroked="f">
              <v:textbox style="layout-flow:vertical;mso-fit-shape-to-text:t" inset="0,0,0,0">
                <w:txbxContent>
                  <w:p w14:paraId="18D705B6" w14:textId="77777777" w:rsidR="005864FD" w:rsidRDefault="005864FD"/>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CE2B02A"/>
    <w:lvl w:ilvl="0">
      <w:start w:val="1"/>
      <w:numFmt w:val="lowerRoman"/>
      <w:pStyle w:val="ListNumber3"/>
      <w:lvlText w:val="%1)"/>
      <w:lvlJc w:val="left"/>
      <w:pPr>
        <w:tabs>
          <w:tab w:val="num" w:pos="907"/>
        </w:tabs>
        <w:ind w:left="907" w:hanging="341"/>
      </w:pPr>
      <w:rPr>
        <w:rFonts w:hint="default"/>
      </w:rPr>
    </w:lvl>
  </w:abstractNum>
  <w:abstractNum w:abstractNumId="1">
    <w:nsid w:val="00057B31"/>
    <w:multiLevelType w:val="hybridMultilevel"/>
    <w:tmpl w:val="B4F000D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0706C3A"/>
    <w:multiLevelType w:val="hybridMultilevel"/>
    <w:tmpl w:val="5642A0F4"/>
    <w:lvl w:ilvl="0" w:tplc="F31C0578">
      <w:start w:val="1"/>
      <w:numFmt w:val="bullet"/>
      <w:lvlText w:val=""/>
      <w:lvlJc w:val="left"/>
      <w:pPr>
        <w:ind w:left="1496" w:hanging="360"/>
      </w:pPr>
      <w:rPr>
        <w:rFonts w:ascii="Symbol" w:hAnsi="Symbol" w:hint="default"/>
        <w:color w:val="auto"/>
      </w:rPr>
    </w:lvl>
    <w:lvl w:ilvl="1" w:tplc="0C090019" w:tentative="1">
      <w:start w:val="1"/>
      <w:numFmt w:val="lowerLetter"/>
      <w:lvlText w:val="%2."/>
      <w:lvlJc w:val="left"/>
      <w:pPr>
        <w:ind w:left="2216" w:hanging="360"/>
      </w:pPr>
    </w:lvl>
    <w:lvl w:ilvl="2" w:tplc="0C09001B" w:tentative="1">
      <w:start w:val="1"/>
      <w:numFmt w:val="lowerRoman"/>
      <w:lvlText w:val="%3."/>
      <w:lvlJc w:val="right"/>
      <w:pPr>
        <w:ind w:left="2936" w:hanging="180"/>
      </w:pPr>
    </w:lvl>
    <w:lvl w:ilvl="3" w:tplc="0C09000F" w:tentative="1">
      <w:start w:val="1"/>
      <w:numFmt w:val="decimal"/>
      <w:lvlText w:val="%4."/>
      <w:lvlJc w:val="left"/>
      <w:pPr>
        <w:ind w:left="3656" w:hanging="360"/>
      </w:pPr>
    </w:lvl>
    <w:lvl w:ilvl="4" w:tplc="0C090019" w:tentative="1">
      <w:start w:val="1"/>
      <w:numFmt w:val="lowerLetter"/>
      <w:lvlText w:val="%5."/>
      <w:lvlJc w:val="left"/>
      <w:pPr>
        <w:ind w:left="4376" w:hanging="360"/>
      </w:pPr>
    </w:lvl>
    <w:lvl w:ilvl="5" w:tplc="0C09001B" w:tentative="1">
      <w:start w:val="1"/>
      <w:numFmt w:val="lowerRoman"/>
      <w:lvlText w:val="%6."/>
      <w:lvlJc w:val="right"/>
      <w:pPr>
        <w:ind w:left="5096" w:hanging="180"/>
      </w:pPr>
    </w:lvl>
    <w:lvl w:ilvl="6" w:tplc="0C09000F" w:tentative="1">
      <w:start w:val="1"/>
      <w:numFmt w:val="decimal"/>
      <w:lvlText w:val="%7."/>
      <w:lvlJc w:val="left"/>
      <w:pPr>
        <w:ind w:left="5816" w:hanging="360"/>
      </w:pPr>
    </w:lvl>
    <w:lvl w:ilvl="7" w:tplc="0C090019" w:tentative="1">
      <w:start w:val="1"/>
      <w:numFmt w:val="lowerLetter"/>
      <w:lvlText w:val="%8."/>
      <w:lvlJc w:val="left"/>
      <w:pPr>
        <w:ind w:left="6536" w:hanging="360"/>
      </w:pPr>
    </w:lvl>
    <w:lvl w:ilvl="8" w:tplc="0C09001B" w:tentative="1">
      <w:start w:val="1"/>
      <w:numFmt w:val="lowerRoman"/>
      <w:lvlText w:val="%9."/>
      <w:lvlJc w:val="right"/>
      <w:pPr>
        <w:ind w:left="7256" w:hanging="180"/>
      </w:pPr>
    </w:lvl>
  </w:abstractNum>
  <w:abstractNum w:abstractNumId="3">
    <w:nsid w:val="012E6796"/>
    <w:multiLevelType w:val="hybridMultilevel"/>
    <w:tmpl w:val="BA609586"/>
    <w:lvl w:ilvl="0" w:tplc="3586C0C4">
      <w:start w:val="1"/>
      <w:numFmt w:val="bullet"/>
      <w:pStyle w:val="ChartListBullet2"/>
      <w:lvlText w:val="–"/>
      <w:lvlJc w:val="left"/>
      <w:pPr>
        <w:tabs>
          <w:tab w:val="num" w:pos="454"/>
        </w:tabs>
        <w:ind w:left="454" w:hanging="227"/>
      </w:pPr>
      <w:rPr>
        <w:rFonts w:ascii="Arial" w:hAnsi="Arial" w:hint="default"/>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1EB526C"/>
    <w:multiLevelType w:val="hybridMultilevel"/>
    <w:tmpl w:val="06BC9FE0"/>
    <w:lvl w:ilvl="0" w:tplc="B5E82A8E">
      <w:start w:val="1"/>
      <w:numFmt w:val="decimal"/>
      <w:pStyle w:val="RecommendationNumber"/>
      <w:lvlText w:val="%1"/>
      <w:lvlJc w:val="left"/>
      <w:pPr>
        <w:tabs>
          <w:tab w:val="num" w:pos="425"/>
        </w:tabs>
        <w:ind w:left="425" w:hanging="425"/>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2D675CF"/>
    <w:multiLevelType w:val="hybridMultilevel"/>
    <w:tmpl w:val="8CEA6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35D3B70"/>
    <w:multiLevelType w:val="hybridMultilevel"/>
    <w:tmpl w:val="DBFE3270"/>
    <w:lvl w:ilvl="0" w:tplc="254A137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3950A53"/>
    <w:multiLevelType w:val="hybridMultilevel"/>
    <w:tmpl w:val="777EC060"/>
    <w:lvl w:ilvl="0" w:tplc="0C090001">
      <w:start w:val="1"/>
      <w:numFmt w:val="bullet"/>
      <w:lvlText w:val=""/>
      <w:lvlJc w:val="left"/>
      <w:pPr>
        <w:ind w:left="771"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8">
    <w:nsid w:val="04321BCB"/>
    <w:multiLevelType w:val="hybridMultilevel"/>
    <w:tmpl w:val="E6C83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4880A90"/>
    <w:multiLevelType w:val="hybridMultilevel"/>
    <w:tmpl w:val="EBCECB8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7091F79"/>
    <w:multiLevelType w:val="hybridMultilevel"/>
    <w:tmpl w:val="4DB692B4"/>
    <w:lvl w:ilvl="0" w:tplc="A0A201B4">
      <w:start w:val="1"/>
      <w:numFmt w:val="decimal"/>
      <w:lvlText w:val="%1."/>
      <w:lvlJc w:val="left"/>
      <w:pPr>
        <w:ind w:left="720" w:hanging="360"/>
      </w:pPr>
      <w:rPr>
        <w:rFonts w:hint="default"/>
      </w:rPr>
    </w:lvl>
    <w:lvl w:ilvl="1" w:tplc="7772B1B0">
      <w:start w:val="2"/>
      <w:numFmt w:val="bullet"/>
      <w:lvlText w:val="•"/>
      <w:lvlJc w:val="left"/>
      <w:pPr>
        <w:ind w:left="1440" w:hanging="360"/>
      </w:pPr>
      <w:rPr>
        <w:rFonts w:ascii="Arial" w:eastAsiaTheme="minorHAnsi"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7625C6F"/>
    <w:multiLevelType w:val="hybridMultilevel"/>
    <w:tmpl w:val="526E9CA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078A5F01"/>
    <w:multiLevelType w:val="hybridMultilevel"/>
    <w:tmpl w:val="C630A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8985953"/>
    <w:multiLevelType w:val="hybridMultilevel"/>
    <w:tmpl w:val="06403DF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A9947EA"/>
    <w:multiLevelType w:val="hybridMultilevel"/>
    <w:tmpl w:val="972E5E74"/>
    <w:lvl w:ilvl="0" w:tplc="AFD635DC">
      <w:numFmt w:val="bullet"/>
      <w:lvlText w:val="•"/>
      <w:lvlJc w:val="left"/>
      <w:pPr>
        <w:ind w:left="928" w:hanging="360"/>
      </w:pPr>
      <w:rPr>
        <w:rFonts w:ascii="Arial" w:eastAsiaTheme="minorHAnsi" w:hAnsi="Arial" w:cs="Arial"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15">
    <w:nsid w:val="0C665E0E"/>
    <w:multiLevelType w:val="hybridMultilevel"/>
    <w:tmpl w:val="0858759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6">
    <w:nsid w:val="0C7E6C47"/>
    <w:multiLevelType w:val="hybridMultilevel"/>
    <w:tmpl w:val="0DA6EC3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0CEC6F8D"/>
    <w:multiLevelType w:val="hybridMultilevel"/>
    <w:tmpl w:val="888A8C2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8">
    <w:nsid w:val="0D8D7B9A"/>
    <w:multiLevelType w:val="hybridMultilevel"/>
    <w:tmpl w:val="5B68FA08"/>
    <w:lvl w:ilvl="0" w:tplc="2876AB5C">
      <w:start w:val="1"/>
      <w:numFmt w:val="bullet"/>
      <w:lvlText w:val=""/>
      <w:lvlJc w:val="left"/>
      <w:pPr>
        <w:ind w:left="1321"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0E4F266D"/>
    <w:multiLevelType w:val="hybridMultilevel"/>
    <w:tmpl w:val="ADC62DCA"/>
    <w:lvl w:ilvl="0" w:tplc="0C090001">
      <w:start w:val="1"/>
      <w:numFmt w:val="bullet"/>
      <w:lvlText w:val=""/>
      <w:lvlJc w:val="left"/>
      <w:pPr>
        <w:ind w:left="840" w:hanging="360"/>
      </w:pPr>
      <w:rPr>
        <w:rFonts w:ascii="Symbol" w:hAnsi="Symbol" w:hint="default"/>
      </w:rPr>
    </w:lvl>
    <w:lvl w:ilvl="1" w:tplc="0C090003">
      <w:start w:val="1"/>
      <w:numFmt w:val="bullet"/>
      <w:lvlText w:val="o"/>
      <w:lvlJc w:val="left"/>
      <w:pPr>
        <w:ind w:left="1560" w:hanging="360"/>
      </w:pPr>
      <w:rPr>
        <w:rFonts w:ascii="Courier New" w:hAnsi="Courier New" w:cs="Courier New" w:hint="default"/>
      </w:rPr>
    </w:lvl>
    <w:lvl w:ilvl="2" w:tplc="0C090005">
      <w:start w:val="1"/>
      <w:numFmt w:val="bullet"/>
      <w:lvlText w:val=""/>
      <w:lvlJc w:val="left"/>
      <w:pPr>
        <w:ind w:left="2280" w:hanging="360"/>
      </w:pPr>
      <w:rPr>
        <w:rFonts w:ascii="Wingdings" w:hAnsi="Wingdings" w:hint="default"/>
      </w:rPr>
    </w:lvl>
    <w:lvl w:ilvl="3" w:tplc="0C090001">
      <w:start w:val="1"/>
      <w:numFmt w:val="bullet"/>
      <w:lvlText w:val=""/>
      <w:lvlJc w:val="left"/>
      <w:pPr>
        <w:ind w:left="3000" w:hanging="360"/>
      </w:pPr>
      <w:rPr>
        <w:rFonts w:ascii="Symbol" w:hAnsi="Symbol" w:hint="default"/>
      </w:rPr>
    </w:lvl>
    <w:lvl w:ilvl="4" w:tplc="0C090003">
      <w:start w:val="1"/>
      <w:numFmt w:val="bullet"/>
      <w:lvlText w:val="o"/>
      <w:lvlJc w:val="left"/>
      <w:pPr>
        <w:ind w:left="3720" w:hanging="360"/>
      </w:pPr>
      <w:rPr>
        <w:rFonts w:ascii="Courier New" w:hAnsi="Courier New" w:cs="Courier New" w:hint="default"/>
      </w:rPr>
    </w:lvl>
    <w:lvl w:ilvl="5" w:tplc="0C090005">
      <w:start w:val="1"/>
      <w:numFmt w:val="bullet"/>
      <w:lvlText w:val=""/>
      <w:lvlJc w:val="left"/>
      <w:pPr>
        <w:ind w:left="4440" w:hanging="360"/>
      </w:pPr>
      <w:rPr>
        <w:rFonts w:ascii="Wingdings" w:hAnsi="Wingdings" w:hint="default"/>
      </w:rPr>
    </w:lvl>
    <w:lvl w:ilvl="6" w:tplc="0C090001">
      <w:start w:val="1"/>
      <w:numFmt w:val="bullet"/>
      <w:lvlText w:val=""/>
      <w:lvlJc w:val="left"/>
      <w:pPr>
        <w:ind w:left="5160" w:hanging="360"/>
      </w:pPr>
      <w:rPr>
        <w:rFonts w:ascii="Symbol" w:hAnsi="Symbol" w:hint="default"/>
      </w:rPr>
    </w:lvl>
    <w:lvl w:ilvl="7" w:tplc="0C090003">
      <w:start w:val="1"/>
      <w:numFmt w:val="bullet"/>
      <w:lvlText w:val="o"/>
      <w:lvlJc w:val="left"/>
      <w:pPr>
        <w:ind w:left="5880" w:hanging="360"/>
      </w:pPr>
      <w:rPr>
        <w:rFonts w:ascii="Courier New" w:hAnsi="Courier New" w:cs="Courier New" w:hint="default"/>
      </w:rPr>
    </w:lvl>
    <w:lvl w:ilvl="8" w:tplc="0C090005">
      <w:start w:val="1"/>
      <w:numFmt w:val="bullet"/>
      <w:lvlText w:val=""/>
      <w:lvlJc w:val="left"/>
      <w:pPr>
        <w:ind w:left="6600" w:hanging="360"/>
      </w:pPr>
      <w:rPr>
        <w:rFonts w:ascii="Wingdings" w:hAnsi="Wingdings" w:hint="default"/>
      </w:rPr>
    </w:lvl>
  </w:abstractNum>
  <w:abstractNum w:abstractNumId="20">
    <w:nsid w:val="0FCD5BE7"/>
    <w:multiLevelType w:val="singleLevel"/>
    <w:tmpl w:val="BB765234"/>
    <w:lvl w:ilvl="0">
      <w:start w:val="1"/>
      <w:numFmt w:val="bullet"/>
      <w:pStyle w:val="KeyPoint"/>
      <w:lvlText w:val=""/>
      <w:lvlJc w:val="left"/>
      <w:pPr>
        <w:tabs>
          <w:tab w:val="num" w:pos="284"/>
        </w:tabs>
        <w:ind w:left="284" w:hanging="284"/>
      </w:pPr>
      <w:rPr>
        <w:rFonts w:ascii="Wingdings 3" w:hAnsi="Wingdings 3" w:hint="default"/>
        <w:color w:val="00408A"/>
        <w:position w:val="1"/>
        <w:sz w:val="16"/>
        <w:szCs w:val="16"/>
      </w:rPr>
    </w:lvl>
  </w:abstractNum>
  <w:abstractNum w:abstractNumId="21">
    <w:nsid w:val="13E72AE2"/>
    <w:multiLevelType w:val="hybridMultilevel"/>
    <w:tmpl w:val="4CBC5BA6"/>
    <w:lvl w:ilvl="0" w:tplc="B26A4108">
      <w:start w:val="1"/>
      <w:numFmt w:val="bullet"/>
      <w:pStyle w:val="QuoteBullet"/>
      <w:lvlText w:val="•"/>
      <w:lvlJc w:val="left"/>
      <w:pPr>
        <w:tabs>
          <w:tab w:val="num" w:pos="567"/>
        </w:tabs>
        <w:ind w:left="567" w:hanging="283"/>
      </w:pPr>
      <w:rPr>
        <w:rFonts w:ascii="Arial" w:hAnsi="Aria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41B01A7"/>
    <w:multiLevelType w:val="singleLevel"/>
    <w:tmpl w:val="922660B0"/>
    <w:lvl w:ilvl="0">
      <w:start w:val="1"/>
      <w:numFmt w:val="decimal"/>
      <w:pStyle w:val="ChartListNumber"/>
      <w:lvlText w:val="%1."/>
      <w:lvlJc w:val="left"/>
      <w:pPr>
        <w:tabs>
          <w:tab w:val="num" w:pos="227"/>
        </w:tabs>
        <w:ind w:left="227" w:hanging="227"/>
      </w:pPr>
      <w:rPr>
        <w:rFonts w:hint="default"/>
      </w:rPr>
    </w:lvl>
  </w:abstractNum>
  <w:abstractNum w:abstractNumId="23">
    <w:nsid w:val="16707A53"/>
    <w:multiLevelType w:val="hybridMultilevel"/>
    <w:tmpl w:val="49B8AB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175B2FBE"/>
    <w:multiLevelType w:val="hybridMultilevel"/>
    <w:tmpl w:val="8CD8D33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17CF1374"/>
    <w:multiLevelType w:val="hybridMultilevel"/>
    <w:tmpl w:val="AE80E7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nsid w:val="19C438F3"/>
    <w:multiLevelType w:val="hybridMultilevel"/>
    <w:tmpl w:val="71402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1BAB1746"/>
    <w:multiLevelType w:val="hybridMultilevel"/>
    <w:tmpl w:val="321480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1C3C6ECD"/>
    <w:multiLevelType w:val="hybridMultilevel"/>
    <w:tmpl w:val="F6F24566"/>
    <w:lvl w:ilvl="0" w:tplc="FF18D95E">
      <w:start w:val="1"/>
      <w:numFmt w:val="bullet"/>
      <w:lvlText w:val="•"/>
      <w:lvlJc w:val="left"/>
      <w:pPr>
        <w:tabs>
          <w:tab w:val="num" w:pos="720"/>
        </w:tabs>
        <w:ind w:left="720" w:hanging="360"/>
      </w:pPr>
      <w:rPr>
        <w:rFonts w:ascii="Arial" w:hAnsi="Aria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nsid w:val="1E0D20D2"/>
    <w:multiLevelType w:val="hybridMultilevel"/>
    <w:tmpl w:val="9D7ADA0C"/>
    <w:lvl w:ilvl="0" w:tplc="0C090009">
      <w:start w:val="1"/>
      <w:numFmt w:val="bullet"/>
      <w:lvlText w:val=""/>
      <w:lvlJc w:val="left"/>
      <w:pPr>
        <w:ind w:left="1800" w:hanging="360"/>
      </w:pPr>
      <w:rPr>
        <w:rFonts w:ascii="Wingdings" w:hAnsi="Wingding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0">
    <w:nsid w:val="209B02A7"/>
    <w:multiLevelType w:val="singleLevel"/>
    <w:tmpl w:val="8E829D86"/>
    <w:lvl w:ilvl="0">
      <w:start w:val="1"/>
      <w:numFmt w:val="bullet"/>
      <w:pStyle w:val="ListBullet2"/>
      <w:lvlText w:val="–"/>
      <w:lvlJc w:val="left"/>
      <w:pPr>
        <w:tabs>
          <w:tab w:val="num" w:pos="567"/>
        </w:tabs>
        <w:ind w:left="567" w:hanging="283"/>
      </w:pPr>
      <w:rPr>
        <w:rFonts w:ascii="Book Antiqua" w:hAnsi="Book Antiqua" w:cs="Times New Roman" w:hint="default"/>
        <w:color w:val="auto"/>
        <w:sz w:val="21"/>
        <w:szCs w:val="21"/>
      </w:rPr>
    </w:lvl>
  </w:abstractNum>
  <w:abstractNum w:abstractNumId="31">
    <w:nsid w:val="21B60062"/>
    <w:multiLevelType w:val="hybridMultilevel"/>
    <w:tmpl w:val="530092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22281837"/>
    <w:multiLevelType w:val="hybridMultilevel"/>
    <w:tmpl w:val="8B84EDE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22D50FE6"/>
    <w:multiLevelType w:val="hybridMultilevel"/>
    <w:tmpl w:val="02EC89C6"/>
    <w:lvl w:ilvl="0" w:tplc="F24000FA">
      <w:start w:val="1"/>
      <w:numFmt w:val="lowerRoman"/>
      <w:lvlText w:val="(%1)"/>
      <w:lvlJc w:val="left"/>
      <w:pPr>
        <w:ind w:left="1004" w:hanging="720"/>
      </w:pPr>
      <w:rPr>
        <w:rFonts w:hint="default"/>
        <w:b/>
        <w:u w:val="none"/>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4">
    <w:nsid w:val="23A06459"/>
    <w:multiLevelType w:val="hybridMultilevel"/>
    <w:tmpl w:val="D1B6E0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23A2246D"/>
    <w:multiLevelType w:val="hybridMultilevel"/>
    <w:tmpl w:val="3E5477B8"/>
    <w:lvl w:ilvl="0" w:tplc="2B14F504">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2432487B"/>
    <w:multiLevelType w:val="hybridMultilevel"/>
    <w:tmpl w:val="9C1A1F1E"/>
    <w:lvl w:ilvl="0" w:tplc="289EA5B0">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24405158"/>
    <w:multiLevelType w:val="hybridMultilevel"/>
    <w:tmpl w:val="B26C7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261B1F6D"/>
    <w:multiLevelType w:val="hybridMultilevel"/>
    <w:tmpl w:val="E9865802"/>
    <w:lvl w:ilvl="0" w:tplc="FF18D95E">
      <w:start w:val="1"/>
      <w:numFmt w:val="bullet"/>
      <w:lvlText w:val="•"/>
      <w:lvlJc w:val="left"/>
      <w:pPr>
        <w:tabs>
          <w:tab w:val="num" w:pos="720"/>
        </w:tabs>
        <w:ind w:left="720" w:hanging="360"/>
      </w:pPr>
      <w:rPr>
        <w:rFonts w:ascii="Arial" w:hAnsi="Arial" w:cs="Times New Roman" w:hint="default"/>
      </w:rPr>
    </w:lvl>
    <w:lvl w:ilvl="1" w:tplc="6502937C">
      <w:start w:val="1"/>
      <w:numFmt w:val="bullet"/>
      <w:lvlText w:val="•"/>
      <w:lvlJc w:val="left"/>
      <w:pPr>
        <w:tabs>
          <w:tab w:val="num" w:pos="1440"/>
        </w:tabs>
        <w:ind w:left="1440" w:hanging="360"/>
      </w:pPr>
      <w:rPr>
        <w:rFonts w:ascii="Arial" w:hAnsi="Arial" w:cs="Times New Roman" w:hint="default"/>
      </w:rPr>
    </w:lvl>
    <w:lvl w:ilvl="2" w:tplc="777C76A4">
      <w:start w:val="1"/>
      <w:numFmt w:val="bullet"/>
      <w:lvlText w:val="•"/>
      <w:lvlJc w:val="left"/>
      <w:pPr>
        <w:tabs>
          <w:tab w:val="num" w:pos="2160"/>
        </w:tabs>
        <w:ind w:left="2160" w:hanging="360"/>
      </w:pPr>
      <w:rPr>
        <w:rFonts w:ascii="Arial" w:hAnsi="Arial" w:cs="Times New Roman" w:hint="default"/>
      </w:rPr>
    </w:lvl>
    <w:lvl w:ilvl="3" w:tplc="F44CB34A">
      <w:start w:val="1"/>
      <w:numFmt w:val="bullet"/>
      <w:lvlText w:val="•"/>
      <w:lvlJc w:val="left"/>
      <w:pPr>
        <w:tabs>
          <w:tab w:val="num" w:pos="2880"/>
        </w:tabs>
        <w:ind w:left="2880" w:hanging="360"/>
      </w:pPr>
      <w:rPr>
        <w:rFonts w:ascii="Arial" w:hAnsi="Arial" w:cs="Times New Roman" w:hint="default"/>
      </w:rPr>
    </w:lvl>
    <w:lvl w:ilvl="4" w:tplc="A1384904">
      <w:start w:val="1"/>
      <w:numFmt w:val="bullet"/>
      <w:lvlText w:val="•"/>
      <w:lvlJc w:val="left"/>
      <w:pPr>
        <w:tabs>
          <w:tab w:val="num" w:pos="3600"/>
        </w:tabs>
        <w:ind w:left="3600" w:hanging="360"/>
      </w:pPr>
      <w:rPr>
        <w:rFonts w:ascii="Arial" w:hAnsi="Arial" w:cs="Times New Roman" w:hint="default"/>
      </w:rPr>
    </w:lvl>
    <w:lvl w:ilvl="5" w:tplc="928A3386">
      <w:start w:val="1"/>
      <w:numFmt w:val="bullet"/>
      <w:lvlText w:val="•"/>
      <w:lvlJc w:val="left"/>
      <w:pPr>
        <w:tabs>
          <w:tab w:val="num" w:pos="4320"/>
        </w:tabs>
        <w:ind w:left="4320" w:hanging="360"/>
      </w:pPr>
      <w:rPr>
        <w:rFonts w:ascii="Arial" w:hAnsi="Arial" w:cs="Times New Roman" w:hint="default"/>
      </w:rPr>
    </w:lvl>
    <w:lvl w:ilvl="6" w:tplc="E5848A74">
      <w:start w:val="1"/>
      <w:numFmt w:val="bullet"/>
      <w:lvlText w:val="•"/>
      <w:lvlJc w:val="left"/>
      <w:pPr>
        <w:tabs>
          <w:tab w:val="num" w:pos="5040"/>
        </w:tabs>
        <w:ind w:left="5040" w:hanging="360"/>
      </w:pPr>
      <w:rPr>
        <w:rFonts w:ascii="Arial" w:hAnsi="Arial" w:cs="Times New Roman" w:hint="default"/>
      </w:rPr>
    </w:lvl>
    <w:lvl w:ilvl="7" w:tplc="EF5E9BCC">
      <w:start w:val="1"/>
      <w:numFmt w:val="bullet"/>
      <w:lvlText w:val="•"/>
      <w:lvlJc w:val="left"/>
      <w:pPr>
        <w:tabs>
          <w:tab w:val="num" w:pos="5760"/>
        </w:tabs>
        <w:ind w:left="5760" w:hanging="360"/>
      </w:pPr>
      <w:rPr>
        <w:rFonts w:ascii="Arial" w:hAnsi="Arial" w:cs="Times New Roman" w:hint="default"/>
      </w:rPr>
    </w:lvl>
    <w:lvl w:ilvl="8" w:tplc="540A7744">
      <w:start w:val="1"/>
      <w:numFmt w:val="bullet"/>
      <w:lvlText w:val="•"/>
      <w:lvlJc w:val="left"/>
      <w:pPr>
        <w:tabs>
          <w:tab w:val="num" w:pos="6480"/>
        </w:tabs>
        <w:ind w:left="6480" w:hanging="360"/>
      </w:pPr>
      <w:rPr>
        <w:rFonts w:ascii="Arial" w:hAnsi="Arial" w:cs="Times New Roman" w:hint="default"/>
      </w:rPr>
    </w:lvl>
  </w:abstractNum>
  <w:abstractNum w:abstractNumId="39">
    <w:nsid w:val="26DB5C1E"/>
    <w:multiLevelType w:val="hybridMultilevel"/>
    <w:tmpl w:val="77A805C4"/>
    <w:lvl w:ilvl="0" w:tplc="A7BA0A8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28DC3E60"/>
    <w:multiLevelType w:val="hybridMultilevel"/>
    <w:tmpl w:val="1D8E419C"/>
    <w:lvl w:ilvl="0" w:tplc="3FF2BB9E">
      <w:start w:val="1"/>
      <w:numFmt w:val="bullet"/>
      <w:pStyle w:val="RecommendationBullet"/>
      <w:lvlText w:val="–"/>
      <w:lvlJc w:val="left"/>
      <w:pPr>
        <w:tabs>
          <w:tab w:val="num" w:pos="709"/>
        </w:tabs>
        <w:ind w:left="709" w:hanging="284"/>
      </w:pPr>
      <w:rPr>
        <w:rFonts w:ascii="Arial" w:hAnsi="Arial" w:hint="default"/>
        <w:color w:val="auto"/>
        <w:spacing w:val="0"/>
        <w:w w:val="100"/>
        <w:position w:val="0"/>
        <w:sz w:val="21"/>
        <w:szCs w:val="21"/>
      </w:rPr>
    </w:lvl>
    <w:lvl w:ilvl="1" w:tplc="4BDA67B0" w:tentative="1">
      <w:start w:val="1"/>
      <w:numFmt w:val="bullet"/>
      <w:lvlText w:val="o"/>
      <w:lvlJc w:val="left"/>
      <w:pPr>
        <w:tabs>
          <w:tab w:val="num" w:pos="1440"/>
        </w:tabs>
        <w:ind w:left="1440" w:hanging="360"/>
      </w:pPr>
      <w:rPr>
        <w:rFonts w:ascii="Courier New" w:hAnsi="Courier New" w:cs="Courier New" w:hint="default"/>
      </w:rPr>
    </w:lvl>
    <w:lvl w:ilvl="2" w:tplc="6A42E6EC" w:tentative="1">
      <w:start w:val="1"/>
      <w:numFmt w:val="bullet"/>
      <w:lvlText w:val=""/>
      <w:lvlJc w:val="left"/>
      <w:pPr>
        <w:tabs>
          <w:tab w:val="num" w:pos="2160"/>
        </w:tabs>
        <w:ind w:left="2160" w:hanging="360"/>
      </w:pPr>
      <w:rPr>
        <w:rFonts w:ascii="Wingdings" w:hAnsi="Wingdings" w:hint="default"/>
      </w:rPr>
    </w:lvl>
    <w:lvl w:ilvl="3" w:tplc="7FC07278" w:tentative="1">
      <w:start w:val="1"/>
      <w:numFmt w:val="bullet"/>
      <w:lvlText w:val=""/>
      <w:lvlJc w:val="left"/>
      <w:pPr>
        <w:tabs>
          <w:tab w:val="num" w:pos="2880"/>
        </w:tabs>
        <w:ind w:left="2880" w:hanging="360"/>
      </w:pPr>
      <w:rPr>
        <w:rFonts w:ascii="Symbol" w:hAnsi="Symbol" w:hint="default"/>
      </w:rPr>
    </w:lvl>
    <w:lvl w:ilvl="4" w:tplc="FED6F1EE" w:tentative="1">
      <w:start w:val="1"/>
      <w:numFmt w:val="bullet"/>
      <w:lvlText w:val="o"/>
      <w:lvlJc w:val="left"/>
      <w:pPr>
        <w:tabs>
          <w:tab w:val="num" w:pos="3600"/>
        </w:tabs>
        <w:ind w:left="3600" w:hanging="360"/>
      </w:pPr>
      <w:rPr>
        <w:rFonts w:ascii="Courier New" w:hAnsi="Courier New" w:cs="Courier New" w:hint="default"/>
      </w:rPr>
    </w:lvl>
    <w:lvl w:ilvl="5" w:tplc="D590A222" w:tentative="1">
      <w:start w:val="1"/>
      <w:numFmt w:val="bullet"/>
      <w:lvlText w:val=""/>
      <w:lvlJc w:val="left"/>
      <w:pPr>
        <w:tabs>
          <w:tab w:val="num" w:pos="4320"/>
        </w:tabs>
        <w:ind w:left="4320" w:hanging="360"/>
      </w:pPr>
      <w:rPr>
        <w:rFonts w:ascii="Wingdings" w:hAnsi="Wingdings" w:hint="default"/>
      </w:rPr>
    </w:lvl>
    <w:lvl w:ilvl="6" w:tplc="749E3B46" w:tentative="1">
      <w:start w:val="1"/>
      <w:numFmt w:val="bullet"/>
      <w:lvlText w:val=""/>
      <w:lvlJc w:val="left"/>
      <w:pPr>
        <w:tabs>
          <w:tab w:val="num" w:pos="5040"/>
        </w:tabs>
        <w:ind w:left="5040" w:hanging="360"/>
      </w:pPr>
      <w:rPr>
        <w:rFonts w:ascii="Symbol" w:hAnsi="Symbol" w:hint="default"/>
      </w:rPr>
    </w:lvl>
    <w:lvl w:ilvl="7" w:tplc="801A0BB4" w:tentative="1">
      <w:start w:val="1"/>
      <w:numFmt w:val="bullet"/>
      <w:lvlText w:val="o"/>
      <w:lvlJc w:val="left"/>
      <w:pPr>
        <w:tabs>
          <w:tab w:val="num" w:pos="5760"/>
        </w:tabs>
        <w:ind w:left="5760" w:hanging="360"/>
      </w:pPr>
      <w:rPr>
        <w:rFonts w:ascii="Courier New" w:hAnsi="Courier New" w:cs="Courier New" w:hint="default"/>
      </w:rPr>
    </w:lvl>
    <w:lvl w:ilvl="8" w:tplc="35B26BA6" w:tentative="1">
      <w:start w:val="1"/>
      <w:numFmt w:val="bullet"/>
      <w:lvlText w:val=""/>
      <w:lvlJc w:val="left"/>
      <w:pPr>
        <w:tabs>
          <w:tab w:val="num" w:pos="6480"/>
        </w:tabs>
        <w:ind w:left="6480" w:hanging="360"/>
      </w:pPr>
      <w:rPr>
        <w:rFonts w:ascii="Wingdings" w:hAnsi="Wingdings" w:hint="default"/>
      </w:rPr>
    </w:lvl>
  </w:abstractNum>
  <w:abstractNum w:abstractNumId="41">
    <w:nsid w:val="298A4F87"/>
    <w:multiLevelType w:val="hybridMultilevel"/>
    <w:tmpl w:val="4F280F8C"/>
    <w:lvl w:ilvl="0" w:tplc="0C090009">
      <w:start w:val="1"/>
      <w:numFmt w:val="bullet"/>
      <w:lvlText w:val=""/>
      <w:lvlJc w:val="left"/>
      <w:pPr>
        <w:ind w:left="1146" w:hanging="720"/>
      </w:pPr>
      <w:rPr>
        <w:rFonts w:ascii="Wingdings" w:hAnsi="Wingding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42">
    <w:nsid w:val="2A9D7B92"/>
    <w:multiLevelType w:val="multilevel"/>
    <w:tmpl w:val="96C6D590"/>
    <w:lvl w:ilvl="0">
      <w:start w:val="1"/>
      <w:numFmt w:val="none"/>
      <w:lvlRestart w:val="0"/>
      <w:pStyle w:val="Note"/>
      <w:lvlText w:val=""/>
      <w:lvlJc w:val="left"/>
      <w:pPr>
        <w:tabs>
          <w:tab w:val="num" w:pos="0"/>
        </w:tabs>
        <w:ind w:left="0" w:firstLine="0"/>
      </w:pPr>
      <w:rPr>
        <w:rFonts w:hint="default"/>
        <w:b/>
        <w:i w:val="0"/>
        <w:position w:val="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
    <w:nsid w:val="2B3D017C"/>
    <w:multiLevelType w:val="hybridMultilevel"/>
    <w:tmpl w:val="434653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2DB94D7A"/>
    <w:multiLevelType w:val="hybridMultilevel"/>
    <w:tmpl w:val="253A8B08"/>
    <w:lvl w:ilvl="0" w:tplc="0C090009">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5">
    <w:nsid w:val="2E9D0BB6"/>
    <w:multiLevelType w:val="multilevel"/>
    <w:tmpl w:val="9F483F3E"/>
    <w:lvl w:ilvl="0">
      <w:start w:val="1"/>
      <w:numFmt w:val="lowerLetter"/>
      <w:lvlRestart w:val="0"/>
      <w:pStyle w:val="NoteNumber"/>
      <w:lvlText w:val="%1"/>
      <w:lvlJc w:val="left"/>
      <w:pPr>
        <w:tabs>
          <w:tab w:val="num" w:pos="170"/>
        </w:tabs>
        <w:ind w:left="0" w:firstLine="0"/>
      </w:pPr>
      <w:rPr>
        <w:rFonts w:hint="default"/>
        <w:b/>
        <w:i w:val="0"/>
        <w:position w:val="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6">
    <w:nsid w:val="307657FD"/>
    <w:multiLevelType w:val="hybridMultilevel"/>
    <w:tmpl w:val="BDB8E0DE"/>
    <w:lvl w:ilvl="0" w:tplc="2B14F504">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3092005F"/>
    <w:multiLevelType w:val="hybridMultilevel"/>
    <w:tmpl w:val="B70E426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8">
    <w:nsid w:val="33086C18"/>
    <w:multiLevelType w:val="hybridMultilevel"/>
    <w:tmpl w:val="4F341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36621A22"/>
    <w:multiLevelType w:val="hybridMultilevel"/>
    <w:tmpl w:val="808272A8"/>
    <w:lvl w:ilvl="0" w:tplc="E1AE913E">
      <w:start w:val="1"/>
      <w:numFmt w:val="lowerLetter"/>
      <w:lvlText w:val="(%1)"/>
      <w:lvlJc w:val="left"/>
      <w:pPr>
        <w:ind w:left="1440" w:hanging="360"/>
      </w:pPr>
      <w:rPr>
        <w:rFonts w:hint="default"/>
      </w:rPr>
    </w:lvl>
    <w:lvl w:ilvl="1" w:tplc="FC1E9040">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nsid w:val="367E4BC1"/>
    <w:multiLevelType w:val="hybridMultilevel"/>
    <w:tmpl w:val="DF845B2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1">
    <w:nsid w:val="36BE462A"/>
    <w:multiLevelType w:val="hybridMultilevel"/>
    <w:tmpl w:val="D8D2A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38667170"/>
    <w:multiLevelType w:val="singleLevel"/>
    <w:tmpl w:val="C25A6EDA"/>
    <w:lvl w:ilvl="0">
      <w:start w:val="1"/>
      <w:numFmt w:val="bullet"/>
      <w:pStyle w:val="ListBullet"/>
      <w:lvlText w:val=""/>
      <w:lvlJc w:val="left"/>
      <w:pPr>
        <w:tabs>
          <w:tab w:val="num" w:pos="284"/>
        </w:tabs>
        <w:ind w:left="284" w:hanging="284"/>
      </w:pPr>
      <w:rPr>
        <w:rFonts w:ascii="Wingdings 3" w:hAnsi="Wingdings 3" w:hint="default"/>
        <w:color w:val="auto"/>
        <w:position w:val="3"/>
        <w:sz w:val="12"/>
        <w:szCs w:val="12"/>
      </w:rPr>
    </w:lvl>
  </w:abstractNum>
  <w:abstractNum w:abstractNumId="53">
    <w:nsid w:val="39233F6B"/>
    <w:multiLevelType w:val="hybridMultilevel"/>
    <w:tmpl w:val="A2307E90"/>
    <w:lvl w:ilvl="0" w:tplc="936C0CB0">
      <w:start w:val="1"/>
      <w:numFmt w:val="lowerLetter"/>
      <w:pStyle w:val="BoxListNumber2"/>
      <w:lvlText w:val="%1)"/>
      <w:lvlJc w:val="left"/>
      <w:pPr>
        <w:tabs>
          <w:tab w:val="num" w:pos="567"/>
        </w:tabs>
        <w:ind w:left="567" w:hanging="283"/>
      </w:pPr>
      <w:rPr>
        <w:rFonts w:hint="default"/>
      </w:rPr>
    </w:lvl>
    <w:lvl w:ilvl="1" w:tplc="FFB8CE44" w:tentative="1">
      <w:start w:val="1"/>
      <w:numFmt w:val="lowerLetter"/>
      <w:lvlText w:val="%2."/>
      <w:lvlJc w:val="left"/>
      <w:pPr>
        <w:tabs>
          <w:tab w:val="num" w:pos="1440"/>
        </w:tabs>
        <w:ind w:left="1440" w:hanging="360"/>
      </w:pPr>
    </w:lvl>
    <w:lvl w:ilvl="2" w:tplc="7ACECBFE" w:tentative="1">
      <w:start w:val="1"/>
      <w:numFmt w:val="lowerRoman"/>
      <w:lvlText w:val="%3."/>
      <w:lvlJc w:val="right"/>
      <w:pPr>
        <w:tabs>
          <w:tab w:val="num" w:pos="2160"/>
        </w:tabs>
        <w:ind w:left="2160" w:hanging="180"/>
      </w:pPr>
    </w:lvl>
    <w:lvl w:ilvl="3" w:tplc="590C9924" w:tentative="1">
      <w:start w:val="1"/>
      <w:numFmt w:val="decimal"/>
      <w:lvlText w:val="%4."/>
      <w:lvlJc w:val="left"/>
      <w:pPr>
        <w:tabs>
          <w:tab w:val="num" w:pos="2880"/>
        </w:tabs>
        <w:ind w:left="2880" w:hanging="360"/>
      </w:pPr>
    </w:lvl>
    <w:lvl w:ilvl="4" w:tplc="67D6DC82" w:tentative="1">
      <w:start w:val="1"/>
      <w:numFmt w:val="lowerLetter"/>
      <w:lvlText w:val="%5."/>
      <w:lvlJc w:val="left"/>
      <w:pPr>
        <w:tabs>
          <w:tab w:val="num" w:pos="3600"/>
        </w:tabs>
        <w:ind w:left="3600" w:hanging="360"/>
      </w:pPr>
    </w:lvl>
    <w:lvl w:ilvl="5" w:tplc="0B68069C" w:tentative="1">
      <w:start w:val="1"/>
      <w:numFmt w:val="lowerRoman"/>
      <w:lvlText w:val="%6."/>
      <w:lvlJc w:val="right"/>
      <w:pPr>
        <w:tabs>
          <w:tab w:val="num" w:pos="4320"/>
        </w:tabs>
        <w:ind w:left="4320" w:hanging="180"/>
      </w:pPr>
    </w:lvl>
    <w:lvl w:ilvl="6" w:tplc="EAC8A5A2" w:tentative="1">
      <w:start w:val="1"/>
      <w:numFmt w:val="decimal"/>
      <w:lvlText w:val="%7."/>
      <w:lvlJc w:val="left"/>
      <w:pPr>
        <w:tabs>
          <w:tab w:val="num" w:pos="5040"/>
        </w:tabs>
        <w:ind w:left="5040" w:hanging="360"/>
      </w:pPr>
    </w:lvl>
    <w:lvl w:ilvl="7" w:tplc="EBDE5E7C" w:tentative="1">
      <w:start w:val="1"/>
      <w:numFmt w:val="lowerLetter"/>
      <w:lvlText w:val="%8."/>
      <w:lvlJc w:val="left"/>
      <w:pPr>
        <w:tabs>
          <w:tab w:val="num" w:pos="5760"/>
        </w:tabs>
        <w:ind w:left="5760" w:hanging="360"/>
      </w:pPr>
    </w:lvl>
    <w:lvl w:ilvl="8" w:tplc="2B7C7E7C" w:tentative="1">
      <w:start w:val="1"/>
      <w:numFmt w:val="lowerRoman"/>
      <w:lvlText w:val="%9."/>
      <w:lvlJc w:val="right"/>
      <w:pPr>
        <w:tabs>
          <w:tab w:val="num" w:pos="6480"/>
        </w:tabs>
        <w:ind w:left="6480" w:hanging="180"/>
      </w:pPr>
    </w:lvl>
  </w:abstractNum>
  <w:abstractNum w:abstractNumId="54">
    <w:nsid w:val="3B0F7E07"/>
    <w:multiLevelType w:val="hybridMultilevel"/>
    <w:tmpl w:val="309AE66A"/>
    <w:lvl w:ilvl="0" w:tplc="DC20470E">
      <w:start w:val="100"/>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5">
    <w:nsid w:val="3BC54362"/>
    <w:multiLevelType w:val="hybridMultilevel"/>
    <w:tmpl w:val="75581F70"/>
    <w:lvl w:ilvl="0" w:tplc="0C09000F">
      <w:start w:val="1"/>
      <w:numFmt w:val="decimal"/>
      <w:lvlText w:val="%1."/>
      <w:lvlJc w:val="left"/>
      <w:pPr>
        <w:ind w:left="720" w:hanging="360"/>
      </w:pPr>
      <w:rPr>
        <w:rFonts w:hint="default"/>
      </w:rPr>
    </w:lvl>
    <w:lvl w:ilvl="1" w:tplc="E1AE913E">
      <w:start w:val="1"/>
      <w:numFmt w:val="lowerLetter"/>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nsid w:val="408B5737"/>
    <w:multiLevelType w:val="hybridMultilevel"/>
    <w:tmpl w:val="1AD47D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44926515"/>
    <w:multiLevelType w:val="hybridMultilevel"/>
    <w:tmpl w:val="22E4044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8">
    <w:nsid w:val="44B21C4A"/>
    <w:multiLevelType w:val="hybridMultilevel"/>
    <w:tmpl w:val="D684383C"/>
    <w:lvl w:ilvl="0" w:tplc="CE40211A">
      <w:start w:val="1"/>
      <w:numFmt w:val="lowerLetter"/>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
    <w:nsid w:val="44CE488D"/>
    <w:multiLevelType w:val="hybridMultilevel"/>
    <w:tmpl w:val="EF24E182"/>
    <w:lvl w:ilvl="0" w:tplc="0C090017">
      <w:start w:val="1"/>
      <w:numFmt w:val="lowerLetter"/>
      <w:lvlText w:val="%1)"/>
      <w:lvlJc w:val="left"/>
      <w:pPr>
        <w:ind w:left="720" w:hanging="360"/>
      </w:pPr>
    </w:lvl>
    <w:lvl w:ilvl="1" w:tplc="CBDC4C38">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nsid w:val="44EA183A"/>
    <w:multiLevelType w:val="hybridMultilevel"/>
    <w:tmpl w:val="1966D872"/>
    <w:lvl w:ilvl="0" w:tplc="CD4ECD8A">
      <w:start w:val="1"/>
      <w:numFmt w:val="lowerLetter"/>
      <w:pStyle w:val="ListNumber2"/>
      <w:lvlText w:val="%1)"/>
      <w:lvlJc w:val="left"/>
      <w:pPr>
        <w:tabs>
          <w:tab w:val="num" w:pos="567"/>
        </w:tabs>
        <w:ind w:left="567" w:hanging="283"/>
      </w:pPr>
      <w:rPr>
        <w:rFonts w:hint="default"/>
      </w:rPr>
    </w:lvl>
    <w:lvl w:ilvl="1" w:tplc="C004CDF8" w:tentative="1">
      <w:start w:val="1"/>
      <w:numFmt w:val="lowerLetter"/>
      <w:lvlText w:val="%2."/>
      <w:lvlJc w:val="left"/>
      <w:pPr>
        <w:tabs>
          <w:tab w:val="num" w:pos="1440"/>
        </w:tabs>
        <w:ind w:left="1440" w:hanging="360"/>
      </w:pPr>
    </w:lvl>
    <w:lvl w:ilvl="2" w:tplc="5D727730" w:tentative="1">
      <w:start w:val="1"/>
      <w:numFmt w:val="lowerRoman"/>
      <w:lvlText w:val="%3."/>
      <w:lvlJc w:val="right"/>
      <w:pPr>
        <w:tabs>
          <w:tab w:val="num" w:pos="2160"/>
        </w:tabs>
        <w:ind w:left="2160" w:hanging="180"/>
      </w:pPr>
    </w:lvl>
    <w:lvl w:ilvl="3" w:tplc="C878181E" w:tentative="1">
      <w:start w:val="1"/>
      <w:numFmt w:val="decimal"/>
      <w:lvlText w:val="%4."/>
      <w:lvlJc w:val="left"/>
      <w:pPr>
        <w:tabs>
          <w:tab w:val="num" w:pos="2880"/>
        </w:tabs>
        <w:ind w:left="2880" w:hanging="360"/>
      </w:pPr>
    </w:lvl>
    <w:lvl w:ilvl="4" w:tplc="B9D0FAF2" w:tentative="1">
      <w:start w:val="1"/>
      <w:numFmt w:val="lowerLetter"/>
      <w:lvlText w:val="%5."/>
      <w:lvlJc w:val="left"/>
      <w:pPr>
        <w:tabs>
          <w:tab w:val="num" w:pos="3600"/>
        </w:tabs>
        <w:ind w:left="3600" w:hanging="360"/>
      </w:pPr>
    </w:lvl>
    <w:lvl w:ilvl="5" w:tplc="C85E32BE" w:tentative="1">
      <w:start w:val="1"/>
      <w:numFmt w:val="lowerRoman"/>
      <w:lvlText w:val="%6."/>
      <w:lvlJc w:val="right"/>
      <w:pPr>
        <w:tabs>
          <w:tab w:val="num" w:pos="4320"/>
        </w:tabs>
        <w:ind w:left="4320" w:hanging="180"/>
      </w:pPr>
    </w:lvl>
    <w:lvl w:ilvl="6" w:tplc="028AE6B2" w:tentative="1">
      <w:start w:val="1"/>
      <w:numFmt w:val="decimal"/>
      <w:lvlText w:val="%7."/>
      <w:lvlJc w:val="left"/>
      <w:pPr>
        <w:tabs>
          <w:tab w:val="num" w:pos="5040"/>
        </w:tabs>
        <w:ind w:left="5040" w:hanging="360"/>
      </w:pPr>
    </w:lvl>
    <w:lvl w:ilvl="7" w:tplc="EC02B0A8" w:tentative="1">
      <w:start w:val="1"/>
      <w:numFmt w:val="lowerLetter"/>
      <w:lvlText w:val="%8."/>
      <w:lvlJc w:val="left"/>
      <w:pPr>
        <w:tabs>
          <w:tab w:val="num" w:pos="5760"/>
        </w:tabs>
        <w:ind w:left="5760" w:hanging="360"/>
      </w:pPr>
    </w:lvl>
    <w:lvl w:ilvl="8" w:tplc="BE3C961C" w:tentative="1">
      <w:start w:val="1"/>
      <w:numFmt w:val="lowerRoman"/>
      <w:lvlText w:val="%9."/>
      <w:lvlJc w:val="right"/>
      <w:pPr>
        <w:tabs>
          <w:tab w:val="num" w:pos="6480"/>
        </w:tabs>
        <w:ind w:left="6480" w:hanging="180"/>
      </w:pPr>
    </w:lvl>
  </w:abstractNum>
  <w:abstractNum w:abstractNumId="61">
    <w:nsid w:val="45DA730F"/>
    <w:multiLevelType w:val="hybridMultilevel"/>
    <w:tmpl w:val="BC0475FC"/>
    <w:lvl w:ilvl="0" w:tplc="0C090001">
      <w:start w:val="1"/>
      <w:numFmt w:val="bullet"/>
      <w:lvlText w:val=""/>
      <w:lvlJc w:val="left"/>
      <w:pPr>
        <w:ind w:left="961" w:hanging="360"/>
      </w:pPr>
      <w:rPr>
        <w:rFonts w:ascii="Symbol" w:hAnsi="Symbol" w:hint="default"/>
      </w:rPr>
    </w:lvl>
    <w:lvl w:ilvl="1" w:tplc="0C090003" w:tentative="1">
      <w:start w:val="1"/>
      <w:numFmt w:val="bullet"/>
      <w:lvlText w:val="o"/>
      <w:lvlJc w:val="left"/>
      <w:pPr>
        <w:ind w:left="1681" w:hanging="360"/>
      </w:pPr>
      <w:rPr>
        <w:rFonts w:ascii="Courier New" w:hAnsi="Courier New" w:cs="Courier New" w:hint="default"/>
      </w:rPr>
    </w:lvl>
    <w:lvl w:ilvl="2" w:tplc="0C090005" w:tentative="1">
      <w:start w:val="1"/>
      <w:numFmt w:val="bullet"/>
      <w:lvlText w:val=""/>
      <w:lvlJc w:val="left"/>
      <w:pPr>
        <w:ind w:left="2401" w:hanging="360"/>
      </w:pPr>
      <w:rPr>
        <w:rFonts w:ascii="Wingdings" w:hAnsi="Wingdings" w:hint="default"/>
      </w:rPr>
    </w:lvl>
    <w:lvl w:ilvl="3" w:tplc="0C090001" w:tentative="1">
      <w:start w:val="1"/>
      <w:numFmt w:val="bullet"/>
      <w:lvlText w:val=""/>
      <w:lvlJc w:val="left"/>
      <w:pPr>
        <w:ind w:left="3121" w:hanging="360"/>
      </w:pPr>
      <w:rPr>
        <w:rFonts w:ascii="Symbol" w:hAnsi="Symbol" w:hint="default"/>
      </w:rPr>
    </w:lvl>
    <w:lvl w:ilvl="4" w:tplc="0C090003" w:tentative="1">
      <w:start w:val="1"/>
      <w:numFmt w:val="bullet"/>
      <w:lvlText w:val="o"/>
      <w:lvlJc w:val="left"/>
      <w:pPr>
        <w:ind w:left="3841" w:hanging="360"/>
      </w:pPr>
      <w:rPr>
        <w:rFonts w:ascii="Courier New" w:hAnsi="Courier New" w:cs="Courier New" w:hint="default"/>
      </w:rPr>
    </w:lvl>
    <w:lvl w:ilvl="5" w:tplc="0C090005" w:tentative="1">
      <w:start w:val="1"/>
      <w:numFmt w:val="bullet"/>
      <w:lvlText w:val=""/>
      <w:lvlJc w:val="left"/>
      <w:pPr>
        <w:ind w:left="4561" w:hanging="360"/>
      </w:pPr>
      <w:rPr>
        <w:rFonts w:ascii="Wingdings" w:hAnsi="Wingdings" w:hint="default"/>
      </w:rPr>
    </w:lvl>
    <w:lvl w:ilvl="6" w:tplc="0C090001" w:tentative="1">
      <w:start w:val="1"/>
      <w:numFmt w:val="bullet"/>
      <w:lvlText w:val=""/>
      <w:lvlJc w:val="left"/>
      <w:pPr>
        <w:ind w:left="5281" w:hanging="360"/>
      </w:pPr>
      <w:rPr>
        <w:rFonts w:ascii="Symbol" w:hAnsi="Symbol" w:hint="default"/>
      </w:rPr>
    </w:lvl>
    <w:lvl w:ilvl="7" w:tplc="0C090003" w:tentative="1">
      <w:start w:val="1"/>
      <w:numFmt w:val="bullet"/>
      <w:lvlText w:val="o"/>
      <w:lvlJc w:val="left"/>
      <w:pPr>
        <w:ind w:left="6001" w:hanging="360"/>
      </w:pPr>
      <w:rPr>
        <w:rFonts w:ascii="Courier New" w:hAnsi="Courier New" w:cs="Courier New" w:hint="default"/>
      </w:rPr>
    </w:lvl>
    <w:lvl w:ilvl="8" w:tplc="0C090005" w:tentative="1">
      <w:start w:val="1"/>
      <w:numFmt w:val="bullet"/>
      <w:lvlText w:val=""/>
      <w:lvlJc w:val="left"/>
      <w:pPr>
        <w:ind w:left="6721" w:hanging="360"/>
      </w:pPr>
      <w:rPr>
        <w:rFonts w:ascii="Wingdings" w:hAnsi="Wingdings" w:hint="default"/>
      </w:rPr>
    </w:lvl>
  </w:abstractNum>
  <w:abstractNum w:abstractNumId="62">
    <w:nsid w:val="45E35C77"/>
    <w:multiLevelType w:val="hybridMultilevel"/>
    <w:tmpl w:val="F0A6DA4A"/>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46D343D7"/>
    <w:multiLevelType w:val="hybridMultilevel"/>
    <w:tmpl w:val="C7DE336A"/>
    <w:lvl w:ilvl="0" w:tplc="0C090001">
      <w:start w:val="1"/>
      <w:numFmt w:val="bullet"/>
      <w:lvlText w:val=""/>
      <w:lvlJc w:val="left"/>
      <w:pPr>
        <w:ind w:left="1789"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49BE30A3"/>
    <w:multiLevelType w:val="hybridMultilevel"/>
    <w:tmpl w:val="48B84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4AAB431D"/>
    <w:multiLevelType w:val="hybridMultilevel"/>
    <w:tmpl w:val="B2F0375A"/>
    <w:lvl w:ilvl="0" w:tplc="A0A201B4">
      <w:start w:val="1"/>
      <w:numFmt w:val="decimal"/>
      <w:lvlText w:val="%1."/>
      <w:lvlJc w:val="left"/>
      <w:pPr>
        <w:ind w:left="720" w:hanging="360"/>
      </w:pPr>
      <w:rPr>
        <w:rFonts w:hint="default"/>
      </w:rPr>
    </w:lvl>
    <w:lvl w:ilvl="1" w:tplc="F0FEFD9A">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nsid w:val="4AC23704"/>
    <w:multiLevelType w:val="hybridMultilevel"/>
    <w:tmpl w:val="A01E399C"/>
    <w:lvl w:ilvl="0" w:tplc="A0A201B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nsid w:val="4CEE16DB"/>
    <w:multiLevelType w:val="hybridMultilevel"/>
    <w:tmpl w:val="F898A1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4D550DDD"/>
    <w:multiLevelType w:val="hybridMultilevel"/>
    <w:tmpl w:val="F838121E"/>
    <w:lvl w:ilvl="0" w:tplc="0C090001">
      <w:start w:val="1"/>
      <w:numFmt w:val="bullet"/>
      <w:lvlText w:val=""/>
      <w:lvlJc w:val="left"/>
      <w:pPr>
        <w:ind w:left="1179" w:hanging="360"/>
      </w:pPr>
      <w:rPr>
        <w:rFonts w:ascii="Symbol" w:hAnsi="Symbol" w:hint="default"/>
      </w:rPr>
    </w:lvl>
    <w:lvl w:ilvl="1" w:tplc="0C090003" w:tentative="1">
      <w:start w:val="1"/>
      <w:numFmt w:val="bullet"/>
      <w:lvlText w:val="o"/>
      <w:lvlJc w:val="left"/>
      <w:pPr>
        <w:ind w:left="1899" w:hanging="360"/>
      </w:pPr>
      <w:rPr>
        <w:rFonts w:ascii="Courier New" w:hAnsi="Courier New" w:cs="Courier New" w:hint="default"/>
      </w:rPr>
    </w:lvl>
    <w:lvl w:ilvl="2" w:tplc="0C090005" w:tentative="1">
      <w:start w:val="1"/>
      <w:numFmt w:val="bullet"/>
      <w:lvlText w:val=""/>
      <w:lvlJc w:val="left"/>
      <w:pPr>
        <w:ind w:left="2619" w:hanging="360"/>
      </w:pPr>
      <w:rPr>
        <w:rFonts w:ascii="Wingdings" w:hAnsi="Wingdings" w:hint="default"/>
      </w:rPr>
    </w:lvl>
    <w:lvl w:ilvl="3" w:tplc="0C090001" w:tentative="1">
      <w:start w:val="1"/>
      <w:numFmt w:val="bullet"/>
      <w:lvlText w:val=""/>
      <w:lvlJc w:val="left"/>
      <w:pPr>
        <w:ind w:left="3339" w:hanging="360"/>
      </w:pPr>
      <w:rPr>
        <w:rFonts w:ascii="Symbol" w:hAnsi="Symbol" w:hint="default"/>
      </w:rPr>
    </w:lvl>
    <w:lvl w:ilvl="4" w:tplc="0C090003" w:tentative="1">
      <w:start w:val="1"/>
      <w:numFmt w:val="bullet"/>
      <w:lvlText w:val="o"/>
      <w:lvlJc w:val="left"/>
      <w:pPr>
        <w:ind w:left="4059" w:hanging="360"/>
      </w:pPr>
      <w:rPr>
        <w:rFonts w:ascii="Courier New" w:hAnsi="Courier New" w:cs="Courier New" w:hint="default"/>
      </w:rPr>
    </w:lvl>
    <w:lvl w:ilvl="5" w:tplc="0C090005" w:tentative="1">
      <w:start w:val="1"/>
      <w:numFmt w:val="bullet"/>
      <w:lvlText w:val=""/>
      <w:lvlJc w:val="left"/>
      <w:pPr>
        <w:ind w:left="4779" w:hanging="360"/>
      </w:pPr>
      <w:rPr>
        <w:rFonts w:ascii="Wingdings" w:hAnsi="Wingdings" w:hint="default"/>
      </w:rPr>
    </w:lvl>
    <w:lvl w:ilvl="6" w:tplc="0C090001" w:tentative="1">
      <w:start w:val="1"/>
      <w:numFmt w:val="bullet"/>
      <w:lvlText w:val=""/>
      <w:lvlJc w:val="left"/>
      <w:pPr>
        <w:ind w:left="5499" w:hanging="360"/>
      </w:pPr>
      <w:rPr>
        <w:rFonts w:ascii="Symbol" w:hAnsi="Symbol" w:hint="default"/>
      </w:rPr>
    </w:lvl>
    <w:lvl w:ilvl="7" w:tplc="0C090003" w:tentative="1">
      <w:start w:val="1"/>
      <w:numFmt w:val="bullet"/>
      <w:lvlText w:val="o"/>
      <w:lvlJc w:val="left"/>
      <w:pPr>
        <w:ind w:left="6219" w:hanging="360"/>
      </w:pPr>
      <w:rPr>
        <w:rFonts w:ascii="Courier New" w:hAnsi="Courier New" w:cs="Courier New" w:hint="default"/>
      </w:rPr>
    </w:lvl>
    <w:lvl w:ilvl="8" w:tplc="0C090005" w:tentative="1">
      <w:start w:val="1"/>
      <w:numFmt w:val="bullet"/>
      <w:lvlText w:val=""/>
      <w:lvlJc w:val="left"/>
      <w:pPr>
        <w:ind w:left="6939" w:hanging="360"/>
      </w:pPr>
      <w:rPr>
        <w:rFonts w:ascii="Wingdings" w:hAnsi="Wingdings" w:hint="default"/>
      </w:rPr>
    </w:lvl>
  </w:abstractNum>
  <w:abstractNum w:abstractNumId="69">
    <w:nsid w:val="4ED804AB"/>
    <w:multiLevelType w:val="hybridMultilevel"/>
    <w:tmpl w:val="C19E60DA"/>
    <w:lvl w:ilvl="0" w:tplc="A0A201B4">
      <w:start w:val="1"/>
      <w:numFmt w:val="decimal"/>
      <w:lvlText w:val="%1."/>
      <w:lvlJc w:val="left"/>
      <w:pPr>
        <w:ind w:left="720" w:hanging="360"/>
      </w:pPr>
      <w:rPr>
        <w:rFonts w:hint="default"/>
      </w:rPr>
    </w:lvl>
    <w:lvl w:ilvl="1" w:tplc="E05000D8">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nsid w:val="4FFB2512"/>
    <w:multiLevelType w:val="hybridMultilevel"/>
    <w:tmpl w:val="96A84704"/>
    <w:lvl w:ilvl="0" w:tplc="F31C0578">
      <w:start w:val="1"/>
      <w:numFmt w:val="bullet"/>
      <w:lvlText w:val=""/>
      <w:lvlJc w:val="left"/>
      <w:pPr>
        <w:ind w:left="780" w:hanging="360"/>
      </w:pPr>
      <w:rPr>
        <w:rFonts w:ascii="Symbol" w:hAnsi="Symbol" w:hint="default"/>
        <w:color w:val="auto"/>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1">
    <w:nsid w:val="50A640CF"/>
    <w:multiLevelType w:val="hybridMultilevel"/>
    <w:tmpl w:val="D49CE3CA"/>
    <w:lvl w:ilvl="0" w:tplc="0C090009">
      <w:start w:val="1"/>
      <w:numFmt w:val="bullet"/>
      <w:lvlText w:val=""/>
      <w:lvlJc w:val="left"/>
      <w:pPr>
        <w:ind w:left="1321" w:hanging="360"/>
      </w:pPr>
      <w:rPr>
        <w:rFonts w:ascii="Wingdings" w:hAnsi="Wingdings" w:hint="default"/>
      </w:rPr>
    </w:lvl>
    <w:lvl w:ilvl="1" w:tplc="0C090003" w:tentative="1">
      <w:start w:val="1"/>
      <w:numFmt w:val="bullet"/>
      <w:lvlText w:val="o"/>
      <w:lvlJc w:val="left"/>
      <w:pPr>
        <w:ind w:left="2041" w:hanging="360"/>
      </w:pPr>
      <w:rPr>
        <w:rFonts w:ascii="Courier New" w:hAnsi="Courier New" w:cs="Courier New" w:hint="default"/>
      </w:rPr>
    </w:lvl>
    <w:lvl w:ilvl="2" w:tplc="0C090005" w:tentative="1">
      <w:start w:val="1"/>
      <w:numFmt w:val="bullet"/>
      <w:lvlText w:val=""/>
      <w:lvlJc w:val="left"/>
      <w:pPr>
        <w:ind w:left="2761" w:hanging="360"/>
      </w:pPr>
      <w:rPr>
        <w:rFonts w:ascii="Wingdings" w:hAnsi="Wingdings" w:hint="default"/>
      </w:rPr>
    </w:lvl>
    <w:lvl w:ilvl="3" w:tplc="0C090001" w:tentative="1">
      <w:start w:val="1"/>
      <w:numFmt w:val="bullet"/>
      <w:lvlText w:val=""/>
      <w:lvlJc w:val="left"/>
      <w:pPr>
        <w:ind w:left="3481" w:hanging="360"/>
      </w:pPr>
      <w:rPr>
        <w:rFonts w:ascii="Symbol" w:hAnsi="Symbol" w:hint="default"/>
      </w:rPr>
    </w:lvl>
    <w:lvl w:ilvl="4" w:tplc="0C090003" w:tentative="1">
      <w:start w:val="1"/>
      <w:numFmt w:val="bullet"/>
      <w:lvlText w:val="o"/>
      <w:lvlJc w:val="left"/>
      <w:pPr>
        <w:ind w:left="4201" w:hanging="360"/>
      </w:pPr>
      <w:rPr>
        <w:rFonts w:ascii="Courier New" w:hAnsi="Courier New" w:cs="Courier New" w:hint="default"/>
      </w:rPr>
    </w:lvl>
    <w:lvl w:ilvl="5" w:tplc="0C090005" w:tentative="1">
      <w:start w:val="1"/>
      <w:numFmt w:val="bullet"/>
      <w:lvlText w:val=""/>
      <w:lvlJc w:val="left"/>
      <w:pPr>
        <w:ind w:left="4921" w:hanging="360"/>
      </w:pPr>
      <w:rPr>
        <w:rFonts w:ascii="Wingdings" w:hAnsi="Wingdings" w:hint="default"/>
      </w:rPr>
    </w:lvl>
    <w:lvl w:ilvl="6" w:tplc="0C090001" w:tentative="1">
      <w:start w:val="1"/>
      <w:numFmt w:val="bullet"/>
      <w:lvlText w:val=""/>
      <w:lvlJc w:val="left"/>
      <w:pPr>
        <w:ind w:left="5641" w:hanging="360"/>
      </w:pPr>
      <w:rPr>
        <w:rFonts w:ascii="Symbol" w:hAnsi="Symbol" w:hint="default"/>
      </w:rPr>
    </w:lvl>
    <w:lvl w:ilvl="7" w:tplc="0C090003" w:tentative="1">
      <w:start w:val="1"/>
      <w:numFmt w:val="bullet"/>
      <w:lvlText w:val="o"/>
      <w:lvlJc w:val="left"/>
      <w:pPr>
        <w:ind w:left="6361" w:hanging="360"/>
      </w:pPr>
      <w:rPr>
        <w:rFonts w:ascii="Courier New" w:hAnsi="Courier New" w:cs="Courier New" w:hint="default"/>
      </w:rPr>
    </w:lvl>
    <w:lvl w:ilvl="8" w:tplc="0C090005" w:tentative="1">
      <w:start w:val="1"/>
      <w:numFmt w:val="bullet"/>
      <w:lvlText w:val=""/>
      <w:lvlJc w:val="left"/>
      <w:pPr>
        <w:ind w:left="7081" w:hanging="360"/>
      </w:pPr>
      <w:rPr>
        <w:rFonts w:ascii="Wingdings" w:hAnsi="Wingdings" w:hint="default"/>
      </w:rPr>
    </w:lvl>
  </w:abstractNum>
  <w:abstractNum w:abstractNumId="72">
    <w:nsid w:val="5122399E"/>
    <w:multiLevelType w:val="hybridMultilevel"/>
    <w:tmpl w:val="1B003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nsid w:val="51E870B7"/>
    <w:multiLevelType w:val="hybridMultilevel"/>
    <w:tmpl w:val="DDB2AE7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4">
    <w:nsid w:val="52473A13"/>
    <w:multiLevelType w:val="hybridMultilevel"/>
    <w:tmpl w:val="5C3E100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nsid w:val="529438E1"/>
    <w:multiLevelType w:val="hybridMultilevel"/>
    <w:tmpl w:val="B14E7C64"/>
    <w:lvl w:ilvl="0" w:tplc="289EA5B0">
      <w:start w:val="1"/>
      <w:numFmt w:val="bullet"/>
      <w:lvlText w:val="-"/>
      <w:lvlJc w:val="left"/>
      <w:pPr>
        <w:ind w:left="1004" w:hanging="360"/>
      </w:pPr>
      <w:rPr>
        <w:rFonts w:ascii="Arial" w:eastAsia="Times New Roman" w:hAnsi="Arial" w:cs="Aria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6">
    <w:nsid w:val="529B50EA"/>
    <w:multiLevelType w:val="hybridMultilevel"/>
    <w:tmpl w:val="02FCD25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nsid w:val="534C4F08"/>
    <w:multiLevelType w:val="hybridMultilevel"/>
    <w:tmpl w:val="79FE89A4"/>
    <w:lvl w:ilvl="0" w:tplc="46D4A412">
      <w:start w:val="1"/>
      <w:numFmt w:val="decimal"/>
      <w:pStyle w:val="Equation"/>
      <w:lvlText w:val="(%1)"/>
      <w:lvlJc w:val="left"/>
      <w:pPr>
        <w:tabs>
          <w:tab w:val="num" w:pos="851"/>
        </w:tabs>
        <w:ind w:left="851" w:hanging="851"/>
      </w:pPr>
      <w:rPr>
        <w:rFonts w:hint="default"/>
      </w:rPr>
    </w:lvl>
    <w:lvl w:ilvl="1" w:tplc="F188710A" w:tentative="1">
      <w:start w:val="1"/>
      <w:numFmt w:val="lowerLetter"/>
      <w:lvlText w:val="%2."/>
      <w:lvlJc w:val="left"/>
      <w:pPr>
        <w:tabs>
          <w:tab w:val="num" w:pos="1440"/>
        </w:tabs>
        <w:ind w:left="1440" w:hanging="360"/>
      </w:pPr>
    </w:lvl>
    <w:lvl w:ilvl="2" w:tplc="133C20CA" w:tentative="1">
      <w:start w:val="1"/>
      <w:numFmt w:val="lowerRoman"/>
      <w:lvlText w:val="%3."/>
      <w:lvlJc w:val="right"/>
      <w:pPr>
        <w:tabs>
          <w:tab w:val="num" w:pos="2160"/>
        </w:tabs>
        <w:ind w:left="2160" w:hanging="180"/>
      </w:pPr>
    </w:lvl>
    <w:lvl w:ilvl="3" w:tplc="6DEA3EB4" w:tentative="1">
      <w:start w:val="1"/>
      <w:numFmt w:val="decimal"/>
      <w:lvlText w:val="%4."/>
      <w:lvlJc w:val="left"/>
      <w:pPr>
        <w:tabs>
          <w:tab w:val="num" w:pos="2880"/>
        </w:tabs>
        <w:ind w:left="2880" w:hanging="360"/>
      </w:pPr>
    </w:lvl>
    <w:lvl w:ilvl="4" w:tplc="DC7C0496" w:tentative="1">
      <w:start w:val="1"/>
      <w:numFmt w:val="lowerLetter"/>
      <w:lvlText w:val="%5."/>
      <w:lvlJc w:val="left"/>
      <w:pPr>
        <w:tabs>
          <w:tab w:val="num" w:pos="3600"/>
        </w:tabs>
        <w:ind w:left="3600" w:hanging="360"/>
      </w:pPr>
    </w:lvl>
    <w:lvl w:ilvl="5" w:tplc="3244BFF4" w:tentative="1">
      <w:start w:val="1"/>
      <w:numFmt w:val="lowerRoman"/>
      <w:lvlText w:val="%6."/>
      <w:lvlJc w:val="right"/>
      <w:pPr>
        <w:tabs>
          <w:tab w:val="num" w:pos="4320"/>
        </w:tabs>
        <w:ind w:left="4320" w:hanging="180"/>
      </w:pPr>
    </w:lvl>
    <w:lvl w:ilvl="6" w:tplc="A172024C" w:tentative="1">
      <w:start w:val="1"/>
      <w:numFmt w:val="decimal"/>
      <w:lvlText w:val="%7."/>
      <w:lvlJc w:val="left"/>
      <w:pPr>
        <w:tabs>
          <w:tab w:val="num" w:pos="5040"/>
        </w:tabs>
        <w:ind w:left="5040" w:hanging="360"/>
      </w:pPr>
    </w:lvl>
    <w:lvl w:ilvl="7" w:tplc="79205B34" w:tentative="1">
      <w:start w:val="1"/>
      <w:numFmt w:val="lowerLetter"/>
      <w:lvlText w:val="%8."/>
      <w:lvlJc w:val="left"/>
      <w:pPr>
        <w:tabs>
          <w:tab w:val="num" w:pos="5760"/>
        </w:tabs>
        <w:ind w:left="5760" w:hanging="360"/>
      </w:pPr>
    </w:lvl>
    <w:lvl w:ilvl="8" w:tplc="6AF848A2" w:tentative="1">
      <w:start w:val="1"/>
      <w:numFmt w:val="lowerRoman"/>
      <w:lvlText w:val="%9."/>
      <w:lvlJc w:val="right"/>
      <w:pPr>
        <w:tabs>
          <w:tab w:val="num" w:pos="6480"/>
        </w:tabs>
        <w:ind w:left="6480" w:hanging="180"/>
      </w:pPr>
    </w:lvl>
  </w:abstractNum>
  <w:abstractNum w:abstractNumId="78">
    <w:nsid w:val="53703995"/>
    <w:multiLevelType w:val="hybridMultilevel"/>
    <w:tmpl w:val="83F6E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nsid w:val="541A3F41"/>
    <w:multiLevelType w:val="hybridMultilevel"/>
    <w:tmpl w:val="441C4180"/>
    <w:lvl w:ilvl="0" w:tplc="F31C0578">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nsid w:val="54BA3B17"/>
    <w:multiLevelType w:val="hybridMultilevel"/>
    <w:tmpl w:val="CCC07B68"/>
    <w:lvl w:ilvl="0" w:tplc="B0D09B1A">
      <w:start w:val="1"/>
      <w:numFmt w:val="lowerRoman"/>
      <w:lvlText w:val="(%1)"/>
      <w:lvlJc w:val="left"/>
      <w:pPr>
        <w:ind w:left="1146" w:hanging="72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81">
    <w:nsid w:val="54DA6B7A"/>
    <w:multiLevelType w:val="hybridMultilevel"/>
    <w:tmpl w:val="08BA3F00"/>
    <w:lvl w:ilvl="0" w:tplc="0C090009">
      <w:start w:val="1"/>
      <w:numFmt w:val="bullet"/>
      <w:lvlText w:val=""/>
      <w:lvlJc w:val="left"/>
      <w:pPr>
        <w:ind w:left="1321" w:hanging="360"/>
      </w:pPr>
      <w:rPr>
        <w:rFonts w:ascii="Wingdings" w:hAnsi="Wingdings" w:hint="default"/>
      </w:rPr>
    </w:lvl>
    <w:lvl w:ilvl="1" w:tplc="0C090003" w:tentative="1">
      <w:start w:val="1"/>
      <w:numFmt w:val="bullet"/>
      <w:lvlText w:val="o"/>
      <w:lvlJc w:val="left"/>
      <w:pPr>
        <w:ind w:left="2041" w:hanging="360"/>
      </w:pPr>
      <w:rPr>
        <w:rFonts w:ascii="Courier New" w:hAnsi="Courier New" w:cs="Courier New" w:hint="default"/>
      </w:rPr>
    </w:lvl>
    <w:lvl w:ilvl="2" w:tplc="0C090005" w:tentative="1">
      <w:start w:val="1"/>
      <w:numFmt w:val="bullet"/>
      <w:lvlText w:val=""/>
      <w:lvlJc w:val="left"/>
      <w:pPr>
        <w:ind w:left="2761" w:hanging="360"/>
      </w:pPr>
      <w:rPr>
        <w:rFonts w:ascii="Wingdings" w:hAnsi="Wingdings" w:hint="default"/>
      </w:rPr>
    </w:lvl>
    <w:lvl w:ilvl="3" w:tplc="0C090001" w:tentative="1">
      <w:start w:val="1"/>
      <w:numFmt w:val="bullet"/>
      <w:lvlText w:val=""/>
      <w:lvlJc w:val="left"/>
      <w:pPr>
        <w:ind w:left="3481" w:hanging="360"/>
      </w:pPr>
      <w:rPr>
        <w:rFonts w:ascii="Symbol" w:hAnsi="Symbol" w:hint="default"/>
      </w:rPr>
    </w:lvl>
    <w:lvl w:ilvl="4" w:tplc="0C090003" w:tentative="1">
      <w:start w:val="1"/>
      <w:numFmt w:val="bullet"/>
      <w:lvlText w:val="o"/>
      <w:lvlJc w:val="left"/>
      <w:pPr>
        <w:ind w:left="4201" w:hanging="360"/>
      </w:pPr>
      <w:rPr>
        <w:rFonts w:ascii="Courier New" w:hAnsi="Courier New" w:cs="Courier New" w:hint="default"/>
      </w:rPr>
    </w:lvl>
    <w:lvl w:ilvl="5" w:tplc="0C090005" w:tentative="1">
      <w:start w:val="1"/>
      <w:numFmt w:val="bullet"/>
      <w:lvlText w:val=""/>
      <w:lvlJc w:val="left"/>
      <w:pPr>
        <w:ind w:left="4921" w:hanging="360"/>
      </w:pPr>
      <w:rPr>
        <w:rFonts w:ascii="Wingdings" w:hAnsi="Wingdings" w:hint="default"/>
      </w:rPr>
    </w:lvl>
    <w:lvl w:ilvl="6" w:tplc="0C090001" w:tentative="1">
      <w:start w:val="1"/>
      <w:numFmt w:val="bullet"/>
      <w:lvlText w:val=""/>
      <w:lvlJc w:val="left"/>
      <w:pPr>
        <w:ind w:left="5641" w:hanging="360"/>
      </w:pPr>
      <w:rPr>
        <w:rFonts w:ascii="Symbol" w:hAnsi="Symbol" w:hint="default"/>
      </w:rPr>
    </w:lvl>
    <w:lvl w:ilvl="7" w:tplc="0C090003" w:tentative="1">
      <w:start w:val="1"/>
      <w:numFmt w:val="bullet"/>
      <w:lvlText w:val="o"/>
      <w:lvlJc w:val="left"/>
      <w:pPr>
        <w:ind w:left="6361" w:hanging="360"/>
      </w:pPr>
      <w:rPr>
        <w:rFonts w:ascii="Courier New" w:hAnsi="Courier New" w:cs="Courier New" w:hint="default"/>
      </w:rPr>
    </w:lvl>
    <w:lvl w:ilvl="8" w:tplc="0C090005" w:tentative="1">
      <w:start w:val="1"/>
      <w:numFmt w:val="bullet"/>
      <w:lvlText w:val=""/>
      <w:lvlJc w:val="left"/>
      <w:pPr>
        <w:ind w:left="7081" w:hanging="360"/>
      </w:pPr>
      <w:rPr>
        <w:rFonts w:ascii="Wingdings" w:hAnsi="Wingdings" w:hint="default"/>
      </w:rPr>
    </w:lvl>
  </w:abstractNum>
  <w:abstractNum w:abstractNumId="82">
    <w:nsid w:val="56D44CE7"/>
    <w:multiLevelType w:val="hybridMultilevel"/>
    <w:tmpl w:val="551687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nsid w:val="583532F3"/>
    <w:multiLevelType w:val="hybridMultilevel"/>
    <w:tmpl w:val="484CEED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nsid w:val="58A03809"/>
    <w:multiLevelType w:val="hybridMultilevel"/>
    <w:tmpl w:val="A51A6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nsid w:val="598A5214"/>
    <w:multiLevelType w:val="hybridMultilevel"/>
    <w:tmpl w:val="0B5AC610"/>
    <w:lvl w:ilvl="0" w:tplc="7CC63B46">
      <w:start w:val="1"/>
      <w:numFmt w:val="decimal"/>
      <w:pStyle w:val="TableListNumber"/>
      <w:lvlText w:val="%1."/>
      <w:lvlJc w:val="left"/>
      <w:pPr>
        <w:tabs>
          <w:tab w:val="num" w:pos="227"/>
        </w:tabs>
        <w:ind w:left="227" w:hanging="227"/>
      </w:pPr>
      <w:rPr>
        <w:rFonts w:hint="default"/>
      </w:rPr>
    </w:lvl>
    <w:lvl w:ilvl="1" w:tplc="6676131E" w:tentative="1">
      <w:start w:val="1"/>
      <w:numFmt w:val="lowerLetter"/>
      <w:lvlText w:val="%2."/>
      <w:lvlJc w:val="left"/>
      <w:pPr>
        <w:tabs>
          <w:tab w:val="num" w:pos="1440"/>
        </w:tabs>
        <w:ind w:left="1440" w:hanging="360"/>
      </w:pPr>
    </w:lvl>
    <w:lvl w:ilvl="2" w:tplc="AE0EBDA4" w:tentative="1">
      <w:start w:val="1"/>
      <w:numFmt w:val="lowerRoman"/>
      <w:lvlText w:val="%3."/>
      <w:lvlJc w:val="right"/>
      <w:pPr>
        <w:tabs>
          <w:tab w:val="num" w:pos="2160"/>
        </w:tabs>
        <w:ind w:left="2160" w:hanging="180"/>
      </w:pPr>
    </w:lvl>
    <w:lvl w:ilvl="3" w:tplc="CE2C04F0" w:tentative="1">
      <w:start w:val="1"/>
      <w:numFmt w:val="decimal"/>
      <w:lvlText w:val="%4."/>
      <w:lvlJc w:val="left"/>
      <w:pPr>
        <w:tabs>
          <w:tab w:val="num" w:pos="2880"/>
        </w:tabs>
        <w:ind w:left="2880" w:hanging="360"/>
      </w:pPr>
    </w:lvl>
    <w:lvl w:ilvl="4" w:tplc="D54A3678" w:tentative="1">
      <w:start w:val="1"/>
      <w:numFmt w:val="lowerLetter"/>
      <w:lvlText w:val="%5."/>
      <w:lvlJc w:val="left"/>
      <w:pPr>
        <w:tabs>
          <w:tab w:val="num" w:pos="3600"/>
        </w:tabs>
        <w:ind w:left="3600" w:hanging="360"/>
      </w:pPr>
    </w:lvl>
    <w:lvl w:ilvl="5" w:tplc="F1A840BA" w:tentative="1">
      <w:start w:val="1"/>
      <w:numFmt w:val="lowerRoman"/>
      <w:lvlText w:val="%6."/>
      <w:lvlJc w:val="right"/>
      <w:pPr>
        <w:tabs>
          <w:tab w:val="num" w:pos="4320"/>
        </w:tabs>
        <w:ind w:left="4320" w:hanging="180"/>
      </w:pPr>
    </w:lvl>
    <w:lvl w:ilvl="6" w:tplc="7438F2D6" w:tentative="1">
      <w:start w:val="1"/>
      <w:numFmt w:val="decimal"/>
      <w:lvlText w:val="%7."/>
      <w:lvlJc w:val="left"/>
      <w:pPr>
        <w:tabs>
          <w:tab w:val="num" w:pos="5040"/>
        </w:tabs>
        <w:ind w:left="5040" w:hanging="360"/>
      </w:pPr>
    </w:lvl>
    <w:lvl w:ilvl="7" w:tplc="81D2E4B0" w:tentative="1">
      <w:start w:val="1"/>
      <w:numFmt w:val="lowerLetter"/>
      <w:lvlText w:val="%8."/>
      <w:lvlJc w:val="left"/>
      <w:pPr>
        <w:tabs>
          <w:tab w:val="num" w:pos="5760"/>
        </w:tabs>
        <w:ind w:left="5760" w:hanging="360"/>
      </w:pPr>
    </w:lvl>
    <w:lvl w:ilvl="8" w:tplc="E4089C4A" w:tentative="1">
      <w:start w:val="1"/>
      <w:numFmt w:val="lowerRoman"/>
      <w:lvlText w:val="%9."/>
      <w:lvlJc w:val="right"/>
      <w:pPr>
        <w:tabs>
          <w:tab w:val="num" w:pos="6480"/>
        </w:tabs>
        <w:ind w:left="6480" w:hanging="180"/>
      </w:pPr>
    </w:lvl>
  </w:abstractNum>
  <w:abstractNum w:abstractNumId="86">
    <w:nsid w:val="59FD03AB"/>
    <w:multiLevelType w:val="singleLevel"/>
    <w:tmpl w:val="C958D426"/>
    <w:lvl w:ilvl="0">
      <w:start w:val="1"/>
      <w:numFmt w:val="bullet"/>
      <w:pStyle w:val="TableListBullet"/>
      <w:lvlText w:val=""/>
      <w:lvlJc w:val="left"/>
      <w:pPr>
        <w:tabs>
          <w:tab w:val="num" w:pos="227"/>
        </w:tabs>
        <w:ind w:left="227" w:hanging="227"/>
      </w:pPr>
      <w:rPr>
        <w:rFonts w:ascii="Wingdings 3" w:hAnsi="Wingdings 3" w:hint="default"/>
        <w:color w:val="auto"/>
        <w:position w:val="2"/>
        <w:sz w:val="9"/>
        <w:szCs w:val="9"/>
      </w:rPr>
    </w:lvl>
  </w:abstractNum>
  <w:abstractNum w:abstractNumId="87">
    <w:nsid w:val="5ADB5D3C"/>
    <w:multiLevelType w:val="singleLevel"/>
    <w:tmpl w:val="CD28FF5A"/>
    <w:lvl w:ilvl="0">
      <w:start w:val="1"/>
      <w:numFmt w:val="bullet"/>
      <w:pStyle w:val="TableListBullet2"/>
      <w:lvlText w:val="–"/>
      <w:lvlJc w:val="left"/>
      <w:pPr>
        <w:tabs>
          <w:tab w:val="num" w:pos="454"/>
        </w:tabs>
        <w:ind w:left="454" w:hanging="227"/>
      </w:pPr>
      <w:rPr>
        <w:rFonts w:ascii="Arial" w:hAnsi="Arial" w:hint="default"/>
      </w:rPr>
    </w:lvl>
  </w:abstractNum>
  <w:abstractNum w:abstractNumId="88">
    <w:nsid w:val="5BB330DC"/>
    <w:multiLevelType w:val="hybridMultilevel"/>
    <w:tmpl w:val="35B82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nsid w:val="5BF87B67"/>
    <w:multiLevelType w:val="hybridMultilevel"/>
    <w:tmpl w:val="C09CBF4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nsid w:val="5C806868"/>
    <w:multiLevelType w:val="hybridMultilevel"/>
    <w:tmpl w:val="3F3E944E"/>
    <w:lvl w:ilvl="0" w:tplc="F31C0578">
      <w:start w:val="1"/>
      <w:numFmt w:val="bullet"/>
      <w:lvlText w:val=""/>
      <w:lvlJc w:val="left"/>
      <w:pPr>
        <w:ind w:left="780" w:hanging="360"/>
      </w:pPr>
      <w:rPr>
        <w:rFonts w:ascii="Symbol" w:hAnsi="Symbol" w:hint="default"/>
        <w:color w:val="auto"/>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1">
    <w:nsid w:val="5CAE545A"/>
    <w:multiLevelType w:val="hybridMultilevel"/>
    <w:tmpl w:val="97E4825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nsid w:val="5E5B1920"/>
    <w:multiLevelType w:val="hybridMultilevel"/>
    <w:tmpl w:val="7BC4752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nsid w:val="5E635437"/>
    <w:multiLevelType w:val="hybridMultilevel"/>
    <w:tmpl w:val="F40AA798"/>
    <w:lvl w:ilvl="0" w:tplc="A0A201B4">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nsid w:val="5F4A6BEA"/>
    <w:multiLevelType w:val="hybridMultilevel"/>
    <w:tmpl w:val="8BCEF7AE"/>
    <w:lvl w:ilvl="0" w:tplc="0C090001">
      <w:start w:val="1"/>
      <w:numFmt w:val="bullet"/>
      <w:lvlText w:val=""/>
      <w:lvlJc w:val="left"/>
      <w:pPr>
        <w:ind w:left="1188" w:hanging="360"/>
      </w:pPr>
      <w:rPr>
        <w:rFonts w:ascii="Symbol" w:hAnsi="Symbol" w:hint="default"/>
      </w:rPr>
    </w:lvl>
    <w:lvl w:ilvl="1" w:tplc="0C090003">
      <w:start w:val="1"/>
      <w:numFmt w:val="bullet"/>
      <w:lvlText w:val="o"/>
      <w:lvlJc w:val="left"/>
      <w:pPr>
        <w:ind w:left="1908" w:hanging="360"/>
      </w:pPr>
      <w:rPr>
        <w:rFonts w:ascii="Courier New" w:hAnsi="Courier New" w:cs="Courier New" w:hint="default"/>
      </w:rPr>
    </w:lvl>
    <w:lvl w:ilvl="2" w:tplc="0C090005">
      <w:start w:val="1"/>
      <w:numFmt w:val="bullet"/>
      <w:lvlText w:val=""/>
      <w:lvlJc w:val="left"/>
      <w:pPr>
        <w:ind w:left="2628" w:hanging="360"/>
      </w:pPr>
      <w:rPr>
        <w:rFonts w:ascii="Wingdings" w:hAnsi="Wingdings" w:hint="default"/>
      </w:rPr>
    </w:lvl>
    <w:lvl w:ilvl="3" w:tplc="0C090001">
      <w:start w:val="1"/>
      <w:numFmt w:val="bullet"/>
      <w:lvlText w:val=""/>
      <w:lvlJc w:val="left"/>
      <w:pPr>
        <w:ind w:left="3348" w:hanging="360"/>
      </w:pPr>
      <w:rPr>
        <w:rFonts w:ascii="Symbol" w:hAnsi="Symbol" w:hint="default"/>
      </w:rPr>
    </w:lvl>
    <w:lvl w:ilvl="4" w:tplc="0C090003">
      <w:start w:val="1"/>
      <w:numFmt w:val="bullet"/>
      <w:lvlText w:val="o"/>
      <w:lvlJc w:val="left"/>
      <w:pPr>
        <w:ind w:left="4068" w:hanging="360"/>
      </w:pPr>
      <w:rPr>
        <w:rFonts w:ascii="Courier New" w:hAnsi="Courier New" w:cs="Courier New" w:hint="default"/>
      </w:rPr>
    </w:lvl>
    <w:lvl w:ilvl="5" w:tplc="0C090005">
      <w:start w:val="1"/>
      <w:numFmt w:val="bullet"/>
      <w:lvlText w:val=""/>
      <w:lvlJc w:val="left"/>
      <w:pPr>
        <w:ind w:left="4788" w:hanging="360"/>
      </w:pPr>
      <w:rPr>
        <w:rFonts w:ascii="Wingdings" w:hAnsi="Wingdings" w:hint="default"/>
      </w:rPr>
    </w:lvl>
    <w:lvl w:ilvl="6" w:tplc="0C090001">
      <w:start w:val="1"/>
      <w:numFmt w:val="bullet"/>
      <w:lvlText w:val=""/>
      <w:lvlJc w:val="left"/>
      <w:pPr>
        <w:ind w:left="5508" w:hanging="360"/>
      </w:pPr>
      <w:rPr>
        <w:rFonts w:ascii="Symbol" w:hAnsi="Symbol" w:hint="default"/>
      </w:rPr>
    </w:lvl>
    <w:lvl w:ilvl="7" w:tplc="0C090003">
      <w:start w:val="1"/>
      <w:numFmt w:val="bullet"/>
      <w:lvlText w:val="o"/>
      <w:lvlJc w:val="left"/>
      <w:pPr>
        <w:ind w:left="6228" w:hanging="360"/>
      </w:pPr>
      <w:rPr>
        <w:rFonts w:ascii="Courier New" w:hAnsi="Courier New" w:cs="Courier New" w:hint="default"/>
      </w:rPr>
    </w:lvl>
    <w:lvl w:ilvl="8" w:tplc="0C090005">
      <w:start w:val="1"/>
      <w:numFmt w:val="bullet"/>
      <w:lvlText w:val=""/>
      <w:lvlJc w:val="left"/>
      <w:pPr>
        <w:ind w:left="6948" w:hanging="360"/>
      </w:pPr>
      <w:rPr>
        <w:rFonts w:ascii="Wingdings" w:hAnsi="Wingdings" w:hint="default"/>
      </w:rPr>
    </w:lvl>
  </w:abstractNum>
  <w:abstractNum w:abstractNumId="95">
    <w:nsid w:val="5F6E43BD"/>
    <w:multiLevelType w:val="hybridMultilevel"/>
    <w:tmpl w:val="6B06435A"/>
    <w:lvl w:ilvl="0" w:tplc="FA6CB6A4">
      <w:start w:val="7"/>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nsid w:val="5F9059C0"/>
    <w:multiLevelType w:val="hybridMultilevel"/>
    <w:tmpl w:val="EAA41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nsid w:val="615F53CA"/>
    <w:multiLevelType w:val="hybridMultilevel"/>
    <w:tmpl w:val="A4F00B02"/>
    <w:lvl w:ilvl="0" w:tplc="7996F0A0">
      <w:start w:val="1"/>
      <w:numFmt w:val="decimal"/>
      <w:pStyle w:val="SeekCommentNumber"/>
      <w:lvlText w:val="%1"/>
      <w:lvlJc w:val="left"/>
      <w:pPr>
        <w:tabs>
          <w:tab w:val="num" w:pos="425"/>
        </w:tabs>
        <w:ind w:left="425" w:hanging="425"/>
      </w:pPr>
      <w:rPr>
        <w:rFonts w:hint="default"/>
      </w:rPr>
    </w:lvl>
    <w:lvl w:ilvl="1" w:tplc="CA08364E" w:tentative="1">
      <w:start w:val="1"/>
      <w:numFmt w:val="lowerLetter"/>
      <w:lvlText w:val="%2."/>
      <w:lvlJc w:val="left"/>
      <w:pPr>
        <w:tabs>
          <w:tab w:val="num" w:pos="1560"/>
        </w:tabs>
        <w:ind w:left="1560" w:hanging="360"/>
      </w:pPr>
    </w:lvl>
    <w:lvl w:ilvl="2" w:tplc="C168691E" w:tentative="1">
      <w:start w:val="1"/>
      <w:numFmt w:val="lowerRoman"/>
      <w:lvlText w:val="%3."/>
      <w:lvlJc w:val="right"/>
      <w:pPr>
        <w:tabs>
          <w:tab w:val="num" w:pos="2280"/>
        </w:tabs>
        <w:ind w:left="2280" w:hanging="180"/>
      </w:pPr>
    </w:lvl>
    <w:lvl w:ilvl="3" w:tplc="21C852F4" w:tentative="1">
      <w:start w:val="1"/>
      <w:numFmt w:val="decimal"/>
      <w:lvlText w:val="%4."/>
      <w:lvlJc w:val="left"/>
      <w:pPr>
        <w:tabs>
          <w:tab w:val="num" w:pos="3000"/>
        </w:tabs>
        <w:ind w:left="3000" w:hanging="360"/>
      </w:pPr>
    </w:lvl>
    <w:lvl w:ilvl="4" w:tplc="D6A2ABE2" w:tentative="1">
      <w:start w:val="1"/>
      <w:numFmt w:val="lowerLetter"/>
      <w:lvlText w:val="%5."/>
      <w:lvlJc w:val="left"/>
      <w:pPr>
        <w:tabs>
          <w:tab w:val="num" w:pos="3720"/>
        </w:tabs>
        <w:ind w:left="3720" w:hanging="360"/>
      </w:pPr>
    </w:lvl>
    <w:lvl w:ilvl="5" w:tplc="68642CA0" w:tentative="1">
      <w:start w:val="1"/>
      <w:numFmt w:val="lowerRoman"/>
      <w:lvlText w:val="%6."/>
      <w:lvlJc w:val="right"/>
      <w:pPr>
        <w:tabs>
          <w:tab w:val="num" w:pos="4440"/>
        </w:tabs>
        <w:ind w:left="4440" w:hanging="180"/>
      </w:pPr>
    </w:lvl>
    <w:lvl w:ilvl="6" w:tplc="71D8F9EE" w:tentative="1">
      <w:start w:val="1"/>
      <w:numFmt w:val="decimal"/>
      <w:lvlText w:val="%7."/>
      <w:lvlJc w:val="left"/>
      <w:pPr>
        <w:tabs>
          <w:tab w:val="num" w:pos="5160"/>
        </w:tabs>
        <w:ind w:left="5160" w:hanging="360"/>
      </w:pPr>
    </w:lvl>
    <w:lvl w:ilvl="7" w:tplc="A4A4B9E0" w:tentative="1">
      <w:start w:val="1"/>
      <w:numFmt w:val="lowerLetter"/>
      <w:lvlText w:val="%8."/>
      <w:lvlJc w:val="left"/>
      <w:pPr>
        <w:tabs>
          <w:tab w:val="num" w:pos="5880"/>
        </w:tabs>
        <w:ind w:left="5880" w:hanging="360"/>
      </w:pPr>
    </w:lvl>
    <w:lvl w:ilvl="8" w:tplc="70AA8864" w:tentative="1">
      <w:start w:val="1"/>
      <w:numFmt w:val="lowerRoman"/>
      <w:lvlText w:val="%9."/>
      <w:lvlJc w:val="right"/>
      <w:pPr>
        <w:tabs>
          <w:tab w:val="num" w:pos="6600"/>
        </w:tabs>
        <w:ind w:left="6600" w:hanging="180"/>
      </w:pPr>
    </w:lvl>
  </w:abstractNum>
  <w:abstractNum w:abstractNumId="98">
    <w:nsid w:val="617C1C18"/>
    <w:multiLevelType w:val="hybridMultilevel"/>
    <w:tmpl w:val="71D8104C"/>
    <w:lvl w:ilvl="0" w:tplc="0C090001">
      <w:start w:val="1"/>
      <w:numFmt w:val="bullet"/>
      <w:lvlText w:val=""/>
      <w:lvlJc w:val="left"/>
      <w:pPr>
        <w:ind w:left="931"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nsid w:val="61B06339"/>
    <w:multiLevelType w:val="hybridMultilevel"/>
    <w:tmpl w:val="B226D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nsid w:val="6350474C"/>
    <w:multiLevelType w:val="hybridMultilevel"/>
    <w:tmpl w:val="00587CAC"/>
    <w:lvl w:ilvl="0" w:tplc="0C090001">
      <w:start w:val="1"/>
      <w:numFmt w:val="bullet"/>
      <w:lvlText w:val=""/>
      <w:lvlJc w:val="left"/>
      <w:pPr>
        <w:ind w:left="1131" w:hanging="360"/>
      </w:pPr>
      <w:rPr>
        <w:rFonts w:ascii="Symbol" w:hAnsi="Symbol" w:hint="default"/>
      </w:rPr>
    </w:lvl>
    <w:lvl w:ilvl="1" w:tplc="0C090003">
      <w:start w:val="1"/>
      <w:numFmt w:val="bullet"/>
      <w:lvlText w:val="o"/>
      <w:lvlJc w:val="left"/>
      <w:pPr>
        <w:ind w:left="1851" w:hanging="360"/>
      </w:pPr>
      <w:rPr>
        <w:rFonts w:ascii="Courier New" w:hAnsi="Courier New" w:cs="Courier New" w:hint="default"/>
      </w:rPr>
    </w:lvl>
    <w:lvl w:ilvl="2" w:tplc="0C090005">
      <w:start w:val="1"/>
      <w:numFmt w:val="bullet"/>
      <w:lvlText w:val=""/>
      <w:lvlJc w:val="left"/>
      <w:pPr>
        <w:ind w:left="2571" w:hanging="360"/>
      </w:pPr>
      <w:rPr>
        <w:rFonts w:ascii="Wingdings" w:hAnsi="Wingdings" w:hint="default"/>
      </w:rPr>
    </w:lvl>
    <w:lvl w:ilvl="3" w:tplc="0C090001">
      <w:start w:val="1"/>
      <w:numFmt w:val="bullet"/>
      <w:lvlText w:val=""/>
      <w:lvlJc w:val="left"/>
      <w:pPr>
        <w:ind w:left="3291" w:hanging="360"/>
      </w:pPr>
      <w:rPr>
        <w:rFonts w:ascii="Symbol" w:hAnsi="Symbol" w:hint="default"/>
      </w:rPr>
    </w:lvl>
    <w:lvl w:ilvl="4" w:tplc="0C090003">
      <w:start w:val="1"/>
      <w:numFmt w:val="bullet"/>
      <w:lvlText w:val="o"/>
      <w:lvlJc w:val="left"/>
      <w:pPr>
        <w:ind w:left="4011" w:hanging="360"/>
      </w:pPr>
      <w:rPr>
        <w:rFonts w:ascii="Courier New" w:hAnsi="Courier New" w:cs="Courier New" w:hint="default"/>
      </w:rPr>
    </w:lvl>
    <w:lvl w:ilvl="5" w:tplc="0C090005">
      <w:start w:val="1"/>
      <w:numFmt w:val="bullet"/>
      <w:lvlText w:val=""/>
      <w:lvlJc w:val="left"/>
      <w:pPr>
        <w:ind w:left="4731" w:hanging="360"/>
      </w:pPr>
      <w:rPr>
        <w:rFonts w:ascii="Wingdings" w:hAnsi="Wingdings" w:hint="default"/>
      </w:rPr>
    </w:lvl>
    <w:lvl w:ilvl="6" w:tplc="0C090001">
      <w:start w:val="1"/>
      <w:numFmt w:val="bullet"/>
      <w:lvlText w:val=""/>
      <w:lvlJc w:val="left"/>
      <w:pPr>
        <w:ind w:left="5451" w:hanging="360"/>
      </w:pPr>
      <w:rPr>
        <w:rFonts w:ascii="Symbol" w:hAnsi="Symbol" w:hint="default"/>
      </w:rPr>
    </w:lvl>
    <w:lvl w:ilvl="7" w:tplc="0C090003">
      <w:start w:val="1"/>
      <w:numFmt w:val="bullet"/>
      <w:lvlText w:val="o"/>
      <w:lvlJc w:val="left"/>
      <w:pPr>
        <w:ind w:left="6171" w:hanging="360"/>
      </w:pPr>
      <w:rPr>
        <w:rFonts w:ascii="Courier New" w:hAnsi="Courier New" w:cs="Courier New" w:hint="default"/>
      </w:rPr>
    </w:lvl>
    <w:lvl w:ilvl="8" w:tplc="0C090005">
      <w:start w:val="1"/>
      <w:numFmt w:val="bullet"/>
      <w:lvlText w:val=""/>
      <w:lvlJc w:val="left"/>
      <w:pPr>
        <w:ind w:left="6891" w:hanging="360"/>
      </w:pPr>
      <w:rPr>
        <w:rFonts w:ascii="Wingdings" w:hAnsi="Wingdings" w:hint="default"/>
      </w:rPr>
    </w:lvl>
  </w:abstractNum>
  <w:abstractNum w:abstractNumId="101">
    <w:nsid w:val="63980979"/>
    <w:multiLevelType w:val="hybridMultilevel"/>
    <w:tmpl w:val="25022A90"/>
    <w:lvl w:ilvl="0" w:tplc="0C090001">
      <w:start w:val="1"/>
      <w:numFmt w:val="bullet"/>
      <w:lvlText w:val=""/>
      <w:lvlJc w:val="left"/>
      <w:pPr>
        <w:ind w:left="1037" w:hanging="360"/>
      </w:pPr>
      <w:rPr>
        <w:rFonts w:ascii="Symbol" w:hAnsi="Symbol" w:hint="default"/>
      </w:rPr>
    </w:lvl>
    <w:lvl w:ilvl="1" w:tplc="0C090003" w:tentative="1">
      <w:start w:val="1"/>
      <w:numFmt w:val="bullet"/>
      <w:lvlText w:val="o"/>
      <w:lvlJc w:val="left"/>
      <w:pPr>
        <w:ind w:left="1757" w:hanging="360"/>
      </w:pPr>
      <w:rPr>
        <w:rFonts w:ascii="Courier New" w:hAnsi="Courier New" w:cs="Courier New" w:hint="default"/>
      </w:rPr>
    </w:lvl>
    <w:lvl w:ilvl="2" w:tplc="0C090005" w:tentative="1">
      <w:start w:val="1"/>
      <w:numFmt w:val="bullet"/>
      <w:lvlText w:val=""/>
      <w:lvlJc w:val="left"/>
      <w:pPr>
        <w:ind w:left="2477" w:hanging="360"/>
      </w:pPr>
      <w:rPr>
        <w:rFonts w:ascii="Wingdings" w:hAnsi="Wingdings" w:hint="default"/>
      </w:rPr>
    </w:lvl>
    <w:lvl w:ilvl="3" w:tplc="0C090001" w:tentative="1">
      <w:start w:val="1"/>
      <w:numFmt w:val="bullet"/>
      <w:lvlText w:val=""/>
      <w:lvlJc w:val="left"/>
      <w:pPr>
        <w:ind w:left="3197" w:hanging="360"/>
      </w:pPr>
      <w:rPr>
        <w:rFonts w:ascii="Symbol" w:hAnsi="Symbol" w:hint="default"/>
      </w:rPr>
    </w:lvl>
    <w:lvl w:ilvl="4" w:tplc="0C090003" w:tentative="1">
      <w:start w:val="1"/>
      <w:numFmt w:val="bullet"/>
      <w:lvlText w:val="o"/>
      <w:lvlJc w:val="left"/>
      <w:pPr>
        <w:ind w:left="3917" w:hanging="360"/>
      </w:pPr>
      <w:rPr>
        <w:rFonts w:ascii="Courier New" w:hAnsi="Courier New" w:cs="Courier New" w:hint="default"/>
      </w:rPr>
    </w:lvl>
    <w:lvl w:ilvl="5" w:tplc="0C090005" w:tentative="1">
      <w:start w:val="1"/>
      <w:numFmt w:val="bullet"/>
      <w:lvlText w:val=""/>
      <w:lvlJc w:val="left"/>
      <w:pPr>
        <w:ind w:left="4637" w:hanging="360"/>
      </w:pPr>
      <w:rPr>
        <w:rFonts w:ascii="Wingdings" w:hAnsi="Wingdings" w:hint="default"/>
      </w:rPr>
    </w:lvl>
    <w:lvl w:ilvl="6" w:tplc="0C090001" w:tentative="1">
      <w:start w:val="1"/>
      <w:numFmt w:val="bullet"/>
      <w:lvlText w:val=""/>
      <w:lvlJc w:val="left"/>
      <w:pPr>
        <w:ind w:left="5357" w:hanging="360"/>
      </w:pPr>
      <w:rPr>
        <w:rFonts w:ascii="Symbol" w:hAnsi="Symbol" w:hint="default"/>
      </w:rPr>
    </w:lvl>
    <w:lvl w:ilvl="7" w:tplc="0C090003" w:tentative="1">
      <w:start w:val="1"/>
      <w:numFmt w:val="bullet"/>
      <w:lvlText w:val="o"/>
      <w:lvlJc w:val="left"/>
      <w:pPr>
        <w:ind w:left="6077" w:hanging="360"/>
      </w:pPr>
      <w:rPr>
        <w:rFonts w:ascii="Courier New" w:hAnsi="Courier New" w:cs="Courier New" w:hint="default"/>
      </w:rPr>
    </w:lvl>
    <w:lvl w:ilvl="8" w:tplc="0C090005" w:tentative="1">
      <w:start w:val="1"/>
      <w:numFmt w:val="bullet"/>
      <w:lvlText w:val=""/>
      <w:lvlJc w:val="left"/>
      <w:pPr>
        <w:ind w:left="6797" w:hanging="360"/>
      </w:pPr>
      <w:rPr>
        <w:rFonts w:ascii="Wingdings" w:hAnsi="Wingdings" w:hint="default"/>
      </w:rPr>
    </w:lvl>
  </w:abstractNum>
  <w:abstractNum w:abstractNumId="102">
    <w:nsid w:val="64F264CF"/>
    <w:multiLevelType w:val="multilevel"/>
    <w:tmpl w:val="B320682A"/>
    <w:lvl w:ilvl="0">
      <w:start w:val="1"/>
      <w:numFmt w:val="decimal"/>
      <w:pStyle w:val="Heading1"/>
      <w:lvlText w:val="%1"/>
      <w:lvlJc w:val="left"/>
      <w:pPr>
        <w:tabs>
          <w:tab w:val="num" w:pos="709"/>
        </w:tabs>
        <w:ind w:left="709" w:hanging="709"/>
      </w:pPr>
      <w:rPr>
        <w:rFonts w:ascii="Arial" w:hAnsi="Arial" w:hint="default"/>
        <w:b/>
        <w:i w:val="0"/>
        <w:color w:val="00408A"/>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09"/>
        </w:tabs>
        <w:ind w:left="709" w:hanging="709"/>
      </w:pPr>
      <w:rPr>
        <w:rFonts w:hint="default"/>
        <w:color w:val="1F497D" w:themeColor="text2"/>
      </w:rPr>
    </w:lvl>
    <w:lvl w:ilvl="3">
      <w:start w:val="1"/>
      <w:numFmt w:val="none"/>
      <w:lvlRestart w:val="0"/>
      <w:pStyle w:val="Heading4"/>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709" w:hanging="709"/>
      </w:pPr>
      <w:rPr>
        <w:rFonts w:hint="default"/>
      </w:rPr>
    </w:lvl>
    <w:lvl w:ilvl="6">
      <w:start w:val="1"/>
      <w:numFmt w:val="decimal"/>
      <w:pStyle w:val="Heading7"/>
      <w:lvlText w:val="%6.%7"/>
      <w:lvlJc w:val="left"/>
      <w:pPr>
        <w:tabs>
          <w:tab w:val="num" w:pos="709"/>
        </w:tabs>
        <w:ind w:left="709" w:hanging="709"/>
      </w:pPr>
      <w:rPr>
        <w:rFonts w:hint="default"/>
        <w:caps w:val="0"/>
        <w:sz w:val="24"/>
        <w:szCs w:val="24"/>
      </w:rPr>
    </w:lvl>
    <w:lvl w:ilvl="7">
      <w:start w:val="1"/>
      <w:numFmt w:val="decimal"/>
      <w:pStyle w:val="Heading8"/>
      <w:lvlText w:val="%6.%7.%8"/>
      <w:lvlJc w:val="left"/>
      <w:pPr>
        <w:tabs>
          <w:tab w:val="num" w:pos="709"/>
        </w:tabs>
        <w:ind w:left="709" w:hanging="709"/>
      </w:pPr>
      <w:rPr>
        <w:rFonts w:hint="default"/>
      </w:rPr>
    </w:lvl>
    <w:lvl w:ilvl="8">
      <w:start w:val="1"/>
      <w:numFmt w:val="none"/>
      <w:lvlRestart w:val="0"/>
      <w:pStyle w:val="Heading9"/>
      <w:suff w:val="nothing"/>
      <w:lvlText w:val=""/>
      <w:lvlJc w:val="left"/>
      <w:pPr>
        <w:ind w:left="0" w:firstLine="0"/>
      </w:pPr>
      <w:rPr>
        <w:rFonts w:hint="default"/>
      </w:rPr>
    </w:lvl>
  </w:abstractNum>
  <w:abstractNum w:abstractNumId="103">
    <w:nsid w:val="66F20C65"/>
    <w:multiLevelType w:val="hybridMultilevel"/>
    <w:tmpl w:val="3B0EE168"/>
    <w:lvl w:ilvl="0" w:tplc="71F42E44">
      <w:start w:val="1"/>
      <w:numFmt w:val="decimal"/>
      <w:pStyle w:val="BoxListNumber"/>
      <w:lvlText w:val="%1."/>
      <w:lvlJc w:val="left"/>
      <w:pPr>
        <w:tabs>
          <w:tab w:val="num" w:pos="284"/>
        </w:tabs>
        <w:ind w:left="284" w:hanging="284"/>
      </w:pPr>
      <w:rPr>
        <w:rFonts w:hint="default"/>
      </w:rPr>
    </w:lvl>
    <w:lvl w:ilvl="1" w:tplc="39FABFCE" w:tentative="1">
      <w:start w:val="1"/>
      <w:numFmt w:val="lowerLetter"/>
      <w:lvlText w:val="%2."/>
      <w:lvlJc w:val="left"/>
      <w:pPr>
        <w:tabs>
          <w:tab w:val="num" w:pos="1440"/>
        </w:tabs>
        <w:ind w:left="1440" w:hanging="360"/>
      </w:pPr>
    </w:lvl>
    <w:lvl w:ilvl="2" w:tplc="CEF40F68" w:tentative="1">
      <w:start w:val="1"/>
      <w:numFmt w:val="lowerRoman"/>
      <w:lvlText w:val="%3."/>
      <w:lvlJc w:val="right"/>
      <w:pPr>
        <w:tabs>
          <w:tab w:val="num" w:pos="2160"/>
        </w:tabs>
        <w:ind w:left="2160" w:hanging="180"/>
      </w:pPr>
    </w:lvl>
    <w:lvl w:ilvl="3" w:tplc="4A34205C" w:tentative="1">
      <w:start w:val="1"/>
      <w:numFmt w:val="decimal"/>
      <w:lvlText w:val="%4."/>
      <w:lvlJc w:val="left"/>
      <w:pPr>
        <w:tabs>
          <w:tab w:val="num" w:pos="2880"/>
        </w:tabs>
        <w:ind w:left="2880" w:hanging="360"/>
      </w:pPr>
    </w:lvl>
    <w:lvl w:ilvl="4" w:tplc="B3DC886C" w:tentative="1">
      <w:start w:val="1"/>
      <w:numFmt w:val="lowerLetter"/>
      <w:lvlText w:val="%5."/>
      <w:lvlJc w:val="left"/>
      <w:pPr>
        <w:tabs>
          <w:tab w:val="num" w:pos="3600"/>
        </w:tabs>
        <w:ind w:left="3600" w:hanging="360"/>
      </w:pPr>
    </w:lvl>
    <w:lvl w:ilvl="5" w:tplc="04A476BC" w:tentative="1">
      <w:start w:val="1"/>
      <w:numFmt w:val="lowerRoman"/>
      <w:lvlText w:val="%6."/>
      <w:lvlJc w:val="right"/>
      <w:pPr>
        <w:tabs>
          <w:tab w:val="num" w:pos="4320"/>
        </w:tabs>
        <w:ind w:left="4320" w:hanging="180"/>
      </w:pPr>
    </w:lvl>
    <w:lvl w:ilvl="6" w:tplc="67687D30" w:tentative="1">
      <w:start w:val="1"/>
      <w:numFmt w:val="decimal"/>
      <w:lvlText w:val="%7."/>
      <w:lvlJc w:val="left"/>
      <w:pPr>
        <w:tabs>
          <w:tab w:val="num" w:pos="5040"/>
        </w:tabs>
        <w:ind w:left="5040" w:hanging="360"/>
      </w:pPr>
    </w:lvl>
    <w:lvl w:ilvl="7" w:tplc="41D01832" w:tentative="1">
      <w:start w:val="1"/>
      <w:numFmt w:val="lowerLetter"/>
      <w:lvlText w:val="%8."/>
      <w:lvlJc w:val="left"/>
      <w:pPr>
        <w:tabs>
          <w:tab w:val="num" w:pos="5760"/>
        </w:tabs>
        <w:ind w:left="5760" w:hanging="360"/>
      </w:pPr>
    </w:lvl>
    <w:lvl w:ilvl="8" w:tplc="B5B46FB0" w:tentative="1">
      <w:start w:val="1"/>
      <w:numFmt w:val="lowerRoman"/>
      <w:lvlText w:val="%9."/>
      <w:lvlJc w:val="right"/>
      <w:pPr>
        <w:tabs>
          <w:tab w:val="num" w:pos="6480"/>
        </w:tabs>
        <w:ind w:left="6480" w:hanging="180"/>
      </w:pPr>
    </w:lvl>
  </w:abstractNum>
  <w:abstractNum w:abstractNumId="104">
    <w:nsid w:val="68FE29AA"/>
    <w:multiLevelType w:val="hybridMultilevel"/>
    <w:tmpl w:val="3F7E4AB2"/>
    <w:lvl w:ilvl="0" w:tplc="E1C60F26">
      <w:start w:val="1"/>
      <w:numFmt w:val="bullet"/>
      <w:pStyle w:val="FindingBullet"/>
      <w:lvlText w:val="–"/>
      <w:lvlJc w:val="left"/>
      <w:pPr>
        <w:tabs>
          <w:tab w:val="num" w:pos="709"/>
        </w:tabs>
        <w:ind w:left="709" w:hanging="284"/>
      </w:pPr>
      <w:rPr>
        <w:rFonts w:ascii="Arial" w:hAnsi="Arial" w:hint="default"/>
        <w:color w:val="00408A"/>
        <w:position w:val="0"/>
        <w:sz w:val="21"/>
        <w:szCs w:val="21"/>
      </w:rPr>
    </w:lvl>
    <w:lvl w:ilvl="1" w:tplc="7B944262" w:tentative="1">
      <w:start w:val="1"/>
      <w:numFmt w:val="lowerLetter"/>
      <w:lvlText w:val="%2."/>
      <w:lvlJc w:val="left"/>
      <w:pPr>
        <w:tabs>
          <w:tab w:val="num" w:pos="1440"/>
        </w:tabs>
        <w:ind w:left="1440" w:hanging="360"/>
      </w:pPr>
    </w:lvl>
    <w:lvl w:ilvl="2" w:tplc="00CE60DC" w:tentative="1">
      <w:start w:val="1"/>
      <w:numFmt w:val="lowerRoman"/>
      <w:lvlText w:val="%3."/>
      <w:lvlJc w:val="right"/>
      <w:pPr>
        <w:tabs>
          <w:tab w:val="num" w:pos="2160"/>
        </w:tabs>
        <w:ind w:left="2160" w:hanging="180"/>
      </w:pPr>
    </w:lvl>
    <w:lvl w:ilvl="3" w:tplc="3D08C84E" w:tentative="1">
      <w:start w:val="1"/>
      <w:numFmt w:val="decimal"/>
      <w:lvlText w:val="%4."/>
      <w:lvlJc w:val="left"/>
      <w:pPr>
        <w:tabs>
          <w:tab w:val="num" w:pos="2880"/>
        </w:tabs>
        <w:ind w:left="2880" w:hanging="360"/>
      </w:pPr>
    </w:lvl>
    <w:lvl w:ilvl="4" w:tplc="0BC6F446" w:tentative="1">
      <w:start w:val="1"/>
      <w:numFmt w:val="lowerLetter"/>
      <w:lvlText w:val="%5."/>
      <w:lvlJc w:val="left"/>
      <w:pPr>
        <w:tabs>
          <w:tab w:val="num" w:pos="3600"/>
        </w:tabs>
        <w:ind w:left="3600" w:hanging="360"/>
      </w:pPr>
    </w:lvl>
    <w:lvl w:ilvl="5" w:tplc="BA445048" w:tentative="1">
      <w:start w:val="1"/>
      <w:numFmt w:val="lowerRoman"/>
      <w:lvlText w:val="%6."/>
      <w:lvlJc w:val="right"/>
      <w:pPr>
        <w:tabs>
          <w:tab w:val="num" w:pos="4320"/>
        </w:tabs>
        <w:ind w:left="4320" w:hanging="180"/>
      </w:pPr>
    </w:lvl>
    <w:lvl w:ilvl="6" w:tplc="37E22286" w:tentative="1">
      <w:start w:val="1"/>
      <w:numFmt w:val="decimal"/>
      <w:lvlText w:val="%7."/>
      <w:lvlJc w:val="left"/>
      <w:pPr>
        <w:tabs>
          <w:tab w:val="num" w:pos="5040"/>
        </w:tabs>
        <w:ind w:left="5040" w:hanging="360"/>
      </w:pPr>
    </w:lvl>
    <w:lvl w:ilvl="7" w:tplc="F5B4AF88" w:tentative="1">
      <w:start w:val="1"/>
      <w:numFmt w:val="lowerLetter"/>
      <w:lvlText w:val="%8."/>
      <w:lvlJc w:val="left"/>
      <w:pPr>
        <w:tabs>
          <w:tab w:val="num" w:pos="5760"/>
        </w:tabs>
        <w:ind w:left="5760" w:hanging="360"/>
      </w:pPr>
    </w:lvl>
    <w:lvl w:ilvl="8" w:tplc="659ED782" w:tentative="1">
      <w:start w:val="1"/>
      <w:numFmt w:val="lowerRoman"/>
      <w:lvlText w:val="%9."/>
      <w:lvlJc w:val="right"/>
      <w:pPr>
        <w:tabs>
          <w:tab w:val="num" w:pos="6480"/>
        </w:tabs>
        <w:ind w:left="6480" w:hanging="180"/>
      </w:pPr>
    </w:lvl>
  </w:abstractNum>
  <w:abstractNum w:abstractNumId="105">
    <w:nsid w:val="69E96412"/>
    <w:multiLevelType w:val="hybridMultilevel"/>
    <w:tmpl w:val="899ED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nsid w:val="6C9426BC"/>
    <w:multiLevelType w:val="hybridMultilevel"/>
    <w:tmpl w:val="F7E0D49C"/>
    <w:lvl w:ilvl="0" w:tplc="3F52B6CA">
      <w:start w:val="1"/>
      <w:numFmt w:val="bullet"/>
      <w:pStyle w:val="ChartListBullet"/>
      <w:lvlText w:val=""/>
      <w:lvlJc w:val="left"/>
      <w:pPr>
        <w:tabs>
          <w:tab w:val="num" w:pos="227"/>
        </w:tabs>
        <w:ind w:left="227" w:hanging="227"/>
      </w:pPr>
      <w:rPr>
        <w:rFonts w:ascii="Wingdings 3" w:hAnsi="Wingdings 3"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nsid w:val="6FEB54B2"/>
    <w:multiLevelType w:val="hybridMultilevel"/>
    <w:tmpl w:val="D8AE4E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nsid w:val="70E97B64"/>
    <w:multiLevelType w:val="hybridMultilevel"/>
    <w:tmpl w:val="E0C46C20"/>
    <w:lvl w:ilvl="0" w:tplc="5472EE16">
      <w:start w:val="1"/>
      <w:numFmt w:val="bullet"/>
      <w:pStyle w:val="SeekCommentBullet"/>
      <w:lvlText w:val="–"/>
      <w:lvlJc w:val="left"/>
      <w:pPr>
        <w:tabs>
          <w:tab w:val="num" w:pos="709"/>
        </w:tabs>
        <w:ind w:left="709" w:hanging="284"/>
      </w:pPr>
      <w:rPr>
        <w:rFonts w:ascii="Arial" w:hAnsi="Arial" w:hint="default"/>
        <w:color w:val="auto"/>
        <w:spacing w:val="0"/>
        <w:w w:val="100"/>
        <w:position w:val="0"/>
        <w:sz w:val="21"/>
        <w:szCs w:val="21"/>
      </w:rPr>
    </w:lvl>
    <w:lvl w:ilvl="1" w:tplc="6EAC2C2C" w:tentative="1">
      <w:start w:val="1"/>
      <w:numFmt w:val="bullet"/>
      <w:lvlText w:val="o"/>
      <w:lvlJc w:val="left"/>
      <w:pPr>
        <w:tabs>
          <w:tab w:val="num" w:pos="1440"/>
        </w:tabs>
        <w:ind w:left="1440" w:hanging="360"/>
      </w:pPr>
      <w:rPr>
        <w:rFonts w:ascii="Courier New" w:hAnsi="Courier New" w:cs="Courier New" w:hint="default"/>
      </w:rPr>
    </w:lvl>
    <w:lvl w:ilvl="2" w:tplc="0FF484E4" w:tentative="1">
      <w:start w:val="1"/>
      <w:numFmt w:val="bullet"/>
      <w:lvlText w:val=""/>
      <w:lvlJc w:val="left"/>
      <w:pPr>
        <w:tabs>
          <w:tab w:val="num" w:pos="2160"/>
        </w:tabs>
        <w:ind w:left="2160" w:hanging="360"/>
      </w:pPr>
      <w:rPr>
        <w:rFonts w:ascii="Wingdings" w:hAnsi="Wingdings" w:hint="default"/>
      </w:rPr>
    </w:lvl>
    <w:lvl w:ilvl="3" w:tplc="B29C997E" w:tentative="1">
      <w:start w:val="1"/>
      <w:numFmt w:val="bullet"/>
      <w:lvlText w:val=""/>
      <w:lvlJc w:val="left"/>
      <w:pPr>
        <w:tabs>
          <w:tab w:val="num" w:pos="2880"/>
        </w:tabs>
        <w:ind w:left="2880" w:hanging="360"/>
      </w:pPr>
      <w:rPr>
        <w:rFonts w:ascii="Symbol" w:hAnsi="Symbol" w:hint="default"/>
      </w:rPr>
    </w:lvl>
    <w:lvl w:ilvl="4" w:tplc="ECB6AD20" w:tentative="1">
      <w:start w:val="1"/>
      <w:numFmt w:val="bullet"/>
      <w:lvlText w:val="o"/>
      <w:lvlJc w:val="left"/>
      <w:pPr>
        <w:tabs>
          <w:tab w:val="num" w:pos="3600"/>
        </w:tabs>
        <w:ind w:left="3600" w:hanging="360"/>
      </w:pPr>
      <w:rPr>
        <w:rFonts w:ascii="Courier New" w:hAnsi="Courier New" w:cs="Courier New" w:hint="default"/>
      </w:rPr>
    </w:lvl>
    <w:lvl w:ilvl="5" w:tplc="3AA2E812" w:tentative="1">
      <w:start w:val="1"/>
      <w:numFmt w:val="bullet"/>
      <w:lvlText w:val=""/>
      <w:lvlJc w:val="left"/>
      <w:pPr>
        <w:tabs>
          <w:tab w:val="num" w:pos="4320"/>
        </w:tabs>
        <w:ind w:left="4320" w:hanging="360"/>
      </w:pPr>
      <w:rPr>
        <w:rFonts w:ascii="Wingdings" w:hAnsi="Wingdings" w:hint="default"/>
      </w:rPr>
    </w:lvl>
    <w:lvl w:ilvl="6" w:tplc="9392AAEC" w:tentative="1">
      <w:start w:val="1"/>
      <w:numFmt w:val="bullet"/>
      <w:lvlText w:val=""/>
      <w:lvlJc w:val="left"/>
      <w:pPr>
        <w:tabs>
          <w:tab w:val="num" w:pos="5040"/>
        </w:tabs>
        <w:ind w:left="5040" w:hanging="360"/>
      </w:pPr>
      <w:rPr>
        <w:rFonts w:ascii="Symbol" w:hAnsi="Symbol" w:hint="default"/>
      </w:rPr>
    </w:lvl>
    <w:lvl w:ilvl="7" w:tplc="A8741AEC" w:tentative="1">
      <w:start w:val="1"/>
      <w:numFmt w:val="bullet"/>
      <w:lvlText w:val="o"/>
      <w:lvlJc w:val="left"/>
      <w:pPr>
        <w:tabs>
          <w:tab w:val="num" w:pos="5760"/>
        </w:tabs>
        <w:ind w:left="5760" w:hanging="360"/>
      </w:pPr>
      <w:rPr>
        <w:rFonts w:ascii="Courier New" w:hAnsi="Courier New" w:cs="Courier New" w:hint="default"/>
      </w:rPr>
    </w:lvl>
    <w:lvl w:ilvl="8" w:tplc="1EF87F30" w:tentative="1">
      <w:start w:val="1"/>
      <w:numFmt w:val="bullet"/>
      <w:lvlText w:val=""/>
      <w:lvlJc w:val="left"/>
      <w:pPr>
        <w:tabs>
          <w:tab w:val="num" w:pos="6480"/>
        </w:tabs>
        <w:ind w:left="6480" w:hanging="360"/>
      </w:pPr>
      <w:rPr>
        <w:rFonts w:ascii="Wingdings" w:hAnsi="Wingdings" w:hint="default"/>
      </w:rPr>
    </w:lvl>
  </w:abstractNum>
  <w:abstractNum w:abstractNumId="109">
    <w:nsid w:val="716921CB"/>
    <w:multiLevelType w:val="hybridMultilevel"/>
    <w:tmpl w:val="43965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nsid w:val="716C0BE3"/>
    <w:multiLevelType w:val="hybridMultilevel"/>
    <w:tmpl w:val="842C35EA"/>
    <w:lvl w:ilvl="0" w:tplc="FF18D95E">
      <w:start w:val="1"/>
      <w:numFmt w:val="bullet"/>
      <w:lvlText w:val="•"/>
      <w:lvlJc w:val="left"/>
      <w:pPr>
        <w:tabs>
          <w:tab w:val="num" w:pos="720"/>
        </w:tabs>
        <w:ind w:left="720" w:hanging="360"/>
      </w:pPr>
      <w:rPr>
        <w:rFonts w:ascii="Arial" w:hAnsi="Aria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1">
    <w:nsid w:val="7185449D"/>
    <w:multiLevelType w:val="hybridMultilevel"/>
    <w:tmpl w:val="F8B85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nsid w:val="71A10E69"/>
    <w:multiLevelType w:val="singleLevel"/>
    <w:tmpl w:val="57C82F9A"/>
    <w:lvl w:ilvl="0">
      <w:start w:val="1"/>
      <w:numFmt w:val="lowerLetter"/>
      <w:pStyle w:val="TableListNumber2"/>
      <w:lvlText w:val="%1)"/>
      <w:lvlJc w:val="left"/>
      <w:pPr>
        <w:tabs>
          <w:tab w:val="num" w:pos="454"/>
        </w:tabs>
        <w:ind w:left="454" w:hanging="227"/>
      </w:pPr>
      <w:rPr>
        <w:rFonts w:hint="default"/>
      </w:rPr>
    </w:lvl>
  </w:abstractNum>
  <w:abstractNum w:abstractNumId="113">
    <w:nsid w:val="71D36F54"/>
    <w:multiLevelType w:val="hybridMultilevel"/>
    <w:tmpl w:val="6994DCA6"/>
    <w:lvl w:ilvl="0" w:tplc="0C090009">
      <w:start w:val="1"/>
      <w:numFmt w:val="bullet"/>
      <w:lvlText w:val=""/>
      <w:lvlJc w:val="left"/>
      <w:pPr>
        <w:ind w:left="1321" w:hanging="360"/>
      </w:pPr>
      <w:rPr>
        <w:rFonts w:ascii="Wingdings" w:hAnsi="Wingdings" w:hint="default"/>
      </w:rPr>
    </w:lvl>
    <w:lvl w:ilvl="1" w:tplc="0C090003" w:tentative="1">
      <w:start w:val="1"/>
      <w:numFmt w:val="bullet"/>
      <w:lvlText w:val="o"/>
      <w:lvlJc w:val="left"/>
      <w:pPr>
        <w:ind w:left="2041" w:hanging="360"/>
      </w:pPr>
      <w:rPr>
        <w:rFonts w:ascii="Courier New" w:hAnsi="Courier New" w:cs="Courier New" w:hint="default"/>
      </w:rPr>
    </w:lvl>
    <w:lvl w:ilvl="2" w:tplc="0C090005" w:tentative="1">
      <w:start w:val="1"/>
      <w:numFmt w:val="bullet"/>
      <w:lvlText w:val=""/>
      <w:lvlJc w:val="left"/>
      <w:pPr>
        <w:ind w:left="2761" w:hanging="360"/>
      </w:pPr>
      <w:rPr>
        <w:rFonts w:ascii="Wingdings" w:hAnsi="Wingdings" w:hint="default"/>
      </w:rPr>
    </w:lvl>
    <w:lvl w:ilvl="3" w:tplc="0C090001" w:tentative="1">
      <w:start w:val="1"/>
      <w:numFmt w:val="bullet"/>
      <w:lvlText w:val=""/>
      <w:lvlJc w:val="left"/>
      <w:pPr>
        <w:ind w:left="3481" w:hanging="360"/>
      </w:pPr>
      <w:rPr>
        <w:rFonts w:ascii="Symbol" w:hAnsi="Symbol" w:hint="default"/>
      </w:rPr>
    </w:lvl>
    <w:lvl w:ilvl="4" w:tplc="0C090003" w:tentative="1">
      <w:start w:val="1"/>
      <w:numFmt w:val="bullet"/>
      <w:lvlText w:val="o"/>
      <w:lvlJc w:val="left"/>
      <w:pPr>
        <w:ind w:left="4201" w:hanging="360"/>
      </w:pPr>
      <w:rPr>
        <w:rFonts w:ascii="Courier New" w:hAnsi="Courier New" w:cs="Courier New" w:hint="default"/>
      </w:rPr>
    </w:lvl>
    <w:lvl w:ilvl="5" w:tplc="0C090005" w:tentative="1">
      <w:start w:val="1"/>
      <w:numFmt w:val="bullet"/>
      <w:lvlText w:val=""/>
      <w:lvlJc w:val="left"/>
      <w:pPr>
        <w:ind w:left="4921" w:hanging="360"/>
      </w:pPr>
      <w:rPr>
        <w:rFonts w:ascii="Wingdings" w:hAnsi="Wingdings" w:hint="default"/>
      </w:rPr>
    </w:lvl>
    <w:lvl w:ilvl="6" w:tplc="0C090001" w:tentative="1">
      <w:start w:val="1"/>
      <w:numFmt w:val="bullet"/>
      <w:lvlText w:val=""/>
      <w:lvlJc w:val="left"/>
      <w:pPr>
        <w:ind w:left="5641" w:hanging="360"/>
      </w:pPr>
      <w:rPr>
        <w:rFonts w:ascii="Symbol" w:hAnsi="Symbol" w:hint="default"/>
      </w:rPr>
    </w:lvl>
    <w:lvl w:ilvl="7" w:tplc="0C090003" w:tentative="1">
      <w:start w:val="1"/>
      <w:numFmt w:val="bullet"/>
      <w:lvlText w:val="o"/>
      <w:lvlJc w:val="left"/>
      <w:pPr>
        <w:ind w:left="6361" w:hanging="360"/>
      </w:pPr>
      <w:rPr>
        <w:rFonts w:ascii="Courier New" w:hAnsi="Courier New" w:cs="Courier New" w:hint="default"/>
      </w:rPr>
    </w:lvl>
    <w:lvl w:ilvl="8" w:tplc="0C090005" w:tentative="1">
      <w:start w:val="1"/>
      <w:numFmt w:val="bullet"/>
      <w:lvlText w:val=""/>
      <w:lvlJc w:val="left"/>
      <w:pPr>
        <w:ind w:left="7081" w:hanging="360"/>
      </w:pPr>
      <w:rPr>
        <w:rFonts w:ascii="Wingdings" w:hAnsi="Wingdings" w:hint="default"/>
      </w:rPr>
    </w:lvl>
  </w:abstractNum>
  <w:abstractNum w:abstractNumId="114">
    <w:nsid w:val="74D01F91"/>
    <w:multiLevelType w:val="singleLevel"/>
    <w:tmpl w:val="B6E85040"/>
    <w:lvl w:ilvl="0">
      <w:start w:val="1"/>
      <w:numFmt w:val="decimal"/>
      <w:lvlRestart w:val="0"/>
      <w:pStyle w:val="ListNumber"/>
      <w:lvlText w:val="%1."/>
      <w:lvlJc w:val="left"/>
      <w:pPr>
        <w:tabs>
          <w:tab w:val="num" w:pos="283"/>
        </w:tabs>
        <w:ind w:left="283" w:hanging="283"/>
      </w:pPr>
      <w:rPr>
        <w:rFonts w:hint="default"/>
      </w:rPr>
    </w:lvl>
  </w:abstractNum>
  <w:abstractNum w:abstractNumId="115">
    <w:nsid w:val="754A6D6C"/>
    <w:multiLevelType w:val="hybridMultilevel"/>
    <w:tmpl w:val="3196C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nsid w:val="755B643B"/>
    <w:multiLevelType w:val="hybridMultilevel"/>
    <w:tmpl w:val="76E23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nsid w:val="764A3C62"/>
    <w:multiLevelType w:val="hybridMultilevel"/>
    <w:tmpl w:val="842606C6"/>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18">
    <w:nsid w:val="764F0D6C"/>
    <w:multiLevelType w:val="hybridMultilevel"/>
    <w:tmpl w:val="93BC0B16"/>
    <w:lvl w:ilvl="0" w:tplc="5106CD84">
      <w:start w:val="1"/>
      <w:numFmt w:val="decimal"/>
      <w:pStyle w:val="FindingNumber"/>
      <w:lvlText w:val="%1"/>
      <w:lvlJc w:val="left"/>
      <w:pPr>
        <w:tabs>
          <w:tab w:val="num" w:pos="425"/>
        </w:tabs>
        <w:ind w:left="425" w:hanging="425"/>
      </w:pPr>
      <w:rPr>
        <w:rFonts w:hint="default"/>
      </w:rPr>
    </w:lvl>
    <w:lvl w:ilvl="1" w:tplc="E9FC0318">
      <w:start w:val="1"/>
      <w:numFmt w:val="lowerLetter"/>
      <w:lvlText w:val="%2."/>
      <w:lvlJc w:val="left"/>
      <w:pPr>
        <w:tabs>
          <w:tab w:val="num" w:pos="1440"/>
        </w:tabs>
        <w:ind w:left="1440" w:hanging="360"/>
      </w:pPr>
    </w:lvl>
    <w:lvl w:ilvl="2" w:tplc="0B1EDC6C" w:tentative="1">
      <w:start w:val="1"/>
      <w:numFmt w:val="lowerRoman"/>
      <w:lvlText w:val="%3."/>
      <w:lvlJc w:val="right"/>
      <w:pPr>
        <w:tabs>
          <w:tab w:val="num" w:pos="2160"/>
        </w:tabs>
        <w:ind w:left="2160" w:hanging="180"/>
      </w:pPr>
    </w:lvl>
    <w:lvl w:ilvl="3" w:tplc="DB909C6C" w:tentative="1">
      <w:start w:val="1"/>
      <w:numFmt w:val="decimal"/>
      <w:lvlText w:val="%4."/>
      <w:lvlJc w:val="left"/>
      <w:pPr>
        <w:tabs>
          <w:tab w:val="num" w:pos="2880"/>
        </w:tabs>
        <w:ind w:left="2880" w:hanging="360"/>
      </w:pPr>
    </w:lvl>
    <w:lvl w:ilvl="4" w:tplc="683AEC48" w:tentative="1">
      <w:start w:val="1"/>
      <w:numFmt w:val="lowerLetter"/>
      <w:lvlText w:val="%5."/>
      <w:lvlJc w:val="left"/>
      <w:pPr>
        <w:tabs>
          <w:tab w:val="num" w:pos="3600"/>
        </w:tabs>
        <w:ind w:left="3600" w:hanging="360"/>
      </w:pPr>
    </w:lvl>
    <w:lvl w:ilvl="5" w:tplc="19B6D646" w:tentative="1">
      <w:start w:val="1"/>
      <w:numFmt w:val="lowerRoman"/>
      <w:lvlText w:val="%6."/>
      <w:lvlJc w:val="right"/>
      <w:pPr>
        <w:tabs>
          <w:tab w:val="num" w:pos="4320"/>
        </w:tabs>
        <w:ind w:left="4320" w:hanging="180"/>
      </w:pPr>
    </w:lvl>
    <w:lvl w:ilvl="6" w:tplc="BAB0A632" w:tentative="1">
      <w:start w:val="1"/>
      <w:numFmt w:val="decimal"/>
      <w:lvlText w:val="%7."/>
      <w:lvlJc w:val="left"/>
      <w:pPr>
        <w:tabs>
          <w:tab w:val="num" w:pos="5040"/>
        </w:tabs>
        <w:ind w:left="5040" w:hanging="360"/>
      </w:pPr>
    </w:lvl>
    <w:lvl w:ilvl="7" w:tplc="49968CBE" w:tentative="1">
      <w:start w:val="1"/>
      <w:numFmt w:val="lowerLetter"/>
      <w:lvlText w:val="%8."/>
      <w:lvlJc w:val="left"/>
      <w:pPr>
        <w:tabs>
          <w:tab w:val="num" w:pos="5760"/>
        </w:tabs>
        <w:ind w:left="5760" w:hanging="360"/>
      </w:pPr>
    </w:lvl>
    <w:lvl w:ilvl="8" w:tplc="E494A12C" w:tentative="1">
      <w:start w:val="1"/>
      <w:numFmt w:val="lowerRoman"/>
      <w:lvlText w:val="%9."/>
      <w:lvlJc w:val="right"/>
      <w:pPr>
        <w:tabs>
          <w:tab w:val="num" w:pos="6480"/>
        </w:tabs>
        <w:ind w:left="6480" w:hanging="180"/>
      </w:pPr>
    </w:lvl>
  </w:abstractNum>
  <w:abstractNum w:abstractNumId="119">
    <w:nsid w:val="78856607"/>
    <w:multiLevelType w:val="hybridMultilevel"/>
    <w:tmpl w:val="ACF6FDD2"/>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nsid w:val="7A334969"/>
    <w:multiLevelType w:val="hybridMultilevel"/>
    <w:tmpl w:val="2A464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nsid w:val="7AAF69B9"/>
    <w:multiLevelType w:val="hybridMultilevel"/>
    <w:tmpl w:val="B3B84B4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nsid w:val="7AE036F8"/>
    <w:multiLevelType w:val="hybridMultilevel"/>
    <w:tmpl w:val="2A80E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nsid w:val="7DE8107C"/>
    <w:multiLevelType w:val="hybridMultilevel"/>
    <w:tmpl w:val="9904C3D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nsid w:val="7F663BF3"/>
    <w:multiLevelType w:val="hybridMultilevel"/>
    <w:tmpl w:val="1E1460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nsid w:val="7F9125D6"/>
    <w:multiLevelType w:val="hybridMultilevel"/>
    <w:tmpl w:val="6114B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nsid w:val="7F982C84"/>
    <w:multiLevelType w:val="hybridMultilevel"/>
    <w:tmpl w:val="0A1659E8"/>
    <w:lvl w:ilvl="0" w:tplc="0C090001">
      <w:start w:val="1"/>
      <w:numFmt w:val="bullet"/>
      <w:lvlText w:val=""/>
      <w:lvlJc w:val="left"/>
      <w:pPr>
        <w:ind w:left="771"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num w:numId="1">
    <w:abstractNumId w:val="102"/>
  </w:num>
  <w:num w:numId="2">
    <w:abstractNumId w:val="30"/>
  </w:num>
  <w:num w:numId="3">
    <w:abstractNumId w:val="114"/>
  </w:num>
  <w:num w:numId="4">
    <w:abstractNumId w:val="52"/>
  </w:num>
  <w:num w:numId="5">
    <w:abstractNumId w:val="86"/>
  </w:num>
  <w:num w:numId="6">
    <w:abstractNumId w:val="87"/>
  </w:num>
  <w:num w:numId="7">
    <w:abstractNumId w:val="77"/>
  </w:num>
  <w:num w:numId="8">
    <w:abstractNumId w:val="20"/>
  </w:num>
  <w:num w:numId="9">
    <w:abstractNumId w:val="0"/>
  </w:num>
  <w:num w:numId="10">
    <w:abstractNumId w:val="21"/>
  </w:num>
  <w:num w:numId="11">
    <w:abstractNumId w:val="53"/>
  </w:num>
  <w:num w:numId="12">
    <w:abstractNumId w:val="103"/>
  </w:num>
  <w:num w:numId="13">
    <w:abstractNumId w:val="42"/>
  </w:num>
  <w:num w:numId="14">
    <w:abstractNumId w:val="112"/>
  </w:num>
  <w:num w:numId="15">
    <w:abstractNumId w:val="85"/>
  </w:num>
  <w:num w:numId="16">
    <w:abstractNumId w:val="104"/>
  </w:num>
  <w:num w:numId="17">
    <w:abstractNumId w:val="108"/>
  </w:num>
  <w:num w:numId="18">
    <w:abstractNumId w:val="97"/>
  </w:num>
  <w:num w:numId="19">
    <w:abstractNumId w:val="60"/>
  </w:num>
  <w:num w:numId="20">
    <w:abstractNumId w:val="40"/>
  </w:num>
  <w:num w:numId="21">
    <w:abstractNumId w:val="4"/>
  </w:num>
  <w:num w:numId="22">
    <w:abstractNumId w:val="118"/>
  </w:num>
  <w:num w:numId="23">
    <w:abstractNumId w:val="45"/>
  </w:num>
  <w:num w:numId="24">
    <w:abstractNumId w:val="106"/>
  </w:num>
  <w:num w:numId="25">
    <w:abstractNumId w:val="3"/>
  </w:num>
  <w:num w:numId="26">
    <w:abstractNumId w:val="22"/>
  </w:num>
  <w:num w:numId="27">
    <w:abstractNumId w:val="56"/>
  </w:num>
  <w:num w:numId="28">
    <w:abstractNumId w:val="72"/>
  </w:num>
  <w:num w:numId="29">
    <w:abstractNumId w:val="84"/>
  </w:num>
  <w:num w:numId="30">
    <w:abstractNumId w:val="26"/>
  </w:num>
  <w:num w:numId="31">
    <w:abstractNumId w:val="82"/>
  </w:num>
  <w:num w:numId="32">
    <w:abstractNumId w:val="57"/>
  </w:num>
  <w:num w:numId="33">
    <w:abstractNumId w:val="79"/>
  </w:num>
  <w:num w:numId="34">
    <w:abstractNumId w:val="12"/>
  </w:num>
  <w:num w:numId="35">
    <w:abstractNumId w:val="126"/>
  </w:num>
  <w:num w:numId="36">
    <w:abstractNumId w:val="55"/>
  </w:num>
  <w:num w:numId="37">
    <w:abstractNumId w:val="49"/>
  </w:num>
  <w:num w:numId="38">
    <w:abstractNumId w:val="31"/>
  </w:num>
  <w:num w:numId="39">
    <w:abstractNumId w:val="59"/>
  </w:num>
  <w:num w:numId="40">
    <w:abstractNumId w:val="66"/>
  </w:num>
  <w:num w:numId="41">
    <w:abstractNumId w:val="123"/>
  </w:num>
  <w:num w:numId="42">
    <w:abstractNumId w:val="69"/>
  </w:num>
  <w:num w:numId="43">
    <w:abstractNumId w:val="65"/>
  </w:num>
  <w:num w:numId="44">
    <w:abstractNumId w:val="125"/>
  </w:num>
  <w:num w:numId="45">
    <w:abstractNumId w:val="10"/>
  </w:num>
  <w:num w:numId="46">
    <w:abstractNumId w:val="93"/>
  </w:num>
  <w:num w:numId="47">
    <w:abstractNumId w:val="115"/>
  </w:num>
  <w:num w:numId="48">
    <w:abstractNumId w:val="54"/>
  </w:num>
  <w:num w:numId="49">
    <w:abstractNumId w:val="120"/>
  </w:num>
  <w:num w:numId="50">
    <w:abstractNumId w:val="94"/>
  </w:num>
  <w:num w:numId="51">
    <w:abstractNumId w:val="99"/>
  </w:num>
  <w:num w:numId="52">
    <w:abstractNumId w:val="39"/>
  </w:num>
  <w:num w:numId="53">
    <w:abstractNumId w:val="19"/>
  </w:num>
  <w:num w:numId="54">
    <w:abstractNumId w:val="100"/>
  </w:num>
  <w:num w:numId="55">
    <w:abstractNumId w:val="68"/>
  </w:num>
  <w:num w:numId="56">
    <w:abstractNumId w:val="109"/>
  </w:num>
  <w:num w:numId="57">
    <w:abstractNumId w:val="61"/>
  </w:num>
  <w:num w:numId="58">
    <w:abstractNumId w:val="58"/>
  </w:num>
  <w:num w:numId="59">
    <w:abstractNumId w:val="96"/>
  </w:num>
  <w:num w:numId="60">
    <w:abstractNumId w:val="111"/>
  </w:num>
  <w:num w:numId="61">
    <w:abstractNumId w:val="63"/>
  </w:num>
  <w:num w:numId="62">
    <w:abstractNumId w:val="7"/>
  </w:num>
  <w:num w:numId="63">
    <w:abstractNumId w:val="67"/>
  </w:num>
  <w:num w:numId="64">
    <w:abstractNumId w:val="13"/>
  </w:num>
  <w:num w:numId="65">
    <w:abstractNumId w:val="74"/>
  </w:num>
  <w:num w:numId="66">
    <w:abstractNumId w:val="9"/>
  </w:num>
  <w:num w:numId="67">
    <w:abstractNumId w:val="1"/>
  </w:num>
  <w:num w:numId="68">
    <w:abstractNumId w:val="71"/>
  </w:num>
  <w:num w:numId="69">
    <w:abstractNumId w:val="18"/>
  </w:num>
  <w:num w:numId="70">
    <w:abstractNumId w:val="107"/>
  </w:num>
  <w:num w:numId="71">
    <w:abstractNumId w:val="50"/>
  </w:num>
  <w:num w:numId="72">
    <w:abstractNumId w:val="23"/>
  </w:num>
  <w:num w:numId="73">
    <w:abstractNumId w:val="64"/>
  </w:num>
  <w:num w:numId="74">
    <w:abstractNumId w:val="32"/>
  </w:num>
  <w:num w:numId="75">
    <w:abstractNumId w:val="43"/>
  </w:num>
  <w:num w:numId="76">
    <w:abstractNumId w:val="88"/>
  </w:num>
  <w:num w:numId="77">
    <w:abstractNumId w:val="36"/>
  </w:num>
  <w:num w:numId="78">
    <w:abstractNumId w:val="37"/>
  </w:num>
  <w:num w:numId="79">
    <w:abstractNumId w:val="5"/>
  </w:num>
  <w:num w:numId="80">
    <w:abstractNumId w:val="8"/>
  </w:num>
  <w:num w:numId="81">
    <w:abstractNumId w:val="11"/>
  </w:num>
  <w:num w:numId="82">
    <w:abstractNumId w:val="73"/>
  </w:num>
  <w:num w:numId="83">
    <w:abstractNumId w:val="27"/>
  </w:num>
  <w:num w:numId="84">
    <w:abstractNumId w:val="48"/>
  </w:num>
  <w:num w:numId="85">
    <w:abstractNumId w:val="51"/>
  </w:num>
  <w:num w:numId="86">
    <w:abstractNumId w:val="47"/>
  </w:num>
  <w:num w:numId="87">
    <w:abstractNumId w:val="70"/>
  </w:num>
  <w:num w:numId="88">
    <w:abstractNumId w:val="90"/>
  </w:num>
  <w:num w:numId="89">
    <w:abstractNumId w:val="124"/>
  </w:num>
  <w:num w:numId="90">
    <w:abstractNumId w:val="16"/>
  </w:num>
  <w:num w:numId="91">
    <w:abstractNumId w:val="2"/>
  </w:num>
  <w:num w:numId="92">
    <w:abstractNumId w:val="76"/>
  </w:num>
  <w:num w:numId="93">
    <w:abstractNumId w:val="80"/>
  </w:num>
  <w:num w:numId="94">
    <w:abstractNumId w:val="38"/>
  </w:num>
  <w:num w:numId="95">
    <w:abstractNumId w:val="110"/>
  </w:num>
  <w:num w:numId="96">
    <w:abstractNumId w:val="28"/>
  </w:num>
  <w:num w:numId="97">
    <w:abstractNumId w:val="101"/>
  </w:num>
  <w:num w:numId="98">
    <w:abstractNumId w:val="122"/>
  </w:num>
  <w:num w:numId="99">
    <w:abstractNumId w:val="6"/>
  </w:num>
  <w:num w:numId="100">
    <w:abstractNumId w:val="117"/>
  </w:num>
  <w:num w:numId="101">
    <w:abstractNumId w:val="121"/>
  </w:num>
  <w:num w:numId="102">
    <w:abstractNumId w:val="25"/>
  </w:num>
  <w:num w:numId="103">
    <w:abstractNumId w:val="98"/>
  </w:num>
  <w:num w:numId="104">
    <w:abstractNumId w:val="17"/>
  </w:num>
  <w:num w:numId="105">
    <w:abstractNumId w:val="15"/>
  </w:num>
  <w:num w:numId="106">
    <w:abstractNumId w:val="75"/>
  </w:num>
  <w:num w:numId="107">
    <w:abstractNumId w:val="116"/>
  </w:num>
  <w:num w:numId="108">
    <w:abstractNumId w:val="95"/>
  </w:num>
  <w:num w:numId="109">
    <w:abstractNumId w:val="113"/>
  </w:num>
  <w:num w:numId="110">
    <w:abstractNumId w:val="44"/>
  </w:num>
  <w:num w:numId="111">
    <w:abstractNumId w:val="81"/>
  </w:num>
  <w:num w:numId="112">
    <w:abstractNumId w:val="105"/>
  </w:num>
  <w:num w:numId="113">
    <w:abstractNumId w:val="91"/>
  </w:num>
  <w:num w:numId="114">
    <w:abstractNumId w:val="119"/>
  </w:num>
  <w:num w:numId="115">
    <w:abstractNumId w:val="24"/>
  </w:num>
  <w:num w:numId="116">
    <w:abstractNumId w:val="62"/>
  </w:num>
  <w:num w:numId="117">
    <w:abstractNumId w:val="34"/>
  </w:num>
  <w:num w:numId="118">
    <w:abstractNumId w:val="89"/>
  </w:num>
  <w:num w:numId="119">
    <w:abstractNumId w:val="83"/>
  </w:num>
  <w:num w:numId="120">
    <w:abstractNumId w:val="29"/>
  </w:num>
  <w:num w:numId="121">
    <w:abstractNumId w:val="92"/>
  </w:num>
  <w:num w:numId="122">
    <w:abstractNumId w:val="35"/>
  </w:num>
  <w:num w:numId="123">
    <w:abstractNumId w:val="33"/>
  </w:num>
  <w:num w:numId="124">
    <w:abstractNumId w:val="41"/>
  </w:num>
  <w:num w:numId="125">
    <w:abstractNumId w:val="78"/>
  </w:num>
  <w:num w:numId="126">
    <w:abstractNumId w:val="46"/>
  </w:num>
  <w:num w:numId="127">
    <w:abstractNumId w:val="14"/>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activeWritingStyle w:appName="MSWord" w:lang="en-AU"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en-GB"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hyphenationZone w:val="425"/>
  <w:drawingGridHorizontalSpacing w:val="120"/>
  <w:displayHorizontalDrawingGridEvery w:val="2"/>
  <w:displayVerticalDrawingGridEvery w:val="2"/>
  <w:noPunctuationKerning/>
  <w:characterSpacingControl w:val="doNotCompress"/>
  <w:hdrShapeDefaults>
    <o:shapedefaults v:ext="edit" spidmax="267265">
      <o:colormru v:ext="edit" colors="#001c52,#b6c400,#dc0000,maroon,#6cb07e,#2c90ce,#eed084,#cc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MReference" w:val=" "/>
    <w:docVar w:name="OfficeIni" w:val="Melbourne.ini"/>
  </w:docVars>
  <w:rsids>
    <w:rsidRoot w:val="000F359C"/>
    <w:rsid w:val="00000125"/>
    <w:rsid w:val="00000B79"/>
    <w:rsid w:val="000017FB"/>
    <w:rsid w:val="00001D16"/>
    <w:rsid w:val="00001E39"/>
    <w:rsid w:val="00002BF5"/>
    <w:rsid w:val="000049E5"/>
    <w:rsid w:val="00005641"/>
    <w:rsid w:val="00005789"/>
    <w:rsid w:val="000067B5"/>
    <w:rsid w:val="00006CCD"/>
    <w:rsid w:val="00006FE5"/>
    <w:rsid w:val="000079F0"/>
    <w:rsid w:val="00007AFB"/>
    <w:rsid w:val="0001010E"/>
    <w:rsid w:val="0001054B"/>
    <w:rsid w:val="00010DFB"/>
    <w:rsid w:val="00011107"/>
    <w:rsid w:val="00011150"/>
    <w:rsid w:val="000111B5"/>
    <w:rsid w:val="0001135B"/>
    <w:rsid w:val="00012D17"/>
    <w:rsid w:val="00012DAC"/>
    <w:rsid w:val="00013389"/>
    <w:rsid w:val="000137B0"/>
    <w:rsid w:val="00013EB0"/>
    <w:rsid w:val="0001482D"/>
    <w:rsid w:val="00014ED5"/>
    <w:rsid w:val="00015181"/>
    <w:rsid w:val="000152CD"/>
    <w:rsid w:val="000156FD"/>
    <w:rsid w:val="0001612D"/>
    <w:rsid w:val="000163A4"/>
    <w:rsid w:val="00016C67"/>
    <w:rsid w:val="000175AF"/>
    <w:rsid w:val="000176A3"/>
    <w:rsid w:val="0001776A"/>
    <w:rsid w:val="000217C3"/>
    <w:rsid w:val="000217CF"/>
    <w:rsid w:val="00021A76"/>
    <w:rsid w:val="0002202A"/>
    <w:rsid w:val="00022210"/>
    <w:rsid w:val="000226DD"/>
    <w:rsid w:val="00022BD0"/>
    <w:rsid w:val="00023208"/>
    <w:rsid w:val="00023450"/>
    <w:rsid w:val="00023778"/>
    <w:rsid w:val="00023825"/>
    <w:rsid w:val="00023A7F"/>
    <w:rsid w:val="00024D61"/>
    <w:rsid w:val="0002562B"/>
    <w:rsid w:val="0002599A"/>
    <w:rsid w:val="00025B09"/>
    <w:rsid w:val="00025BD5"/>
    <w:rsid w:val="00026104"/>
    <w:rsid w:val="000267A5"/>
    <w:rsid w:val="00027A68"/>
    <w:rsid w:val="00027E0A"/>
    <w:rsid w:val="00027F8A"/>
    <w:rsid w:val="0003040E"/>
    <w:rsid w:val="00030D91"/>
    <w:rsid w:val="00030EBF"/>
    <w:rsid w:val="0003106F"/>
    <w:rsid w:val="0003151F"/>
    <w:rsid w:val="0003174B"/>
    <w:rsid w:val="000318AD"/>
    <w:rsid w:val="00031C6F"/>
    <w:rsid w:val="00031FC4"/>
    <w:rsid w:val="00032B89"/>
    <w:rsid w:val="00033729"/>
    <w:rsid w:val="000339B1"/>
    <w:rsid w:val="00033CF5"/>
    <w:rsid w:val="00034510"/>
    <w:rsid w:val="000360F6"/>
    <w:rsid w:val="0003638F"/>
    <w:rsid w:val="00036646"/>
    <w:rsid w:val="00036FFF"/>
    <w:rsid w:val="0003738C"/>
    <w:rsid w:val="000373ED"/>
    <w:rsid w:val="00040067"/>
    <w:rsid w:val="00040713"/>
    <w:rsid w:val="00040D73"/>
    <w:rsid w:val="00040E7E"/>
    <w:rsid w:val="0004119A"/>
    <w:rsid w:val="00041201"/>
    <w:rsid w:val="00041484"/>
    <w:rsid w:val="0004182E"/>
    <w:rsid w:val="000420EC"/>
    <w:rsid w:val="000421AD"/>
    <w:rsid w:val="0004319E"/>
    <w:rsid w:val="00043470"/>
    <w:rsid w:val="00043964"/>
    <w:rsid w:val="00043C44"/>
    <w:rsid w:val="0004466D"/>
    <w:rsid w:val="000449C2"/>
    <w:rsid w:val="00044A5D"/>
    <w:rsid w:val="00044D9D"/>
    <w:rsid w:val="00045034"/>
    <w:rsid w:val="00045940"/>
    <w:rsid w:val="00045E55"/>
    <w:rsid w:val="00046169"/>
    <w:rsid w:val="000463C2"/>
    <w:rsid w:val="0004651B"/>
    <w:rsid w:val="000470D5"/>
    <w:rsid w:val="00047297"/>
    <w:rsid w:val="00047A7F"/>
    <w:rsid w:val="00050AED"/>
    <w:rsid w:val="00050D51"/>
    <w:rsid w:val="0005141A"/>
    <w:rsid w:val="0005187B"/>
    <w:rsid w:val="0005255C"/>
    <w:rsid w:val="00052573"/>
    <w:rsid w:val="00052705"/>
    <w:rsid w:val="000527D9"/>
    <w:rsid w:val="00052C7E"/>
    <w:rsid w:val="00052E3D"/>
    <w:rsid w:val="00053533"/>
    <w:rsid w:val="0005432C"/>
    <w:rsid w:val="000545B7"/>
    <w:rsid w:val="00054E84"/>
    <w:rsid w:val="00056E9F"/>
    <w:rsid w:val="0005753A"/>
    <w:rsid w:val="000576AA"/>
    <w:rsid w:val="0006091A"/>
    <w:rsid w:val="0006106B"/>
    <w:rsid w:val="00061640"/>
    <w:rsid w:val="000623D3"/>
    <w:rsid w:val="00062F94"/>
    <w:rsid w:val="000632E8"/>
    <w:rsid w:val="00063EC7"/>
    <w:rsid w:val="00064D4A"/>
    <w:rsid w:val="00064F0D"/>
    <w:rsid w:val="000655A8"/>
    <w:rsid w:val="00065DBF"/>
    <w:rsid w:val="000663B9"/>
    <w:rsid w:val="00066802"/>
    <w:rsid w:val="00067EDB"/>
    <w:rsid w:val="000701EB"/>
    <w:rsid w:val="000705CD"/>
    <w:rsid w:val="000705E4"/>
    <w:rsid w:val="00070F98"/>
    <w:rsid w:val="00072225"/>
    <w:rsid w:val="000724CE"/>
    <w:rsid w:val="000726AD"/>
    <w:rsid w:val="00072FEB"/>
    <w:rsid w:val="00073D46"/>
    <w:rsid w:val="00074732"/>
    <w:rsid w:val="00074F07"/>
    <w:rsid w:val="00074FF3"/>
    <w:rsid w:val="0007545C"/>
    <w:rsid w:val="00075FAE"/>
    <w:rsid w:val="00076381"/>
    <w:rsid w:val="00076E3D"/>
    <w:rsid w:val="00077641"/>
    <w:rsid w:val="0008036F"/>
    <w:rsid w:val="000808ED"/>
    <w:rsid w:val="00080C0C"/>
    <w:rsid w:val="00080FAA"/>
    <w:rsid w:val="000817BC"/>
    <w:rsid w:val="00081865"/>
    <w:rsid w:val="00081917"/>
    <w:rsid w:val="00081E48"/>
    <w:rsid w:val="00081F7D"/>
    <w:rsid w:val="000826EC"/>
    <w:rsid w:val="000827AC"/>
    <w:rsid w:val="00082866"/>
    <w:rsid w:val="0008288F"/>
    <w:rsid w:val="00082B7D"/>
    <w:rsid w:val="00083008"/>
    <w:rsid w:val="00083395"/>
    <w:rsid w:val="000837B1"/>
    <w:rsid w:val="00083981"/>
    <w:rsid w:val="00083DFB"/>
    <w:rsid w:val="00084173"/>
    <w:rsid w:val="000848D8"/>
    <w:rsid w:val="00084C27"/>
    <w:rsid w:val="00084CB7"/>
    <w:rsid w:val="00084FB9"/>
    <w:rsid w:val="00085131"/>
    <w:rsid w:val="00085A52"/>
    <w:rsid w:val="0008607A"/>
    <w:rsid w:val="00086A19"/>
    <w:rsid w:val="00086AAD"/>
    <w:rsid w:val="00087085"/>
    <w:rsid w:val="0008771E"/>
    <w:rsid w:val="00087B22"/>
    <w:rsid w:val="00087DF1"/>
    <w:rsid w:val="00087EAC"/>
    <w:rsid w:val="000900DD"/>
    <w:rsid w:val="00090A28"/>
    <w:rsid w:val="00091B6D"/>
    <w:rsid w:val="00091E17"/>
    <w:rsid w:val="00092202"/>
    <w:rsid w:val="000923B0"/>
    <w:rsid w:val="000927E7"/>
    <w:rsid w:val="00093BC0"/>
    <w:rsid w:val="00093F2E"/>
    <w:rsid w:val="00094297"/>
    <w:rsid w:val="00094BBA"/>
    <w:rsid w:val="00095136"/>
    <w:rsid w:val="00095246"/>
    <w:rsid w:val="000959F9"/>
    <w:rsid w:val="00095AEE"/>
    <w:rsid w:val="00096059"/>
    <w:rsid w:val="0009614B"/>
    <w:rsid w:val="00096445"/>
    <w:rsid w:val="00096446"/>
    <w:rsid w:val="0009744D"/>
    <w:rsid w:val="00097BA8"/>
    <w:rsid w:val="000A0493"/>
    <w:rsid w:val="000A098A"/>
    <w:rsid w:val="000A0ADB"/>
    <w:rsid w:val="000A0E2C"/>
    <w:rsid w:val="000A15B4"/>
    <w:rsid w:val="000A1B29"/>
    <w:rsid w:val="000A36BB"/>
    <w:rsid w:val="000A4055"/>
    <w:rsid w:val="000A58C7"/>
    <w:rsid w:val="000A6066"/>
    <w:rsid w:val="000A61BC"/>
    <w:rsid w:val="000A6B14"/>
    <w:rsid w:val="000A7044"/>
    <w:rsid w:val="000A75CF"/>
    <w:rsid w:val="000A780A"/>
    <w:rsid w:val="000B0371"/>
    <w:rsid w:val="000B09AD"/>
    <w:rsid w:val="000B0CF2"/>
    <w:rsid w:val="000B0F20"/>
    <w:rsid w:val="000B1A79"/>
    <w:rsid w:val="000B2645"/>
    <w:rsid w:val="000B344C"/>
    <w:rsid w:val="000B3B42"/>
    <w:rsid w:val="000B3CBB"/>
    <w:rsid w:val="000B42C6"/>
    <w:rsid w:val="000B465E"/>
    <w:rsid w:val="000B625B"/>
    <w:rsid w:val="000B65DC"/>
    <w:rsid w:val="000B7275"/>
    <w:rsid w:val="000B7D12"/>
    <w:rsid w:val="000C0040"/>
    <w:rsid w:val="000C0B13"/>
    <w:rsid w:val="000C0E17"/>
    <w:rsid w:val="000C0E35"/>
    <w:rsid w:val="000C149B"/>
    <w:rsid w:val="000C15BB"/>
    <w:rsid w:val="000C160F"/>
    <w:rsid w:val="000C16E6"/>
    <w:rsid w:val="000C173E"/>
    <w:rsid w:val="000C28D5"/>
    <w:rsid w:val="000C2CFB"/>
    <w:rsid w:val="000C2FCF"/>
    <w:rsid w:val="000C44AA"/>
    <w:rsid w:val="000C5003"/>
    <w:rsid w:val="000C5088"/>
    <w:rsid w:val="000C56D8"/>
    <w:rsid w:val="000C5A0A"/>
    <w:rsid w:val="000C5A28"/>
    <w:rsid w:val="000C5B04"/>
    <w:rsid w:val="000C5C5D"/>
    <w:rsid w:val="000C61B6"/>
    <w:rsid w:val="000C6947"/>
    <w:rsid w:val="000C6A86"/>
    <w:rsid w:val="000C6B85"/>
    <w:rsid w:val="000C6E1E"/>
    <w:rsid w:val="000C764F"/>
    <w:rsid w:val="000D0699"/>
    <w:rsid w:val="000D0C45"/>
    <w:rsid w:val="000D0F58"/>
    <w:rsid w:val="000D1A92"/>
    <w:rsid w:val="000D1CDA"/>
    <w:rsid w:val="000D22D4"/>
    <w:rsid w:val="000D2D70"/>
    <w:rsid w:val="000D2F58"/>
    <w:rsid w:val="000D3037"/>
    <w:rsid w:val="000D3119"/>
    <w:rsid w:val="000D3690"/>
    <w:rsid w:val="000D36F7"/>
    <w:rsid w:val="000D4393"/>
    <w:rsid w:val="000D43A0"/>
    <w:rsid w:val="000D486E"/>
    <w:rsid w:val="000D5456"/>
    <w:rsid w:val="000D65B8"/>
    <w:rsid w:val="000D665E"/>
    <w:rsid w:val="000D7287"/>
    <w:rsid w:val="000D7EAF"/>
    <w:rsid w:val="000E01D0"/>
    <w:rsid w:val="000E0250"/>
    <w:rsid w:val="000E0537"/>
    <w:rsid w:val="000E1511"/>
    <w:rsid w:val="000E18BC"/>
    <w:rsid w:val="000E20ED"/>
    <w:rsid w:val="000E235A"/>
    <w:rsid w:val="000E239A"/>
    <w:rsid w:val="000E2A6C"/>
    <w:rsid w:val="000E2B50"/>
    <w:rsid w:val="000E2D53"/>
    <w:rsid w:val="000E2FF4"/>
    <w:rsid w:val="000E3170"/>
    <w:rsid w:val="000E3297"/>
    <w:rsid w:val="000E3415"/>
    <w:rsid w:val="000E3641"/>
    <w:rsid w:val="000E36A1"/>
    <w:rsid w:val="000E416C"/>
    <w:rsid w:val="000E41D5"/>
    <w:rsid w:val="000E4F4A"/>
    <w:rsid w:val="000E54FD"/>
    <w:rsid w:val="000E574E"/>
    <w:rsid w:val="000E58D5"/>
    <w:rsid w:val="000E654F"/>
    <w:rsid w:val="000F0620"/>
    <w:rsid w:val="000F0DA7"/>
    <w:rsid w:val="000F1595"/>
    <w:rsid w:val="000F1C3C"/>
    <w:rsid w:val="000F1CB2"/>
    <w:rsid w:val="000F33B8"/>
    <w:rsid w:val="000F359C"/>
    <w:rsid w:val="000F434F"/>
    <w:rsid w:val="000F4731"/>
    <w:rsid w:val="000F6371"/>
    <w:rsid w:val="000F6722"/>
    <w:rsid w:val="000F6734"/>
    <w:rsid w:val="000F67C8"/>
    <w:rsid w:val="000F6B44"/>
    <w:rsid w:val="000F733C"/>
    <w:rsid w:val="000F7567"/>
    <w:rsid w:val="000F7B56"/>
    <w:rsid w:val="000F7E79"/>
    <w:rsid w:val="00100D18"/>
    <w:rsid w:val="00100F00"/>
    <w:rsid w:val="00101EA8"/>
    <w:rsid w:val="00102095"/>
    <w:rsid w:val="001022D7"/>
    <w:rsid w:val="00102A05"/>
    <w:rsid w:val="00102CC7"/>
    <w:rsid w:val="00102ED1"/>
    <w:rsid w:val="001034EB"/>
    <w:rsid w:val="0010395A"/>
    <w:rsid w:val="00103BDC"/>
    <w:rsid w:val="00103C41"/>
    <w:rsid w:val="001040E8"/>
    <w:rsid w:val="00104FFB"/>
    <w:rsid w:val="00105263"/>
    <w:rsid w:val="001054AC"/>
    <w:rsid w:val="001065DA"/>
    <w:rsid w:val="00106C0A"/>
    <w:rsid w:val="0010773E"/>
    <w:rsid w:val="001078B4"/>
    <w:rsid w:val="00107A47"/>
    <w:rsid w:val="00107EF4"/>
    <w:rsid w:val="001112A9"/>
    <w:rsid w:val="00111907"/>
    <w:rsid w:val="00111CE6"/>
    <w:rsid w:val="0011235F"/>
    <w:rsid w:val="00112435"/>
    <w:rsid w:val="00112F1D"/>
    <w:rsid w:val="001136B7"/>
    <w:rsid w:val="00113C3F"/>
    <w:rsid w:val="00114636"/>
    <w:rsid w:val="00115676"/>
    <w:rsid w:val="00117A90"/>
    <w:rsid w:val="0012034E"/>
    <w:rsid w:val="00120768"/>
    <w:rsid w:val="00120B80"/>
    <w:rsid w:val="001217D5"/>
    <w:rsid w:val="001227FA"/>
    <w:rsid w:val="001227FE"/>
    <w:rsid w:val="00122DB2"/>
    <w:rsid w:val="001232CE"/>
    <w:rsid w:val="00123634"/>
    <w:rsid w:val="0012373D"/>
    <w:rsid w:val="001254DC"/>
    <w:rsid w:val="0012560C"/>
    <w:rsid w:val="00125C5C"/>
    <w:rsid w:val="0012731C"/>
    <w:rsid w:val="0012750E"/>
    <w:rsid w:val="0012761F"/>
    <w:rsid w:val="00130261"/>
    <w:rsid w:val="001313D8"/>
    <w:rsid w:val="00131AF4"/>
    <w:rsid w:val="00131AFC"/>
    <w:rsid w:val="0013221E"/>
    <w:rsid w:val="00132997"/>
    <w:rsid w:val="00132F29"/>
    <w:rsid w:val="00134738"/>
    <w:rsid w:val="001353CC"/>
    <w:rsid w:val="0013590F"/>
    <w:rsid w:val="00135E94"/>
    <w:rsid w:val="0013634A"/>
    <w:rsid w:val="001372A0"/>
    <w:rsid w:val="00137505"/>
    <w:rsid w:val="0013770D"/>
    <w:rsid w:val="0014165C"/>
    <w:rsid w:val="0014176A"/>
    <w:rsid w:val="001428F5"/>
    <w:rsid w:val="001433B9"/>
    <w:rsid w:val="001435CD"/>
    <w:rsid w:val="00143B66"/>
    <w:rsid w:val="00144C80"/>
    <w:rsid w:val="00146479"/>
    <w:rsid w:val="00146480"/>
    <w:rsid w:val="00147A1A"/>
    <w:rsid w:val="00147A36"/>
    <w:rsid w:val="00147C04"/>
    <w:rsid w:val="00150D48"/>
    <w:rsid w:val="00151C8D"/>
    <w:rsid w:val="001521FD"/>
    <w:rsid w:val="00152622"/>
    <w:rsid w:val="00152810"/>
    <w:rsid w:val="00153011"/>
    <w:rsid w:val="00153732"/>
    <w:rsid w:val="00153B18"/>
    <w:rsid w:val="001543B9"/>
    <w:rsid w:val="00154C82"/>
    <w:rsid w:val="00154C8F"/>
    <w:rsid w:val="001550E8"/>
    <w:rsid w:val="00155656"/>
    <w:rsid w:val="00155777"/>
    <w:rsid w:val="00155EF8"/>
    <w:rsid w:val="00155F7D"/>
    <w:rsid w:val="001575D7"/>
    <w:rsid w:val="0015770C"/>
    <w:rsid w:val="00157DAE"/>
    <w:rsid w:val="0016108D"/>
    <w:rsid w:val="001610FE"/>
    <w:rsid w:val="001612B2"/>
    <w:rsid w:val="0016175D"/>
    <w:rsid w:val="00161C30"/>
    <w:rsid w:val="00162461"/>
    <w:rsid w:val="00162D6E"/>
    <w:rsid w:val="00162D76"/>
    <w:rsid w:val="00163ED3"/>
    <w:rsid w:val="001649C2"/>
    <w:rsid w:val="00164B84"/>
    <w:rsid w:val="00164F96"/>
    <w:rsid w:val="00165653"/>
    <w:rsid w:val="00165820"/>
    <w:rsid w:val="00165AB2"/>
    <w:rsid w:val="00166505"/>
    <w:rsid w:val="00167056"/>
    <w:rsid w:val="001671A6"/>
    <w:rsid w:val="001676AA"/>
    <w:rsid w:val="001679E2"/>
    <w:rsid w:val="00167E12"/>
    <w:rsid w:val="00167F49"/>
    <w:rsid w:val="00170669"/>
    <w:rsid w:val="00171A1B"/>
    <w:rsid w:val="00172AE5"/>
    <w:rsid w:val="00172B8E"/>
    <w:rsid w:val="001736EA"/>
    <w:rsid w:val="00173FE7"/>
    <w:rsid w:val="00174691"/>
    <w:rsid w:val="001746C8"/>
    <w:rsid w:val="00174DF4"/>
    <w:rsid w:val="00175BDF"/>
    <w:rsid w:val="0017654B"/>
    <w:rsid w:val="001774EA"/>
    <w:rsid w:val="00177D45"/>
    <w:rsid w:val="00180294"/>
    <w:rsid w:val="001802CA"/>
    <w:rsid w:val="00180ACE"/>
    <w:rsid w:val="001810C8"/>
    <w:rsid w:val="001814D4"/>
    <w:rsid w:val="00181E1B"/>
    <w:rsid w:val="00181F58"/>
    <w:rsid w:val="00182C9D"/>
    <w:rsid w:val="00183462"/>
    <w:rsid w:val="001837CF"/>
    <w:rsid w:val="00183983"/>
    <w:rsid w:val="00183E2D"/>
    <w:rsid w:val="00184062"/>
    <w:rsid w:val="00184129"/>
    <w:rsid w:val="00185552"/>
    <w:rsid w:val="00185737"/>
    <w:rsid w:val="00185ED6"/>
    <w:rsid w:val="00185FA1"/>
    <w:rsid w:val="00185FA7"/>
    <w:rsid w:val="001864B6"/>
    <w:rsid w:val="0018650A"/>
    <w:rsid w:val="0018776E"/>
    <w:rsid w:val="00187D9F"/>
    <w:rsid w:val="0019002E"/>
    <w:rsid w:val="001912B7"/>
    <w:rsid w:val="00191D13"/>
    <w:rsid w:val="00191F2B"/>
    <w:rsid w:val="00191F92"/>
    <w:rsid w:val="001924A7"/>
    <w:rsid w:val="00192E92"/>
    <w:rsid w:val="00192FA4"/>
    <w:rsid w:val="001932E1"/>
    <w:rsid w:val="00193756"/>
    <w:rsid w:val="00193F23"/>
    <w:rsid w:val="001941E1"/>
    <w:rsid w:val="00194594"/>
    <w:rsid w:val="00194797"/>
    <w:rsid w:val="00194C04"/>
    <w:rsid w:val="00195440"/>
    <w:rsid w:val="001959F4"/>
    <w:rsid w:val="00196755"/>
    <w:rsid w:val="001969AC"/>
    <w:rsid w:val="001976C9"/>
    <w:rsid w:val="001A0887"/>
    <w:rsid w:val="001A0CF0"/>
    <w:rsid w:val="001A0DE8"/>
    <w:rsid w:val="001A2B46"/>
    <w:rsid w:val="001A3914"/>
    <w:rsid w:val="001A3A18"/>
    <w:rsid w:val="001A417F"/>
    <w:rsid w:val="001A453B"/>
    <w:rsid w:val="001A4760"/>
    <w:rsid w:val="001A4786"/>
    <w:rsid w:val="001A514C"/>
    <w:rsid w:val="001A5158"/>
    <w:rsid w:val="001A587E"/>
    <w:rsid w:val="001A5A28"/>
    <w:rsid w:val="001A5B8C"/>
    <w:rsid w:val="001A60D1"/>
    <w:rsid w:val="001A64C2"/>
    <w:rsid w:val="001A6C01"/>
    <w:rsid w:val="001A6F28"/>
    <w:rsid w:val="001A722F"/>
    <w:rsid w:val="001A78CB"/>
    <w:rsid w:val="001A7977"/>
    <w:rsid w:val="001B031F"/>
    <w:rsid w:val="001B05E4"/>
    <w:rsid w:val="001B106B"/>
    <w:rsid w:val="001B1618"/>
    <w:rsid w:val="001B172F"/>
    <w:rsid w:val="001B22A1"/>
    <w:rsid w:val="001B29AD"/>
    <w:rsid w:val="001B2E61"/>
    <w:rsid w:val="001B3FDF"/>
    <w:rsid w:val="001B4B35"/>
    <w:rsid w:val="001B5050"/>
    <w:rsid w:val="001B5EE9"/>
    <w:rsid w:val="001B67FE"/>
    <w:rsid w:val="001B6961"/>
    <w:rsid w:val="001B70F6"/>
    <w:rsid w:val="001B74AF"/>
    <w:rsid w:val="001B7713"/>
    <w:rsid w:val="001B7CD0"/>
    <w:rsid w:val="001C0F16"/>
    <w:rsid w:val="001C1C17"/>
    <w:rsid w:val="001C24F4"/>
    <w:rsid w:val="001C2502"/>
    <w:rsid w:val="001C2864"/>
    <w:rsid w:val="001C2A36"/>
    <w:rsid w:val="001C2C27"/>
    <w:rsid w:val="001C3DB0"/>
    <w:rsid w:val="001C4708"/>
    <w:rsid w:val="001C4723"/>
    <w:rsid w:val="001C47C0"/>
    <w:rsid w:val="001C550A"/>
    <w:rsid w:val="001C643A"/>
    <w:rsid w:val="001C6501"/>
    <w:rsid w:val="001C68FC"/>
    <w:rsid w:val="001C6977"/>
    <w:rsid w:val="001C6AB3"/>
    <w:rsid w:val="001C6F9D"/>
    <w:rsid w:val="001C7153"/>
    <w:rsid w:val="001C78CB"/>
    <w:rsid w:val="001C7906"/>
    <w:rsid w:val="001C7929"/>
    <w:rsid w:val="001C7FDC"/>
    <w:rsid w:val="001D274D"/>
    <w:rsid w:val="001D3084"/>
    <w:rsid w:val="001D30AC"/>
    <w:rsid w:val="001D3FC0"/>
    <w:rsid w:val="001D4118"/>
    <w:rsid w:val="001D451E"/>
    <w:rsid w:val="001D61EA"/>
    <w:rsid w:val="001D61FA"/>
    <w:rsid w:val="001D6C50"/>
    <w:rsid w:val="001D7FF1"/>
    <w:rsid w:val="001E03C7"/>
    <w:rsid w:val="001E0BBF"/>
    <w:rsid w:val="001E0CD2"/>
    <w:rsid w:val="001E15A4"/>
    <w:rsid w:val="001E1CB5"/>
    <w:rsid w:val="001E2053"/>
    <w:rsid w:val="001E2071"/>
    <w:rsid w:val="001E3591"/>
    <w:rsid w:val="001E4532"/>
    <w:rsid w:val="001E4875"/>
    <w:rsid w:val="001E4F17"/>
    <w:rsid w:val="001E572C"/>
    <w:rsid w:val="001E5C86"/>
    <w:rsid w:val="001E5E46"/>
    <w:rsid w:val="001E64F0"/>
    <w:rsid w:val="001E6852"/>
    <w:rsid w:val="001E6BD1"/>
    <w:rsid w:val="001E6E99"/>
    <w:rsid w:val="001E7620"/>
    <w:rsid w:val="001E7AF5"/>
    <w:rsid w:val="001E7CFE"/>
    <w:rsid w:val="001F0B32"/>
    <w:rsid w:val="001F1E22"/>
    <w:rsid w:val="001F23CC"/>
    <w:rsid w:val="001F276A"/>
    <w:rsid w:val="001F2F46"/>
    <w:rsid w:val="001F300B"/>
    <w:rsid w:val="001F304A"/>
    <w:rsid w:val="001F42BB"/>
    <w:rsid w:val="001F4528"/>
    <w:rsid w:val="001F45C1"/>
    <w:rsid w:val="001F49B3"/>
    <w:rsid w:val="001F4BC3"/>
    <w:rsid w:val="001F4E81"/>
    <w:rsid w:val="001F4EFA"/>
    <w:rsid w:val="001F515C"/>
    <w:rsid w:val="001F58EA"/>
    <w:rsid w:val="001F7163"/>
    <w:rsid w:val="001F7A4E"/>
    <w:rsid w:val="002006DB"/>
    <w:rsid w:val="002007AB"/>
    <w:rsid w:val="00200D8A"/>
    <w:rsid w:val="00200DBF"/>
    <w:rsid w:val="00200F85"/>
    <w:rsid w:val="00201958"/>
    <w:rsid w:val="00201B70"/>
    <w:rsid w:val="00201DEC"/>
    <w:rsid w:val="00201F83"/>
    <w:rsid w:val="002021D0"/>
    <w:rsid w:val="00202416"/>
    <w:rsid w:val="0020273E"/>
    <w:rsid w:val="00202FFD"/>
    <w:rsid w:val="00203747"/>
    <w:rsid w:val="00203AAE"/>
    <w:rsid w:val="0020452B"/>
    <w:rsid w:val="00204846"/>
    <w:rsid w:val="00204C41"/>
    <w:rsid w:val="00204E39"/>
    <w:rsid w:val="00205149"/>
    <w:rsid w:val="0020561B"/>
    <w:rsid w:val="00205A67"/>
    <w:rsid w:val="00206238"/>
    <w:rsid w:val="002067CC"/>
    <w:rsid w:val="00206C23"/>
    <w:rsid w:val="00206DFA"/>
    <w:rsid w:val="00207224"/>
    <w:rsid w:val="00207E87"/>
    <w:rsid w:val="00210F2B"/>
    <w:rsid w:val="00211568"/>
    <w:rsid w:val="00212233"/>
    <w:rsid w:val="002127CE"/>
    <w:rsid w:val="00212F46"/>
    <w:rsid w:val="00213164"/>
    <w:rsid w:val="00213A5A"/>
    <w:rsid w:val="00214E5A"/>
    <w:rsid w:val="00215352"/>
    <w:rsid w:val="00215676"/>
    <w:rsid w:val="00215940"/>
    <w:rsid w:val="00215F2D"/>
    <w:rsid w:val="00216388"/>
    <w:rsid w:val="00216728"/>
    <w:rsid w:val="00216DCF"/>
    <w:rsid w:val="002179F2"/>
    <w:rsid w:val="00220A51"/>
    <w:rsid w:val="002225E8"/>
    <w:rsid w:val="002229DE"/>
    <w:rsid w:val="002229F1"/>
    <w:rsid w:val="00222AC9"/>
    <w:rsid w:val="002231EC"/>
    <w:rsid w:val="00223221"/>
    <w:rsid w:val="0022340E"/>
    <w:rsid w:val="00224195"/>
    <w:rsid w:val="002245AF"/>
    <w:rsid w:val="00224821"/>
    <w:rsid w:val="002255E4"/>
    <w:rsid w:val="002262C3"/>
    <w:rsid w:val="00226B51"/>
    <w:rsid w:val="00226F3E"/>
    <w:rsid w:val="0023017E"/>
    <w:rsid w:val="00230F45"/>
    <w:rsid w:val="00231BC8"/>
    <w:rsid w:val="00231D20"/>
    <w:rsid w:val="002323F0"/>
    <w:rsid w:val="00232E0E"/>
    <w:rsid w:val="002338EE"/>
    <w:rsid w:val="00233A2C"/>
    <w:rsid w:val="00233ECF"/>
    <w:rsid w:val="00234241"/>
    <w:rsid w:val="002345DE"/>
    <w:rsid w:val="00234D6B"/>
    <w:rsid w:val="002354FE"/>
    <w:rsid w:val="00235528"/>
    <w:rsid w:val="00235888"/>
    <w:rsid w:val="0023624C"/>
    <w:rsid w:val="00236CF1"/>
    <w:rsid w:val="002375DC"/>
    <w:rsid w:val="0024098C"/>
    <w:rsid w:val="0024122D"/>
    <w:rsid w:val="0024144E"/>
    <w:rsid w:val="00241729"/>
    <w:rsid w:val="00241AE8"/>
    <w:rsid w:val="00241F66"/>
    <w:rsid w:val="00241F8D"/>
    <w:rsid w:val="00242171"/>
    <w:rsid w:val="0024275D"/>
    <w:rsid w:val="00243007"/>
    <w:rsid w:val="00243E02"/>
    <w:rsid w:val="00244942"/>
    <w:rsid w:val="00244B7F"/>
    <w:rsid w:val="00244E36"/>
    <w:rsid w:val="00245DAF"/>
    <w:rsid w:val="00245E21"/>
    <w:rsid w:val="002464F8"/>
    <w:rsid w:val="00246F27"/>
    <w:rsid w:val="00247575"/>
    <w:rsid w:val="00247746"/>
    <w:rsid w:val="00247CFE"/>
    <w:rsid w:val="00247E84"/>
    <w:rsid w:val="00250252"/>
    <w:rsid w:val="00250B77"/>
    <w:rsid w:val="0025132E"/>
    <w:rsid w:val="002514A9"/>
    <w:rsid w:val="002521DB"/>
    <w:rsid w:val="002521E9"/>
    <w:rsid w:val="002525D7"/>
    <w:rsid w:val="00252B8E"/>
    <w:rsid w:val="002534C8"/>
    <w:rsid w:val="00253CA9"/>
    <w:rsid w:val="00254AED"/>
    <w:rsid w:val="00254E9D"/>
    <w:rsid w:val="002550E3"/>
    <w:rsid w:val="0025575F"/>
    <w:rsid w:val="00255E3F"/>
    <w:rsid w:val="00256441"/>
    <w:rsid w:val="0026012C"/>
    <w:rsid w:val="002608CC"/>
    <w:rsid w:val="00261612"/>
    <w:rsid w:val="00261E25"/>
    <w:rsid w:val="0026279D"/>
    <w:rsid w:val="00263288"/>
    <w:rsid w:val="0026349D"/>
    <w:rsid w:val="00263B40"/>
    <w:rsid w:val="00263DA5"/>
    <w:rsid w:val="002640CF"/>
    <w:rsid w:val="002649B0"/>
    <w:rsid w:val="00264B88"/>
    <w:rsid w:val="00265600"/>
    <w:rsid w:val="0026621F"/>
    <w:rsid w:val="002663F7"/>
    <w:rsid w:val="00266497"/>
    <w:rsid w:val="00266592"/>
    <w:rsid w:val="002665E4"/>
    <w:rsid w:val="00266D24"/>
    <w:rsid w:val="00270404"/>
    <w:rsid w:val="00270840"/>
    <w:rsid w:val="00270B1F"/>
    <w:rsid w:val="00270C0E"/>
    <w:rsid w:val="00270C79"/>
    <w:rsid w:val="00270E9D"/>
    <w:rsid w:val="002727B6"/>
    <w:rsid w:val="002729A6"/>
    <w:rsid w:val="002736C9"/>
    <w:rsid w:val="002738B7"/>
    <w:rsid w:val="00273A77"/>
    <w:rsid w:val="00273A86"/>
    <w:rsid w:val="002755EC"/>
    <w:rsid w:val="00276859"/>
    <w:rsid w:val="00277548"/>
    <w:rsid w:val="00277864"/>
    <w:rsid w:val="00280232"/>
    <w:rsid w:val="00280284"/>
    <w:rsid w:val="00280844"/>
    <w:rsid w:val="00281C63"/>
    <w:rsid w:val="00282166"/>
    <w:rsid w:val="0028219B"/>
    <w:rsid w:val="002823FB"/>
    <w:rsid w:val="00283D57"/>
    <w:rsid w:val="00283F2D"/>
    <w:rsid w:val="00284554"/>
    <w:rsid w:val="00284597"/>
    <w:rsid w:val="002845D8"/>
    <w:rsid w:val="00284B50"/>
    <w:rsid w:val="00284DBE"/>
    <w:rsid w:val="002850CC"/>
    <w:rsid w:val="00285280"/>
    <w:rsid w:val="002853C6"/>
    <w:rsid w:val="0028546C"/>
    <w:rsid w:val="00286031"/>
    <w:rsid w:val="002861FA"/>
    <w:rsid w:val="00286518"/>
    <w:rsid w:val="0028670F"/>
    <w:rsid w:val="00286FF2"/>
    <w:rsid w:val="00287166"/>
    <w:rsid w:val="002871ED"/>
    <w:rsid w:val="002874AF"/>
    <w:rsid w:val="002901B3"/>
    <w:rsid w:val="00290417"/>
    <w:rsid w:val="0029041A"/>
    <w:rsid w:val="0029127E"/>
    <w:rsid w:val="002912F9"/>
    <w:rsid w:val="002924A2"/>
    <w:rsid w:val="00292582"/>
    <w:rsid w:val="00292732"/>
    <w:rsid w:val="00292CA9"/>
    <w:rsid w:val="0029333B"/>
    <w:rsid w:val="00293432"/>
    <w:rsid w:val="00293955"/>
    <w:rsid w:val="00294530"/>
    <w:rsid w:val="00294951"/>
    <w:rsid w:val="00294C01"/>
    <w:rsid w:val="00295B2C"/>
    <w:rsid w:val="00295C56"/>
    <w:rsid w:val="00296792"/>
    <w:rsid w:val="002974A9"/>
    <w:rsid w:val="00297BE5"/>
    <w:rsid w:val="00297C27"/>
    <w:rsid w:val="002A018E"/>
    <w:rsid w:val="002A17B5"/>
    <w:rsid w:val="002A197D"/>
    <w:rsid w:val="002A198A"/>
    <w:rsid w:val="002A1B18"/>
    <w:rsid w:val="002A25A8"/>
    <w:rsid w:val="002A338F"/>
    <w:rsid w:val="002A3459"/>
    <w:rsid w:val="002A38B3"/>
    <w:rsid w:val="002A3FA2"/>
    <w:rsid w:val="002A4721"/>
    <w:rsid w:val="002A4AEB"/>
    <w:rsid w:val="002A56F2"/>
    <w:rsid w:val="002A5876"/>
    <w:rsid w:val="002A58F7"/>
    <w:rsid w:val="002A626C"/>
    <w:rsid w:val="002A6563"/>
    <w:rsid w:val="002A68CF"/>
    <w:rsid w:val="002B02E5"/>
    <w:rsid w:val="002B0463"/>
    <w:rsid w:val="002B083A"/>
    <w:rsid w:val="002B16A2"/>
    <w:rsid w:val="002B1735"/>
    <w:rsid w:val="002B1861"/>
    <w:rsid w:val="002B2390"/>
    <w:rsid w:val="002B3D66"/>
    <w:rsid w:val="002B4A76"/>
    <w:rsid w:val="002B5332"/>
    <w:rsid w:val="002B5E3A"/>
    <w:rsid w:val="002B5E65"/>
    <w:rsid w:val="002B60CF"/>
    <w:rsid w:val="002B62B8"/>
    <w:rsid w:val="002B6903"/>
    <w:rsid w:val="002B715A"/>
    <w:rsid w:val="002B7DEE"/>
    <w:rsid w:val="002C06CA"/>
    <w:rsid w:val="002C0ECB"/>
    <w:rsid w:val="002C16F0"/>
    <w:rsid w:val="002C1845"/>
    <w:rsid w:val="002C25F7"/>
    <w:rsid w:val="002C26DA"/>
    <w:rsid w:val="002C2A5E"/>
    <w:rsid w:val="002C3130"/>
    <w:rsid w:val="002C3346"/>
    <w:rsid w:val="002C380F"/>
    <w:rsid w:val="002C3839"/>
    <w:rsid w:val="002C39A1"/>
    <w:rsid w:val="002C3D5D"/>
    <w:rsid w:val="002C3F78"/>
    <w:rsid w:val="002C41FE"/>
    <w:rsid w:val="002C45AC"/>
    <w:rsid w:val="002C4F8D"/>
    <w:rsid w:val="002C5D34"/>
    <w:rsid w:val="002C6409"/>
    <w:rsid w:val="002C6DFC"/>
    <w:rsid w:val="002C7088"/>
    <w:rsid w:val="002C70E8"/>
    <w:rsid w:val="002C7460"/>
    <w:rsid w:val="002C7DF3"/>
    <w:rsid w:val="002D00DA"/>
    <w:rsid w:val="002D040A"/>
    <w:rsid w:val="002D10E0"/>
    <w:rsid w:val="002D219F"/>
    <w:rsid w:val="002D33A2"/>
    <w:rsid w:val="002D4069"/>
    <w:rsid w:val="002D4798"/>
    <w:rsid w:val="002D4C12"/>
    <w:rsid w:val="002D57D2"/>
    <w:rsid w:val="002D5AA1"/>
    <w:rsid w:val="002D6259"/>
    <w:rsid w:val="002D6263"/>
    <w:rsid w:val="002D6F58"/>
    <w:rsid w:val="002D76F6"/>
    <w:rsid w:val="002D7959"/>
    <w:rsid w:val="002E09D9"/>
    <w:rsid w:val="002E118D"/>
    <w:rsid w:val="002E19FC"/>
    <w:rsid w:val="002E289D"/>
    <w:rsid w:val="002E2C67"/>
    <w:rsid w:val="002E2E9A"/>
    <w:rsid w:val="002E3E66"/>
    <w:rsid w:val="002E5D29"/>
    <w:rsid w:val="002E62EC"/>
    <w:rsid w:val="002E7AFE"/>
    <w:rsid w:val="002F0643"/>
    <w:rsid w:val="002F09F9"/>
    <w:rsid w:val="002F0CA8"/>
    <w:rsid w:val="002F17BC"/>
    <w:rsid w:val="002F1BA5"/>
    <w:rsid w:val="002F213C"/>
    <w:rsid w:val="002F428B"/>
    <w:rsid w:val="002F468D"/>
    <w:rsid w:val="002F48DB"/>
    <w:rsid w:val="002F4997"/>
    <w:rsid w:val="002F51A4"/>
    <w:rsid w:val="002F5A02"/>
    <w:rsid w:val="002F6180"/>
    <w:rsid w:val="002F6AC0"/>
    <w:rsid w:val="002F6DF5"/>
    <w:rsid w:val="002F7488"/>
    <w:rsid w:val="002F7B43"/>
    <w:rsid w:val="002F7C87"/>
    <w:rsid w:val="003006C6"/>
    <w:rsid w:val="00301EFD"/>
    <w:rsid w:val="00301F9E"/>
    <w:rsid w:val="0030304B"/>
    <w:rsid w:val="00303275"/>
    <w:rsid w:val="00303306"/>
    <w:rsid w:val="003034D6"/>
    <w:rsid w:val="003035AF"/>
    <w:rsid w:val="003036B4"/>
    <w:rsid w:val="003039F2"/>
    <w:rsid w:val="00303B0C"/>
    <w:rsid w:val="0030466C"/>
    <w:rsid w:val="003049A1"/>
    <w:rsid w:val="00304A7F"/>
    <w:rsid w:val="003058D3"/>
    <w:rsid w:val="00306749"/>
    <w:rsid w:val="00306DD9"/>
    <w:rsid w:val="00307DE6"/>
    <w:rsid w:val="00307E03"/>
    <w:rsid w:val="0031129C"/>
    <w:rsid w:val="003114B4"/>
    <w:rsid w:val="00311A55"/>
    <w:rsid w:val="00312625"/>
    <w:rsid w:val="003129FB"/>
    <w:rsid w:val="0031330A"/>
    <w:rsid w:val="00313A95"/>
    <w:rsid w:val="003142E5"/>
    <w:rsid w:val="00314BBF"/>
    <w:rsid w:val="00314E8C"/>
    <w:rsid w:val="00315699"/>
    <w:rsid w:val="00315A2B"/>
    <w:rsid w:val="00315B1F"/>
    <w:rsid w:val="00315CBB"/>
    <w:rsid w:val="0031650A"/>
    <w:rsid w:val="003168C9"/>
    <w:rsid w:val="003174ED"/>
    <w:rsid w:val="0032025B"/>
    <w:rsid w:val="003202F0"/>
    <w:rsid w:val="00320C12"/>
    <w:rsid w:val="0032108F"/>
    <w:rsid w:val="0032160B"/>
    <w:rsid w:val="00321AF3"/>
    <w:rsid w:val="00322565"/>
    <w:rsid w:val="003236C2"/>
    <w:rsid w:val="00324C3B"/>
    <w:rsid w:val="00324D55"/>
    <w:rsid w:val="003253A4"/>
    <w:rsid w:val="003264BC"/>
    <w:rsid w:val="00326758"/>
    <w:rsid w:val="00330399"/>
    <w:rsid w:val="003305C0"/>
    <w:rsid w:val="00330E5C"/>
    <w:rsid w:val="00330E88"/>
    <w:rsid w:val="00333292"/>
    <w:rsid w:val="0033380E"/>
    <w:rsid w:val="00333B0C"/>
    <w:rsid w:val="003346E3"/>
    <w:rsid w:val="00334C6A"/>
    <w:rsid w:val="00334DFB"/>
    <w:rsid w:val="00334FA6"/>
    <w:rsid w:val="00335B3C"/>
    <w:rsid w:val="00335D44"/>
    <w:rsid w:val="00335E36"/>
    <w:rsid w:val="00340033"/>
    <w:rsid w:val="0034021A"/>
    <w:rsid w:val="003408A0"/>
    <w:rsid w:val="003409BC"/>
    <w:rsid w:val="00341862"/>
    <w:rsid w:val="00342A57"/>
    <w:rsid w:val="00343268"/>
    <w:rsid w:val="0034359A"/>
    <w:rsid w:val="003438E6"/>
    <w:rsid w:val="00343907"/>
    <w:rsid w:val="00343ABB"/>
    <w:rsid w:val="00343EAD"/>
    <w:rsid w:val="003444BC"/>
    <w:rsid w:val="003445C0"/>
    <w:rsid w:val="0034461D"/>
    <w:rsid w:val="0034496D"/>
    <w:rsid w:val="00344A38"/>
    <w:rsid w:val="003459F4"/>
    <w:rsid w:val="00345C90"/>
    <w:rsid w:val="0034744B"/>
    <w:rsid w:val="00347471"/>
    <w:rsid w:val="00350D95"/>
    <w:rsid w:val="003521E2"/>
    <w:rsid w:val="0035304E"/>
    <w:rsid w:val="00353364"/>
    <w:rsid w:val="00354318"/>
    <w:rsid w:val="00354710"/>
    <w:rsid w:val="00354717"/>
    <w:rsid w:val="00355942"/>
    <w:rsid w:val="00356AF6"/>
    <w:rsid w:val="00356BC4"/>
    <w:rsid w:val="003572DF"/>
    <w:rsid w:val="00357639"/>
    <w:rsid w:val="00357724"/>
    <w:rsid w:val="00357986"/>
    <w:rsid w:val="00360814"/>
    <w:rsid w:val="00360B62"/>
    <w:rsid w:val="00361591"/>
    <w:rsid w:val="0036222D"/>
    <w:rsid w:val="0036277A"/>
    <w:rsid w:val="0036286E"/>
    <w:rsid w:val="00363782"/>
    <w:rsid w:val="00363E2C"/>
    <w:rsid w:val="00363FD4"/>
    <w:rsid w:val="003641BA"/>
    <w:rsid w:val="0036450A"/>
    <w:rsid w:val="00364AC8"/>
    <w:rsid w:val="003653CD"/>
    <w:rsid w:val="00365ED1"/>
    <w:rsid w:val="0036603C"/>
    <w:rsid w:val="003665B3"/>
    <w:rsid w:val="00366CB7"/>
    <w:rsid w:val="00370907"/>
    <w:rsid w:val="00371577"/>
    <w:rsid w:val="00371ACD"/>
    <w:rsid w:val="0037348A"/>
    <w:rsid w:val="003736E3"/>
    <w:rsid w:val="003737A3"/>
    <w:rsid w:val="00373D3D"/>
    <w:rsid w:val="00375A33"/>
    <w:rsid w:val="00375D6E"/>
    <w:rsid w:val="00376738"/>
    <w:rsid w:val="00376C25"/>
    <w:rsid w:val="00376EB4"/>
    <w:rsid w:val="00377072"/>
    <w:rsid w:val="00377364"/>
    <w:rsid w:val="00377948"/>
    <w:rsid w:val="00377ADB"/>
    <w:rsid w:val="0038003B"/>
    <w:rsid w:val="003800C4"/>
    <w:rsid w:val="0038056C"/>
    <w:rsid w:val="00381A0E"/>
    <w:rsid w:val="00381FBC"/>
    <w:rsid w:val="00383155"/>
    <w:rsid w:val="003831DC"/>
    <w:rsid w:val="0038397D"/>
    <w:rsid w:val="00384052"/>
    <w:rsid w:val="00384683"/>
    <w:rsid w:val="003849E4"/>
    <w:rsid w:val="00384FFC"/>
    <w:rsid w:val="00385677"/>
    <w:rsid w:val="00385B9C"/>
    <w:rsid w:val="00385E19"/>
    <w:rsid w:val="00385F5E"/>
    <w:rsid w:val="003866CD"/>
    <w:rsid w:val="00386EF7"/>
    <w:rsid w:val="003906BB"/>
    <w:rsid w:val="00390FA2"/>
    <w:rsid w:val="0039220A"/>
    <w:rsid w:val="0039252C"/>
    <w:rsid w:val="003927AE"/>
    <w:rsid w:val="00393AC0"/>
    <w:rsid w:val="00393D15"/>
    <w:rsid w:val="003941AB"/>
    <w:rsid w:val="00394341"/>
    <w:rsid w:val="003943C9"/>
    <w:rsid w:val="003947D3"/>
    <w:rsid w:val="00395783"/>
    <w:rsid w:val="00395871"/>
    <w:rsid w:val="00396554"/>
    <w:rsid w:val="00396CB1"/>
    <w:rsid w:val="0039791D"/>
    <w:rsid w:val="003A086B"/>
    <w:rsid w:val="003A09A2"/>
    <w:rsid w:val="003A0ED6"/>
    <w:rsid w:val="003A10F1"/>
    <w:rsid w:val="003A1EEC"/>
    <w:rsid w:val="003A259B"/>
    <w:rsid w:val="003A2CC5"/>
    <w:rsid w:val="003A2EDB"/>
    <w:rsid w:val="003A37E8"/>
    <w:rsid w:val="003A3CF8"/>
    <w:rsid w:val="003A3F16"/>
    <w:rsid w:val="003A4F2F"/>
    <w:rsid w:val="003A5409"/>
    <w:rsid w:val="003A55FA"/>
    <w:rsid w:val="003A5953"/>
    <w:rsid w:val="003A6192"/>
    <w:rsid w:val="003A65AA"/>
    <w:rsid w:val="003A783B"/>
    <w:rsid w:val="003A7BD5"/>
    <w:rsid w:val="003A7C37"/>
    <w:rsid w:val="003A7E84"/>
    <w:rsid w:val="003A7EAD"/>
    <w:rsid w:val="003B020F"/>
    <w:rsid w:val="003B021B"/>
    <w:rsid w:val="003B1306"/>
    <w:rsid w:val="003B135D"/>
    <w:rsid w:val="003B14E8"/>
    <w:rsid w:val="003B185F"/>
    <w:rsid w:val="003B2122"/>
    <w:rsid w:val="003B2EE0"/>
    <w:rsid w:val="003B4013"/>
    <w:rsid w:val="003B44FE"/>
    <w:rsid w:val="003B4F57"/>
    <w:rsid w:val="003B5560"/>
    <w:rsid w:val="003B585F"/>
    <w:rsid w:val="003B5CED"/>
    <w:rsid w:val="003B5D52"/>
    <w:rsid w:val="003B5E34"/>
    <w:rsid w:val="003B67C0"/>
    <w:rsid w:val="003B6AC2"/>
    <w:rsid w:val="003B7091"/>
    <w:rsid w:val="003B7983"/>
    <w:rsid w:val="003B79EF"/>
    <w:rsid w:val="003C0CDF"/>
    <w:rsid w:val="003C1D10"/>
    <w:rsid w:val="003C22A9"/>
    <w:rsid w:val="003C23E4"/>
    <w:rsid w:val="003C24D6"/>
    <w:rsid w:val="003C25E4"/>
    <w:rsid w:val="003C26B6"/>
    <w:rsid w:val="003C2A66"/>
    <w:rsid w:val="003C2F20"/>
    <w:rsid w:val="003C33B0"/>
    <w:rsid w:val="003C43CC"/>
    <w:rsid w:val="003C472E"/>
    <w:rsid w:val="003C4947"/>
    <w:rsid w:val="003C4C20"/>
    <w:rsid w:val="003C4E65"/>
    <w:rsid w:val="003C4FFD"/>
    <w:rsid w:val="003C5922"/>
    <w:rsid w:val="003C5DBB"/>
    <w:rsid w:val="003C6FCA"/>
    <w:rsid w:val="003D0A9B"/>
    <w:rsid w:val="003D0DE2"/>
    <w:rsid w:val="003D0F20"/>
    <w:rsid w:val="003D3558"/>
    <w:rsid w:val="003D434A"/>
    <w:rsid w:val="003D45F6"/>
    <w:rsid w:val="003D48D2"/>
    <w:rsid w:val="003D4E11"/>
    <w:rsid w:val="003D55F5"/>
    <w:rsid w:val="003D596C"/>
    <w:rsid w:val="003D5B34"/>
    <w:rsid w:val="003D63A6"/>
    <w:rsid w:val="003D712A"/>
    <w:rsid w:val="003D737A"/>
    <w:rsid w:val="003D7BFF"/>
    <w:rsid w:val="003D7ED0"/>
    <w:rsid w:val="003D7FDB"/>
    <w:rsid w:val="003E009C"/>
    <w:rsid w:val="003E02D7"/>
    <w:rsid w:val="003E06FF"/>
    <w:rsid w:val="003E1171"/>
    <w:rsid w:val="003E126A"/>
    <w:rsid w:val="003E1621"/>
    <w:rsid w:val="003E17E2"/>
    <w:rsid w:val="003E23D0"/>
    <w:rsid w:val="003E2C76"/>
    <w:rsid w:val="003E44F0"/>
    <w:rsid w:val="003E5001"/>
    <w:rsid w:val="003E56DB"/>
    <w:rsid w:val="003E5A2C"/>
    <w:rsid w:val="003E5FAA"/>
    <w:rsid w:val="003E5FBA"/>
    <w:rsid w:val="003E686C"/>
    <w:rsid w:val="003E7410"/>
    <w:rsid w:val="003F00FF"/>
    <w:rsid w:val="003F0220"/>
    <w:rsid w:val="003F0F2B"/>
    <w:rsid w:val="003F0F99"/>
    <w:rsid w:val="003F2158"/>
    <w:rsid w:val="003F2560"/>
    <w:rsid w:val="003F2609"/>
    <w:rsid w:val="003F26FF"/>
    <w:rsid w:val="003F33FE"/>
    <w:rsid w:val="003F3593"/>
    <w:rsid w:val="003F3A41"/>
    <w:rsid w:val="003F3C1F"/>
    <w:rsid w:val="003F4006"/>
    <w:rsid w:val="003F462D"/>
    <w:rsid w:val="003F60BB"/>
    <w:rsid w:val="003F6163"/>
    <w:rsid w:val="003F62F3"/>
    <w:rsid w:val="003F6431"/>
    <w:rsid w:val="003F6DD8"/>
    <w:rsid w:val="003F7578"/>
    <w:rsid w:val="0040028D"/>
    <w:rsid w:val="004002C5"/>
    <w:rsid w:val="00400553"/>
    <w:rsid w:val="0040109F"/>
    <w:rsid w:val="004011BD"/>
    <w:rsid w:val="0040195D"/>
    <w:rsid w:val="00401A7F"/>
    <w:rsid w:val="00401AA8"/>
    <w:rsid w:val="00401E2B"/>
    <w:rsid w:val="004020B0"/>
    <w:rsid w:val="0040261A"/>
    <w:rsid w:val="004035C8"/>
    <w:rsid w:val="00403631"/>
    <w:rsid w:val="004037CC"/>
    <w:rsid w:val="00403F63"/>
    <w:rsid w:val="00404F7A"/>
    <w:rsid w:val="00405CDF"/>
    <w:rsid w:val="004064BD"/>
    <w:rsid w:val="0040656D"/>
    <w:rsid w:val="004065B1"/>
    <w:rsid w:val="0040670E"/>
    <w:rsid w:val="00406AA2"/>
    <w:rsid w:val="004072FF"/>
    <w:rsid w:val="004074C0"/>
    <w:rsid w:val="00407863"/>
    <w:rsid w:val="0041033E"/>
    <w:rsid w:val="004109D0"/>
    <w:rsid w:val="00410A8B"/>
    <w:rsid w:val="00411333"/>
    <w:rsid w:val="00411B4A"/>
    <w:rsid w:val="00411C53"/>
    <w:rsid w:val="004127DF"/>
    <w:rsid w:val="004141CC"/>
    <w:rsid w:val="00416D99"/>
    <w:rsid w:val="00420354"/>
    <w:rsid w:val="00420365"/>
    <w:rsid w:val="00420873"/>
    <w:rsid w:val="00420943"/>
    <w:rsid w:val="00421133"/>
    <w:rsid w:val="0042147A"/>
    <w:rsid w:val="004217BA"/>
    <w:rsid w:val="004225E0"/>
    <w:rsid w:val="004226DB"/>
    <w:rsid w:val="00423CC9"/>
    <w:rsid w:val="00423F03"/>
    <w:rsid w:val="0042406C"/>
    <w:rsid w:val="0042469B"/>
    <w:rsid w:val="00424796"/>
    <w:rsid w:val="004252E9"/>
    <w:rsid w:val="004256F6"/>
    <w:rsid w:val="00425712"/>
    <w:rsid w:val="00425C6E"/>
    <w:rsid w:val="00425F42"/>
    <w:rsid w:val="004266BD"/>
    <w:rsid w:val="00426825"/>
    <w:rsid w:val="00426981"/>
    <w:rsid w:val="0042760D"/>
    <w:rsid w:val="004308E2"/>
    <w:rsid w:val="00431DB9"/>
    <w:rsid w:val="004322E0"/>
    <w:rsid w:val="00432A0A"/>
    <w:rsid w:val="004337B4"/>
    <w:rsid w:val="004340DD"/>
    <w:rsid w:val="00434CA6"/>
    <w:rsid w:val="00434F93"/>
    <w:rsid w:val="00435B56"/>
    <w:rsid w:val="00435E6F"/>
    <w:rsid w:val="00436151"/>
    <w:rsid w:val="00437147"/>
    <w:rsid w:val="00437342"/>
    <w:rsid w:val="004376FF"/>
    <w:rsid w:val="00437F57"/>
    <w:rsid w:val="00437FFB"/>
    <w:rsid w:val="004401AD"/>
    <w:rsid w:val="00440EEC"/>
    <w:rsid w:val="0044152E"/>
    <w:rsid w:val="004418EE"/>
    <w:rsid w:val="00441EBE"/>
    <w:rsid w:val="0044223A"/>
    <w:rsid w:val="0044264D"/>
    <w:rsid w:val="004427A1"/>
    <w:rsid w:val="00442A9F"/>
    <w:rsid w:val="00442CE0"/>
    <w:rsid w:val="004436FA"/>
    <w:rsid w:val="00443AFE"/>
    <w:rsid w:val="00445306"/>
    <w:rsid w:val="00445CAC"/>
    <w:rsid w:val="0044603A"/>
    <w:rsid w:val="00446210"/>
    <w:rsid w:val="00446CA1"/>
    <w:rsid w:val="00446DD8"/>
    <w:rsid w:val="004478C8"/>
    <w:rsid w:val="004502E8"/>
    <w:rsid w:val="004509BC"/>
    <w:rsid w:val="0045124F"/>
    <w:rsid w:val="00451278"/>
    <w:rsid w:val="00451717"/>
    <w:rsid w:val="00451B0F"/>
    <w:rsid w:val="00451CB7"/>
    <w:rsid w:val="00452541"/>
    <w:rsid w:val="004528BE"/>
    <w:rsid w:val="00452CBD"/>
    <w:rsid w:val="004533B8"/>
    <w:rsid w:val="00453529"/>
    <w:rsid w:val="00453688"/>
    <w:rsid w:val="00453FD0"/>
    <w:rsid w:val="00454C47"/>
    <w:rsid w:val="00455067"/>
    <w:rsid w:val="00455178"/>
    <w:rsid w:val="00455222"/>
    <w:rsid w:val="00455976"/>
    <w:rsid w:val="00455993"/>
    <w:rsid w:val="00456A8D"/>
    <w:rsid w:val="00457181"/>
    <w:rsid w:val="0045791A"/>
    <w:rsid w:val="00460851"/>
    <w:rsid w:val="00460FCC"/>
    <w:rsid w:val="004615B7"/>
    <w:rsid w:val="00461CAE"/>
    <w:rsid w:val="00461E22"/>
    <w:rsid w:val="00462431"/>
    <w:rsid w:val="00462A3C"/>
    <w:rsid w:val="00462B63"/>
    <w:rsid w:val="004630D3"/>
    <w:rsid w:val="004631AB"/>
    <w:rsid w:val="00463482"/>
    <w:rsid w:val="004636F6"/>
    <w:rsid w:val="00464B32"/>
    <w:rsid w:val="00465382"/>
    <w:rsid w:val="00465BF0"/>
    <w:rsid w:val="00465FE9"/>
    <w:rsid w:val="0046615A"/>
    <w:rsid w:val="00466341"/>
    <w:rsid w:val="00466904"/>
    <w:rsid w:val="00466FDA"/>
    <w:rsid w:val="0046776A"/>
    <w:rsid w:val="00470EAA"/>
    <w:rsid w:val="0047161E"/>
    <w:rsid w:val="004717DE"/>
    <w:rsid w:val="00471B80"/>
    <w:rsid w:val="00472335"/>
    <w:rsid w:val="0047248F"/>
    <w:rsid w:val="004726F2"/>
    <w:rsid w:val="00472BDD"/>
    <w:rsid w:val="00472FA9"/>
    <w:rsid w:val="0047317E"/>
    <w:rsid w:val="004737F0"/>
    <w:rsid w:val="004739D9"/>
    <w:rsid w:val="004742B3"/>
    <w:rsid w:val="00474D1E"/>
    <w:rsid w:val="00474E4E"/>
    <w:rsid w:val="00475180"/>
    <w:rsid w:val="00475DB3"/>
    <w:rsid w:val="00475F39"/>
    <w:rsid w:val="00476261"/>
    <w:rsid w:val="0047683B"/>
    <w:rsid w:val="00477737"/>
    <w:rsid w:val="00477808"/>
    <w:rsid w:val="00477AE4"/>
    <w:rsid w:val="00480023"/>
    <w:rsid w:val="0048021D"/>
    <w:rsid w:val="0048070C"/>
    <w:rsid w:val="00480F4C"/>
    <w:rsid w:val="00481511"/>
    <w:rsid w:val="00481A0A"/>
    <w:rsid w:val="004820C4"/>
    <w:rsid w:val="004823B9"/>
    <w:rsid w:val="00482416"/>
    <w:rsid w:val="0048268A"/>
    <w:rsid w:val="004829B9"/>
    <w:rsid w:val="00482EF2"/>
    <w:rsid w:val="004836C6"/>
    <w:rsid w:val="00484294"/>
    <w:rsid w:val="00485216"/>
    <w:rsid w:val="004854BB"/>
    <w:rsid w:val="004856B2"/>
    <w:rsid w:val="00485712"/>
    <w:rsid w:val="0048630B"/>
    <w:rsid w:val="004863D8"/>
    <w:rsid w:val="0048659C"/>
    <w:rsid w:val="00486667"/>
    <w:rsid w:val="004869C5"/>
    <w:rsid w:val="00486A7E"/>
    <w:rsid w:val="004871C5"/>
    <w:rsid w:val="004901FD"/>
    <w:rsid w:val="004902FC"/>
    <w:rsid w:val="0049143D"/>
    <w:rsid w:val="00491D7B"/>
    <w:rsid w:val="00492052"/>
    <w:rsid w:val="00492307"/>
    <w:rsid w:val="00492CAA"/>
    <w:rsid w:val="00493081"/>
    <w:rsid w:val="00493377"/>
    <w:rsid w:val="00493479"/>
    <w:rsid w:val="00493C48"/>
    <w:rsid w:val="00493F3C"/>
    <w:rsid w:val="00493FBD"/>
    <w:rsid w:val="004948FF"/>
    <w:rsid w:val="00494E50"/>
    <w:rsid w:val="00495857"/>
    <w:rsid w:val="0049632B"/>
    <w:rsid w:val="00496AC0"/>
    <w:rsid w:val="00497C4C"/>
    <w:rsid w:val="00497D9B"/>
    <w:rsid w:val="004A0223"/>
    <w:rsid w:val="004A108E"/>
    <w:rsid w:val="004A184F"/>
    <w:rsid w:val="004A1B1F"/>
    <w:rsid w:val="004A1BAE"/>
    <w:rsid w:val="004A2427"/>
    <w:rsid w:val="004A2652"/>
    <w:rsid w:val="004A282F"/>
    <w:rsid w:val="004A32E2"/>
    <w:rsid w:val="004A37F5"/>
    <w:rsid w:val="004A3E4B"/>
    <w:rsid w:val="004A4D87"/>
    <w:rsid w:val="004A5187"/>
    <w:rsid w:val="004A5434"/>
    <w:rsid w:val="004A56B1"/>
    <w:rsid w:val="004A5883"/>
    <w:rsid w:val="004A61AF"/>
    <w:rsid w:val="004A75D6"/>
    <w:rsid w:val="004A7E18"/>
    <w:rsid w:val="004B03E8"/>
    <w:rsid w:val="004B04C5"/>
    <w:rsid w:val="004B0765"/>
    <w:rsid w:val="004B0E0B"/>
    <w:rsid w:val="004B106B"/>
    <w:rsid w:val="004B1D3F"/>
    <w:rsid w:val="004B2BE1"/>
    <w:rsid w:val="004B2C50"/>
    <w:rsid w:val="004B2DC6"/>
    <w:rsid w:val="004B3897"/>
    <w:rsid w:val="004B3FC4"/>
    <w:rsid w:val="004B48A2"/>
    <w:rsid w:val="004B4E54"/>
    <w:rsid w:val="004B5174"/>
    <w:rsid w:val="004B5661"/>
    <w:rsid w:val="004B58E6"/>
    <w:rsid w:val="004B6431"/>
    <w:rsid w:val="004B6C3E"/>
    <w:rsid w:val="004B72F4"/>
    <w:rsid w:val="004B739B"/>
    <w:rsid w:val="004B75D2"/>
    <w:rsid w:val="004B75E8"/>
    <w:rsid w:val="004C0029"/>
    <w:rsid w:val="004C015D"/>
    <w:rsid w:val="004C0A7C"/>
    <w:rsid w:val="004C0D1D"/>
    <w:rsid w:val="004C13C1"/>
    <w:rsid w:val="004C1613"/>
    <w:rsid w:val="004C1DB4"/>
    <w:rsid w:val="004C1F95"/>
    <w:rsid w:val="004C2353"/>
    <w:rsid w:val="004C23D6"/>
    <w:rsid w:val="004C281A"/>
    <w:rsid w:val="004C2B33"/>
    <w:rsid w:val="004C3AD8"/>
    <w:rsid w:val="004C3F7C"/>
    <w:rsid w:val="004C409E"/>
    <w:rsid w:val="004C58DC"/>
    <w:rsid w:val="004C59FF"/>
    <w:rsid w:val="004C5C22"/>
    <w:rsid w:val="004C617C"/>
    <w:rsid w:val="004C61E5"/>
    <w:rsid w:val="004C7104"/>
    <w:rsid w:val="004C780E"/>
    <w:rsid w:val="004C7CAE"/>
    <w:rsid w:val="004D000A"/>
    <w:rsid w:val="004D02D9"/>
    <w:rsid w:val="004D091E"/>
    <w:rsid w:val="004D178D"/>
    <w:rsid w:val="004D1EF7"/>
    <w:rsid w:val="004D1F52"/>
    <w:rsid w:val="004D268F"/>
    <w:rsid w:val="004D34E3"/>
    <w:rsid w:val="004D37EA"/>
    <w:rsid w:val="004D3EAA"/>
    <w:rsid w:val="004D43B1"/>
    <w:rsid w:val="004D451A"/>
    <w:rsid w:val="004D4829"/>
    <w:rsid w:val="004D4D97"/>
    <w:rsid w:val="004D50DA"/>
    <w:rsid w:val="004D5158"/>
    <w:rsid w:val="004D5539"/>
    <w:rsid w:val="004D557E"/>
    <w:rsid w:val="004D59C3"/>
    <w:rsid w:val="004D7A5E"/>
    <w:rsid w:val="004D7C56"/>
    <w:rsid w:val="004E050F"/>
    <w:rsid w:val="004E0619"/>
    <w:rsid w:val="004E070B"/>
    <w:rsid w:val="004E092B"/>
    <w:rsid w:val="004E0F36"/>
    <w:rsid w:val="004E17DF"/>
    <w:rsid w:val="004E192E"/>
    <w:rsid w:val="004E1B82"/>
    <w:rsid w:val="004E295E"/>
    <w:rsid w:val="004E2E07"/>
    <w:rsid w:val="004E30F2"/>
    <w:rsid w:val="004E3373"/>
    <w:rsid w:val="004E3A6B"/>
    <w:rsid w:val="004E3CC9"/>
    <w:rsid w:val="004E4298"/>
    <w:rsid w:val="004E46D6"/>
    <w:rsid w:val="004E49CD"/>
    <w:rsid w:val="004E4C0E"/>
    <w:rsid w:val="004E4EF4"/>
    <w:rsid w:val="004E50A5"/>
    <w:rsid w:val="004E56D6"/>
    <w:rsid w:val="004E62CD"/>
    <w:rsid w:val="004E69BF"/>
    <w:rsid w:val="004E6E36"/>
    <w:rsid w:val="004E7F7B"/>
    <w:rsid w:val="004F07DC"/>
    <w:rsid w:val="004F157C"/>
    <w:rsid w:val="004F1AD9"/>
    <w:rsid w:val="004F1E3F"/>
    <w:rsid w:val="004F3067"/>
    <w:rsid w:val="004F3D4F"/>
    <w:rsid w:val="004F46E9"/>
    <w:rsid w:val="004F4A2F"/>
    <w:rsid w:val="004F5084"/>
    <w:rsid w:val="004F50C5"/>
    <w:rsid w:val="004F54ED"/>
    <w:rsid w:val="004F5844"/>
    <w:rsid w:val="004F5CD2"/>
    <w:rsid w:val="004F6630"/>
    <w:rsid w:val="004F6B20"/>
    <w:rsid w:val="004F6B6B"/>
    <w:rsid w:val="004F713F"/>
    <w:rsid w:val="004F72B7"/>
    <w:rsid w:val="004F7E47"/>
    <w:rsid w:val="00500A2F"/>
    <w:rsid w:val="005026FD"/>
    <w:rsid w:val="005032DA"/>
    <w:rsid w:val="005032E0"/>
    <w:rsid w:val="00504163"/>
    <w:rsid w:val="00504285"/>
    <w:rsid w:val="00504781"/>
    <w:rsid w:val="005049C3"/>
    <w:rsid w:val="00504B5B"/>
    <w:rsid w:val="00504E5E"/>
    <w:rsid w:val="00505813"/>
    <w:rsid w:val="0050595A"/>
    <w:rsid w:val="00506350"/>
    <w:rsid w:val="00507508"/>
    <w:rsid w:val="00507FCD"/>
    <w:rsid w:val="00510428"/>
    <w:rsid w:val="00510DF6"/>
    <w:rsid w:val="0051187C"/>
    <w:rsid w:val="00511A12"/>
    <w:rsid w:val="00511B19"/>
    <w:rsid w:val="00512FD2"/>
    <w:rsid w:val="005131BB"/>
    <w:rsid w:val="005151E5"/>
    <w:rsid w:val="00515701"/>
    <w:rsid w:val="005157E3"/>
    <w:rsid w:val="005171E1"/>
    <w:rsid w:val="00517377"/>
    <w:rsid w:val="005173A7"/>
    <w:rsid w:val="005176A1"/>
    <w:rsid w:val="00517DE2"/>
    <w:rsid w:val="00520202"/>
    <w:rsid w:val="0052071C"/>
    <w:rsid w:val="00520D87"/>
    <w:rsid w:val="005212DB"/>
    <w:rsid w:val="00521411"/>
    <w:rsid w:val="00521C62"/>
    <w:rsid w:val="00521D80"/>
    <w:rsid w:val="00521DCF"/>
    <w:rsid w:val="00522539"/>
    <w:rsid w:val="00522BC6"/>
    <w:rsid w:val="005233F4"/>
    <w:rsid w:val="00523CAB"/>
    <w:rsid w:val="00523F4F"/>
    <w:rsid w:val="00524F4D"/>
    <w:rsid w:val="005253DF"/>
    <w:rsid w:val="00526567"/>
    <w:rsid w:val="00526A90"/>
    <w:rsid w:val="00526C34"/>
    <w:rsid w:val="00526E73"/>
    <w:rsid w:val="00527426"/>
    <w:rsid w:val="005301FA"/>
    <w:rsid w:val="00530749"/>
    <w:rsid w:val="005318FC"/>
    <w:rsid w:val="005319D9"/>
    <w:rsid w:val="00532374"/>
    <w:rsid w:val="0053356A"/>
    <w:rsid w:val="00533B0A"/>
    <w:rsid w:val="00533E29"/>
    <w:rsid w:val="00533F7A"/>
    <w:rsid w:val="00534037"/>
    <w:rsid w:val="00534710"/>
    <w:rsid w:val="005351F4"/>
    <w:rsid w:val="00535410"/>
    <w:rsid w:val="005365E6"/>
    <w:rsid w:val="00537051"/>
    <w:rsid w:val="00537D42"/>
    <w:rsid w:val="00540000"/>
    <w:rsid w:val="005409B5"/>
    <w:rsid w:val="00540AAD"/>
    <w:rsid w:val="00542154"/>
    <w:rsid w:val="0054274D"/>
    <w:rsid w:val="0054309F"/>
    <w:rsid w:val="005430CC"/>
    <w:rsid w:val="00543638"/>
    <w:rsid w:val="00543A51"/>
    <w:rsid w:val="00543AD3"/>
    <w:rsid w:val="00544012"/>
    <w:rsid w:val="0054429B"/>
    <w:rsid w:val="005449C0"/>
    <w:rsid w:val="00544D2E"/>
    <w:rsid w:val="00544EDB"/>
    <w:rsid w:val="00545227"/>
    <w:rsid w:val="00545DDF"/>
    <w:rsid w:val="00545FD5"/>
    <w:rsid w:val="005461F8"/>
    <w:rsid w:val="005463BB"/>
    <w:rsid w:val="005466B3"/>
    <w:rsid w:val="00546962"/>
    <w:rsid w:val="005475C2"/>
    <w:rsid w:val="0054766F"/>
    <w:rsid w:val="00547A5C"/>
    <w:rsid w:val="00547B70"/>
    <w:rsid w:val="00550D42"/>
    <w:rsid w:val="005512F7"/>
    <w:rsid w:val="00552238"/>
    <w:rsid w:val="00552511"/>
    <w:rsid w:val="005527F5"/>
    <w:rsid w:val="00552856"/>
    <w:rsid w:val="00552B7B"/>
    <w:rsid w:val="00552C86"/>
    <w:rsid w:val="00552EB8"/>
    <w:rsid w:val="00553120"/>
    <w:rsid w:val="0055398E"/>
    <w:rsid w:val="00554243"/>
    <w:rsid w:val="0055426D"/>
    <w:rsid w:val="005544B6"/>
    <w:rsid w:val="00554F61"/>
    <w:rsid w:val="00555301"/>
    <w:rsid w:val="005554A3"/>
    <w:rsid w:val="005559E2"/>
    <w:rsid w:val="00555B04"/>
    <w:rsid w:val="00555F22"/>
    <w:rsid w:val="00556D51"/>
    <w:rsid w:val="0055720D"/>
    <w:rsid w:val="0055747C"/>
    <w:rsid w:val="0055766C"/>
    <w:rsid w:val="00560583"/>
    <w:rsid w:val="0056092E"/>
    <w:rsid w:val="005612CE"/>
    <w:rsid w:val="00562CD3"/>
    <w:rsid w:val="0056310C"/>
    <w:rsid w:val="00563195"/>
    <w:rsid w:val="00563BD7"/>
    <w:rsid w:val="005641BA"/>
    <w:rsid w:val="00564CB5"/>
    <w:rsid w:val="00565031"/>
    <w:rsid w:val="005652A9"/>
    <w:rsid w:val="00565E65"/>
    <w:rsid w:val="00566461"/>
    <w:rsid w:val="0056675F"/>
    <w:rsid w:val="00567991"/>
    <w:rsid w:val="00567ED2"/>
    <w:rsid w:val="00570465"/>
    <w:rsid w:val="0057164B"/>
    <w:rsid w:val="005721F5"/>
    <w:rsid w:val="00572690"/>
    <w:rsid w:val="00572938"/>
    <w:rsid w:val="005733C8"/>
    <w:rsid w:val="005736C3"/>
    <w:rsid w:val="0057377F"/>
    <w:rsid w:val="00573B77"/>
    <w:rsid w:val="00573C71"/>
    <w:rsid w:val="00573FC2"/>
    <w:rsid w:val="0057462A"/>
    <w:rsid w:val="00574C14"/>
    <w:rsid w:val="005757A4"/>
    <w:rsid w:val="0057581B"/>
    <w:rsid w:val="005759E1"/>
    <w:rsid w:val="00575B08"/>
    <w:rsid w:val="00575BFA"/>
    <w:rsid w:val="005767E8"/>
    <w:rsid w:val="005767F6"/>
    <w:rsid w:val="0057698D"/>
    <w:rsid w:val="00576F7F"/>
    <w:rsid w:val="005771EF"/>
    <w:rsid w:val="00577788"/>
    <w:rsid w:val="005779CE"/>
    <w:rsid w:val="00577A0B"/>
    <w:rsid w:val="00580623"/>
    <w:rsid w:val="00580912"/>
    <w:rsid w:val="00580E19"/>
    <w:rsid w:val="00580F24"/>
    <w:rsid w:val="00581017"/>
    <w:rsid w:val="00581666"/>
    <w:rsid w:val="005818E3"/>
    <w:rsid w:val="00581D64"/>
    <w:rsid w:val="00581D89"/>
    <w:rsid w:val="00581D9B"/>
    <w:rsid w:val="00581FAD"/>
    <w:rsid w:val="00582102"/>
    <w:rsid w:val="00583248"/>
    <w:rsid w:val="00583732"/>
    <w:rsid w:val="00583BAA"/>
    <w:rsid w:val="00584602"/>
    <w:rsid w:val="00584A9E"/>
    <w:rsid w:val="00584A9F"/>
    <w:rsid w:val="00584E76"/>
    <w:rsid w:val="0058508F"/>
    <w:rsid w:val="00585452"/>
    <w:rsid w:val="005864FD"/>
    <w:rsid w:val="00586639"/>
    <w:rsid w:val="005872BB"/>
    <w:rsid w:val="00587385"/>
    <w:rsid w:val="00590377"/>
    <w:rsid w:val="0059057C"/>
    <w:rsid w:val="00590D14"/>
    <w:rsid w:val="00590E7E"/>
    <w:rsid w:val="00590EB2"/>
    <w:rsid w:val="00591A27"/>
    <w:rsid w:val="0059262C"/>
    <w:rsid w:val="00592A32"/>
    <w:rsid w:val="00592FE6"/>
    <w:rsid w:val="0059380B"/>
    <w:rsid w:val="00593887"/>
    <w:rsid w:val="00593D61"/>
    <w:rsid w:val="00593ECC"/>
    <w:rsid w:val="00593FBA"/>
    <w:rsid w:val="005955A2"/>
    <w:rsid w:val="00595EC1"/>
    <w:rsid w:val="00596450"/>
    <w:rsid w:val="0059674A"/>
    <w:rsid w:val="00597421"/>
    <w:rsid w:val="005975C4"/>
    <w:rsid w:val="0059769A"/>
    <w:rsid w:val="005A00E5"/>
    <w:rsid w:val="005A0483"/>
    <w:rsid w:val="005A071A"/>
    <w:rsid w:val="005A0AAF"/>
    <w:rsid w:val="005A14F3"/>
    <w:rsid w:val="005A1B33"/>
    <w:rsid w:val="005A2716"/>
    <w:rsid w:val="005A2C65"/>
    <w:rsid w:val="005A31CA"/>
    <w:rsid w:val="005A3222"/>
    <w:rsid w:val="005A36EF"/>
    <w:rsid w:val="005A52BA"/>
    <w:rsid w:val="005A540E"/>
    <w:rsid w:val="005A604B"/>
    <w:rsid w:val="005A64D7"/>
    <w:rsid w:val="005A6A84"/>
    <w:rsid w:val="005A6DAC"/>
    <w:rsid w:val="005A6FA2"/>
    <w:rsid w:val="005A720A"/>
    <w:rsid w:val="005A7730"/>
    <w:rsid w:val="005A7890"/>
    <w:rsid w:val="005A7A47"/>
    <w:rsid w:val="005B04E9"/>
    <w:rsid w:val="005B0928"/>
    <w:rsid w:val="005B09D8"/>
    <w:rsid w:val="005B0B7C"/>
    <w:rsid w:val="005B0BC7"/>
    <w:rsid w:val="005B1972"/>
    <w:rsid w:val="005B1BE4"/>
    <w:rsid w:val="005B1FFB"/>
    <w:rsid w:val="005B24E3"/>
    <w:rsid w:val="005B2BB5"/>
    <w:rsid w:val="005B3116"/>
    <w:rsid w:val="005B35E0"/>
    <w:rsid w:val="005B3678"/>
    <w:rsid w:val="005B3B54"/>
    <w:rsid w:val="005B3FC1"/>
    <w:rsid w:val="005B4410"/>
    <w:rsid w:val="005B4428"/>
    <w:rsid w:val="005B4489"/>
    <w:rsid w:val="005B4560"/>
    <w:rsid w:val="005B45AB"/>
    <w:rsid w:val="005B4678"/>
    <w:rsid w:val="005B4F88"/>
    <w:rsid w:val="005B55B2"/>
    <w:rsid w:val="005B5784"/>
    <w:rsid w:val="005B5A07"/>
    <w:rsid w:val="005B5F04"/>
    <w:rsid w:val="005B5F6F"/>
    <w:rsid w:val="005B6991"/>
    <w:rsid w:val="005B7EC9"/>
    <w:rsid w:val="005C09BC"/>
    <w:rsid w:val="005C159D"/>
    <w:rsid w:val="005C1F30"/>
    <w:rsid w:val="005C20BC"/>
    <w:rsid w:val="005C2145"/>
    <w:rsid w:val="005C22CC"/>
    <w:rsid w:val="005C2B14"/>
    <w:rsid w:val="005C2E40"/>
    <w:rsid w:val="005C35E5"/>
    <w:rsid w:val="005C36AD"/>
    <w:rsid w:val="005C3B80"/>
    <w:rsid w:val="005C3E6E"/>
    <w:rsid w:val="005C4139"/>
    <w:rsid w:val="005C4709"/>
    <w:rsid w:val="005C4769"/>
    <w:rsid w:val="005C4A4C"/>
    <w:rsid w:val="005C5805"/>
    <w:rsid w:val="005C5B9A"/>
    <w:rsid w:val="005C5CC1"/>
    <w:rsid w:val="005C62A5"/>
    <w:rsid w:val="005C66CE"/>
    <w:rsid w:val="005C673E"/>
    <w:rsid w:val="005C6EDD"/>
    <w:rsid w:val="005C77FD"/>
    <w:rsid w:val="005C7F36"/>
    <w:rsid w:val="005D0561"/>
    <w:rsid w:val="005D05CC"/>
    <w:rsid w:val="005D07CD"/>
    <w:rsid w:val="005D0DB4"/>
    <w:rsid w:val="005D1263"/>
    <w:rsid w:val="005D1499"/>
    <w:rsid w:val="005D18C2"/>
    <w:rsid w:val="005D2822"/>
    <w:rsid w:val="005D2AD2"/>
    <w:rsid w:val="005D30F6"/>
    <w:rsid w:val="005D3512"/>
    <w:rsid w:val="005D4257"/>
    <w:rsid w:val="005D4720"/>
    <w:rsid w:val="005D4737"/>
    <w:rsid w:val="005D53DF"/>
    <w:rsid w:val="005D5643"/>
    <w:rsid w:val="005D5A0C"/>
    <w:rsid w:val="005D6F1C"/>
    <w:rsid w:val="005D7159"/>
    <w:rsid w:val="005D739B"/>
    <w:rsid w:val="005D7488"/>
    <w:rsid w:val="005E07AA"/>
    <w:rsid w:val="005E07ED"/>
    <w:rsid w:val="005E0A62"/>
    <w:rsid w:val="005E12A5"/>
    <w:rsid w:val="005E16D0"/>
    <w:rsid w:val="005E1DC1"/>
    <w:rsid w:val="005E2D3A"/>
    <w:rsid w:val="005E2D60"/>
    <w:rsid w:val="005E31B3"/>
    <w:rsid w:val="005E38A6"/>
    <w:rsid w:val="005E5082"/>
    <w:rsid w:val="005E5C17"/>
    <w:rsid w:val="005E6189"/>
    <w:rsid w:val="005E646C"/>
    <w:rsid w:val="005E6718"/>
    <w:rsid w:val="005E678C"/>
    <w:rsid w:val="005E70CB"/>
    <w:rsid w:val="005E75AE"/>
    <w:rsid w:val="005F0786"/>
    <w:rsid w:val="005F135B"/>
    <w:rsid w:val="005F1D2F"/>
    <w:rsid w:val="005F2122"/>
    <w:rsid w:val="005F29CF"/>
    <w:rsid w:val="005F2CD0"/>
    <w:rsid w:val="005F3CB3"/>
    <w:rsid w:val="005F4850"/>
    <w:rsid w:val="005F4A71"/>
    <w:rsid w:val="005F527D"/>
    <w:rsid w:val="005F541B"/>
    <w:rsid w:val="005F5638"/>
    <w:rsid w:val="005F5C81"/>
    <w:rsid w:val="005F5FB5"/>
    <w:rsid w:val="005F642B"/>
    <w:rsid w:val="005F691D"/>
    <w:rsid w:val="005F6AB8"/>
    <w:rsid w:val="005F7648"/>
    <w:rsid w:val="005F7F2D"/>
    <w:rsid w:val="00600883"/>
    <w:rsid w:val="006019BE"/>
    <w:rsid w:val="00602036"/>
    <w:rsid w:val="0060289A"/>
    <w:rsid w:val="006028CF"/>
    <w:rsid w:val="00603470"/>
    <w:rsid w:val="006036D6"/>
    <w:rsid w:val="00604054"/>
    <w:rsid w:val="0060460A"/>
    <w:rsid w:val="00604CA5"/>
    <w:rsid w:val="00604D02"/>
    <w:rsid w:val="00604F3F"/>
    <w:rsid w:val="006053CE"/>
    <w:rsid w:val="006064F5"/>
    <w:rsid w:val="006074FF"/>
    <w:rsid w:val="00607806"/>
    <w:rsid w:val="00607C1F"/>
    <w:rsid w:val="0061001C"/>
    <w:rsid w:val="0061083E"/>
    <w:rsid w:val="006108E6"/>
    <w:rsid w:val="00610CCA"/>
    <w:rsid w:val="00610F8D"/>
    <w:rsid w:val="006116B2"/>
    <w:rsid w:val="00611FDB"/>
    <w:rsid w:val="00612248"/>
    <w:rsid w:val="00613898"/>
    <w:rsid w:val="006141DD"/>
    <w:rsid w:val="00614461"/>
    <w:rsid w:val="00614779"/>
    <w:rsid w:val="00614796"/>
    <w:rsid w:val="00614C0A"/>
    <w:rsid w:val="00614FC1"/>
    <w:rsid w:val="0061576E"/>
    <w:rsid w:val="00616091"/>
    <w:rsid w:val="00616931"/>
    <w:rsid w:val="00616CCA"/>
    <w:rsid w:val="006170A3"/>
    <w:rsid w:val="00617435"/>
    <w:rsid w:val="006174F2"/>
    <w:rsid w:val="00617D4E"/>
    <w:rsid w:val="006208B9"/>
    <w:rsid w:val="00620A2C"/>
    <w:rsid w:val="00620C0F"/>
    <w:rsid w:val="006214F4"/>
    <w:rsid w:val="0062244E"/>
    <w:rsid w:val="00623592"/>
    <w:rsid w:val="006238E0"/>
    <w:rsid w:val="00626DF5"/>
    <w:rsid w:val="00627856"/>
    <w:rsid w:val="00627CCC"/>
    <w:rsid w:val="00627D16"/>
    <w:rsid w:val="006302FF"/>
    <w:rsid w:val="006308E2"/>
    <w:rsid w:val="0063128E"/>
    <w:rsid w:val="006316CC"/>
    <w:rsid w:val="006318F4"/>
    <w:rsid w:val="00631EA1"/>
    <w:rsid w:val="00632223"/>
    <w:rsid w:val="00634155"/>
    <w:rsid w:val="00634312"/>
    <w:rsid w:val="00635969"/>
    <w:rsid w:val="00635E88"/>
    <w:rsid w:val="00636294"/>
    <w:rsid w:val="006363D4"/>
    <w:rsid w:val="006364AD"/>
    <w:rsid w:val="006364CB"/>
    <w:rsid w:val="006366AA"/>
    <w:rsid w:val="00636E8A"/>
    <w:rsid w:val="00637305"/>
    <w:rsid w:val="006373A9"/>
    <w:rsid w:val="00637665"/>
    <w:rsid w:val="00637F36"/>
    <w:rsid w:val="006407C0"/>
    <w:rsid w:val="006411A5"/>
    <w:rsid w:val="006414D4"/>
    <w:rsid w:val="006418E5"/>
    <w:rsid w:val="00641F1D"/>
    <w:rsid w:val="006420F9"/>
    <w:rsid w:val="00642BC2"/>
    <w:rsid w:val="00642F00"/>
    <w:rsid w:val="0064384A"/>
    <w:rsid w:val="00643A8B"/>
    <w:rsid w:val="006446ED"/>
    <w:rsid w:val="006449C1"/>
    <w:rsid w:val="006449E2"/>
    <w:rsid w:val="00644B4B"/>
    <w:rsid w:val="00644D7E"/>
    <w:rsid w:val="00646493"/>
    <w:rsid w:val="00647D1B"/>
    <w:rsid w:val="00650526"/>
    <w:rsid w:val="0065063C"/>
    <w:rsid w:val="00650742"/>
    <w:rsid w:val="006511E0"/>
    <w:rsid w:val="00651445"/>
    <w:rsid w:val="00651B62"/>
    <w:rsid w:val="00651C4C"/>
    <w:rsid w:val="00651CD6"/>
    <w:rsid w:val="00651EA8"/>
    <w:rsid w:val="0065215A"/>
    <w:rsid w:val="00652AA7"/>
    <w:rsid w:val="006533D3"/>
    <w:rsid w:val="006534BE"/>
    <w:rsid w:val="00653564"/>
    <w:rsid w:val="006537EF"/>
    <w:rsid w:val="00654395"/>
    <w:rsid w:val="00654FEE"/>
    <w:rsid w:val="006550AB"/>
    <w:rsid w:val="00655987"/>
    <w:rsid w:val="0065662A"/>
    <w:rsid w:val="00657024"/>
    <w:rsid w:val="006570C3"/>
    <w:rsid w:val="006607B9"/>
    <w:rsid w:val="00660B0A"/>
    <w:rsid w:val="006612F9"/>
    <w:rsid w:val="00661752"/>
    <w:rsid w:val="006622AD"/>
    <w:rsid w:val="00663B4D"/>
    <w:rsid w:val="00663EA3"/>
    <w:rsid w:val="00664841"/>
    <w:rsid w:val="00664E82"/>
    <w:rsid w:val="00665092"/>
    <w:rsid w:val="006656C8"/>
    <w:rsid w:val="00666016"/>
    <w:rsid w:val="006671F8"/>
    <w:rsid w:val="006673D4"/>
    <w:rsid w:val="00667785"/>
    <w:rsid w:val="00667EA7"/>
    <w:rsid w:val="00670057"/>
    <w:rsid w:val="00670B72"/>
    <w:rsid w:val="00670E80"/>
    <w:rsid w:val="00671047"/>
    <w:rsid w:val="00671247"/>
    <w:rsid w:val="00671664"/>
    <w:rsid w:val="006717B7"/>
    <w:rsid w:val="00671B83"/>
    <w:rsid w:val="00672806"/>
    <w:rsid w:val="00672902"/>
    <w:rsid w:val="00673032"/>
    <w:rsid w:val="0067349D"/>
    <w:rsid w:val="00674537"/>
    <w:rsid w:val="0067472F"/>
    <w:rsid w:val="006754AA"/>
    <w:rsid w:val="006758F8"/>
    <w:rsid w:val="00675A6A"/>
    <w:rsid w:val="00675C91"/>
    <w:rsid w:val="00676190"/>
    <w:rsid w:val="00676AA1"/>
    <w:rsid w:val="006776E5"/>
    <w:rsid w:val="00677CB4"/>
    <w:rsid w:val="006802B4"/>
    <w:rsid w:val="006804F7"/>
    <w:rsid w:val="00681201"/>
    <w:rsid w:val="006816E3"/>
    <w:rsid w:val="00681DD5"/>
    <w:rsid w:val="0068280D"/>
    <w:rsid w:val="006831EC"/>
    <w:rsid w:val="0068378E"/>
    <w:rsid w:val="006852F6"/>
    <w:rsid w:val="0068537F"/>
    <w:rsid w:val="006857CF"/>
    <w:rsid w:val="0068609A"/>
    <w:rsid w:val="00686758"/>
    <w:rsid w:val="006867C5"/>
    <w:rsid w:val="00686F5D"/>
    <w:rsid w:val="0069016A"/>
    <w:rsid w:val="006902BE"/>
    <w:rsid w:val="006903B7"/>
    <w:rsid w:val="00690B39"/>
    <w:rsid w:val="006916B3"/>
    <w:rsid w:val="00691B8E"/>
    <w:rsid w:val="00691C24"/>
    <w:rsid w:val="00691F33"/>
    <w:rsid w:val="00692CF5"/>
    <w:rsid w:val="006936A4"/>
    <w:rsid w:val="00693A92"/>
    <w:rsid w:val="00693AFF"/>
    <w:rsid w:val="00694A6C"/>
    <w:rsid w:val="00694F79"/>
    <w:rsid w:val="00695242"/>
    <w:rsid w:val="00695720"/>
    <w:rsid w:val="006958FA"/>
    <w:rsid w:val="006965AD"/>
    <w:rsid w:val="006965F9"/>
    <w:rsid w:val="006966A2"/>
    <w:rsid w:val="00696C9F"/>
    <w:rsid w:val="00697ACC"/>
    <w:rsid w:val="00697F5A"/>
    <w:rsid w:val="006A00E1"/>
    <w:rsid w:val="006A0281"/>
    <w:rsid w:val="006A0EF3"/>
    <w:rsid w:val="006A0FBF"/>
    <w:rsid w:val="006A17C5"/>
    <w:rsid w:val="006A1B80"/>
    <w:rsid w:val="006A1DA0"/>
    <w:rsid w:val="006A1EFB"/>
    <w:rsid w:val="006A21AC"/>
    <w:rsid w:val="006A2594"/>
    <w:rsid w:val="006A29BA"/>
    <w:rsid w:val="006A33CB"/>
    <w:rsid w:val="006A3D1C"/>
    <w:rsid w:val="006A3D3D"/>
    <w:rsid w:val="006A3D66"/>
    <w:rsid w:val="006A4E2A"/>
    <w:rsid w:val="006A5E21"/>
    <w:rsid w:val="006A6F2B"/>
    <w:rsid w:val="006A7607"/>
    <w:rsid w:val="006A760C"/>
    <w:rsid w:val="006A7EEF"/>
    <w:rsid w:val="006B00D4"/>
    <w:rsid w:val="006B0666"/>
    <w:rsid w:val="006B16C2"/>
    <w:rsid w:val="006B1840"/>
    <w:rsid w:val="006B1B06"/>
    <w:rsid w:val="006B30D8"/>
    <w:rsid w:val="006B35EB"/>
    <w:rsid w:val="006B3922"/>
    <w:rsid w:val="006B3BD3"/>
    <w:rsid w:val="006B4044"/>
    <w:rsid w:val="006B4837"/>
    <w:rsid w:val="006B5427"/>
    <w:rsid w:val="006B56C5"/>
    <w:rsid w:val="006B60C4"/>
    <w:rsid w:val="006B6B37"/>
    <w:rsid w:val="006B7189"/>
    <w:rsid w:val="006B765F"/>
    <w:rsid w:val="006B7843"/>
    <w:rsid w:val="006B7912"/>
    <w:rsid w:val="006B7C58"/>
    <w:rsid w:val="006B7D86"/>
    <w:rsid w:val="006C00C0"/>
    <w:rsid w:val="006C014B"/>
    <w:rsid w:val="006C01C9"/>
    <w:rsid w:val="006C0275"/>
    <w:rsid w:val="006C03E8"/>
    <w:rsid w:val="006C0ADD"/>
    <w:rsid w:val="006C0D76"/>
    <w:rsid w:val="006C0DA7"/>
    <w:rsid w:val="006C1411"/>
    <w:rsid w:val="006C1661"/>
    <w:rsid w:val="006C1695"/>
    <w:rsid w:val="006C2C26"/>
    <w:rsid w:val="006C3437"/>
    <w:rsid w:val="006C3D51"/>
    <w:rsid w:val="006C49CB"/>
    <w:rsid w:val="006C4E05"/>
    <w:rsid w:val="006C543F"/>
    <w:rsid w:val="006C61C3"/>
    <w:rsid w:val="006C6534"/>
    <w:rsid w:val="006D0B3A"/>
    <w:rsid w:val="006D1DFA"/>
    <w:rsid w:val="006D212F"/>
    <w:rsid w:val="006D2790"/>
    <w:rsid w:val="006D2C16"/>
    <w:rsid w:val="006D3018"/>
    <w:rsid w:val="006D3815"/>
    <w:rsid w:val="006D3A62"/>
    <w:rsid w:val="006D3FC0"/>
    <w:rsid w:val="006D405F"/>
    <w:rsid w:val="006D4BB9"/>
    <w:rsid w:val="006D52AC"/>
    <w:rsid w:val="006D5363"/>
    <w:rsid w:val="006D5B6A"/>
    <w:rsid w:val="006D6869"/>
    <w:rsid w:val="006D74B2"/>
    <w:rsid w:val="006D76B3"/>
    <w:rsid w:val="006D7DE8"/>
    <w:rsid w:val="006E005E"/>
    <w:rsid w:val="006E05ED"/>
    <w:rsid w:val="006E076B"/>
    <w:rsid w:val="006E0B80"/>
    <w:rsid w:val="006E13E2"/>
    <w:rsid w:val="006E19EE"/>
    <w:rsid w:val="006E1FA3"/>
    <w:rsid w:val="006E2099"/>
    <w:rsid w:val="006E21E1"/>
    <w:rsid w:val="006E2754"/>
    <w:rsid w:val="006E2D6E"/>
    <w:rsid w:val="006E2F57"/>
    <w:rsid w:val="006E3542"/>
    <w:rsid w:val="006E377E"/>
    <w:rsid w:val="006E40B1"/>
    <w:rsid w:val="006E4BFC"/>
    <w:rsid w:val="006E4F6A"/>
    <w:rsid w:val="006E5337"/>
    <w:rsid w:val="006E5C5D"/>
    <w:rsid w:val="006E62A7"/>
    <w:rsid w:val="006E64E0"/>
    <w:rsid w:val="006E67A4"/>
    <w:rsid w:val="006E6832"/>
    <w:rsid w:val="006E6E33"/>
    <w:rsid w:val="006E70A3"/>
    <w:rsid w:val="006E714D"/>
    <w:rsid w:val="006E72E1"/>
    <w:rsid w:val="006F0042"/>
    <w:rsid w:val="006F015A"/>
    <w:rsid w:val="006F0DDE"/>
    <w:rsid w:val="006F1129"/>
    <w:rsid w:val="006F2256"/>
    <w:rsid w:val="006F23A3"/>
    <w:rsid w:val="006F4058"/>
    <w:rsid w:val="006F451B"/>
    <w:rsid w:val="006F4AC4"/>
    <w:rsid w:val="006F5077"/>
    <w:rsid w:val="006F575E"/>
    <w:rsid w:val="006F5801"/>
    <w:rsid w:val="006F5BE5"/>
    <w:rsid w:val="006F5F25"/>
    <w:rsid w:val="006F609C"/>
    <w:rsid w:val="006F62EB"/>
    <w:rsid w:val="006F6985"/>
    <w:rsid w:val="006F7458"/>
    <w:rsid w:val="006F7713"/>
    <w:rsid w:val="006F779F"/>
    <w:rsid w:val="006F7A0C"/>
    <w:rsid w:val="006F7C82"/>
    <w:rsid w:val="00700668"/>
    <w:rsid w:val="00700C41"/>
    <w:rsid w:val="00701339"/>
    <w:rsid w:val="00701A53"/>
    <w:rsid w:val="00701BBA"/>
    <w:rsid w:val="00701D6E"/>
    <w:rsid w:val="007022AA"/>
    <w:rsid w:val="007022EC"/>
    <w:rsid w:val="00702507"/>
    <w:rsid w:val="0070330A"/>
    <w:rsid w:val="00704187"/>
    <w:rsid w:val="00704C0C"/>
    <w:rsid w:val="00704CB5"/>
    <w:rsid w:val="00704F11"/>
    <w:rsid w:val="007061F3"/>
    <w:rsid w:val="00706332"/>
    <w:rsid w:val="0070764D"/>
    <w:rsid w:val="00707AE5"/>
    <w:rsid w:val="0071022D"/>
    <w:rsid w:val="00711315"/>
    <w:rsid w:val="0071176E"/>
    <w:rsid w:val="00713F42"/>
    <w:rsid w:val="0071404C"/>
    <w:rsid w:val="007148D9"/>
    <w:rsid w:val="0071629A"/>
    <w:rsid w:val="0071637E"/>
    <w:rsid w:val="00716430"/>
    <w:rsid w:val="0071760B"/>
    <w:rsid w:val="00717639"/>
    <w:rsid w:val="00717F8C"/>
    <w:rsid w:val="00720449"/>
    <w:rsid w:val="00720BD7"/>
    <w:rsid w:val="00721229"/>
    <w:rsid w:val="00721561"/>
    <w:rsid w:val="00721638"/>
    <w:rsid w:val="007220A2"/>
    <w:rsid w:val="0072299D"/>
    <w:rsid w:val="00722F9E"/>
    <w:rsid w:val="0072383C"/>
    <w:rsid w:val="00724E79"/>
    <w:rsid w:val="00725530"/>
    <w:rsid w:val="00726B71"/>
    <w:rsid w:val="00727964"/>
    <w:rsid w:val="007300A2"/>
    <w:rsid w:val="007304A8"/>
    <w:rsid w:val="00730A7B"/>
    <w:rsid w:val="00731135"/>
    <w:rsid w:val="0073245C"/>
    <w:rsid w:val="007330F6"/>
    <w:rsid w:val="00733F64"/>
    <w:rsid w:val="0073418E"/>
    <w:rsid w:val="00734258"/>
    <w:rsid w:val="00734CEC"/>
    <w:rsid w:val="007369E2"/>
    <w:rsid w:val="00736FA9"/>
    <w:rsid w:val="0073702F"/>
    <w:rsid w:val="00737217"/>
    <w:rsid w:val="00737CCE"/>
    <w:rsid w:val="00737E01"/>
    <w:rsid w:val="0074149C"/>
    <w:rsid w:val="007421EC"/>
    <w:rsid w:val="00742724"/>
    <w:rsid w:val="007428EA"/>
    <w:rsid w:val="00743069"/>
    <w:rsid w:val="00743161"/>
    <w:rsid w:val="00743318"/>
    <w:rsid w:val="00743CDA"/>
    <w:rsid w:val="007441E0"/>
    <w:rsid w:val="00744571"/>
    <w:rsid w:val="007453E2"/>
    <w:rsid w:val="007455E1"/>
    <w:rsid w:val="0074580E"/>
    <w:rsid w:val="0074636E"/>
    <w:rsid w:val="00746663"/>
    <w:rsid w:val="00746B24"/>
    <w:rsid w:val="00746DBC"/>
    <w:rsid w:val="007474B5"/>
    <w:rsid w:val="00747B9A"/>
    <w:rsid w:val="00747C60"/>
    <w:rsid w:val="00750043"/>
    <w:rsid w:val="00750071"/>
    <w:rsid w:val="00750432"/>
    <w:rsid w:val="00751312"/>
    <w:rsid w:val="00751384"/>
    <w:rsid w:val="007515D7"/>
    <w:rsid w:val="007522F7"/>
    <w:rsid w:val="007526EB"/>
    <w:rsid w:val="00752F1A"/>
    <w:rsid w:val="00753143"/>
    <w:rsid w:val="007541E6"/>
    <w:rsid w:val="007544D0"/>
    <w:rsid w:val="00755266"/>
    <w:rsid w:val="00755808"/>
    <w:rsid w:val="00755A85"/>
    <w:rsid w:val="00756ACA"/>
    <w:rsid w:val="00756F65"/>
    <w:rsid w:val="0075734A"/>
    <w:rsid w:val="0075780F"/>
    <w:rsid w:val="007601FA"/>
    <w:rsid w:val="007606CB"/>
    <w:rsid w:val="007606E2"/>
    <w:rsid w:val="0076106A"/>
    <w:rsid w:val="00761EC0"/>
    <w:rsid w:val="007627BA"/>
    <w:rsid w:val="00763058"/>
    <w:rsid w:val="00763644"/>
    <w:rsid w:val="00763B0B"/>
    <w:rsid w:val="00764596"/>
    <w:rsid w:val="00764D89"/>
    <w:rsid w:val="0076522D"/>
    <w:rsid w:val="007653A3"/>
    <w:rsid w:val="0076571E"/>
    <w:rsid w:val="00765936"/>
    <w:rsid w:val="00765BF4"/>
    <w:rsid w:val="0076627D"/>
    <w:rsid w:val="00766985"/>
    <w:rsid w:val="00767D38"/>
    <w:rsid w:val="00771EFF"/>
    <w:rsid w:val="0077212B"/>
    <w:rsid w:val="0077222E"/>
    <w:rsid w:val="007724A4"/>
    <w:rsid w:val="007730A7"/>
    <w:rsid w:val="0077323B"/>
    <w:rsid w:val="00773C1D"/>
    <w:rsid w:val="007747C3"/>
    <w:rsid w:val="00775B04"/>
    <w:rsid w:val="00775D06"/>
    <w:rsid w:val="00775E8F"/>
    <w:rsid w:val="00776322"/>
    <w:rsid w:val="00776347"/>
    <w:rsid w:val="007768D1"/>
    <w:rsid w:val="00776EF1"/>
    <w:rsid w:val="007775EB"/>
    <w:rsid w:val="007779DC"/>
    <w:rsid w:val="00777BAE"/>
    <w:rsid w:val="00777E46"/>
    <w:rsid w:val="00780286"/>
    <w:rsid w:val="00780FE9"/>
    <w:rsid w:val="0078355B"/>
    <w:rsid w:val="0078506E"/>
    <w:rsid w:val="00785085"/>
    <w:rsid w:val="00786C06"/>
    <w:rsid w:val="0078774B"/>
    <w:rsid w:val="00787972"/>
    <w:rsid w:val="00787993"/>
    <w:rsid w:val="00787D18"/>
    <w:rsid w:val="00790304"/>
    <w:rsid w:val="00790875"/>
    <w:rsid w:val="0079119B"/>
    <w:rsid w:val="007917FA"/>
    <w:rsid w:val="00791E32"/>
    <w:rsid w:val="00792BCB"/>
    <w:rsid w:val="00792DD0"/>
    <w:rsid w:val="00793450"/>
    <w:rsid w:val="007936AC"/>
    <w:rsid w:val="007939B4"/>
    <w:rsid w:val="00794526"/>
    <w:rsid w:val="00794A63"/>
    <w:rsid w:val="0079564B"/>
    <w:rsid w:val="00795AE0"/>
    <w:rsid w:val="00795F48"/>
    <w:rsid w:val="00796B9D"/>
    <w:rsid w:val="007970EE"/>
    <w:rsid w:val="00797FB6"/>
    <w:rsid w:val="007A0213"/>
    <w:rsid w:val="007A068D"/>
    <w:rsid w:val="007A0848"/>
    <w:rsid w:val="007A1D4B"/>
    <w:rsid w:val="007A260D"/>
    <w:rsid w:val="007A3594"/>
    <w:rsid w:val="007A42B5"/>
    <w:rsid w:val="007A4491"/>
    <w:rsid w:val="007A4B45"/>
    <w:rsid w:val="007A6751"/>
    <w:rsid w:val="007A6CD0"/>
    <w:rsid w:val="007B04AA"/>
    <w:rsid w:val="007B05AE"/>
    <w:rsid w:val="007B05DD"/>
    <w:rsid w:val="007B0D22"/>
    <w:rsid w:val="007B0FFE"/>
    <w:rsid w:val="007B13D7"/>
    <w:rsid w:val="007B1568"/>
    <w:rsid w:val="007B2BCF"/>
    <w:rsid w:val="007B2E71"/>
    <w:rsid w:val="007B36B5"/>
    <w:rsid w:val="007B3F06"/>
    <w:rsid w:val="007B447B"/>
    <w:rsid w:val="007B4B3D"/>
    <w:rsid w:val="007B5288"/>
    <w:rsid w:val="007B5331"/>
    <w:rsid w:val="007B5AE2"/>
    <w:rsid w:val="007B6C07"/>
    <w:rsid w:val="007B6DF7"/>
    <w:rsid w:val="007B7442"/>
    <w:rsid w:val="007B77CB"/>
    <w:rsid w:val="007C0BD4"/>
    <w:rsid w:val="007C0DF6"/>
    <w:rsid w:val="007C1B1A"/>
    <w:rsid w:val="007C2227"/>
    <w:rsid w:val="007C25F0"/>
    <w:rsid w:val="007C28F1"/>
    <w:rsid w:val="007C30A1"/>
    <w:rsid w:val="007C3133"/>
    <w:rsid w:val="007C365A"/>
    <w:rsid w:val="007C37A2"/>
    <w:rsid w:val="007C3D3F"/>
    <w:rsid w:val="007C3F5C"/>
    <w:rsid w:val="007C4B4C"/>
    <w:rsid w:val="007C5062"/>
    <w:rsid w:val="007C5268"/>
    <w:rsid w:val="007C7740"/>
    <w:rsid w:val="007C7884"/>
    <w:rsid w:val="007C7941"/>
    <w:rsid w:val="007D011B"/>
    <w:rsid w:val="007D0644"/>
    <w:rsid w:val="007D23E1"/>
    <w:rsid w:val="007D2829"/>
    <w:rsid w:val="007D3B6D"/>
    <w:rsid w:val="007D452C"/>
    <w:rsid w:val="007D46AE"/>
    <w:rsid w:val="007D472D"/>
    <w:rsid w:val="007D4A3A"/>
    <w:rsid w:val="007D5C9E"/>
    <w:rsid w:val="007D6548"/>
    <w:rsid w:val="007D68AA"/>
    <w:rsid w:val="007D711F"/>
    <w:rsid w:val="007D715E"/>
    <w:rsid w:val="007D73E6"/>
    <w:rsid w:val="007D74FD"/>
    <w:rsid w:val="007D75B0"/>
    <w:rsid w:val="007D7668"/>
    <w:rsid w:val="007D778A"/>
    <w:rsid w:val="007E0738"/>
    <w:rsid w:val="007E083F"/>
    <w:rsid w:val="007E0C33"/>
    <w:rsid w:val="007E0C83"/>
    <w:rsid w:val="007E0CFF"/>
    <w:rsid w:val="007E1FDD"/>
    <w:rsid w:val="007E26FE"/>
    <w:rsid w:val="007E40F7"/>
    <w:rsid w:val="007E42F2"/>
    <w:rsid w:val="007E47FA"/>
    <w:rsid w:val="007E5506"/>
    <w:rsid w:val="007E5592"/>
    <w:rsid w:val="007E619A"/>
    <w:rsid w:val="007E61CB"/>
    <w:rsid w:val="007E670C"/>
    <w:rsid w:val="007E6DED"/>
    <w:rsid w:val="007E7658"/>
    <w:rsid w:val="007E7F15"/>
    <w:rsid w:val="007F0257"/>
    <w:rsid w:val="007F0374"/>
    <w:rsid w:val="007F03F0"/>
    <w:rsid w:val="007F04F9"/>
    <w:rsid w:val="007F05F6"/>
    <w:rsid w:val="007F20EF"/>
    <w:rsid w:val="007F2527"/>
    <w:rsid w:val="007F2ABA"/>
    <w:rsid w:val="007F2AF4"/>
    <w:rsid w:val="007F2F7A"/>
    <w:rsid w:val="007F3395"/>
    <w:rsid w:val="007F5054"/>
    <w:rsid w:val="007F53DC"/>
    <w:rsid w:val="007F68AF"/>
    <w:rsid w:val="007F6C48"/>
    <w:rsid w:val="007F6D56"/>
    <w:rsid w:val="007F7809"/>
    <w:rsid w:val="00800AE8"/>
    <w:rsid w:val="00800B3F"/>
    <w:rsid w:val="00800B9D"/>
    <w:rsid w:val="00800E5E"/>
    <w:rsid w:val="00801511"/>
    <w:rsid w:val="00801758"/>
    <w:rsid w:val="0080209A"/>
    <w:rsid w:val="008020DF"/>
    <w:rsid w:val="0080216C"/>
    <w:rsid w:val="0080221F"/>
    <w:rsid w:val="00803187"/>
    <w:rsid w:val="008035D0"/>
    <w:rsid w:val="00803630"/>
    <w:rsid w:val="00803782"/>
    <w:rsid w:val="00803D3E"/>
    <w:rsid w:val="00804A65"/>
    <w:rsid w:val="0080619F"/>
    <w:rsid w:val="00807198"/>
    <w:rsid w:val="008071F9"/>
    <w:rsid w:val="008072CD"/>
    <w:rsid w:val="00807967"/>
    <w:rsid w:val="00807C09"/>
    <w:rsid w:val="0081005D"/>
    <w:rsid w:val="008100BE"/>
    <w:rsid w:val="00810A0A"/>
    <w:rsid w:val="00810DCF"/>
    <w:rsid w:val="00810F17"/>
    <w:rsid w:val="00811A56"/>
    <w:rsid w:val="00813194"/>
    <w:rsid w:val="00813DBB"/>
    <w:rsid w:val="00814768"/>
    <w:rsid w:val="00814E59"/>
    <w:rsid w:val="00814F91"/>
    <w:rsid w:val="00815631"/>
    <w:rsid w:val="00816159"/>
    <w:rsid w:val="0081624C"/>
    <w:rsid w:val="008165C2"/>
    <w:rsid w:val="00816789"/>
    <w:rsid w:val="008167ED"/>
    <w:rsid w:val="00816BF5"/>
    <w:rsid w:val="0082076B"/>
    <w:rsid w:val="0082090B"/>
    <w:rsid w:val="00820AD4"/>
    <w:rsid w:val="00820DBD"/>
    <w:rsid w:val="00820F30"/>
    <w:rsid w:val="00821112"/>
    <w:rsid w:val="00821594"/>
    <w:rsid w:val="0082177C"/>
    <w:rsid w:val="00821BF4"/>
    <w:rsid w:val="00821E42"/>
    <w:rsid w:val="00822159"/>
    <w:rsid w:val="0082264B"/>
    <w:rsid w:val="00822DD3"/>
    <w:rsid w:val="0082372B"/>
    <w:rsid w:val="00824753"/>
    <w:rsid w:val="008249D5"/>
    <w:rsid w:val="0082585C"/>
    <w:rsid w:val="00825D45"/>
    <w:rsid w:val="00826244"/>
    <w:rsid w:val="00826756"/>
    <w:rsid w:val="00826784"/>
    <w:rsid w:val="00826DF2"/>
    <w:rsid w:val="008270D1"/>
    <w:rsid w:val="008278BF"/>
    <w:rsid w:val="00827C5F"/>
    <w:rsid w:val="00827CF0"/>
    <w:rsid w:val="00830554"/>
    <w:rsid w:val="008309B7"/>
    <w:rsid w:val="0083153B"/>
    <w:rsid w:val="00831A11"/>
    <w:rsid w:val="00832862"/>
    <w:rsid w:val="00833808"/>
    <w:rsid w:val="00833CF9"/>
    <w:rsid w:val="00833E36"/>
    <w:rsid w:val="00834504"/>
    <w:rsid w:val="00834837"/>
    <w:rsid w:val="00834E38"/>
    <w:rsid w:val="00834E9C"/>
    <w:rsid w:val="008350D3"/>
    <w:rsid w:val="00835767"/>
    <w:rsid w:val="0083587B"/>
    <w:rsid w:val="00835BB0"/>
    <w:rsid w:val="008361FC"/>
    <w:rsid w:val="00837C44"/>
    <w:rsid w:val="00840627"/>
    <w:rsid w:val="00840D18"/>
    <w:rsid w:val="00840EA9"/>
    <w:rsid w:val="00841021"/>
    <w:rsid w:val="00841855"/>
    <w:rsid w:val="00842990"/>
    <w:rsid w:val="00842BE2"/>
    <w:rsid w:val="00843371"/>
    <w:rsid w:val="0084340A"/>
    <w:rsid w:val="008436FE"/>
    <w:rsid w:val="00843A7A"/>
    <w:rsid w:val="0084488D"/>
    <w:rsid w:val="00844A57"/>
    <w:rsid w:val="00845204"/>
    <w:rsid w:val="0084640C"/>
    <w:rsid w:val="00846501"/>
    <w:rsid w:val="008466F2"/>
    <w:rsid w:val="00846FEF"/>
    <w:rsid w:val="00847C14"/>
    <w:rsid w:val="0085005E"/>
    <w:rsid w:val="00850B87"/>
    <w:rsid w:val="008510DE"/>
    <w:rsid w:val="00851329"/>
    <w:rsid w:val="0085136F"/>
    <w:rsid w:val="00851A2D"/>
    <w:rsid w:val="0085268C"/>
    <w:rsid w:val="008527C9"/>
    <w:rsid w:val="008528A7"/>
    <w:rsid w:val="00852A49"/>
    <w:rsid w:val="00852DCC"/>
    <w:rsid w:val="008532E0"/>
    <w:rsid w:val="00853C90"/>
    <w:rsid w:val="0085470E"/>
    <w:rsid w:val="00854D43"/>
    <w:rsid w:val="00855360"/>
    <w:rsid w:val="0085538B"/>
    <w:rsid w:val="00856DD4"/>
    <w:rsid w:val="00856DDC"/>
    <w:rsid w:val="00856F75"/>
    <w:rsid w:val="00857031"/>
    <w:rsid w:val="00857629"/>
    <w:rsid w:val="00857FBB"/>
    <w:rsid w:val="0086034B"/>
    <w:rsid w:val="00860563"/>
    <w:rsid w:val="008610ED"/>
    <w:rsid w:val="008619A4"/>
    <w:rsid w:val="008622CF"/>
    <w:rsid w:val="00862952"/>
    <w:rsid w:val="00862B00"/>
    <w:rsid w:val="00863321"/>
    <w:rsid w:val="0086338F"/>
    <w:rsid w:val="0086360D"/>
    <w:rsid w:val="00864159"/>
    <w:rsid w:val="00864CCF"/>
    <w:rsid w:val="00864E42"/>
    <w:rsid w:val="0086513D"/>
    <w:rsid w:val="0086528B"/>
    <w:rsid w:val="00866144"/>
    <w:rsid w:val="008662D3"/>
    <w:rsid w:val="00867297"/>
    <w:rsid w:val="0087102F"/>
    <w:rsid w:val="00872684"/>
    <w:rsid w:val="00872D69"/>
    <w:rsid w:val="00873055"/>
    <w:rsid w:val="008732E9"/>
    <w:rsid w:val="0087370E"/>
    <w:rsid w:val="0087404D"/>
    <w:rsid w:val="00874277"/>
    <w:rsid w:val="00874B99"/>
    <w:rsid w:val="00874DD3"/>
    <w:rsid w:val="008759BB"/>
    <w:rsid w:val="00875E20"/>
    <w:rsid w:val="00875E61"/>
    <w:rsid w:val="008763DC"/>
    <w:rsid w:val="00876BE8"/>
    <w:rsid w:val="00876C11"/>
    <w:rsid w:val="00876C59"/>
    <w:rsid w:val="008771E2"/>
    <w:rsid w:val="008771F4"/>
    <w:rsid w:val="00880684"/>
    <w:rsid w:val="0088075E"/>
    <w:rsid w:val="008809A0"/>
    <w:rsid w:val="008809F0"/>
    <w:rsid w:val="00880D4D"/>
    <w:rsid w:val="00881408"/>
    <w:rsid w:val="00881999"/>
    <w:rsid w:val="00881BD4"/>
    <w:rsid w:val="00881E2D"/>
    <w:rsid w:val="008835A4"/>
    <w:rsid w:val="00883F6E"/>
    <w:rsid w:val="0088508E"/>
    <w:rsid w:val="00885586"/>
    <w:rsid w:val="00885C64"/>
    <w:rsid w:val="008862B3"/>
    <w:rsid w:val="0088690B"/>
    <w:rsid w:val="00886DF1"/>
    <w:rsid w:val="00886E02"/>
    <w:rsid w:val="0088738F"/>
    <w:rsid w:val="00890B6C"/>
    <w:rsid w:val="00890D4B"/>
    <w:rsid w:val="00891C78"/>
    <w:rsid w:val="00892567"/>
    <w:rsid w:val="0089285F"/>
    <w:rsid w:val="00892B7A"/>
    <w:rsid w:val="00892E12"/>
    <w:rsid w:val="008932B5"/>
    <w:rsid w:val="0089580D"/>
    <w:rsid w:val="00895F60"/>
    <w:rsid w:val="008960F4"/>
    <w:rsid w:val="00896EEE"/>
    <w:rsid w:val="00897514"/>
    <w:rsid w:val="00897836"/>
    <w:rsid w:val="00897C0F"/>
    <w:rsid w:val="00897D29"/>
    <w:rsid w:val="00897DA7"/>
    <w:rsid w:val="008A07F2"/>
    <w:rsid w:val="008A0EA9"/>
    <w:rsid w:val="008A215E"/>
    <w:rsid w:val="008A253A"/>
    <w:rsid w:val="008A297C"/>
    <w:rsid w:val="008A3434"/>
    <w:rsid w:val="008A350B"/>
    <w:rsid w:val="008A3965"/>
    <w:rsid w:val="008A3F44"/>
    <w:rsid w:val="008A437A"/>
    <w:rsid w:val="008A4F36"/>
    <w:rsid w:val="008A5284"/>
    <w:rsid w:val="008A5ECD"/>
    <w:rsid w:val="008A6134"/>
    <w:rsid w:val="008A66B6"/>
    <w:rsid w:val="008A6BDB"/>
    <w:rsid w:val="008A6D6D"/>
    <w:rsid w:val="008A7362"/>
    <w:rsid w:val="008A7548"/>
    <w:rsid w:val="008A7583"/>
    <w:rsid w:val="008A771F"/>
    <w:rsid w:val="008A7C7E"/>
    <w:rsid w:val="008A7E0C"/>
    <w:rsid w:val="008B0A19"/>
    <w:rsid w:val="008B1594"/>
    <w:rsid w:val="008B1D5E"/>
    <w:rsid w:val="008B1F33"/>
    <w:rsid w:val="008B1F5A"/>
    <w:rsid w:val="008B2B52"/>
    <w:rsid w:val="008B342E"/>
    <w:rsid w:val="008B4DC8"/>
    <w:rsid w:val="008B53A4"/>
    <w:rsid w:val="008B5649"/>
    <w:rsid w:val="008B5D72"/>
    <w:rsid w:val="008B657B"/>
    <w:rsid w:val="008B778A"/>
    <w:rsid w:val="008B7952"/>
    <w:rsid w:val="008B7ECB"/>
    <w:rsid w:val="008C1404"/>
    <w:rsid w:val="008C16BC"/>
    <w:rsid w:val="008C1B79"/>
    <w:rsid w:val="008C29F8"/>
    <w:rsid w:val="008C2BAC"/>
    <w:rsid w:val="008C2DB0"/>
    <w:rsid w:val="008C4D9F"/>
    <w:rsid w:val="008C525A"/>
    <w:rsid w:val="008C5464"/>
    <w:rsid w:val="008C6338"/>
    <w:rsid w:val="008C63EE"/>
    <w:rsid w:val="008C6D64"/>
    <w:rsid w:val="008C7773"/>
    <w:rsid w:val="008C7953"/>
    <w:rsid w:val="008C79EE"/>
    <w:rsid w:val="008C7EC6"/>
    <w:rsid w:val="008D003F"/>
    <w:rsid w:val="008D014A"/>
    <w:rsid w:val="008D01FB"/>
    <w:rsid w:val="008D030C"/>
    <w:rsid w:val="008D0396"/>
    <w:rsid w:val="008D043E"/>
    <w:rsid w:val="008D103D"/>
    <w:rsid w:val="008D37D8"/>
    <w:rsid w:val="008D3E7B"/>
    <w:rsid w:val="008D3F47"/>
    <w:rsid w:val="008D48ED"/>
    <w:rsid w:val="008D58F0"/>
    <w:rsid w:val="008D62AE"/>
    <w:rsid w:val="008D7235"/>
    <w:rsid w:val="008D7B23"/>
    <w:rsid w:val="008E05E3"/>
    <w:rsid w:val="008E09A9"/>
    <w:rsid w:val="008E14E1"/>
    <w:rsid w:val="008E1F7C"/>
    <w:rsid w:val="008E2289"/>
    <w:rsid w:val="008E29DA"/>
    <w:rsid w:val="008E3BB8"/>
    <w:rsid w:val="008E3D6D"/>
    <w:rsid w:val="008E4CFD"/>
    <w:rsid w:val="008E5AAB"/>
    <w:rsid w:val="008E6C67"/>
    <w:rsid w:val="008E74C9"/>
    <w:rsid w:val="008E7B33"/>
    <w:rsid w:val="008F1C6A"/>
    <w:rsid w:val="008F201C"/>
    <w:rsid w:val="008F2AA0"/>
    <w:rsid w:val="008F361C"/>
    <w:rsid w:val="008F4198"/>
    <w:rsid w:val="008F499E"/>
    <w:rsid w:val="008F57E5"/>
    <w:rsid w:val="008F5C91"/>
    <w:rsid w:val="008F6489"/>
    <w:rsid w:val="008F6566"/>
    <w:rsid w:val="008F65CC"/>
    <w:rsid w:val="008F6D16"/>
    <w:rsid w:val="008F6DF7"/>
    <w:rsid w:val="008F6FDF"/>
    <w:rsid w:val="008F7C03"/>
    <w:rsid w:val="00900DB5"/>
    <w:rsid w:val="009012F5"/>
    <w:rsid w:val="00901623"/>
    <w:rsid w:val="00901685"/>
    <w:rsid w:val="00901876"/>
    <w:rsid w:val="00902B03"/>
    <w:rsid w:val="00902D9C"/>
    <w:rsid w:val="00902DDD"/>
    <w:rsid w:val="0090381E"/>
    <w:rsid w:val="00903A6A"/>
    <w:rsid w:val="00903BD9"/>
    <w:rsid w:val="00903ED0"/>
    <w:rsid w:val="00904300"/>
    <w:rsid w:val="00905124"/>
    <w:rsid w:val="00906E1F"/>
    <w:rsid w:val="009072A6"/>
    <w:rsid w:val="00907581"/>
    <w:rsid w:val="00907D32"/>
    <w:rsid w:val="009100AB"/>
    <w:rsid w:val="00910887"/>
    <w:rsid w:val="00910D0E"/>
    <w:rsid w:val="009117E6"/>
    <w:rsid w:val="00911E4C"/>
    <w:rsid w:val="00911EFF"/>
    <w:rsid w:val="0091227E"/>
    <w:rsid w:val="00912D09"/>
    <w:rsid w:val="00912F34"/>
    <w:rsid w:val="00913036"/>
    <w:rsid w:val="0091318F"/>
    <w:rsid w:val="009132DD"/>
    <w:rsid w:val="00913FC0"/>
    <w:rsid w:val="00914344"/>
    <w:rsid w:val="00914C33"/>
    <w:rsid w:val="00914D32"/>
    <w:rsid w:val="00914D6E"/>
    <w:rsid w:val="0091565D"/>
    <w:rsid w:val="00915AAF"/>
    <w:rsid w:val="00915B89"/>
    <w:rsid w:val="00915DE3"/>
    <w:rsid w:val="00916391"/>
    <w:rsid w:val="0091686F"/>
    <w:rsid w:val="00916F92"/>
    <w:rsid w:val="00916FAE"/>
    <w:rsid w:val="00916FEE"/>
    <w:rsid w:val="00917AC3"/>
    <w:rsid w:val="0092077F"/>
    <w:rsid w:val="00920AEF"/>
    <w:rsid w:val="00920CED"/>
    <w:rsid w:val="0092205A"/>
    <w:rsid w:val="00922188"/>
    <w:rsid w:val="00922DA1"/>
    <w:rsid w:val="00923C18"/>
    <w:rsid w:val="00924540"/>
    <w:rsid w:val="00924592"/>
    <w:rsid w:val="009247E8"/>
    <w:rsid w:val="009252FC"/>
    <w:rsid w:val="0092568E"/>
    <w:rsid w:val="009257CF"/>
    <w:rsid w:val="00927F98"/>
    <w:rsid w:val="00930143"/>
    <w:rsid w:val="00930361"/>
    <w:rsid w:val="00930532"/>
    <w:rsid w:val="0093093E"/>
    <w:rsid w:val="00931278"/>
    <w:rsid w:val="00931C21"/>
    <w:rsid w:val="00931D16"/>
    <w:rsid w:val="00932232"/>
    <w:rsid w:val="0093244F"/>
    <w:rsid w:val="00933178"/>
    <w:rsid w:val="00933577"/>
    <w:rsid w:val="00933897"/>
    <w:rsid w:val="00933A6F"/>
    <w:rsid w:val="0093408C"/>
    <w:rsid w:val="00934C7C"/>
    <w:rsid w:val="00934CD0"/>
    <w:rsid w:val="00934FEB"/>
    <w:rsid w:val="0093509E"/>
    <w:rsid w:val="0093565E"/>
    <w:rsid w:val="00935A2A"/>
    <w:rsid w:val="00936162"/>
    <w:rsid w:val="00936C7B"/>
    <w:rsid w:val="00936DD9"/>
    <w:rsid w:val="0093713F"/>
    <w:rsid w:val="0093732D"/>
    <w:rsid w:val="009373AB"/>
    <w:rsid w:val="0093782A"/>
    <w:rsid w:val="00937FB5"/>
    <w:rsid w:val="00940D7A"/>
    <w:rsid w:val="00941203"/>
    <w:rsid w:val="009416A5"/>
    <w:rsid w:val="009416FD"/>
    <w:rsid w:val="00942552"/>
    <w:rsid w:val="009425C1"/>
    <w:rsid w:val="009429B2"/>
    <w:rsid w:val="00942B73"/>
    <w:rsid w:val="00943054"/>
    <w:rsid w:val="0094339A"/>
    <w:rsid w:val="009439CD"/>
    <w:rsid w:val="00943C57"/>
    <w:rsid w:val="00944227"/>
    <w:rsid w:val="00944242"/>
    <w:rsid w:val="0094452B"/>
    <w:rsid w:val="009448D9"/>
    <w:rsid w:val="00944ADA"/>
    <w:rsid w:val="00944FF5"/>
    <w:rsid w:val="0094534A"/>
    <w:rsid w:val="00945B69"/>
    <w:rsid w:val="00947247"/>
    <w:rsid w:val="00947439"/>
    <w:rsid w:val="00947F03"/>
    <w:rsid w:val="00950790"/>
    <w:rsid w:val="00950A18"/>
    <w:rsid w:val="0095149E"/>
    <w:rsid w:val="00952245"/>
    <w:rsid w:val="009536DC"/>
    <w:rsid w:val="009547E5"/>
    <w:rsid w:val="00954BC4"/>
    <w:rsid w:val="00955043"/>
    <w:rsid w:val="00955C72"/>
    <w:rsid w:val="00956433"/>
    <w:rsid w:val="00956547"/>
    <w:rsid w:val="0095678F"/>
    <w:rsid w:val="00957863"/>
    <w:rsid w:val="00957D1C"/>
    <w:rsid w:val="00960637"/>
    <w:rsid w:val="00961EA3"/>
    <w:rsid w:val="00962D2F"/>
    <w:rsid w:val="00963057"/>
    <w:rsid w:val="00963D6F"/>
    <w:rsid w:val="00965758"/>
    <w:rsid w:val="009661DE"/>
    <w:rsid w:val="0096650E"/>
    <w:rsid w:val="009670B4"/>
    <w:rsid w:val="009670BD"/>
    <w:rsid w:val="009673E7"/>
    <w:rsid w:val="00967E5E"/>
    <w:rsid w:val="009708DE"/>
    <w:rsid w:val="00970C8C"/>
    <w:rsid w:val="009715D7"/>
    <w:rsid w:val="009717E2"/>
    <w:rsid w:val="00971867"/>
    <w:rsid w:val="00971CE1"/>
    <w:rsid w:val="009726B7"/>
    <w:rsid w:val="009728E3"/>
    <w:rsid w:val="00972949"/>
    <w:rsid w:val="009729D2"/>
    <w:rsid w:val="009730C8"/>
    <w:rsid w:val="00973621"/>
    <w:rsid w:val="00974015"/>
    <w:rsid w:val="00974ADD"/>
    <w:rsid w:val="00974F02"/>
    <w:rsid w:val="00975C10"/>
    <w:rsid w:val="00975EB9"/>
    <w:rsid w:val="00976480"/>
    <w:rsid w:val="00976B96"/>
    <w:rsid w:val="00977737"/>
    <w:rsid w:val="00977BC3"/>
    <w:rsid w:val="00980047"/>
    <w:rsid w:val="00981496"/>
    <w:rsid w:val="00981C95"/>
    <w:rsid w:val="00982742"/>
    <w:rsid w:val="00982ABA"/>
    <w:rsid w:val="00983207"/>
    <w:rsid w:val="00983A94"/>
    <w:rsid w:val="00983CC4"/>
    <w:rsid w:val="00983FE0"/>
    <w:rsid w:val="00984582"/>
    <w:rsid w:val="0098527C"/>
    <w:rsid w:val="009852BA"/>
    <w:rsid w:val="0098543A"/>
    <w:rsid w:val="00985499"/>
    <w:rsid w:val="00985E39"/>
    <w:rsid w:val="00987467"/>
    <w:rsid w:val="00987922"/>
    <w:rsid w:val="00987CF3"/>
    <w:rsid w:val="00990B8E"/>
    <w:rsid w:val="00991DCD"/>
    <w:rsid w:val="00992008"/>
    <w:rsid w:val="009922D4"/>
    <w:rsid w:val="0099257D"/>
    <w:rsid w:val="009929C7"/>
    <w:rsid w:val="00992A5B"/>
    <w:rsid w:val="009949A8"/>
    <w:rsid w:val="00994B9D"/>
    <w:rsid w:val="0099507A"/>
    <w:rsid w:val="009962E4"/>
    <w:rsid w:val="00996A3A"/>
    <w:rsid w:val="00996AC4"/>
    <w:rsid w:val="00996EF1"/>
    <w:rsid w:val="00996FD1"/>
    <w:rsid w:val="00997A06"/>
    <w:rsid w:val="00997C30"/>
    <w:rsid w:val="00997CB6"/>
    <w:rsid w:val="00997E59"/>
    <w:rsid w:val="009A026E"/>
    <w:rsid w:val="009A057F"/>
    <w:rsid w:val="009A0EF3"/>
    <w:rsid w:val="009A1340"/>
    <w:rsid w:val="009A1E18"/>
    <w:rsid w:val="009A2012"/>
    <w:rsid w:val="009A2FF4"/>
    <w:rsid w:val="009A31D5"/>
    <w:rsid w:val="009A3459"/>
    <w:rsid w:val="009A3466"/>
    <w:rsid w:val="009A427A"/>
    <w:rsid w:val="009A4733"/>
    <w:rsid w:val="009A4F9C"/>
    <w:rsid w:val="009A5467"/>
    <w:rsid w:val="009A55D2"/>
    <w:rsid w:val="009A5AA8"/>
    <w:rsid w:val="009A7227"/>
    <w:rsid w:val="009A74FC"/>
    <w:rsid w:val="009B0525"/>
    <w:rsid w:val="009B0CD2"/>
    <w:rsid w:val="009B14CF"/>
    <w:rsid w:val="009B23B2"/>
    <w:rsid w:val="009B2475"/>
    <w:rsid w:val="009B31B5"/>
    <w:rsid w:val="009B3412"/>
    <w:rsid w:val="009B4CD3"/>
    <w:rsid w:val="009B56E7"/>
    <w:rsid w:val="009B5A1E"/>
    <w:rsid w:val="009B5B91"/>
    <w:rsid w:val="009B63AE"/>
    <w:rsid w:val="009B6F27"/>
    <w:rsid w:val="009B706C"/>
    <w:rsid w:val="009B74C0"/>
    <w:rsid w:val="009B7D9A"/>
    <w:rsid w:val="009C013C"/>
    <w:rsid w:val="009C133C"/>
    <w:rsid w:val="009C13AC"/>
    <w:rsid w:val="009C13FE"/>
    <w:rsid w:val="009C1DAF"/>
    <w:rsid w:val="009C2066"/>
    <w:rsid w:val="009C3030"/>
    <w:rsid w:val="009C314B"/>
    <w:rsid w:val="009C323B"/>
    <w:rsid w:val="009C388A"/>
    <w:rsid w:val="009C38FE"/>
    <w:rsid w:val="009C3C19"/>
    <w:rsid w:val="009C452B"/>
    <w:rsid w:val="009C4D7E"/>
    <w:rsid w:val="009C4FF7"/>
    <w:rsid w:val="009C5634"/>
    <w:rsid w:val="009C5867"/>
    <w:rsid w:val="009C5993"/>
    <w:rsid w:val="009C615C"/>
    <w:rsid w:val="009C660A"/>
    <w:rsid w:val="009C77B5"/>
    <w:rsid w:val="009C7E34"/>
    <w:rsid w:val="009D1018"/>
    <w:rsid w:val="009D1DAE"/>
    <w:rsid w:val="009D2265"/>
    <w:rsid w:val="009D24B2"/>
    <w:rsid w:val="009D27EC"/>
    <w:rsid w:val="009D2CFA"/>
    <w:rsid w:val="009D36D4"/>
    <w:rsid w:val="009D3790"/>
    <w:rsid w:val="009D3898"/>
    <w:rsid w:val="009D3B6F"/>
    <w:rsid w:val="009D4CFE"/>
    <w:rsid w:val="009D52E5"/>
    <w:rsid w:val="009D541C"/>
    <w:rsid w:val="009D5FBF"/>
    <w:rsid w:val="009D65B3"/>
    <w:rsid w:val="009D686D"/>
    <w:rsid w:val="009D73C2"/>
    <w:rsid w:val="009D73D9"/>
    <w:rsid w:val="009D75CB"/>
    <w:rsid w:val="009E0209"/>
    <w:rsid w:val="009E115F"/>
    <w:rsid w:val="009E1933"/>
    <w:rsid w:val="009E1C7A"/>
    <w:rsid w:val="009E2FB7"/>
    <w:rsid w:val="009E4692"/>
    <w:rsid w:val="009E46E3"/>
    <w:rsid w:val="009E501B"/>
    <w:rsid w:val="009E5144"/>
    <w:rsid w:val="009E5315"/>
    <w:rsid w:val="009E5E38"/>
    <w:rsid w:val="009E614B"/>
    <w:rsid w:val="009E6B4A"/>
    <w:rsid w:val="009E6B5D"/>
    <w:rsid w:val="009E6ED2"/>
    <w:rsid w:val="009E727F"/>
    <w:rsid w:val="009E72CB"/>
    <w:rsid w:val="009E7795"/>
    <w:rsid w:val="009E79D9"/>
    <w:rsid w:val="009E7E19"/>
    <w:rsid w:val="009F14CA"/>
    <w:rsid w:val="009F202D"/>
    <w:rsid w:val="009F25C7"/>
    <w:rsid w:val="009F2DA1"/>
    <w:rsid w:val="009F3B33"/>
    <w:rsid w:val="009F4205"/>
    <w:rsid w:val="009F42EB"/>
    <w:rsid w:val="009F46A3"/>
    <w:rsid w:val="009F4B68"/>
    <w:rsid w:val="009F51BC"/>
    <w:rsid w:val="009F5A2C"/>
    <w:rsid w:val="009F6444"/>
    <w:rsid w:val="009F65E9"/>
    <w:rsid w:val="009F713B"/>
    <w:rsid w:val="009F7A07"/>
    <w:rsid w:val="009F7B4E"/>
    <w:rsid w:val="00A0007C"/>
    <w:rsid w:val="00A00A9E"/>
    <w:rsid w:val="00A00EDC"/>
    <w:rsid w:val="00A0134E"/>
    <w:rsid w:val="00A016AE"/>
    <w:rsid w:val="00A01F22"/>
    <w:rsid w:val="00A01F5A"/>
    <w:rsid w:val="00A021AA"/>
    <w:rsid w:val="00A02920"/>
    <w:rsid w:val="00A02B4A"/>
    <w:rsid w:val="00A03E2A"/>
    <w:rsid w:val="00A0417D"/>
    <w:rsid w:val="00A041EB"/>
    <w:rsid w:val="00A048A5"/>
    <w:rsid w:val="00A0500F"/>
    <w:rsid w:val="00A05331"/>
    <w:rsid w:val="00A060CF"/>
    <w:rsid w:val="00A06821"/>
    <w:rsid w:val="00A06FC1"/>
    <w:rsid w:val="00A071EB"/>
    <w:rsid w:val="00A10AEF"/>
    <w:rsid w:val="00A11623"/>
    <w:rsid w:val="00A11FFC"/>
    <w:rsid w:val="00A12553"/>
    <w:rsid w:val="00A12B7E"/>
    <w:rsid w:val="00A1314C"/>
    <w:rsid w:val="00A13161"/>
    <w:rsid w:val="00A14622"/>
    <w:rsid w:val="00A14A25"/>
    <w:rsid w:val="00A1580F"/>
    <w:rsid w:val="00A15832"/>
    <w:rsid w:val="00A1593A"/>
    <w:rsid w:val="00A1613D"/>
    <w:rsid w:val="00A16363"/>
    <w:rsid w:val="00A1666A"/>
    <w:rsid w:val="00A16E77"/>
    <w:rsid w:val="00A1717E"/>
    <w:rsid w:val="00A20845"/>
    <w:rsid w:val="00A20900"/>
    <w:rsid w:val="00A20D4B"/>
    <w:rsid w:val="00A20FED"/>
    <w:rsid w:val="00A2187A"/>
    <w:rsid w:val="00A21923"/>
    <w:rsid w:val="00A22274"/>
    <w:rsid w:val="00A22587"/>
    <w:rsid w:val="00A22C54"/>
    <w:rsid w:val="00A23066"/>
    <w:rsid w:val="00A23146"/>
    <w:rsid w:val="00A231C2"/>
    <w:rsid w:val="00A231EA"/>
    <w:rsid w:val="00A23325"/>
    <w:rsid w:val="00A23507"/>
    <w:rsid w:val="00A24245"/>
    <w:rsid w:val="00A24265"/>
    <w:rsid w:val="00A2451B"/>
    <w:rsid w:val="00A247B2"/>
    <w:rsid w:val="00A24835"/>
    <w:rsid w:val="00A24D27"/>
    <w:rsid w:val="00A24DA5"/>
    <w:rsid w:val="00A24DEE"/>
    <w:rsid w:val="00A250DC"/>
    <w:rsid w:val="00A251A3"/>
    <w:rsid w:val="00A2580A"/>
    <w:rsid w:val="00A25B0B"/>
    <w:rsid w:val="00A2647C"/>
    <w:rsid w:val="00A269F4"/>
    <w:rsid w:val="00A27451"/>
    <w:rsid w:val="00A27A01"/>
    <w:rsid w:val="00A30120"/>
    <w:rsid w:val="00A307B8"/>
    <w:rsid w:val="00A30D64"/>
    <w:rsid w:val="00A312E1"/>
    <w:rsid w:val="00A3148C"/>
    <w:rsid w:val="00A319C9"/>
    <w:rsid w:val="00A32022"/>
    <w:rsid w:val="00A3231E"/>
    <w:rsid w:val="00A32588"/>
    <w:rsid w:val="00A329B9"/>
    <w:rsid w:val="00A32F79"/>
    <w:rsid w:val="00A32FA0"/>
    <w:rsid w:val="00A33681"/>
    <w:rsid w:val="00A33E87"/>
    <w:rsid w:val="00A342DC"/>
    <w:rsid w:val="00A3517D"/>
    <w:rsid w:val="00A35E94"/>
    <w:rsid w:val="00A35FB7"/>
    <w:rsid w:val="00A36140"/>
    <w:rsid w:val="00A3625F"/>
    <w:rsid w:val="00A3633E"/>
    <w:rsid w:val="00A371BF"/>
    <w:rsid w:val="00A40013"/>
    <w:rsid w:val="00A40054"/>
    <w:rsid w:val="00A402EA"/>
    <w:rsid w:val="00A403E3"/>
    <w:rsid w:val="00A4050A"/>
    <w:rsid w:val="00A406B4"/>
    <w:rsid w:val="00A40BA8"/>
    <w:rsid w:val="00A4111C"/>
    <w:rsid w:val="00A4170D"/>
    <w:rsid w:val="00A4211F"/>
    <w:rsid w:val="00A42334"/>
    <w:rsid w:val="00A42E2D"/>
    <w:rsid w:val="00A435A8"/>
    <w:rsid w:val="00A439ED"/>
    <w:rsid w:val="00A43E33"/>
    <w:rsid w:val="00A44A98"/>
    <w:rsid w:val="00A452DF"/>
    <w:rsid w:val="00A45885"/>
    <w:rsid w:val="00A45D06"/>
    <w:rsid w:val="00A45D1D"/>
    <w:rsid w:val="00A464B9"/>
    <w:rsid w:val="00A46B18"/>
    <w:rsid w:val="00A4743F"/>
    <w:rsid w:val="00A50B70"/>
    <w:rsid w:val="00A51230"/>
    <w:rsid w:val="00A5134D"/>
    <w:rsid w:val="00A517CC"/>
    <w:rsid w:val="00A51E27"/>
    <w:rsid w:val="00A51F3E"/>
    <w:rsid w:val="00A5223D"/>
    <w:rsid w:val="00A52804"/>
    <w:rsid w:val="00A52820"/>
    <w:rsid w:val="00A52E09"/>
    <w:rsid w:val="00A5394F"/>
    <w:rsid w:val="00A53C3E"/>
    <w:rsid w:val="00A53DDC"/>
    <w:rsid w:val="00A542AB"/>
    <w:rsid w:val="00A55498"/>
    <w:rsid w:val="00A5615B"/>
    <w:rsid w:val="00A56512"/>
    <w:rsid w:val="00A566A3"/>
    <w:rsid w:val="00A56B00"/>
    <w:rsid w:val="00A57258"/>
    <w:rsid w:val="00A57779"/>
    <w:rsid w:val="00A57F29"/>
    <w:rsid w:val="00A60056"/>
    <w:rsid w:val="00A60BBD"/>
    <w:rsid w:val="00A60EC1"/>
    <w:rsid w:val="00A61A70"/>
    <w:rsid w:val="00A62C55"/>
    <w:rsid w:val="00A6358D"/>
    <w:rsid w:val="00A63794"/>
    <w:rsid w:val="00A64D32"/>
    <w:rsid w:val="00A6559D"/>
    <w:rsid w:val="00A655A5"/>
    <w:rsid w:val="00A65640"/>
    <w:rsid w:val="00A65DFC"/>
    <w:rsid w:val="00A660C5"/>
    <w:rsid w:val="00A6627E"/>
    <w:rsid w:val="00A667C6"/>
    <w:rsid w:val="00A6683A"/>
    <w:rsid w:val="00A66E35"/>
    <w:rsid w:val="00A66E66"/>
    <w:rsid w:val="00A67434"/>
    <w:rsid w:val="00A70107"/>
    <w:rsid w:val="00A71827"/>
    <w:rsid w:val="00A71F1B"/>
    <w:rsid w:val="00A72001"/>
    <w:rsid w:val="00A72353"/>
    <w:rsid w:val="00A73F42"/>
    <w:rsid w:val="00A747C4"/>
    <w:rsid w:val="00A76397"/>
    <w:rsid w:val="00A76C55"/>
    <w:rsid w:val="00A76D2E"/>
    <w:rsid w:val="00A7711B"/>
    <w:rsid w:val="00A77DB2"/>
    <w:rsid w:val="00A8019D"/>
    <w:rsid w:val="00A80201"/>
    <w:rsid w:val="00A80628"/>
    <w:rsid w:val="00A808A9"/>
    <w:rsid w:val="00A81A8B"/>
    <w:rsid w:val="00A81EA9"/>
    <w:rsid w:val="00A8288C"/>
    <w:rsid w:val="00A82EFB"/>
    <w:rsid w:val="00A83302"/>
    <w:rsid w:val="00A83D4C"/>
    <w:rsid w:val="00A84050"/>
    <w:rsid w:val="00A840F7"/>
    <w:rsid w:val="00A84575"/>
    <w:rsid w:val="00A8473C"/>
    <w:rsid w:val="00A855A2"/>
    <w:rsid w:val="00A869F9"/>
    <w:rsid w:val="00A87CDC"/>
    <w:rsid w:val="00A9013A"/>
    <w:rsid w:val="00A9087A"/>
    <w:rsid w:val="00A90C82"/>
    <w:rsid w:val="00A9103C"/>
    <w:rsid w:val="00A916AA"/>
    <w:rsid w:val="00A91DDE"/>
    <w:rsid w:val="00A91FB5"/>
    <w:rsid w:val="00A9240A"/>
    <w:rsid w:val="00A92B4F"/>
    <w:rsid w:val="00A92BE4"/>
    <w:rsid w:val="00A92D3C"/>
    <w:rsid w:val="00A92E29"/>
    <w:rsid w:val="00A92EA2"/>
    <w:rsid w:val="00A9349F"/>
    <w:rsid w:val="00A93A69"/>
    <w:rsid w:val="00A95D5C"/>
    <w:rsid w:val="00A96812"/>
    <w:rsid w:val="00A97049"/>
    <w:rsid w:val="00A9744B"/>
    <w:rsid w:val="00AA0163"/>
    <w:rsid w:val="00AA031D"/>
    <w:rsid w:val="00AA0749"/>
    <w:rsid w:val="00AA0909"/>
    <w:rsid w:val="00AA0F93"/>
    <w:rsid w:val="00AA23D2"/>
    <w:rsid w:val="00AA2737"/>
    <w:rsid w:val="00AA2959"/>
    <w:rsid w:val="00AA2F65"/>
    <w:rsid w:val="00AA2FC1"/>
    <w:rsid w:val="00AA36B0"/>
    <w:rsid w:val="00AA395F"/>
    <w:rsid w:val="00AA4270"/>
    <w:rsid w:val="00AA4279"/>
    <w:rsid w:val="00AA4DDB"/>
    <w:rsid w:val="00AA4ECB"/>
    <w:rsid w:val="00AA512E"/>
    <w:rsid w:val="00AA5749"/>
    <w:rsid w:val="00AA578D"/>
    <w:rsid w:val="00AA5802"/>
    <w:rsid w:val="00AA624F"/>
    <w:rsid w:val="00AA633E"/>
    <w:rsid w:val="00AA6478"/>
    <w:rsid w:val="00AA6B29"/>
    <w:rsid w:val="00AA73F4"/>
    <w:rsid w:val="00AA7E24"/>
    <w:rsid w:val="00AB0327"/>
    <w:rsid w:val="00AB0672"/>
    <w:rsid w:val="00AB1141"/>
    <w:rsid w:val="00AB191F"/>
    <w:rsid w:val="00AB2664"/>
    <w:rsid w:val="00AB29C0"/>
    <w:rsid w:val="00AB2BD2"/>
    <w:rsid w:val="00AB2F5C"/>
    <w:rsid w:val="00AB34B1"/>
    <w:rsid w:val="00AB34E9"/>
    <w:rsid w:val="00AB3D35"/>
    <w:rsid w:val="00AB3E79"/>
    <w:rsid w:val="00AB4843"/>
    <w:rsid w:val="00AB4A88"/>
    <w:rsid w:val="00AB5794"/>
    <w:rsid w:val="00AB5B5F"/>
    <w:rsid w:val="00AB5F79"/>
    <w:rsid w:val="00AC0D85"/>
    <w:rsid w:val="00AC1AB2"/>
    <w:rsid w:val="00AC25E2"/>
    <w:rsid w:val="00AC2A13"/>
    <w:rsid w:val="00AC33AC"/>
    <w:rsid w:val="00AC435E"/>
    <w:rsid w:val="00AC44CE"/>
    <w:rsid w:val="00AC4851"/>
    <w:rsid w:val="00AC4F0D"/>
    <w:rsid w:val="00AC53A2"/>
    <w:rsid w:val="00AC5D7E"/>
    <w:rsid w:val="00AC6917"/>
    <w:rsid w:val="00AC70B8"/>
    <w:rsid w:val="00AC741F"/>
    <w:rsid w:val="00AC7A5B"/>
    <w:rsid w:val="00AD07E6"/>
    <w:rsid w:val="00AD0ABB"/>
    <w:rsid w:val="00AD25CC"/>
    <w:rsid w:val="00AD2787"/>
    <w:rsid w:val="00AD2D16"/>
    <w:rsid w:val="00AD3082"/>
    <w:rsid w:val="00AD33EA"/>
    <w:rsid w:val="00AD3F75"/>
    <w:rsid w:val="00AD43D7"/>
    <w:rsid w:val="00AD45F0"/>
    <w:rsid w:val="00AD4AC4"/>
    <w:rsid w:val="00AD581F"/>
    <w:rsid w:val="00AD60EE"/>
    <w:rsid w:val="00AD7952"/>
    <w:rsid w:val="00AE22CA"/>
    <w:rsid w:val="00AE37EC"/>
    <w:rsid w:val="00AE38E8"/>
    <w:rsid w:val="00AE3A57"/>
    <w:rsid w:val="00AE45CF"/>
    <w:rsid w:val="00AE493B"/>
    <w:rsid w:val="00AE4E46"/>
    <w:rsid w:val="00AE5D38"/>
    <w:rsid w:val="00AE65BD"/>
    <w:rsid w:val="00AE7475"/>
    <w:rsid w:val="00AE7DBB"/>
    <w:rsid w:val="00AF005C"/>
    <w:rsid w:val="00AF0455"/>
    <w:rsid w:val="00AF110A"/>
    <w:rsid w:val="00AF144E"/>
    <w:rsid w:val="00AF1A6E"/>
    <w:rsid w:val="00AF1D22"/>
    <w:rsid w:val="00AF2242"/>
    <w:rsid w:val="00AF33E3"/>
    <w:rsid w:val="00AF468A"/>
    <w:rsid w:val="00AF4B98"/>
    <w:rsid w:val="00AF4EAA"/>
    <w:rsid w:val="00AF5DD9"/>
    <w:rsid w:val="00AF6F22"/>
    <w:rsid w:val="00AF71BB"/>
    <w:rsid w:val="00AF797D"/>
    <w:rsid w:val="00B00699"/>
    <w:rsid w:val="00B00877"/>
    <w:rsid w:val="00B00CEC"/>
    <w:rsid w:val="00B01955"/>
    <w:rsid w:val="00B03382"/>
    <w:rsid w:val="00B03BA9"/>
    <w:rsid w:val="00B0411A"/>
    <w:rsid w:val="00B04269"/>
    <w:rsid w:val="00B043B6"/>
    <w:rsid w:val="00B045F0"/>
    <w:rsid w:val="00B04ADB"/>
    <w:rsid w:val="00B04EDB"/>
    <w:rsid w:val="00B0506E"/>
    <w:rsid w:val="00B058EE"/>
    <w:rsid w:val="00B059E4"/>
    <w:rsid w:val="00B07256"/>
    <w:rsid w:val="00B072A0"/>
    <w:rsid w:val="00B078AC"/>
    <w:rsid w:val="00B07CDB"/>
    <w:rsid w:val="00B1057B"/>
    <w:rsid w:val="00B11012"/>
    <w:rsid w:val="00B111EF"/>
    <w:rsid w:val="00B12182"/>
    <w:rsid w:val="00B12276"/>
    <w:rsid w:val="00B13528"/>
    <w:rsid w:val="00B141A4"/>
    <w:rsid w:val="00B1425A"/>
    <w:rsid w:val="00B14896"/>
    <w:rsid w:val="00B15232"/>
    <w:rsid w:val="00B157B7"/>
    <w:rsid w:val="00B16BD3"/>
    <w:rsid w:val="00B17CEE"/>
    <w:rsid w:val="00B2010D"/>
    <w:rsid w:val="00B20CD6"/>
    <w:rsid w:val="00B214C0"/>
    <w:rsid w:val="00B218A6"/>
    <w:rsid w:val="00B2210B"/>
    <w:rsid w:val="00B22212"/>
    <w:rsid w:val="00B22528"/>
    <w:rsid w:val="00B225C2"/>
    <w:rsid w:val="00B22BFB"/>
    <w:rsid w:val="00B22CC7"/>
    <w:rsid w:val="00B230DF"/>
    <w:rsid w:val="00B23163"/>
    <w:rsid w:val="00B23461"/>
    <w:rsid w:val="00B23552"/>
    <w:rsid w:val="00B23948"/>
    <w:rsid w:val="00B23D78"/>
    <w:rsid w:val="00B23EEC"/>
    <w:rsid w:val="00B23FAE"/>
    <w:rsid w:val="00B24215"/>
    <w:rsid w:val="00B24421"/>
    <w:rsid w:val="00B24626"/>
    <w:rsid w:val="00B2464E"/>
    <w:rsid w:val="00B249E9"/>
    <w:rsid w:val="00B24A0D"/>
    <w:rsid w:val="00B24CF5"/>
    <w:rsid w:val="00B25521"/>
    <w:rsid w:val="00B259BB"/>
    <w:rsid w:val="00B262DE"/>
    <w:rsid w:val="00B26947"/>
    <w:rsid w:val="00B26A9F"/>
    <w:rsid w:val="00B26B00"/>
    <w:rsid w:val="00B27C78"/>
    <w:rsid w:val="00B30DAD"/>
    <w:rsid w:val="00B317A1"/>
    <w:rsid w:val="00B31EB0"/>
    <w:rsid w:val="00B321A9"/>
    <w:rsid w:val="00B32D83"/>
    <w:rsid w:val="00B336E5"/>
    <w:rsid w:val="00B33E8C"/>
    <w:rsid w:val="00B34E5D"/>
    <w:rsid w:val="00B352D2"/>
    <w:rsid w:val="00B355E4"/>
    <w:rsid w:val="00B358F1"/>
    <w:rsid w:val="00B35E6C"/>
    <w:rsid w:val="00B36579"/>
    <w:rsid w:val="00B36772"/>
    <w:rsid w:val="00B368C8"/>
    <w:rsid w:val="00B37BAF"/>
    <w:rsid w:val="00B401FA"/>
    <w:rsid w:val="00B40A6B"/>
    <w:rsid w:val="00B40C75"/>
    <w:rsid w:val="00B4113A"/>
    <w:rsid w:val="00B4113B"/>
    <w:rsid w:val="00B417F9"/>
    <w:rsid w:val="00B41A0A"/>
    <w:rsid w:val="00B421A3"/>
    <w:rsid w:val="00B42426"/>
    <w:rsid w:val="00B42A28"/>
    <w:rsid w:val="00B42B29"/>
    <w:rsid w:val="00B42B4C"/>
    <w:rsid w:val="00B43066"/>
    <w:rsid w:val="00B4327E"/>
    <w:rsid w:val="00B4373E"/>
    <w:rsid w:val="00B43787"/>
    <w:rsid w:val="00B448DE"/>
    <w:rsid w:val="00B44B0D"/>
    <w:rsid w:val="00B45354"/>
    <w:rsid w:val="00B456DA"/>
    <w:rsid w:val="00B46BB2"/>
    <w:rsid w:val="00B478E8"/>
    <w:rsid w:val="00B50237"/>
    <w:rsid w:val="00B50307"/>
    <w:rsid w:val="00B50AEF"/>
    <w:rsid w:val="00B518EE"/>
    <w:rsid w:val="00B51E99"/>
    <w:rsid w:val="00B52217"/>
    <w:rsid w:val="00B52B9F"/>
    <w:rsid w:val="00B52DFF"/>
    <w:rsid w:val="00B532B2"/>
    <w:rsid w:val="00B53A61"/>
    <w:rsid w:val="00B53B1E"/>
    <w:rsid w:val="00B53D77"/>
    <w:rsid w:val="00B54066"/>
    <w:rsid w:val="00B54152"/>
    <w:rsid w:val="00B547EE"/>
    <w:rsid w:val="00B556E8"/>
    <w:rsid w:val="00B557C1"/>
    <w:rsid w:val="00B5585E"/>
    <w:rsid w:val="00B55CE5"/>
    <w:rsid w:val="00B56715"/>
    <w:rsid w:val="00B56718"/>
    <w:rsid w:val="00B56F0E"/>
    <w:rsid w:val="00B577A9"/>
    <w:rsid w:val="00B57893"/>
    <w:rsid w:val="00B57BF5"/>
    <w:rsid w:val="00B57CD8"/>
    <w:rsid w:val="00B60640"/>
    <w:rsid w:val="00B606FF"/>
    <w:rsid w:val="00B60910"/>
    <w:rsid w:val="00B60C52"/>
    <w:rsid w:val="00B61391"/>
    <w:rsid w:val="00B6140D"/>
    <w:rsid w:val="00B6154C"/>
    <w:rsid w:val="00B61793"/>
    <w:rsid w:val="00B62BBB"/>
    <w:rsid w:val="00B62BD2"/>
    <w:rsid w:val="00B62C29"/>
    <w:rsid w:val="00B62D61"/>
    <w:rsid w:val="00B63CDF"/>
    <w:rsid w:val="00B63E9B"/>
    <w:rsid w:val="00B645A8"/>
    <w:rsid w:val="00B6503F"/>
    <w:rsid w:val="00B65208"/>
    <w:rsid w:val="00B655AF"/>
    <w:rsid w:val="00B6569F"/>
    <w:rsid w:val="00B66B8F"/>
    <w:rsid w:val="00B67414"/>
    <w:rsid w:val="00B67B1C"/>
    <w:rsid w:val="00B701C1"/>
    <w:rsid w:val="00B71B5F"/>
    <w:rsid w:val="00B71DF8"/>
    <w:rsid w:val="00B71EA5"/>
    <w:rsid w:val="00B725D5"/>
    <w:rsid w:val="00B72C17"/>
    <w:rsid w:val="00B73C72"/>
    <w:rsid w:val="00B74436"/>
    <w:rsid w:val="00B745C1"/>
    <w:rsid w:val="00B75D43"/>
    <w:rsid w:val="00B75DA1"/>
    <w:rsid w:val="00B75FC7"/>
    <w:rsid w:val="00B76857"/>
    <w:rsid w:val="00B76DDA"/>
    <w:rsid w:val="00B772BD"/>
    <w:rsid w:val="00B7751A"/>
    <w:rsid w:val="00B77912"/>
    <w:rsid w:val="00B77CFA"/>
    <w:rsid w:val="00B77EAF"/>
    <w:rsid w:val="00B77EEE"/>
    <w:rsid w:val="00B80083"/>
    <w:rsid w:val="00B80547"/>
    <w:rsid w:val="00B80788"/>
    <w:rsid w:val="00B80D87"/>
    <w:rsid w:val="00B81182"/>
    <w:rsid w:val="00B818AB"/>
    <w:rsid w:val="00B81B19"/>
    <w:rsid w:val="00B822A5"/>
    <w:rsid w:val="00B822FE"/>
    <w:rsid w:val="00B8246A"/>
    <w:rsid w:val="00B8255A"/>
    <w:rsid w:val="00B831DC"/>
    <w:rsid w:val="00B834FD"/>
    <w:rsid w:val="00B83FD6"/>
    <w:rsid w:val="00B8411C"/>
    <w:rsid w:val="00B843B9"/>
    <w:rsid w:val="00B84AA8"/>
    <w:rsid w:val="00B84BFC"/>
    <w:rsid w:val="00B8555B"/>
    <w:rsid w:val="00B85D2C"/>
    <w:rsid w:val="00B85E82"/>
    <w:rsid w:val="00B86575"/>
    <w:rsid w:val="00B86B82"/>
    <w:rsid w:val="00B86F58"/>
    <w:rsid w:val="00B906D5"/>
    <w:rsid w:val="00B92195"/>
    <w:rsid w:val="00B92268"/>
    <w:rsid w:val="00B9248E"/>
    <w:rsid w:val="00B92495"/>
    <w:rsid w:val="00B9261E"/>
    <w:rsid w:val="00B92A09"/>
    <w:rsid w:val="00B935D8"/>
    <w:rsid w:val="00B94160"/>
    <w:rsid w:val="00B94E1B"/>
    <w:rsid w:val="00B969B5"/>
    <w:rsid w:val="00B96C12"/>
    <w:rsid w:val="00B96CF3"/>
    <w:rsid w:val="00B97221"/>
    <w:rsid w:val="00B972F0"/>
    <w:rsid w:val="00BA0546"/>
    <w:rsid w:val="00BA1109"/>
    <w:rsid w:val="00BA1B14"/>
    <w:rsid w:val="00BA217E"/>
    <w:rsid w:val="00BA2896"/>
    <w:rsid w:val="00BA3869"/>
    <w:rsid w:val="00BA387A"/>
    <w:rsid w:val="00BA3F9D"/>
    <w:rsid w:val="00BA47D5"/>
    <w:rsid w:val="00BA6293"/>
    <w:rsid w:val="00BA6BDA"/>
    <w:rsid w:val="00BA6D99"/>
    <w:rsid w:val="00BA6ED7"/>
    <w:rsid w:val="00BA7446"/>
    <w:rsid w:val="00BA79D7"/>
    <w:rsid w:val="00BA7C84"/>
    <w:rsid w:val="00BB02D4"/>
    <w:rsid w:val="00BB186C"/>
    <w:rsid w:val="00BB1DEF"/>
    <w:rsid w:val="00BB1E43"/>
    <w:rsid w:val="00BB2374"/>
    <w:rsid w:val="00BB2D33"/>
    <w:rsid w:val="00BB300C"/>
    <w:rsid w:val="00BB358F"/>
    <w:rsid w:val="00BB3C37"/>
    <w:rsid w:val="00BB3FA9"/>
    <w:rsid w:val="00BB4BFC"/>
    <w:rsid w:val="00BB4F5A"/>
    <w:rsid w:val="00BB675E"/>
    <w:rsid w:val="00BB67E7"/>
    <w:rsid w:val="00BB69F7"/>
    <w:rsid w:val="00BB70AA"/>
    <w:rsid w:val="00BB73AF"/>
    <w:rsid w:val="00BB75AB"/>
    <w:rsid w:val="00BB77EE"/>
    <w:rsid w:val="00BB7C1D"/>
    <w:rsid w:val="00BB7D2D"/>
    <w:rsid w:val="00BC0005"/>
    <w:rsid w:val="00BC1489"/>
    <w:rsid w:val="00BC1EC6"/>
    <w:rsid w:val="00BC21AD"/>
    <w:rsid w:val="00BC470F"/>
    <w:rsid w:val="00BC4C8E"/>
    <w:rsid w:val="00BC5C56"/>
    <w:rsid w:val="00BC6149"/>
    <w:rsid w:val="00BC74A1"/>
    <w:rsid w:val="00BC75E7"/>
    <w:rsid w:val="00BC7BC6"/>
    <w:rsid w:val="00BD02B2"/>
    <w:rsid w:val="00BD03FB"/>
    <w:rsid w:val="00BD0621"/>
    <w:rsid w:val="00BD076C"/>
    <w:rsid w:val="00BD09EA"/>
    <w:rsid w:val="00BD11E0"/>
    <w:rsid w:val="00BD1285"/>
    <w:rsid w:val="00BD2336"/>
    <w:rsid w:val="00BD253C"/>
    <w:rsid w:val="00BD2587"/>
    <w:rsid w:val="00BD26E1"/>
    <w:rsid w:val="00BD2EFD"/>
    <w:rsid w:val="00BD3B3D"/>
    <w:rsid w:val="00BD3C2D"/>
    <w:rsid w:val="00BD411A"/>
    <w:rsid w:val="00BD468D"/>
    <w:rsid w:val="00BD487F"/>
    <w:rsid w:val="00BD4D18"/>
    <w:rsid w:val="00BD58DA"/>
    <w:rsid w:val="00BD5A2E"/>
    <w:rsid w:val="00BD5BC1"/>
    <w:rsid w:val="00BD5FD3"/>
    <w:rsid w:val="00BD61C9"/>
    <w:rsid w:val="00BD6580"/>
    <w:rsid w:val="00BD6A2F"/>
    <w:rsid w:val="00BD6C09"/>
    <w:rsid w:val="00BE0284"/>
    <w:rsid w:val="00BE0CD1"/>
    <w:rsid w:val="00BE18C8"/>
    <w:rsid w:val="00BE1C92"/>
    <w:rsid w:val="00BE1CFF"/>
    <w:rsid w:val="00BE1F52"/>
    <w:rsid w:val="00BE215F"/>
    <w:rsid w:val="00BE229D"/>
    <w:rsid w:val="00BE2450"/>
    <w:rsid w:val="00BE27B3"/>
    <w:rsid w:val="00BE27C1"/>
    <w:rsid w:val="00BE27D8"/>
    <w:rsid w:val="00BE2997"/>
    <w:rsid w:val="00BE331E"/>
    <w:rsid w:val="00BE33BA"/>
    <w:rsid w:val="00BE3FC2"/>
    <w:rsid w:val="00BE4076"/>
    <w:rsid w:val="00BE4412"/>
    <w:rsid w:val="00BE4B18"/>
    <w:rsid w:val="00BE6D35"/>
    <w:rsid w:val="00BE6F4D"/>
    <w:rsid w:val="00BE71DE"/>
    <w:rsid w:val="00BE71ED"/>
    <w:rsid w:val="00BE744E"/>
    <w:rsid w:val="00BE7C2B"/>
    <w:rsid w:val="00BF0126"/>
    <w:rsid w:val="00BF0DFD"/>
    <w:rsid w:val="00BF1959"/>
    <w:rsid w:val="00BF1AD5"/>
    <w:rsid w:val="00BF203F"/>
    <w:rsid w:val="00BF2AC6"/>
    <w:rsid w:val="00BF2CCA"/>
    <w:rsid w:val="00BF2E8C"/>
    <w:rsid w:val="00BF32DB"/>
    <w:rsid w:val="00BF3390"/>
    <w:rsid w:val="00BF35AF"/>
    <w:rsid w:val="00BF47D0"/>
    <w:rsid w:val="00BF47D1"/>
    <w:rsid w:val="00BF4902"/>
    <w:rsid w:val="00BF4C08"/>
    <w:rsid w:val="00BF4D98"/>
    <w:rsid w:val="00BF5A29"/>
    <w:rsid w:val="00BF64D8"/>
    <w:rsid w:val="00BF6923"/>
    <w:rsid w:val="00BF6961"/>
    <w:rsid w:val="00BF69E9"/>
    <w:rsid w:val="00BF70B0"/>
    <w:rsid w:val="00BF786C"/>
    <w:rsid w:val="00BF7C48"/>
    <w:rsid w:val="00BF7FC9"/>
    <w:rsid w:val="00C00096"/>
    <w:rsid w:val="00C00372"/>
    <w:rsid w:val="00C01168"/>
    <w:rsid w:val="00C01C0C"/>
    <w:rsid w:val="00C020C6"/>
    <w:rsid w:val="00C021F6"/>
    <w:rsid w:val="00C03084"/>
    <w:rsid w:val="00C030EE"/>
    <w:rsid w:val="00C03946"/>
    <w:rsid w:val="00C03E3D"/>
    <w:rsid w:val="00C04159"/>
    <w:rsid w:val="00C04787"/>
    <w:rsid w:val="00C04D07"/>
    <w:rsid w:val="00C04DAB"/>
    <w:rsid w:val="00C04E82"/>
    <w:rsid w:val="00C0567D"/>
    <w:rsid w:val="00C05AB6"/>
    <w:rsid w:val="00C0666F"/>
    <w:rsid w:val="00C06BFC"/>
    <w:rsid w:val="00C10580"/>
    <w:rsid w:val="00C108DF"/>
    <w:rsid w:val="00C10A55"/>
    <w:rsid w:val="00C11380"/>
    <w:rsid w:val="00C117F4"/>
    <w:rsid w:val="00C11BC4"/>
    <w:rsid w:val="00C11D47"/>
    <w:rsid w:val="00C11FA1"/>
    <w:rsid w:val="00C149D4"/>
    <w:rsid w:val="00C16D82"/>
    <w:rsid w:val="00C175C5"/>
    <w:rsid w:val="00C17EBA"/>
    <w:rsid w:val="00C17FAB"/>
    <w:rsid w:val="00C2085F"/>
    <w:rsid w:val="00C20D30"/>
    <w:rsid w:val="00C21794"/>
    <w:rsid w:val="00C22271"/>
    <w:rsid w:val="00C22D34"/>
    <w:rsid w:val="00C22FD9"/>
    <w:rsid w:val="00C2309D"/>
    <w:rsid w:val="00C237EC"/>
    <w:rsid w:val="00C2394D"/>
    <w:rsid w:val="00C23A40"/>
    <w:rsid w:val="00C23FF3"/>
    <w:rsid w:val="00C24103"/>
    <w:rsid w:val="00C24EA4"/>
    <w:rsid w:val="00C24EC9"/>
    <w:rsid w:val="00C250D0"/>
    <w:rsid w:val="00C25529"/>
    <w:rsid w:val="00C261C1"/>
    <w:rsid w:val="00C26533"/>
    <w:rsid w:val="00C27350"/>
    <w:rsid w:val="00C27812"/>
    <w:rsid w:val="00C3143B"/>
    <w:rsid w:val="00C31A50"/>
    <w:rsid w:val="00C3278C"/>
    <w:rsid w:val="00C327E2"/>
    <w:rsid w:val="00C33300"/>
    <w:rsid w:val="00C33508"/>
    <w:rsid w:val="00C33D94"/>
    <w:rsid w:val="00C34828"/>
    <w:rsid w:val="00C355E9"/>
    <w:rsid w:val="00C35C34"/>
    <w:rsid w:val="00C36226"/>
    <w:rsid w:val="00C367D2"/>
    <w:rsid w:val="00C36D0E"/>
    <w:rsid w:val="00C371BC"/>
    <w:rsid w:val="00C37577"/>
    <w:rsid w:val="00C376E0"/>
    <w:rsid w:val="00C37BFE"/>
    <w:rsid w:val="00C37C8C"/>
    <w:rsid w:val="00C37F92"/>
    <w:rsid w:val="00C4015C"/>
    <w:rsid w:val="00C4116F"/>
    <w:rsid w:val="00C411B8"/>
    <w:rsid w:val="00C41CA2"/>
    <w:rsid w:val="00C429DD"/>
    <w:rsid w:val="00C43BF7"/>
    <w:rsid w:val="00C44582"/>
    <w:rsid w:val="00C44799"/>
    <w:rsid w:val="00C45437"/>
    <w:rsid w:val="00C45A06"/>
    <w:rsid w:val="00C463B8"/>
    <w:rsid w:val="00C469B9"/>
    <w:rsid w:val="00C46AFB"/>
    <w:rsid w:val="00C47107"/>
    <w:rsid w:val="00C4719F"/>
    <w:rsid w:val="00C4728C"/>
    <w:rsid w:val="00C47C16"/>
    <w:rsid w:val="00C47FA8"/>
    <w:rsid w:val="00C50225"/>
    <w:rsid w:val="00C5025E"/>
    <w:rsid w:val="00C50E7F"/>
    <w:rsid w:val="00C51264"/>
    <w:rsid w:val="00C512D2"/>
    <w:rsid w:val="00C51429"/>
    <w:rsid w:val="00C514CB"/>
    <w:rsid w:val="00C51AB1"/>
    <w:rsid w:val="00C52D81"/>
    <w:rsid w:val="00C54539"/>
    <w:rsid w:val="00C55905"/>
    <w:rsid w:val="00C5621F"/>
    <w:rsid w:val="00C566C3"/>
    <w:rsid w:val="00C56F6C"/>
    <w:rsid w:val="00C57314"/>
    <w:rsid w:val="00C57A18"/>
    <w:rsid w:val="00C57CA3"/>
    <w:rsid w:val="00C608C8"/>
    <w:rsid w:val="00C6122B"/>
    <w:rsid w:val="00C617E1"/>
    <w:rsid w:val="00C625DC"/>
    <w:rsid w:val="00C63238"/>
    <w:rsid w:val="00C63E58"/>
    <w:rsid w:val="00C640DC"/>
    <w:rsid w:val="00C646F9"/>
    <w:rsid w:val="00C65176"/>
    <w:rsid w:val="00C65495"/>
    <w:rsid w:val="00C6549C"/>
    <w:rsid w:val="00C66870"/>
    <w:rsid w:val="00C66B29"/>
    <w:rsid w:val="00C66FB2"/>
    <w:rsid w:val="00C676DA"/>
    <w:rsid w:val="00C67C99"/>
    <w:rsid w:val="00C702CF"/>
    <w:rsid w:val="00C70AD6"/>
    <w:rsid w:val="00C713A9"/>
    <w:rsid w:val="00C71AB5"/>
    <w:rsid w:val="00C71E77"/>
    <w:rsid w:val="00C71FF4"/>
    <w:rsid w:val="00C7280F"/>
    <w:rsid w:val="00C72D77"/>
    <w:rsid w:val="00C73987"/>
    <w:rsid w:val="00C739BE"/>
    <w:rsid w:val="00C743E0"/>
    <w:rsid w:val="00C7446D"/>
    <w:rsid w:val="00C747BB"/>
    <w:rsid w:val="00C75D98"/>
    <w:rsid w:val="00C76065"/>
    <w:rsid w:val="00C76647"/>
    <w:rsid w:val="00C769A5"/>
    <w:rsid w:val="00C76D71"/>
    <w:rsid w:val="00C774B5"/>
    <w:rsid w:val="00C77DD3"/>
    <w:rsid w:val="00C81182"/>
    <w:rsid w:val="00C8160D"/>
    <w:rsid w:val="00C81F43"/>
    <w:rsid w:val="00C832B6"/>
    <w:rsid w:val="00C83D1A"/>
    <w:rsid w:val="00C84045"/>
    <w:rsid w:val="00C8466D"/>
    <w:rsid w:val="00C84686"/>
    <w:rsid w:val="00C84C97"/>
    <w:rsid w:val="00C84FA2"/>
    <w:rsid w:val="00C850EA"/>
    <w:rsid w:val="00C85684"/>
    <w:rsid w:val="00C85BF2"/>
    <w:rsid w:val="00C85E3C"/>
    <w:rsid w:val="00C85E52"/>
    <w:rsid w:val="00C87032"/>
    <w:rsid w:val="00C87263"/>
    <w:rsid w:val="00C87357"/>
    <w:rsid w:val="00C87741"/>
    <w:rsid w:val="00C8784D"/>
    <w:rsid w:val="00C87D30"/>
    <w:rsid w:val="00C90304"/>
    <w:rsid w:val="00C914F1"/>
    <w:rsid w:val="00C91CE3"/>
    <w:rsid w:val="00C92068"/>
    <w:rsid w:val="00C923C6"/>
    <w:rsid w:val="00C938E1"/>
    <w:rsid w:val="00C93B8B"/>
    <w:rsid w:val="00C94119"/>
    <w:rsid w:val="00C94948"/>
    <w:rsid w:val="00C94A16"/>
    <w:rsid w:val="00C94A47"/>
    <w:rsid w:val="00C9691B"/>
    <w:rsid w:val="00C96DC4"/>
    <w:rsid w:val="00C97376"/>
    <w:rsid w:val="00CA0142"/>
    <w:rsid w:val="00CA1636"/>
    <w:rsid w:val="00CA17E9"/>
    <w:rsid w:val="00CA1CF5"/>
    <w:rsid w:val="00CA35DF"/>
    <w:rsid w:val="00CA3B83"/>
    <w:rsid w:val="00CA3E52"/>
    <w:rsid w:val="00CA4C5B"/>
    <w:rsid w:val="00CA51E8"/>
    <w:rsid w:val="00CA56DB"/>
    <w:rsid w:val="00CA5C94"/>
    <w:rsid w:val="00CA6AB3"/>
    <w:rsid w:val="00CA6BA7"/>
    <w:rsid w:val="00CA7498"/>
    <w:rsid w:val="00CA7B40"/>
    <w:rsid w:val="00CA7E7A"/>
    <w:rsid w:val="00CB0120"/>
    <w:rsid w:val="00CB0314"/>
    <w:rsid w:val="00CB118B"/>
    <w:rsid w:val="00CB1643"/>
    <w:rsid w:val="00CB16F5"/>
    <w:rsid w:val="00CB1A55"/>
    <w:rsid w:val="00CB2166"/>
    <w:rsid w:val="00CB23F7"/>
    <w:rsid w:val="00CB2B9B"/>
    <w:rsid w:val="00CB400B"/>
    <w:rsid w:val="00CB424F"/>
    <w:rsid w:val="00CB4EF4"/>
    <w:rsid w:val="00CB51C5"/>
    <w:rsid w:val="00CB5C30"/>
    <w:rsid w:val="00CB5D45"/>
    <w:rsid w:val="00CB67EF"/>
    <w:rsid w:val="00CB74F9"/>
    <w:rsid w:val="00CB7B30"/>
    <w:rsid w:val="00CB7D4C"/>
    <w:rsid w:val="00CC14C1"/>
    <w:rsid w:val="00CC1B0E"/>
    <w:rsid w:val="00CC2089"/>
    <w:rsid w:val="00CC36AC"/>
    <w:rsid w:val="00CC3C4E"/>
    <w:rsid w:val="00CC4050"/>
    <w:rsid w:val="00CC4C2D"/>
    <w:rsid w:val="00CC4C62"/>
    <w:rsid w:val="00CC4C92"/>
    <w:rsid w:val="00CC53D3"/>
    <w:rsid w:val="00CC628C"/>
    <w:rsid w:val="00CC6341"/>
    <w:rsid w:val="00CC63B0"/>
    <w:rsid w:val="00CC69D1"/>
    <w:rsid w:val="00CC6A3A"/>
    <w:rsid w:val="00CC7610"/>
    <w:rsid w:val="00CC7686"/>
    <w:rsid w:val="00CC76AA"/>
    <w:rsid w:val="00CC7D50"/>
    <w:rsid w:val="00CD0946"/>
    <w:rsid w:val="00CD0BEB"/>
    <w:rsid w:val="00CD13BF"/>
    <w:rsid w:val="00CD1CDC"/>
    <w:rsid w:val="00CD2CC9"/>
    <w:rsid w:val="00CD3B02"/>
    <w:rsid w:val="00CD3D96"/>
    <w:rsid w:val="00CD3F10"/>
    <w:rsid w:val="00CD3F9D"/>
    <w:rsid w:val="00CD439C"/>
    <w:rsid w:val="00CD4406"/>
    <w:rsid w:val="00CD4F77"/>
    <w:rsid w:val="00CD540C"/>
    <w:rsid w:val="00CD628C"/>
    <w:rsid w:val="00CD6EB7"/>
    <w:rsid w:val="00CD7E32"/>
    <w:rsid w:val="00CE01BD"/>
    <w:rsid w:val="00CE01EF"/>
    <w:rsid w:val="00CE04B4"/>
    <w:rsid w:val="00CE071C"/>
    <w:rsid w:val="00CE1A9F"/>
    <w:rsid w:val="00CE1E9B"/>
    <w:rsid w:val="00CE26B4"/>
    <w:rsid w:val="00CE26CD"/>
    <w:rsid w:val="00CE2713"/>
    <w:rsid w:val="00CE2AAA"/>
    <w:rsid w:val="00CE2CCD"/>
    <w:rsid w:val="00CE2D27"/>
    <w:rsid w:val="00CE3BFE"/>
    <w:rsid w:val="00CE43C6"/>
    <w:rsid w:val="00CE4F10"/>
    <w:rsid w:val="00CE50FB"/>
    <w:rsid w:val="00CE5F0D"/>
    <w:rsid w:val="00CE612F"/>
    <w:rsid w:val="00CE6AED"/>
    <w:rsid w:val="00CE6D1F"/>
    <w:rsid w:val="00CE6E5B"/>
    <w:rsid w:val="00CE72C1"/>
    <w:rsid w:val="00CE743D"/>
    <w:rsid w:val="00CE7E91"/>
    <w:rsid w:val="00CF121B"/>
    <w:rsid w:val="00CF166B"/>
    <w:rsid w:val="00CF1B4A"/>
    <w:rsid w:val="00CF2855"/>
    <w:rsid w:val="00CF35ED"/>
    <w:rsid w:val="00CF3A92"/>
    <w:rsid w:val="00CF3D50"/>
    <w:rsid w:val="00CF4AB5"/>
    <w:rsid w:val="00CF54FE"/>
    <w:rsid w:val="00CF66FB"/>
    <w:rsid w:val="00CF6ED4"/>
    <w:rsid w:val="00CF72AE"/>
    <w:rsid w:val="00CF75EA"/>
    <w:rsid w:val="00CF7D4D"/>
    <w:rsid w:val="00D00087"/>
    <w:rsid w:val="00D0062B"/>
    <w:rsid w:val="00D01D28"/>
    <w:rsid w:val="00D01E63"/>
    <w:rsid w:val="00D026FE"/>
    <w:rsid w:val="00D02760"/>
    <w:rsid w:val="00D0282A"/>
    <w:rsid w:val="00D04FF2"/>
    <w:rsid w:val="00D0519E"/>
    <w:rsid w:val="00D06113"/>
    <w:rsid w:val="00D06665"/>
    <w:rsid w:val="00D06D11"/>
    <w:rsid w:val="00D073BE"/>
    <w:rsid w:val="00D10E85"/>
    <w:rsid w:val="00D10EBD"/>
    <w:rsid w:val="00D12003"/>
    <w:rsid w:val="00D122EA"/>
    <w:rsid w:val="00D12CE8"/>
    <w:rsid w:val="00D13354"/>
    <w:rsid w:val="00D1351C"/>
    <w:rsid w:val="00D13547"/>
    <w:rsid w:val="00D13983"/>
    <w:rsid w:val="00D13C8B"/>
    <w:rsid w:val="00D14322"/>
    <w:rsid w:val="00D15238"/>
    <w:rsid w:val="00D154C4"/>
    <w:rsid w:val="00D1576C"/>
    <w:rsid w:val="00D174F9"/>
    <w:rsid w:val="00D17F46"/>
    <w:rsid w:val="00D20240"/>
    <w:rsid w:val="00D203C2"/>
    <w:rsid w:val="00D2068C"/>
    <w:rsid w:val="00D20F82"/>
    <w:rsid w:val="00D2107E"/>
    <w:rsid w:val="00D21234"/>
    <w:rsid w:val="00D21573"/>
    <w:rsid w:val="00D21963"/>
    <w:rsid w:val="00D2199F"/>
    <w:rsid w:val="00D21A73"/>
    <w:rsid w:val="00D22138"/>
    <w:rsid w:val="00D22332"/>
    <w:rsid w:val="00D225EE"/>
    <w:rsid w:val="00D23074"/>
    <w:rsid w:val="00D2335A"/>
    <w:rsid w:val="00D235FF"/>
    <w:rsid w:val="00D23770"/>
    <w:rsid w:val="00D23EAE"/>
    <w:rsid w:val="00D2570C"/>
    <w:rsid w:val="00D263C8"/>
    <w:rsid w:val="00D26972"/>
    <w:rsid w:val="00D26B81"/>
    <w:rsid w:val="00D272CE"/>
    <w:rsid w:val="00D3166E"/>
    <w:rsid w:val="00D325E5"/>
    <w:rsid w:val="00D32BBB"/>
    <w:rsid w:val="00D32F6A"/>
    <w:rsid w:val="00D33AB4"/>
    <w:rsid w:val="00D33BFF"/>
    <w:rsid w:val="00D3442A"/>
    <w:rsid w:val="00D34B01"/>
    <w:rsid w:val="00D36465"/>
    <w:rsid w:val="00D36E05"/>
    <w:rsid w:val="00D402E8"/>
    <w:rsid w:val="00D4087A"/>
    <w:rsid w:val="00D412DE"/>
    <w:rsid w:val="00D41628"/>
    <w:rsid w:val="00D41770"/>
    <w:rsid w:val="00D41AC7"/>
    <w:rsid w:val="00D41CA0"/>
    <w:rsid w:val="00D41CB4"/>
    <w:rsid w:val="00D422BA"/>
    <w:rsid w:val="00D426F0"/>
    <w:rsid w:val="00D42FAA"/>
    <w:rsid w:val="00D42FE3"/>
    <w:rsid w:val="00D43DAC"/>
    <w:rsid w:val="00D44251"/>
    <w:rsid w:val="00D44D85"/>
    <w:rsid w:val="00D45AEE"/>
    <w:rsid w:val="00D45C80"/>
    <w:rsid w:val="00D4617E"/>
    <w:rsid w:val="00D465D1"/>
    <w:rsid w:val="00D4665C"/>
    <w:rsid w:val="00D46759"/>
    <w:rsid w:val="00D46FCB"/>
    <w:rsid w:val="00D47243"/>
    <w:rsid w:val="00D47654"/>
    <w:rsid w:val="00D504B7"/>
    <w:rsid w:val="00D50569"/>
    <w:rsid w:val="00D505F9"/>
    <w:rsid w:val="00D50FBE"/>
    <w:rsid w:val="00D51BE9"/>
    <w:rsid w:val="00D5280B"/>
    <w:rsid w:val="00D52EF0"/>
    <w:rsid w:val="00D53388"/>
    <w:rsid w:val="00D53FDC"/>
    <w:rsid w:val="00D55362"/>
    <w:rsid w:val="00D55503"/>
    <w:rsid w:val="00D55C64"/>
    <w:rsid w:val="00D5629A"/>
    <w:rsid w:val="00D56557"/>
    <w:rsid w:val="00D5744B"/>
    <w:rsid w:val="00D57458"/>
    <w:rsid w:val="00D574E9"/>
    <w:rsid w:val="00D57C72"/>
    <w:rsid w:val="00D57DA9"/>
    <w:rsid w:val="00D600C3"/>
    <w:rsid w:val="00D6033D"/>
    <w:rsid w:val="00D6098B"/>
    <w:rsid w:val="00D60EA5"/>
    <w:rsid w:val="00D614F5"/>
    <w:rsid w:val="00D61851"/>
    <w:rsid w:val="00D621D1"/>
    <w:rsid w:val="00D6239E"/>
    <w:rsid w:val="00D6244E"/>
    <w:rsid w:val="00D63152"/>
    <w:rsid w:val="00D63D4F"/>
    <w:rsid w:val="00D65165"/>
    <w:rsid w:val="00D65400"/>
    <w:rsid w:val="00D65F5F"/>
    <w:rsid w:val="00D660EB"/>
    <w:rsid w:val="00D661A7"/>
    <w:rsid w:val="00D66394"/>
    <w:rsid w:val="00D666D7"/>
    <w:rsid w:val="00D66A08"/>
    <w:rsid w:val="00D66B43"/>
    <w:rsid w:val="00D66D01"/>
    <w:rsid w:val="00D673EB"/>
    <w:rsid w:val="00D70847"/>
    <w:rsid w:val="00D708BA"/>
    <w:rsid w:val="00D70C90"/>
    <w:rsid w:val="00D71601"/>
    <w:rsid w:val="00D71778"/>
    <w:rsid w:val="00D717ED"/>
    <w:rsid w:val="00D719DA"/>
    <w:rsid w:val="00D719E9"/>
    <w:rsid w:val="00D71B36"/>
    <w:rsid w:val="00D7267F"/>
    <w:rsid w:val="00D72AF9"/>
    <w:rsid w:val="00D73591"/>
    <w:rsid w:val="00D73BCC"/>
    <w:rsid w:val="00D74312"/>
    <w:rsid w:val="00D7525D"/>
    <w:rsid w:val="00D75661"/>
    <w:rsid w:val="00D76262"/>
    <w:rsid w:val="00D76324"/>
    <w:rsid w:val="00D76533"/>
    <w:rsid w:val="00D77B17"/>
    <w:rsid w:val="00D77BCD"/>
    <w:rsid w:val="00D80A22"/>
    <w:rsid w:val="00D81942"/>
    <w:rsid w:val="00D81AA8"/>
    <w:rsid w:val="00D825FF"/>
    <w:rsid w:val="00D8325D"/>
    <w:rsid w:val="00D83471"/>
    <w:rsid w:val="00D836EC"/>
    <w:rsid w:val="00D8409D"/>
    <w:rsid w:val="00D8556A"/>
    <w:rsid w:val="00D867AB"/>
    <w:rsid w:val="00D86C8E"/>
    <w:rsid w:val="00D8705A"/>
    <w:rsid w:val="00D87109"/>
    <w:rsid w:val="00D87D0B"/>
    <w:rsid w:val="00D87EBD"/>
    <w:rsid w:val="00D87FC4"/>
    <w:rsid w:val="00D900E6"/>
    <w:rsid w:val="00D90A48"/>
    <w:rsid w:val="00D910F8"/>
    <w:rsid w:val="00D914E6"/>
    <w:rsid w:val="00D91CC4"/>
    <w:rsid w:val="00D93423"/>
    <w:rsid w:val="00D94370"/>
    <w:rsid w:val="00D943D9"/>
    <w:rsid w:val="00D9455C"/>
    <w:rsid w:val="00D946CB"/>
    <w:rsid w:val="00D94D52"/>
    <w:rsid w:val="00D96461"/>
    <w:rsid w:val="00D96687"/>
    <w:rsid w:val="00D966AE"/>
    <w:rsid w:val="00D97164"/>
    <w:rsid w:val="00D97287"/>
    <w:rsid w:val="00D9748A"/>
    <w:rsid w:val="00D97C6A"/>
    <w:rsid w:val="00DA06D8"/>
    <w:rsid w:val="00DA124F"/>
    <w:rsid w:val="00DA1CBF"/>
    <w:rsid w:val="00DA1EF8"/>
    <w:rsid w:val="00DA2396"/>
    <w:rsid w:val="00DA23B9"/>
    <w:rsid w:val="00DA28AE"/>
    <w:rsid w:val="00DA2F55"/>
    <w:rsid w:val="00DA32ED"/>
    <w:rsid w:val="00DA383C"/>
    <w:rsid w:val="00DA3C3D"/>
    <w:rsid w:val="00DA3D47"/>
    <w:rsid w:val="00DA4A13"/>
    <w:rsid w:val="00DA6492"/>
    <w:rsid w:val="00DA657A"/>
    <w:rsid w:val="00DA6C33"/>
    <w:rsid w:val="00DA6FAA"/>
    <w:rsid w:val="00DA71EE"/>
    <w:rsid w:val="00DA7730"/>
    <w:rsid w:val="00DA7FD5"/>
    <w:rsid w:val="00DB08F4"/>
    <w:rsid w:val="00DB0D91"/>
    <w:rsid w:val="00DB1868"/>
    <w:rsid w:val="00DB18CA"/>
    <w:rsid w:val="00DB1D39"/>
    <w:rsid w:val="00DB2D2B"/>
    <w:rsid w:val="00DB35A2"/>
    <w:rsid w:val="00DB36E2"/>
    <w:rsid w:val="00DB434C"/>
    <w:rsid w:val="00DB4678"/>
    <w:rsid w:val="00DB482D"/>
    <w:rsid w:val="00DB4932"/>
    <w:rsid w:val="00DB53E7"/>
    <w:rsid w:val="00DB552C"/>
    <w:rsid w:val="00DB560E"/>
    <w:rsid w:val="00DB5A8E"/>
    <w:rsid w:val="00DB6668"/>
    <w:rsid w:val="00DB6A06"/>
    <w:rsid w:val="00DB73F5"/>
    <w:rsid w:val="00DB75BC"/>
    <w:rsid w:val="00DB7C73"/>
    <w:rsid w:val="00DC0D00"/>
    <w:rsid w:val="00DC1309"/>
    <w:rsid w:val="00DC13DA"/>
    <w:rsid w:val="00DC222B"/>
    <w:rsid w:val="00DC2316"/>
    <w:rsid w:val="00DC2923"/>
    <w:rsid w:val="00DC2C9F"/>
    <w:rsid w:val="00DC35CA"/>
    <w:rsid w:val="00DC3C90"/>
    <w:rsid w:val="00DC3DBA"/>
    <w:rsid w:val="00DC5E8E"/>
    <w:rsid w:val="00DC6156"/>
    <w:rsid w:val="00DC680E"/>
    <w:rsid w:val="00DC69D8"/>
    <w:rsid w:val="00DC6A24"/>
    <w:rsid w:val="00DC6F54"/>
    <w:rsid w:val="00DC7123"/>
    <w:rsid w:val="00DC74CE"/>
    <w:rsid w:val="00DC7808"/>
    <w:rsid w:val="00DD0132"/>
    <w:rsid w:val="00DD021D"/>
    <w:rsid w:val="00DD19F2"/>
    <w:rsid w:val="00DD1DDE"/>
    <w:rsid w:val="00DD23F1"/>
    <w:rsid w:val="00DD2A1B"/>
    <w:rsid w:val="00DD2B86"/>
    <w:rsid w:val="00DD2B87"/>
    <w:rsid w:val="00DD31B6"/>
    <w:rsid w:val="00DD3860"/>
    <w:rsid w:val="00DD38B3"/>
    <w:rsid w:val="00DD3A08"/>
    <w:rsid w:val="00DD3C20"/>
    <w:rsid w:val="00DD43C3"/>
    <w:rsid w:val="00DD514A"/>
    <w:rsid w:val="00DD5AFC"/>
    <w:rsid w:val="00DD5CD5"/>
    <w:rsid w:val="00DD5DED"/>
    <w:rsid w:val="00DD63E7"/>
    <w:rsid w:val="00DD6568"/>
    <w:rsid w:val="00DD6C45"/>
    <w:rsid w:val="00DD7471"/>
    <w:rsid w:val="00DE0B83"/>
    <w:rsid w:val="00DE1795"/>
    <w:rsid w:val="00DE1802"/>
    <w:rsid w:val="00DE2C2E"/>
    <w:rsid w:val="00DE2FE3"/>
    <w:rsid w:val="00DE3186"/>
    <w:rsid w:val="00DE3893"/>
    <w:rsid w:val="00DE532E"/>
    <w:rsid w:val="00DE5A29"/>
    <w:rsid w:val="00DE62A5"/>
    <w:rsid w:val="00DE6A9B"/>
    <w:rsid w:val="00DE6F56"/>
    <w:rsid w:val="00DE7329"/>
    <w:rsid w:val="00DF0568"/>
    <w:rsid w:val="00DF18BE"/>
    <w:rsid w:val="00DF1DB0"/>
    <w:rsid w:val="00DF1FA6"/>
    <w:rsid w:val="00DF2473"/>
    <w:rsid w:val="00DF2A57"/>
    <w:rsid w:val="00DF3D5D"/>
    <w:rsid w:val="00DF3F01"/>
    <w:rsid w:val="00DF415A"/>
    <w:rsid w:val="00DF4C5B"/>
    <w:rsid w:val="00DF532D"/>
    <w:rsid w:val="00DF5969"/>
    <w:rsid w:val="00DF5BC2"/>
    <w:rsid w:val="00DF666C"/>
    <w:rsid w:val="00DF66C1"/>
    <w:rsid w:val="00DF73AB"/>
    <w:rsid w:val="00DF750C"/>
    <w:rsid w:val="00DF7955"/>
    <w:rsid w:val="00DF7DA8"/>
    <w:rsid w:val="00E00E31"/>
    <w:rsid w:val="00E01140"/>
    <w:rsid w:val="00E01308"/>
    <w:rsid w:val="00E01EB1"/>
    <w:rsid w:val="00E01EB8"/>
    <w:rsid w:val="00E02C88"/>
    <w:rsid w:val="00E02EEC"/>
    <w:rsid w:val="00E03E9C"/>
    <w:rsid w:val="00E04319"/>
    <w:rsid w:val="00E05E9A"/>
    <w:rsid w:val="00E06301"/>
    <w:rsid w:val="00E06ACB"/>
    <w:rsid w:val="00E07212"/>
    <w:rsid w:val="00E0722D"/>
    <w:rsid w:val="00E07587"/>
    <w:rsid w:val="00E075EC"/>
    <w:rsid w:val="00E07726"/>
    <w:rsid w:val="00E077C7"/>
    <w:rsid w:val="00E10781"/>
    <w:rsid w:val="00E1080B"/>
    <w:rsid w:val="00E10997"/>
    <w:rsid w:val="00E113F1"/>
    <w:rsid w:val="00E11A19"/>
    <w:rsid w:val="00E11B38"/>
    <w:rsid w:val="00E12F54"/>
    <w:rsid w:val="00E1300D"/>
    <w:rsid w:val="00E1459C"/>
    <w:rsid w:val="00E1526E"/>
    <w:rsid w:val="00E15761"/>
    <w:rsid w:val="00E167DC"/>
    <w:rsid w:val="00E16DD4"/>
    <w:rsid w:val="00E175AE"/>
    <w:rsid w:val="00E1792B"/>
    <w:rsid w:val="00E20634"/>
    <w:rsid w:val="00E20DFD"/>
    <w:rsid w:val="00E21044"/>
    <w:rsid w:val="00E218B7"/>
    <w:rsid w:val="00E21D4E"/>
    <w:rsid w:val="00E223DC"/>
    <w:rsid w:val="00E22782"/>
    <w:rsid w:val="00E23083"/>
    <w:rsid w:val="00E24F23"/>
    <w:rsid w:val="00E26871"/>
    <w:rsid w:val="00E302A4"/>
    <w:rsid w:val="00E30F0B"/>
    <w:rsid w:val="00E31FEE"/>
    <w:rsid w:val="00E32184"/>
    <w:rsid w:val="00E32521"/>
    <w:rsid w:val="00E3295D"/>
    <w:rsid w:val="00E32D60"/>
    <w:rsid w:val="00E3334C"/>
    <w:rsid w:val="00E33551"/>
    <w:rsid w:val="00E3468A"/>
    <w:rsid w:val="00E3549B"/>
    <w:rsid w:val="00E35516"/>
    <w:rsid w:val="00E35D3A"/>
    <w:rsid w:val="00E369E1"/>
    <w:rsid w:val="00E36AC8"/>
    <w:rsid w:val="00E373E4"/>
    <w:rsid w:val="00E403EE"/>
    <w:rsid w:val="00E40697"/>
    <w:rsid w:val="00E413D2"/>
    <w:rsid w:val="00E41447"/>
    <w:rsid w:val="00E41E95"/>
    <w:rsid w:val="00E42574"/>
    <w:rsid w:val="00E43085"/>
    <w:rsid w:val="00E43742"/>
    <w:rsid w:val="00E43783"/>
    <w:rsid w:val="00E43972"/>
    <w:rsid w:val="00E43A79"/>
    <w:rsid w:val="00E44288"/>
    <w:rsid w:val="00E4475C"/>
    <w:rsid w:val="00E44C4B"/>
    <w:rsid w:val="00E44DD7"/>
    <w:rsid w:val="00E4589A"/>
    <w:rsid w:val="00E45C2D"/>
    <w:rsid w:val="00E4608A"/>
    <w:rsid w:val="00E47153"/>
    <w:rsid w:val="00E475EF"/>
    <w:rsid w:val="00E50233"/>
    <w:rsid w:val="00E506FE"/>
    <w:rsid w:val="00E50C9A"/>
    <w:rsid w:val="00E50D21"/>
    <w:rsid w:val="00E5118D"/>
    <w:rsid w:val="00E52763"/>
    <w:rsid w:val="00E52807"/>
    <w:rsid w:val="00E52A51"/>
    <w:rsid w:val="00E52BBA"/>
    <w:rsid w:val="00E52F2D"/>
    <w:rsid w:val="00E538CA"/>
    <w:rsid w:val="00E55084"/>
    <w:rsid w:val="00E55A2A"/>
    <w:rsid w:val="00E567E2"/>
    <w:rsid w:val="00E56D18"/>
    <w:rsid w:val="00E57888"/>
    <w:rsid w:val="00E6009E"/>
    <w:rsid w:val="00E60341"/>
    <w:rsid w:val="00E60CAD"/>
    <w:rsid w:val="00E60F40"/>
    <w:rsid w:val="00E616BE"/>
    <w:rsid w:val="00E619E1"/>
    <w:rsid w:val="00E61B58"/>
    <w:rsid w:val="00E62727"/>
    <w:rsid w:val="00E62EB5"/>
    <w:rsid w:val="00E63705"/>
    <w:rsid w:val="00E63CDA"/>
    <w:rsid w:val="00E63E20"/>
    <w:rsid w:val="00E64908"/>
    <w:rsid w:val="00E6536D"/>
    <w:rsid w:val="00E653CB"/>
    <w:rsid w:val="00E65962"/>
    <w:rsid w:val="00E659AA"/>
    <w:rsid w:val="00E66B92"/>
    <w:rsid w:val="00E66D0E"/>
    <w:rsid w:val="00E66FB2"/>
    <w:rsid w:val="00E67050"/>
    <w:rsid w:val="00E67597"/>
    <w:rsid w:val="00E705FA"/>
    <w:rsid w:val="00E7083A"/>
    <w:rsid w:val="00E70AC8"/>
    <w:rsid w:val="00E7139D"/>
    <w:rsid w:val="00E71543"/>
    <w:rsid w:val="00E717D7"/>
    <w:rsid w:val="00E72542"/>
    <w:rsid w:val="00E72625"/>
    <w:rsid w:val="00E73466"/>
    <w:rsid w:val="00E73512"/>
    <w:rsid w:val="00E7354C"/>
    <w:rsid w:val="00E739D9"/>
    <w:rsid w:val="00E743BC"/>
    <w:rsid w:val="00E74507"/>
    <w:rsid w:val="00E74C45"/>
    <w:rsid w:val="00E75113"/>
    <w:rsid w:val="00E7572B"/>
    <w:rsid w:val="00E75AEA"/>
    <w:rsid w:val="00E76047"/>
    <w:rsid w:val="00E76792"/>
    <w:rsid w:val="00E76C17"/>
    <w:rsid w:val="00E77D23"/>
    <w:rsid w:val="00E80047"/>
    <w:rsid w:val="00E800A7"/>
    <w:rsid w:val="00E80A97"/>
    <w:rsid w:val="00E815C4"/>
    <w:rsid w:val="00E827CF"/>
    <w:rsid w:val="00E8339F"/>
    <w:rsid w:val="00E83874"/>
    <w:rsid w:val="00E83FD4"/>
    <w:rsid w:val="00E84D1C"/>
    <w:rsid w:val="00E84D70"/>
    <w:rsid w:val="00E84D8B"/>
    <w:rsid w:val="00E85A60"/>
    <w:rsid w:val="00E861F3"/>
    <w:rsid w:val="00E86466"/>
    <w:rsid w:val="00E86F86"/>
    <w:rsid w:val="00E8701E"/>
    <w:rsid w:val="00E87091"/>
    <w:rsid w:val="00E87279"/>
    <w:rsid w:val="00E90332"/>
    <w:rsid w:val="00E90854"/>
    <w:rsid w:val="00E90B7C"/>
    <w:rsid w:val="00E91054"/>
    <w:rsid w:val="00E9127F"/>
    <w:rsid w:val="00E920F9"/>
    <w:rsid w:val="00E92457"/>
    <w:rsid w:val="00E92488"/>
    <w:rsid w:val="00E92A16"/>
    <w:rsid w:val="00E92BDC"/>
    <w:rsid w:val="00E92C20"/>
    <w:rsid w:val="00E92FCC"/>
    <w:rsid w:val="00E930FA"/>
    <w:rsid w:val="00E93798"/>
    <w:rsid w:val="00E938F3"/>
    <w:rsid w:val="00E94746"/>
    <w:rsid w:val="00E949FF"/>
    <w:rsid w:val="00E9510C"/>
    <w:rsid w:val="00E958EC"/>
    <w:rsid w:val="00E96998"/>
    <w:rsid w:val="00E96CB9"/>
    <w:rsid w:val="00EA0497"/>
    <w:rsid w:val="00EA0760"/>
    <w:rsid w:val="00EA085B"/>
    <w:rsid w:val="00EA0ED7"/>
    <w:rsid w:val="00EA29AF"/>
    <w:rsid w:val="00EA2EEF"/>
    <w:rsid w:val="00EA2F98"/>
    <w:rsid w:val="00EA37C1"/>
    <w:rsid w:val="00EA422F"/>
    <w:rsid w:val="00EA48B6"/>
    <w:rsid w:val="00EA48C6"/>
    <w:rsid w:val="00EA494A"/>
    <w:rsid w:val="00EA717E"/>
    <w:rsid w:val="00EA74D5"/>
    <w:rsid w:val="00EA74FD"/>
    <w:rsid w:val="00EA77A1"/>
    <w:rsid w:val="00EA7EB6"/>
    <w:rsid w:val="00EB0003"/>
    <w:rsid w:val="00EB0B44"/>
    <w:rsid w:val="00EB1AC9"/>
    <w:rsid w:val="00EB260D"/>
    <w:rsid w:val="00EB27AC"/>
    <w:rsid w:val="00EB3850"/>
    <w:rsid w:val="00EB386B"/>
    <w:rsid w:val="00EB39D1"/>
    <w:rsid w:val="00EB3B8A"/>
    <w:rsid w:val="00EB3E28"/>
    <w:rsid w:val="00EB40D0"/>
    <w:rsid w:val="00EB56DA"/>
    <w:rsid w:val="00EB5FD4"/>
    <w:rsid w:val="00EB7533"/>
    <w:rsid w:val="00EB79E1"/>
    <w:rsid w:val="00EB7E6B"/>
    <w:rsid w:val="00EC0D40"/>
    <w:rsid w:val="00EC0F73"/>
    <w:rsid w:val="00EC12EA"/>
    <w:rsid w:val="00EC16AE"/>
    <w:rsid w:val="00EC178E"/>
    <w:rsid w:val="00EC1C8D"/>
    <w:rsid w:val="00EC2935"/>
    <w:rsid w:val="00EC3007"/>
    <w:rsid w:val="00EC3E57"/>
    <w:rsid w:val="00EC40EF"/>
    <w:rsid w:val="00EC46AB"/>
    <w:rsid w:val="00EC531A"/>
    <w:rsid w:val="00EC5464"/>
    <w:rsid w:val="00EC55A4"/>
    <w:rsid w:val="00EC5C2E"/>
    <w:rsid w:val="00EC6F2E"/>
    <w:rsid w:val="00EC790B"/>
    <w:rsid w:val="00EC7AB0"/>
    <w:rsid w:val="00EC7CBC"/>
    <w:rsid w:val="00ED00D1"/>
    <w:rsid w:val="00ED0E6A"/>
    <w:rsid w:val="00ED1B1E"/>
    <w:rsid w:val="00ED1DBA"/>
    <w:rsid w:val="00ED1F42"/>
    <w:rsid w:val="00ED26D2"/>
    <w:rsid w:val="00ED45DA"/>
    <w:rsid w:val="00ED4D92"/>
    <w:rsid w:val="00ED5575"/>
    <w:rsid w:val="00ED5959"/>
    <w:rsid w:val="00ED5B31"/>
    <w:rsid w:val="00ED6A4E"/>
    <w:rsid w:val="00ED6C67"/>
    <w:rsid w:val="00ED6D3D"/>
    <w:rsid w:val="00ED6D49"/>
    <w:rsid w:val="00ED7798"/>
    <w:rsid w:val="00ED7973"/>
    <w:rsid w:val="00ED7E01"/>
    <w:rsid w:val="00EE0D86"/>
    <w:rsid w:val="00EE0ECB"/>
    <w:rsid w:val="00EE2C4C"/>
    <w:rsid w:val="00EE2CDF"/>
    <w:rsid w:val="00EE2D98"/>
    <w:rsid w:val="00EE3530"/>
    <w:rsid w:val="00EE3B49"/>
    <w:rsid w:val="00EE3D17"/>
    <w:rsid w:val="00EE3EBD"/>
    <w:rsid w:val="00EE46CD"/>
    <w:rsid w:val="00EE4B65"/>
    <w:rsid w:val="00EE4C6A"/>
    <w:rsid w:val="00EE5035"/>
    <w:rsid w:val="00EE55FD"/>
    <w:rsid w:val="00EE5915"/>
    <w:rsid w:val="00EE60C2"/>
    <w:rsid w:val="00EE6744"/>
    <w:rsid w:val="00EE7424"/>
    <w:rsid w:val="00EF04CF"/>
    <w:rsid w:val="00EF05F2"/>
    <w:rsid w:val="00EF0BDE"/>
    <w:rsid w:val="00EF0E74"/>
    <w:rsid w:val="00EF13FE"/>
    <w:rsid w:val="00EF1C09"/>
    <w:rsid w:val="00EF1DCA"/>
    <w:rsid w:val="00EF1E51"/>
    <w:rsid w:val="00EF25FE"/>
    <w:rsid w:val="00EF2E51"/>
    <w:rsid w:val="00EF3BB1"/>
    <w:rsid w:val="00EF4A45"/>
    <w:rsid w:val="00EF4E6B"/>
    <w:rsid w:val="00EF4E6F"/>
    <w:rsid w:val="00EF519D"/>
    <w:rsid w:val="00EF5203"/>
    <w:rsid w:val="00EF572C"/>
    <w:rsid w:val="00EF72F1"/>
    <w:rsid w:val="00EF7515"/>
    <w:rsid w:val="00EF7671"/>
    <w:rsid w:val="00EF7AA0"/>
    <w:rsid w:val="00EF7C0C"/>
    <w:rsid w:val="00F00075"/>
    <w:rsid w:val="00F003E6"/>
    <w:rsid w:val="00F005B9"/>
    <w:rsid w:val="00F00BA8"/>
    <w:rsid w:val="00F01279"/>
    <w:rsid w:val="00F0172B"/>
    <w:rsid w:val="00F01ED1"/>
    <w:rsid w:val="00F024C5"/>
    <w:rsid w:val="00F026A9"/>
    <w:rsid w:val="00F029E1"/>
    <w:rsid w:val="00F02C9C"/>
    <w:rsid w:val="00F02D10"/>
    <w:rsid w:val="00F0305A"/>
    <w:rsid w:val="00F0365E"/>
    <w:rsid w:val="00F03CB1"/>
    <w:rsid w:val="00F053B0"/>
    <w:rsid w:val="00F05B09"/>
    <w:rsid w:val="00F06AC5"/>
    <w:rsid w:val="00F0762C"/>
    <w:rsid w:val="00F07C63"/>
    <w:rsid w:val="00F07C7D"/>
    <w:rsid w:val="00F07E90"/>
    <w:rsid w:val="00F102F1"/>
    <w:rsid w:val="00F1075C"/>
    <w:rsid w:val="00F10FBA"/>
    <w:rsid w:val="00F11010"/>
    <w:rsid w:val="00F112CC"/>
    <w:rsid w:val="00F11EFF"/>
    <w:rsid w:val="00F12ADA"/>
    <w:rsid w:val="00F12C5E"/>
    <w:rsid w:val="00F12CE8"/>
    <w:rsid w:val="00F1412D"/>
    <w:rsid w:val="00F14409"/>
    <w:rsid w:val="00F144CE"/>
    <w:rsid w:val="00F1488E"/>
    <w:rsid w:val="00F14B7B"/>
    <w:rsid w:val="00F14BA3"/>
    <w:rsid w:val="00F14C2C"/>
    <w:rsid w:val="00F14E4F"/>
    <w:rsid w:val="00F14EB8"/>
    <w:rsid w:val="00F15059"/>
    <w:rsid w:val="00F15D63"/>
    <w:rsid w:val="00F169FD"/>
    <w:rsid w:val="00F16CDC"/>
    <w:rsid w:val="00F1702A"/>
    <w:rsid w:val="00F17827"/>
    <w:rsid w:val="00F17F92"/>
    <w:rsid w:val="00F200AA"/>
    <w:rsid w:val="00F200DC"/>
    <w:rsid w:val="00F20F8B"/>
    <w:rsid w:val="00F21B7A"/>
    <w:rsid w:val="00F2296B"/>
    <w:rsid w:val="00F2405E"/>
    <w:rsid w:val="00F2429B"/>
    <w:rsid w:val="00F2470E"/>
    <w:rsid w:val="00F24F45"/>
    <w:rsid w:val="00F25AE3"/>
    <w:rsid w:val="00F2603C"/>
    <w:rsid w:val="00F263A0"/>
    <w:rsid w:val="00F263F6"/>
    <w:rsid w:val="00F2764A"/>
    <w:rsid w:val="00F27853"/>
    <w:rsid w:val="00F27D0D"/>
    <w:rsid w:val="00F30951"/>
    <w:rsid w:val="00F30DF2"/>
    <w:rsid w:val="00F32CCD"/>
    <w:rsid w:val="00F32EE0"/>
    <w:rsid w:val="00F33445"/>
    <w:rsid w:val="00F33D28"/>
    <w:rsid w:val="00F33E3A"/>
    <w:rsid w:val="00F33EBE"/>
    <w:rsid w:val="00F34379"/>
    <w:rsid w:val="00F343C2"/>
    <w:rsid w:val="00F34D6A"/>
    <w:rsid w:val="00F34F0B"/>
    <w:rsid w:val="00F35169"/>
    <w:rsid w:val="00F35408"/>
    <w:rsid w:val="00F35459"/>
    <w:rsid w:val="00F358FB"/>
    <w:rsid w:val="00F36690"/>
    <w:rsid w:val="00F37330"/>
    <w:rsid w:val="00F37861"/>
    <w:rsid w:val="00F4111A"/>
    <w:rsid w:val="00F413CE"/>
    <w:rsid w:val="00F41501"/>
    <w:rsid w:val="00F420F9"/>
    <w:rsid w:val="00F421D0"/>
    <w:rsid w:val="00F42242"/>
    <w:rsid w:val="00F42635"/>
    <w:rsid w:val="00F42933"/>
    <w:rsid w:val="00F42D4C"/>
    <w:rsid w:val="00F44101"/>
    <w:rsid w:val="00F44BAE"/>
    <w:rsid w:val="00F44FB4"/>
    <w:rsid w:val="00F4538B"/>
    <w:rsid w:val="00F45612"/>
    <w:rsid w:val="00F45735"/>
    <w:rsid w:val="00F45FFB"/>
    <w:rsid w:val="00F46DF9"/>
    <w:rsid w:val="00F473A1"/>
    <w:rsid w:val="00F50D85"/>
    <w:rsid w:val="00F5133B"/>
    <w:rsid w:val="00F51547"/>
    <w:rsid w:val="00F52D65"/>
    <w:rsid w:val="00F5350E"/>
    <w:rsid w:val="00F5353E"/>
    <w:rsid w:val="00F55699"/>
    <w:rsid w:val="00F5732C"/>
    <w:rsid w:val="00F575BD"/>
    <w:rsid w:val="00F57C50"/>
    <w:rsid w:val="00F61CEE"/>
    <w:rsid w:val="00F61E54"/>
    <w:rsid w:val="00F6276D"/>
    <w:rsid w:val="00F628B6"/>
    <w:rsid w:val="00F63021"/>
    <w:rsid w:val="00F633B5"/>
    <w:rsid w:val="00F63B5C"/>
    <w:rsid w:val="00F64B46"/>
    <w:rsid w:val="00F64BC3"/>
    <w:rsid w:val="00F65A65"/>
    <w:rsid w:val="00F660FD"/>
    <w:rsid w:val="00F6611D"/>
    <w:rsid w:val="00F66366"/>
    <w:rsid w:val="00F667FE"/>
    <w:rsid w:val="00F66AB5"/>
    <w:rsid w:val="00F70737"/>
    <w:rsid w:val="00F714A2"/>
    <w:rsid w:val="00F71929"/>
    <w:rsid w:val="00F71A88"/>
    <w:rsid w:val="00F71B3B"/>
    <w:rsid w:val="00F72247"/>
    <w:rsid w:val="00F729A5"/>
    <w:rsid w:val="00F72A15"/>
    <w:rsid w:val="00F743B0"/>
    <w:rsid w:val="00F744FF"/>
    <w:rsid w:val="00F748E4"/>
    <w:rsid w:val="00F75348"/>
    <w:rsid w:val="00F756B7"/>
    <w:rsid w:val="00F7664A"/>
    <w:rsid w:val="00F767C6"/>
    <w:rsid w:val="00F7716F"/>
    <w:rsid w:val="00F77B50"/>
    <w:rsid w:val="00F804A5"/>
    <w:rsid w:val="00F813E9"/>
    <w:rsid w:val="00F81E1F"/>
    <w:rsid w:val="00F828AF"/>
    <w:rsid w:val="00F82E40"/>
    <w:rsid w:val="00F830C4"/>
    <w:rsid w:val="00F834EE"/>
    <w:rsid w:val="00F838C7"/>
    <w:rsid w:val="00F839C0"/>
    <w:rsid w:val="00F839C9"/>
    <w:rsid w:val="00F83DBB"/>
    <w:rsid w:val="00F845D6"/>
    <w:rsid w:val="00F84EF9"/>
    <w:rsid w:val="00F85003"/>
    <w:rsid w:val="00F854D0"/>
    <w:rsid w:val="00F859E1"/>
    <w:rsid w:val="00F85D54"/>
    <w:rsid w:val="00F86701"/>
    <w:rsid w:val="00F869C2"/>
    <w:rsid w:val="00F86A3C"/>
    <w:rsid w:val="00F86AAE"/>
    <w:rsid w:val="00F86E35"/>
    <w:rsid w:val="00F875C9"/>
    <w:rsid w:val="00F90AC8"/>
    <w:rsid w:val="00F914F6"/>
    <w:rsid w:val="00F91507"/>
    <w:rsid w:val="00F91583"/>
    <w:rsid w:val="00F91769"/>
    <w:rsid w:val="00F917A8"/>
    <w:rsid w:val="00F92522"/>
    <w:rsid w:val="00F9285E"/>
    <w:rsid w:val="00F9313F"/>
    <w:rsid w:val="00F9375C"/>
    <w:rsid w:val="00F93834"/>
    <w:rsid w:val="00F93CF4"/>
    <w:rsid w:val="00F94074"/>
    <w:rsid w:val="00F94173"/>
    <w:rsid w:val="00F945A0"/>
    <w:rsid w:val="00F94F16"/>
    <w:rsid w:val="00F95665"/>
    <w:rsid w:val="00F95E83"/>
    <w:rsid w:val="00F96243"/>
    <w:rsid w:val="00F96CF9"/>
    <w:rsid w:val="00F97022"/>
    <w:rsid w:val="00F970BE"/>
    <w:rsid w:val="00F97451"/>
    <w:rsid w:val="00F975C9"/>
    <w:rsid w:val="00FA022D"/>
    <w:rsid w:val="00FA0388"/>
    <w:rsid w:val="00FA04F6"/>
    <w:rsid w:val="00FA0B69"/>
    <w:rsid w:val="00FA0DD9"/>
    <w:rsid w:val="00FA0E8D"/>
    <w:rsid w:val="00FA16E6"/>
    <w:rsid w:val="00FA29EB"/>
    <w:rsid w:val="00FA3D4D"/>
    <w:rsid w:val="00FA4346"/>
    <w:rsid w:val="00FA47E4"/>
    <w:rsid w:val="00FA4DF8"/>
    <w:rsid w:val="00FA4F9B"/>
    <w:rsid w:val="00FA598F"/>
    <w:rsid w:val="00FA5D54"/>
    <w:rsid w:val="00FA73EF"/>
    <w:rsid w:val="00FA7BDD"/>
    <w:rsid w:val="00FB12CD"/>
    <w:rsid w:val="00FB1881"/>
    <w:rsid w:val="00FB1B73"/>
    <w:rsid w:val="00FB1B9F"/>
    <w:rsid w:val="00FB1BCE"/>
    <w:rsid w:val="00FB1DC6"/>
    <w:rsid w:val="00FB1E59"/>
    <w:rsid w:val="00FB2506"/>
    <w:rsid w:val="00FB2717"/>
    <w:rsid w:val="00FB2D1D"/>
    <w:rsid w:val="00FB360D"/>
    <w:rsid w:val="00FB3678"/>
    <w:rsid w:val="00FB3E3D"/>
    <w:rsid w:val="00FB3EDB"/>
    <w:rsid w:val="00FB409C"/>
    <w:rsid w:val="00FB415A"/>
    <w:rsid w:val="00FB44D2"/>
    <w:rsid w:val="00FB4758"/>
    <w:rsid w:val="00FB47A6"/>
    <w:rsid w:val="00FB47D5"/>
    <w:rsid w:val="00FB4BAA"/>
    <w:rsid w:val="00FB5AB4"/>
    <w:rsid w:val="00FB5FEB"/>
    <w:rsid w:val="00FB68A1"/>
    <w:rsid w:val="00FB7EE4"/>
    <w:rsid w:val="00FC0013"/>
    <w:rsid w:val="00FC05A0"/>
    <w:rsid w:val="00FC0BF3"/>
    <w:rsid w:val="00FC0FE6"/>
    <w:rsid w:val="00FC2116"/>
    <w:rsid w:val="00FC260D"/>
    <w:rsid w:val="00FC27F6"/>
    <w:rsid w:val="00FC2ED4"/>
    <w:rsid w:val="00FC303F"/>
    <w:rsid w:val="00FC33AA"/>
    <w:rsid w:val="00FC3CE0"/>
    <w:rsid w:val="00FC3E90"/>
    <w:rsid w:val="00FC4967"/>
    <w:rsid w:val="00FC55F5"/>
    <w:rsid w:val="00FC576C"/>
    <w:rsid w:val="00FC5D01"/>
    <w:rsid w:val="00FC61A0"/>
    <w:rsid w:val="00FC65AB"/>
    <w:rsid w:val="00FC6C20"/>
    <w:rsid w:val="00FC7657"/>
    <w:rsid w:val="00FC7879"/>
    <w:rsid w:val="00FC7D59"/>
    <w:rsid w:val="00FD1180"/>
    <w:rsid w:val="00FD159B"/>
    <w:rsid w:val="00FD20EC"/>
    <w:rsid w:val="00FD3707"/>
    <w:rsid w:val="00FD4010"/>
    <w:rsid w:val="00FD4DD0"/>
    <w:rsid w:val="00FD511C"/>
    <w:rsid w:val="00FD5212"/>
    <w:rsid w:val="00FD5D6E"/>
    <w:rsid w:val="00FD677D"/>
    <w:rsid w:val="00FD7160"/>
    <w:rsid w:val="00FD73A0"/>
    <w:rsid w:val="00FD7807"/>
    <w:rsid w:val="00FD796D"/>
    <w:rsid w:val="00FD79AD"/>
    <w:rsid w:val="00FD7D7C"/>
    <w:rsid w:val="00FE01B9"/>
    <w:rsid w:val="00FE0290"/>
    <w:rsid w:val="00FE21B7"/>
    <w:rsid w:val="00FE2452"/>
    <w:rsid w:val="00FE25C6"/>
    <w:rsid w:val="00FE298E"/>
    <w:rsid w:val="00FE2B09"/>
    <w:rsid w:val="00FE2E75"/>
    <w:rsid w:val="00FE3480"/>
    <w:rsid w:val="00FE3514"/>
    <w:rsid w:val="00FE3914"/>
    <w:rsid w:val="00FE480D"/>
    <w:rsid w:val="00FE4BF8"/>
    <w:rsid w:val="00FE5106"/>
    <w:rsid w:val="00FE57A5"/>
    <w:rsid w:val="00FE787A"/>
    <w:rsid w:val="00FE7D6E"/>
    <w:rsid w:val="00FF0258"/>
    <w:rsid w:val="00FF06BB"/>
    <w:rsid w:val="00FF0EB2"/>
    <w:rsid w:val="00FF0FA8"/>
    <w:rsid w:val="00FF1212"/>
    <w:rsid w:val="00FF1230"/>
    <w:rsid w:val="00FF12F4"/>
    <w:rsid w:val="00FF163C"/>
    <w:rsid w:val="00FF1737"/>
    <w:rsid w:val="00FF1EF3"/>
    <w:rsid w:val="00FF213C"/>
    <w:rsid w:val="00FF2A01"/>
    <w:rsid w:val="00FF2D87"/>
    <w:rsid w:val="00FF3257"/>
    <w:rsid w:val="00FF3258"/>
    <w:rsid w:val="00FF330D"/>
    <w:rsid w:val="00FF33CE"/>
    <w:rsid w:val="00FF3E1E"/>
    <w:rsid w:val="00FF40C6"/>
    <w:rsid w:val="00FF4814"/>
    <w:rsid w:val="00FF4C10"/>
    <w:rsid w:val="00FF6663"/>
    <w:rsid w:val="00FF6A73"/>
    <w:rsid w:val="00FF6F05"/>
    <w:rsid w:val="00FF7079"/>
    <w:rsid w:val="00FF761D"/>
    <w:rsid w:val="00FF78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7265">
      <o:colormru v:ext="edit" colors="#001c52,#b6c400,#dc0000,maroon,#6cb07e,#2c90ce,#eed084,#ccf"/>
    </o:shapedefaults>
    <o:shapelayout v:ext="edit">
      <o:idmap v:ext="edit" data="1"/>
    </o:shapelayout>
  </w:shapeDefaults>
  <w:decimalSymbol w:val="."/>
  <w:listSeparator w:val=","/>
  <w14:docId w14:val="18D70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qFormat="1"/>
    <w:lsdException w:name="footnote reference" w:uiPriority="99"/>
    <w:lsdException w:name="List Bullet" w:uiPriority="99"/>
    <w:lsdException w:name="Title" w:qFormat="1"/>
    <w:lsdException w:name="Body Text" w:qFormat="1"/>
    <w:lsdException w:name="Subtitle" w:qFormat="1"/>
    <w:lsdException w:name="Strong" w:uiPriority="22"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56E7"/>
    <w:rPr>
      <w:rFonts w:ascii="Book Antiqua" w:hAnsi="Book Antiqua"/>
      <w:sz w:val="22"/>
      <w:szCs w:val="24"/>
    </w:rPr>
  </w:style>
  <w:style w:type="paragraph" w:styleId="Heading1">
    <w:name w:val="heading 1"/>
    <w:basedOn w:val="Normal"/>
    <w:next w:val="BodyText"/>
    <w:link w:val="Heading1Char"/>
    <w:qFormat/>
    <w:rsid w:val="004E050F"/>
    <w:pPr>
      <w:keepNext/>
      <w:numPr>
        <w:numId w:val="1"/>
      </w:numPr>
      <w:spacing w:before="720" w:after="60" w:line="400" w:lineRule="atLeast"/>
      <w:outlineLvl w:val="0"/>
    </w:pPr>
    <w:rPr>
      <w:rFonts w:ascii="Arial" w:hAnsi="Arial" w:cs="Arial"/>
      <w:b/>
      <w:bCs/>
      <w:color w:val="00408A"/>
      <w:kern w:val="32"/>
      <w:sz w:val="30"/>
      <w:szCs w:val="30"/>
    </w:rPr>
  </w:style>
  <w:style w:type="paragraph" w:styleId="Heading2">
    <w:name w:val="heading 2"/>
    <w:basedOn w:val="Heading1"/>
    <w:next w:val="BodyText"/>
    <w:link w:val="Heading2Char"/>
    <w:qFormat/>
    <w:rsid w:val="004D50DA"/>
    <w:pPr>
      <w:numPr>
        <w:ilvl w:val="1"/>
      </w:numPr>
      <w:spacing w:before="480" w:after="0" w:line="280" w:lineRule="atLeast"/>
      <w:outlineLvl w:val="1"/>
    </w:pPr>
    <w:rPr>
      <w:rFonts w:cs="Times New Roman"/>
      <w:bCs w:val="0"/>
      <w:kern w:val="28"/>
      <w:sz w:val="24"/>
      <w:szCs w:val="24"/>
    </w:rPr>
  </w:style>
  <w:style w:type="paragraph" w:styleId="Heading3">
    <w:name w:val="heading 3"/>
    <w:basedOn w:val="Heading2"/>
    <w:next w:val="BodyText"/>
    <w:link w:val="Heading3Char"/>
    <w:qFormat/>
    <w:rsid w:val="004D50DA"/>
    <w:pPr>
      <w:numPr>
        <w:ilvl w:val="2"/>
      </w:numPr>
      <w:tabs>
        <w:tab w:val="clear" w:pos="709"/>
        <w:tab w:val="num" w:pos="1844"/>
      </w:tabs>
      <w:spacing w:line="260" w:lineRule="atLeast"/>
      <w:ind w:left="1844"/>
      <w:outlineLvl w:val="2"/>
    </w:pPr>
    <w:rPr>
      <w:sz w:val="21"/>
      <w:szCs w:val="21"/>
    </w:rPr>
  </w:style>
  <w:style w:type="paragraph" w:styleId="Heading4">
    <w:name w:val="heading 4"/>
    <w:basedOn w:val="Heading3"/>
    <w:next w:val="BodyText"/>
    <w:link w:val="Heading4Char"/>
    <w:qFormat/>
    <w:rsid w:val="004E050F"/>
    <w:pPr>
      <w:numPr>
        <w:ilvl w:val="3"/>
      </w:numPr>
      <w:spacing w:before="360"/>
      <w:outlineLvl w:val="3"/>
    </w:pPr>
    <w:rPr>
      <w:b w:val="0"/>
      <w:sz w:val="22"/>
    </w:rPr>
  </w:style>
  <w:style w:type="paragraph" w:styleId="Heading5">
    <w:name w:val="heading 5"/>
    <w:basedOn w:val="BodyText"/>
    <w:next w:val="BodyText"/>
    <w:qFormat/>
    <w:rsid w:val="004E050F"/>
    <w:pPr>
      <w:keepNext/>
      <w:numPr>
        <w:ilvl w:val="4"/>
        <w:numId w:val="1"/>
      </w:numPr>
      <w:spacing w:line="260" w:lineRule="atLeast"/>
      <w:outlineLvl w:val="4"/>
    </w:pPr>
    <w:rPr>
      <w:b/>
      <w:bCs/>
      <w:iCs/>
    </w:rPr>
  </w:style>
  <w:style w:type="paragraph" w:styleId="Heading6">
    <w:name w:val="heading 6"/>
    <w:basedOn w:val="Heading1"/>
    <w:next w:val="BodyText"/>
    <w:qFormat/>
    <w:rsid w:val="004D50DA"/>
    <w:pPr>
      <w:pageBreakBefore/>
      <w:numPr>
        <w:ilvl w:val="5"/>
      </w:numPr>
      <w:spacing w:before="0"/>
      <w:outlineLvl w:val="5"/>
    </w:pPr>
    <w:rPr>
      <w:bCs w:val="0"/>
    </w:rPr>
  </w:style>
  <w:style w:type="paragraph" w:styleId="Heading7">
    <w:name w:val="heading 7"/>
    <w:basedOn w:val="Heading2"/>
    <w:next w:val="BodyText"/>
    <w:qFormat/>
    <w:rsid w:val="004D50DA"/>
    <w:pPr>
      <w:numPr>
        <w:ilvl w:val="6"/>
      </w:numPr>
      <w:spacing w:line="260" w:lineRule="atLeast"/>
      <w:outlineLvl w:val="6"/>
    </w:pPr>
  </w:style>
  <w:style w:type="paragraph" w:styleId="Heading8">
    <w:name w:val="heading 8"/>
    <w:basedOn w:val="Heading3"/>
    <w:next w:val="BodyText"/>
    <w:qFormat/>
    <w:rsid w:val="004863D8"/>
    <w:pPr>
      <w:numPr>
        <w:ilvl w:val="7"/>
      </w:numPr>
      <w:outlineLvl w:val="7"/>
    </w:pPr>
    <w:rPr>
      <w:sz w:val="22"/>
    </w:rPr>
  </w:style>
  <w:style w:type="paragraph" w:styleId="Heading9">
    <w:name w:val="heading 9"/>
    <w:basedOn w:val="Heading4"/>
    <w:next w:val="BodyText"/>
    <w:qFormat/>
    <w:rsid w:val="004D50D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C1404"/>
    <w:pPr>
      <w:spacing w:before="240" w:line="280" w:lineRule="atLeast"/>
      <w:jc w:val="both"/>
    </w:pPr>
    <w:rPr>
      <w:szCs w:val="21"/>
    </w:rPr>
  </w:style>
  <w:style w:type="paragraph" w:styleId="Header">
    <w:name w:val="header"/>
    <w:basedOn w:val="TOC2"/>
    <w:semiHidden/>
    <w:rsid w:val="0012560C"/>
    <w:pPr>
      <w:tabs>
        <w:tab w:val="clear" w:pos="907"/>
        <w:tab w:val="clear" w:pos="7938"/>
      </w:tabs>
      <w:spacing w:before="40" w:after="40"/>
      <w:ind w:left="0" w:right="0" w:firstLine="0"/>
    </w:pPr>
    <w:rPr>
      <w:sz w:val="18"/>
      <w:szCs w:val="18"/>
    </w:rPr>
  </w:style>
  <w:style w:type="paragraph" w:styleId="Footer">
    <w:name w:val="footer"/>
    <w:basedOn w:val="TOC2"/>
    <w:semiHidden/>
    <w:rsid w:val="00C117F4"/>
    <w:pPr>
      <w:widowControl w:val="0"/>
      <w:tabs>
        <w:tab w:val="clear" w:pos="907"/>
        <w:tab w:val="clear" w:pos="7938"/>
      </w:tabs>
      <w:spacing w:before="40" w:after="40"/>
      <w:ind w:left="0" w:right="0" w:firstLine="0"/>
    </w:pPr>
    <w:rPr>
      <w:sz w:val="18"/>
      <w:szCs w:val="18"/>
    </w:rPr>
  </w:style>
  <w:style w:type="paragraph" w:styleId="Subtitle">
    <w:name w:val="Subtitle"/>
    <w:basedOn w:val="Title"/>
    <w:qFormat/>
    <w:rsid w:val="00312625"/>
    <w:pPr>
      <w:spacing w:before="120" w:line="400" w:lineRule="atLeast"/>
    </w:pPr>
    <w:rPr>
      <w:sz w:val="30"/>
      <w:szCs w:val="30"/>
    </w:rPr>
  </w:style>
  <w:style w:type="paragraph" w:styleId="Title">
    <w:name w:val="Title"/>
    <w:basedOn w:val="Normal"/>
    <w:next w:val="Subtitle"/>
    <w:qFormat/>
    <w:rsid w:val="00312625"/>
    <w:pPr>
      <w:spacing w:before="2722" w:line="520" w:lineRule="atLeast"/>
    </w:pPr>
    <w:rPr>
      <w:rFonts w:ascii="Arial" w:hAnsi="Arial" w:cs="Arial"/>
      <w:b/>
      <w:bCs/>
      <w:color w:val="00408A"/>
      <w:kern w:val="28"/>
      <w:sz w:val="44"/>
      <w:szCs w:val="44"/>
    </w:rPr>
  </w:style>
  <w:style w:type="paragraph" w:customStyle="1" w:styleId="Report">
    <w:name w:val="Report"/>
    <w:basedOn w:val="Normal"/>
    <w:semiHidden/>
    <w:rsid w:val="00941203"/>
    <w:pPr>
      <w:spacing w:line="340" w:lineRule="atLeast"/>
    </w:pPr>
    <w:rPr>
      <w:rFonts w:ascii="Arial" w:hAnsi="Arial"/>
      <w:b/>
      <w:color w:val="7C7C7C"/>
      <w:sz w:val="28"/>
      <w:szCs w:val="28"/>
    </w:rPr>
  </w:style>
  <w:style w:type="paragraph" w:styleId="Date">
    <w:name w:val="Date"/>
    <w:basedOn w:val="Report"/>
    <w:semiHidden/>
    <w:rsid w:val="00941203"/>
    <w:rPr>
      <w:b w:val="0"/>
    </w:rPr>
  </w:style>
  <w:style w:type="paragraph" w:customStyle="1" w:styleId="Reference">
    <w:name w:val="Reference"/>
    <w:basedOn w:val="BodyText"/>
    <w:rsid w:val="00312625"/>
    <w:pPr>
      <w:spacing w:before="120" w:line="260" w:lineRule="atLeast"/>
      <w:ind w:left="284" w:hanging="284"/>
    </w:pPr>
    <w:rPr>
      <w:sz w:val="20"/>
    </w:rPr>
  </w:style>
  <w:style w:type="paragraph" w:styleId="FootnoteText">
    <w:name w:val="footnote text"/>
    <w:basedOn w:val="Normal"/>
    <w:link w:val="FootnoteTextChar"/>
    <w:uiPriority w:val="99"/>
    <w:rsid w:val="00493FBD"/>
    <w:pPr>
      <w:keepLines/>
      <w:spacing w:line="200" w:lineRule="atLeast"/>
      <w:ind w:left="284" w:hanging="284"/>
      <w:jc w:val="both"/>
    </w:pPr>
    <w:rPr>
      <w:sz w:val="18"/>
      <w:szCs w:val="17"/>
    </w:rPr>
  </w:style>
  <w:style w:type="character" w:styleId="FootnoteReference">
    <w:name w:val="footnote reference"/>
    <w:basedOn w:val="DefaultParagraphFont"/>
    <w:uiPriority w:val="99"/>
    <w:rsid w:val="00493FBD"/>
    <w:rPr>
      <w:rFonts w:ascii="Book Antiqua" w:hAnsi="Book Antiqua"/>
      <w:color w:val="auto"/>
      <w:position w:val="4"/>
      <w:sz w:val="15"/>
      <w:szCs w:val="15"/>
      <w:vertAlign w:val="baseline"/>
    </w:rPr>
  </w:style>
  <w:style w:type="paragraph" w:customStyle="1" w:styleId="Heading1nonumber">
    <w:name w:val="Heading 1 (no number)"/>
    <w:basedOn w:val="Heading1"/>
    <w:next w:val="BodyText"/>
    <w:semiHidden/>
    <w:rsid w:val="00045E55"/>
    <w:pPr>
      <w:pageBreakBefore/>
      <w:numPr>
        <w:numId w:val="0"/>
      </w:numPr>
    </w:pPr>
    <w:rPr>
      <w:rFonts w:cs="Times New Roman"/>
      <w:bCs w:val="0"/>
      <w:kern w:val="28"/>
    </w:rPr>
  </w:style>
  <w:style w:type="paragraph" w:customStyle="1" w:styleId="Heading2nonumber">
    <w:name w:val="Heading 2 (no number)"/>
    <w:basedOn w:val="Heading2"/>
    <w:next w:val="BodyText"/>
    <w:rsid w:val="00822DD3"/>
    <w:pPr>
      <w:numPr>
        <w:ilvl w:val="0"/>
        <w:numId w:val="0"/>
      </w:numPr>
    </w:pPr>
  </w:style>
  <w:style w:type="paragraph" w:customStyle="1" w:styleId="Heading3nonumber">
    <w:name w:val="Heading 3 (no number)"/>
    <w:basedOn w:val="Heading3"/>
    <w:next w:val="BodyText"/>
    <w:rsid w:val="00822DD3"/>
    <w:pPr>
      <w:numPr>
        <w:ilvl w:val="0"/>
        <w:numId w:val="0"/>
      </w:numPr>
    </w:pPr>
  </w:style>
  <w:style w:type="paragraph" w:customStyle="1" w:styleId="Heading8nonumber">
    <w:name w:val="Heading 8 (no number)"/>
    <w:basedOn w:val="Heading8"/>
    <w:next w:val="BodyText"/>
    <w:rsid w:val="00822DD3"/>
    <w:pPr>
      <w:numPr>
        <w:ilvl w:val="0"/>
        <w:numId w:val="0"/>
      </w:numPr>
    </w:pPr>
  </w:style>
  <w:style w:type="paragraph" w:customStyle="1" w:styleId="Heading7nonumber">
    <w:name w:val="Heading 7 (no number)"/>
    <w:basedOn w:val="Heading7"/>
    <w:next w:val="BodyText"/>
    <w:rsid w:val="00097BA8"/>
    <w:pPr>
      <w:numPr>
        <w:ilvl w:val="0"/>
        <w:numId w:val="0"/>
      </w:numPr>
    </w:pPr>
  </w:style>
  <w:style w:type="character" w:styleId="PageNumber">
    <w:name w:val="page number"/>
    <w:basedOn w:val="DefaultParagraphFont"/>
    <w:semiHidden/>
    <w:rsid w:val="003F60BB"/>
    <w:rPr>
      <w:rFonts w:ascii="Arial" w:hAnsi="Arial"/>
      <w:b/>
      <w:spacing w:val="0"/>
      <w:position w:val="0"/>
      <w:sz w:val="18"/>
      <w:szCs w:val="15"/>
    </w:rPr>
  </w:style>
  <w:style w:type="paragraph" w:styleId="ListBullet">
    <w:name w:val="List Bullet"/>
    <w:basedOn w:val="BodyText"/>
    <w:link w:val="ListBulletChar"/>
    <w:uiPriority w:val="99"/>
    <w:rsid w:val="004863D8"/>
    <w:pPr>
      <w:keepLines/>
      <w:numPr>
        <w:numId w:val="4"/>
      </w:numPr>
      <w:spacing w:before="120"/>
    </w:pPr>
  </w:style>
  <w:style w:type="paragraph" w:styleId="ListBullet2">
    <w:name w:val="List Bullet 2"/>
    <w:basedOn w:val="ListBullet"/>
    <w:rsid w:val="003C33B0"/>
    <w:pPr>
      <w:keepLines w:val="0"/>
      <w:numPr>
        <w:numId w:val="2"/>
      </w:numPr>
      <w:tabs>
        <w:tab w:val="left" w:pos="284"/>
      </w:tabs>
      <w:spacing w:before="60"/>
      <w:ind w:left="568" w:hanging="284"/>
    </w:pPr>
  </w:style>
  <w:style w:type="paragraph" w:styleId="ListNumber">
    <w:name w:val="List Number"/>
    <w:basedOn w:val="ListBullet"/>
    <w:rsid w:val="000D4393"/>
    <w:pPr>
      <w:numPr>
        <w:numId w:val="3"/>
      </w:numPr>
    </w:pPr>
  </w:style>
  <w:style w:type="paragraph" w:styleId="Quote">
    <w:name w:val="Quote"/>
    <w:basedOn w:val="BodyText"/>
    <w:next w:val="BodyText"/>
    <w:link w:val="QuoteChar"/>
    <w:qFormat/>
    <w:rsid w:val="004863D8"/>
    <w:pPr>
      <w:spacing w:before="120" w:line="260" w:lineRule="atLeast"/>
      <w:ind w:left="284"/>
    </w:pPr>
    <w:rPr>
      <w:sz w:val="20"/>
      <w:szCs w:val="19"/>
    </w:rPr>
  </w:style>
  <w:style w:type="paragraph" w:customStyle="1" w:styleId="ChapterSummary">
    <w:name w:val="Chapter Summary"/>
    <w:basedOn w:val="Normal"/>
    <w:next w:val="BodyText"/>
    <w:semiHidden/>
    <w:rsid w:val="00637305"/>
    <w:pPr>
      <w:spacing w:before="240" w:line="280" w:lineRule="atLeast"/>
      <w:jc w:val="both"/>
    </w:pPr>
    <w:rPr>
      <w:rFonts w:ascii="Arial" w:hAnsi="Arial"/>
      <w:b/>
      <w:color w:val="666666"/>
      <w:sz w:val="21"/>
      <w:szCs w:val="21"/>
      <w:lang w:eastAsia="en-US"/>
    </w:rPr>
  </w:style>
  <w:style w:type="paragraph" w:customStyle="1" w:styleId="BoxText">
    <w:name w:val="Box Text"/>
    <w:basedOn w:val="Normal"/>
    <w:rsid w:val="004E050F"/>
    <w:pPr>
      <w:spacing w:before="140" w:line="270" w:lineRule="atLeast"/>
      <w:jc w:val="both"/>
    </w:pPr>
    <w:rPr>
      <w:rFonts w:ascii="Arial" w:hAnsi="Arial"/>
      <w:sz w:val="20"/>
      <w:szCs w:val="20"/>
    </w:rPr>
  </w:style>
  <w:style w:type="paragraph" w:styleId="Caption">
    <w:name w:val="caption"/>
    <w:basedOn w:val="Normal"/>
    <w:next w:val="Normal"/>
    <w:link w:val="CaptionChar"/>
    <w:qFormat/>
    <w:rsid w:val="00726B71"/>
    <w:pPr>
      <w:spacing w:before="320" w:after="80" w:line="260" w:lineRule="atLeast"/>
      <w:ind w:left="1304" w:hanging="1304"/>
    </w:pPr>
    <w:rPr>
      <w:rFonts w:ascii="Arial" w:hAnsi="Arial"/>
      <w:b/>
      <w:sz w:val="21"/>
      <w:szCs w:val="21"/>
    </w:rPr>
  </w:style>
  <w:style w:type="paragraph" w:customStyle="1" w:styleId="Invisiblepara">
    <w:name w:val="Invisible para"/>
    <w:basedOn w:val="BodyText"/>
    <w:next w:val="BodyText"/>
    <w:semiHidden/>
    <w:rsid w:val="00A2580A"/>
    <w:pPr>
      <w:keepNext/>
      <w:spacing w:before="320" w:line="80" w:lineRule="exact"/>
    </w:pPr>
    <w:rPr>
      <w:szCs w:val="20"/>
    </w:rPr>
  </w:style>
  <w:style w:type="paragraph" w:customStyle="1" w:styleId="BoxNoteSource">
    <w:name w:val="Box Note/Source"/>
    <w:basedOn w:val="BoxText"/>
    <w:rsid w:val="004E050F"/>
    <w:pPr>
      <w:spacing w:before="280" w:line="200" w:lineRule="atLeast"/>
    </w:pPr>
    <w:rPr>
      <w:sz w:val="16"/>
      <w:szCs w:val="16"/>
    </w:rPr>
  </w:style>
  <w:style w:type="paragraph" w:customStyle="1" w:styleId="RecommendationNumber">
    <w:name w:val="Recommendation Number"/>
    <w:basedOn w:val="BodyText"/>
    <w:next w:val="BodyText"/>
    <w:rsid w:val="009C3C19"/>
    <w:pPr>
      <w:numPr>
        <w:numId w:val="21"/>
      </w:numPr>
      <w:spacing w:before="120"/>
    </w:pPr>
    <w:rPr>
      <w:rFonts w:ascii="Arial" w:hAnsi="Arial"/>
      <w:color w:val="00408A"/>
      <w:sz w:val="21"/>
    </w:rPr>
  </w:style>
  <w:style w:type="paragraph" w:customStyle="1" w:styleId="Note">
    <w:name w:val="Note"/>
    <w:basedOn w:val="TableTextEntries"/>
    <w:next w:val="Source"/>
    <w:link w:val="NoteCharChar"/>
    <w:rsid w:val="004863D8"/>
    <w:pPr>
      <w:numPr>
        <w:numId w:val="13"/>
      </w:numPr>
      <w:tabs>
        <w:tab w:val="left" w:pos="0"/>
      </w:tabs>
      <w:spacing w:after="0" w:line="200" w:lineRule="atLeast"/>
    </w:pPr>
    <w:rPr>
      <w:sz w:val="16"/>
      <w:szCs w:val="16"/>
    </w:rPr>
  </w:style>
  <w:style w:type="character" w:customStyle="1" w:styleId="NoteCharChar">
    <w:name w:val="Note Char Char"/>
    <w:basedOn w:val="DefaultParagraphFont"/>
    <w:link w:val="Note"/>
    <w:rsid w:val="004863D8"/>
    <w:rPr>
      <w:rFonts w:ascii="Arial" w:hAnsi="Arial"/>
      <w:sz w:val="16"/>
      <w:szCs w:val="16"/>
      <w:lang w:eastAsia="en-US"/>
    </w:rPr>
  </w:style>
  <w:style w:type="character" w:customStyle="1" w:styleId="NoteLabel">
    <w:name w:val="Note Label"/>
    <w:basedOn w:val="DefaultParagraphFont"/>
    <w:rsid w:val="004863D8"/>
    <w:rPr>
      <w:rFonts w:ascii="Arial" w:hAnsi="Arial"/>
      <w:b/>
      <w:color w:val="auto"/>
      <w:spacing w:val="0"/>
      <w:position w:val="4"/>
      <w:sz w:val="16"/>
      <w:szCs w:val="16"/>
    </w:rPr>
  </w:style>
  <w:style w:type="paragraph" w:customStyle="1" w:styleId="Source">
    <w:name w:val="Source"/>
    <w:basedOn w:val="Normal"/>
    <w:next w:val="BodyText"/>
    <w:rsid w:val="00312625"/>
    <w:pPr>
      <w:keepLines/>
      <w:spacing w:before="40" w:after="60" w:line="200" w:lineRule="atLeast"/>
    </w:pPr>
    <w:rPr>
      <w:rFonts w:ascii="Arial" w:hAnsi="Arial"/>
      <w:sz w:val="16"/>
      <w:szCs w:val="16"/>
      <w:lang w:eastAsia="en-US"/>
    </w:rPr>
  </w:style>
  <w:style w:type="character" w:customStyle="1" w:styleId="Subtitlebox">
    <w:name w:val="Subtitle box"/>
    <w:aliases w:val="chart &amp; table"/>
    <w:basedOn w:val="DefaultParagraphFont"/>
    <w:semiHidden/>
    <w:rsid w:val="00D71778"/>
    <w:rPr>
      <w:rFonts w:ascii="Arial" w:hAnsi="Arial"/>
      <w:b/>
      <w:sz w:val="19"/>
      <w:szCs w:val="19"/>
    </w:rPr>
  </w:style>
  <w:style w:type="paragraph" w:customStyle="1" w:styleId="Chart">
    <w:name w:val="Chart"/>
    <w:basedOn w:val="Normal"/>
    <w:semiHidden/>
    <w:rsid w:val="00AE493B"/>
    <w:pPr>
      <w:jc w:val="center"/>
    </w:pPr>
    <w:rPr>
      <w:rFonts w:ascii="Arial" w:hAnsi="Arial"/>
      <w:sz w:val="18"/>
      <w:szCs w:val="18"/>
    </w:rPr>
  </w:style>
  <w:style w:type="paragraph" w:customStyle="1" w:styleId="ChartListBullet">
    <w:name w:val="Chart List Bullet"/>
    <w:basedOn w:val="ChartText"/>
    <w:semiHidden/>
    <w:rsid w:val="005C36AD"/>
    <w:pPr>
      <w:numPr>
        <w:numId w:val="24"/>
      </w:numPr>
      <w:spacing w:before="60"/>
    </w:pPr>
  </w:style>
  <w:style w:type="paragraph" w:customStyle="1" w:styleId="BoxListBullet2">
    <w:name w:val="Box List Bullet 2"/>
    <w:basedOn w:val="ListBullet2"/>
    <w:rsid w:val="004E050F"/>
    <w:pPr>
      <w:spacing w:before="40" w:line="270" w:lineRule="atLeast"/>
    </w:pPr>
    <w:rPr>
      <w:rFonts w:ascii="Arial" w:hAnsi="Arial"/>
      <w:sz w:val="20"/>
      <w:szCs w:val="20"/>
    </w:rPr>
  </w:style>
  <w:style w:type="paragraph" w:styleId="ListNumber2">
    <w:name w:val="List Number 2"/>
    <w:basedOn w:val="ListNumber"/>
    <w:rsid w:val="004C23D6"/>
    <w:pPr>
      <w:numPr>
        <w:numId w:val="19"/>
      </w:numPr>
      <w:spacing w:before="60"/>
    </w:pPr>
  </w:style>
  <w:style w:type="paragraph" w:styleId="TOC5">
    <w:name w:val="toc 5"/>
    <w:basedOn w:val="TOC4"/>
    <w:next w:val="BodyText"/>
    <w:rsid w:val="00780286"/>
    <w:pPr>
      <w:tabs>
        <w:tab w:val="clear" w:pos="425"/>
        <w:tab w:val="left" w:pos="709"/>
      </w:tabs>
      <w:spacing w:before="120"/>
      <w:ind w:left="709" w:hanging="284"/>
    </w:pPr>
  </w:style>
  <w:style w:type="paragraph" w:styleId="TOC4">
    <w:name w:val="toc 4"/>
    <w:basedOn w:val="TOC1"/>
    <w:next w:val="BodyText"/>
    <w:rsid w:val="00312625"/>
    <w:pPr>
      <w:tabs>
        <w:tab w:val="clear" w:pos="397"/>
        <w:tab w:val="left" w:pos="425"/>
      </w:tabs>
      <w:spacing w:before="240" w:line="280" w:lineRule="atLeast"/>
      <w:ind w:left="425" w:hanging="425"/>
    </w:pPr>
    <w:rPr>
      <w:b w:val="0"/>
      <w:color w:val="auto"/>
    </w:rPr>
  </w:style>
  <w:style w:type="paragraph" w:styleId="TOC1">
    <w:name w:val="toc 1"/>
    <w:basedOn w:val="Normal"/>
    <w:next w:val="TOC2"/>
    <w:uiPriority w:val="39"/>
    <w:rsid w:val="005F4A71"/>
    <w:pPr>
      <w:tabs>
        <w:tab w:val="left" w:pos="397"/>
        <w:tab w:val="right" w:pos="7938"/>
      </w:tabs>
      <w:spacing w:before="180" w:line="240" w:lineRule="atLeast"/>
      <w:ind w:left="397" w:right="284" w:hanging="397"/>
    </w:pPr>
    <w:rPr>
      <w:rFonts w:ascii="Arial" w:hAnsi="Arial"/>
      <w:b/>
      <w:color w:val="00408A"/>
      <w:sz w:val="21"/>
      <w:szCs w:val="21"/>
    </w:rPr>
  </w:style>
  <w:style w:type="paragraph" w:styleId="TOC2">
    <w:name w:val="toc 2"/>
    <w:basedOn w:val="TOC1"/>
    <w:uiPriority w:val="39"/>
    <w:rsid w:val="003F2609"/>
    <w:pPr>
      <w:tabs>
        <w:tab w:val="clear" w:pos="397"/>
        <w:tab w:val="left" w:pos="907"/>
      </w:tabs>
      <w:spacing w:before="60"/>
      <w:ind w:left="907" w:hanging="510"/>
    </w:pPr>
    <w:rPr>
      <w:b w:val="0"/>
      <w:color w:val="auto"/>
    </w:rPr>
  </w:style>
  <w:style w:type="character" w:styleId="Hyperlink">
    <w:name w:val="Hyperlink"/>
    <w:basedOn w:val="DefaultParagraphFont"/>
    <w:rsid w:val="00F94F16"/>
    <w:rPr>
      <w:color w:val="00408A"/>
      <w:u w:val="none"/>
    </w:rPr>
  </w:style>
  <w:style w:type="paragraph" w:customStyle="1" w:styleId="TableDataColumnHeading">
    <w:name w:val="Table Data Column Heading"/>
    <w:basedOn w:val="TableDataEntries"/>
    <w:rsid w:val="00312625"/>
    <w:pPr>
      <w:spacing w:before="80" w:after="80"/>
    </w:pPr>
    <w:rPr>
      <w:b/>
    </w:rPr>
  </w:style>
  <w:style w:type="paragraph" w:customStyle="1" w:styleId="TableDataEntries">
    <w:name w:val="Table Data Entries"/>
    <w:basedOn w:val="TableTextEntries"/>
    <w:rsid w:val="00312625"/>
    <w:pPr>
      <w:jc w:val="right"/>
    </w:pPr>
  </w:style>
  <w:style w:type="paragraph" w:customStyle="1" w:styleId="TableTextEntries">
    <w:name w:val="Table Text Entries"/>
    <w:basedOn w:val="Normal"/>
    <w:rsid w:val="00312625"/>
    <w:pPr>
      <w:keepLines/>
      <w:spacing w:before="40" w:after="40" w:line="210" w:lineRule="atLeast"/>
    </w:pPr>
    <w:rPr>
      <w:rFonts w:ascii="Arial" w:hAnsi="Arial"/>
      <w:sz w:val="19"/>
      <w:szCs w:val="19"/>
      <w:lang w:eastAsia="en-US"/>
    </w:rPr>
  </w:style>
  <w:style w:type="paragraph" w:customStyle="1" w:styleId="TableHeading1">
    <w:name w:val="Table Heading 1"/>
    <w:basedOn w:val="TableTextEntries"/>
    <w:next w:val="TableTextEntries"/>
    <w:rsid w:val="00312625"/>
    <w:pPr>
      <w:spacing w:before="180"/>
    </w:pPr>
    <w:rPr>
      <w:b/>
    </w:rPr>
  </w:style>
  <w:style w:type="paragraph" w:customStyle="1" w:styleId="TableHeading2">
    <w:name w:val="Table Heading 2"/>
    <w:basedOn w:val="TableHeading1"/>
    <w:next w:val="TableTextEntries"/>
    <w:rsid w:val="00AA5802"/>
    <w:pPr>
      <w:spacing w:before="80"/>
    </w:pPr>
    <w:rPr>
      <w:b w:val="0"/>
      <w:i/>
    </w:rPr>
  </w:style>
  <w:style w:type="paragraph" w:customStyle="1" w:styleId="TableListBullet">
    <w:name w:val="Table List Bullet"/>
    <w:basedOn w:val="TableTextEntries"/>
    <w:rsid w:val="00312625"/>
    <w:pPr>
      <w:numPr>
        <w:numId w:val="5"/>
      </w:numPr>
    </w:pPr>
  </w:style>
  <w:style w:type="paragraph" w:customStyle="1" w:styleId="TableListBullet2">
    <w:name w:val="Table List Bullet 2"/>
    <w:basedOn w:val="TableListBullet"/>
    <w:rsid w:val="006E19EE"/>
    <w:pPr>
      <w:numPr>
        <w:numId w:val="6"/>
      </w:numPr>
    </w:pPr>
  </w:style>
  <w:style w:type="paragraph" w:customStyle="1" w:styleId="TableListNumber">
    <w:name w:val="Table List Number"/>
    <w:basedOn w:val="TableListBullet"/>
    <w:rsid w:val="00696C9F"/>
    <w:pPr>
      <w:numPr>
        <w:numId w:val="15"/>
      </w:numPr>
    </w:pPr>
  </w:style>
  <w:style w:type="paragraph" w:customStyle="1" w:styleId="TableTextColumnHeading">
    <w:name w:val="Table Text Column Heading"/>
    <w:basedOn w:val="TableDataColumnHeading"/>
    <w:rsid w:val="00E07726"/>
    <w:pPr>
      <w:jc w:val="left"/>
    </w:pPr>
  </w:style>
  <w:style w:type="paragraph" w:customStyle="1" w:styleId="BoxHeading1">
    <w:name w:val="Box Heading 1"/>
    <w:basedOn w:val="BoxText"/>
    <w:next w:val="BoxText"/>
    <w:rsid w:val="004E050F"/>
    <w:pPr>
      <w:spacing w:before="280" w:line="260" w:lineRule="atLeast"/>
    </w:pPr>
    <w:rPr>
      <w:b/>
      <w:lang w:eastAsia="en-US"/>
    </w:rPr>
  </w:style>
  <w:style w:type="paragraph" w:customStyle="1" w:styleId="BoxListBullet">
    <w:name w:val="Box List Bullet"/>
    <w:basedOn w:val="ListBullet"/>
    <w:rsid w:val="004E050F"/>
    <w:pPr>
      <w:spacing w:before="80" w:line="270" w:lineRule="atLeast"/>
    </w:pPr>
    <w:rPr>
      <w:rFonts w:ascii="Arial" w:hAnsi="Arial"/>
      <w:sz w:val="20"/>
      <w:szCs w:val="20"/>
    </w:rPr>
  </w:style>
  <w:style w:type="character" w:styleId="CommentReference">
    <w:name w:val="annotation reference"/>
    <w:basedOn w:val="DefaultParagraphFont"/>
    <w:semiHidden/>
    <w:rsid w:val="00590D14"/>
    <w:rPr>
      <w:rFonts w:ascii="Arial" w:hAnsi="Arial"/>
      <w:b/>
      <w:vanish/>
      <w:color w:val="FF00FF"/>
      <w:sz w:val="20"/>
      <w:szCs w:val="20"/>
    </w:rPr>
  </w:style>
  <w:style w:type="paragraph" w:styleId="CommentText">
    <w:name w:val="annotation text"/>
    <w:basedOn w:val="BodyText"/>
    <w:semiHidden/>
    <w:rsid w:val="00637305"/>
    <w:pPr>
      <w:spacing w:before="120" w:line="240" w:lineRule="atLeast"/>
      <w:ind w:left="567" w:hanging="567"/>
    </w:pPr>
    <w:rPr>
      <w:lang w:eastAsia="en-US"/>
    </w:rPr>
  </w:style>
  <w:style w:type="paragraph" w:customStyle="1" w:styleId="Contents">
    <w:name w:val="Contents"/>
    <w:basedOn w:val="Heading1nonumber"/>
    <w:semiHidden/>
    <w:rsid w:val="00F714A2"/>
    <w:pPr>
      <w:tabs>
        <w:tab w:val="left" w:pos="0"/>
      </w:tabs>
      <w:spacing w:after="1300"/>
    </w:pPr>
    <w:rPr>
      <w:lang w:eastAsia="en-US"/>
    </w:rPr>
  </w:style>
  <w:style w:type="paragraph" w:customStyle="1" w:styleId="Equation">
    <w:name w:val="Equation"/>
    <w:basedOn w:val="BodyText"/>
    <w:next w:val="BodyText"/>
    <w:rsid w:val="002A56F2"/>
    <w:pPr>
      <w:numPr>
        <w:numId w:val="7"/>
      </w:numPr>
      <w:tabs>
        <w:tab w:val="left" w:pos="851"/>
      </w:tabs>
      <w:jc w:val="left"/>
    </w:pPr>
    <w:rPr>
      <w:lang w:eastAsia="en-US"/>
    </w:rPr>
  </w:style>
  <w:style w:type="paragraph" w:customStyle="1" w:styleId="KeyPoint">
    <w:name w:val="Key Point"/>
    <w:basedOn w:val="Normal"/>
    <w:semiHidden/>
    <w:rsid w:val="00637305"/>
    <w:pPr>
      <w:numPr>
        <w:numId w:val="8"/>
      </w:numPr>
      <w:spacing w:before="240" w:line="280" w:lineRule="atLeast"/>
      <w:jc w:val="both"/>
    </w:pPr>
    <w:rPr>
      <w:rFonts w:ascii="Arial" w:hAnsi="Arial"/>
      <w:b/>
      <w:color w:val="666666"/>
      <w:sz w:val="21"/>
      <w:szCs w:val="21"/>
      <w:lang w:eastAsia="en-US"/>
    </w:rPr>
  </w:style>
  <w:style w:type="paragraph" w:customStyle="1" w:styleId="TableUnit">
    <w:name w:val="Table Unit"/>
    <w:basedOn w:val="Normal"/>
    <w:next w:val="TableDataEntries"/>
    <w:semiHidden/>
    <w:rsid w:val="00637305"/>
    <w:pPr>
      <w:keepNext/>
      <w:keepLines/>
      <w:spacing w:before="80" w:after="80" w:line="210" w:lineRule="atLeast"/>
      <w:jc w:val="right"/>
    </w:pPr>
    <w:rPr>
      <w:rFonts w:ascii="Arial" w:hAnsi="Arial"/>
      <w:sz w:val="19"/>
      <w:szCs w:val="19"/>
      <w:lang w:eastAsia="en-US"/>
    </w:rPr>
  </w:style>
  <w:style w:type="paragraph" w:styleId="ListNumber3">
    <w:name w:val="List Number 3"/>
    <w:basedOn w:val="ListNumber2"/>
    <w:rsid w:val="00A73F42"/>
    <w:pPr>
      <w:numPr>
        <w:numId w:val="9"/>
      </w:numPr>
    </w:pPr>
  </w:style>
  <w:style w:type="paragraph" w:styleId="TOC3">
    <w:name w:val="toc 3"/>
    <w:basedOn w:val="TOC2"/>
    <w:semiHidden/>
    <w:rsid w:val="003F2609"/>
    <w:pPr>
      <w:tabs>
        <w:tab w:val="clear" w:pos="907"/>
        <w:tab w:val="left" w:pos="1531"/>
      </w:tabs>
      <w:spacing w:before="40"/>
      <w:ind w:left="1531" w:hanging="624"/>
    </w:pPr>
  </w:style>
  <w:style w:type="paragraph" w:styleId="TableofFigures">
    <w:name w:val="table of figures"/>
    <w:basedOn w:val="TOC2"/>
    <w:semiHidden/>
    <w:rsid w:val="00E21D4E"/>
    <w:pPr>
      <w:tabs>
        <w:tab w:val="left" w:pos="1191"/>
      </w:tabs>
      <w:ind w:left="1191" w:hanging="1191"/>
    </w:pPr>
  </w:style>
  <w:style w:type="paragraph" w:customStyle="1" w:styleId="PartTitle">
    <w:name w:val="Part Title"/>
    <w:basedOn w:val="Subtitle"/>
    <w:semiHidden/>
    <w:rsid w:val="00CE5F0D"/>
    <w:pPr>
      <w:spacing w:before="0"/>
      <w:jc w:val="right"/>
    </w:pPr>
  </w:style>
  <w:style w:type="paragraph" w:customStyle="1" w:styleId="TableListNumber2">
    <w:name w:val="Table List Number 2"/>
    <w:basedOn w:val="TableListNumber"/>
    <w:rsid w:val="0074636E"/>
    <w:pPr>
      <w:numPr>
        <w:numId w:val="14"/>
      </w:numPr>
    </w:pPr>
  </w:style>
  <w:style w:type="paragraph" w:styleId="TOC6">
    <w:name w:val="toc 6"/>
    <w:basedOn w:val="TOC4"/>
    <w:next w:val="TOC1"/>
    <w:semiHidden/>
    <w:rsid w:val="00182C9D"/>
  </w:style>
  <w:style w:type="paragraph" w:styleId="TOC7">
    <w:name w:val="toc 7"/>
    <w:basedOn w:val="TOC5"/>
    <w:next w:val="Normal"/>
    <w:semiHidden/>
    <w:rsid w:val="00182C9D"/>
    <w:pPr>
      <w:spacing w:before="80"/>
    </w:pPr>
  </w:style>
  <w:style w:type="paragraph" w:styleId="TOC8">
    <w:name w:val="toc 8"/>
    <w:basedOn w:val="Normal"/>
    <w:next w:val="Normal"/>
    <w:autoRedefine/>
    <w:semiHidden/>
    <w:rsid w:val="00EA77A1"/>
    <w:pPr>
      <w:ind w:left="1680"/>
    </w:pPr>
  </w:style>
  <w:style w:type="paragraph" w:styleId="TOC9">
    <w:name w:val="toc 9"/>
    <w:basedOn w:val="Normal"/>
    <w:next w:val="Normal"/>
    <w:semiHidden/>
    <w:rsid w:val="00234241"/>
    <w:pPr>
      <w:spacing w:before="40" w:after="40" w:line="240" w:lineRule="atLeast"/>
    </w:pPr>
    <w:rPr>
      <w:rFonts w:ascii="Arial" w:hAnsi="Arial"/>
      <w:sz w:val="18"/>
      <w:szCs w:val="18"/>
    </w:rPr>
  </w:style>
  <w:style w:type="paragraph" w:customStyle="1" w:styleId="ChartListBullet2">
    <w:name w:val="Chart List Bullet 2"/>
    <w:basedOn w:val="ChartListBullet"/>
    <w:semiHidden/>
    <w:rsid w:val="005C36AD"/>
    <w:pPr>
      <w:numPr>
        <w:numId w:val="25"/>
      </w:numPr>
      <w:spacing w:before="40"/>
    </w:pPr>
  </w:style>
  <w:style w:type="paragraph" w:customStyle="1" w:styleId="QuoteBullet">
    <w:name w:val="Quote Bullet"/>
    <w:basedOn w:val="Quote"/>
    <w:rsid w:val="00E61B58"/>
    <w:pPr>
      <w:numPr>
        <w:numId w:val="10"/>
      </w:numPr>
    </w:pPr>
  </w:style>
  <w:style w:type="paragraph" w:customStyle="1" w:styleId="BoxHeading2">
    <w:name w:val="Box Heading 2"/>
    <w:basedOn w:val="BoxHeading1"/>
    <w:next w:val="BoxText"/>
    <w:rsid w:val="000F6371"/>
    <w:pPr>
      <w:spacing w:before="240"/>
    </w:pPr>
    <w:rPr>
      <w:b w:val="0"/>
      <w:i/>
    </w:rPr>
  </w:style>
  <w:style w:type="paragraph" w:customStyle="1" w:styleId="BoxListNumber">
    <w:name w:val="Box List Number"/>
    <w:basedOn w:val="BoxText"/>
    <w:rsid w:val="004E050F"/>
    <w:pPr>
      <w:numPr>
        <w:numId w:val="12"/>
      </w:numPr>
      <w:spacing w:before="80"/>
    </w:pPr>
  </w:style>
  <w:style w:type="paragraph" w:customStyle="1" w:styleId="BoxListNumber2">
    <w:name w:val="Box List Number 2"/>
    <w:basedOn w:val="BoxListNumber"/>
    <w:rsid w:val="00881999"/>
    <w:pPr>
      <w:numPr>
        <w:numId w:val="11"/>
      </w:numPr>
    </w:pPr>
  </w:style>
  <w:style w:type="paragraph" w:customStyle="1" w:styleId="PartSubtitle">
    <w:name w:val="Part Subtitle"/>
    <w:basedOn w:val="PartTitle"/>
    <w:semiHidden/>
    <w:rsid w:val="00B86B82"/>
    <w:pPr>
      <w:spacing w:before="360"/>
    </w:pPr>
  </w:style>
  <w:style w:type="paragraph" w:customStyle="1" w:styleId="QuoteHangingIndent">
    <w:name w:val="Quote Hanging Indent"/>
    <w:basedOn w:val="Quote"/>
    <w:next w:val="Normal"/>
    <w:rsid w:val="00E61B58"/>
    <w:pPr>
      <w:ind w:left="851" w:hanging="567"/>
    </w:pPr>
  </w:style>
  <w:style w:type="paragraph" w:customStyle="1" w:styleId="RecommendationBullet">
    <w:name w:val="Recommendation Bullet"/>
    <w:basedOn w:val="Normal"/>
    <w:rsid w:val="004863D8"/>
    <w:pPr>
      <w:numPr>
        <w:numId w:val="20"/>
      </w:numPr>
      <w:spacing w:before="120" w:line="280" w:lineRule="atLeast"/>
      <w:jc w:val="both"/>
    </w:pPr>
    <w:rPr>
      <w:rFonts w:ascii="Arial" w:hAnsi="Arial"/>
      <w:color w:val="00408A"/>
      <w:sz w:val="21"/>
      <w:szCs w:val="21"/>
    </w:rPr>
  </w:style>
  <w:style w:type="paragraph" w:customStyle="1" w:styleId="SeekCommentBullet">
    <w:name w:val="Seek Comment Bullet"/>
    <w:basedOn w:val="RecommendationBullet"/>
    <w:rsid w:val="00424796"/>
    <w:pPr>
      <w:numPr>
        <w:numId w:val="17"/>
      </w:numPr>
    </w:pPr>
    <w:rPr>
      <w:color w:val="auto"/>
    </w:rPr>
  </w:style>
  <w:style w:type="character" w:customStyle="1" w:styleId="Notelabel0">
    <w:name w:val="Note label"/>
    <w:basedOn w:val="DefaultParagraphFont"/>
    <w:semiHidden/>
    <w:rsid w:val="00022BD0"/>
    <w:rPr>
      <w:rFonts w:ascii="Arial" w:hAnsi="Arial"/>
      <w:b/>
      <w:color w:val="auto"/>
      <w:spacing w:val="0"/>
      <w:position w:val="4"/>
      <w:sz w:val="16"/>
      <w:szCs w:val="16"/>
    </w:rPr>
  </w:style>
  <w:style w:type="table" w:styleId="TableGrid">
    <w:name w:val="Table Grid"/>
    <w:basedOn w:val="TableNormal"/>
    <w:uiPriority w:val="59"/>
    <w:rsid w:val="004E17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Caption"/>
    <w:rsid w:val="00095AEE"/>
    <w:pPr>
      <w:keepNext/>
    </w:pPr>
  </w:style>
  <w:style w:type="paragraph" w:customStyle="1" w:styleId="Abbreviation">
    <w:name w:val="Abbreviation"/>
    <w:basedOn w:val="Normal"/>
    <w:rsid w:val="004E050F"/>
    <w:pPr>
      <w:spacing w:before="240" w:line="280" w:lineRule="atLeast"/>
      <w:ind w:left="1418" w:hanging="1418"/>
      <w:jc w:val="both"/>
    </w:pPr>
    <w:rPr>
      <w:szCs w:val="21"/>
    </w:rPr>
  </w:style>
  <w:style w:type="paragraph" w:customStyle="1" w:styleId="BoxTitle">
    <w:name w:val="Box Title"/>
    <w:basedOn w:val="Caption"/>
    <w:rsid w:val="00726B71"/>
    <w:pPr>
      <w:keepNext/>
      <w:spacing w:before="140" w:after="60"/>
      <w:ind w:left="1219" w:hanging="1219"/>
    </w:pPr>
  </w:style>
  <w:style w:type="paragraph" w:customStyle="1" w:styleId="FigureTitle">
    <w:name w:val="Figure Title"/>
    <w:basedOn w:val="Caption"/>
    <w:rsid w:val="00726B71"/>
    <w:pPr>
      <w:keepNext/>
      <w:ind w:left="1389" w:hanging="1389"/>
    </w:pPr>
  </w:style>
  <w:style w:type="paragraph" w:styleId="NormalIndent">
    <w:name w:val="Normal Indent"/>
    <w:basedOn w:val="Normal"/>
    <w:semiHidden/>
    <w:rsid w:val="00F51547"/>
    <w:pPr>
      <w:ind w:left="720"/>
    </w:pPr>
  </w:style>
  <w:style w:type="paragraph" w:customStyle="1" w:styleId="BoxQuote">
    <w:name w:val="Box Quote"/>
    <w:basedOn w:val="BoxText"/>
    <w:next w:val="BoxText"/>
    <w:rsid w:val="004E050F"/>
    <w:pPr>
      <w:spacing w:before="60" w:line="250" w:lineRule="atLeast"/>
      <w:ind w:left="284"/>
    </w:pPr>
    <w:rPr>
      <w:sz w:val="18"/>
      <w:szCs w:val="18"/>
    </w:rPr>
  </w:style>
  <w:style w:type="paragraph" w:customStyle="1" w:styleId="BodytextIPART">
    <w:name w:val="Body text IPART"/>
    <w:basedOn w:val="BodyText"/>
    <w:next w:val="BodyText"/>
    <w:semiHidden/>
    <w:rsid w:val="002F428B"/>
  </w:style>
  <w:style w:type="paragraph" w:customStyle="1" w:styleId="Referencenumber">
    <w:name w:val="Reference number"/>
    <w:basedOn w:val="Report"/>
    <w:semiHidden/>
    <w:rsid w:val="0070764D"/>
    <w:pPr>
      <w:spacing w:line="240" w:lineRule="atLeast"/>
    </w:pPr>
    <w:rPr>
      <w:b w:val="0"/>
      <w:sz w:val="22"/>
      <w:szCs w:val="22"/>
    </w:rPr>
  </w:style>
  <w:style w:type="paragraph" w:customStyle="1" w:styleId="Determinationnumber">
    <w:name w:val="Determination number"/>
    <w:basedOn w:val="Report"/>
    <w:semiHidden/>
    <w:rsid w:val="004A56B1"/>
  </w:style>
  <w:style w:type="paragraph" w:styleId="CommentSubject">
    <w:name w:val="annotation subject"/>
    <w:basedOn w:val="CommentText"/>
    <w:next w:val="CommentText"/>
    <w:semiHidden/>
    <w:rsid w:val="00265600"/>
    <w:pPr>
      <w:spacing w:before="0" w:line="240" w:lineRule="auto"/>
      <w:ind w:left="0" w:firstLine="0"/>
      <w:jc w:val="left"/>
    </w:pPr>
    <w:rPr>
      <w:rFonts w:ascii="Times New Roman" w:hAnsi="Times New Roman"/>
      <w:b/>
      <w:bCs/>
      <w:sz w:val="20"/>
      <w:szCs w:val="20"/>
      <w:lang w:eastAsia="en-AU"/>
    </w:rPr>
  </w:style>
  <w:style w:type="paragraph" w:styleId="BalloonText">
    <w:name w:val="Balloon Text"/>
    <w:basedOn w:val="Normal"/>
    <w:link w:val="BalloonTextChar"/>
    <w:uiPriority w:val="99"/>
    <w:semiHidden/>
    <w:rsid w:val="00265600"/>
    <w:rPr>
      <w:rFonts w:ascii="Tahoma" w:hAnsi="Tahoma" w:cs="Tahoma"/>
      <w:sz w:val="16"/>
      <w:szCs w:val="16"/>
    </w:rPr>
  </w:style>
  <w:style w:type="paragraph" w:customStyle="1" w:styleId="ChartText">
    <w:name w:val="Chart Text"/>
    <w:basedOn w:val="Normal"/>
    <w:semiHidden/>
    <w:rsid w:val="005C36AD"/>
    <w:pPr>
      <w:spacing w:before="100" w:line="200" w:lineRule="atLeast"/>
    </w:pPr>
    <w:rPr>
      <w:rFonts w:ascii="Arial" w:hAnsi="Arial"/>
      <w:sz w:val="18"/>
      <w:szCs w:val="18"/>
      <w:lang w:eastAsia="en-US"/>
    </w:rPr>
  </w:style>
  <w:style w:type="paragraph" w:customStyle="1" w:styleId="ChartBoldText">
    <w:name w:val="Chart Bold Text"/>
    <w:basedOn w:val="ChartText"/>
    <w:next w:val="ChartText"/>
    <w:semiHidden/>
    <w:rsid w:val="005C36AD"/>
    <w:pPr>
      <w:spacing w:before="0"/>
      <w:jc w:val="center"/>
    </w:pPr>
    <w:rPr>
      <w:b/>
    </w:rPr>
  </w:style>
  <w:style w:type="paragraph" w:customStyle="1" w:styleId="ChartHighlight">
    <w:name w:val="Chart Highlight"/>
    <w:basedOn w:val="ChartBoldText"/>
    <w:semiHidden/>
    <w:rsid w:val="005C36AD"/>
    <w:pPr>
      <w:spacing w:line="220" w:lineRule="atLeast"/>
    </w:pPr>
    <w:rPr>
      <w:caps/>
      <w:color w:val="FFFFFF"/>
      <w:sz w:val="20"/>
      <w:szCs w:val="20"/>
    </w:rPr>
  </w:style>
  <w:style w:type="paragraph" w:customStyle="1" w:styleId="LCHeading1">
    <w:name w:val="LC Heading 1"/>
    <w:basedOn w:val="BodyText"/>
    <w:next w:val="BodyText"/>
    <w:semiHidden/>
    <w:rsid w:val="00F01ED1"/>
    <w:pPr>
      <w:keepNext/>
      <w:tabs>
        <w:tab w:val="num" w:pos="425"/>
      </w:tabs>
      <w:spacing w:before="480"/>
      <w:ind w:left="425" w:hanging="425"/>
      <w:jc w:val="left"/>
      <w:outlineLvl w:val="0"/>
    </w:pPr>
    <w:rPr>
      <w:rFonts w:ascii="Arial" w:hAnsi="Arial"/>
      <w:b/>
      <w:sz w:val="24"/>
      <w:szCs w:val="24"/>
      <w:lang w:eastAsia="en-US"/>
    </w:rPr>
  </w:style>
  <w:style w:type="paragraph" w:customStyle="1" w:styleId="LCHeading2">
    <w:name w:val="LC Heading 2"/>
    <w:basedOn w:val="LCHeading1"/>
    <w:next w:val="BodyText"/>
    <w:semiHidden/>
    <w:rsid w:val="00F01ED1"/>
    <w:pPr>
      <w:spacing w:before="240"/>
      <w:outlineLvl w:val="1"/>
    </w:pPr>
    <w:rPr>
      <w:sz w:val="21"/>
      <w:szCs w:val="21"/>
    </w:rPr>
  </w:style>
  <w:style w:type="paragraph" w:customStyle="1" w:styleId="LCHeading3">
    <w:name w:val="LC Heading 3"/>
    <w:basedOn w:val="BodyText"/>
    <w:semiHidden/>
    <w:rsid w:val="00F01ED1"/>
    <w:pPr>
      <w:tabs>
        <w:tab w:val="num" w:pos="425"/>
      </w:tabs>
      <w:ind w:left="425" w:hanging="425"/>
      <w:outlineLvl w:val="2"/>
    </w:pPr>
    <w:rPr>
      <w:szCs w:val="20"/>
      <w:lang w:eastAsia="en-US"/>
    </w:rPr>
  </w:style>
  <w:style w:type="paragraph" w:customStyle="1" w:styleId="LCHeading4">
    <w:name w:val="LC Heading 4"/>
    <w:basedOn w:val="LCHeading3"/>
    <w:semiHidden/>
    <w:rsid w:val="00F01ED1"/>
    <w:pPr>
      <w:tabs>
        <w:tab w:val="clear" w:pos="425"/>
        <w:tab w:val="num" w:pos="851"/>
      </w:tabs>
      <w:ind w:left="851" w:hanging="426"/>
      <w:outlineLvl w:val="3"/>
    </w:pPr>
  </w:style>
  <w:style w:type="paragraph" w:customStyle="1" w:styleId="LCHeading5">
    <w:name w:val="LC Heading 5"/>
    <w:basedOn w:val="LCHeading4"/>
    <w:semiHidden/>
    <w:rsid w:val="00F01ED1"/>
    <w:pPr>
      <w:tabs>
        <w:tab w:val="clear" w:pos="851"/>
        <w:tab w:val="num" w:pos="1276"/>
      </w:tabs>
      <w:ind w:left="1276" w:hanging="425"/>
      <w:outlineLvl w:val="4"/>
    </w:pPr>
    <w:rPr>
      <w:szCs w:val="21"/>
    </w:rPr>
  </w:style>
  <w:style w:type="paragraph" w:customStyle="1" w:styleId="LCHeading6">
    <w:name w:val="LC Heading 6"/>
    <w:basedOn w:val="LCHeading5"/>
    <w:semiHidden/>
    <w:rsid w:val="00F01ED1"/>
    <w:pPr>
      <w:tabs>
        <w:tab w:val="clear" w:pos="1276"/>
        <w:tab w:val="num" w:pos="1701"/>
      </w:tabs>
      <w:ind w:left="1701"/>
      <w:outlineLvl w:val="5"/>
    </w:pPr>
  </w:style>
  <w:style w:type="character" w:customStyle="1" w:styleId="BodyTextChar">
    <w:name w:val="Body Text Char"/>
    <w:basedOn w:val="DefaultParagraphFont"/>
    <w:link w:val="BodyText"/>
    <w:rsid w:val="008C1404"/>
    <w:rPr>
      <w:rFonts w:ascii="Book Antiqua" w:hAnsi="Book Antiqua"/>
      <w:sz w:val="22"/>
      <w:szCs w:val="21"/>
    </w:rPr>
  </w:style>
  <w:style w:type="paragraph" w:customStyle="1" w:styleId="NoteNumber">
    <w:name w:val="Note Number"/>
    <w:basedOn w:val="TableTextEntries"/>
    <w:link w:val="NoteNumberCharChar"/>
    <w:rsid w:val="004863D8"/>
    <w:pPr>
      <w:numPr>
        <w:numId w:val="23"/>
      </w:numPr>
      <w:spacing w:after="0" w:line="200" w:lineRule="atLeast"/>
    </w:pPr>
    <w:rPr>
      <w:sz w:val="16"/>
      <w:szCs w:val="16"/>
    </w:rPr>
  </w:style>
  <w:style w:type="character" w:customStyle="1" w:styleId="NoteNumberCharChar">
    <w:name w:val="Note Number Char Char"/>
    <w:basedOn w:val="DefaultParagraphFont"/>
    <w:link w:val="NoteNumber"/>
    <w:rsid w:val="004863D8"/>
    <w:rPr>
      <w:rFonts w:ascii="Arial" w:hAnsi="Arial"/>
      <w:sz w:val="16"/>
      <w:szCs w:val="16"/>
      <w:lang w:eastAsia="en-US"/>
    </w:rPr>
  </w:style>
  <w:style w:type="paragraph" w:customStyle="1" w:styleId="SeekCommentHeading">
    <w:name w:val="Seek Comment Heading"/>
    <w:basedOn w:val="RecommendationHeading"/>
    <w:next w:val="SeekCommentNumber"/>
    <w:rsid w:val="00424796"/>
  </w:style>
  <w:style w:type="paragraph" w:customStyle="1" w:styleId="RecommendationHeading">
    <w:name w:val="Recommendation Heading"/>
    <w:basedOn w:val="BodyText"/>
    <w:next w:val="RecommendationNumber"/>
    <w:rsid w:val="004863D8"/>
    <w:pPr>
      <w:keepNext/>
      <w:jc w:val="left"/>
    </w:pPr>
    <w:rPr>
      <w:rFonts w:ascii="Arial" w:hAnsi="Arial"/>
    </w:rPr>
  </w:style>
  <w:style w:type="paragraph" w:customStyle="1" w:styleId="ChartListNumber">
    <w:name w:val="Chart List Number"/>
    <w:basedOn w:val="ChartText"/>
    <w:semiHidden/>
    <w:rsid w:val="005C36AD"/>
    <w:pPr>
      <w:numPr>
        <w:numId w:val="26"/>
      </w:numPr>
      <w:spacing w:before="60"/>
    </w:pPr>
  </w:style>
  <w:style w:type="paragraph" w:customStyle="1" w:styleId="FindingBullet">
    <w:name w:val="Finding Bullet"/>
    <w:basedOn w:val="RecommendationBullet"/>
    <w:rsid w:val="004E050F"/>
    <w:pPr>
      <w:numPr>
        <w:numId w:val="16"/>
      </w:numPr>
    </w:pPr>
  </w:style>
  <w:style w:type="paragraph" w:customStyle="1" w:styleId="FindingHeading">
    <w:name w:val="Finding Heading"/>
    <w:basedOn w:val="RecommendationHeading"/>
    <w:next w:val="FindingNumber"/>
    <w:rsid w:val="004E050F"/>
  </w:style>
  <w:style w:type="paragraph" w:customStyle="1" w:styleId="FindingNumber">
    <w:name w:val="Finding Number"/>
    <w:basedOn w:val="Normal"/>
    <w:next w:val="BodyText"/>
    <w:rsid w:val="004E050F"/>
    <w:pPr>
      <w:numPr>
        <w:numId w:val="22"/>
      </w:numPr>
      <w:spacing w:before="120" w:line="280" w:lineRule="atLeast"/>
      <w:jc w:val="both"/>
    </w:pPr>
    <w:rPr>
      <w:rFonts w:ascii="Arial" w:hAnsi="Arial"/>
      <w:color w:val="00408A"/>
      <w:sz w:val="21"/>
      <w:szCs w:val="21"/>
    </w:rPr>
  </w:style>
  <w:style w:type="paragraph" w:customStyle="1" w:styleId="SeekCommentNumber">
    <w:name w:val="Seek Comment Number"/>
    <w:basedOn w:val="Normal"/>
    <w:next w:val="BodyText"/>
    <w:rsid w:val="00526E73"/>
    <w:pPr>
      <w:numPr>
        <w:numId w:val="18"/>
      </w:numPr>
      <w:spacing w:before="120" w:line="280" w:lineRule="atLeast"/>
      <w:jc w:val="both"/>
    </w:pPr>
    <w:rPr>
      <w:rFonts w:ascii="Arial" w:hAnsi="Arial"/>
      <w:sz w:val="21"/>
      <w:szCs w:val="21"/>
    </w:rPr>
  </w:style>
  <w:style w:type="character" w:customStyle="1" w:styleId="ListBulletChar">
    <w:name w:val="List Bullet Char"/>
    <w:basedOn w:val="BodyTextChar"/>
    <w:link w:val="ListBullet"/>
    <w:uiPriority w:val="99"/>
    <w:rsid w:val="00D60EA5"/>
    <w:rPr>
      <w:rFonts w:ascii="Book Antiqua" w:hAnsi="Book Antiqua"/>
      <w:sz w:val="22"/>
      <w:szCs w:val="21"/>
    </w:rPr>
  </w:style>
  <w:style w:type="character" w:customStyle="1" w:styleId="FootnoteTextChar">
    <w:name w:val="Footnote Text Char"/>
    <w:link w:val="FootnoteText"/>
    <w:uiPriority w:val="99"/>
    <w:rsid w:val="00D60EA5"/>
    <w:rPr>
      <w:rFonts w:ascii="Book Antiqua" w:hAnsi="Book Antiqua"/>
      <w:sz w:val="18"/>
      <w:szCs w:val="17"/>
    </w:rPr>
  </w:style>
  <w:style w:type="paragraph" w:customStyle="1" w:styleId="Default">
    <w:name w:val="Default"/>
    <w:rsid w:val="0031650A"/>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rsid w:val="004C13C1"/>
    <w:rPr>
      <w:rFonts w:ascii="Arial" w:hAnsi="Arial" w:cs="Arial"/>
      <w:b/>
      <w:bCs/>
      <w:color w:val="00408A"/>
      <w:kern w:val="32"/>
      <w:sz w:val="30"/>
      <w:szCs w:val="30"/>
    </w:rPr>
  </w:style>
  <w:style w:type="paragraph" w:styleId="ListParagraph">
    <w:name w:val="List Paragraph"/>
    <w:basedOn w:val="Normal"/>
    <w:uiPriority w:val="34"/>
    <w:qFormat/>
    <w:rsid w:val="00544EDB"/>
    <w:pPr>
      <w:ind w:left="720"/>
    </w:pPr>
    <w:rPr>
      <w:rFonts w:ascii="Calibri" w:eastAsiaTheme="minorHAnsi" w:hAnsi="Calibri"/>
      <w:szCs w:val="22"/>
      <w:lang w:eastAsia="en-US"/>
    </w:rPr>
  </w:style>
  <w:style w:type="character" w:styleId="Strong">
    <w:name w:val="Strong"/>
    <w:basedOn w:val="DefaultParagraphFont"/>
    <w:uiPriority w:val="22"/>
    <w:qFormat/>
    <w:rsid w:val="00E96CB9"/>
    <w:rPr>
      <w:b/>
      <w:bCs/>
    </w:rPr>
  </w:style>
  <w:style w:type="paragraph" w:styleId="NormalWeb">
    <w:name w:val="Normal (Web)"/>
    <w:basedOn w:val="Normal"/>
    <w:uiPriority w:val="99"/>
    <w:unhideWhenUsed/>
    <w:rsid w:val="001078B4"/>
    <w:pPr>
      <w:spacing w:before="100" w:beforeAutospacing="1" w:after="100" w:afterAutospacing="1"/>
    </w:pPr>
    <w:rPr>
      <w:rFonts w:ascii="Times New Roman" w:hAnsi="Times New Roman"/>
      <w:sz w:val="24"/>
    </w:rPr>
  </w:style>
  <w:style w:type="table" w:customStyle="1" w:styleId="TableGrid1">
    <w:name w:val="Table Grid1"/>
    <w:basedOn w:val="TableNormal"/>
    <w:next w:val="TableGrid"/>
    <w:uiPriority w:val="59"/>
    <w:rsid w:val="00307E03"/>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6">
    <w:name w:val="xl66"/>
    <w:basedOn w:val="Normal"/>
    <w:rsid w:val="00977737"/>
    <w:pPr>
      <w:pBdr>
        <w:top w:val="single" w:sz="8" w:space="0" w:color="969696"/>
      </w:pBdr>
      <w:spacing w:before="100" w:beforeAutospacing="1" w:after="100" w:afterAutospacing="1" w:line="276" w:lineRule="auto"/>
      <w:jc w:val="both"/>
    </w:pPr>
    <w:rPr>
      <w:rFonts w:ascii="Arial" w:hAnsi="Arial" w:cs="Arial"/>
      <w:color w:val="333333"/>
      <w:sz w:val="18"/>
      <w:szCs w:val="18"/>
    </w:rPr>
  </w:style>
  <w:style w:type="character" w:customStyle="1" w:styleId="Heading4Char">
    <w:name w:val="Heading 4 Char"/>
    <w:basedOn w:val="DefaultParagraphFont"/>
    <w:link w:val="Heading4"/>
    <w:rsid w:val="006A7607"/>
    <w:rPr>
      <w:rFonts w:ascii="Arial" w:hAnsi="Arial"/>
      <w:color w:val="00408A"/>
      <w:kern w:val="28"/>
      <w:sz w:val="22"/>
      <w:szCs w:val="21"/>
    </w:rPr>
  </w:style>
  <w:style w:type="table" w:customStyle="1" w:styleId="TableGrid2">
    <w:name w:val="Table Grid2"/>
    <w:basedOn w:val="TableNormal"/>
    <w:next w:val="TableGrid"/>
    <w:uiPriority w:val="59"/>
    <w:rsid w:val="00583248"/>
    <w:rPr>
      <w:rFonts w:ascii="Cambria" w:eastAsia="MS Mincho" w:hAnsi="Cambria"/>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115676"/>
    <w:rPr>
      <w:rFonts w:ascii="Arial" w:hAnsi="Arial"/>
      <w:b/>
      <w:color w:val="00408A"/>
      <w:kern w:val="28"/>
      <w:sz w:val="24"/>
      <w:szCs w:val="24"/>
    </w:rPr>
  </w:style>
  <w:style w:type="character" w:customStyle="1" w:styleId="BalloonTextChar">
    <w:name w:val="Balloon Text Char"/>
    <w:basedOn w:val="DefaultParagraphFont"/>
    <w:link w:val="BalloonText"/>
    <w:uiPriority w:val="99"/>
    <w:semiHidden/>
    <w:rsid w:val="00115676"/>
    <w:rPr>
      <w:rFonts w:ascii="Tahoma" w:hAnsi="Tahoma" w:cs="Tahoma"/>
      <w:sz w:val="16"/>
      <w:szCs w:val="16"/>
    </w:rPr>
  </w:style>
  <w:style w:type="table" w:customStyle="1" w:styleId="TableGrid23">
    <w:name w:val="Table Grid23"/>
    <w:basedOn w:val="TableNormal"/>
    <w:uiPriority w:val="59"/>
    <w:rsid w:val="00EC1C8D"/>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uiPriority w:val="59"/>
    <w:rsid w:val="00EC1C8D"/>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uiPriority w:val="59"/>
    <w:rsid w:val="005B3678"/>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uiPriority w:val="59"/>
    <w:rsid w:val="00704CB5"/>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uiPriority w:val="59"/>
    <w:rsid w:val="00480023"/>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15761"/>
  </w:style>
  <w:style w:type="table" w:customStyle="1" w:styleId="TableGrid3">
    <w:name w:val="Table Grid3"/>
    <w:basedOn w:val="TableNormal"/>
    <w:next w:val="TableGrid"/>
    <w:uiPriority w:val="59"/>
    <w:rsid w:val="00E15761"/>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51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66B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D5629A"/>
    <w:rPr>
      <w:rFonts w:ascii="Arial" w:hAnsi="Arial"/>
      <w:b/>
      <w:color w:val="00408A"/>
      <w:kern w:val="28"/>
      <w:sz w:val="21"/>
      <w:szCs w:val="21"/>
    </w:rPr>
  </w:style>
  <w:style w:type="character" w:customStyle="1" w:styleId="QuoteChar">
    <w:name w:val="Quote Char"/>
    <w:basedOn w:val="DefaultParagraphFont"/>
    <w:link w:val="Quote"/>
    <w:rsid w:val="00D5629A"/>
    <w:rPr>
      <w:rFonts w:ascii="Book Antiqua" w:hAnsi="Book Antiqua"/>
      <w:szCs w:val="19"/>
    </w:rPr>
  </w:style>
  <w:style w:type="paragraph" w:styleId="EndnoteText">
    <w:name w:val="endnote text"/>
    <w:basedOn w:val="Normal"/>
    <w:link w:val="EndnoteTextChar"/>
    <w:rsid w:val="00B30DAD"/>
    <w:rPr>
      <w:sz w:val="20"/>
      <w:szCs w:val="20"/>
    </w:rPr>
  </w:style>
  <w:style w:type="character" w:customStyle="1" w:styleId="EndnoteTextChar">
    <w:name w:val="Endnote Text Char"/>
    <w:basedOn w:val="DefaultParagraphFont"/>
    <w:link w:val="EndnoteText"/>
    <w:rsid w:val="00B30DAD"/>
    <w:rPr>
      <w:rFonts w:ascii="Book Antiqua" w:hAnsi="Book Antiqua"/>
    </w:rPr>
  </w:style>
  <w:style w:type="character" w:styleId="EndnoteReference">
    <w:name w:val="endnote reference"/>
    <w:basedOn w:val="DefaultParagraphFont"/>
    <w:rsid w:val="00B30DAD"/>
    <w:rPr>
      <w:vertAlign w:val="superscript"/>
    </w:rPr>
  </w:style>
  <w:style w:type="paragraph" w:customStyle="1" w:styleId="TableParagraph">
    <w:name w:val="Table Paragraph"/>
    <w:basedOn w:val="Normal"/>
    <w:uiPriority w:val="1"/>
    <w:qFormat/>
    <w:rsid w:val="001C6501"/>
    <w:pPr>
      <w:widowControl w:val="0"/>
    </w:pPr>
    <w:rPr>
      <w:rFonts w:asciiTheme="minorHAnsi" w:eastAsiaTheme="minorHAnsi" w:hAnsiTheme="minorHAnsi" w:cstheme="minorBidi"/>
      <w:szCs w:val="22"/>
      <w:lang w:val="en-US" w:eastAsia="en-US"/>
    </w:rPr>
  </w:style>
  <w:style w:type="paragraph" w:styleId="PlainText">
    <w:name w:val="Plain Text"/>
    <w:basedOn w:val="Normal"/>
    <w:link w:val="PlainTextChar"/>
    <w:rsid w:val="00052C7E"/>
    <w:rPr>
      <w:rFonts w:ascii="Consolas" w:hAnsi="Consolas" w:cs="Consolas"/>
      <w:sz w:val="21"/>
      <w:szCs w:val="21"/>
    </w:rPr>
  </w:style>
  <w:style w:type="character" w:customStyle="1" w:styleId="PlainTextChar">
    <w:name w:val="Plain Text Char"/>
    <w:basedOn w:val="DefaultParagraphFont"/>
    <w:link w:val="PlainText"/>
    <w:rsid w:val="00052C7E"/>
    <w:rPr>
      <w:rFonts w:ascii="Consolas" w:hAnsi="Consolas" w:cs="Consolas"/>
      <w:sz w:val="21"/>
      <w:szCs w:val="21"/>
    </w:rPr>
  </w:style>
  <w:style w:type="table" w:customStyle="1" w:styleId="TableGrid31">
    <w:name w:val="Table Grid31"/>
    <w:basedOn w:val="TableNormal"/>
    <w:next w:val="TableGrid"/>
    <w:uiPriority w:val="59"/>
    <w:rsid w:val="00FD716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link w:val="Caption"/>
    <w:rsid w:val="00420873"/>
    <w:rPr>
      <w:rFonts w:ascii="Arial" w:hAnsi="Arial"/>
      <w:b/>
      <w:sz w:val="21"/>
      <w:szCs w:val="21"/>
    </w:rPr>
  </w:style>
  <w:style w:type="table" w:customStyle="1" w:styleId="TableGrid6">
    <w:name w:val="Table Grid6"/>
    <w:basedOn w:val="TableNormal"/>
    <w:next w:val="TableGrid"/>
    <w:uiPriority w:val="59"/>
    <w:rsid w:val="0036081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qFormat="1"/>
    <w:lsdException w:name="footnote reference" w:uiPriority="99"/>
    <w:lsdException w:name="List Bullet" w:uiPriority="99"/>
    <w:lsdException w:name="Title" w:qFormat="1"/>
    <w:lsdException w:name="Body Text" w:qFormat="1"/>
    <w:lsdException w:name="Subtitle" w:qFormat="1"/>
    <w:lsdException w:name="Strong" w:uiPriority="22"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56E7"/>
    <w:rPr>
      <w:rFonts w:ascii="Book Antiqua" w:hAnsi="Book Antiqua"/>
      <w:sz w:val="22"/>
      <w:szCs w:val="24"/>
    </w:rPr>
  </w:style>
  <w:style w:type="paragraph" w:styleId="Heading1">
    <w:name w:val="heading 1"/>
    <w:basedOn w:val="Normal"/>
    <w:next w:val="BodyText"/>
    <w:link w:val="Heading1Char"/>
    <w:qFormat/>
    <w:rsid w:val="004E050F"/>
    <w:pPr>
      <w:keepNext/>
      <w:numPr>
        <w:numId w:val="1"/>
      </w:numPr>
      <w:spacing w:before="720" w:after="60" w:line="400" w:lineRule="atLeast"/>
      <w:outlineLvl w:val="0"/>
    </w:pPr>
    <w:rPr>
      <w:rFonts w:ascii="Arial" w:hAnsi="Arial" w:cs="Arial"/>
      <w:b/>
      <w:bCs/>
      <w:color w:val="00408A"/>
      <w:kern w:val="32"/>
      <w:sz w:val="30"/>
      <w:szCs w:val="30"/>
    </w:rPr>
  </w:style>
  <w:style w:type="paragraph" w:styleId="Heading2">
    <w:name w:val="heading 2"/>
    <w:basedOn w:val="Heading1"/>
    <w:next w:val="BodyText"/>
    <w:link w:val="Heading2Char"/>
    <w:qFormat/>
    <w:rsid w:val="004D50DA"/>
    <w:pPr>
      <w:numPr>
        <w:ilvl w:val="1"/>
      </w:numPr>
      <w:spacing w:before="480" w:after="0" w:line="280" w:lineRule="atLeast"/>
      <w:outlineLvl w:val="1"/>
    </w:pPr>
    <w:rPr>
      <w:rFonts w:cs="Times New Roman"/>
      <w:bCs w:val="0"/>
      <w:kern w:val="28"/>
      <w:sz w:val="24"/>
      <w:szCs w:val="24"/>
    </w:rPr>
  </w:style>
  <w:style w:type="paragraph" w:styleId="Heading3">
    <w:name w:val="heading 3"/>
    <w:basedOn w:val="Heading2"/>
    <w:next w:val="BodyText"/>
    <w:link w:val="Heading3Char"/>
    <w:qFormat/>
    <w:rsid w:val="004D50DA"/>
    <w:pPr>
      <w:numPr>
        <w:ilvl w:val="2"/>
      </w:numPr>
      <w:tabs>
        <w:tab w:val="clear" w:pos="709"/>
        <w:tab w:val="num" w:pos="1844"/>
      </w:tabs>
      <w:spacing w:line="260" w:lineRule="atLeast"/>
      <w:ind w:left="1844"/>
      <w:outlineLvl w:val="2"/>
    </w:pPr>
    <w:rPr>
      <w:sz w:val="21"/>
      <w:szCs w:val="21"/>
    </w:rPr>
  </w:style>
  <w:style w:type="paragraph" w:styleId="Heading4">
    <w:name w:val="heading 4"/>
    <w:basedOn w:val="Heading3"/>
    <w:next w:val="BodyText"/>
    <w:link w:val="Heading4Char"/>
    <w:qFormat/>
    <w:rsid w:val="004E050F"/>
    <w:pPr>
      <w:numPr>
        <w:ilvl w:val="3"/>
      </w:numPr>
      <w:spacing w:before="360"/>
      <w:outlineLvl w:val="3"/>
    </w:pPr>
    <w:rPr>
      <w:b w:val="0"/>
      <w:sz w:val="22"/>
    </w:rPr>
  </w:style>
  <w:style w:type="paragraph" w:styleId="Heading5">
    <w:name w:val="heading 5"/>
    <w:basedOn w:val="BodyText"/>
    <w:next w:val="BodyText"/>
    <w:qFormat/>
    <w:rsid w:val="004E050F"/>
    <w:pPr>
      <w:keepNext/>
      <w:numPr>
        <w:ilvl w:val="4"/>
        <w:numId w:val="1"/>
      </w:numPr>
      <w:spacing w:line="260" w:lineRule="atLeast"/>
      <w:outlineLvl w:val="4"/>
    </w:pPr>
    <w:rPr>
      <w:b/>
      <w:bCs/>
      <w:iCs/>
    </w:rPr>
  </w:style>
  <w:style w:type="paragraph" w:styleId="Heading6">
    <w:name w:val="heading 6"/>
    <w:basedOn w:val="Heading1"/>
    <w:next w:val="BodyText"/>
    <w:qFormat/>
    <w:rsid w:val="004D50DA"/>
    <w:pPr>
      <w:pageBreakBefore/>
      <w:numPr>
        <w:ilvl w:val="5"/>
      </w:numPr>
      <w:spacing w:before="0"/>
      <w:outlineLvl w:val="5"/>
    </w:pPr>
    <w:rPr>
      <w:bCs w:val="0"/>
    </w:rPr>
  </w:style>
  <w:style w:type="paragraph" w:styleId="Heading7">
    <w:name w:val="heading 7"/>
    <w:basedOn w:val="Heading2"/>
    <w:next w:val="BodyText"/>
    <w:qFormat/>
    <w:rsid w:val="004D50DA"/>
    <w:pPr>
      <w:numPr>
        <w:ilvl w:val="6"/>
      </w:numPr>
      <w:spacing w:line="260" w:lineRule="atLeast"/>
      <w:outlineLvl w:val="6"/>
    </w:pPr>
  </w:style>
  <w:style w:type="paragraph" w:styleId="Heading8">
    <w:name w:val="heading 8"/>
    <w:basedOn w:val="Heading3"/>
    <w:next w:val="BodyText"/>
    <w:qFormat/>
    <w:rsid w:val="004863D8"/>
    <w:pPr>
      <w:numPr>
        <w:ilvl w:val="7"/>
      </w:numPr>
      <w:outlineLvl w:val="7"/>
    </w:pPr>
    <w:rPr>
      <w:sz w:val="22"/>
    </w:rPr>
  </w:style>
  <w:style w:type="paragraph" w:styleId="Heading9">
    <w:name w:val="heading 9"/>
    <w:basedOn w:val="Heading4"/>
    <w:next w:val="BodyText"/>
    <w:qFormat/>
    <w:rsid w:val="004D50D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C1404"/>
    <w:pPr>
      <w:spacing w:before="240" w:line="280" w:lineRule="atLeast"/>
      <w:jc w:val="both"/>
    </w:pPr>
    <w:rPr>
      <w:szCs w:val="21"/>
    </w:rPr>
  </w:style>
  <w:style w:type="paragraph" w:styleId="Header">
    <w:name w:val="header"/>
    <w:basedOn w:val="TOC2"/>
    <w:semiHidden/>
    <w:rsid w:val="0012560C"/>
    <w:pPr>
      <w:tabs>
        <w:tab w:val="clear" w:pos="907"/>
        <w:tab w:val="clear" w:pos="7938"/>
      </w:tabs>
      <w:spacing w:before="40" w:after="40"/>
      <w:ind w:left="0" w:right="0" w:firstLine="0"/>
    </w:pPr>
    <w:rPr>
      <w:sz w:val="18"/>
      <w:szCs w:val="18"/>
    </w:rPr>
  </w:style>
  <w:style w:type="paragraph" w:styleId="Footer">
    <w:name w:val="footer"/>
    <w:basedOn w:val="TOC2"/>
    <w:semiHidden/>
    <w:rsid w:val="00C117F4"/>
    <w:pPr>
      <w:widowControl w:val="0"/>
      <w:tabs>
        <w:tab w:val="clear" w:pos="907"/>
        <w:tab w:val="clear" w:pos="7938"/>
      </w:tabs>
      <w:spacing w:before="40" w:after="40"/>
      <w:ind w:left="0" w:right="0" w:firstLine="0"/>
    </w:pPr>
    <w:rPr>
      <w:sz w:val="18"/>
      <w:szCs w:val="18"/>
    </w:rPr>
  </w:style>
  <w:style w:type="paragraph" w:styleId="Subtitle">
    <w:name w:val="Subtitle"/>
    <w:basedOn w:val="Title"/>
    <w:qFormat/>
    <w:rsid w:val="00312625"/>
    <w:pPr>
      <w:spacing w:before="120" w:line="400" w:lineRule="atLeast"/>
    </w:pPr>
    <w:rPr>
      <w:sz w:val="30"/>
      <w:szCs w:val="30"/>
    </w:rPr>
  </w:style>
  <w:style w:type="paragraph" w:styleId="Title">
    <w:name w:val="Title"/>
    <w:basedOn w:val="Normal"/>
    <w:next w:val="Subtitle"/>
    <w:qFormat/>
    <w:rsid w:val="00312625"/>
    <w:pPr>
      <w:spacing w:before="2722" w:line="520" w:lineRule="atLeast"/>
    </w:pPr>
    <w:rPr>
      <w:rFonts w:ascii="Arial" w:hAnsi="Arial" w:cs="Arial"/>
      <w:b/>
      <w:bCs/>
      <w:color w:val="00408A"/>
      <w:kern w:val="28"/>
      <w:sz w:val="44"/>
      <w:szCs w:val="44"/>
    </w:rPr>
  </w:style>
  <w:style w:type="paragraph" w:customStyle="1" w:styleId="Report">
    <w:name w:val="Report"/>
    <w:basedOn w:val="Normal"/>
    <w:semiHidden/>
    <w:rsid w:val="00941203"/>
    <w:pPr>
      <w:spacing w:line="340" w:lineRule="atLeast"/>
    </w:pPr>
    <w:rPr>
      <w:rFonts w:ascii="Arial" w:hAnsi="Arial"/>
      <w:b/>
      <w:color w:val="7C7C7C"/>
      <w:sz w:val="28"/>
      <w:szCs w:val="28"/>
    </w:rPr>
  </w:style>
  <w:style w:type="paragraph" w:styleId="Date">
    <w:name w:val="Date"/>
    <w:basedOn w:val="Report"/>
    <w:semiHidden/>
    <w:rsid w:val="00941203"/>
    <w:rPr>
      <w:b w:val="0"/>
    </w:rPr>
  </w:style>
  <w:style w:type="paragraph" w:customStyle="1" w:styleId="Reference">
    <w:name w:val="Reference"/>
    <w:basedOn w:val="BodyText"/>
    <w:rsid w:val="00312625"/>
    <w:pPr>
      <w:spacing w:before="120" w:line="260" w:lineRule="atLeast"/>
      <w:ind w:left="284" w:hanging="284"/>
    </w:pPr>
    <w:rPr>
      <w:sz w:val="20"/>
    </w:rPr>
  </w:style>
  <w:style w:type="paragraph" w:styleId="FootnoteText">
    <w:name w:val="footnote text"/>
    <w:basedOn w:val="Normal"/>
    <w:link w:val="FootnoteTextChar"/>
    <w:uiPriority w:val="99"/>
    <w:rsid w:val="00493FBD"/>
    <w:pPr>
      <w:keepLines/>
      <w:spacing w:line="200" w:lineRule="atLeast"/>
      <w:ind w:left="284" w:hanging="284"/>
      <w:jc w:val="both"/>
    </w:pPr>
    <w:rPr>
      <w:sz w:val="18"/>
      <w:szCs w:val="17"/>
    </w:rPr>
  </w:style>
  <w:style w:type="character" w:styleId="FootnoteReference">
    <w:name w:val="footnote reference"/>
    <w:basedOn w:val="DefaultParagraphFont"/>
    <w:uiPriority w:val="99"/>
    <w:rsid w:val="00493FBD"/>
    <w:rPr>
      <w:rFonts w:ascii="Book Antiqua" w:hAnsi="Book Antiqua"/>
      <w:color w:val="auto"/>
      <w:position w:val="4"/>
      <w:sz w:val="15"/>
      <w:szCs w:val="15"/>
      <w:vertAlign w:val="baseline"/>
    </w:rPr>
  </w:style>
  <w:style w:type="paragraph" w:customStyle="1" w:styleId="Heading1nonumber">
    <w:name w:val="Heading 1 (no number)"/>
    <w:basedOn w:val="Heading1"/>
    <w:next w:val="BodyText"/>
    <w:semiHidden/>
    <w:rsid w:val="00045E55"/>
    <w:pPr>
      <w:pageBreakBefore/>
      <w:numPr>
        <w:numId w:val="0"/>
      </w:numPr>
    </w:pPr>
    <w:rPr>
      <w:rFonts w:cs="Times New Roman"/>
      <w:bCs w:val="0"/>
      <w:kern w:val="28"/>
    </w:rPr>
  </w:style>
  <w:style w:type="paragraph" w:customStyle="1" w:styleId="Heading2nonumber">
    <w:name w:val="Heading 2 (no number)"/>
    <w:basedOn w:val="Heading2"/>
    <w:next w:val="BodyText"/>
    <w:rsid w:val="00822DD3"/>
    <w:pPr>
      <w:numPr>
        <w:ilvl w:val="0"/>
        <w:numId w:val="0"/>
      </w:numPr>
    </w:pPr>
  </w:style>
  <w:style w:type="paragraph" w:customStyle="1" w:styleId="Heading3nonumber">
    <w:name w:val="Heading 3 (no number)"/>
    <w:basedOn w:val="Heading3"/>
    <w:next w:val="BodyText"/>
    <w:rsid w:val="00822DD3"/>
    <w:pPr>
      <w:numPr>
        <w:ilvl w:val="0"/>
        <w:numId w:val="0"/>
      </w:numPr>
    </w:pPr>
  </w:style>
  <w:style w:type="paragraph" w:customStyle="1" w:styleId="Heading8nonumber">
    <w:name w:val="Heading 8 (no number)"/>
    <w:basedOn w:val="Heading8"/>
    <w:next w:val="BodyText"/>
    <w:rsid w:val="00822DD3"/>
    <w:pPr>
      <w:numPr>
        <w:ilvl w:val="0"/>
        <w:numId w:val="0"/>
      </w:numPr>
    </w:pPr>
  </w:style>
  <w:style w:type="paragraph" w:customStyle="1" w:styleId="Heading7nonumber">
    <w:name w:val="Heading 7 (no number)"/>
    <w:basedOn w:val="Heading7"/>
    <w:next w:val="BodyText"/>
    <w:rsid w:val="00097BA8"/>
    <w:pPr>
      <w:numPr>
        <w:ilvl w:val="0"/>
        <w:numId w:val="0"/>
      </w:numPr>
    </w:pPr>
  </w:style>
  <w:style w:type="character" w:styleId="PageNumber">
    <w:name w:val="page number"/>
    <w:basedOn w:val="DefaultParagraphFont"/>
    <w:semiHidden/>
    <w:rsid w:val="003F60BB"/>
    <w:rPr>
      <w:rFonts w:ascii="Arial" w:hAnsi="Arial"/>
      <w:b/>
      <w:spacing w:val="0"/>
      <w:position w:val="0"/>
      <w:sz w:val="18"/>
      <w:szCs w:val="15"/>
    </w:rPr>
  </w:style>
  <w:style w:type="paragraph" w:styleId="ListBullet">
    <w:name w:val="List Bullet"/>
    <w:basedOn w:val="BodyText"/>
    <w:link w:val="ListBulletChar"/>
    <w:uiPriority w:val="99"/>
    <w:rsid w:val="004863D8"/>
    <w:pPr>
      <w:keepLines/>
      <w:numPr>
        <w:numId w:val="4"/>
      </w:numPr>
      <w:spacing w:before="120"/>
    </w:pPr>
  </w:style>
  <w:style w:type="paragraph" w:styleId="ListBullet2">
    <w:name w:val="List Bullet 2"/>
    <w:basedOn w:val="ListBullet"/>
    <w:rsid w:val="003C33B0"/>
    <w:pPr>
      <w:keepLines w:val="0"/>
      <w:numPr>
        <w:numId w:val="2"/>
      </w:numPr>
      <w:tabs>
        <w:tab w:val="left" w:pos="284"/>
      </w:tabs>
      <w:spacing w:before="60"/>
      <w:ind w:left="568" w:hanging="284"/>
    </w:pPr>
  </w:style>
  <w:style w:type="paragraph" w:styleId="ListNumber">
    <w:name w:val="List Number"/>
    <w:basedOn w:val="ListBullet"/>
    <w:rsid w:val="000D4393"/>
    <w:pPr>
      <w:numPr>
        <w:numId w:val="3"/>
      </w:numPr>
    </w:pPr>
  </w:style>
  <w:style w:type="paragraph" w:styleId="Quote">
    <w:name w:val="Quote"/>
    <w:basedOn w:val="BodyText"/>
    <w:next w:val="BodyText"/>
    <w:link w:val="QuoteChar"/>
    <w:qFormat/>
    <w:rsid w:val="004863D8"/>
    <w:pPr>
      <w:spacing w:before="120" w:line="260" w:lineRule="atLeast"/>
      <w:ind w:left="284"/>
    </w:pPr>
    <w:rPr>
      <w:sz w:val="20"/>
      <w:szCs w:val="19"/>
    </w:rPr>
  </w:style>
  <w:style w:type="paragraph" w:customStyle="1" w:styleId="ChapterSummary">
    <w:name w:val="Chapter Summary"/>
    <w:basedOn w:val="Normal"/>
    <w:next w:val="BodyText"/>
    <w:semiHidden/>
    <w:rsid w:val="00637305"/>
    <w:pPr>
      <w:spacing w:before="240" w:line="280" w:lineRule="atLeast"/>
      <w:jc w:val="both"/>
    </w:pPr>
    <w:rPr>
      <w:rFonts w:ascii="Arial" w:hAnsi="Arial"/>
      <w:b/>
      <w:color w:val="666666"/>
      <w:sz w:val="21"/>
      <w:szCs w:val="21"/>
      <w:lang w:eastAsia="en-US"/>
    </w:rPr>
  </w:style>
  <w:style w:type="paragraph" w:customStyle="1" w:styleId="BoxText">
    <w:name w:val="Box Text"/>
    <w:basedOn w:val="Normal"/>
    <w:rsid w:val="004E050F"/>
    <w:pPr>
      <w:spacing w:before="140" w:line="270" w:lineRule="atLeast"/>
      <w:jc w:val="both"/>
    </w:pPr>
    <w:rPr>
      <w:rFonts w:ascii="Arial" w:hAnsi="Arial"/>
      <w:sz w:val="20"/>
      <w:szCs w:val="20"/>
    </w:rPr>
  </w:style>
  <w:style w:type="paragraph" w:styleId="Caption">
    <w:name w:val="caption"/>
    <w:basedOn w:val="Normal"/>
    <w:next w:val="Normal"/>
    <w:link w:val="CaptionChar"/>
    <w:qFormat/>
    <w:rsid w:val="00726B71"/>
    <w:pPr>
      <w:spacing w:before="320" w:after="80" w:line="260" w:lineRule="atLeast"/>
      <w:ind w:left="1304" w:hanging="1304"/>
    </w:pPr>
    <w:rPr>
      <w:rFonts w:ascii="Arial" w:hAnsi="Arial"/>
      <w:b/>
      <w:sz w:val="21"/>
      <w:szCs w:val="21"/>
    </w:rPr>
  </w:style>
  <w:style w:type="paragraph" w:customStyle="1" w:styleId="Invisiblepara">
    <w:name w:val="Invisible para"/>
    <w:basedOn w:val="BodyText"/>
    <w:next w:val="BodyText"/>
    <w:semiHidden/>
    <w:rsid w:val="00A2580A"/>
    <w:pPr>
      <w:keepNext/>
      <w:spacing w:before="320" w:line="80" w:lineRule="exact"/>
    </w:pPr>
    <w:rPr>
      <w:szCs w:val="20"/>
    </w:rPr>
  </w:style>
  <w:style w:type="paragraph" w:customStyle="1" w:styleId="BoxNoteSource">
    <w:name w:val="Box Note/Source"/>
    <w:basedOn w:val="BoxText"/>
    <w:rsid w:val="004E050F"/>
    <w:pPr>
      <w:spacing w:before="280" w:line="200" w:lineRule="atLeast"/>
    </w:pPr>
    <w:rPr>
      <w:sz w:val="16"/>
      <w:szCs w:val="16"/>
    </w:rPr>
  </w:style>
  <w:style w:type="paragraph" w:customStyle="1" w:styleId="RecommendationNumber">
    <w:name w:val="Recommendation Number"/>
    <w:basedOn w:val="BodyText"/>
    <w:next w:val="BodyText"/>
    <w:rsid w:val="009C3C19"/>
    <w:pPr>
      <w:numPr>
        <w:numId w:val="21"/>
      </w:numPr>
      <w:spacing w:before="120"/>
    </w:pPr>
    <w:rPr>
      <w:rFonts w:ascii="Arial" w:hAnsi="Arial"/>
      <w:color w:val="00408A"/>
      <w:sz w:val="21"/>
    </w:rPr>
  </w:style>
  <w:style w:type="paragraph" w:customStyle="1" w:styleId="Note">
    <w:name w:val="Note"/>
    <w:basedOn w:val="TableTextEntries"/>
    <w:next w:val="Source"/>
    <w:link w:val="NoteCharChar"/>
    <w:rsid w:val="004863D8"/>
    <w:pPr>
      <w:numPr>
        <w:numId w:val="13"/>
      </w:numPr>
      <w:tabs>
        <w:tab w:val="left" w:pos="0"/>
      </w:tabs>
      <w:spacing w:after="0" w:line="200" w:lineRule="atLeast"/>
    </w:pPr>
    <w:rPr>
      <w:sz w:val="16"/>
      <w:szCs w:val="16"/>
    </w:rPr>
  </w:style>
  <w:style w:type="character" w:customStyle="1" w:styleId="NoteCharChar">
    <w:name w:val="Note Char Char"/>
    <w:basedOn w:val="DefaultParagraphFont"/>
    <w:link w:val="Note"/>
    <w:rsid w:val="004863D8"/>
    <w:rPr>
      <w:rFonts w:ascii="Arial" w:hAnsi="Arial"/>
      <w:sz w:val="16"/>
      <w:szCs w:val="16"/>
      <w:lang w:eastAsia="en-US"/>
    </w:rPr>
  </w:style>
  <w:style w:type="character" w:customStyle="1" w:styleId="NoteLabel">
    <w:name w:val="Note Label"/>
    <w:basedOn w:val="DefaultParagraphFont"/>
    <w:rsid w:val="004863D8"/>
    <w:rPr>
      <w:rFonts w:ascii="Arial" w:hAnsi="Arial"/>
      <w:b/>
      <w:color w:val="auto"/>
      <w:spacing w:val="0"/>
      <w:position w:val="4"/>
      <w:sz w:val="16"/>
      <w:szCs w:val="16"/>
    </w:rPr>
  </w:style>
  <w:style w:type="paragraph" w:customStyle="1" w:styleId="Source">
    <w:name w:val="Source"/>
    <w:basedOn w:val="Normal"/>
    <w:next w:val="BodyText"/>
    <w:rsid w:val="00312625"/>
    <w:pPr>
      <w:keepLines/>
      <w:spacing w:before="40" w:after="60" w:line="200" w:lineRule="atLeast"/>
    </w:pPr>
    <w:rPr>
      <w:rFonts w:ascii="Arial" w:hAnsi="Arial"/>
      <w:sz w:val="16"/>
      <w:szCs w:val="16"/>
      <w:lang w:eastAsia="en-US"/>
    </w:rPr>
  </w:style>
  <w:style w:type="character" w:customStyle="1" w:styleId="Subtitlebox">
    <w:name w:val="Subtitle box"/>
    <w:aliases w:val="chart &amp; table"/>
    <w:basedOn w:val="DefaultParagraphFont"/>
    <w:semiHidden/>
    <w:rsid w:val="00D71778"/>
    <w:rPr>
      <w:rFonts w:ascii="Arial" w:hAnsi="Arial"/>
      <w:b/>
      <w:sz w:val="19"/>
      <w:szCs w:val="19"/>
    </w:rPr>
  </w:style>
  <w:style w:type="paragraph" w:customStyle="1" w:styleId="Chart">
    <w:name w:val="Chart"/>
    <w:basedOn w:val="Normal"/>
    <w:semiHidden/>
    <w:rsid w:val="00AE493B"/>
    <w:pPr>
      <w:jc w:val="center"/>
    </w:pPr>
    <w:rPr>
      <w:rFonts w:ascii="Arial" w:hAnsi="Arial"/>
      <w:sz w:val="18"/>
      <w:szCs w:val="18"/>
    </w:rPr>
  </w:style>
  <w:style w:type="paragraph" w:customStyle="1" w:styleId="ChartListBullet">
    <w:name w:val="Chart List Bullet"/>
    <w:basedOn w:val="ChartText"/>
    <w:semiHidden/>
    <w:rsid w:val="005C36AD"/>
    <w:pPr>
      <w:numPr>
        <w:numId w:val="24"/>
      </w:numPr>
      <w:spacing w:before="60"/>
    </w:pPr>
  </w:style>
  <w:style w:type="paragraph" w:customStyle="1" w:styleId="BoxListBullet2">
    <w:name w:val="Box List Bullet 2"/>
    <w:basedOn w:val="ListBullet2"/>
    <w:rsid w:val="004E050F"/>
    <w:pPr>
      <w:spacing w:before="40" w:line="270" w:lineRule="atLeast"/>
    </w:pPr>
    <w:rPr>
      <w:rFonts w:ascii="Arial" w:hAnsi="Arial"/>
      <w:sz w:val="20"/>
      <w:szCs w:val="20"/>
    </w:rPr>
  </w:style>
  <w:style w:type="paragraph" w:styleId="ListNumber2">
    <w:name w:val="List Number 2"/>
    <w:basedOn w:val="ListNumber"/>
    <w:rsid w:val="004C23D6"/>
    <w:pPr>
      <w:numPr>
        <w:numId w:val="19"/>
      </w:numPr>
      <w:spacing w:before="60"/>
    </w:pPr>
  </w:style>
  <w:style w:type="paragraph" w:styleId="TOC5">
    <w:name w:val="toc 5"/>
    <w:basedOn w:val="TOC4"/>
    <w:next w:val="BodyText"/>
    <w:rsid w:val="00780286"/>
    <w:pPr>
      <w:tabs>
        <w:tab w:val="clear" w:pos="425"/>
        <w:tab w:val="left" w:pos="709"/>
      </w:tabs>
      <w:spacing w:before="120"/>
      <w:ind w:left="709" w:hanging="284"/>
    </w:pPr>
  </w:style>
  <w:style w:type="paragraph" w:styleId="TOC4">
    <w:name w:val="toc 4"/>
    <w:basedOn w:val="TOC1"/>
    <w:next w:val="BodyText"/>
    <w:rsid w:val="00312625"/>
    <w:pPr>
      <w:tabs>
        <w:tab w:val="clear" w:pos="397"/>
        <w:tab w:val="left" w:pos="425"/>
      </w:tabs>
      <w:spacing w:before="240" w:line="280" w:lineRule="atLeast"/>
      <w:ind w:left="425" w:hanging="425"/>
    </w:pPr>
    <w:rPr>
      <w:b w:val="0"/>
      <w:color w:val="auto"/>
    </w:rPr>
  </w:style>
  <w:style w:type="paragraph" w:styleId="TOC1">
    <w:name w:val="toc 1"/>
    <w:basedOn w:val="Normal"/>
    <w:next w:val="TOC2"/>
    <w:uiPriority w:val="39"/>
    <w:rsid w:val="005F4A71"/>
    <w:pPr>
      <w:tabs>
        <w:tab w:val="left" w:pos="397"/>
        <w:tab w:val="right" w:pos="7938"/>
      </w:tabs>
      <w:spacing w:before="180" w:line="240" w:lineRule="atLeast"/>
      <w:ind w:left="397" w:right="284" w:hanging="397"/>
    </w:pPr>
    <w:rPr>
      <w:rFonts w:ascii="Arial" w:hAnsi="Arial"/>
      <w:b/>
      <w:color w:val="00408A"/>
      <w:sz w:val="21"/>
      <w:szCs w:val="21"/>
    </w:rPr>
  </w:style>
  <w:style w:type="paragraph" w:styleId="TOC2">
    <w:name w:val="toc 2"/>
    <w:basedOn w:val="TOC1"/>
    <w:uiPriority w:val="39"/>
    <w:rsid w:val="003F2609"/>
    <w:pPr>
      <w:tabs>
        <w:tab w:val="clear" w:pos="397"/>
        <w:tab w:val="left" w:pos="907"/>
      </w:tabs>
      <w:spacing w:before="60"/>
      <w:ind w:left="907" w:hanging="510"/>
    </w:pPr>
    <w:rPr>
      <w:b w:val="0"/>
      <w:color w:val="auto"/>
    </w:rPr>
  </w:style>
  <w:style w:type="character" w:styleId="Hyperlink">
    <w:name w:val="Hyperlink"/>
    <w:basedOn w:val="DefaultParagraphFont"/>
    <w:rsid w:val="00F94F16"/>
    <w:rPr>
      <w:color w:val="00408A"/>
      <w:u w:val="none"/>
    </w:rPr>
  </w:style>
  <w:style w:type="paragraph" w:customStyle="1" w:styleId="TableDataColumnHeading">
    <w:name w:val="Table Data Column Heading"/>
    <w:basedOn w:val="TableDataEntries"/>
    <w:rsid w:val="00312625"/>
    <w:pPr>
      <w:spacing w:before="80" w:after="80"/>
    </w:pPr>
    <w:rPr>
      <w:b/>
    </w:rPr>
  </w:style>
  <w:style w:type="paragraph" w:customStyle="1" w:styleId="TableDataEntries">
    <w:name w:val="Table Data Entries"/>
    <w:basedOn w:val="TableTextEntries"/>
    <w:rsid w:val="00312625"/>
    <w:pPr>
      <w:jc w:val="right"/>
    </w:pPr>
  </w:style>
  <w:style w:type="paragraph" w:customStyle="1" w:styleId="TableTextEntries">
    <w:name w:val="Table Text Entries"/>
    <w:basedOn w:val="Normal"/>
    <w:rsid w:val="00312625"/>
    <w:pPr>
      <w:keepLines/>
      <w:spacing w:before="40" w:after="40" w:line="210" w:lineRule="atLeast"/>
    </w:pPr>
    <w:rPr>
      <w:rFonts w:ascii="Arial" w:hAnsi="Arial"/>
      <w:sz w:val="19"/>
      <w:szCs w:val="19"/>
      <w:lang w:eastAsia="en-US"/>
    </w:rPr>
  </w:style>
  <w:style w:type="paragraph" w:customStyle="1" w:styleId="TableHeading1">
    <w:name w:val="Table Heading 1"/>
    <w:basedOn w:val="TableTextEntries"/>
    <w:next w:val="TableTextEntries"/>
    <w:rsid w:val="00312625"/>
    <w:pPr>
      <w:spacing w:before="180"/>
    </w:pPr>
    <w:rPr>
      <w:b/>
    </w:rPr>
  </w:style>
  <w:style w:type="paragraph" w:customStyle="1" w:styleId="TableHeading2">
    <w:name w:val="Table Heading 2"/>
    <w:basedOn w:val="TableHeading1"/>
    <w:next w:val="TableTextEntries"/>
    <w:rsid w:val="00AA5802"/>
    <w:pPr>
      <w:spacing w:before="80"/>
    </w:pPr>
    <w:rPr>
      <w:b w:val="0"/>
      <w:i/>
    </w:rPr>
  </w:style>
  <w:style w:type="paragraph" w:customStyle="1" w:styleId="TableListBullet">
    <w:name w:val="Table List Bullet"/>
    <w:basedOn w:val="TableTextEntries"/>
    <w:rsid w:val="00312625"/>
    <w:pPr>
      <w:numPr>
        <w:numId w:val="5"/>
      </w:numPr>
    </w:pPr>
  </w:style>
  <w:style w:type="paragraph" w:customStyle="1" w:styleId="TableListBullet2">
    <w:name w:val="Table List Bullet 2"/>
    <w:basedOn w:val="TableListBullet"/>
    <w:rsid w:val="006E19EE"/>
    <w:pPr>
      <w:numPr>
        <w:numId w:val="6"/>
      </w:numPr>
    </w:pPr>
  </w:style>
  <w:style w:type="paragraph" w:customStyle="1" w:styleId="TableListNumber">
    <w:name w:val="Table List Number"/>
    <w:basedOn w:val="TableListBullet"/>
    <w:rsid w:val="00696C9F"/>
    <w:pPr>
      <w:numPr>
        <w:numId w:val="15"/>
      </w:numPr>
    </w:pPr>
  </w:style>
  <w:style w:type="paragraph" w:customStyle="1" w:styleId="TableTextColumnHeading">
    <w:name w:val="Table Text Column Heading"/>
    <w:basedOn w:val="TableDataColumnHeading"/>
    <w:rsid w:val="00E07726"/>
    <w:pPr>
      <w:jc w:val="left"/>
    </w:pPr>
  </w:style>
  <w:style w:type="paragraph" w:customStyle="1" w:styleId="BoxHeading1">
    <w:name w:val="Box Heading 1"/>
    <w:basedOn w:val="BoxText"/>
    <w:next w:val="BoxText"/>
    <w:rsid w:val="004E050F"/>
    <w:pPr>
      <w:spacing w:before="280" w:line="260" w:lineRule="atLeast"/>
    </w:pPr>
    <w:rPr>
      <w:b/>
      <w:lang w:eastAsia="en-US"/>
    </w:rPr>
  </w:style>
  <w:style w:type="paragraph" w:customStyle="1" w:styleId="BoxListBullet">
    <w:name w:val="Box List Bullet"/>
    <w:basedOn w:val="ListBullet"/>
    <w:rsid w:val="004E050F"/>
    <w:pPr>
      <w:spacing w:before="80" w:line="270" w:lineRule="atLeast"/>
    </w:pPr>
    <w:rPr>
      <w:rFonts w:ascii="Arial" w:hAnsi="Arial"/>
      <w:sz w:val="20"/>
      <w:szCs w:val="20"/>
    </w:rPr>
  </w:style>
  <w:style w:type="character" w:styleId="CommentReference">
    <w:name w:val="annotation reference"/>
    <w:basedOn w:val="DefaultParagraphFont"/>
    <w:semiHidden/>
    <w:rsid w:val="00590D14"/>
    <w:rPr>
      <w:rFonts w:ascii="Arial" w:hAnsi="Arial"/>
      <w:b/>
      <w:vanish/>
      <w:color w:val="FF00FF"/>
      <w:sz w:val="20"/>
      <w:szCs w:val="20"/>
    </w:rPr>
  </w:style>
  <w:style w:type="paragraph" w:styleId="CommentText">
    <w:name w:val="annotation text"/>
    <w:basedOn w:val="BodyText"/>
    <w:semiHidden/>
    <w:rsid w:val="00637305"/>
    <w:pPr>
      <w:spacing w:before="120" w:line="240" w:lineRule="atLeast"/>
      <w:ind w:left="567" w:hanging="567"/>
    </w:pPr>
    <w:rPr>
      <w:lang w:eastAsia="en-US"/>
    </w:rPr>
  </w:style>
  <w:style w:type="paragraph" w:customStyle="1" w:styleId="Contents">
    <w:name w:val="Contents"/>
    <w:basedOn w:val="Heading1nonumber"/>
    <w:semiHidden/>
    <w:rsid w:val="00F714A2"/>
    <w:pPr>
      <w:tabs>
        <w:tab w:val="left" w:pos="0"/>
      </w:tabs>
      <w:spacing w:after="1300"/>
    </w:pPr>
    <w:rPr>
      <w:lang w:eastAsia="en-US"/>
    </w:rPr>
  </w:style>
  <w:style w:type="paragraph" w:customStyle="1" w:styleId="Equation">
    <w:name w:val="Equation"/>
    <w:basedOn w:val="BodyText"/>
    <w:next w:val="BodyText"/>
    <w:rsid w:val="002A56F2"/>
    <w:pPr>
      <w:numPr>
        <w:numId w:val="7"/>
      </w:numPr>
      <w:tabs>
        <w:tab w:val="left" w:pos="851"/>
      </w:tabs>
      <w:jc w:val="left"/>
    </w:pPr>
    <w:rPr>
      <w:lang w:eastAsia="en-US"/>
    </w:rPr>
  </w:style>
  <w:style w:type="paragraph" w:customStyle="1" w:styleId="KeyPoint">
    <w:name w:val="Key Point"/>
    <w:basedOn w:val="Normal"/>
    <w:semiHidden/>
    <w:rsid w:val="00637305"/>
    <w:pPr>
      <w:numPr>
        <w:numId w:val="8"/>
      </w:numPr>
      <w:spacing w:before="240" w:line="280" w:lineRule="atLeast"/>
      <w:jc w:val="both"/>
    </w:pPr>
    <w:rPr>
      <w:rFonts w:ascii="Arial" w:hAnsi="Arial"/>
      <w:b/>
      <w:color w:val="666666"/>
      <w:sz w:val="21"/>
      <w:szCs w:val="21"/>
      <w:lang w:eastAsia="en-US"/>
    </w:rPr>
  </w:style>
  <w:style w:type="paragraph" w:customStyle="1" w:styleId="TableUnit">
    <w:name w:val="Table Unit"/>
    <w:basedOn w:val="Normal"/>
    <w:next w:val="TableDataEntries"/>
    <w:semiHidden/>
    <w:rsid w:val="00637305"/>
    <w:pPr>
      <w:keepNext/>
      <w:keepLines/>
      <w:spacing w:before="80" w:after="80" w:line="210" w:lineRule="atLeast"/>
      <w:jc w:val="right"/>
    </w:pPr>
    <w:rPr>
      <w:rFonts w:ascii="Arial" w:hAnsi="Arial"/>
      <w:sz w:val="19"/>
      <w:szCs w:val="19"/>
      <w:lang w:eastAsia="en-US"/>
    </w:rPr>
  </w:style>
  <w:style w:type="paragraph" w:styleId="ListNumber3">
    <w:name w:val="List Number 3"/>
    <w:basedOn w:val="ListNumber2"/>
    <w:rsid w:val="00A73F42"/>
    <w:pPr>
      <w:numPr>
        <w:numId w:val="9"/>
      </w:numPr>
    </w:pPr>
  </w:style>
  <w:style w:type="paragraph" w:styleId="TOC3">
    <w:name w:val="toc 3"/>
    <w:basedOn w:val="TOC2"/>
    <w:semiHidden/>
    <w:rsid w:val="003F2609"/>
    <w:pPr>
      <w:tabs>
        <w:tab w:val="clear" w:pos="907"/>
        <w:tab w:val="left" w:pos="1531"/>
      </w:tabs>
      <w:spacing w:before="40"/>
      <w:ind w:left="1531" w:hanging="624"/>
    </w:pPr>
  </w:style>
  <w:style w:type="paragraph" w:styleId="TableofFigures">
    <w:name w:val="table of figures"/>
    <w:basedOn w:val="TOC2"/>
    <w:semiHidden/>
    <w:rsid w:val="00E21D4E"/>
    <w:pPr>
      <w:tabs>
        <w:tab w:val="left" w:pos="1191"/>
      </w:tabs>
      <w:ind w:left="1191" w:hanging="1191"/>
    </w:pPr>
  </w:style>
  <w:style w:type="paragraph" w:customStyle="1" w:styleId="PartTitle">
    <w:name w:val="Part Title"/>
    <w:basedOn w:val="Subtitle"/>
    <w:semiHidden/>
    <w:rsid w:val="00CE5F0D"/>
    <w:pPr>
      <w:spacing w:before="0"/>
      <w:jc w:val="right"/>
    </w:pPr>
  </w:style>
  <w:style w:type="paragraph" w:customStyle="1" w:styleId="TableListNumber2">
    <w:name w:val="Table List Number 2"/>
    <w:basedOn w:val="TableListNumber"/>
    <w:rsid w:val="0074636E"/>
    <w:pPr>
      <w:numPr>
        <w:numId w:val="14"/>
      </w:numPr>
    </w:pPr>
  </w:style>
  <w:style w:type="paragraph" w:styleId="TOC6">
    <w:name w:val="toc 6"/>
    <w:basedOn w:val="TOC4"/>
    <w:next w:val="TOC1"/>
    <w:semiHidden/>
    <w:rsid w:val="00182C9D"/>
  </w:style>
  <w:style w:type="paragraph" w:styleId="TOC7">
    <w:name w:val="toc 7"/>
    <w:basedOn w:val="TOC5"/>
    <w:next w:val="Normal"/>
    <w:semiHidden/>
    <w:rsid w:val="00182C9D"/>
    <w:pPr>
      <w:spacing w:before="80"/>
    </w:pPr>
  </w:style>
  <w:style w:type="paragraph" w:styleId="TOC8">
    <w:name w:val="toc 8"/>
    <w:basedOn w:val="Normal"/>
    <w:next w:val="Normal"/>
    <w:autoRedefine/>
    <w:semiHidden/>
    <w:rsid w:val="00EA77A1"/>
    <w:pPr>
      <w:ind w:left="1680"/>
    </w:pPr>
  </w:style>
  <w:style w:type="paragraph" w:styleId="TOC9">
    <w:name w:val="toc 9"/>
    <w:basedOn w:val="Normal"/>
    <w:next w:val="Normal"/>
    <w:semiHidden/>
    <w:rsid w:val="00234241"/>
    <w:pPr>
      <w:spacing w:before="40" w:after="40" w:line="240" w:lineRule="atLeast"/>
    </w:pPr>
    <w:rPr>
      <w:rFonts w:ascii="Arial" w:hAnsi="Arial"/>
      <w:sz w:val="18"/>
      <w:szCs w:val="18"/>
    </w:rPr>
  </w:style>
  <w:style w:type="paragraph" w:customStyle="1" w:styleId="ChartListBullet2">
    <w:name w:val="Chart List Bullet 2"/>
    <w:basedOn w:val="ChartListBullet"/>
    <w:semiHidden/>
    <w:rsid w:val="005C36AD"/>
    <w:pPr>
      <w:numPr>
        <w:numId w:val="25"/>
      </w:numPr>
      <w:spacing w:before="40"/>
    </w:pPr>
  </w:style>
  <w:style w:type="paragraph" w:customStyle="1" w:styleId="QuoteBullet">
    <w:name w:val="Quote Bullet"/>
    <w:basedOn w:val="Quote"/>
    <w:rsid w:val="00E61B58"/>
    <w:pPr>
      <w:numPr>
        <w:numId w:val="10"/>
      </w:numPr>
    </w:pPr>
  </w:style>
  <w:style w:type="paragraph" w:customStyle="1" w:styleId="BoxHeading2">
    <w:name w:val="Box Heading 2"/>
    <w:basedOn w:val="BoxHeading1"/>
    <w:next w:val="BoxText"/>
    <w:rsid w:val="000F6371"/>
    <w:pPr>
      <w:spacing w:before="240"/>
    </w:pPr>
    <w:rPr>
      <w:b w:val="0"/>
      <w:i/>
    </w:rPr>
  </w:style>
  <w:style w:type="paragraph" w:customStyle="1" w:styleId="BoxListNumber">
    <w:name w:val="Box List Number"/>
    <w:basedOn w:val="BoxText"/>
    <w:rsid w:val="004E050F"/>
    <w:pPr>
      <w:numPr>
        <w:numId w:val="12"/>
      </w:numPr>
      <w:spacing w:before="80"/>
    </w:pPr>
  </w:style>
  <w:style w:type="paragraph" w:customStyle="1" w:styleId="BoxListNumber2">
    <w:name w:val="Box List Number 2"/>
    <w:basedOn w:val="BoxListNumber"/>
    <w:rsid w:val="00881999"/>
    <w:pPr>
      <w:numPr>
        <w:numId w:val="11"/>
      </w:numPr>
    </w:pPr>
  </w:style>
  <w:style w:type="paragraph" w:customStyle="1" w:styleId="PartSubtitle">
    <w:name w:val="Part Subtitle"/>
    <w:basedOn w:val="PartTitle"/>
    <w:semiHidden/>
    <w:rsid w:val="00B86B82"/>
    <w:pPr>
      <w:spacing w:before="360"/>
    </w:pPr>
  </w:style>
  <w:style w:type="paragraph" w:customStyle="1" w:styleId="QuoteHangingIndent">
    <w:name w:val="Quote Hanging Indent"/>
    <w:basedOn w:val="Quote"/>
    <w:next w:val="Normal"/>
    <w:rsid w:val="00E61B58"/>
    <w:pPr>
      <w:ind w:left="851" w:hanging="567"/>
    </w:pPr>
  </w:style>
  <w:style w:type="paragraph" w:customStyle="1" w:styleId="RecommendationBullet">
    <w:name w:val="Recommendation Bullet"/>
    <w:basedOn w:val="Normal"/>
    <w:rsid w:val="004863D8"/>
    <w:pPr>
      <w:numPr>
        <w:numId w:val="20"/>
      </w:numPr>
      <w:spacing w:before="120" w:line="280" w:lineRule="atLeast"/>
      <w:jc w:val="both"/>
    </w:pPr>
    <w:rPr>
      <w:rFonts w:ascii="Arial" w:hAnsi="Arial"/>
      <w:color w:val="00408A"/>
      <w:sz w:val="21"/>
      <w:szCs w:val="21"/>
    </w:rPr>
  </w:style>
  <w:style w:type="paragraph" w:customStyle="1" w:styleId="SeekCommentBullet">
    <w:name w:val="Seek Comment Bullet"/>
    <w:basedOn w:val="RecommendationBullet"/>
    <w:rsid w:val="00424796"/>
    <w:pPr>
      <w:numPr>
        <w:numId w:val="17"/>
      </w:numPr>
    </w:pPr>
    <w:rPr>
      <w:color w:val="auto"/>
    </w:rPr>
  </w:style>
  <w:style w:type="character" w:customStyle="1" w:styleId="Notelabel0">
    <w:name w:val="Note label"/>
    <w:basedOn w:val="DefaultParagraphFont"/>
    <w:semiHidden/>
    <w:rsid w:val="00022BD0"/>
    <w:rPr>
      <w:rFonts w:ascii="Arial" w:hAnsi="Arial"/>
      <w:b/>
      <w:color w:val="auto"/>
      <w:spacing w:val="0"/>
      <w:position w:val="4"/>
      <w:sz w:val="16"/>
      <w:szCs w:val="16"/>
    </w:rPr>
  </w:style>
  <w:style w:type="table" w:styleId="TableGrid">
    <w:name w:val="Table Grid"/>
    <w:basedOn w:val="TableNormal"/>
    <w:uiPriority w:val="59"/>
    <w:rsid w:val="004E17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Caption"/>
    <w:rsid w:val="00095AEE"/>
    <w:pPr>
      <w:keepNext/>
    </w:pPr>
  </w:style>
  <w:style w:type="paragraph" w:customStyle="1" w:styleId="Abbreviation">
    <w:name w:val="Abbreviation"/>
    <w:basedOn w:val="Normal"/>
    <w:rsid w:val="004E050F"/>
    <w:pPr>
      <w:spacing w:before="240" w:line="280" w:lineRule="atLeast"/>
      <w:ind w:left="1418" w:hanging="1418"/>
      <w:jc w:val="both"/>
    </w:pPr>
    <w:rPr>
      <w:szCs w:val="21"/>
    </w:rPr>
  </w:style>
  <w:style w:type="paragraph" w:customStyle="1" w:styleId="BoxTitle">
    <w:name w:val="Box Title"/>
    <w:basedOn w:val="Caption"/>
    <w:rsid w:val="00726B71"/>
    <w:pPr>
      <w:keepNext/>
      <w:spacing w:before="140" w:after="60"/>
      <w:ind w:left="1219" w:hanging="1219"/>
    </w:pPr>
  </w:style>
  <w:style w:type="paragraph" w:customStyle="1" w:styleId="FigureTitle">
    <w:name w:val="Figure Title"/>
    <w:basedOn w:val="Caption"/>
    <w:rsid w:val="00726B71"/>
    <w:pPr>
      <w:keepNext/>
      <w:ind w:left="1389" w:hanging="1389"/>
    </w:pPr>
  </w:style>
  <w:style w:type="paragraph" w:styleId="NormalIndent">
    <w:name w:val="Normal Indent"/>
    <w:basedOn w:val="Normal"/>
    <w:semiHidden/>
    <w:rsid w:val="00F51547"/>
    <w:pPr>
      <w:ind w:left="720"/>
    </w:pPr>
  </w:style>
  <w:style w:type="paragraph" w:customStyle="1" w:styleId="BoxQuote">
    <w:name w:val="Box Quote"/>
    <w:basedOn w:val="BoxText"/>
    <w:next w:val="BoxText"/>
    <w:rsid w:val="004E050F"/>
    <w:pPr>
      <w:spacing w:before="60" w:line="250" w:lineRule="atLeast"/>
      <w:ind w:left="284"/>
    </w:pPr>
    <w:rPr>
      <w:sz w:val="18"/>
      <w:szCs w:val="18"/>
    </w:rPr>
  </w:style>
  <w:style w:type="paragraph" w:customStyle="1" w:styleId="BodytextIPART">
    <w:name w:val="Body text IPART"/>
    <w:basedOn w:val="BodyText"/>
    <w:next w:val="BodyText"/>
    <w:semiHidden/>
    <w:rsid w:val="002F428B"/>
  </w:style>
  <w:style w:type="paragraph" w:customStyle="1" w:styleId="Referencenumber">
    <w:name w:val="Reference number"/>
    <w:basedOn w:val="Report"/>
    <w:semiHidden/>
    <w:rsid w:val="0070764D"/>
    <w:pPr>
      <w:spacing w:line="240" w:lineRule="atLeast"/>
    </w:pPr>
    <w:rPr>
      <w:b w:val="0"/>
      <w:sz w:val="22"/>
      <w:szCs w:val="22"/>
    </w:rPr>
  </w:style>
  <w:style w:type="paragraph" w:customStyle="1" w:styleId="Determinationnumber">
    <w:name w:val="Determination number"/>
    <w:basedOn w:val="Report"/>
    <w:semiHidden/>
    <w:rsid w:val="004A56B1"/>
  </w:style>
  <w:style w:type="paragraph" w:styleId="CommentSubject">
    <w:name w:val="annotation subject"/>
    <w:basedOn w:val="CommentText"/>
    <w:next w:val="CommentText"/>
    <w:semiHidden/>
    <w:rsid w:val="00265600"/>
    <w:pPr>
      <w:spacing w:before="0" w:line="240" w:lineRule="auto"/>
      <w:ind w:left="0" w:firstLine="0"/>
      <w:jc w:val="left"/>
    </w:pPr>
    <w:rPr>
      <w:rFonts w:ascii="Times New Roman" w:hAnsi="Times New Roman"/>
      <w:b/>
      <w:bCs/>
      <w:sz w:val="20"/>
      <w:szCs w:val="20"/>
      <w:lang w:eastAsia="en-AU"/>
    </w:rPr>
  </w:style>
  <w:style w:type="paragraph" w:styleId="BalloonText">
    <w:name w:val="Balloon Text"/>
    <w:basedOn w:val="Normal"/>
    <w:link w:val="BalloonTextChar"/>
    <w:uiPriority w:val="99"/>
    <w:semiHidden/>
    <w:rsid w:val="00265600"/>
    <w:rPr>
      <w:rFonts w:ascii="Tahoma" w:hAnsi="Tahoma" w:cs="Tahoma"/>
      <w:sz w:val="16"/>
      <w:szCs w:val="16"/>
    </w:rPr>
  </w:style>
  <w:style w:type="paragraph" w:customStyle="1" w:styleId="ChartText">
    <w:name w:val="Chart Text"/>
    <w:basedOn w:val="Normal"/>
    <w:semiHidden/>
    <w:rsid w:val="005C36AD"/>
    <w:pPr>
      <w:spacing w:before="100" w:line="200" w:lineRule="atLeast"/>
    </w:pPr>
    <w:rPr>
      <w:rFonts w:ascii="Arial" w:hAnsi="Arial"/>
      <w:sz w:val="18"/>
      <w:szCs w:val="18"/>
      <w:lang w:eastAsia="en-US"/>
    </w:rPr>
  </w:style>
  <w:style w:type="paragraph" w:customStyle="1" w:styleId="ChartBoldText">
    <w:name w:val="Chart Bold Text"/>
    <w:basedOn w:val="ChartText"/>
    <w:next w:val="ChartText"/>
    <w:semiHidden/>
    <w:rsid w:val="005C36AD"/>
    <w:pPr>
      <w:spacing w:before="0"/>
      <w:jc w:val="center"/>
    </w:pPr>
    <w:rPr>
      <w:b/>
    </w:rPr>
  </w:style>
  <w:style w:type="paragraph" w:customStyle="1" w:styleId="ChartHighlight">
    <w:name w:val="Chart Highlight"/>
    <w:basedOn w:val="ChartBoldText"/>
    <w:semiHidden/>
    <w:rsid w:val="005C36AD"/>
    <w:pPr>
      <w:spacing w:line="220" w:lineRule="atLeast"/>
    </w:pPr>
    <w:rPr>
      <w:caps/>
      <w:color w:val="FFFFFF"/>
      <w:sz w:val="20"/>
      <w:szCs w:val="20"/>
    </w:rPr>
  </w:style>
  <w:style w:type="paragraph" w:customStyle="1" w:styleId="LCHeading1">
    <w:name w:val="LC Heading 1"/>
    <w:basedOn w:val="BodyText"/>
    <w:next w:val="BodyText"/>
    <w:semiHidden/>
    <w:rsid w:val="00F01ED1"/>
    <w:pPr>
      <w:keepNext/>
      <w:tabs>
        <w:tab w:val="num" w:pos="425"/>
      </w:tabs>
      <w:spacing w:before="480"/>
      <w:ind w:left="425" w:hanging="425"/>
      <w:jc w:val="left"/>
      <w:outlineLvl w:val="0"/>
    </w:pPr>
    <w:rPr>
      <w:rFonts w:ascii="Arial" w:hAnsi="Arial"/>
      <w:b/>
      <w:sz w:val="24"/>
      <w:szCs w:val="24"/>
      <w:lang w:eastAsia="en-US"/>
    </w:rPr>
  </w:style>
  <w:style w:type="paragraph" w:customStyle="1" w:styleId="LCHeading2">
    <w:name w:val="LC Heading 2"/>
    <w:basedOn w:val="LCHeading1"/>
    <w:next w:val="BodyText"/>
    <w:semiHidden/>
    <w:rsid w:val="00F01ED1"/>
    <w:pPr>
      <w:spacing w:before="240"/>
      <w:outlineLvl w:val="1"/>
    </w:pPr>
    <w:rPr>
      <w:sz w:val="21"/>
      <w:szCs w:val="21"/>
    </w:rPr>
  </w:style>
  <w:style w:type="paragraph" w:customStyle="1" w:styleId="LCHeading3">
    <w:name w:val="LC Heading 3"/>
    <w:basedOn w:val="BodyText"/>
    <w:semiHidden/>
    <w:rsid w:val="00F01ED1"/>
    <w:pPr>
      <w:tabs>
        <w:tab w:val="num" w:pos="425"/>
      </w:tabs>
      <w:ind w:left="425" w:hanging="425"/>
      <w:outlineLvl w:val="2"/>
    </w:pPr>
    <w:rPr>
      <w:szCs w:val="20"/>
      <w:lang w:eastAsia="en-US"/>
    </w:rPr>
  </w:style>
  <w:style w:type="paragraph" w:customStyle="1" w:styleId="LCHeading4">
    <w:name w:val="LC Heading 4"/>
    <w:basedOn w:val="LCHeading3"/>
    <w:semiHidden/>
    <w:rsid w:val="00F01ED1"/>
    <w:pPr>
      <w:tabs>
        <w:tab w:val="clear" w:pos="425"/>
        <w:tab w:val="num" w:pos="851"/>
      </w:tabs>
      <w:ind w:left="851" w:hanging="426"/>
      <w:outlineLvl w:val="3"/>
    </w:pPr>
  </w:style>
  <w:style w:type="paragraph" w:customStyle="1" w:styleId="LCHeading5">
    <w:name w:val="LC Heading 5"/>
    <w:basedOn w:val="LCHeading4"/>
    <w:semiHidden/>
    <w:rsid w:val="00F01ED1"/>
    <w:pPr>
      <w:tabs>
        <w:tab w:val="clear" w:pos="851"/>
        <w:tab w:val="num" w:pos="1276"/>
      </w:tabs>
      <w:ind w:left="1276" w:hanging="425"/>
      <w:outlineLvl w:val="4"/>
    </w:pPr>
    <w:rPr>
      <w:szCs w:val="21"/>
    </w:rPr>
  </w:style>
  <w:style w:type="paragraph" w:customStyle="1" w:styleId="LCHeading6">
    <w:name w:val="LC Heading 6"/>
    <w:basedOn w:val="LCHeading5"/>
    <w:semiHidden/>
    <w:rsid w:val="00F01ED1"/>
    <w:pPr>
      <w:tabs>
        <w:tab w:val="clear" w:pos="1276"/>
        <w:tab w:val="num" w:pos="1701"/>
      </w:tabs>
      <w:ind w:left="1701"/>
      <w:outlineLvl w:val="5"/>
    </w:pPr>
  </w:style>
  <w:style w:type="character" w:customStyle="1" w:styleId="BodyTextChar">
    <w:name w:val="Body Text Char"/>
    <w:basedOn w:val="DefaultParagraphFont"/>
    <w:link w:val="BodyText"/>
    <w:rsid w:val="008C1404"/>
    <w:rPr>
      <w:rFonts w:ascii="Book Antiqua" w:hAnsi="Book Antiqua"/>
      <w:sz w:val="22"/>
      <w:szCs w:val="21"/>
    </w:rPr>
  </w:style>
  <w:style w:type="paragraph" w:customStyle="1" w:styleId="NoteNumber">
    <w:name w:val="Note Number"/>
    <w:basedOn w:val="TableTextEntries"/>
    <w:link w:val="NoteNumberCharChar"/>
    <w:rsid w:val="004863D8"/>
    <w:pPr>
      <w:numPr>
        <w:numId w:val="23"/>
      </w:numPr>
      <w:spacing w:after="0" w:line="200" w:lineRule="atLeast"/>
    </w:pPr>
    <w:rPr>
      <w:sz w:val="16"/>
      <w:szCs w:val="16"/>
    </w:rPr>
  </w:style>
  <w:style w:type="character" w:customStyle="1" w:styleId="NoteNumberCharChar">
    <w:name w:val="Note Number Char Char"/>
    <w:basedOn w:val="DefaultParagraphFont"/>
    <w:link w:val="NoteNumber"/>
    <w:rsid w:val="004863D8"/>
    <w:rPr>
      <w:rFonts w:ascii="Arial" w:hAnsi="Arial"/>
      <w:sz w:val="16"/>
      <w:szCs w:val="16"/>
      <w:lang w:eastAsia="en-US"/>
    </w:rPr>
  </w:style>
  <w:style w:type="paragraph" w:customStyle="1" w:styleId="SeekCommentHeading">
    <w:name w:val="Seek Comment Heading"/>
    <w:basedOn w:val="RecommendationHeading"/>
    <w:next w:val="SeekCommentNumber"/>
    <w:rsid w:val="00424796"/>
  </w:style>
  <w:style w:type="paragraph" w:customStyle="1" w:styleId="RecommendationHeading">
    <w:name w:val="Recommendation Heading"/>
    <w:basedOn w:val="BodyText"/>
    <w:next w:val="RecommendationNumber"/>
    <w:rsid w:val="004863D8"/>
    <w:pPr>
      <w:keepNext/>
      <w:jc w:val="left"/>
    </w:pPr>
    <w:rPr>
      <w:rFonts w:ascii="Arial" w:hAnsi="Arial"/>
    </w:rPr>
  </w:style>
  <w:style w:type="paragraph" w:customStyle="1" w:styleId="ChartListNumber">
    <w:name w:val="Chart List Number"/>
    <w:basedOn w:val="ChartText"/>
    <w:semiHidden/>
    <w:rsid w:val="005C36AD"/>
    <w:pPr>
      <w:numPr>
        <w:numId w:val="26"/>
      </w:numPr>
      <w:spacing w:before="60"/>
    </w:pPr>
  </w:style>
  <w:style w:type="paragraph" w:customStyle="1" w:styleId="FindingBullet">
    <w:name w:val="Finding Bullet"/>
    <w:basedOn w:val="RecommendationBullet"/>
    <w:rsid w:val="004E050F"/>
    <w:pPr>
      <w:numPr>
        <w:numId w:val="16"/>
      </w:numPr>
    </w:pPr>
  </w:style>
  <w:style w:type="paragraph" w:customStyle="1" w:styleId="FindingHeading">
    <w:name w:val="Finding Heading"/>
    <w:basedOn w:val="RecommendationHeading"/>
    <w:next w:val="FindingNumber"/>
    <w:rsid w:val="004E050F"/>
  </w:style>
  <w:style w:type="paragraph" w:customStyle="1" w:styleId="FindingNumber">
    <w:name w:val="Finding Number"/>
    <w:basedOn w:val="Normal"/>
    <w:next w:val="BodyText"/>
    <w:rsid w:val="004E050F"/>
    <w:pPr>
      <w:numPr>
        <w:numId w:val="22"/>
      </w:numPr>
      <w:spacing w:before="120" w:line="280" w:lineRule="atLeast"/>
      <w:jc w:val="both"/>
    </w:pPr>
    <w:rPr>
      <w:rFonts w:ascii="Arial" w:hAnsi="Arial"/>
      <w:color w:val="00408A"/>
      <w:sz w:val="21"/>
      <w:szCs w:val="21"/>
    </w:rPr>
  </w:style>
  <w:style w:type="paragraph" w:customStyle="1" w:styleId="SeekCommentNumber">
    <w:name w:val="Seek Comment Number"/>
    <w:basedOn w:val="Normal"/>
    <w:next w:val="BodyText"/>
    <w:rsid w:val="00526E73"/>
    <w:pPr>
      <w:numPr>
        <w:numId w:val="18"/>
      </w:numPr>
      <w:spacing w:before="120" w:line="280" w:lineRule="atLeast"/>
      <w:jc w:val="both"/>
    </w:pPr>
    <w:rPr>
      <w:rFonts w:ascii="Arial" w:hAnsi="Arial"/>
      <w:sz w:val="21"/>
      <w:szCs w:val="21"/>
    </w:rPr>
  </w:style>
  <w:style w:type="character" w:customStyle="1" w:styleId="ListBulletChar">
    <w:name w:val="List Bullet Char"/>
    <w:basedOn w:val="BodyTextChar"/>
    <w:link w:val="ListBullet"/>
    <w:uiPriority w:val="99"/>
    <w:rsid w:val="00D60EA5"/>
    <w:rPr>
      <w:rFonts w:ascii="Book Antiqua" w:hAnsi="Book Antiqua"/>
      <w:sz w:val="22"/>
      <w:szCs w:val="21"/>
    </w:rPr>
  </w:style>
  <w:style w:type="character" w:customStyle="1" w:styleId="FootnoteTextChar">
    <w:name w:val="Footnote Text Char"/>
    <w:link w:val="FootnoteText"/>
    <w:uiPriority w:val="99"/>
    <w:rsid w:val="00D60EA5"/>
    <w:rPr>
      <w:rFonts w:ascii="Book Antiqua" w:hAnsi="Book Antiqua"/>
      <w:sz w:val="18"/>
      <w:szCs w:val="17"/>
    </w:rPr>
  </w:style>
  <w:style w:type="paragraph" w:customStyle="1" w:styleId="Default">
    <w:name w:val="Default"/>
    <w:rsid w:val="0031650A"/>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rsid w:val="004C13C1"/>
    <w:rPr>
      <w:rFonts w:ascii="Arial" w:hAnsi="Arial" w:cs="Arial"/>
      <w:b/>
      <w:bCs/>
      <w:color w:val="00408A"/>
      <w:kern w:val="32"/>
      <w:sz w:val="30"/>
      <w:szCs w:val="30"/>
    </w:rPr>
  </w:style>
  <w:style w:type="paragraph" w:styleId="ListParagraph">
    <w:name w:val="List Paragraph"/>
    <w:basedOn w:val="Normal"/>
    <w:uiPriority w:val="34"/>
    <w:qFormat/>
    <w:rsid w:val="00544EDB"/>
    <w:pPr>
      <w:ind w:left="720"/>
    </w:pPr>
    <w:rPr>
      <w:rFonts w:ascii="Calibri" w:eastAsiaTheme="minorHAnsi" w:hAnsi="Calibri"/>
      <w:szCs w:val="22"/>
      <w:lang w:eastAsia="en-US"/>
    </w:rPr>
  </w:style>
  <w:style w:type="character" w:styleId="Strong">
    <w:name w:val="Strong"/>
    <w:basedOn w:val="DefaultParagraphFont"/>
    <w:uiPriority w:val="22"/>
    <w:qFormat/>
    <w:rsid w:val="00E96CB9"/>
    <w:rPr>
      <w:b/>
      <w:bCs/>
    </w:rPr>
  </w:style>
  <w:style w:type="paragraph" w:styleId="NormalWeb">
    <w:name w:val="Normal (Web)"/>
    <w:basedOn w:val="Normal"/>
    <w:uiPriority w:val="99"/>
    <w:unhideWhenUsed/>
    <w:rsid w:val="001078B4"/>
    <w:pPr>
      <w:spacing w:before="100" w:beforeAutospacing="1" w:after="100" w:afterAutospacing="1"/>
    </w:pPr>
    <w:rPr>
      <w:rFonts w:ascii="Times New Roman" w:hAnsi="Times New Roman"/>
      <w:sz w:val="24"/>
    </w:rPr>
  </w:style>
  <w:style w:type="table" w:customStyle="1" w:styleId="TableGrid1">
    <w:name w:val="Table Grid1"/>
    <w:basedOn w:val="TableNormal"/>
    <w:next w:val="TableGrid"/>
    <w:uiPriority w:val="59"/>
    <w:rsid w:val="00307E03"/>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6">
    <w:name w:val="xl66"/>
    <w:basedOn w:val="Normal"/>
    <w:rsid w:val="00977737"/>
    <w:pPr>
      <w:pBdr>
        <w:top w:val="single" w:sz="8" w:space="0" w:color="969696"/>
      </w:pBdr>
      <w:spacing w:before="100" w:beforeAutospacing="1" w:after="100" w:afterAutospacing="1" w:line="276" w:lineRule="auto"/>
      <w:jc w:val="both"/>
    </w:pPr>
    <w:rPr>
      <w:rFonts w:ascii="Arial" w:hAnsi="Arial" w:cs="Arial"/>
      <w:color w:val="333333"/>
      <w:sz w:val="18"/>
      <w:szCs w:val="18"/>
    </w:rPr>
  </w:style>
  <w:style w:type="character" w:customStyle="1" w:styleId="Heading4Char">
    <w:name w:val="Heading 4 Char"/>
    <w:basedOn w:val="DefaultParagraphFont"/>
    <w:link w:val="Heading4"/>
    <w:rsid w:val="006A7607"/>
    <w:rPr>
      <w:rFonts w:ascii="Arial" w:hAnsi="Arial"/>
      <w:color w:val="00408A"/>
      <w:kern w:val="28"/>
      <w:sz w:val="22"/>
      <w:szCs w:val="21"/>
    </w:rPr>
  </w:style>
  <w:style w:type="table" w:customStyle="1" w:styleId="TableGrid2">
    <w:name w:val="Table Grid2"/>
    <w:basedOn w:val="TableNormal"/>
    <w:next w:val="TableGrid"/>
    <w:uiPriority w:val="59"/>
    <w:rsid w:val="00583248"/>
    <w:rPr>
      <w:rFonts w:ascii="Cambria" w:eastAsia="MS Mincho" w:hAnsi="Cambria"/>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115676"/>
    <w:rPr>
      <w:rFonts w:ascii="Arial" w:hAnsi="Arial"/>
      <w:b/>
      <w:color w:val="00408A"/>
      <w:kern w:val="28"/>
      <w:sz w:val="24"/>
      <w:szCs w:val="24"/>
    </w:rPr>
  </w:style>
  <w:style w:type="character" w:customStyle="1" w:styleId="BalloonTextChar">
    <w:name w:val="Balloon Text Char"/>
    <w:basedOn w:val="DefaultParagraphFont"/>
    <w:link w:val="BalloonText"/>
    <w:uiPriority w:val="99"/>
    <w:semiHidden/>
    <w:rsid w:val="00115676"/>
    <w:rPr>
      <w:rFonts w:ascii="Tahoma" w:hAnsi="Tahoma" w:cs="Tahoma"/>
      <w:sz w:val="16"/>
      <w:szCs w:val="16"/>
    </w:rPr>
  </w:style>
  <w:style w:type="table" w:customStyle="1" w:styleId="TableGrid23">
    <w:name w:val="Table Grid23"/>
    <w:basedOn w:val="TableNormal"/>
    <w:uiPriority w:val="59"/>
    <w:rsid w:val="00EC1C8D"/>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uiPriority w:val="59"/>
    <w:rsid w:val="00EC1C8D"/>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uiPriority w:val="59"/>
    <w:rsid w:val="005B3678"/>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uiPriority w:val="59"/>
    <w:rsid w:val="00704CB5"/>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uiPriority w:val="59"/>
    <w:rsid w:val="00480023"/>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15761"/>
  </w:style>
  <w:style w:type="table" w:customStyle="1" w:styleId="TableGrid3">
    <w:name w:val="Table Grid3"/>
    <w:basedOn w:val="TableNormal"/>
    <w:next w:val="TableGrid"/>
    <w:uiPriority w:val="59"/>
    <w:rsid w:val="00E15761"/>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51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66B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D5629A"/>
    <w:rPr>
      <w:rFonts w:ascii="Arial" w:hAnsi="Arial"/>
      <w:b/>
      <w:color w:val="00408A"/>
      <w:kern w:val="28"/>
      <w:sz w:val="21"/>
      <w:szCs w:val="21"/>
    </w:rPr>
  </w:style>
  <w:style w:type="character" w:customStyle="1" w:styleId="QuoteChar">
    <w:name w:val="Quote Char"/>
    <w:basedOn w:val="DefaultParagraphFont"/>
    <w:link w:val="Quote"/>
    <w:rsid w:val="00D5629A"/>
    <w:rPr>
      <w:rFonts w:ascii="Book Antiqua" w:hAnsi="Book Antiqua"/>
      <w:szCs w:val="19"/>
    </w:rPr>
  </w:style>
  <w:style w:type="paragraph" w:styleId="EndnoteText">
    <w:name w:val="endnote text"/>
    <w:basedOn w:val="Normal"/>
    <w:link w:val="EndnoteTextChar"/>
    <w:rsid w:val="00B30DAD"/>
    <w:rPr>
      <w:sz w:val="20"/>
      <w:szCs w:val="20"/>
    </w:rPr>
  </w:style>
  <w:style w:type="character" w:customStyle="1" w:styleId="EndnoteTextChar">
    <w:name w:val="Endnote Text Char"/>
    <w:basedOn w:val="DefaultParagraphFont"/>
    <w:link w:val="EndnoteText"/>
    <w:rsid w:val="00B30DAD"/>
    <w:rPr>
      <w:rFonts w:ascii="Book Antiqua" w:hAnsi="Book Antiqua"/>
    </w:rPr>
  </w:style>
  <w:style w:type="character" w:styleId="EndnoteReference">
    <w:name w:val="endnote reference"/>
    <w:basedOn w:val="DefaultParagraphFont"/>
    <w:rsid w:val="00B30DAD"/>
    <w:rPr>
      <w:vertAlign w:val="superscript"/>
    </w:rPr>
  </w:style>
  <w:style w:type="paragraph" w:customStyle="1" w:styleId="TableParagraph">
    <w:name w:val="Table Paragraph"/>
    <w:basedOn w:val="Normal"/>
    <w:uiPriority w:val="1"/>
    <w:qFormat/>
    <w:rsid w:val="001C6501"/>
    <w:pPr>
      <w:widowControl w:val="0"/>
    </w:pPr>
    <w:rPr>
      <w:rFonts w:asciiTheme="minorHAnsi" w:eastAsiaTheme="minorHAnsi" w:hAnsiTheme="minorHAnsi" w:cstheme="minorBidi"/>
      <w:szCs w:val="22"/>
      <w:lang w:val="en-US" w:eastAsia="en-US"/>
    </w:rPr>
  </w:style>
  <w:style w:type="paragraph" w:styleId="PlainText">
    <w:name w:val="Plain Text"/>
    <w:basedOn w:val="Normal"/>
    <w:link w:val="PlainTextChar"/>
    <w:rsid w:val="00052C7E"/>
    <w:rPr>
      <w:rFonts w:ascii="Consolas" w:hAnsi="Consolas" w:cs="Consolas"/>
      <w:sz w:val="21"/>
      <w:szCs w:val="21"/>
    </w:rPr>
  </w:style>
  <w:style w:type="character" w:customStyle="1" w:styleId="PlainTextChar">
    <w:name w:val="Plain Text Char"/>
    <w:basedOn w:val="DefaultParagraphFont"/>
    <w:link w:val="PlainText"/>
    <w:rsid w:val="00052C7E"/>
    <w:rPr>
      <w:rFonts w:ascii="Consolas" w:hAnsi="Consolas" w:cs="Consolas"/>
      <w:sz w:val="21"/>
      <w:szCs w:val="21"/>
    </w:rPr>
  </w:style>
  <w:style w:type="table" w:customStyle="1" w:styleId="TableGrid31">
    <w:name w:val="Table Grid31"/>
    <w:basedOn w:val="TableNormal"/>
    <w:next w:val="TableGrid"/>
    <w:uiPriority w:val="59"/>
    <w:rsid w:val="00FD716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link w:val="Caption"/>
    <w:rsid w:val="00420873"/>
    <w:rPr>
      <w:rFonts w:ascii="Arial" w:hAnsi="Arial"/>
      <w:b/>
      <w:sz w:val="21"/>
      <w:szCs w:val="21"/>
    </w:rPr>
  </w:style>
  <w:style w:type="table" w:customStyle="1" w:styleId="TableGrid6">
    <w:name w:val="Table Grid6"/>
    <w:basedOn w:val="TableNormal"/>
    <w:next w:val="TableGrid"/>
    <w:uiPriority w:val="59"/>
    <w:rsid w:val="0036081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45105">
      <w:bodyDiv w:val="1"/>
      <w:marLeft w:val="0"/>
      <w:marRight w:val="0"/>
      <w:marTop w:val="0"/>
      <w:marBottom w:val="0"/>
      <w:divBdr>
        <w:top w:val="none" w:sz="0" w:space="0" w:color="auto"/>
        <w:left w:val="none" w:sz="0" w:space="0" w:color="auto"/>
        <w:bottom w:val="none" w:sz="0" w:space="0" w:color="auto"/>
        <w:right w:val="none" w:sz="0" w:space="0" w:color="auto"/>
      </w:divBdr>
    </w:div>
    <w:div w:id="249048826">
      <w:bodyDiv w:val="1"/>
      <w:marLeft w:val="0"/>
      <w:marRight w:val="0"/>
      <w:marTop w:val="0"/>
      <w:marBottom w:val="0"/>
      <w:divBdr>
        <w:top w:val="none" w:sz="0" w:space="0" w:color="auto"/>
        <w:left w:val="none" w:sz="0" w:space="0" w:color="auto"/>
        <w:bottom w:val="none" w:sz="0" w:space="0" w:color="auto"/>
        <w:right w:val="none" w:sz="0" w:space="0" w:color="auto"/>
      </w:divBdr>
      <w:divsChild>
        <w:div w:id="1113018176">
          <w:marLeft w:val="806"/>
          <w:marRight w:val="0"/>
          <w:marTop w:val="154"/>
          <w:marBottom w:val="0"/>
          <w:divBdr>
            <w:top w:val="none" w:sz="0" w:space="0" w:color="auto"/>
            <w:left w:val="none" w:sz="0" w:space="0" w:color="auto"/>
            <w:bottom w:val="none" w:sz="0" w:space="0" w:color="auto"/>
            <w:right w:val="none" w:sz="0" w:space="0" w:color="auto"/>
          </w:divBdr>
        </w:div>
        <w:div w:id="1714889514">
          <w:marLeft w:val="806"/>
          <w:marRight w:val="0"/>
          <w:marTop w:val="154"/>
          <w:marBottom w:val="0"/>
          <w:divBdr>
            <w:top w:val="none" w:sz="0" w:space="0" w:color="auto"/>
            <w:left w:val="none" w:sz="0" w:space="0" w:color="auto"/>
            <w:bottom w:val="none" w:sz="0" w:space="0" w:color="auto"/>
            <w:right w:val="none" w:sz="0" w:space="0" w:color="auto"/>
          </w:divBdr>
        </w:div>
        <w:div w:id="37511329">
          <w:marLeft w:val="806"/>
          <w:marRight w:val="0"/>
          <w:marTop w:val="154"/>
          <w:marBottom w:val="0"/>
          <w:divBdr>
            <w:top w:val="none" w:sz="0" w:space="0" w:color="auto"/>
            <w:left w:val="none" w:sz="0" w:space="0" w:color="auto"/>
            <w:bottom w:val="none" w:sz="0" w:space="0" w:color="auto"/>
            <w:right w:val="none" w:sz="0" w:space="0" w:color="auto"/>
          </w:divBdr>
        </w:div>
        <w:div w:id="1744839035">
          <w:marLeft w:val="806"/>
          <w:marRight w:val="0"/>
          <w:marTop w:val="154"/>
          <w:marBottom w:val="0"/>
          <w:divBdr>
            <w:top w:val="none" w:sz="0" w:space="0" w:color="auto"/>
            <w:left w:val="none" w:sz="0" w:space="0" w:color="auto"/>
            <w:bottom w:val="none" w:sz="0" w:space="0" w:color="auto"/>
            <w:right w:val="none" w:sz="0" w:space="0" w:color="auto"/>
          </w:divBdr>
        </w:div>
        <w:div w:id="293559119">
          <w:marLeft w:val="806"/>
          <w:marRight w:val="0"/>
          <w:marTop w:val="154"/>
          <w:marBottom w:val="0"/>
          <w:divBdr>
            <w:top w:val="none" w:sz="0" w:space="0" w:color="auto"/>
            <w:left w:val="none" w:sz="0" w:space="0" w:color="auto"/>
            <w:bottom w:val="none" w:sz="0" w:space="0" w:color="auto"/>
            <w:right w:val="none" w:sz="0" w:space="0" w:color="auto"/>
          </w:divBdr>
        </w:div>
      </w:divsChild>
    </w:div>
    <w:div w:id="500005486">
      <w:bodyDiv w:val="1"/>
      <w:marLeft w:val="0"/>
      <w:marRight w:val="0"/>
      <w:marTop w:val="0"/>
      <w:marBottom w:val="0"/>
      <w:divBdr>
        <w:top w:val="none" w:sz="0" w:space="0" w:color="auto"/>
        <w:left w:val="none" w:sz="0" w:space="0" w:color="auto"/>
        <w:bottom w:val="none" w:sz="0" w:space="0" w:color="auto"/>
        <w:right w:val="none" w:sz="0" w:space="0" w:color="auto"/>
      </w:divBdr>
      <w:divsChild>
        <w:div w:id="225070119">
          <w:marLeft w:val="0"/>
          <w:marRight w:val="0"/>
          <w:marTop w:val="0"/>
          <w:marBottom w:val="0"/>
          <w:divBdr>
            <w:top w:val="none" w:sz="0" w:space="0" w:color="auto"/>
            <w:left w:val="none" w:sz="0" w:space="0" w:color="auto"/>
            <w:bottom w:val="none" w:sz="0" w:space="0" w:color="auto"/>
            <w:right w:val="none" w:sz="0" w:space="0" w:color="auto"/>
          </w:divBdr>
          <w:divsChild>
            <w:div w:id="282928428">
              <w:marLeft w:val="0"/>
              <w:marRight w:val="0"/>
              <w:marTop w:val="0"/>
              <w:marBottom w:val="0"/>
              <w:divBdr>
                <w:top w:val="none" w:sz="0" w:space="0" w:color="auto"/>
                <w:left w:val="none" w:sz="0" w:space="0" w:color="auto"/>
                <w:bottom w:val="none" w:sz="0" w:space="0" w:color="auto"/>
                <w:right w:val="none" w:sz="0" w:space="0" w:color="auto"/>
              </w:divBdr>
              <w:divsChild>
                <w:div w:id="431048125">
                  <w:marLeft w:val="0"/>
                  <w:marRight w:val="3510"/>
                  <w:marTop w:val="0"/>
                  <w:marBottom w:val="0"/>
                  <w:divBdr>
                    <w:top w:val="none" w:sz="0" w:space="0" w:color="auto"/>
                    <w:left w:val="none" w:sz="0" w:space="0" w:color="auto"/>
                    <w:bottom w:val="none" w:sz="0" w:space="0" w:color="auto"/>
                    <w:right w:val="none" w:sz="0" w:space="0" w:color="auto"/>
                  </w:divBdr>
                  <w:divsChild>
                    <w:div w:id="155277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370697">
      <w:bodyDiv w:val="1"/>
      <w:marLeft w:val="0"/>
      <w:marRight w:val="0"/>
      <w:marTop w:val="0"/>
      <w:marBottom w:val="0"/>
      <w:divBdr>
        <w:top w:val="none" w:sz="0" w:space="0" w:color="auto"/>
        <w:left w:val="none" w:sz="0" w:space="0" w:color="auto"/>
        <w:bottom w:val="none" w:sz="0" w:space="0" w:color="auto"/>
        <w:right w:val="none" w:sz="0" w:space="0" w:color="auto"/>
      </w:divBdr>
    </w:div>
    <w:div w:id="679428619">
      <w:bodyDiv w:val="1"/>
      <w:marLeft w:val="0"/>
      <w:marRight w:val="0"/>
      <w:marTop w:val="0"/>
      <w:marBottom w:val="0"/>
      <w:divBdr>
        <w:top w:val="none" w:sz="0" w:space="0" w:color="auto"/>
        <w:left w:val="none" w:sz="0" w:space="0" w:color="auto"/>
        <w:bottom w:val="none" w:sz="0" w:space="0" w:color="auto"/>
        <w:right w:val="none" w:sz="0" w:space="0" w:color="auto"/>
      </w:divBdr>
    </w:div>
    <w:div w:id="832062334">
      <w:bodyDiv w:val="1"/>
      <w:marLeft w:val="0"/>
      <w:marRight w:val="0"/>
      <w:marTop w:val="0"/>
      <w:marBottom w:val="0"/>
      <w:divBdr>
        <w:top w:val="none" w:sz="0" w:space="0" w:color="auto"/>
        <w:left w:val="none" w:sz="0" w:space="0" w:color="auto"/>
        <w:bottom w:val="none" w:sz="0" w:space="0" w:color="auto"/>
        <w:right w:val="none" w:sz="0" w:space="0" w:color="auto"/>
      </w:divBdr>
    </w:div>
    <w:div w:id="872235471">
      <w:bodyDiv w:val="1"/>
      <w:marLeft w:val="0"/>
      <w:marRight w:val="0"/>
      <w:marTop w:val="0"/>
      <w:marBottom w:val="0"/>
      <w:divBdr>
        <w:top w:val="none" w:sz="0" w:space="0" w:color="auto"/>
        <w:left w:val="none" w:sz="0" w:space="0" w:color="auto"/>
        <w:bottom w:val="none" w:sz="0" w:space="0" w:color="auto"/>
        <w:right w:val="none" w:sz="0" w:space="0" w:color="auto"/>
      </w:divBdr>
      <w:divsChild>
        <w:div w:id="2072576602">
          <w:marLeft w:val="562"/>
          <w:marRight w:val="0"/>
          <w:marTop w:val="60"/>
          <w:marBottom w:val="60"/>
          <w:divBdr>
            <w:top w:val="none" w:sz="0" w:space="0" w:color="auto"/>
            <w:left w:val="none" w:sz="0" w:space="0" w:color="auto"/>
            <w:bottom w:val="none" w:sz="0" w:space="0" w:color="auto"/>
            <w:right w:val="none" w:sz="0" w:space="0" w:color="auto"/>
          </w:divBdr>
        </w:div>
        <w:div w:id="924538132">
          <w:marLeft w:val="562"/>
          <w:marRight w:val="0"/>
          <w:marTop w:val="0"/>
          <w:marBottom w:val="0"/>
          <w:divBdr>
            <w:top w:val="none" w:sz="0" w:space="0" w:color="auto"/>
            <w:left w:val="none" w:sz="0" w:space="0" w:color="auto"/>
            <w:bottom w:val="none" w:sz="0" w:space="0" w:color="auto"/>
            <w:right w:val="none" w:sz="0" w:space="0" w:color="auto"/>
          </w:divBdr>
        </w:div>
        <w:div w:id="1500342733">
          <w:marLeft w:val="562"/>
          <w:marRight w:val="0"/>
          <w:marTop w:val="240"/>
          <w:marBottom w:val="0"/>
          <w:divBdr>
            <w:top w:val="none" w:sz="0" w:space="0" w:color="auto"/>
            <w:left w:val="none" w:sz="0" w:space="0" w:color="auto"/>
            <w:bottom w:val="none" w:sz="0" w:space="0" w:color="auto"/>
            <w:right w:val="none" w:sz="0" w:space="0" w:color="auto"/>
          </w:divBdr>
        </w:div>
        <w:div w:id="1274479601">
          <w:marLeft w:val="562"/>
          <w:marRight w:val="0"/>
          <w:marTop w:val="0"/>
          <w:marBottom w:val="0"/>
          <w:divBdr>
            <w:top w:val="none" w:sz="0" w:space="0" w:color="auto"/>
            <w:left w:val="none" w:sz="0" w:space="0" w:color="auto"/>
            <w:bottom w:val="none" w:sz="0" w:space="0" w:color="auto"/>
            <w:right w:val="none" w:sz="0" w:space="0" w:color="auto"/>
          </w:divBdr>
        </w:div>
        <w:div w:id="1945921301">
          <w:marLeft w:val="562"/>
          <w:marRight w:val="0"/>
          <w:marTop w:val="0"/>
          <w:marBottom w:val="0"/>
          <w:divBdr>
            <w:top w:val="none" w:sz="0" w:space="0" w:color="auto"/>
            <w:left w:val="none" w:sz="0" w:space="0" w:color="auto"/>
            <w:bottom w:val="none" w:sz="0" w:space="0" w:color="auto"/>
            <w:right w:val="none" w:sz="0" w:space="0" w:color="auto"/>
          </w:divBdr>
        </w:div>
      </w:divsChild>
    </w:div>
    <w:div w:id="911549069">
      <w:bodyDiv w:val="1"/>
      <w:marLeft w:val="0"/>
      <w:marRight w:val="0"/>
      <w:marTop w:val="0"/>
      <w:marBottom w:val="0"/>
      <w:divBdr>
        <w:top w:val="none" w:sz="0" w:space="0" w:color="auto"/>
        <w:left w:val="none" w:sz="0" w:space="0" w:color="auto"/>
        <w:bottom w:val="none" w:sz="0" w:space="0" w:color="auto"/>
        <w:right w:val="none" w:sz="0" w:space="0" w:color="auto"/>
      </w:divBdr>
    </w:div>
    <w:div w:id="1016083267">
      <w:bodyDiv w:val="1"/>
      <w:marLeft w:val="0"/>
      <w:marRight w:val="0"/>
      <w:marTop w:val="0"/>
      <w:marBottom w:val="0"/>
      <w:divBdr>
        <w:top w:val="none" w:sz="0" w:space="0" w:color="auto"/>
        <w:left w:val="none" w:sz="0" w:space="0" w:color="auto"/>
        <w:bottom w:val="none" w:sz="0" w:space="0" w:color="auto"/>
        <w:right w:val="none" w:sz="0" w:space="0" w:color="auto"/>
      </w:divBdr>
      <w:divsChild>
        <w:div w:id="1687050831">
          <w:marLeft w:val="0"/>
          <w:marRight w:val="0"/>
          <w:marTop w:val="0"/>
          <w:marBottom w:val="0"/>
          <w:divBdr>
            <w:top w:val="none" w:sz="0" w:space="0" w:color="auto"/>
            <w:left w:val="none" w:sz="0" w:space="0" w:color="auto"/>
            <w:bottom w:val="none" w:sz="0" w:space="0" w:color="auto"/>
            <w:right w:val="none" w:sz="0" w:space="0" w:color="auto"/>
          </w:divBdr>
          <w:divsChild>
            <w:div w:id="1469938135">
              <w:marLeft w:val="0"/>
              <w:marRight w:val="0"/>
              <w:marTop w:val="0"/>
              <w:marBottom w:val="0"/>
              <w:divBdr>
                <w:top w:val="none" w:sz="0" w:space="0" w:color="auto"/>
                <w:left w:val="none" w:sz="0" w:space="0" w:color="auto"/>
                <w:bottom w:val="none" w:sz="0" w:space="0" w:color="auto"/>
                <w:right w:val="none" w:sz="0" w:space="0" w:color="auto"/>
              </w:divBdr>
              <w:divsChild>
                <w:div w:id="204291749">
                  <w:marLeft w:val="0"/>
                  <w:marRight w:val="3510"/>
                  <w:marTop w:val="0"/>
                  <w:marBottom w:val="0"/>
                  <w:divBdr>
                    <w:top w:val="none" w:sz="0" w:space="0" w:color="auto"/>
                    <w:left w:val="none" w:sz="0" w:space="0" w:color="auto"/>
                    <w:bottom w:val="none" w:sz="0" w:space="0" w:color="auto"/>
                    <w:right w:val="none" w:sz="0" w:space="0" w:color="auto"/>
                  </w:divBdr>
                  <w:divsChild>
                    <w:div w:id="66304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419328">
      <w:bodyDiv w:val="1"/>
      <w:marLeft w:val="0"/>
      <w:marRight w:val="0"/>
      <w:marTop w:val="0"/>
      <w:marBottom w:val="0"/>
      <w:divBdr>
        <w:top w:val="none" w:sz="0" w:space="0" w:color="auto"/>
        <w:left w:val="none" w:sz="0" w:space="0" w:color="auto"/>
        <w:bottom w:val="none" w:sz="0" w:space="0" w:color="auto"/>
        <w:right w:val="none" w:sz="0" w:space="0" w:color="auto"/>
      </w:divBdr>
    </w:div>
    <w:div w:id="1281062911">
      <w:bodyDiv w:val="1"/>
      <w:marLeft w:val="0"/>
      <w:marRight w:val="0"/>
      <w:marTop w:val="0"/>
      <w:marBottom w:val="0"/>
      <w:divBdr>
        <w:top w:val="none" w:sz="0" w:space="0" w:color="auto"/>
        <w:left w:val="none" w:sz="0" w:space="0" w:color="auto"/>
        <w:bottom w:val="none" w:sz="0" w:space="0" w:color="auto"/>
        <w:right w:val="none" w:sz="0" w:space="0" w:color="auto"/>
      </w:divBdr>
    </w:div>
    <w:div w:id="1318680212">
      <w:bodyDiv w:val="1"/>
      <w:marLeft w:val="0"/>
      <w:marRight w:val="0"/>
      <w:marTop w:val="0"/>
      <w:marBottom w:val="0"/>
      <w:divBdr>
        <w:top w:val="none" w:sz="0" w:space="0" w:color="auto"/>
        <w:left w:val="none" w:sz="0" w:space="0" w:color="auto"/>
        <w:bottom w:val="none" w:sz="0" w:space="0" w:color="auto"/>
        <w:right w:val="none" w:sz="0" w:space="0" w:color="auto"/>
      </w:divBdr>
    </w:div>
    <w:div w:id="1579553756">
      <w:bodyDiv w:val="1"/>
      <w:marLeft w:val="0"/>
      <w:marRight w:val="0"/>
      <w:marTop w:val="0"/>
      <w:marBottom w:val="0"/>
      <w:divBdr>
        <w:top w:val="none" w:sz="0" w:space="0" w:color="auto"/>
        <w:left w:val="none" w:sz="0" w:space="0" w:color="auto"/>
        <w:bottom w:val="none" w:sz="0" w:space="0" w:color="auto"/>
        <w:right w:val="none" w:sz="0" w:space="0" w:color="auto"/>
      </w:divBdr>
    </w:div>
    <w:div w:id="1762867595">
      <w:bodyDiv w:val="1"/>
      <w:marLeft w:val="0"/>
      <w:marRight w:val="0"/>
      <w:marTop w:val="0"/>
      <w:marBottom w:val="0"/>
      <w:divBdr>
        <w:top w:val="none" w:sz="0" w:space="0" w:color="auto"/>
        <w:left w:val="none" w:sz="0" w:space="0" w:color="auto"/>
        <w:bottom w:val="none" w:sz="0" w:space="0" w:color="auto"/>
        <w:right w:val="none" w:sz="0" w:space="0" w:color="auto"/>
      </w:divBdr>
    </w:div>
    <w:div w:id="1872299766">
      <w:bodyDiv w:val="1"/>
      <w:marLeft w:val="0"/>
      <w:marRight w:val="0"/>
      <w:marTop w:val="0"/>
      <w:marBottom w:val="0"/>
      <w:divBdr>
        <w:top w:val="none" w:sz="0" w:space="0" w:color="auto"/>
        <w:left w:val="none" w:sz="0" w:space="0" w:color="auto"/>
        <w:bottom w:val="none" w:sz="0" w:space="0" w:color="auto"/>
        <w:right w:val="none" w:sz="0" w:space="0" w:color="auto"/>
      </w:divBdr>
    </w:div>
    <w:div w:id="1961720762">
      <w:bodyDiv w:val="1"/>
      <w:marLeft w:val="0"/>
      <w:marRight w:val="0"/>
      <w:marTop w:val="0"/>
      <w:marBottom w:val="0"/>
      <w:divBdr>
        <w:top w:val="none" w:sz="0" w:space="0" w:color="auto"/>
        <w:left w:val="none" w:sz="0" w:space="0" w:color="auto"/>
        <w:bottom w:val="none" w:sz="0" w:space="0" w:color="auto"/>
        <w:right w:val="none" w:sz="0" w:space="0" w:color="auto"/>
      </w:divBdr>
    </w:div>
    <w:div w:id="2011711998">
      <w:bodyDiv w:val="1"/>
      <w:marLeft w:val="0"/>
      <w:marRight w:val="0"/>
      <w:marTop w:val="0"/>
      <w:marBottom w:val="0"/>
      <w:divBdr>
        <w:top w:val="none" w:sz="0" w:space="0" w:color="auto"/>
        <w:left w:val="none" w:sz="0" w:space="0" w:color="auto"/>
        <w:bottom w:val="none" w:sz="0" w:space="0" w:color="auto"/>
        <w:right w:val="none" w:sz="0" w:space="0" w:color="auto"/>
      </w:divBdr>
    </w:div>
    <w:div w:id="2044671218">
      <w:bodyDiv w:val="1"/>
      <w:marLeft w:val="0"/>
      <w:marRight w:val="0"/>
      <w:marTop w:val="0"/>
      <w:marBottom w:val="0"/>
      <w:divBdr>
        <w:top w:val="none" w:sz="0" w:space="0" w:color="auto"/>
        <w:left w:val="none" w:sz="0" w:space="0" w:color="auto"/>
        <w:bottom w:val="none" w:sz="0" w:space="0" w:color="auto"/>
        <w:right w:val="none" w:sz="0" w:space="0" w:color="auto"/>
      </w:divBdr>
    </w:div>
    <w:div w:id="2061203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eader" Target="header6.xml"/><Relationship Id="rId42" Type="http://schemas.openxmlformats.org/officeDocument/2006/relationships/image" Target="media/image20.jpeg"/><Relationship Id="rId47" Type="http://schemas.openxmlformats.org/officeDocument/2006/relationships/image" Target="media/image25.png"/><Relationship Id="rId63" Type="http://schemas.openxmlformats.org/officeDocument/2006/relationships/image" Target="media/image32.emf"/><Relationship Id="rId68" Type="http://schemas.openxmlformats.org/officeDocument/2006/relationships/chart" Target="charts/chart13.xml"/><Relationship Id="rId84" Type="http://schemas.openxmlformats.org/officeDocument/2006/relationships/chart" Target="charts/chart16.xml"/><Relationship Id="rId89" Type="http://schemas.openxmlformats.org/officeDocument/2006/relationships/image" Target="media/image45.emf"/><Relationship Id="rId7" Type="http://schemas.microsoft.com/office/2007/relationships/stylesWithEffects" Target="stylesWithEffects.xml"/><Relationship Id="rId71" Type="http://schemas.openxmlformats.org/officeDocument/2006/relationships/header" Target="header8.xml"/><Relationship Id="rId92" Type="http://schemas.openxmlformats.org/officeDocument/2006/relationships/hyperlink" Target="http://www.housing.nsw.gov.au/"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7.png"/><Relationship Id="rId107" Type="http://schemas.openxmlformats.org/officeDocument/2006/relationships/fontTable" Target="fontTable.xml"/><Relationship Id="rId11" Type="http://schemas.openxmlformats.org/officeDocument/2006/relationships/endnotes" Target="endnotes.xml"/><Relationship Id="rId24" Type="http://schemas.microsoft.com/office/2007/relationships/hdphoto" Target="media/hdphoto1.wdp"/><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chart" Target="charts/chart3.xml"/><Relationship Id="rId58" Type="http://schemas.openxmlformats.org/officeDocument/2006/relationships/image" Target="media/image31.png"/><Relationship Id="rId66" Type="http://schemas.openxmlformats.org/officeDocument/2006/relationships/image" Target="media/image33.emf"/><Relationship Id="rId74" Type="http://schemas.openxmlformats.org/officeDocument/2006/relationships/image" Target="media/image34.png"/><Relationship Id="rId79" Type="http://schemas.openxmlformats.org/officeDocument/2006/relationships/image" Target="media/image39.jpeg"/><Relationship Id="rId87" Type="http://schemas.openxmlformats.org/officeDocument/2006/relationships/image" Target="media/image43.png"/><Relationship Id="rId102" Type="http://schemas.openxmlformats.org/officeDocument/2006/relationships/image" Target="media/image51.png"/><Relationship Id="rId5" Type="http://schemas.openxmlformats.org/officeDocument/2006/relationships/numbering" Target="numbering.xml"/><Relationship Id="rId61" Type="http://schemas.openxmlformats.org/officeDocument/2006/relationships/chart" Target="charts/chart8.xml"/><Relationship Id="rId82" Type="http://schemas.openxmlformats.org/officeDocument/2006/relationships/hyperlink" Target="http://www.bluemountainshaveyoursay.com.au" TargetMode="External"/><Relationship Id="rId90" Type="http://schemas.openxmlformats.org/officeDocument/2006/relationships/chart" Target="charts/chart18.xml"/><Relationship Id="rId95" Type="http://schemas.openxmlformats.org/officeDocument/2006/relationships/hyperlink" Target="http://www.rspcansw.org.au/" TargetMode="External"/><Relationship Id="rId19" Type="http://schemas.openxmlformats.org/officeDocument/2006/relationships/header" Target="header4.xml"/><Relationship Id="rId14" Type="http://schemas.openxmlformats.org/officeDocument/2006/relationships/hyperlink" Target="http://www.ipart.nsw.gov.au/" TargetMode="External"/><Relationship Id="rId22" Type="http://schemas.openxmlformats.org/officeDocument/2006/relationships/footer" Target="footer3.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chart" Target="charts/chart1.xml"/><Relationship Id="rId56" Type="http://schemas.openxmlformats.org/officeDocument/2006/relationships/chart" Target="charts/chart4.xml"/><Relationship Id="rId64" Type="http://schemas.openxmlformats.org/officeDocument/2006/relationships/chart" Target="charts/chart10.xml"/><Relationship Id="rId69" Type="http://schemas.openxmlformats.org/officeDocument/2006/relationships/chart" Target="charts/chart14.xml"/><Relationship Id="rId77" Type="http://schemas.openxmlformats.org/officeDocument/2006/relationships/image" Target="media/image37.jpeg"/><Relationship Id="rId100" Type="http://schemas.openxmlformats.org/officeDocument/2006/relationships/image" Target="media/image49.emf"/><Relationship Id="rId105" Type="http://schemas.microsoft.com/office/2007/relationships/hdphoto" Target="media/hdphoto2.wdp"/><Relationship Id="rId8" Type="http://schemas.openxmlformats.org/officeDocument/2006/relationships/settings" Target="settings.xml"/><Relationship Id="rId51" Type="http://schemas.openxmlformats.org/officeDocument/2006/relationships/image" Target="media/image27.emf"/><Relationship Id="rId72" Type="http://schemas.openxmlformats.org/officeDocument/2006/relationships/footer" Target="footer4.xml"/><Relationship Id="rId80" Type="http://schemas.openxmlformats.org/officeDocument/2006/relationships/image" Target="media/image40.jpeg"/><Relationship Id="rId85" Type="http://schemas.openxmlformats.org/officeDocument/2006/relationships/chart" Target="charts/chart17.xml"/><Relationship Id="rId93" Type="http://schemas.openxmlformats.org/officeDocument/2006/relationships/hyperlink" Target="http://www.eloura.com.au/" TargetMode="External"/><Relationship Id="rId98" Type="http://schemas.openxmlformats.org/officeDocument/2006/relationships/chart" Target="charts/chart19.xml"/><Relationship Id="rId3" Type="http://schemas.openxmlformats.org/officeDocument/2006/relationships/customXml" Target="../customXml/item3.xml"/><Relationship Id="rId12" Type="http://schemas.openxmlformats.org/officeDocument/2006/relationships/hyperlink" Target="mailto:rdillon@bmcc.nsw.gov.au" TargetMode="External"/><Relationship Id="rId17" Type="http://schemas.openxmlformats.org/officeDocument/2006/relationships/footer" Target="footer1.xml"/><Relationship Id="rId25" Type="http://schemas.openxmlformats.org/officeDocument/2006/relationships/image" Target="media/image3.emf"/><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emf"/><Relationship Id="rId59" Type="http://schemas.openxmlformats.org/officeDocument/2006/relationships/chart" Target="charts/chart6.xml"/><Relationship Id="rId67" Type="http://schemas.openxmlformats.org/officeDocument/2006/relationships/chart" Target="charts/chart12.xml"/><Relationship Id="rId103" Type="http://schemas.openxmlformats.org/officeDocument/2006/relationships/image" Target="media/image52.png"/><Relationship Id="rId108"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image" Target="media/image19.jpeg"/><Relationship Id="rId54" Type="http://schemas.openxmlformats.org/officeDocument/2006/relationships/image" Target="media/image29.png"/><Relationship Id="rId62" Type="http://schemas.openxmlformats.org/officeDocument/2006/relationships/chart" Target="charts/chart9.xml"/><Relationship Id="rId70" Type="http://schemas.openxmlformats.org/officeDocument/2006/relationships/header" Target="header7.xml"/><Relationship Id="rId75" Type="http://schemas.openxmlformats.org/officeDocument/2006/relationships/image" Target="media/image35.emf"/><Relationship Id="rId83" Type="http://schemas.openxmlformats.org/officeDocument/2006/relationships/chart" Target="charts/chart15.xml"/><Relationship Id="rId88" Type="http://schemas.openxmlformats.org/officeDocument/2006/relationships/image" Target="media/image44.emf"/><Relationship Id="rId91" Type="http://schemas.openxmlformats.org/officeDocument/2006/relationships/image" Target="media/image46.png"/><Relationship Id="rId96" Type="http://schemas.openxmlformats.org/officeDocument/2006/relationships/hyperlink" Target="http://www.dss.gov.au/our-responsibilities/mental-health/programs-services/personal-helpers-and-mentors-pham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2.png"/><Relationship Id="rId28" Type="http://schemas.openxmlformats.org/officeDocument/2006/relationships/image" Target="media/image6.emf"/><Relationship Id="rId36" Type="http://schemas.openxmlformats.org/officeDocument/2006/relationships/image" Target="media/image14.jpeg"/><Relationship Id="rId49" Type="http://schemas.openxmlformats.org/officeDocument/2006/relationships/chart" Target="charts/chart2.xml"/><Relationship Id="rId57" Type="http://schemas.openxmlformats.org/officeDocument/2006/relationships/chart" Target="charts/chart5.xml"/><Relationship Id="rId106" Type="http://schemas.openxmlformats.org/officeDocument/2006/relationships/image" Target="media/image54.jpeg"/><Relationship Id="rId10" Type="http://schemas.openxmlformats.org/officeDocument/2006/relationships/footnotes" Target="footnotes.xm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image" Target="media/image28.png"/><Relationship Id="rId60" Type="http://schemas.openxmlformats.org/officeDocument/2006/relationships/chart" Target="charts/chart7.xml"/><Relationship Id="rId65" Type="http://schemas.openxmlformats.org/officeDocument/2006/relationships/chart" Target="charts/chart11.xml"/><Relationship Id="rId73" Type="http://schemas.openxmlformats.org/officeDocument/2006/relationships/footer" Target="footer5.xml"/><Relationship Id="rId78" Type="http://schemas.openxmlformats.org/officeDocument/2006/relationships/image" Target="media/image38.emf"/><Relationship Id="rId81" Type="http://schemas.openxmlformats.org/officeDocument/2006/relationships/image" Target="media/image41.png"/><Relationship Id="rId86" Type="http://schemas.openxmlformats.org/officeDocument/2006/relationships/image" Target="media/image42.PNG"/><Relationship Id="rId94" Type="http://schemas.openxmlformats.org/officeDocument/2006/relationships/hyperlink" Target="http://www.adhc.nsw.gov.au/" TargetMode="External"/><Relationship Id="rId99" Type="http://schemas.openxmlformats.org/officeDocument/2006/relationships/image" Target="media/image48.emf"/><Relationship Id="rId101" Type="http://schemas.openxmlformats.org/officeDocument/2006/relationships/image" Target="media/image50.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2.xml"/><Relationship Id="rId39" Type="http://schemas.openxmlformats.org/officeDocument/2006/relationships/image" Target="media/image17.jpeg"/><Relationship Id="rId34" Type="http://schemas.openxmlformats.org/officeDocument/2006/relationships/image" Target="media/image12.jpeg"/><Relationship Id="rId50" Type="http://schemas.openxmlformats.org/officeDocument/2006/relationships/image" Target="media/image26.png"/><Relationship Id="rId55" Type="http://schemas.openxmlformats.org/officeDocument/2006/relationships/image" Target="media/image30.png"/><Relationship Id="rId76" Type="http://schemas.openxmlformats.org/officeDocument/2006/relationships/image" Target="media/image36.emf"/><Relationship Id="rId97" Type="http://schemas.openxmlformats.org/officeDocument/2006/relationships/image" Target="media/image47.emf"/><Relationship Id="rId104" Type="http://schemas.openxmlformats.org/officeDocument/2006/relationships/image" Target="media/image53.png"/></Relationships>
</file>

<file path=word/_rels/footnotes.xml.rels><?xml version="1.0" encoding="UTF-8" standalone="yes"?>
<Relationships xmlns="http://schemas.openxmlformats.org/package/2006/relationships"><Relationship Id="rId2" Type="http://schemas.openxmlformats.org/officeDocument/2006/relationships/hyperlink" Target="http://www.planning.nsw.gov.au" TargetMode="External"/><Relationship Id="rId1" Type="http://schemas.openxmlformats.org/officeDocument/2006/relationships/hyperlink" Target="http://www.bmcc.nsw.gov.au/yourcommunity/communitysurve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pps\Office2010\templates\templates\Short%20Report.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5.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6.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bmcc-hqfile2\home\jstewart\HPTRIM\TEMP\HPTRIM.4792\14%20150993%20%20SV2%20CONSULTATION%20-%20Public%20Submissions%20Summary%20Sheet.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opernicus\CorpData\IP&amp;F\Finance\Strategic%20Finance\Strategic%20Finance%20Program%20Leader\LTFP\2014%20LTFP\Workfiles\Resourcing%20Strategy%20-%20LTFP%20tables,%20graphs,%20scenarios.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opernicus\CorpData\IP&amp;F\Finance\Strategic%20Finance\Strategic%20Finance%20Program%20Leader\LTFP\2014%20LTFP\Workfiles\Resourcing%20Strategy%20-%20LTFP%20tables,%20graphs,%20scenarios.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opernicus\CorpData\IP&amp;F\Finance\Strategic%20Finance\Strategic%20Finance%20Program%20Leader\LTFP\2014%20LTFP\Workfiles\Resourcing%20Strategy%20-%20LTFP%20tables,%20graphs,%20scenarios.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opernicus\CorpData\IP&amp;F\Finance\Strategic%20Finance\Strategic%20Finance%20Program%20Leader\LTFP\2014%20LTFP\Workfiles\Resourcing%20Strategy%20-%20LTFP%20tables,%20graphs,%20scenarios.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opernicus\CorpData\IP&amp;F\Finance\Strategic%20Finance\Strategic%20Finance%20Program%20Leader\LTFP\2014%20LTFP\Workfiles\Resourcing%20Strategy%20-%20LTFP%20tables,%20graphs,%20scenarios.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Chart%20in%20Microsoft%20Word"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AU"/>
              <a:t>Top issues of concern for Blue Mountains area,                           2012, 2013, 2014 Community Surveys </a:t>
            </a:r>
          </a:p>
        </c:rich>
      </c:tx>
      <c:layout>
        <c:manualLayout>
          <c:xMode val="edge"/>
          <c:yMode val="edge"/>
          <c:x val="0.26847712381276079"/>
          <c:y val="0"/>
        </c:manualLayout>
      </c:layout>
      <c:overlay val="0"/>
    </c:title>
    <c:autoTitleDeleted val="0"/>
    <c:plotArea>
      <c:layout>
        <c:manualLayout>
          <c:layoutTarget val="inner"/>
          <c:xMode val="edge"/>
          <c:yMode val="edge"/>
          <c:x val="0.43641873902452843"/>
          <c:y val="0.20002826312435509"/>
          <c:w val="0.42608848354387358"/>
          <c:h val="0.72378128607881143"/>
        </c:manualLayout>
      </c:layout>
      <c:barChart>
        <c:barDir val="bar"/>
        <c:grouping val="clustered"/>
        <c:varyColors val="0"/>
        <c:ser>
          <c:idx val="0"/>
          <c:order val="0"/>
          <c:tx>
            <c:strRef>
              <c:f>'City-wide'!$B$1</c:f>
              <c:strCache>
                <c:ptCount val="1"/>
                <c:pt idx="0">
                  <c:v>2012</c:v>
                </c:pt>
              </c:strCache>
            </c:strRef>
          </c:tx>
          <c:invertIfNegative val="0"/>
          <c:cat>
            <c:strRef>
              <c:f>'City-wide'!$A$2:$A$7</c:f>
              <c:strCache>
                <c:ptCount val="6"/>
                <c:pt idx="0">
                  <c:v>Roads</c:v>
                </c:pt>
                <c:pt idx="1">
                  <c:v>Bushfire Protection</c:v>
                </c:pt>
                <c:pt idx="2">
                  <c:v>Traffic Management</c:v>
                </c:pt>
                <c:pt idx="3">
                  <c:v>Public Transport</c:v>
                </c:pt>
                <c:pt idx="4">
                  <c:v>Development/Planning</c:v>
                </c:pt>
                <c:pt idx="5">
                  <c:v>Environment/Sustainability</c:v>
                </c:pt>
              </c:strCache>
            </c:strRef>
          </c:cat>
          <c:val>
            <c:numRef>
              <c:f>'City-wide'!$B$2:$B$7</c:f>
              <c:numCache>
                <c:formatCode>General</c:formatCode>
                <c:ptCount val="6"/>
                <c:pt idx="0">
                  <c:v>46</c:v>
                </c:pt>
                <c:pt idx="1">
                  <c:v>3</c:v>
                </c:pt>
                <c:pt idx="2">
                  <c:v>7</c:v>
                </c:pt>
                <c:pt idx="3">
                  <c:v>6</c:v>
                </c:pt>
                <c:pt idx="4">
                  <c:v>3</c:v>
                </c:pt>
                <c:pt idx="5">
                  <c:v>2</c:v>
                </c:pt>
              </c:numCache>
            </c:numRef>
          </c:val>
        </c:ser>
        <c:ser>
          <c:idx val="1"/>
          <c:order val="1"/>
          <c:tx>
            <c:strRef>
              <c:f>'City-wide'!$C$1</c:f>
              <c:strCache>
                <c:ptCount val="1"/>
                <c:pt idx="0">
                  <c:v>2013</c:v>
                </c:pt>
              </c:strCache>
            </c:strRef>
          </c:tx>
          <c:invertIfNegative val="0"/>
          <c:cat>
            <c:strRef>
              <c:f>'City-wide'!$A$2:$A$7</c:f>
              <c:strCache>
                <c:ptCount val="6"/>
                <c:pt idx="0">
                  <c:v>Roads</c:v>
                </c:pt>
                <c:pt idx="1">
                  <c:v>Bushfire Protection</c:v>
                </c:pt>
                <c:pt idx="2">
                  <c:v>Traffic Management</c:v>
                </c:pt>
                <c:pt idx="3">
                  <c:v>Public Transport</c:v>
                </c:pt>
                <c:pt idx="4">
                  <c:v>Development/Planning</c:v>
                </c:pt>
                <c:pt idx="5">
                  <c:v>Environment/Sustainability</c:v>
                </c:pt>
              </c:strCache>
            </c:strRef>
          </c:cat>
          <c:val>
            <c:numRef>
              <c:f>'City-wide'!$C$2:$C$7</c:f>
              <c:numCache>
                <c:formatCode>General</c:formatCode>
                <c:ptCount val="6"/>
                <c:pt idx="0">
                  <c:v>27.5</c:v>
                </c:pt>
                <c:pt idx="1">
                  <c:v>2.9</c:v>
                </c:pt>
                <c:pt idx="2">
                  <c:v>5.5</c:v>
                </c:pt>
                <c:pt idx="3">
                  <c:v>6.1</c:v>
                </c:pt>
                <c:pt idx="4">
                  <c:v>4.7</c:v>
                </c:pt>
                <c:pt idx="5">
                  <c:v>3.5</c:v>
                </c:pt>
              </c:numCache>
            </c:numRef>
          </c:val>
        </c:ser>
        <c:ser>
          <c:idx val="2"/>
          <c:order val="2"/>
          <c:tx>
            <c:strRef>
              <c:f>'City-wide'!$D$1</c:f>
              <c:strCache>
                <c:ptCount val="1"/>
                <c:pt idx="0">
                  <c:v>2014</c:v>
                </c:pt>
              </c:strCache>
            </c:strRef>
          </c:tx>
          <c:invertIfNegative val="0"/>
          <c:cat>
            <c:strRef>
              <c:f>'City-wide'!$A$2:$A$7</c:f>
              <c:strCache>
                <c:ptCount val="6"/>
                <c:pt idx="0">
                  <c:v>Roads</c:v>
                </c:pt>
                <c:pt idx="1">
                  <c:v>Bushfire Protection</c:v>
                </c:pt>
                <c:pt idx="2">
                  <c:v>Traffic Management</c:v>
                </c:pt>
                <c:pt idx="3">
                  <c:v>Public Transport</c:v>
                </c:pt>
                <c:pt idx="4">
                  <c:v>Development/Planning</c:v>
                </c:pt>
                <c:pt idx="5">
                  <c:v>Environment/Sustainability</c:v>
                </c:pt>
              </c:strCache>
            </c:strRef>
          </c:cat>
          <c:val>
            <c:numRef>
              <c:f>'City-wide'!$D$2:$D$7</c:f>
              <c:numCache>
                <c:formatCode>General</c:formatCode>
                <c:ptCount val="6"/>
                <c:pt idx="0">
                  <c:v>25.5</c:v>
                </c:pt>
                <c:pt idx="1">
                  <c:v>11.9</c:v>
                </c:pt>
                <c:pt idx="2">
                  <c:v>7.7</c:v>
                </c:pt>
                <c:pt idx="3">
                  <c:v>2.8</c:v>
                </c:pt>
                <c:pt idx="4">
                  <c:v>4.2</c:v>
                </c:pt>
                <c:pt idx="5">
                  <c:v>4.4000000000000004</c:v>
                </c:pt>
              </c:numCache>
            </c:numRef>
          </c:val>
        </c:ser>
        <c:dLbls>
          <c:showLegendKey val="0"/>
          <c:showVal val="0"/>
          <c:showCatName val="0"/>
          <c:showSerName val="0"/>
          <c:showPercent val="0"/>
          <c:showBubbleSize val="0"/>
        </c:dLbls>
        <c:gapWidth val="150"/>
        <c:axId val="197531904"/>
        <c:axId val="197545984"/>
      </c:barChart>
      <c:catAx>
        <c:axId val="197531904"/>
        <c:scaling>
          <c:orientation val="maxMin"/>
        </c:scaling>
        <c:delete val="0"/>
        <c:axPos val="l"/>
        <c:majorTickMark val="out"/>
        <c:minorTickMark val="none"/>
        <c:tickLblPos val="nextTo"/>
        <c:crossAx val="197545984"/>
        <c:crosses val="autoZero"/>
        <c:auto val="1"/>
        <c:lblAlgn val="ctr"/>
        <c:lblOffset val="100"/>
        <c:noMultiLvlLbl val="0"/>
      </c:catAx>
      <c:valAx>
        <c:axId val="197545984"/>
        <c:scaling>
          <c:orientation val="minMax"/>
        </c:scaling>
        <c:delete val="0"/>
        <c:axPos val="t"/>
        <c:majorGridlines/>
        <c:title>
          <c:tx>
            <c:rich>
              <a:bodyPr/>
              <a:lstStyle/>
              <a:p>
                <a:pPr>
                  <a:defRPr/>
                </a:pPr>
                <a:r>
                  <a:rPr lang="en-AU"/>
                  <a:t>%</a:t>
                </a:r>
              </a:p>
            </c:rich>
          </c:tx>
          <c:layout>
            <c:manualLayout>
              <c:xMode val="edge"/>
              <c:yMode val="edge"/>
              <c:x val="0.90159727336241247"/>
              <c:y val="0.11118773113769741"/>
            </c:manualLayout>
          </c:layout>
          <c:overlay val="0"/>
        </c:title>
        <c:numFmt formatCode="General" sourceLinked="1"/>
        <c:majorTickMark val="out"/>
        <c:minorTickMark val="none"/>
        <c:tickLblPos val="nextTo"/>
        <c:crossAx val="197531904"/>
        <c:crosses val="autoZero"/>
        <c:crossBetween val="between"/>
        <c:majorUnit val="5"/>
      </c:valAx>
    </c:plotArea>
    <c:legend>
      <c:legendPos val="r"/>
      <c:layout>
        <c:manualLayout>
          <c:xMode val="edge"/>
          <c:yMode val="edge"/>
          <c:x val="0.82910194678902549"/>
          <c:y val="0.35481731450235388"/>
          <c:w val="0.15650956400234142"/>
          <c:h val="0.31004757738616007"/>
        </c:manualLayout>
      </c:layout>
      <c:overlay val="0"/>
    </c:legend>
    <c:plotVisOnly val="1"/>
    <c:dispBlanksAs val="gap"/>
    <c:showDLblsOverMax val="0"/>
  </c:chart>
  <c:txPr>
    <a:bodyPr/>
    <a:lstStyle/>
    <a:p>
      <a:pPr>
        <a:defRPr sz="1100" baseline="0"/>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78046410407019"/>
          <c:y val="8.5641060015219664E-2"/>
          <c:w val="0.78030223063305537"/>
          <c:h val="0.65336902992283696"/>
        </c:manualLayout>
      </c:layout>
      <c:lineChart>
        <c:grouping val="standard"/>
        <c:varyColors val="0"/>
        <c:ser>
          <c:idx val="1"/>
          <c:order val="0"/>
          <c:tx>
            <c:strRef>
              <c:f>Ratios!$O$31</c:f>
              <c:strCache>
                <c:ptCount val="1"/>
                <c:pt idx="0">
                  <c:v>Scenario 1</c:v>
                </c:pt>
              </c:strCache>
            </c:strRef>
          </c:tx>
          <c:spPr>
            <a:ln>
              <a:solidFill>
                <a:schemeClr val="accent3"/>
              </a:solidFill>
            </a:ln>
          </c:spPr>
          <c:marker>
            <c:symbol val="circle"/>
            <c:size val="5"/>
            <c:spPr>
              <a:solidFill>
                <a:schemeClr val="accent3"/>
              </a:solidFill>
              <a:ln>
                <a:solidFill>
                  <a:schemeClr val="accent3"/>
                </a:solidFill>
              </a:ln>
            </c:spPr>
          </c:marker>
          <c:cat>
            <c:strRef>
              <c:f>Ratios!$P$30:$Y$30</c:f>
              <c:strCache>
                <c:ptCount val="10"/>
                <c:pt idx="0">
                  <c:v>14/15</c:v>
                </c:pt>
                <c:pt idx="1">
                  <c:v>15/16</c:v>
                </c:pt>
                <c:pt idx="2">
                  <c:v>16/17</c:v>
                </c:pt>
                <c:pt idx="3">
                  <c:v>17/18</c:v>
                </c:pt>
                <c:pt idx="4">
                  <c:v>18/19</c:v>
                </c:pt>
                <c:pt idx="5">
                  <c:v>19/20</c:v>
                </c:pt>
                <c:pt idx="6">
                  <c:v>20/21</c:v>
                </c:pt>
                <c:pt idx="7">
                  <c:v>21/22</c:v>
                </c:pt>
                <c:pt idx="8">
                  <c:v>22/23</c:v>
                </c:pt>
                <c:pt idx="9">
                  <c:v>23/24</c:v>
                </c:pt>
              </c:strCache>
            </c:strRef>
          </c:cat>
          <c:val>
            <c:numRef>
              <c:f>Ratios!$P$31:$Y$31</c:f>
              <c:numCache>
                <c:formatCode>0.0%</c:formatCode>
                <c:ptCount val="10"/>
                <c:pt idx="0">
                  <c:v>9.6799999999999997E-2</c:v>
                </c:pt>
                <c:pt idx="1">
                  <c:v>9.7799999999999998E-2</c:v>
                </c:pt>
                <c:pt idx="2">
                  <c:v>8.7300000000000003E-2</c:v>
                </c:pt>
                <c:pt idx="3">
                  <c:v>7.8200000000000006E-2</c:v>
                </c:pt>
                <c:pt idx="4">
                  <c:v>6.6799999999999998E-2</c:v>
                </c:pt>
                <c:pt idx="5">
                  <c:v>5.7099999999999998E-2</c:v>
                </c:pt>
                <c:pt idx="6">
                  <c:v>5.2400000000000002E-2</c:v>
                </c:pt>
                <c:pt idx="7">
                  <c:v>5.0299999999999997E-2</c:v>
                </c:pt>
                <c:pt idx="8">
                  <c:v>4.8399999999999999E-2</c:v>
                </c:pt>
                <c:pt idx="9">
                  <c:v>4.2200000000000001E-2</c:v>
                </c:pt>
              </c:numCache>
            </c:numRef>
          </c:val>
          <c:smooth val="0"/>
        </c:ser>
        <c:ser>
          <c:idx val="3"/>
          <c:order val="1"/>
          <c:tx>
            <c:strRef>
              <c:f>Ratios!$O$33</c:f>
              <c:strCache>
                <c:ptCount val="1"/>
                <c:pt idx="0">
                  <c:v>Scenario 3</c:v>
                </c:pt>
              </c:strCache>
            </c:strRef>
          </c:tx>
          <c:spPr>
            <a:ln>
              <a:solidFill>
                <a:srgbClr val="C00000"/>
              </a:solidFill>
            </a:ln>
          </c:spPr>
          <c:marker>
            <c:symbol val="triangle"/>
            <c:size val="5"/>
            <c:spPr>
              <a:solidFill>
                <a:schemeClr val="accent2"/>
              </a:solidFill>
              <a:ln>
                <a:solidFill>
                  <a:srgbClr val="C00000"/>
                </a:solidFill>
              </a:ln>
            </c:spPr>
          </c:marker>
          <c:cat>
            <c:strRef>
              <c:f>Ratios!$P$30:$Y$30</c:f>
              <c:strCache>
                <c:ptCount val="10"/>
                <c:pt idx="0">
                  <c:v>14/15</c:v>
                </c:pt>
                <c:pt idx="1">
                  <c:v>15/16</c:v>
                </c:pt>
                <c:pt idx="2">
                  <c:v>16/17</c:v>
                </c:pt>
                <c:pt idx="3">
                  <c:v>17/18</c:v>
                </c:pt>
                <c:pt idx="4">
                  <c:v>18/19</c:v>
                </c:pt>
                <c:pt idx="5">
                  <c:v>19/20</c:v>
                </c:pt>
                <c:pt idx="6">
                  <c:v>20/21</c:v>
                </c:pt>
                <c:pt idx="7">
                  <c:v>21/22</c:v>
                </c:pt>
                <c:pt idx="8">
                  <c:v>22/23</c:v>
                </c:pt>
                <c:pt idx="9">
                  <c:v>23/24</c:v>
                </c:pt>
              </c:strCache>
            </c:strRef>
          </c:cat>
          <c:val>
            <c:numRef>
              <c:f>Ratios!$P$33:$Y$33</c:f>
              <c:numCache>
                <c:formatCode>0.0%</c:formatCode>
                <c:ptCount val="10"/>
                <c:pt idx="0">
                  <c:v>9.6799999999999997E-2</c:v>
                </c:pt>
                <c:pt idx="1">
                  <c:v>9.9500000000000005E-2</c:v>
                </c:pt>
                <c:pt idx="2">
                  <c:v>9.1800000000000007E-2</c:v>
                </c:pt>
                <c:pt idx="3">
                  <c:v>8.5099999999999995E-2</c:v>
                </c:pt>
                <c:pt idx="4">
                  <c:v>7.5300000000000006E-2</c:v>
                </c:pt>
                <c:pt idx="5">
                  <c:v>6.4399999999999999E-2</c:v>
                </c:pt>
                <c:pt idx="6">
                  <c:v>5.91E-2</c:v>
                </c:pt>
                <c:pt idx="7">
                  <c:v>5.6599999999999998E-2</c:v>
                </c:pt>
                <c:pt idx="8">
                  <c:v>5.45E-2</c:v>
                </c:pt>
                <c:pt idx="9">
                  <c:v>4.7500000000000001E-2</c:v>
                </c:pt>
              </c:numCache>
            </c:numRef>
          </c:val>
          <c:smooth val="0"/>
        </c:ser>
        <c:ser>
          <c:idx val="0"/>
          <c:order val="2"/>
          <c:tx>
            <c:strRef>
              <c:f>Ratios!$O$34</c:f>
              <c:strCache>
                <c:ptCount val="1"/>
                <c:pt idx="0">
                  <c:v>Benchmark.</c:v>
                </c:pt>
              </c:strCache>
            </c:strRef>
          </c:tx>
          <c:spPr>
            <a:ln>
              <a:solidFill>
                <a:schemeClr val="accent4"/>
              </a:solidFill>
            </a:ln>
          </c:spPr>
          <c:marker>
            <c:symbol val="square"/>
            <c:size val="5"/>
            <c:spPr>
              <a:solidFill>
                <a:schemeClr val="accent4"/>
              </a:solidFill>
              <a:ln>
                <a:solidFill>
                  <a:schemeClr val="accent4"/>
                </a:solidFill>
              </a:ln>
            </c:spPr>
          </c:marker>
          <c:cat>
            <c:strRef>
              <c:f>Ratios!$P$30:$Y$30</c:f>
              <c:strCache>
                <c:ptCount val="10"/>
                <c:pt idx="0">
                  <c:v>14/15</c:v>
                </c:pt>
                <c:pt idx="1">
                  <c:v>15/16</c:v>
                </c:pt>
                <c:pt idx="2">
                  <c:v>16/17</c:v>
                </c:pt>
                <c:pt idx="3">
                  <c:v>17/18</c:v>
                </c:pt>
                <c:pt idx="4">
                  <c:v>18/19</c:v>
                </c:pt>
                <c:pt idx="5">
                  <c:v>19/20</c:v>
                </c:pt>
                <c:pt idx="6">
                  <c:v>20/21</c:v>
                </c:pt>
                <c:pt idx="7">
                  <c:v>21/22</c:v>
                </c:pt>
                <c:pt idx="8">
                  <c:v>22/23</c:v>
                </c:pt>
                <c:pt idx="9">
                  <c:v>23/24</c:v>
                </c:pt>
              </c:strCache>
            </c:strRef>
          </c:cat>
          <c:val>
            <c:numRef>
              <c:f>Ratios!$P$34:$Y$34</c:f>
              <c:numCache>
                <c:formatCode>0.0%</c:formatCode>
                <c:ptCount val="10"/>
                <c:pt idx="0">
                  <c:v>0.1</c:v>
                </c:pt>
                <c:pt idx="1">
                  <c:v>0.1</c:v>
                </c:pt>
                <c:pt idx="2">
                  <c:v>0.1</c:v>
                </c:pt>
                <c:pt idx="3">
                  <c:v>0.1</c:v>
                </c:pt>
                <c:pt idx="4">
                  <c:v>0.1</c:v>
                </c:pt>
                <c:pt idx="5">
                  <c:v>0.1</c:v>
                </c:pt>
                <c:pt idx="6">
                  <c:v>0.1</c:v>
                </c:pt>
                <c:pt idx="7">
                  <c:v>0.1</c:v>
                </c:pt>
                <c:pt idx="8">
                  <c:v>0.1</c:v>
                </c:pt>
                <c:pt idx="9">
                  <c:v>0.1</c:v>
                </c:pt>
              </c:numCache>
            </c:numRef>
          </c:val>
          <c:smooth val="0"/>
        </c:ser>
        <c:dLbls>
          <c:showLegendKey val="0"/>
          <c:showVal val="0"/>
          <c:showCatName val="0"/>
          <c:showSerName val="0"/>
          <c:showPercent val="0"/>
          <c:showBubbleSize val="0"/>
        </c:dLbls>
        <c:marker val="1"/>
        <c:smooth val="0"/>
        <c:axId val="201372416"/>
        <c:axId val="201374336"/>
      </c:lineChart>
      <c:catAx>
        <c:axId val="201372416"/>
        <c:scaling>
          <c:orientation val="minMax"/>
        </c:scaling>
        <c:delete val="0"/>
        <c:axPos val="b"/>
        <c:numFmt formatCode="General" sourceLinked="1"/>
        <c:majorTickMark val="none"/>
        <c:minorTickMark val="none"/>
        <c:tickLblPos val="nextTo"/>
        <c:crossAx val="201374336"/>
        <c:crosses val="autoZero"/>
        <c:auto val="1"/>
        <c:lblAlgn val="ctr"/>
        <c:lblOffset val="100"/>
        <c:noMultiLvlLbl val="0"/>
      </c:catAx>
      <c:valAx>
        <c:axId val="201374336"/>
        <c:scaling>
          <c:orientation val="minMax"/>
          <c:max val="0.10500000000000001"/>
          <c:min val="4.0000000000000008E-2"/>
        </c:scaling>
        <c:delete val="0"/>
        <c:axPos val="l"/>
        <c:majorGridlines/>
        <c:title>
          <c:tx>
            <c:rich>
              <a:bodyPr rot="-5400000" vert="horz"/>
              <a:lstStyle/>
              <a:p>
                <a:pPr>
                  <a:defRPr/>
                </a:pPr>
                <a:r>
                  <a:rPr lang="en-AU"/>
                  <a:t>Percent</a:t>
                </a:r>
              </a:p>
            </c:rich>
          </c:tx>
          <c:layout/>
          <c:overlay val="0"/>
        </c:title>
        <c:numFmt formatCode="0.0%" sourceLinked="1"/>
        <c:majorTickMark val="none"/>
        <c:minorTickMark val="none"/>
        <c:tickLblPos val="nextTo"/>
        <c:spPr>
          <a:ln w="9525">
            <a:noFill/>
          </a:ln>
        </c:spPr>
        <c:crossAx val="201372416"/>
        <c:crosses val="autoZero"/>
        <c:crossBetween val="between"/>
      </c:valAx>
    </c:plotArea>
    <c:legend>
      <c:legendPos val="b"/>
      <c:layout/>
      <c:overlay val="0"/>
    </c:legend>
    <c:plotVisOnly val="1"/>
    <c:dispBlanksAs val="gap"/>
    <c:showDLblsOverMax val="0"/>
  </c:chart>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702304653778744"/>
          <c:y val="0.1606182776136347"/>
          <c:w val="0.7945602753045633"/>
          <c:h val="0.64206493596803171"/>
        </c:manualLayout>
      </c:layout>
      <c:lineChart>
        <c:grouping val="standard"/>
        <c:varyColors val="0"/>
        <c:ser>
          <c:idx val="1"/>
          <c:order val="0"/>
          <c:tx>
            <c:strRef>
              <c:f>Ratios!$BK$31</c:f>
              <c:strCache>
                <c:ptCount val="1"/>
                <c:pt idx="0">
                  <c:v>Scenario 1</c:v>
                </c:pt>
              </c:strCache>
            </c:strRef>
          </c:tx>
          <c:spPr>
            <a:ln>
              <a:solidFill>
                <a:schemeClr val="accent3"/>
              </a:solidFill>
            </a:ln>
          </c:spPr>
          <c:marker>
            <c:symbol val="circle"/>
            <c:size val="5"/>
            <c:spPr>
              <a:solidFill>
                <a:schemeClr val="accent3"/>
              </a:solidFill>
              <a:ln>
                <a:solidFill>
                  <a:schemeClr val="accent3"/>
                </a:solidFill>
              </a:ln>
            </c:spPr>
          </c:marker>
          <c:cat>
            <c:strRef>
              <c:f>Ratios!$AZ$30:$BI$30</c:f>
              <c:strCache>
                <c:ptCount val="10"/>
                <c:pt idx="0">
                  <c:v>14/15</c:v>
                </c:pt>
                <c:pt idx="1">
                  <c:v>15/16</c:v>
                </c:pt>
                <c:pt idx="2">
                  <c:v>16/17</c:v>
                </c:pt>
                <c:pt idx="3">
                  <c:v>17/18</c:v>
                </c:pt>
                <c:pt idx="4">
                  <c:v>18/19</c:v>
                </c:pt>
                <c:pt idx="5">
                  <c:v>19/20</c:v>
                </c:pt>
                <c:pt idx="6">
                  <c:v>20/21</c:v>
                </c:pt>
                <c:pt idx="7">
                  <c:v>21/22</c:v>
                </c:pt>
                <c:pt idx="8">
                  <c:v>22/23</c:v>
                </c:pt>
                <c:pt idx="9">
                  <c:v>23/24</c:v>
                </c:pt>
              </c:strCache>
            </c:strRef>
          </c:cat>
          <c:val>
            <c:numRef>
              <c:f>Ratios!$BL$31:$BU$31</c:f>
              <c:numCache>
                <c:formatCode>0.0%</c:formatCode>
                <c:ptCount val="10"/>
                <c:pt idx="0">
                  <c:v>0.60599999999999998</c:v>
                </c:pt>
                <c:pt idx="1">
                  <c:v>0.63800000000000001</c:v>
                </c:pt>
                <c:pt idx="2">
                  <c:v>0.65300000000000002</c:v>
                </c:pt>
                <c:pt idx="3">
                  <c:v>0.66700000000000004</c:v>
                </c:pt>
                <c:pt idx="4">
                  <c:v>0.68</c:v>
                </c:pt>
                <c:pt idx="5">
                  <c:v>0.68300000000000005</c:v>
                </c:pt>
                <c:pt idx="6">
                  <c:v>0.68400000000000005</c:v>
                </c:pt>
                <c:pt idx="7">
                  <c:v>0.68600000000000005</c:v>
                </c:pt>
                <c:pt idx="8">
                  <c:v>0.68700000000000006</c:v>
                </c:pt>
                <c:pt idx="9">
                  <c:v>0.68799999999999994</c:v>
                </c:pt>
              </c:numCache>
            </c:numRef>
          </c:val>
          <c:smooth val="0"/>
        </c:ser>
        <c:ser>
          <c:idx val="0"/>
          <c:order val="1"/>
          <c:tx>
            <c:strRef>
              <c:f>Ratios!$BK$33</c:f>
              <c:strCache>
                <c:ptCount val="1"/>
                <c:pt idx="0">
                  <c:v>Scenario 3</c:v>
                </c:pt>
              </c:strCache>
            </c:strRef>
          </c:tx>
          <c:spPr>
            <a:ln>
              <a:solidFill>
                <a:schemeClr val="accent2"/>
              </a:solidFill>
            </a:ln>
          </c:spPr>
          <c:marker>
            <c:symbol val="triangle"/>
            <c:size val="5"/>
            <c:spPr>
              <a:solidFill>
                <a:srgbClr val="C00000"/>
              </a:solidFill>
              <a:ln>
                <a:solidFill>
                  <a:schemeClr val="accent2"/>
                </a:solidFill>
              </a:ln>
            </c:spPr>
          </c:marker>
          <c:cat>
            <c:strRef>
              <c:f>Ratios!$AZ$30:$BI$30</c:f>
              <c:strCache>
                <c:ptCount val="10"/>
                <c:pt idx="0">
                  <c:v>14/15</c:v>
                </c:pt>
                <c:pt idx="1">
                  <c:v>15/16</c:v>
                </c:pt>
                <c:pt idx="2">
                  <c:v>16/17</c:v>
                </c:pt>
                <c:pt idx="3">
                  <c:v>17/18</c:v>
                </c:pt>
                <c:pt idx="4">
                  <c:v>18/19</c:v>
                </c:pt>
                <c:pt idx="5">
                  <c:v>19/20</c:v>
                </c:pt>
                <c:pt idx="6">
                  <c:v>20/21</c:v>
                </c:pt>
                <c:pt idx="7">
                  <c:v>21/22</c:v>
                </c:pt>
                <c:pt idx="8">
                  <c:v>22/23</c:v>
                </c:pt>
                <c:pt idx="9">
                  <c:v>23/24</c:v>
                </c:pt>
              </c:strCache>
            </c:strRef>
          </c:cat>
          <c:val>
            <c:numRef>
              <c:f>Ratios!$BL$33:$BU$33</c:f>
              <c:numCache>
                <c:formatCode>0.0%</c:formatCode>
                <c:ptCount val="10"/>
                <c:pt idx="0">
                  <c:v>0.60599999999999998</c:v>
                </c:pt>
                <c:pt idx="1">
                  <c:v>0.63100000000000001</c:v>
                </c:pt>
                <c:pt idx="2">
                  <c:v>0.63600000000000001</c:v>
                </c:pt>
                <c:pt idx="3">
                  <c:v>0.63800000000000001</c:v>
                </c:pt>
                <c:pt idx="4">
                  <c:v>0.64100000000000001</c:v>
                </c:pt>
                <c:pt idx="5">
                  <c:v>0.64400000000000002</c:v>
                </c:pt>
                <c:pt idx="6">
                  <c:v>0.64600000000000002</c:v>
                </c:pt>
                <c:pt idx="7">
                  <c:v>0.64700000000000002</c:v>
                </c:pt>
                <c:pt idx="8">
                  <c:v>0.64900000000000002</c:v>
                </c:pt>
                <c:pt idx="9">
                  <c:v>0.64900000000000002</c:v>
                </c:pt>
              </c:numCache>
            </c:numRef>
          </c:val>
          <c:smooth val="0"/>
        </c:ser>
        <c:ser>
          <c:idx val="3"/>
          <c:order val="2"/>
          <c:tx>
            <c:strRef>
              <c:f>Ratios!$BK$34</c:f>
              <c:strCache>
                <c:ptCount val="1"/>
                <c:pt idx="0">
                  <c:v>Benchmark </c:v>
                </c:pt>
              </c:strCache>
            </c:strRef>
          </c:tx>
          <c:spPr>
            <a:ln>
              <a:solidFill>
                <a:schemeClr val="accent4"/>
              </a:solidFill>
            </a:ln>
          </c:spPr>
          <c:marker>
            <c:symbol val="square"/>
            <c:size val="5"/>
            <c:spPr>
              <a:solidFill>
                <a:schemeClr val="accent4"/>
              </a:solidFill>
            </c:spPr>
          </c:marker>
          <c:cat>
            <c:strRef>
              <c:f>Ratios!$AZ$30:$BI$30</c:f>
              <c:strCache>
                <c:ptCount val="10"/>
                <c:pt idx="0">
                  <c:v>14/15</c:v>
                </c:pt>
                <c:pt idx="1">
                  <c:v>15/16</c:v>
                </c:pt>
                <c:pt idx="2">
                  <c:v>16/17</c:v>
                </c:pt>
                <c:pt idx="3">
                  <c:v>17/18</c:v>
                </c:pt>
                <c:pt idx="4">
                  <c:v>18/19</c:v>
                </c:pt>
                <c:pt idx="5">
                  <c:v>19/20</c:v>
                </c:pt>
                <c:pt idx="6">
                  <c:v>20/21</c:v>
                </c:pt>
                <c:pt idx="7">
                  <c:v>21/22</c:v>
                </c:pt>
                <c:pt idx="8">
                  <c:v>22/23</c:v>
                </c:pt>
                <c:pt idx="9">
                  <c:v>23/24</c:v>
                </c:pt>
              </c:strCache>
            </c:strRef>
          </c:cat>
          <c:val>
            <c:numRef>
              <c:f>Ratios!$BL$34:$BU$34</c:f>
              <c:numCache>
                <c:formatCode>0.0%</c:formatCode>
                <c:ptCount val="10"/>
                <c:pt idx="0">
                  <c:v>0.4</c:v>
                </c:pt>
                <c:pt idx="1">
                  <c:v>0.4</c:v>
                </c:pt>
                <c:pt idx="2">
                  <c:v>0.4</c:v>
                </c:pt>
                <c:pt idx="3">
                  <c:v>0.4</c:v>
                </c:pt>
                <c:pt idx="4">
                  <c:v>0.4</c:v>
                </c:pt>
                <c:pt idx="5">
                  <c:v>0.4</c:v>
                </c:pt>
                <c:pt idx="6">
                  <c:v>0.4</c:v>
                </c:pt>
                <c:pt idx="7">
                  <c:v>0.4</c:v>
                </c:pt>
                <c:pt idx="8">
                  <c:v>0.4</c:v>
                </c:pt>
                <c:pt idx="9">
                  <c:v>0.4</c:v>
                </c:pt>
              </c:numCache>
            </c:numRef>
          </c:val>
          <c:smooth val="0"/>
        </c:ser>
        <c:dLbls>
          <c:showLegendKey val="0"/>
          <c:showVal val="0"/>
          <c:showCatName val="0"/>
          <c:showSerName val="0"/>
          <c:showPercent val="0"/>
          <c:showBubbleSize val="0"/>
        </c:dLbls>
        <c:marker val="1"/>
        <c:smooth val="0"/>
        <c:axId val="201621888"/>
        <c:axId val="201623808"/>
      </c:lineChart>
      <c:catAx>
        <c:axId val="201621888"/>
        <c:scaling>
          <c:orientation val="minMax"/>
        </c:scaling>
        <c:delete val="0"/>
        <c:axPos val="b"/>
        <c:numFmt formatCode="General" sourceLinked="1"/>
        <c:majorTickMark val="none"/>
        <c:minorTickMark val="none"/>
        <c:tickLblPos val="low"/>
        <c:crossAx val="201623808"/>
        <c:crossesAt val="0"/>
        <c:auto val="1"/>
        <c:lblAlgn val="ctr"/>
        <c:lblOffset val="100"/>
        <c:noMultiLvlLbl val="0"/>
      </c:catAx>
      <c:valAx>
        <c:axId val="201623808"/>
        <c:scaling>
          <c:orientation val="minMax"/>
          <c:max val="0.70000000000000007"/>
          <c:min val="0.4"/>
        </c:scaling>
        <c:delete val="0"/>
        <c:axPos val="l"/>
        <c:majorGridlines/>
        <c:title>
          <c:tx>
            <c:rich>
              <a:bodyPr rot="-5400000" vert="horz"/>
              <a:lstStyle/>
              <a:p>
                <a:pPr>
                  <a:defRPr/>
                </a:pPr>
                <a:r>
                  <a:rPr lang="en-AU"/>
                  <a:t>Percent</a:t>
                </a:r>
              </a:p>
            </c:rich>
          </c:tx>
          <c:layout/>
          <c:overlay val="0"/>
        </c:title>
        <c:numFmt formatCode="0.0%" sourceLinked="1"/>
        <c:majorTickMark val="none"/>
        <c:minorTickMark val="none"/>
        <c:tickLblPos val="nextTo"/>
        <c:spPr>
          <a:ln w="9525">
            <a:noFill/>
          </a:ln>
        </c:spPr>
        <c:crossAx val="201621888"/>
        <c:crosses val="autoZero"/>
        <c:crossBetween val="between"/>
      </c:valAx>
    </c:plotArea>
    <c:legend>
      <c:legendPos val="b"/>
      <c:layout/>
      <c:overlay val="0"/>
    </c:legend>
    <c:plotVisOnly val="1"/>
    <c:dispBlanksAs val="gap"/>
    <c:showDLblsOverMax val="0"/>
  </c:chart>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25215778355775"/>
          <c:y val="0.14890836596196955"/>
          <c:w val="0.85431416300757357"/>
          <c:h val="0.66581315549963049"/>
        </c:manualLayout>
      </c:layout>
      <c:lineChart>
        <c:grouping val="standard"/>
        <c:varyColors val="0"/>
        <c:ser>
          <c:idx val="1"/>
          <c:order val="0"/>
          <c:tx>
            <c:strRef>
              <c:f>Ratios!$AA$31</c:f>
              <c:strCache>
                <c:ptCount val="1"/>
                <c:pt idx="0">
                  <c:v>Scenario 1</c:v>
                </c:pt>
              </c:strCache>
            </c:strRef>
          </c:tx>
          <c:spPr>
            <a:ln>
              <a:solidFill>
                <a:schemeClr val="accent3"/>
              </a:solidFill>
            </a:ln>
          </c:spPr>
          <c:marker>
            <c:symbol val="circle"/>
            <c:size val="5"/>
            <c:spPr>
              <a:solidFill>
                <a:schemeClr val="accent3"/>
              </a:solidFill>
              <a:ln>
                <a:solidFill>
                  <a:schemeClr val="accent3"/>
                </a:solidFill>
              </a:ln>
            </c:spPr>
          </c:marker>
          <c:cat>
            <c:strRef>
              <c:f>Ratios!$P$30:$Y$30</c:f>
              <c:strCache>
                <c:ptCount val="10"/>
                <c:pt idx="0">
                  <c:v>14/15</c:v>
                </c:pt>
                <c:pt idx="1">
                  <c:v>15/16</c:v>
                </c:pt>
                <c:pt idx="2">
                  <c:v>16/17</c:v>
                </c:pt>
                <c:pt idx="3">
                  <c:v>17/18</c:v>
                </c:pt>
                <c:pt idx="4">
                  <c:v>18/19</c:v>
                </c:pt>
                <c:pt idx="5">
                  <c:v>19/20</c:v>
                </c:pt>
                <c:pt idx="6">
                  <c:v>20/21</c:v>
                </c:pt>
                <c:pt idx="7">
                  <c:v>21/22</c:v>
                </c:pt>
                <c:pt idx="8">
                  <c:v>22/23</c:v>
                </c:pt>
                <c:pt idx="9">
                  <c:v>23/24</c:v>
                </c:pt>
              </c:strCache>
            </c:strRef>
          </c:cat>
          <c:val>
            <c:numRef>
              <c:f>Ratios!$AB$31:$AK$31</c:f>
              <c:numCache>
                <c:formatCode>0.0%</c:formatCode>
                <c:ptCount val="10"/>
                <c:pt idx="0">
                  <c:v>4.0939999999999997E-2</c:v>
                </c:pt>
                <c:pt idx="1">
                  <c:v>4.0890000000000003E-2</c:v>
                </c:pt>
                <c:pt idx="2">
                  <c:v>4.0930000000000001E-2</c:v>
                </c:pt>
                <c:pt idx="3">
                  <c:v>4.0939999999999997E-2</c:v>
                </c:pt>
                <c:pt idx="4">
                  <c:v>4.1000000000000002E-2</c:v>
                </c:pt>
                <c:pt idx="5">
                  <c:v>4.0939999999999997E-2</c:v>
                </c:pt>
                <c:pt idx="6">
                  <c:v>4.0939999999999997E-2</c:v>
                </c:pt>
                <c:pt idx="7">
                  <c:v>4.0939999999999997E-2</c:v>
                </c:pt>
                <c:pt idx="8">
                  <c:v>4.0939999999999997E-2</c:v>
                </c:pt>
                <c:pt idx="9">
                  <c:v>4.0930000000000001E-2</c:v>
                </c:pt>
              </c:numCache>
            </c:numRef>
          </c:val>
          <c:smooth val="0"/>
        </c:ser>
        <c:ser>
          <c:idx val="2"/>
          <c:order val="1"/>
          <c:tx>
            <c:strRef>
              <c:f>Ratios!$AA$32</c:f>
              <c:strCache>
                <c:ptCount val="1"/>
                <c:pt idx="0">
                  <c:v>Scenario 2</c:v>
                </c:pt>
              </c:strCache>
            </c:strRef>
          </c:tx>
          <c:spPr>
            <a:ln>
              <a:solidFill>
                <a:schemeClr val="accent1"/>
              </a:solidFill>
            </a:ln>
          </c:spPr>
          <c:marker>
            <c:symbol val="diamond"/>
            <c:size val="5"/>
            <c:spPr>
              <a:solidFill>
                <a:schemeClr val="accent1"/>
              </a:solidFill>
              <a:ln>
                <a:solidFill>
                  <a:schemeClr val="accent1"/>
                </a:solidFill>
              </a:ln>
            </c:spPr>
          </c:marker>
          <c:cat>
            <c:strRef>
              <c:f>Ratios!$P$30:$Y$30</c:f>
              <c:strCache>
                <c:ptCount val="10"/>
                <c:pt idx="0">
                  <c:v>14/15</c:v>
                </c:pt>
                <c:pt idx="1">
                  <c:v>15/16</c:v>
                </c:pt>
                <c:pt idx="2">
                  <c:v>16/17</c:v>
                </c:pt>
                <c:pt idx="3">
                  <c:v>17/18</c:v>
                </c:pt>
                <c:pt idx="4">
                  <c:v>18/19</c:v>
                </c:pt>
                <c:pt idx="5">
                  <c:v>19/20</c:v>
                </c:pt>
                <c:pt idx="6">
                  <c:v>20/21</c:v>
                </c:pt>
                <c:pt idx="7">
                  <c:v>21/22</c:v>
                </c:pt>
                <c:pt idx="8">
                  <c:v>22/23</c:v>
                </c:pt>
                <c:pt idx="9">
                  <c:v>23/24</c:v>
                </c:pt>
              </c:strCache>
            </c:strRef>
          </c:cat>
          <c:val>
            <c:numRef>
              <c:f>Ratios!$AB$32:$AK$32</c:f>
              <c:numCache>
                <c:formatCode>0.0%</c:formatCode>
                <c:ptCount val="10"/>
                <c:pt idx="0">
                  <c:v>4.0939999999999997E-2</c:v>
                </c:pt>
                <c:pt idx="1">
                  <c:v>4.0930000000000001E-2</c:v>
                </c:pt>
                <c:pt idx="2">
                  <c:v>4.1000000000000002E-2</c:v>
                </c:pt>
                <c:pt idx="3">
                  <c:v>4.1000000000000002E-2</c:v>
                </c:pt>
                <c:pt idx="4">
                  <c:v>4.1000000000000002E-2</c:v>
                </c:pt>
                <c:pt idx="5">
                  <c:v>4.095E-2</c:v>
                </c:pt>
                <c:pt idx="6">
                  <c:v>4.095E-2</c:v>
                </c:pt>
                <c:pt idx="7">
                  <c:v>4.095E-2</c:v>
                </c:pt>
                <c:pt idx="8">
                  <c:v>4.095E-2</c:v>
                </c:pt>
                <c:pt idx="9">
                  <c:v>4.0939999999999997E-2</c:v>
                </c:pt>
              </c:numCache>
            </c:numRef>
          </c:val>
          <c:smooth val="0"/>
        </c:ser>
        <c:ser>
          <c:idx val="3"/>
          <c:order val="2"/>
          <c:tx>
            <c:strRef>
              <c:f>Ratios!$AA$33</c:f>
              <c:strCache>
                <c:ptCount val="1"/>
                <c:pt idx="0">
                  <c:v>Scenario 3</c:v>
                </c:pt>
              </c:strCache>
            </c:strRef>
          </c:tx>
          <c:spPr>
            <a:ln>
              <a:solidFill>
                <a:schemeClr val="accent2"/>
              </a:solidFill>
            </a:ln>
          </c:spPr>
          <c:marker>
            <c:symbol val="triangle"/>
            <c:size val="5"/>
            <c:spPr>
              <a:solidFill>
                <a:schemeClr val="accent2"/>
              </a:solidFill>
              <a:ln>
                <a:solidFill>
                  <a:schemeClr val="accent2"/>
                </a:solidFill>
              </a:ln>
            </c:spPr>
          </c:marker>
          <c:cat>
            <c:strRef>
              <c:f>Ratios!$P$30:$Y$30</c:f>
              <c:strCache>
                <c:ptCount val="10"/>
                <c:pt idx="0">
                  <c:v>14/15</c:v>
                </c:pt>
                <c:pt idx="1">
                  <c:v>15/16</c:v>
                </c:pt>
                <c:pt idx="2">
                  <c:v>16/17</c:v>
                </c:pt>
                <c:pt idx="3">
                  <c:v>17/18</c:v>
                </c:pt>
                <c:pt idx="4">
                  <c:v>18/19</c:v>
                </c:pt>
                <c:pt idx="5">
                  <c:v>19/20</c:v>
                </c:pt>
                <c:pt idx="6">
                  <c:v>20/21</c:v>
                </c:pt>
                <c:pt idx="7">
                  <c:v>21/22</c:v>
                </c:pt>
                <c:pt idx="8">
                  <c:v>22/23</c:v>
                </c:pt>
                <c:pt idx="9">
                  <c:v>23/24</c:v>
                </c:pt>
              </c:strCache>
            </c:strRef>
          </c:cat>
          <c:val>
            <c:numRef>
              <c:f>Ratios!$AB$33:$AK$33</c:f>
              <c:numCache>
                <c:formatCode>0.0%</c:formatCode>
                <c:ptCount val="10"/>
                <c:pt idx="0">
                  <c:v>4.0939999999999997E-2</c:v>
                </c:pt>
                <c:pt idx="1">
                  <c:v>4.0930000000000001E-2</c:v>
                </c:pt>
                <c:pt idx="2">
                  <c:v>4.1000000000000002E-2</c:v>
                </c:pt>
                <c:pt idx="3">
                  <c:v>4.1000000000000002E-2</c:v>
                </c:pt>
                <c:pt idx="4">
                  <c:v>4.1000000000000002E-2</c:v>
                </c:pt>
                <c:pt idx="5">
                  <c:v>4.095E-2</c:v>
                </c:pt>
                <c:pt idx="6">
                  <c:v>4.095E-2</c:v>
                </c:pt>
                <c:pt idx="7">
                  <c:v>4.0960000000000003E-2</c:v>
                </c:pt>
                <c:pt idx="8">
                  <c:v>4.0960000000000003E-2</c:v>
                </c:pt>
                <c:pt idx="9">
                  <c:v>4.095E-2</c:v>
                </c:pt>
              </c:numCache>
            </c:numRef>
          </c:val>
          <c:smooth val="0"/>
        </c:ser>
        <c:ser>
          <c:idx val="0"/>
          <c:order val="3"/>
          <c:tx>
            <c:strRef>
              <c:f>Ratios!$AA$34</c:f>
              <c:strCache>
                <c:ptCount val="1"/>
                <c:pt idx="0">
                  <c:v>Benchmark </c:v>
                </c:pt>
              </c:strCache>
            </c:strRef>
          </c:tx>
          <c:spPr>
            <a:ln w="38100">
              <a:solidFill>
                <a:schemeClr val="accent4"/>
              </a:solidFill>
            </a:ln>
          </c:spPr>
          <c:marker>
            <c:symbol val="square"/>
            <c:size val="5"/>
            <c:spPr>
              <a:solidFill>
                <a:schemeClr val="accent4"/>
              </a:solidFill>
              <a:ln>
                <a:solidFill>
                  <a:schemeClr val="accent4"/>
                </a:solidFill>
              </a:ln>
            </c:spPr>
          </c:marker>
          <c:cat>
            <c:strRef>
              <c:f>Ratios!$P$30:$Y$30</c:f>
              <c:strCache>
                <c:ptCount val="10"/>
                <c:pt idx="0">
                  <c:v>14/15</c:v>
                </c:pt>
                <c:pt idx="1">
                  <c:v>15/16</c:v>
                </c:pt>
                <c:pt idx="2">
                  <c:v>16/17</c:v>
                </c:pt>
                <c:pt idx="3">
                  <c:v>17/18</c:v>
                </c:pt>
                <c:pt idx="4">
                  <c:v>18/19</c:v>
                </c:pt>
                <c:pt idx="5">
                  <c:v>19/20</c:v>
                </c:pt>
                <c:pt idx="6">
                  <c:v>20/21</c:v>
                </c:pt>
                <c:pt idx="7">
                  <c:v>21/22</c:v>
                </c:pt>
                <c:pt idx="8">
                  <c:v>22/23</c:v>
                </c:pt>
                <c:pt idx="9">
                  <c:v>23/24</c:v>
                </c:pt>
              </c:strCache>
            </c:strRef>
          </c:cat>
          <c:val>
            <c:numRef>
              <c:f>Ratios!$AB$34:$AK$34</c:f>
              <c:numCache>
                <c:formatCode>0.0%</c:formatCode>
                <c:ptCount val="10"/>
                <c:pt idx="0">
                  <c:v>0.05</c:v>
                </c:pt>
                <c:pt idx="1">
                  <c:v>0.05</c:v>
                </c:pt>
                <c:pt idx="2">
                  <c:v>0.05</c:v>
                </c:pt>
                <c:pt idx="3">
                  <c:v>0.05</c:v>
                </c:pt>
                <c:pt idx="4">
                  <c:v>0.05</c:v>
                </c:pt>
                <c:pt idx="5">
                  <c:v>0.05</c:v>
                </c:pt>
                <c:pt idx="6">
                  <c:v>0.05</c:v>
                </c:pt>
                <c:pt idx="7">
                  <c:v>0.05</c:v>
                </c:pt>
                <c:pt idx="8">
                  <c:v>0.05</c:v>
                </c:pt>
                <c:pt idx="9">
                  <c:v>0.05</c:v>
                </c:pt>
              </c:numCache>
            </c:numRef>
          </c:val>
          <c:smooth val="0"/>
        </c:ser>
        <c:dLbls>
          <c:showLegendKey val="0"/>
          <c:showVal val="0"/>
          <c:showCatName val="0"/>
          <c:showSerName val="0"/>
          <c:showPercent val="0"/>
          <c:showBubbleSize val="0"/>
        </c:dLbls>
        <c:marker val="1"/>
        <c:smooth val="0"/>
        <c:axId val="201929472"/>
        <c:axId val="201931392"/>
      </c:lineChart>
      <c:catAx>
        <c:axId val="201929472"/>
        <c:scaling>
          <c:orientation val="minMax"/>
        </c:scaling>
        <c:delete val="0"/>
        <c:axPos val="b"/>
        <c:numFmt formatCode="General" sourceLinked="1"/>
        <c:majorTickMark val="none"/>
        <c:minorTickMark val="none"/>
        <c:tickLblPos val="nextTo"/>
        <c:crossAx val="201931392"/>
        <c:crosses val="autoZero"/>
        <c:auto val="1"/>
        <c:lblAlgn val="ctr"/>
        <c:lblOffset val="100"/>
        <c:noMultiLvlLbl val="0"/>
      </c:catAx>
      <c:valAx>
        <c:axId val="201931392"/>
        <c:scaling>
          <c:orientation val="minMax"/>
          <c:max val="5.000000000000001E-2"/>
          <c:min val="4.0000000000000008E-2"/>
        </c:scaling>
        <c:delete val="0"/>
        <c:axPos val="l"/>
        <c:majorGridlines/>
        <c:title>
          <c:tx>
            <c:rich>
              <a:bodyPr rot="-5400000" vert="horz"/>
              <a:lstStyle/>
              <a:p>
                <a:pPr>
                  <a:defRPr/>
                </a:pPr>
                <a:r>
                  <a:rPr lang="en-US"/>
                  <a:t>Percent</a:t>
                </a:r>
              </a:p>
            </c:rich>
          </c:tx>
          <c:layout/>
          <c:overlay val="0"/>
        </c:title>
        <c:numFmt formatCode="0.0%" sourceLinked="1"/>
        <c:majorTickMark val="none"/>
        <c:minorTickMark val="none"/>
        <c:tickLblPos val="nextTo"/>
        <c:spPr>
          <a:ln w="9525">
            <a:noFill/>
          </a:ln>
        </c:spPr>
        <c:crossAx val="201929472"/>
        <c:crosses val="autoZero"/>
        <c:crossBetween val="between"/>
      </c:valAx>
    </c:plotArea>
    <c:legend>
      <c:legendPos val="b"/>
      <c:legendEntry>
        <c:idx val="1"/>
        <c:delete val="1"/>
      </c:legendEntry>
      <c:layout>
        <c:manualLayout>
          <c:xMode val="edge"/>
          <c:yMode val="edge"/>
          <c:x val="0.13997889798658888"/>
          <c:y val="0.909494927998865"/>
          <c:w val="0.72004220402682217"/>
          <c:h val="9.0505072001134987E-2"/>
        </c:manualLayout>
      </c:layout>
      <c:overlay val="0"/>
    </c:legend>
    <c:plotVisOnly val="1"/>
    <c:dispBlanksAs val="gap"/>
    <c:showDLblsOverMax val="0"/>
  </c:chart>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28510208347852"/>
          <c:y val="0.15728819051954615"/>
          <c:w val="0.84437861473068077"/>
          <c:h val="0.60197409792173817"/>
        </c:manualLayout>
      </c:layout>
      <c:lineChart>
        <c:grouping val="standard"/>
        <c:varyColors val="0"/>
        <c:ser>
          <c:idx val="1"/>
          <c:order val="0"/>
          <c:tx>
            <c:strRef>
              <c:f>Ratios!$AY$31</c:f>
              <c:strCache>
                <c:ptCount val="1"/>
                <c:pt idx="0">
                  <c:v>Scenario 1</c:v>
                </c:pt>
              </c:strCache>
            </c:strRef>
          </c:tx>
          <c:spPr>
            <a:ln>
              <a:solidFill>
                <a:schemeClr val="accent3"/>
              </a:solidFill>
            </a:ln>
          </c:spPr>
          <c:marker>
            <c:symbol val="circle"/>
            <c:size val="5"/>
            <c:spPr>
              <a:solidFill>
                <a:schemeClr val="accent3"/>
              </a:solidFill>
              <a:ln>
                <a:solidFill>
                  <a:schemeClr val="accent3"/>
                </a:solidFill>
              </a:ln>
            </c:spPr>
          </c:marker>
          <c:cat>
            <c:strRef>
              <c:f>Ratios!$AZ$30:$BI$30</c:f>
              <c:strCache>
                <c:ptCount val="10"/>
                <c:pt idx="0">
                  <c:v>14/15</c:v>
                </c:pt>
                <c:pt idx="1">
                  <c:v>15/16</c:v>
                </c:pt>
                <c:pt idx="2">
                  <c:v>16/17</c:v>
                </c:pt>
                <c:pt idx="3">
                  <c:v>17/18</c:v>
                </c:pt>
                <c:pt idx="4">
                  <c:v>18/19</c:v>
                </c:pt>
                <c:pt idx="5">
                  <c:v>19/20</c:v>
                </c:pt>
                <c:pt idx="6">
                  <c:v>20/21</c:v>
                </c:pt>
                <c:pt idx="7">
                  <c:v>21/22</c:v>
                </c:pt>
                <c:pt idx="8">
                  <c:v>22/23</c:v>
                </c:pt>
                <c:pt idx="9">
                  <c:v>23/24</c:v>
                </c:pt>
              </c:strCache>
            </c:strRef>
          </c:cat>
          <c:val>
            <c:numRef>
              <c:f>Ratios!$AZ$31:$BI$31</c:f>
              <c:numCache>
                <c:formatCode>0%</c:formatCode>
                <c:ptCount val="10"/>
                <c:pt idx="0">
                  <c:v>0.25881406258459488</c:v>
                </c:pt>
                <c:pt idx="1">
                  <c:v>0.23439002584842214</c:v>
                </c:pt>
                <c:pt idx="2">
                  <c:v>0.29097515002913954</c:v>
                </c:pt>
                <c:pt idx="3">
                  <c:v>0.39968558206360194</c:v>
                </c:pt>
                <c:pt idx="4">
                  <c:v>0.4609257405420199</c:v>
                </c:pt>
                <c:pt idx="5">
                  <c:v>0.46723026104836707</c:v>
                </c:pt>
                <c:pt idx="6">
                  <c:v>0.50157824188178324</c:v>
                </c:pt>
                <c:pt idx="7">
                  <c:v>0.51558905701527469</c:v>
                </c:pt>
                <c:pt idx="8">
                  <c:v>0.46962073256505982</c:v>
                </c:pt>
                <c:pt idx="9">
                  <c:v>0.53964841206121972</c:v>
                </c:pt>
              </c:numCache>
            </c:numRef>
          </c:val>
          <c:smooth val="0"/>
        </c:ser>
        <c:ser>
          <c:idx val="0"/>
          <c:order val="1"/>
          <c:tx>
            <c:strRef>
              <c:f>Ratios!$AY$33</c:f>
              <c:strCache>
                <c:ptCount val="1"/>
                <c:pt idx="0">
                  <c:v>Scenario 3</c:v>
                </c:pt>
              </c:strCache>
            </c:strRef>
          </c:tx>
          <c:spPr>
            <a:ln>
              <a:solidFill>
                <a:schemeClr val="accent2"/>
              </a:solidFill>
            </a:ln>
          </c:spPr>
          <c:marker>
            <c:symbol val="triangle"/>
            <c:size val="5"/>
            <c:spPr>
              <a:solidFill>
                <a:schemeClr val="accent2"/>
              </a:solidFill>
              <a:ln>
                <a:solidFill>
                  <a:schemeClr val="accent2"/>
                </a:solidFill>
              </a:ln>
            </c:spPr>
          </c:marker>
          <c:cat>
            <c:strRef>
              <c:f>Ratios!$AZ$30:$BI$30</c:f>
              <c:strCache>
                <c:ptCount val="10"/>
                <c:pt idx="0">
                  <c:v>14/15</c:v>
                </c:pt>
                <c:pt idx="1">
                  <c:v>15/16</c:v>
                </c:pt>
                <c:pt idx="2">
                  <c:v>16/17</c:v>
                </c:pt>
                <c:pt idx="3">
                  <c:v>17/18</c:v>
                </c:pt>
                <c:pt idx="4">
                  <c:v>18/19</c:v>
                </c:pt>
                <c:pt idx="5">
                  <c:v>19/20</c:v>
                </c:pt>
                <c:pt idx="6">
                  <c:v>20/21</c:v>
                </c:pt>
                <c:pt idx="7">
                  <c:v>21/22</c:v>
                </c:pt>
                <c:pt idx="8">
                  <c:v>22/23</c:v>
                </c:pt>
                <c:pt idx="9">
                  <c:v>23/24</c:v>
                </c:pt>
              </c:strCache>
            </c:strRef>
          </c:cat>
          <c:val>
            <c:numRef>
              <c:f>Ratios!$AZ$33:$BI$33</c:f>
              <c:numCache>
                <c:formatCode>0%</c:formatCode>
                <c:ptCount val="10"/>
                <c:pt idx="0">
                  <c:v>0.25881406258459488</c:v>
                </c:pt>
                <c:pt idx="1">
                  <c:v>0.24151578093272003</c:v>
                </c:pt>
                <c:pt idx="2">
                  <c:v>0.2362059808700499</c:v>
                </c:pt>
                <c:pt idx="3">
                  <c:v>0.27648843989593236</c:v>
                </c:pt>
                <c:pt idx="4">
                  <c:v>0.25492412650232443</c:v>
                </c:pt>
                <c:pt idx="5">
                  <c:v>0.27495060209521682</c:v>
                </c:pt>
                <c:pt idx="6">
                  <c:v>0.2623195394056288</c:v>
                </c:pt>
                <c:pt idx="7">
                  <c:v>0.31282083860166116</c:v>
                </c:pt>
                <c:pt idx="8">
                  <c:v>0.27071212782178661</c:v>
                </c:pt>
                <c:pt idx="9">
                  <c:v>0.33070344391567469</c:v>
                </c:pt>
              </c:numCache>
            </c:numRef>
          </c:val>
          <c:smooth val="0"/>
        </c:ser>
        <c:ser>
          <c:idx val="3"/>
          <c:order val="2"/>
          <c:tx>
            <c:strRef>
              <c:f>Ratios!$AY$34</c:f>
              <c:strCache>
                <c:ptCount val="1"/>
                <c:pt idx="0">
                  <c:v>Benchmark </c:v>
                </c:pt>
              </c:strCache>
            </c:strRef>
          </c:tx>
          <c:spPr>
            <a:ln>
              <a:solidFill>
                <a:schemeClr val="accent4"/>
              </a:solidFill>
            </a:ln>
          </c:spPr>
          <c:marker>
            <c:symbol val="square"/>
            <c:size val="5"/>
            <c:spPr>
              <a:solidFill>
                <a:schemeClr val="accent4"/>
              </a:solidFill>
            </c:spPr>
          </c:marker>
          <c:cat>
            <c:strRef>
              <c:f>Ratios!$AZ$30:$BI$30</c:f>
              <c:strCache>
                <c:ptCount val="10"/>
                <c:pt idx="0">
                  <c:v>14/15</c:v>
                </c:pt>
                <c:pt idx="1">
                  <c:v>15/16</c:v>
                </c:pt>
                <c:pt idx="2">
                  <c:v>16/17</c:v>
                </c:pt>
                <c:pt idx="3">
                  <c:v>17/18</c:v>
                </c:pt>
                <c:pt idx="4">
                  <c:v>18/19</c:v>
                </c:pt>
                <c:pt idx="5">
                  <c:v>19/20</c:v>
                </c:pt>
                <c:pt idx="6">
                  <c:v>20/21</c:v>
                </c:pt>
                <c:pt idx="7">
                  <c:v>21/22</c:v>
                </c:pt>
                <c:pt idx="8">
                  <c:v>22/23</c:v>
                </c:pt>
                <c:pt idx="9">
                  <c:v>23/24</c:v>
                </c:pt>
              </c:strCache>
            </c:strRef>
          </c:cat>
          <c:val>
            <c:numRef>
              <c:f>Ratios!$AZ$34:$BI$34</c:f>
              <c:numCache>
                <c:formatCode>0%</c:formatCode>
                <c:ptCount val="10"/>
                <c:pt idx="0">
                  <c:v>1</c:v>
                </c:pt>
                <c:pt idx="1">
                  <c:v>1</c:v>
                </c:pt>
                <c:pt idx="2">
                  <c:v>1</c:v>
                </c:pt>
                <c:pt idx="3">
                  <c:v>1</c:v>
                </c:pt>
                <c:pt idx="4">
                  <c:v>1</c:v>
                </c:pt>
                <c:pt idx="5">
                  <c:v>1</c:v>
                </c:pt>
                <c:pt idx="6">
                  <c:v>1</c:v>
                </c:pt>
                <c:pt idx="7">
                  <c:v>1</c:v>
                </c:pt>
                <c:pt idx="8">
                  <c:v>1</c:v>
                </c:pt>
                <c:pt idx="9">
                  <c:v>1</c:v>
                </c:pt>
              </c:numCache>
            </c:numRef>
          </c:val>
          <c:smooth val="0"/>
        </c:ser>
        <c:dLbls>
          <c:showLegendKey val="0"/>
          <c:showVal val="0"/>
          <c:showCatName val="0"/>
          <c:showSerName val="0"/>
          <c:showPercent val="0"/>
          <c:showBubbleSize val="0"/>
        </c:dLbls>
        <c:marker val="1"/>
        <c:smooth val="0"/>
        <c:axId val="203227904"/>
        <c:axId val="203229824"/>
      </c:lineChart>
      <c:catAx>
        <c:axId val="203227904"/>
        <c:scaling>
          <c:orientation val="minMax"/>
        </c:scaling>
        <c:delete val="0"/>
        <c:axPos val="b"/>
        <c:numFmt formatCode="General" sourceLinked="1"/>
        <c:majorTickMark val="none"/>
        <c:minorTickMark val="none"/>
        <c:tickLblPos val="low"/>
        <c:crossAx val="203229824"/>
        <c:crossesAt val="0"/>
        <c:auto val="1"/>
        <c:lblAlgn val="ctr"/>
        <c:lblOffset val="100"/>
        <c:noMultiLvlLbl val="0"/>
      </c:catAx>
      <c:valAx>
        <c:axId val="203229824"/>
        <c:scaling>
          <c:orientation val="minMax"/>
          <c:max val="1"/>
        </c:scaling>
        <c:delete val="0"/>
        <c:axPos val="l"/>
        <c:majorGridlines/>
        <c:title>
          <c:tx>
            <c:rich>
              <a:bodyPr rot="-5400000" vert="horz"/>
              <a:lstStyle/>
              <a:p>
                <a:pPr>
                  <a:defRPr/>
                </a:pPr>
                <a:r>
                  <a:rPr lang="en-AU"/>
                  <a:t>Percent</a:t>
                </a:r>
              </a:p>
            </c:rich>
          </c:tx>
          <c:overlay val="0"/>
        </c:title>
        <c:numFmt formatCode="0%" sourceLinked="1"/>
        <c:majorTickMark val="none"/>
        <c:minorTickMark val="none"/>
        <c:tickLblPos val="nextTo"/>
        <c:spPr>
          <a:ln w="9525">
            <a:noFill/>
          </a:ln>
        </c:spPr>
        <c:txPr>
          <a:bodyPr/>
          <a:lstStyle/>
          <a:p>
            <a:pPr>
              <a:defRPr sz="900"/>
            </a:pPr>
            <a:endParaRPr lang="en-US"/>
          </a:p>
        </c:txPr>
        <c:crossAx val="203227904"/>
        <c:crosses val="autoZero"/>
        <c:crossBetween val="between"/>
      </c:valAx>
    </c:plotArea>
    <c:legend>
      <c:legendPos val="b"/>
      <c:overlay val="0"/>
    </c:legend>
    <c:plotVisOnly val="1"/>
    <c:dispBlanksAs val="gap"/>
    <c:showDLblsOverMax val="0"/>
  </c:chart>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27499415590954"/>
          <c:y val="0.16620317569870843"/>
          <c:w val="0.84439059636199709"/>
          <c:h val="0.57168847346780749"/>
        </c:manualLayout>
      </c:layout>
      <c:lineChart>
        <c:grouping val="standard"/>
        <c:varyColors val="0"/>
        <c:ser>
          <c:idx val="1"/>
          <c:order val="0"/>
          <c:tx>
            <c:strRef>
              <c:f>Ratios!$CY$31</c:f>
              <c:strCache>
                <c:ptCount val="1"/>
                <c:pt idx="0">
                  <c:v>Scenario 1</c:v>
                </c:pt>
              </c:strCache>
            </c:strRef>
          </c:tx>
          <c:spPr>
            <a:ln>
              <a:solidFill>
                <a:schemeClr val="accent3"/>
              </a:solidFill>
            </a:ln>
          </c:spPr>
          <c:marker>
            <c:symbol val="circle"/>
            <c:size val="5"/>
            <c:spPr>
              <a:solidFill>
                <a:schemeClr val="accent3"/>
              </a:solidFill>
              <a:ln>
                <a:solidFill>
                  <a:schemeClr val="accent3"/>
                </a:solidFill>
              </a:ln>
            </c:spPr>
          </c:marker>
          <c:cat>
            <c:strRef>
              <c:f>Ratios!$AZ$30:$BI$30</c:f>
              <c:strCache>
                <c:ptCount val="10"/>
                <c:pt idx="0">
                  <c:v>14/15</c:v>
                </c:pt>
                <c:pt idx="1">
                  <c:v>15/16</c:v>
                </c:pt>
                <c:pt idx="2">
                  <c:v>16/17</c:v>
                </c:pt>
                <c:pt idx="3">
                  <c:v>17/18</c:v>
                </c:pt>
                <c:pt idx="4">
                  <c:v>18/19</c:v>
                </c:pt>
                <c:pt idx="5">
                  <c:v>19/20</c:v>
                </c:pt>
                <c:pt idx="6">
                  <c:v>20/21</c:v>
                </c:pt>
                <c:pt idx="7">
                  <c:v>21/22</c:v>
                </c:pt>
                <c:pt idx="8">
                  <c:v>22/23</c:v>
                </c:pt>
                <c:pt idx="9">
                  <c:v>23/24</c:v>
                </c:pt>
              </c:strCache>
            </c:strRef>
          </c:cat>
          <c:val>
            <c:numRef>
              <c:f>Ratios!$CZ$31:$DI$31</c:f>
              <c:numCache>
                <c:formatCode>0%</c:formatCode>
                <c:ptCount val="10"/>
                <c:pt idx="0">
                  <c:v>0.18435148961781522</c:v>
                </c:pt>
                <c:pt idx="1">
                  <c:v>0.20794741559605617</c:v>
                </c:pt>
                <c:pt idx="2">
                  <c:v>0.22744338137338016</c:v>
                </c:pt>
                <c:pt idx="3">
                  <c:v>0.39586781926307402</c:v>
                </c:pt>
                <c:pt idx="4">
                  <c:v>0.44399210461386629</c:v>
                </c:pt>
                <c:pt idx="5">
                  <c:v>0.49273210861631717</c:v>
                </c:pt>
                <c:pt idx="6">
                  <c:v>0.51873645091359555</c:v>
                </c:pt>
                <c:pt idx="7">
                  <c:v>0.48309867890591079</c:v>
                </c:pt>
                <c:pt idx="8">
                  <c:v>0.45600745110214219</c:v>
                </c:pt>
                <c:pt idx="9">
                  <c:v>0.50180258577821979</c:v>
                </c:pt>
              </c:numCache>
            </c:numRef>
          </c:val>
          <c:smooth val="0"/>
        </c:ser>
        <c:ser>
          <c:idx val="0"/>
          <c:order val="1"/>
          <c:tx>
            <c:strRef>
              <c:f>Ratios!$CY$33</c:f>
              <c:strCache>
                <c:ptCount val="1"/>
                <c:pt idx="0">
                  <c:v>Scenario 3</c:v>
                </c:pt>
              </c:strCache>
            </c:strRef>
          </c:tx>
          <c:spPr>
            <a:ln>
              <a:solidFill>
                <a:schemeClr val="accent2"/>
              </a:solidFill>
            </a:ln>
          </c:spPr>
          <c:marker>
            <c:symbol val="triangle"/>
            <c:size val="5"/>
            <c:spPr>
              <a:solidFill>
                <a:schemeClr val="accent2"/>
              </a:solidFill>
              <a:ln>
                <a:solidFill>
                  <a:schemeClr val="accent2"/>
                </a:solidFill>
              </a:ln>
            </c:spPr>
          </c:marker>
          <c:cat>
            <c:strRef>
              <c:f>Ratios!$AZ$30:$BI$30</c:f>
              <c:strCache>
                <c:ptCount val="10"/>
                <c:pt idx="0">
                  <c:v>14/15</c:v>
                </c:pt>
                <c:pt idx="1">
                  <c:v>15/16</c:v>
                </c:pt>
                <c:pt idx="2">
                  <c:v>16/17</c:v>
                </c:pt>
                <c:pt idx="3">
                  <c:v>17/18</c:v>
                </c:pt>
                <c:pt idx="4">
                  <c:v>18/19</c:v>
                </c:pt>
                <c:pt idx="5">
                  <c:v>19/20</c:v>
                </c:pt>
                <c:pt idx="6">
                  <c:v>20/21</c:v>
                </c:pt>
                <c:pt idx="7">
                  <c:v>21/22</c:v>
                </c:pt>
                <c:pt idx="8">
                  <c:v>22/23</c:v>
                </c:pt>
                <c:pt idx="9">
                  <c:v>23/24</c:v>
                </c:pt>
              </c:strCache>
            </c:strRef>
          </c:cat>
          <c:val>
            <c:numRef>
              <c:f>Ratios!$CZ$33:$DI$33</c:f>
              <c:numCache>
                <c:formatCode>0%</c:formatCode>
                <c:ptCount val="10"/>
                <c:pt idx="0">
                  <c:v>0.18435148961781522</c:v>
                </c:pt>
                <c:pt idx="1">
                  <c:v>0.19934269495070212</c:v>
                </c:pt>
                <c:pt idx="2">
                  <c:v>0.16312314495123872</c:v>
                </c:pt>
                <c:pt idx="3">
                  <c:v>0.22811654782394886</c:v>
                </c:pt>
                <c:pt idx="4">
                  <c:v>0.23297045101088648</c:v>
                </c:pt>
                <c:pt idx="5">
                  <c:v>0.25455003463694187</c:v>
                </c:pt>
                <c:pt idx="6">
                  <c:v>0.26588160407383832</c:v>
                </c:pt>
                <c:pt idx="7">
                  <c:v>0.29178725319956267</c:v>
                </c:pt>
                <c:pt idx="8">
                  <c:v>0.26206090513603014</c:v>
                </c:pt>
                <c:pt idx="9">
                  <c:v>0.32673656618610747</c:v>
                </c:pt>
              </c:numCache>
            </c:numRef>
          </c:val>
          <c:smooth val="0"/>
        </c:ser>
        <c:ser>
          <c:idx val="3"/>
          <c:order val="2"/>
          <c:tx>
            <c:strRef>
              <c:f>Ratios!$CY$34</c:f>
              <c:strCache>
                <c:ptCount val="1"/>
                <c:pt idx="0">
                  <c:v>Benchmark </c:v>
                </c:pt>
              </c:strCache>
            </c:strRef>
          </c:tx>
          <c:spPr>
            <a:ln>
              <a:solidFill>
                <a:schemeClr val="accent4"/>
              </a:solidFill>
            </a:ln>
          </c:spPr>
          <c:marker>
            <c:symbol val="square"/>
            <c:size val="5"/>
            <c:spPr>
              <a:solidFill>
                <a:schemeClr val="accent4"/>
              </a:solidFill>
            </c:spPr>
          </c:marker>
          <c:cat>
            <c:strRef>
              <c:f>Ratios!$AZ$30:$BI$30</c:f>
              <c:strCache>
                <c:ptCount val="10"/>
                <c:pt idx="0">
                  <c:v>14/15</c:v>
                </c:pt>
                <c:pt idx="1">
                  <c:v>15/16</c:v>
                </c:pt>
                <c:pt idx="2">
                  <c:v>16/17</c:v>
                </c:pt>
                <c:pt idx="3">
                  <c:v>17/18</c:v>
                </c:pt>
                <c:pt idx="4">
                  <c:v>18/19</c:v>
                </c:pt>
                <c:pt idx="5">
                  <c:v>19/20</c:v>
                </c:pt>
                <c:pt idx="6">
                  <c:v>20/21</c:v>
                </c:pt>
                <c:pt idx="7">
                  <c:v>21/22</c:v>
                </c:pt>
                <c:pt idx="8">
                  <c:v>22/23</c:v>
                </c:pt>
                <c:pt idx="9">
                  <c:v>23/24</c:v>
                </c:pt>
              </c:strCache>
            </c:strRef>
          </c:cat>
          <c:val>
            <c:numRef>
              <c:f>Ratios!$CZ$34:$DI$34</c:f>
              <c:numCache>
                <c:formatCode>0%</c:formatCode>
                <c:ptCount val="10"/>
                <c:pt idx="0">
                  <c:v>1</c:v>
                </c:pt>
                <c:pt idx="1">
                  <c:v>1</c:v>
                </c:pt>
                <c:pt idx="2">
                  <c:v>1</c:v>
                </c:pt>
                <c:pt idx="3">
                  <c:v>1</c:v>
                </c:pt>
                <c:pt idx="4">
                  <c:v>1</c:v>
                </c:pt>
                <c:pt idx="5">
                  <c:v>1</c:v>
                </c:pt>
                <c:pt idx="6">
                  <c:v>1</c:v>
                </c:pt>
                <c:pt idx="7">
                  <c:v>1</c:v>
                </c:pt>
                <c:pt idx="8">
                  <c:v>1</c:v>
                </c:pt>
                <c:pt idx="9">
                  <c:v>1</c:v>
                </c:pt>
              </c:numCache>
            </c:numRef>
          </c:val>
          <c:smooth val="0"/>
        </c:ser>
        <c:dLbls>
          <c:showLegendKey val="0"/>
          <c:showVal val="0"/>
          <c:showCatName val="0"/>
          <c:showSerName val="0"/>
          <c:showPercent val="0"/>
          <c:showBubbleSize val="0"/>
        </c:dLbls>
        <c:marker val="1"/>
        <c:smooth val="0"/>
        <c:axId val="203391744"/>
        <c:axId val="203393664"/>
      </c:lineChart>
      <c:catAx>
        <c:axId val="203391744"/>
        <c:scaling>
          <c:orientation val="minMax"/>
        </c:scaling>
        <c:delete val="0"/>
        <c:axPos val="b"/>
        <c:numFmt formatCode="General" sourceLinked="1"/>
        <c:majorTickMark val="none"/>
        <c:minorTickMark val="none"/>
        <c:tickLblPos val="low"/>
        <c:crossAx val="203393664"/>
        <c:crossesAt val="0"/>
        <c:auto val="1"/>
        <c:lblAlgn val="ctr"/>
        <c:lblOffset val="100"/>
        <c:noMultiLvlLbl val="0"/>
      </c:catAx>
      <c:valAx>
        <c:axId val="203393664"/>
        <c:scaling>
          <c:orientation val="minMax"/>
          <c:max val="1"/>
        </c:scaling>
        <c:delete val="0"/>
        <c:axPos val="l"/>
        <c:majorGridlines/>
        <c:title>
          <c:tx>
            <c:rich>
              <a:bodyPr rot="-5400000" vert="horz"/>
              <a:lstStyle/>
              <a:p>
                <a:pPr>
                  <a:defRPr/>
                </a:pPr>
                <a:r>
                  <a:rPr lang="en-AU"/>
                  <a:t>Percent</a:t>
                </a:r>
              </a:p>
            </c:rich>
          </c:tx>
          <c:layout/>
          <c:overlay val="0"/>
        </c:title>
        <c:numFmt formatCode="0%" sourceLinked="1"/>
        <c:majorTickMark val="none"/>
        <c:minorTickMark val="none"/>
        <c:tickLblPos val="nextTo"/>
        <c:spPr>
          <a:ln w="9525">
            <a:noFill/>
          </a:ln>
        </c:spPr>
        <c:crossAx val="203391744"/>
        <c:crosses val="autoZero"/>
        <c:crossBetween val="between"/>
      </c:valAx>
    </c:plotArea>
    <c:legend>
      <c:legendPos val="b"/>
      <c:layout/>
      <c:overlay val="0"/>
    </c:legend>
    <c:plotVisOnly val="1"/>
    <c:dispBlanksAs val="gap"/>
    <c:showDLblsOverMax val="0"/>
  </c:chart>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1"/>
          <c:order val="1"/>
          <c:spPr>
            <a:ln>
              <a:solidFill>
                <a:schemeClr val="bg1"/>
              </a:solidFill>
            </a:ln>
          </c:spPr>
          <c:dPt>
            <c:idx val="0"/>
            <c:bubble3D val="0"/>
            <c:spPr>
              <a:solidFill>
                <a:srgbClr val="92D050"/>
              </a:solidFill>
              <a:ln>
                <a:solidFill>
                  <a:schemeClr val="bg1"/>
                </a:solidFill>
              </a:ln>
            </c:spPr>
          </c:dPt>
          <c:dPt>
            <c:idx val="1"/>
            <c:bubble3D val="0"/>
            <c:spPr>
              <a:solidFill>
                <a:schemeClr val="accent6"/>
              </a:solidFill>
              <a:ln>
                <a:solidFill>
                  <a:schemeClr val="bg1"/>
                </a:solidFill>
              </a:ln>
            </c:spPr>
          </c:dPt>
          <c:dPt>
            <c:idx val="2"/>
            <c:bubble3D val="0"/>
            <c:spPr>
              <a:solidFill>
                <a:schemeClr val="accent5"/>
              </a:solidFill>
              <a:ln>
                <a:solidFill>
                  <a:schemeClr val="bg1"/>
                </a:solidFill>
              </a:ln>
            </c:spPr>
          </c:dPt>
          <c:dPt>
            <c:idx val="3"/>
            <c:bubble3D val="0"/>
            <c:spPr>
              <a:ln>
                <a:solidFill>
                  <a:sysClr val="window" lastClr="FFFFFF">
                    <a:alpha val="89000"/>
                  </a:sysClr>
                </a:solidFill>
              </a:ln>
            </c:spPr>
          </c:dPt>
          <c:dLbls>
            <c:dLbl>
              <c:idx val="0"/>
              <c:layout/>
              <c:numFmt formatCode="0.0%" sourceLinked="0"/>
              <c:spPr/>
              <c:txPr>
                <a:bodyPr/>
                <a:lstStyle/>
                <a:p>
                  <a:pPr>
                    <a:defRPr b="1"/>
                  </a:pPr>
                  <a:endParaRPr lang="en-US"/>
                </a:p>
              </c:txPr>
              <c:showLegendKey val="0"/>
              <c:showVal val="0"/>
              <c:showCatName val="1"/>
              <c:showSerName val="0"/>
              <c:showPercent val="1"/>
              <c:showBubbleSize val="0"/>
            </c:dLbl>
            <c:dLbl>
              <c:idx val="1"/>
              <c:layout/>
              <c:numFmt formatCode="0.0%" sourceLinked="0"/>
              <c:spPr/>
              <c:txPr>
                <a:bodyPr/>
                <a:lstStyle/>
                <a:p>
                  <a:pPr>
                    <a:defRPr b="1"/>
                  </a:pPr>
                  <a:endParaRPr lang="en-US"/>
                </a:p>
              </c:txPr>
              <c:showLegendKey val="0"/>
              <c:showVal val="0"/>
              <c:showCatName val="1"/>
              <c:showSerName val="0"/>
              <c:showPercent val="1"/>
              <c:showBubbleSize val="0"/>
            </c:dLbl>
            <c:dLbl>
              <c:idx val="2"/>
              <c:layout/>
              <c:numFmt formatCode="0.0%" sourceLinked="0"/>
              <c:spPr/>
              <c:txPr>
                <a:bodyPr/>
                <a:lstStyle/>
                <a:p>
                  <a:pPr>
                    <a:defRPr b="1"/>
                  </a:pPr>
                  <a:endParaRPr lang="en-US"/>
                </a:p>
              </c:txPr>
              <c:showLegendKey val="0"/>
              <c:showVal val="0"/>
              <c:showCatName val="1"/>
              <c:showSerName val="0"/>
              <c:showPercent val="1"/>
              <c:showBubbleSize val="0"/>
            </c:dLbl>
            <c:dLbl>
              <c:idx val="3"/>
              <c:layout/>
              <c:tx>
                <c:rich>
                  <a:bodyPr/>
                  <a:lstStyle/>
                  <a:p>
                    <a:r>
                      <a:rPr lang="en-US" b="0">
                        <a:solidFill>
                          <a:sysClr val="windowText" lastClr="000000"/>
                        </a:solidFill>
                      </a:rPr>
                      <a:t>Comments only
1.7%</a:t>
                    </a:r>
                  </a:p>
                </c:rich>
              </c:tx>
              <c:showLegendKey val="0"/>
              <c:showVal val="0"/>
              <c:showCatName val="1"/>
              <c:showSerName val="0"/>
              <c:showPercent val="1"/>
              <c:showBubbleSize val="0"/>
              <c:separator>
</c:separator>
            </c:dLbl>
            <c:numFmt formatCode="0.0%" sourceLinked="0"/>
            <c:showLegendKey val="0"/>
            <c:showVal val="0"/>
            <c:showCatName val="1"/>
            <c:showSerName val="0"/>
            <c:showPercent val="1"/>
            <c:showBubbleSize val="0"/>
            <c:separator>
</c:separator>
            <c:showLeaderLines val="1"/>
          </c:dLbls>
          <c:cat>
            <c:strRef>
              <c:f>Sheet1!$C$5:$C$8</c:f>
              <c:strCache>
                <c:ptCount val="4"/>
                <c:pt idx="0">
                  <c:v>Option 1</c:v>
                </c:pt>
                <c:pt idx="1">
                  <c:v>Option 2</c:v>
                </c:pt>
                <c:pt idx="2">
                  <c:v>Option 3</c:v>
                </c:pt>
                <c:pt idx="3">
                  <c:v>Comments only</c:v>
                </c:pt>
              </c:strCache>
            </c:strRef>
          </c:cat>
          <c:val>
            <c:numRef>
              <c:f>Sheet1!$E$5:$E$8</c:f>
              <c:numCache>
                <c:formatCode>0.0%</c:formatCode>
                <c:ptCount val="4"/>
                <c:pt idx="0">
                  <c:v>0.54615027829313545</c:v>
                </c:pt>
                <c:pt idx="1">
                  <c:v>0.23283858998144713</c:v>
                </c:pt>
                <c:pt idx="2">
                  <c:v>0.20408163265306123</c:v>
                </c:pt>
                <c:pt idx="3">
                  <c:v>1.6929499072356215E-2</c:v>
                </c:pt>
              </c:numCache>
            </c:numRef>
          </c:val>
        </c:ser>
        <c:ser>
          <c:idx val="0"/>
          <c:order val="0"/>
          <c:dLbls>
            <c:showLegendKey val="0"/>
            <c:showVal val="0"/>
            <c:showCatName val="1"/>
            <c:showSerName val="0"/>
            <c:showPercent val="1"/>
            <c:showBubbleSize val="0"/>
            <c:showLeaderLines val="1"/>
          </c:dLbls>
          <c:cat>
            <c:strRef>
              <c:f>Sheet1!$C$5:$C$8</c:f>
              <c:strCache>
                <c:ptCount val="4"/>
                <c:pt idx="0">
                  <c:v>Option 1</c:v>
                </c:pt>
                <c:pt idx="1">
                  <c:v>Option 2</c:v>
                </c:pt>
                <c:pt idx="2">
                  <c:v>Option 3</c:v>
                </c:pt>
                <c:pt idx="3">
                  <c:v>Comments only</c:v>
                </c:pt>
              </c:strCache>
            </c:strRef>
          </c:cat>
          <c:val>
            <c:numRef>
              <c:f>Sheet1!$D$5:$D$8</c:f>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594875034828997"/>
          <c:y val="6.7331748188930077E-2"/>
          <c:w val="0.77222608435206863"/>
          <c:h val="0.88368139549566616"/>
        </c:manualLayout>
      </c:layout>
      <c:pieChart>
        <c:varyColors val="1"/>
        <c:ser>
          <c:idx val="0"/>
          <c:order val="0"/>
          <c:spPr>
            <a:ln>
              <a:solidFill>
                <a:schemeClr val="bg1"/>
              </a:solidFill>
            </a:ln>
          </c:spPr>
          <c:dPt>
            <c:idx val="0"/>
            <c:bubble3D val="0"/>
            <c:spPr>
              <a:solidFill>
                <a:srgbClr val="92D050"/>
              </a:solidFill>
              <a:ln>
                <a:solidFill>
                  <a:schemeClr val="bg1"/>
                </a:solidFill>
              </a:ln>
            </c:spPr>
          </c:dPt>
          <c:dPt>
            <c:idx val="1"/>
            <c:bubble3D val="0"/>
            <c:spPr>
              <a:solidFill>
                <a:schemeClr val="accent6">
                  <a:lumMod val="75000"/>
                </a:schemeClr>
              </a:solidFill>
              <a:ln>
                <a:solidFill>
                  <a:schemeClr val="bg1"/>
                </a:solidFill>
              </a:ln>
            </c:spPr>
          </c:dPt>
          <c:dPt>
            <c:idx val="2"/>
            <c:bubble3D val="0"/>
            <c:spPr>
              <a:solidFill>
                <a:schemeClr val="accent5"/>
              </a:solidFill>
              <a:ln>
                <a:solidFill>
                  <a:schemeClr val="bg1"/>
                </a:solidFill>
              </a:ln>
            </c:spPr>
          </c:dPt>
          <c:dLbls>
            <c:dLbl>
              <c:idx val="0"/>
              <c:layout>
                <c:manualLayout>
                  <c:x val="-0.19631885084933334"/>
                  <c:y val="-4.588360479797016E-3"/>
                </c:manualLayout>
              </c:layout>
              <c:numFmt formatCode="0.0%" sourceLinked="0"/>
              <c:spPr>
                <a:ln w="15875"/>
              </c:spPr>
              <c:txPr>
                <a:bodyPr/>
                <a:lstStyle/>
                <a:p>
                  <a:pPr>
                    <a:defRPr sz="1050" b="1" baseline="0"/>
                  </a:pPr>
                  <a:endParaRPr lang="en-US"/>
                </a:p>
              </c:txPr>
              <c:dLblPos val="bestFit"/>
              <c:showLegendKey val="0"/>
              <c:showVal val="0"/>
              <c:showCatName val="1"/>
              <c:showSerName val="0"/>
              <c:showPercent val="1"/>
              <c:showBubbleSize val="0"/>
            </c:dLbl>
            <c:dLbl>
              <c:idx val="1"/>
              <c:layout>
                <c:manualLayout>
                  <c:x val="0.18700058931987265"/>
                  <c:y val="-0.24794193638648418"/>
                </c:manualLayout>
              </c:layout>
              <c:showLegendKey val="0"/>
              <c:showVal val="0"/>
              <c:showCatName val="1"/>
              <c:showSerName val="0"/>
              <c:showPercent val="1"/>
              <c:showBubbleSize val="0"/>
            </c:dLbl>
            <c:dLbl>
              <c:idx val="2"/>
              <c:layout>
                <c:manualLayout>
                  <c:x val="0.17387082232698442"/>
                  <c:y val="0.10888991225090153"/>
                </c:manualLayout>
              </c:layout>
              <c:showLegendKey val="0"/>
              <c:showVal val="0"/>
              <c:showCatName val="1"/>
              <c:showSerName val="0"/>
              <c:showPercent val="1"/>
              <c:showBubbleSize val="0"/>
            </c:dLbl>
            <c:numFmt formatCode="0.0%" sourceLinked="0"/>
            <c:txPr>
              <a:bodyPr/>
              <a:lstStyle/>
              <a:p>
                <a:pPr>
                  <a:defRPr sz="1050" b="1" baseline="0"/>
                </a:pPr>
                <a:endParaRPr lang="en-US"/>
              </a:p>
            </c:txPr>
            <c:showLegendKey val="0"/>
            <c:showVal val="0"/>
            <c:showCatName val="1"/>
            <c:showSerName val="0"/>
            <c:showPercent val="1"/>
            <c:showBubbleSize val="0"/>
            <c:showLeaderLines val="1"/>
          </c:dLbls>
          <c:cat>
            <c:strRef>
              <c:f>'Pie Charts'!$A$42:$A$44</c:f>
              <c:strCache>
                <c:ptCount val="3"/>
                <c:pt idx="0">
                  <c:v>Option 1</c:v>
                </c:pt>
                <c:pt idx="1">
                  <c:v>Option 2</c:v>
                </c:pt>
                <c:pt idx="2">
                  <c:v>Option 3</c:v>
                </c:pt>
              </c:strCache>
            </c:strRef>
          </c:cat>
          <c:val>
            <c:numRef>
              <c:f>'Pie Charts'!$B$42:$B$44</c:f>
              <c:numCache>
                <c:formatCode>0.00%</c:formatCode>
                <c:ptCount val="3"/>
                <c:pt idx="0">
                  <c:v>0.48799999999999999</c:v>
                </c:pt>
                <c:pt idx="1">
                  <c:v>0.35699999999999998</c:v>
                </c:pt>
                <c:pt idx="2">
                  <c:v>0.155</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002767225981735"/>
          <c:y val="0.13613557290539527"/>
          <c:w val="0.68889470285862831"/>
          <c:h val="0.75977463704986137"/>
        </c:manualLayout>
      </c:layout>
      <c:pieChart>
        <c:varyColors val="1"/>
        <c:ser>
          <c:idx val="0"/>
          <c:order val="0"/>
          <c:spPr>
            <a:ln>
              <a:solidFill>
                <a:schemeClr val="bg1"/>
              </a:solidFill>
            </a:ln>
          </c:spPr>
          <c:dPt>
            <c:idx val="0"/>
            <c:bubble3D val="0"/>
            <c:spPr>
              <a:solidFill>
                <a:srgbClr val="92D050"/>
              </a:solidFill>
              <a:ln w="12700">
                <a:solidFill>
                  <a:schemeClr val="bg1"/>
                </a:solidFill>
              </a:ln>
            </c:spPr>
          </c:dPt>
          <c:dPt>
            <c:idx val="1"/>
            <c:bubble3D val="0"/>
            <c:spPr>
              <a:solidFill>
                <a:schemeClr val="accent6">
                  <a:lumMod val="75000"/>
                </a:schemeClr>
              </a:solidFill>
              <a:ln>
                <a:solidFill>
                  <a:schemeClr val="bg1"/>
                </a:solidFill>
              </a:ln>
            </c:spPr>
          </c:dPt>
          <c:dPt>
            <c:idx val="2"/>
            <c:bubble3D val="0"/>
            <c:spPr>
              <a:solidFill>
                <a:schemeClr val="accent5"/>
              </a:solidFill>
              <a:ln>
                <a:solidFill>
                  <a:schemeClr val="bg1"/>
                </a:solidFill>
              </a:ln>
            </c:spPr>
          </c:dPt>
          <c:dLbls>
            <c:dLbl>
              <c:idx val="0"/>
              <c:layout>
                <c:manualLayout>
                  <c:x val="-0.23979150567385613"/>
                  <c:y val="-6.0451286294070816E-2"/>
                </c:manualLayout>
              </c:layout>
              <c:numFmt formatCode="0.0%" sourceLinked="0"/>
              <c:spPr>
                <a:ln w="15875"/>
              </c:spPr>
              <c:txPr>
                <a:bodyPr/>
                <a:lstStyle/>
                <a:p>
                  <a:pPr>
                    <a:defRPr sz="1050" b="1" baseline="0"/>
                  </a:pPr>
                  <a:endParaRPr lang="en-US"/>
                </a:p>
              </c:txPr>
              <c:dLblPos val="bestFit"/>
              <c:showLegendKey val="0"/>
              <c:showVal val="0"/>
              <c:showCatName val="1"/>
              <c:showSerName val="0"/>
              <c:showPercent val="1"/>
              <c:showBubbleSize val="0"/>
            </c:dLbl>
            <c:dLbl>
              <c:idx val="1"/>
              <c:layout>
                <c:manualLayout>
                  <c:x val="0.21580778441649828"/>
                  <c:y val="3.416872342865863E-4"/>
                </c:manualLayout>
              </c:layout>
              <c:showLegendKey val="0"/>
              <c:showVal val="0"/>
              <c:showCatName val="1"/>
              <c:showSerName val="0"/>
              <c:showPercent val="1"/>
              <c:showBubbleSize val="0"/>
            </c:dLbl>
            <c:dLbl>
              <c:idx val="2"/>
              <c:layout>
                <c:manualLayout>
                  <c:x val="0.3753007874015748"/>
                  <c:y val="4.4400097370748768E-3"/>
                </c:manualLayout>
              </c:layout>
              <c:showLegendKey val="0"/>
              <c:showVal val="0"/>
              <c:showCatName val="1"/>
              <c:showSerName val="0"/>
              <c:showPercent val="1"/>
              <c:showBubbleSize val="0"/>
            </c:dLbl>
            <c:numFmt formatCode="0.0%" sourceLinked="0"/>
            <c:txPr>
              <a:bodyPr/>
              <a:lstStyle/>
              <a:p>
                <a:pPr>
                  <a:defRPr sz="1050" b="1" baseline="0"/>
                </a:pPr>
                <a:endParaRPr lang="en-US"/>
              </a:p>
            </c:txPr>
            <c:showLegendKey val="0"/>
            <c:showVal val="0"/>
            <c:showCatName val="1"/>
            <c:showSerName val="0"/>
            <c:showPercent val="1"/>
            <c:showBubbleSize val="0"/>
            <c:showLeaderLines val="1"/>
          </c:dLbls>
          <c:cat>
            <c:strRef>
              <c:f>'Pie Charts'!$K$42:$K$44</c:f>
              <c:strCache>
                <c:ptCount val="3"/>
                <c:pt idx="0">
                  <c:v>Option 1</c:v>
                </c:pt>
                <c:pt idx="1">
                  <c:v>Option 2</c:v>
                </c:pt>
                <c:pt idx="2">
                  <c:v>Option 3</c:v>
                </c:pt>
              </c:strCache>
            </c:strRef>
          </c:cat>
          <c:val>
            <c:numRef>
              <c:f>'Pie Charts'!$L$42:$L$44</c:f>
              <c:numCache>
                <c:formatCode>0.00%</c:formatCode>
                <c:ptCount val="3"/>
                <c:pt idx="0">
                  <c:v>0.58299999999999996</c:v>
                </c:pt>
                <c:pt idx="1">
                  <c:v>0.35699999999999998</c:v>
                </c:pt>
                <c:pt idx="2">
                  <c:v>0.06</c:v>
                </c:pt>
              </c:numCache>
            </c:numRef>
          </c:val>
        </c:ser>
        <c:dLbls>
          <c:showLegendKey val="0"/>
          <c:showVal val="0"/>
          <c:showCatName val="0"/>
          <c:showSerName val="0"/>
          <c:showPercent val="0"/>
          <c:showBubbleSize val="0"/>
          <c:showLeaderLines val="1"/>
        </c:dLbls>
        <c:firstSliceAng val="0"/>
      </c:pieChart>
      <c:spPr>
        <a:ln>
          <a:noFill/>
        </a:ln>
      </c:spPr>
    </c:plotArea>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36236211214339"/>
          <c:y val="0.10661891701382045"/>
          <c:w val="0.86435990813648289"/>
          <c:h val="0.64663802629803258"/>
        </c:manualLayout>
      </c:layout>
      <c:lineChart>
        <c:grouping val="standard"/>
        <c:varyColors val="0"/>
        <c:ser>
          <c:idx val="2"/>
          <c:order val="0"/>
          <c:tx>
            <c:strRef>
              <c:f>'[Copy of Debt Ration Year by Year (2).xlsx]Sheet1'!$A$31</c:f>
              <c:strCache>
                <c:ptCount val="1"/>
                <c:pt idx="0">
                  <c:v>BMCC Ratio</c:v>
                </c:pt>
              </c:strCache>
            </c:strRef>
          </c:tx>
          <c:marker>
            <c:symbol val="none"/>
          </c:marker>
          <c:trendline>
            <c:name>BMCC Trend</c:name>
            <c:trendlineType val="linear"/>
            <c:dispRSqr val="0"/>
            <c:dispEq val="0"/>
          </c:trendline>
          <c:cat>
            <c:strRef>
              <c:f>'[Copy of Debt Ration Year by Year (2).xlsx]Sheet1'!$B$28:$M$28</c:f>
              <c:strCache>
                <c:ptCount val="12"/>
                <c:pt idx="0">
                  <c:v>02/03</c:v>
                </c:pt>
                <c:pt idx="1">
                  <c:v>03/04</c:v>
                </c:pt>
                <c:pt idx="2">
                  <c:v>04/05</c:v>
                </c:pt>
                <c:pt idx="3">
                  <c:v>05/06</c:v>
                </c:pt>
                <c:pt idx="4">
                  <c:v>06/07</c:v>
                </c:pt>
                <c:pt idx="5">
                  <c:v>07/08</c:v>
                </c:pt>
                <c:pt idx="6">
                  <c:v>08/09</c:v>
                </c:pt>
                <c:pt idx="7">
                  <c:v>09/10</c:v>
                </c:pt>
                <c:pt idx="8">
                  <c:v>10/11</c:v>
                </c:pt>
                <c:pt idx="9">
                  <c:v>11/12</c:v>
                </c:pt>
                <c:pt idx="10">
                  <c:v>12/13</c:v>
                </c:pt>
                <c:pt idx="11">
                  <c:v>13/14</c:v>
                </c:pt>
              </c:strCache>
            </c:strRef>
          </c:cat>
          <c:val>
            <c:numRef>
              <c:f>'[Copy of Debt Ration Year by Year (2).xlsx]Sheet1'!$B$31:$M$31</c:f>
              <c:numCache>
                <c:formatCode>0.00%</c:formatCode>
                <c:ptCount val="12"/>
                <c:pt idx="0">
                  <c:v>6.785003317850033E-2</c:v>
                </c:pt>
                <c:pt idx="1">
                  <c:v>4.8409150670523274E-2</c:v>
                </c:pt>
                <c:pt idx="2">
                  <c:v>5.4563946097126878E-2</c:v>
                </c:pt>
                <c:pt idx="3">
                  <c:v>5.8674546222034614E-2</c:v>
                </c:pt>
                <c:pt idx="4">
                  <c:v>4.9045958373131346E-2</c:v>
                </c:pt>
                <c:pt idx="5">
                  <c:v>5.2547461177944323E-2</c:v>
                </c:pt>
                <c:pt idx="6">
                  <c:v>4.890367085489037E-2</c:v>
                </c:pt>
                <c:pt idx="7">
                  <c:v>4.4518984578131512E-2</c:v>
                </c:pt>
                <c:pt idx="8">
                  <c:v>4.0026783721449299E-2</c:v>
                </c:pt>
                <c:pt idx="9">
                  <c:v>4.6449555746632273E-2</c:v>
                </c:pt>
                <c:pt idx="10">
                  <c:v>3.9520856341857105E-2</c:v>
                </c:pt>
                <c:pt idx="11">
                  <c:v>3.8651626356665518E-2</c:v>
                </c:pt>
              </c:numCache>
            </c:numRef>
          </c:val>
          <c:smooth val="0"/>
        </c:ser>
        <c:ser>
          <c:idx val="0"/>
          <c:order val="1"/>
          <c:tx>
            <c:strRef>
              <c:f>'[Copy of Debt Ration Year by Year (2).xlsx]Sheet1'!$A$32</c:f>
              <c:strCache>
                <c:ptCount val="1"/>
                <c:pt idx="0">
                  <c:v>DLG Recommended</c:v>
                </c:pt>
              </c:strCache>
            </c:strRef>
          </c:tx>
          <c:marker>
            <c:symbol val="none"/>
          </c:marker>
          <c:cat>
            <c:strRef>
              <c:f>'[Copy of Debt Ration Year by Year (2).xlsx]Sheet1'!$B$28:$M$28</c:f>
              <c:strCache>
                <c:ptCount val="12"/>
                <c:pt idx="0">
                  <c:v>02/03</c:v>
                </c:pt>
                <c:pt idx="1">
                  <c:v>03/04</c:v>
                </c:pt>
                <c:pt idx="2">
                  <c:v>04/05</c:v>
                </c:pt>
                <c:pt idx="3">
                  <c:v>05/06</c:v>
                </c:pt>
                <c:pt idx="4">
                  <c:v>06/07</c:v>
                </c:pt>
                <c:pt idx="5">
                  <c:v>07/08</c:v>
                </c:pt>
                <c:pt idx="6">
                  <c:v>08/09</c:v>
                </c:pt>
                <c:pt idx="7">
                  <c:v>09/10</c:v>
                </c:pt>
                <c:pt idx="8">
                  <c:v>10/11</c:v>
                </c:pt>
                <c:pt idx="9">
                  <c:v>11/12</c:v>
                </c:pt>
                <c:pt idx="10">
                  <c:v>12/13</c:v>
                </c:pt>
                <c:pt idx="11">
                  <c:v>13/14</c:v>
                </c:pt>
              </c:strCache>
            </c:strRef>
          </c:cat>
          <c:val>
            <c:numRef>
              <c:f>'[Copy of Debt Ration Year by Year (2).xlsx]Sheet1'!$B$32:$M$32</c:f>
              <c:numCache>
                <c:formatCode>0%</c:formatCode>
                <c:ptCount val="12"/>
                <c:pt idx="0">
                  <c:v>0.05</c:v>
                </c:pt>
                <c:pt idx="1">
                  <c:v>0.05</c:v>
                </c:pt>
                <c:pt idx="2">
                  <c:v>0.05</c:v>
                </c:pt>
                <c:pt idx="3">
                  <c:v>0.05</c:v>
                </c:pt>
                <c:pt idx="4">
                  <c:v>0.05</c:v>
                </c:pt>
                <c:pt idx="5">
                  <c:v>0.05</c:v>
                </c:pt>
                <c:pt idx="6">
                  <c:v>0.05</c:v>
                </c:pt>
                <c:pt idx="7">
                  <c:v>0.05</c:v>
                </c:pt>
                <c:pt idx="8">
                  <c:v>0.05</c:v>
                </c:pt>
                <c:pt idx="9">
                  <c:v>0.05</c:v>
                </c:pt>
                <c:pt idx="10">
                  <c:v>0.05</c:v>
                </c:pt>
                <c:pt idx="11">
                  <c:v>0.05</c:v>
                </c:pt>
              </c:numCache>
            </c:numRef>
          </c:val>
          <c:smooth val="0"/>
        </c:ser>
        <c:dLbls>
          <c:showLegendKey val="0"/>
          <c:showVal val="0"/>
          <c:showCatName val="0"/>
          <c:showSerName val="0"/>
          <c:showPercent val="0"/>
          <c:showBubbleSize val="0"/>
        </c:dLbls>
        <c:marker val="1"/>
        <c:smooth val="0"/>
        <c:axId val="204541952"/>
        <c:axId val="204543488"/>
      </c:lineChart>
      <c:catAx>
        <c:axId val="204541952"/>
        <c:scaling>
          <c:orientation val="minMax"/>
        </c:scaling>
        <c:delete val="0"/>
        <c:axPos val="b"/>
        <c:numFmt formatCode="#,##0" sourceLinked="0"/>
        <c:majorTickMark val="out"/>
        <c:minorTickMark val="none"/>
        <c:tickLblPos val="nextTo"/>
        <c:crossAx val="204543488"/>
        <c:crosses val="autoZero"/>
        <c:auto val="1"/>
        <c:lblAlgn val="ctr"/>
        <c:lblOffset val="100"/>
        <c:noMultiLvlLbl val="0"/>
      </c:catAx>
      <c:valAx>
        <c:axId val="204543488"/>
        <c:scaling>
          <c:orientation val="minMax"/>
          <c:max val="7.0000000000000007E-2"/>
          <c:min val="3.500000000000001E-2"/>
        </c:scaling>
        <c:delete val="0"/>
        <c:axPos val="l"/>
        <c:majorGridlines/>
        <c:numFmt formatCode="0.00%" sourceLinked="1"/>
        <c:majorTickMark val="none"/>
        <c:minorTickMark val="none"/>
        <c:tickLblPos val="nextTo"/>
        <c:spPr>
          <a:ln w="9525">
            <a:noFill/>
          </a:ln>
        </c:spPr>
        <c:crossAx val="204541952"/>
        <c:crosses val="autoZero"/>
        <c:crossBetween val="between"/>
      </c:valAx>
    </c:plotArea>
    <c:legend>
      <c:legendPos val="b"/>
      <c:layout>
        <c:manualLayout>
          <c:xMode val="edge"/>
          <c:yMode val="edge"/>
          <c:x val="4.2847631588769947E-2"/>
          <c:y val="0.90834069369013837"/>
          <c:w val="0.91888663582184515"/>
          <c:h val="5.2643136916901492E-2"/>
        </c:manualLayout>
      </c:layout>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22685026690506"/>
          <c:y val="3.2321745807974873E-2"/>
          <c:w val="0.85559655284635316"/>
          <c:h val="0.89474767619113116"/>
        </c:manualLayout>
      </c:layout>
      <c:lineChart>
        <c:grouping val="standard"/>
        <c:varyColors val="0"/>
        <c:ser>
          <c:idx val="1"/>
          <c:order val="0"/>
          <c:spPr>
            <a:ln>
              <a:solidFill>
                <a:schemeClr val="accent2"/>
              </a:solidFill>
            </a:ln>
          </c:spPr>
          <c:marker>
            <c:symbol val="none"/>
          </c:marker>
          <c:dLbls>
            <c:dLbl>
              <c:idx val="0"/>
              <c:layout>
                <c:manualLayout>
                  <c:x val="-8.0742848320430535E-2"/>
                  <c:y val="2.7949063911768064E-2"/>
                </c:manualLayout>
              </c:layout>
              <c:dLblPos val="r"/>
              <c:showLegendKey val="0"/>
              <c:showVal val="1"/>
              <c:showCatName val="0"/>
              <c:showSerName val="0"/>
              <c:showPercent val="0"/>
              <c:showBubbleSize val="0"/>
            </c:dLbl>
            <c:dLbl>
              <c:idx val="1"/>
              <c:layout>
                <c:manualLayout>
                  <c:x val="-7.3940043208884601E-2"/>
                  <c:y val="-3.81791483113069E-2"/>
                </c:manualLayout>
              </c:layout>
              <c:dLblPos val="r"/>
              <c:showLegendKey val="0"/>
              <c:showVal val="1"/>
              <c:showCatName val="0"/>
              <c:showSerName val="0"/>
              <c:showPercent val="0"/>
              <c:showBubbleSize val="0"/>
            </c:dLbl>
            <c:dLbl>
              <c:idx val="2"/>
              <c:layout>
                <c:manualLayout>
                  <c:x val="-4.3900226757369612E-2"/>
                  <c:y val="-3.5242290748898682E-2"/>
                </c:manualLayout>
              </c:layout>
              <c:dLblPos val="r"/>
              <c:showLegendKey val="0"/>
              <c:showVal val="1"/>
              <c:showCatName val="0"/>
              <c:showSerName val="0"/>
              <c:showPercent val="0"/>
              <c:showBubbleSize val="0"/>
            </c:dLbl>
            <c:dLbl>
              <c:idx val="3"/>
              <c:layout>
                <c:manualLayout>
                  <c:x val="-1.4421768707482994E-2"/>
                  <c:y val="-3.2305433186490456E-2"/>
                </c:manualLayout>
              </c:layout>
              <c:dLblPos val="r"/>
              <c:showLegendKey val="0"/>
              <c:showVal val="1"/>
              <c:showCatName val="0"/>
              <c:showSerName val="0"/>
              <c:showPercent val="0"/>
              <c:showBubbleSize val="0"/>
            </c:dLbl>
            <c:dLbl>
              <c:idx val="4"/>
              <c:layout>
                <c:manualLayout>
                  <c:x val="-1.4818683378863357E-2"/>
                  <c:y val="-3.81791483113069E-2"/>
                </c:manualLayout>
              </c:layout>
              <c:dLblPos val="r"/>
              <c:showLegendKey val="0"/>
              <c:showVal val="1"/>
              <c:showCatName val="0"/>
              <c:showSerName val="0"/>
              <c:showPercent val="0"/>
              <c:showBubbleSize val="0"/>
            </c:dLbl>
            <c:dLbl>
              <c:idx val="5"/>
              <c:layout>
                <c:manualLayout>
                  <c:x val="-7.670076954666373E-2"/>
                  <c:y val="2.643171806167401E-2"/>
                </c:manualLayout>
              </c:layout>
              <c:tx>
                <c:rich>
                  <a:bodyPr/>
                  <a:lstStyle/>
                  <a:p>
                    <a:pPr>
                      <a:defRPr sz="1200" b="1" i="0"/>
                    </a:pPr>
                    <a:r>
                      <a:rPr lang="en-US" sz="1000"/>
                      <a:t>$621,771</a:t>
                    </a:r>
                  </a:p>
                </c:rich>
              </c:tx>
              <c:spPr/>
              <c:dLblPos val="r"/>
              <c:showLegendKey val="0"/>
              <c:showVal val="1"/>
              <c:showCatName val="0"/>
              <c:showSerName val="0"/>
              <c:showPercent val="0"/>
              <c:showBubbleSize val="0"/>
            </c:dLbl>
            <c:txPr>
              <a:bodyPr/>
              <a:lstStyle/>
              <a:p>
                <a:pPr>
                  <a:defRPr b="1"/>
                </a:pPr>
                <a:endParaRPr lang="en-US"/>
              </a:p>
            </c:txPr>
            <c:dLblPos val="ctr"/>
            <c:showLegendKey val="0"/>
            <c:showVal val="1"/>
            <c:showCatName val="0"/>
            <c:showSerName val="0"/>
            <c:showPercent val="0"/>
            <c:showBubbleSize val="0"/>
            <c:showLeaderLines val="0"/>
          </c:dLbls>
          <c:cat>
            <c:strRef>
              <c:f>Sheet1!$A$33:$A$38</c:f>
              <c:strCache>
                <c:ptCount val="6"/>
                <c:pt idx="0">
                  <c:v>2009/10</c:v>
                </c:pt>
                <c:pt idx="1">
                  <c:v>2010/11</c:v>
                </c:pt>
                <c:pt idx="2">
                  <c:v>2011/12</c:v>
                </c:pt>
                <c:pt idx="3">
                  <c:v>2012/13</c:v>
                </c:pt>
                <c:pt idx="4">
                  <c:v>2013/14</c:v>
                </c:pt>
                <c:pt idx="5">
                  <c:v>2014/15</c:v>
                </c:pt>
              </c:strCache>
            </c:strRef>
          </c:cat>
          <c:val>
            <c:numRef>
              <c:f>Sheet1!$B$33:$B$38</c:f>
              <c:numCache>
                <c:formatCode>"$"#,##0</c:formatCode>
                <c:ptCount val="6"/>
                <c:pt idx="0">
                  <c:v>1706434</c:v>
                </c:pt>
                <c:pt idx="1">
                  <c:v>1734419</c:v>
                </c:pt>
                <c:pt idx="2">
                  <c:v>1541017</c:v>
                </c:pt>
                <c:pt idx="3">
                  <c:v>1358507</c:v>
                </c:pt>
                <c:pt idx="4">
                  <c:v>904822</c:v>
                </c:pt>
                <c:pt idx="5">
                  <c:v>621771</c:v>
                </c:pt>
              </c:numCache>
            </c:numRef>
          </c:val>
          <c:smooth val="0"/>
        </c:ser>
        <c:dLbls>
          <c:showLegendKey val="0"/>
          <c:showVal val="1"/>
          <c:showCatName val="0"/>
          <c:showSerName val="0"/>
          <c:showPercent val="0"/>
          <c:showBubbleSize val="0"/>
        </c:dLbls>
        <c:marker val="1"/>
        <c:smooth val="0"/>
        <c:axId val="204230016"/>
        <c:axId val="204231808"/>
      </c:lineChart>
      <c:catAx>
        <c:axId val="204230016"/>
        <c:scaling>
          <c:orientation val="minMax"/>
        </c:scaling>
        <c:delete val="0"/>
        <c:axPos val="b"/>
        <c:numFmt formatCode="General" sourceLinked="1"/>
        <c:majorTickMark val="none"/>
        <c:minorTickMark val="none"/>
        <c:tickLblPos val="nextTo"/>
        <c:crossAx val="204231808"/>
        <c:crossesAt val="0"/>
        <c:auto val="1"/>
        <c:lblAlgn val="ctr"/>
        <c:lblOffset val="100"/>
        <c:noMultiLvlLbl val="0"/>
      </c:catAx>
      <c:valAx>
        <c:axId val="204231808"/>
        <c:scaling>
          <c:orientation val="minMax"/>
        </c:scaling>
        <c:delete val="0"/>
        <c:axPos val="l"/>
        <c:majorGridlines/>
        <c:numFmt formatCode="#,##0" sourceLinked="0"/>
        <c:majorTickMark val="none"/>
        <c:minorTickMark val="none"/>
        <c:tickLblPos val="nextTo"/>
        <c:crossAx val="204230016"/>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AU" sz="1200"/>
              <a:t>Top</a:t>
            </a:r>
            <a:r>
              <a:rPr lang="en-AU" sz="1200" baseline="0"/>
              <a:t> i</a:t>
            </a:r>
            <a:r>
              <a:rPr lang="en-AU" sz="1200"/>
              <a:t>ssues</a:t>
            </a:r>
            <a:r>
              <a:rPr lang="en-AU" sz="1200" baseline="0"/>
              <a:t> of concern for neighbourhoods,                                    Community Surveys 2012, 2013, 2014</a:t>
            </a:r>
            <a:endParaRPr lang="en-AU" sz="1200"/>
          </a:p>
        </c:rich>
      </c:tx>
      <c:layout>
        <c:manualLayout>
          <c:xMode val="edge"/>
          <c:yMode val="edge"/>
          <c:x val="0.24082139013198889"/>
          <c:y val="0"/>
        </c:manualLayout>
      </c:layout>
      <c:overlay val="0"/>
    </c:title>
    <c:autoTitleDeleted val="0"/>
    <c:plotArea>
      <c:layout>
        <c:manualLayout>
          <c:layoutTarget val="inner"/>
          <c:xMode val="edge"/>
          <c:yMode val="edge"/>
          <c:x val="0.43402065748975621"/>
          <c:y val="0.19156265748026247"/>
          <c:w val="0.42848656507864574"/>
          <c:h val="0.73224689172290403"/>
        </c:manualLayout>
      </c:layout>
      <c:barChart>
        <c:barDir val="bar"/>
        <c:grouping val="clustered"/>
        <c:varyColors val="0"/>
        <c:ser>
          <c:idx val="0"/>
          <c:order val="0"/>
          <c:tx>
            <c:strRef>
              <c:f>Neighbourhood!$B$1</c:f>
              <c:strCache>
                <c:ptCount val="1"/>
                <c:pt idx="0">
                  <c:v>2012</c:v>
                </c:pt>
              </c:strCache>
            </c:strRef>
          </c:tx>
          <c:invertIfNegative val="0"/>
          <c:cat>
            <c:strRef>
              <c:f>Neighbourhood!$A$2:$A$7</c:f>
              <c:strCache>
                <c:ptCount val="6"/>
                <c:pt idx="0">
                  <c:v>Roads/Kerb/Footpaths</c:v>
                </c:pt>
                <c:pt idx="1">
                  <c:v>Bushfire Prevention/Recovery</c:v>
                </c:pt>
                <c:pt idx="2">
                  <c:v>Traffic Congestion/Management</c:v>
                </c:pt>
                <c:pt idx="3">
                  <c:v>Development/Residential/Commercial</c:v>
                </c:pt>
                <c:pt idx="4">
                  <c:v>Youth Facilities</c:v>
                </c:pt>
                <c:pt idx="5">
                  <c:v>Safety at Night/Community Safety</c:v>
                </c:pt>
              </c:strCache>
            </c:strRef>
          </c:cat>
          <c:val>
            <c:numRef>
              <c:f>Neighbourhood!$B$2:$B$7</c:f>
              <c:numCache>
                <c:formatCode>General</c:formatCode>
                <c:ptCount val="6"/>
                <c:pt idx="0">
                  <c:v>32.6</c:v>
                </c:pt>
                <c:pt idx="1">
                  <c:v>0.9</c:v>
                </c:pt>
                <c:pt idx="2">
                  <c:v>13.6</c:v>
                </c:pt>
                <c:pt idx="3">
                  <c:v>10.7</c:v>
                </c:pt>
                <c:pt idx="4">
                  <c:v>2.9</c:v>
                </c:pt>
                <c:pt idx="5">
                  <c:v>0</c:v>
                </c:pt>
              </c:numCache>
            </c:numRef>
          </c:val>
        </c:ser>
        <c:ser>
          <c:idx val="1"/>
          <c:order val="1"/>
          <c:tx>
            <c:strRef>
              <c:f>Neighbourhood!$C$1</c:f>
              <c:strCache>
                <c:ptCount val="1"/>
                <c:pt idx="0">
                  <c:v>2013</c:v>
                </c:pt>
              </c:strCache>
            </c:strRef>
          </c:tx>
          <c:invertIfNegative val="0"/>
          <c:cat>
            <c:strRef>
              <c:f>Neighbourhood!$A$2:$A$7</c:f>
              <c:strCache>
                <c:ptCount val="6"/>
                <c:pt idx="0">
                  <c:v>Roads/Kerb/Footpaths</c:v>
                </c:pt>
                <c:pt idx="1">
                  <c:v>Bushfire Prevention/Recovery</c:v>
                </c:pt>
                <c:pt idx="2">
                  <c:v>Traffic Congestion/Management</c:v>
                </c:pt>
                <c:pt idx="3">
                  <c:v>Development/Residential/Commercial</c:v>
                </c:pt>
                <c:pt idx="4">
                  <c:v>Youth Facilities</c:v>
                </c:pt>
                <c:pt idx="5">
                  <c:v>Safety at Night/Community Safety</c:v>
                </c:pt>
              </c:strCache>
            </c:strRef>
          </c:cat>
          <c:val>
            <c:numRef>
              <c:f>Neighbourhood!$C$2:$C$7</c:f>
              <c:numCache>
                <c:formatCode>General</c:formatCode>
                <c:ptCount val="6"/>
                <c:pt idx="0">
                  <c:v>20</c:v>
                </c:pt>
                <c:pt idx="1">
                  <c:v>3.7</c:v>
                </c:pt>
                <c:pt idx="2">
                  <c:v>2.2000000000000002</c:v>
                </c:pt>
                <c:pt idx="3">
                  <c:v>0</c:v>
                </c:pt>
                <c:pt idx="4">
                  <c:v>5</c:v>
                </c:pt>
                <c:pt idx="5">
                  <c:v>6</c:v>
                </c:pt>
              </c:numCache>
            </c:numRef>
          </c:val>
        </c:ser>
        <c:ser>
          <c:idx val="2"/>
          <c:order val="2"/>
          <c:tx>
            <c:strRef>
              <c:f>Neighbourhood!$D$1</c:f>
              <c:strCache>
                <c:ptCount val="1"/>
                <c:pt idx="0">
                  <c:v>2014</c:v>
                </c:pt>
              </c:strCache>
            </c:strRef>
          </c:tx>
          <c:invertIfNegative val="0"/>
          <c:cat>
            <c:strRef>
              <c:f>Neighbourhood!$A$2:$A$7</c:f>
              <c:strCache>
                <c:ptCount val="6"/>
                <c:pt idx="0">
                  <c:v>Roads/Kerb/Footpaths</c:v>
                </c:pt>
                <c:pt idx="1">
                  <c:v>Bushfire Prevention/Recovery</c:v>
                </c:pt>
                <c:pt idx="2">
                  <c:v>Traffic Congestion/Management</c:v>
                </c:pt>
                <c:pt idx="3">
                  <c:v>Development/Residential/Commercial</c:v>
                </c:pt>
                <c:pt idx="4">
                  <c:v>Youth Facilities</c:v>
                </c:pt>
                <c:pt idx="5">
                  <c:v>Safety at Night/Community Safety</c:v>
                </c:pt>
              </c:strCache>
            </c:strRef>
          </c:cat>
          <c:val>
            <c:numRef>
              <c:f>Neighbourhood!$D$2:$D$7</c:f>
              <c:numCache>
                <c:formatCode>General</c:formatCode>
                <c:ptCount val="6"/>
                <c:pt idx="0">
                  <c:v>27.1</c:v>
                </c:pt>
                <c:pt idx="1">
                  <c:v>14.7</c:v>
                </c:pt>
                <c:pt idx="2">
                  <c:v>2.4</c:v>
                </c:pt>
                <c:pt idx="3">
                  <c:v>0</c:v>
                </c:pt>
                <c:pt idx="4">
                  <c:v>2</c:v>
                </c:pt>
                <c:pt idx="5">
                  <c:v>0.6</c:v>
                </c:pt>
              </c:numCache>
            </c:numRef>
          </c:val>
        </c:ser>
        <c:dLbls>
          <c:showLegendKey val="0"/>
          <c:showVal val="0"/>
          <c:showCatName val="0"/>
          <c:showSerName val="0"/>
          <c:showPercent val="0"/>
          <c:showBubbleSize val="0"/>
        </c:dLbls>
        <c:gapWidth val="150"/>
        <c:axId val="197572096"/>
        <c:axId val="197573632"/>
      </c:barChart>
      <c:catAx>
        <c:axId val="197572096"/>
        <c:scaling>
          <c:orientation val="maxMin"/>
        </c:scaling>
        <c:delete val="0"/>
        <c:axPos val="l"/>
        <c:majorTickMark val="out"/>
        <c:minorTickMark val="none"/>
        <c:tickLblPos val="nextTo"/>
        <c:crossAx val="197573632"/>
        <c:crosses val="autoZero"/>
        <c:auto val="1"/>
        <c:lblAlgn val="ctr"/>
        <c:lblOffset val="100"/>
        <c:noMultiLvlLbl val="0"/>
      </c:catAx>
      <c:valAx>
        <c:axId val="197573632"/>
        <c:scaling>
          <c:orientation val="minMax"/>
        </c:scaling>
        <c:delete val="0"/>
        <c:axPos val="t"/>
        <c:majorGridlines/>
        <c:title>
          <c:tx>
            <c:rich>
              <a:bodyPr/>
              <a:lstStyle/>
              <a:p>
                <a:pPr>
                  <a:defRPr/>
                </a:pPr>
                <a:r>
                  <a:rPr lang="en-AU"/>
                  <a:t>%</a:t>
                </a:r>
              </a:p>
            </c:rich>
          </c:tx>
          <c:layout>
            <c:manualLayout>
              <c:xMode val="edge"/>
              <c:yMode val="edge"/>
              <c:x val="0.89440302875809585"/>
              <c:y val="0.10272212549360481"/>
            </c:manualLayout>
          </c:layout>
          <c:overlay val="0"/>
        </c:title>
        <c:numFmt formatCode="General" sourceLinked="1"/>
        <c:majorTickMark val="out"/>
        <c:minorTickMark val="none"/>
        <c:tickLblPos val="nextTo"/>
        <c:crossAx val="197572096"/>
        <c:crosses val="autoZero"/>
        <c:crossBetween val="between"/>
        <c:majorUnit val="5"/>
      </c:valAx>
    </c:plotArea>
    <c:legend>
      <c:legendPos val="r"/>
      <c:legendEntry>
        <c:idx val="0"/>
        <c:txPr>
          <a:bodyPr/>
          <a:lstStyle/>
          <a:p>
            <a:pPr>
              <a:defRPr sz="1100" b="1" baseline="0"/>
            </a:pPr>
            <a:endParaRPr lang="en-US"/>
          </a:p>
        </c:txPr>
      </c:legendEntry>
      <c:legendEntry>
        <c:idx val="1"/>
        <c:txPr>
          <a:bodyPr/>
          <a:lstStyle/>
          <a:p>
            <a:pPr>
              <a:defRPr sz="1100" b="1" baseline="0"/>
            </a:pPr>
            <a:endParaRPr lang="en-US"/>
          </a:p>
        </c:txPr>
      </c:legendEntry>
      <c:legendEntry>
        <c:idx val="2"/>
        <c:txPr>
          <a:bodyPr/>
          <a:lstStyle/>
          <a:p>
            <a:pPr>
              <a:defRPr sz="1100" b="1" baseline="0"/>
            </a:pPr>
            <a:endParaRPr lang="en-US"/>
          </a:p>
        </c:txPr>
      </c:legendEntry>
      <c:layout>
        <c:manualLayout>
          <c:xMode val="edge"/>
          <c:yMode val="edge"/>
          <c:x val="0.85068468060197511"/>
          <c:y val="0.36328292296796233"/>
          <c:w val="0.14931531939802489"/>
          <c:h val="0.31004757738616007"/>
        </c:manualLayout>
      </c:layout>
      <c:overlay val="0"/>
      <c:txPr>
        <a:bodyPr/>
        <a:lstStyle/>
        <a:p>
          <a:pPr>
            <a:defRPr sz="1100" baseline="0"/>
          </a:pPr>
          <a:endParaRPr lang="en-US"/>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Number of new rateable properties</a:t>
            </a:r>
          </a:p>
        </c:rich>
      </c:tx>
      <c:layout/>
      <c:overlay val="0"/>
    </c:title>
    <c:autoTitleDeleted val="0"/>
    <c:plotArea>
      <c:layout>
        <c:manualLayout>
          <c:layoutTarget val="inner"/>
          <c:xMode val="edge"/>
          <c:yMode val="edge"/>
          <c:x val="3.710574416397739E-2"/>
          <c:y val="0.20904793479762399"/>
          <c:w val="0.84368372582964934"/>
          <c:h val="0.61061720510558737"/>
        </c:manualLayout>
      </c:layout>
      <c:lineChart>
        <c:grouping val="standard"/>
        <c:varyColors val="0"/>
        <c:ser>
          <c:idx val="0"/>
          <c:order val="0"/>
          <c:cat>
            <c:strRef>
              <c:f>Sheet1!$A$5:$A$14</c:f>
              <c:strCache>
                <c:ptCount val="10"/>
                <c:pt idx="0">
                  <c:v>13/14</c:v>
                </c:pt>
                <c:pt idx="1">
                  <c:v>12/13</c:v>
                </c:pt>
                <c:pt idx="2">
                  <c:v>11/12</c:v>
                </c:pt>
                <c:pt idx="3">
                  <c:v>10/11</c:v>
                </c:pt>
                <c:pt idx="4">
                  <c:v>09/10</c:v>
                </c:pt>
                <c:pt idx="5">
                  <c:v>08/09</c:v>
                </c:pt>
                <c:pt idx="6">
                  <c:v>07/08</c:v>
                </c:pt>
                <c:pt idx="7">
                  <c:v>06/07</c:v>
                </c:pt>
                <c:pt idx="8">
                  <c:v>05/06</c:v>
                </c:pt>
                <c:pt idx="9">
                  <c:v>04/05</c:v>
                </c:pt>
              </c:strCache>
            </c:strRef>
          </c:cat>
          <c:val>
            <c:numRef>
              <c:f>Sheet1!$C$5:$C$14</c:f>
              <c:numCache>
                <c:formatCode>General</c:formatCode>
                <c:ptCount val="10"/>
                <c:pt idx="0">
                  <c:v>33</c:v>
                </c:pt>
                <c:pt idx="1">
                  <c:v>31</c:v>
                </c:pt>
                <c:pt idx="2">
                  <c:v>55</c:v>
                </c:pt>
                <c:pt idx="3">
                  <c:v>41</c:v>
                </c:pt>
                <c:pt idx="4">
                  <c:v>42</c:v>
                </c:pt>
                <c:pt idx="5">
                  <c:v>67</c:v>
                </c:pt>
                <c:pt idx="6">
                  <c:v>108</c:v>
                </c:pt>
                <c:pt idx="7">
                  <c:v>90</c:v>
                </c:pt>
                <c:pt idx="8">
                  <c:v>123</c:v>
                </c:pt>
                <c:pt idx="9">
                  <c:v>131</c:v>
                </c:pt>
              </c:numCache>
            </c:numRef>
          </c:val>
          <c:smooth val="0"/>
        </c:ser>
        <c:dLbls>
          <c:showLegendKey val="0"/>
          <c:showVal val="0"/>
          <c:showCatName val="0"/>
          <c:showSerName val="0"/>
          <c:showPercent val="0"/>
          <c:showBubbleSize val="0"/>
        </c:dLbls>
        <c:marker val="1"/>
        <c:smooth val="0"/>
        <c:axId val="197616768"/>
        <c:axId val="197618304"/>
      </c:lineChart>
      <c:catAx>
        <c:axId val="197616768"/>
        <c:scaling>
          <c:orientation val="maxMin"/>
        </c:scaling>
        <c:delete val="0"/>
        <c:axPos val="b"/>
        <c:majorTickMark val="out"/>
        <c:minorTickMark val="none"/>
        <c:tickLblPos val="nextTo"/>
        <c:crossAx val="197618304"/>
        <c:crosses val="autoZero"/>
        <c:auto val="1"/>
        <c:lblAlgn val="ctr"/>
        <c:lblOffset val="100"/>
        <c:noMultiLvlLbl val="0"/>
      </c:catAx>
      <c:valAx>
        <c:axId val="197618304"/>
        <c:scaling>
          <c:orientation val="minMax"/>
        </c:scaling>
        <c:delete val="0"/>
        <c:axPos val="r"/>
        <c:majorGridlines/>
        <c:title>
          <c:tx>
            <c:rich>
              <a:bodyPr rot="-5400000" vert="horz"/>
              <a:lstStyle/>
              <a:p>
                <a:pPr>
                  <a:defRPr/>
                </a:pPr>
                <a:r>
                  <a:rPr lang="en-AU"/>
                  <a:t>number</a:t>
                </a:r>
              </a:p>
            </c:rich>
          </c:tx>
          <c:layout>
            <c:manualLayout>
              <c:xMode val="edge"/>
              <c:yMode val="edge"/>
              <c:x val="0.94108142381078774"/>
              <c:y val="0.6503397075365579"/>
            </c:manualLayout>
          </c:layout>
          <c:overlay val="0"/>
        </c:title>
        <c:numFmt formatCode="General" sourceLinked="1"/>
        <c:majorTickMark val="out"/>
        <c:minorTickMark val="out"/>
        <c:tickLblPos val="nextTo"/>
        <c:crossAx val="197616768"/>
        <c:crosses val="autoZero"/>
        <c:crossBetween val="between"/>
        <c:minorUnit val="10"/>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31743453739301E-2"/>
          <c:y val="7.6243242824246049E-2"/>
          <c:w val="0.88753548104137125"/>
          <c:h val="0.67570684262056191"/>
        </c:manualLayout>
      </c:layout>
      <c:lineChart>
        <c:grouping val="standard"/>
        <c:varyColors val="0"/>
        <c:ser>
          <c:idx val="0"/>
          <c:order val="0"/>
          <c:tx>
            <c:strRef>
              <c:f>'LTFP Ratios'!$BW$31</c:f>
              <c:strCache>
                <c:ptCount val="1"/>
                <c:pt idx="0">
                  <c:v>Scenario 1</c:v>
                </c:pt>
              </c:strCache>
            </c:strRef>
          </c:tx>
          <c:spPr>
            <a:ln>
              <a:solidFill>
                <a:schemeClr val="accent3"/>
              </a:solidFill>
            </a:ln>
          </c:spPr>
          <c:marker>
            <c:symbol val="circle"/>
            <c:size val="5"/>
            <c:spPr>
              <a:solidFill>
                <a:schemeClr val="accent3"/>
              </a:solidFill>
              <a:ln>
                <a:solidFill>
                  <a:schemeClr val="accent3"/>
                </a:solidFill>
              </a:ln>
            </c:spPr>
          </c:marker>
          <c:cat>
            <c:strRef>
              <c:f>'LTFP Ratios'!$AZ$30:$BI$30</c:f>
              <c:strCache>
                <c:ptCount val="10"/>
                <c:pt idx="0">
                  <c:v>14/15</c:v>
                </c:pt>
                <c:pt idx="1">
                  <c:v>15/16</c:v>
                </c:pt>
                <c:pt idx="2">
                  <c:v>16/17</c:v>
                </c:pt>
                <c:pt idx="3">
                  <c:v>17/18</c:v>
                </c:pt>
                <c:pt idx="4">
                  <c:v>18/19</c:v>
                </c:pt>
                <c:pt idx="5">
                  <c:v>19/20</c:v>
                </c:pt>
                <c:pt idx="6">
                  <c:v>20/21</c:v>
                </c:pt>
                <c:pt idx="7">
                  <c:v>21/22</c:v>
                </c:pt>
                <c:pt idx="8">
                  <c:v>22/23</c:v>
                </c:pt>
                <c:pt idx="9">
                  <c:v>23/24</c:v>
                </c:pt>
              </c:strCache>
            </c:strRef>
          </c:cat>
          <c:val>
            <c:numRef>
              <c:f>'LTFP Ratios'!$BX$31:$CG$31</c:f>
              <c:numCache>
                <c:formatCode>#,##0;\(#,##0\)</c:formatCode>
                <c:ptCount val="10"/>
                <c:pt idx="0">
                  <c:v>-5713</c:v>
                </c:pt>
                <c:pt idx="1">
                  <c:v>-6012</c:v>
                </c:pt>
                <c:pt idx="2">
                  <c:v>-3937</c:v>
                </c:pt>
                <c:pt idx="3">
                  <c:v>-1256</c:v>
                </c:pt>
                <c:pt idx="4">
                  <c:v>1927</c:v>
                </c:pt>
                <c:pt idx="5">
                  <c:v>1728</c:v>
                </c:pt>
                <c:pt idx="6">
                  <c:v>1331</c:v>
                </c:pt>
                <c:pt idx="7">
                  <c:v>966</c:v>
                </c:pt>
                <c:pt idx="8">
                  <c:v>508</c:v>
                </c:pt>
                <c:pt idx="9">
                  <c:v>-672</c:v>
                </c:pt>
              </c:numCache>
            </c:numRef>
          </c:val>
          <c:smooth val="0"/>
        </c:ser>
        <c:ser>
          <c:idx val="1"/>
          <c:order val="1"/>
          <c:tx>
            <c:strRef>
              <c:f>'LTFP Ratios'!$BW$33</c:f>
              <c:strCache>
                <c:ptCount val="1"/>
                <c:pt idx="0">
                  <c:v>Scenario 3</c:v>
                </c:pt>
              </c:strCache>
            </c:strRef>
          </c:tx>
          <c:spPr>
            <a:ln>
              <a:solidFill>
                <a:schemeClr val="accent2"/>
              </a:solidFill>
            </a:ln>
          </c:spPr>
          <c:marker>
            <c:symbol val="triangle"/>
            <c:size val="5"/>
            <c:spPr>
              <a:solidFill>
                <a:schemeClr val="accent2"/>
              </a:solidFill>
              <a:ln>
                <a:solidFill>
                  <a:schemeClr val="accent2"/>
                </a:solidFill>
              </a:ln>
            </c:spPr>
          </c:marker>
          <c:cat>
            <c:strRef>
              <c:f>'LTFP Ratios'!$AZ$30:$BI$30</c:f>
              <c:strCache>
                <c:ptCount val="10"/>
                <c:pt idx="0">
                  <c:v>14/15</c:v>
                </c:pt>
                <c:pt idx="1">
                  <c:v>15/16</c:v>
                </c:pt>
                <c:pt idx="2">
                  <c:v>16/17</c:v>
                </c:pt>
                <c:pt idx="3">
                  <c:v>17/18</c:v>
                </c:pt>
                <c:pt idx="4">
                  <c:v>18/19</c:v>
                </c:pt>
                <c:pt idx="5">
                  <c:v>19/20</c:v>
                </c:pt>
                <c:pt idx="6">
                  <c:v>20/21</c:v>
                </c:pt>
                <c:pt idx="7">
                  <c:v>21/22</c:v>
                </c:pt>
                <c:pt idx="8">
                  <c:v>22/23</c:v>
                </c:pt>
                <c:pt idx="9">
                  <c:v>23/24</c:v>
                </c:pt>
              </c:strCache>
            </c:strRef>
          </c:cat>
          <c:val>
            <c:numRef>
              <c:f>'LTFP Ratios'!$BX$33:$CG$33</c:f>
              <c:numCache>
                <c:formatCode>#,##0;\(#,##0\)</c:formatCode>
                <c:ptCount val="10"/>
                <c:pt idx="0">
                  <c:v>-5713</c:v>
                </c:pt>
                <c:pt idx="1">
                  <c:v>-6340</c:v>
                </c:pt>
                <c:pt idx="2">
                  <c:v>-6243</c:v>
                </c:pt>
                <c:pt idx="3">
                  <c:v>-6049</c:v>
                </c:pt>
                <c:pt idx="4">
                  <c:v>-5581</c:v>
                </c:pt>
                <c:pt idx="5">
                  <c:v>-5161</c:v>
                </c:pt>
                <c:pt idx="6">
                  <c:v>-4899</c:v>
                </c:pt>
                <c:pt idx="7">
                  <c:v>-4559</c:v>
                </c:pt>
                <c:pt idx="8">
                  <c:v>-4358</c:v>
                </c:pt>
                <c:pt idx="9">
                  <c:v>-4739</c:v>
                </c:pt>
              </c:numCache>
            </c:numRef>
          </c:val>
          <c:smooth val="0"/>
        </c:ser>
        <c:ser>
          <c:idx val="3"/>
          <c:order val="2"/>
          <c:tx>
            <c:strRef>
              <c:f>'LTFP Ratios'!$BW$35</c:f>
              <c:strCache>
                <c:ptCount val="1"/>
                <c:pt idx="0">
                  <c:v>Target Range</c:v>
                </c:pt>
              </c:strCache>
            </c:strRef>
          </c:tx>
          <c:spPr>
            <a:ln>
              <a:solidFill>
                <a:schemeClr val="accent4">
                  <a:lumMod val="40000"/>
                  <a:lumOff val="60000"/>
                </a:schemeClr>
              </a:solidFill>
            </a:ln>
          </c:spPr>
          <c:marker>
            <c:symbol val="square"/>
            <c:size val="5"/>
            <c:spPr>
              <a:solidFill>
                <a:schemeClr val="accent4">
                  <a:lumMod val="40000"/>
                  <a:lumOff val="60000"/>
                </a:schemeClr>
              </a:solidFill>
              <a:ln>
                <a:solidFill>
                  <a:schemeClr val="accent4">
                    <a:lumMod val="40000"/>
                    <a:lumOff val="60000"/>
                  </a:schemeClr>
                </a:solidFill>
              </a:ln>
            </c:spPr>
          </c:marker>
          <c:cat>
            <c:strRef>
              <c:f>'LTFP Ratios'!$AZ$30:$BI$30</c:f>
              <c:strCache>
                <c:ptCount val="10"/>
                <c:pt idx="0">
                  <c:v>14/15</c:v>
                </c:pt>
                <c:pt idx="1">
                  <c:v>15/16</c:v>
                </c:pt>
                <c:pt idx="2">
                  <c:v>16/17</c:v>
                </c:pt>
                <c:pt idx="3">
                  <c:v>17/18</c:v>
                </c:pt>
                <c:pt idx="4">
                  <c:v>18/19</c:v>
                </c:pt>
                <c:pt idx="5">
                  <c:v>19/20</c:v>
                </c:pt>
                <c:pt idx="6">
                  <c:v>20/21</c:v>
                </c:pt>
                <c:pt idx="7">
                  <c:v>21/22</c:v>
                </c:pt>
                <c:pt idx="8">
                  <c:v>22/23</c:v>
                </c:pt>
                <c:pt idx="9">
                  <c:v>23/24</c:v>
                </c:pt>
              </c:strCache>
            </c:strRef>
          </c:cat>
          <c:val>
            <c:numRef>
              <c:f>'LTFP Ratios'!$BX$35:$CG$35</c:f>
              <c:numCache>
                <c:formatCode>#,##0;\(#,##0\)</c:formatCode>
                <c:ptCount val="10"/>
                <c:pt idx="0">
                  <c:v>-1000</c:v>
                </c:pt>
                <c:pt idx="1">
                  <c:v>-1000</c:v>
                </c:pt>
                <c:pt idx="2">
                  <c:v>-1000</c:v>
                </c:pt>
                <c:pt idx="3">
                  <c:v>-1000</c:v>
                </c:pt>
                <c:pt idx="4">
                  <c:v>-1000</c:v>
                </c:pt>
                <c:pt idx="5">
                  <c:v>-1000</c:v>
                </c:pt>
                <c:pt idx="6">
                  <c:v>-1000</c:v>
                </c:pt>
                <c:pt idx="7">
                  <c:v>-1000</c:v>
                </c:pt>
                <c:pt idx="8">
                  <c:v>-1000</c:v>
                </c:pt>
                <c:pt idx="9">
                  <c:v>-1000</c:v>
                </c:pt>
              </c:numCache>
            </c:numRef>
          </c:val>
          <c:smooth val="0"/>
        </c:ser>
        <c:ser>
          <c:idx val="4"/>
          <c:order val="3"/>
          <c:tx>
            <c:strRef>
              <c:f>'LTFP Ratios'!$BW$34</c:f>
              <c:strCache>
                <c:ptCount val="1"/>
              </c:strCache>
            </c:strRef>
          </c:tx>
          <c:spPr>
            <a:ln>
              <a:solidFill>
                <a:schemeClr val="accent4">
                  <a:lumMod val="40000"/>
                  <a:lumOff val="60000"/>
                </a:schemeClr>
              </a:solidFill>
            </a:ln>
          </c:spPr>
          <c:marker>
            <c:symbol val="square"/>
            <c:size val="5"/>
            <c:spPr>
              <a:solidFill>
                <a:schemeClr val="accent4">
                  <a:lumMod val="40000"/>
                  <a:lumOff val="60000"/>
                </a:schemeClr>
              </a:solidFill>
              <a:ln>
                <a:solidFill>
                  <a:schemeClr val="accent4">
                    <a:lumMod val="40000"/>
                    <a:lumOff val="60000"/>
                  </a:schemeClr>
                </a:solidFill>
              </a:ln>
            </c:spPr>
          </c:marker>
          <c:val>
            <c:numRef>
              <c:f>'LTFP Ratios'!$BX$34:$CG$34</c:f>
              <c:numCache>
                <c:formatCode>#,##0;\(#,##0\)</c:formatCode>
                <c:ptCount val="10"/>
                <c:pt idx="0">
                  <c:v>1000</c:v>
                </c:pt>
                <c:pt idx="1">
                  <c:v>1000</c:v>
                </c:pt>
                <c:pt idx="2">
                  <c:v>1000</c:v>
                </c:pt>
                <c:pt idx="3">
                  <c:v>1000</c:v>
                </c:pt>
                <c:pt idx="4">
                  <c:v>1000</c:v>
                </c:pt>
                <c:pt idx="5">
                  <c:v>1000</c:v>
                </c:pt>
                <c:pt idx="6">
                  <c:v>1000</c:v>
                </c:pt>
                <c:pt idx="7">
                  <c:v>1000</c:v>
                </c:pt>
                <c:pt idx="8">
                  <c:v>1000</c:v>
                </c:pt>
                <c:pt idx="9">
                  <c:v>1000</c:v>
                </c:pt>
              </c:numCache>
            </c:numRef>
          </c:val>
          <c:smooth val="0"/>
        </c:ser>
        <c:dLbls>
          <c:showLegendKey val="0"/>
          <c:showVal val="0"/>
          <c:showCatName val="0"/>
          <c:showSerName val="0"/>
          <c:showPercent val="0"/>
          <c:showBubbleSize val="0"/>
        </c:dLbls>
        <c:marker val="1"/>
        <c:smooth val="0"/>
        <c:axId val="197715840"/>
        <c:axId val="197718016"/>
      </c:lineChart>
      <c:catAx>
        <c:axId val="197715840"/>
        <c:scaling>
          <c:orientation val="minMax"/>
        </c:scaling>
        <c:delete val="0"/>
        <c:axPos val="b"/>
        <c:numFmt formatCode="General" sourceLinked="1"/>
        <c:majorTickMark val="none"/>
        <c:minorTickMark val="none"/>
        <c:tickLblPos val="low"/>
        <c:crossAx val="197718016"/>
        <c:crossesAt val="0"/>
        <c:auto val="1"/>
        <c:lblAlgn val="ctr"/>
        <c:lblOffset val="100"/>
        <c:noMultiLvlLbl val="0"/>
      </c:catAx>
      <c:valAx>
        <c:axId val="197718016"/>
        <c:scaling>
          <c:orientation val="minMax"/>
          <c:max val="2000"/>
          <c:min val="-7000"/>
        </c:scaling>
        <c:delete val="0"/>
        <c:axPos val="l"/>
        <c:majorGridlines/>
        <c:numFmt formatCode="#,##0;\(#,##0\)" sourceLinked="1"/>
        <c:majorTickMark val="none"/>
        <c:minorTickMark val="none"/>
        <c:tickLblPos val="nextTo"/>
        <c:spPr>
          <a:ln w="9525">
            <a:noFill/>
          </a:ln>
        </c:spPr>
        <c:crossAx val="197715840"/>
        <c:crosses val="autoZero"/>
        <c:crossBetween val="between"/>
        <c:majorUnit val="1000"/>
      </c:valAx>
      <c:spPr>
        <a:gradFill>
          <a:gsLst>
            <a:gs pos="7000">
              <a:schemeClr val="bg1"/>
            </a:gs>
            <a:gs pos="22000">
              <a:schemeClr val="accent4">
                <a:lumMod val="40000"/>
                <a:lumOff val="60000"/>
              </a:schemeClr>
            </a:gs>
            <a:gs pos="39000">
              <a:schemeClr val="bg1"/>
            </a:gs>
          </a:gsLst>
          <a:lin ang="5400000" scaled="0"/>
        </a:gradFill>
      </c:spPr>
    </c:plotArea>
    <c:legend>
      <c:legendPos val="b"/>
      <c:layout>
        <c:manualLayout>
          <c:xMode val="edge"/>
          <c:yMode val="edge"/>
          <c:x val="0.14513638631217973"/>
          <c:y val="0.87989229544513148"/>
          <c:w val="0.69783643323654321"/>
          <c:h val="9.1289399715939246E-2"/>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31743453739301E-2"/>
          <c:y val="7.6243242824246049E-2"/>
          <c:w val="0.88753548104137125"/>
          <c:h val="0.67570684262056191"/>
        </c:manualLayout>
      </c:layout>
      <c:lineChart>
        <c:grouping val="standard"/>
        <c:varyColors val="0"/>
        <c:ser>
          <c:idx val="1"/>
          <c:order val="0"/>
          <c:tx>
            <c:strRef>
              <c:f>'LTFP Ratios'!$BW$33</c:f>
              <c:strCache>
                <c:ptCount val="1"/>
                <c:pt idx="0">
                  <c:v>Scenario 3</c:v>
                </c:pt>
              </c:strCache>
            </c:strRef>
          </c:tx>
          <c:spPr>
            <a:ln>
              <a:solidFill>
                <a:schemeClr val="accent2"/>
              </a:solidFill>
            </a:ln>
          </c:spPr>
          <c:marker>
            <c:symbol val="triangle"/>
            <c:size val="5"/>
            <c:spPr>
              <a:solidFill>
                <a:schemeClr val="accent2"/>
              </a:solidFill>
              <a:ln>
                <a:solidFill>
                  <a:schemeClr val="accent2"/>
                </a:solidFill>
              </a:ln>
            </c:spPr>
          </c:marker>
          <c:cat>
            <c:strRef>
              <c:f>'LTFP Ratios'!$AZ$30:$BI$30</c:f>
              <c:strCache>
                <c:ptCount val="10"/>
                <c:pt idx="0">
                  <c:v>14/15</c:v>
                </c:pt>
                <c:pt idx="1">
                  <c:v>15/16</c:v>
                </c:pt>
                <c:pt idx="2">
                  <c:v>16/17</c:v>
                </c:pt>
                <c:pt idx="3">
                  <c:v>17/18</c:v>
                </c:pt>
                <c:pt idx="4">
                  <c:v>18/19</c:v>
                </c:pt>
                <c:pt idx="5">
                  <c:v>19/20</c:v>
                </c:pt>
                <c:pt idx="6">
                  <c:v>20/21</c:v>
                </c:pt>
                <c:pt idx="7">
                  <c:v>21/22</c:v>
                </c:pt>
                <c:pt idx="8">
                  <c:v>22/23</c:v>
                </c:pt>
                <c:pt idx="9">
                  <c:v>23/24</c:v>
                </c:pt>
              </c:strCache>
            </c:strRef>
          </c:cat>
          <c:val>
            <c:numRef>
              <c:f>'LTFP Ratios'!$BX$33:$CG$33</c:f>
              <c:numCache>
                <c:formatCode>#,##0;\(#,##0\)</c:formatCode>
                <c:ptCount val="10"/>
                <c:pt idx="0">
                  <c:v>-5713</c:v>
                </c:pt>
                <c:pt idx="1">
                  <c:v>-6340</c:v>
                </c:pt>
                <c:pt idx="2">
                  <c:v>-6243</c:v>
                </c:pt>
                <c:pt idx="3">
                  <c:v>-6049</c:v>
                </c:pt>
                <c:pt idx="4">
                  <c:v>-5581</c:v>
                </c:pt>
                <c:pt idx="5">
                  <c:v>-5161</c:v>
                </c:pt>
                <c:pt idx="6">
                  <c:v>-4899</c:v>
                </c:pt>
                <c:pt idx="7">
                  <c:v>-4559</c:v>
                </c:pt>
                <c:pt idx="8">
                  <c:v>-4358</c:v>
                </c:pt>
                <c:pt idx="9">
                  <c:v>-4739</c:v>
                </c:pt>
              </c:numCache>
            </c:numRef>
          </c:val>
          <c:smooth val="0"/>
        </c:ser>
        <c:ser>
          <c:idx val="3"/>
          <c:order val="1"/>
          <c:tx>
            <c:strRef>
              <c:f>'LTFP Ratios'!$BW$35</c:f>
              <c:strCache>
                <c:ptCount val="1"/>
                <c:pt idx="0">
                  <c:v>Target Range</c:v>
                </c:pt>
              </c:strCache>
            </c:strRef>
          </c:tx>
          <c:spPr>
            <a:ln>
              <a:solidFill>
                <a:schemeClr val="accent4">
                  <a:lumMod val="40000"/>
                  <a:lumOff val="60000"/>
                </a:schemeClr>
              </a:solidFill>
            </a:ln>
          </c:spPr>
          <c:marker>
            <c:symbol val="square"/>
            <c:size val="5"/>
            <c:spPr>
              <a:solidFill>
                <a:schemeClr val="accent4">
                  <a:lumMod val="40000"/>
                  <a:lumOff val="60000"/>
                </a:schemeClr>
              </a:solidFill>
              <a:ln>
                <a:solidFill>
                  <a:schemeClr val="accent4">
                    <a:lumMod val="40000"/>
                    <a:lumOff val="60000"/>
                  </a:schemeClr>
                </a:solidFill>
              </a:ln>
            </c:spPr>
          </c:marker>
          <c:cat>
            <c:strRef>
              <c:f>'LTFP Ratios'!$AZ$30:$BI$30</c:f>
              <c:strCache>
                <c:ptCount val="10"/>
                <c:pt idx="0">
                  <c:v>14/15</c:v>
                </c:pt>
                <c:pt idx="1">
                  <c:v>15/16</c:v>
                </c:pt>
                <c:pt idx="2">
                  <c:v>16/17</c:v>
                </c:pt>
                <c:pt idx="3">
                  <c:v>17/18</c:v>
                </c:pt>
                <c:pt idx="4">
                  <c:v>18/19</c:v>
                </c:pt>
                <c:pt idx="5">
                  <c:v>19/20</c:v>
                </c:pt>
                <c:pt idx="6">
                  <c:v>20/21</c:v>
                </c:pt>
                <c:pt idx="7">
                  <c:v>21/22</c:v>
                </c:pt>
                <c:pt idx="8">
                  <c:v>22/23</c:v>
                </c:pt>
                <c:pt idx="9">
                  <c:v>23/24</c:v>
                </c:pt>
              </c:strCache>
            </c:strRef>
          </c:cat>
          <c:val>
            <c:numRef>
              <c:f>'LTFP Ratios'!$BX$35:$CG$35</c:f>
              <c:numCache>
                <c:formatCode>#,##0;\(#,##0\)</c:formatCode>
                <c:ptCount val="10"/>
                <c:pt idx="0">
                  <c:v>-1000</c:v>
                </c:pt>
                <c:pt idx="1">
                  <c:v>-1000</c:v>
                </c:pt>
                <c:pt idx="2">
                  <c:v>-1000</c:v>
                </c:pt>
                <c:pt idx="3">
                  <c:v>-1000</c:v>
                </c:pt>
                <c:pt idx="4">
                  <c:v>-1000</c:v>
                </c:pt>
                <c:pt idx="5">
                  <c:v>-1000</c:v>
                </c:pt>
                <c:pt idx="6">
                  <c:v>-1000</c:v>
                </c:pt>
                <c:pt idx="7">
                  <c:v>-1000</c:v>
                </c:pt>
                <c:pt idx="8">
                  <c:v>-1000</c:v>
                </c:pt>
                <c:pt idx="9">
                  <c:v>-1000</c:v>
                </c:pt>
              </c:numCache>
            </c:numRef>
          </c:val>
          <c:smooth val="0"/>
        </c:ser>
        <c:ser>
          <c:idx val="4"/>
          <c:order val="2"/>
          <c:tx>
            <c:strRef>
              <c:f>'LTFP Ratios'!$BW$34</c:f>
              <c:strCache>
                <c:ptCount val="1"/>
              </c:strCache>
            </c:strRef>
          </c:tx>
          <c:spPr>
            <a:ln>
              <a:solidFill>
                <a:schemeClr val="accent4">
                  <a:lumMod val="40000"/>
                  <a:lumOff val="60000"/>
                </a:schemeClr>
              </a:solidFill>
            </a:ln>
          </c:spPr>
          <c:marker>
            <c:symbol val="square"/>
            <c:size val="5"/>
            <c:spPr>
              <a:solidFill>
                <a:schemeClr val="accent4">
                  <a:lumMod val="40000"/>
                  <a:lumOff val="60000"/>
                </a:schemeClr>
              </a:solidFill>
              <a:ln>
                <a:solidFill>
                  <a:schemeClr val="accent4">
                    <a:lumMod val="40000"/>
                    <a:lumOff val="60000"/>
                  </a:schemeClr>
                </a:solidFill>
              </a:ln>
            </c:spPr>
          </c:marker>
          <c:val>
            <c:numRef>
              <c:f>'LTFP Ratios'!$BX$34:$CG$34</c:f>
              <c:numCache>
                <c:formatCode>#,##0;\(#,##0\)</c:formatCode>
                <c:ptCount val="10"/>
                <c:pt idx="0">
                  <c:v>1000</c:v>
                </c:pt>
                <c:pt idx="1">
                  <c:v>1000</c:v>
                </c:pt>
                <c:pt idx="2">
                  <c:v>1000</c:v>
                </c:pt>
                <c:pt idx="3">
                  <c:v>1000</c:v>
                </c:pt>
                <c:pt idx="4">
                  <c:v>1000</c:v>
                </c:pt>
                <c:pt idx="5">
                  <c:v>1000</c:v>
                </c:pt>
                <c:pt idx="6">
                  <c:v>1000</c:v>
                </c:pt>
                <c:pt idx="7">
                  <c:v>1000</c:v>
                </c:pt>
                <c:pt idx="8">
                  <c:v>1000</c:v>
                </c:pt>
                <c:pt idx="9">
                  <c:v>1000</c:v>
                </c:pt>
              </c:numCache>
            </c:numRef>
          </c:val>
          <c:smooth val="0"/>
        </c:ser>
        <c:dLbls>
          <c:showLegendKey val="0"/>
          <c:showVal val="0"/>
          <c:showCatName val="0"/>
          <c:showSerName val="0"/>
          <c:showPercent val="0"/>
          <c:showBubbleSize val="0"/>
        </c:dLbls>
        <c:marker val="1"/>
        <c:smooth val="0"/>
        <c:axId val="197825664"/>
        <c:axId val="197827584"/>
      </c:lineChart>
      <c:catAx>
        <c:axId val="197825664"/>
        <c:scaling>
          <c:orientation val="minMax"/>
        </c:scaling>
        <c:delete val="0"/>
        <c:axPos val="b"/>
        <c:numFmt formatCode="General" sourceLinked="1"/>
        <c:majorTickMark val="none"/>
        <c:minorTickMark val="none"/>
        <c:tickLblPos val="low"/>
        <c:crossAx val="197827584"/>
        <c:crossesAt val="0"/>
        <c:auto val="1"/>
        <c:lblAlgn val="ctr"/>
        <c:lblOffset val="100"/>
        <c:noMultiLvlLbl val="0"/>
      </c:catAx>
      <c:valAx>
        <c:axId val="197827584"/>
        <c:scaling>
          <c:orientation val="minMax"/>
          <c:max val="2000"/>
          <c:min val="-7000"/>
        </c:scaling>
        <c:delete val="0"/>
        <c:axPos val="l"/>
        <c:majorGridlines/>
        <c:numFmt formatCode="#,##0;\(#,##0\)" sourceLinked="1"/>
        <c:majorTickMark val="none"/>
        <c:minorTickMark val="none"/>
        <c:tickLblPos val="nextTo"/>
        <c:spPr>
          <a:ln w="9525">
            <a:noFill/>
          </a:ln>
        </c:spPr>
        <c:crossAx val="197825664"/>
        <c:crosses val="autoZero"/>
        <c:crossBetween val="between"/>
        <c:majorUnit val="1000"/>
      </c:valAx>
      <c:spPr>
        <a:gradFill>
          <a:gsLst>
            <a:gs pos="7000">
              <a:schemeClr val="bg1"/>
            </a:gs>
            <a:gs pos="22000">
              <a:schemeClr val="accent4">
                <a:lumMod val="40000"/>
                <a:lumOff val="60000"/>
              </a:schemeClr>
            </a:gs>
            <a:gs pos="39000">
              <a:schemeClr val="bg1"/>
            </a:gs>
          </a:gsLst>
          <a:lin ang="5400000" scaled="0"/>
        </a:gradFill>
      </c:spPr>
    </c:plotArea>
    <c:legend>
      <c:legendPos val="b"/>
      <c:layout>
        <c:manualLayout>
          <c:xMode val="edge"/>
          <c:yMode val="edge"/>
          <c:x val="0.14513638631217973"/>
          <c:y val="0.87989229544513148"/>
          <c:w val="0.69783643323654321"/>
          <c:h val="9.1289399715939246E-2"/>
        </c:manualLayou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31743453739301E-2"/>
          <c:y val="7.6243242824246049E-2"/>
          <c:w val="0.88753548104137125"/>
          <c:h val="0.67570684262056191"/>
        </c:manualLayout>
      </c:layout>
      <c:lineChart>
        <c:grouping val="standard"/>
        <c:varyColors val="0"/>
        <c:ser>
          <c:idx val="0"/>
          <c:order val="0"/>
          <c:tx>
            <c:strRef>
              <c:f>'LTFP Ratios'!$BW$31</c:f>
              <c:strCache>
                <c:ptCount val="1"/>
                <c:pt idx="0">
                  <c:v>Scenario 1</c:v>
                </c:pt>
              </c:strCache>
            </c:strRef>
          </c:tx>
          <c:spPr>
            <a:ln>
              <a:solidFill>
                <a:schemeClr val="accent3"/>
              </a:solidFill>
            </a:ln>
          </c:spPr>
          <c:marker>
            <c:symbol val="circle"/>
            <c:size val="5"/>
            <c:spPr>
              <a:solidFill>
                <a:schemeClr val="accent3"/>
              </a:solidFill>
              <a:ln>
                <a:solidFill>
                  <a:schemeClr val="accent3"/>
                </a:solidFill>
              </a:ln>
            </c:spPr>
          </c:marker>
          <c:cat>
            <c:strRef>
              <c:f>'LTFP Ratios'!$AZ$30:$BI$30</c:f>
              <c:strCache>
                <c:ptCount val="10"/>
                <c:pt idx="0">
                  <c:v>14/15</c:v>
                </c:pt>
                <c:pt idx="1">
                  <c:v>15/16</c:v>
                </c:pt>
                <c:pt idx="2">
                  <c:v>16/17</c:v>
                </c:pt>
                <c:pt idx="3">
                  <c:v>17/18</c:v>
                </c:pt>
                <c:pt idx="4">
                  <c:v>18/19</c:v>
                </c:pt>
                <c:pt idx="5">
                  <c:v>19/20</c:v>
                </c:pt>
                <c:pt idx="6">
                  <c:v>20/21</c:v>
                </c:pt>
                <c:pt idx="7">
                  <c:v>21/22</c:v>
                </c:pt>
                <c:pt idx="8">
                  <c:v>22/23</c:v>
                </c:pt>
                <c:pt idx="9">
                  <c:v>23/24</c:v>
                </c:pt>
              </c:strCache>
            </c:strRef>
          </c:cat>
          <c:val>
            <c:numRef>
              <c:f>'LTFP Ratios'!$BX$31:$CG$31</c:f>
              <c:numCache>
                <c:formatCode>#,##0;\(#,##0\)</c:formatCode>
                <c:ptCount val="10"/>
                <c:pt idx="0">
                  <c:v>-5713</c:v>
                </c:pt>
                <c:pt idx="1">
                  <c:v>-6012</c:v>
                </c:pt>
                <c:pt idx="2">
                  <c:v>-3937</c:v>
                </c:pt>
                <c:pt idx="3">
                  <c:v>-1256</c:v>
                </c:pt>
                <c:pt idx="4">
                  <c:v>1927</c:v>
                </c:pt>
                <c:pt idx="5">
                  <c:v>1728</c:v>
                </c:pt>
                <c:pt idx="6">
                  <c:v>1331</c:v>
                </c:pt>
                <c:pt idx="7">
                  <c:v>966</c:v>
                </c:pt>
                <c:pt idx="8">
                  <c:v>508</c:v>
                </c:pt>
                <c:pt idx="9">
                  <c:v>-672</c:v>
                </c:pt>
              </c:numCache>
            </c:numRef>
          </c:val>
          <c:smooth val="0"/>
        </c:ser>
        <c:ser>
          <c:idx val="1"/>
          <c:order val="1"/>
          <c:tx>
            <c:strRef>
              <c:f>'LTFP Ratios'!$BW$33</c:f>
              <c:strCache>
                <c:ptCount val="1"/>
                <c:pt idx="0">
                  <c:v>Scenario 3</c:v>
                </c:pt>
              </c:strCache>
            </c:strRef>
          </c:tx>
          <c:spPr>
            <a:ln>
              <a:solidFill>
                <a:schemeClr val="accent2"/>
              </a:solidFill>
            </a:ln>
          </c:spPr>
          <c:marker>
            <c:symbol val="triangle"/>
            <c:size val="5"/>
            <c:spPr>
              <a:solidFill>
                <a:schemeClr val="accent2"/>
              </a:solidFill>
              <a:ln>
                <a:solidFill>
                  <a:schemeClr val="accent2"/>
                </a:solidFill>
              </a:ln>
            </c:spPr>
          </c:marker>
          <c:cat>
            <c:strRef>
              <c:f>'LTFP Ratios'!$AZ$30:$BI$30</c:f>
              <c:strCache>
                <c:ptCount val="10"/>
                <c:pt idx="0">
                  <c:v>14/15</c:v>
                </c:pt>
                <c:pt idx="1">
                  <c:v>15/16</c:v>
                </c:pt>
                <c:pt idx="2">
                  <c:v>16/17</c:v>
                </c:pt>
                <c:pt idx="3">
                  <c:v>17/18</c:v>
                </c:pt>
                <c:pt idx="4">
                  <c:v>18/19</c:v>
                </c:pt>
                <c:pt idx="5">
                  <c:v>19/20</c:v>
                </c:pt>
                <c:pt idx="6">
                  <c:v>20/21</c:v>
                </c:pt>
                <c:pt idx="7">
                  <c:v>21/22</c:v>
                </c:pt>
                <c:pt idx="8">
                  <c:v>22/23</c:v>
                </c:pt>
                <c:pt idx="9">
                  <c:v>23/24</c:v>
                </c:pt>
              </c:strCache>
            </c:strRef>
          </c:cat>
          <c:val>
            <c:numRef>
              <c:f>'LTFP Ratios'!$BX$33:$CG$33</c:f>
              <c:numCache>
                <c:formatCode>#,##0;\(#,##0\)</c:formatCode>
                <c:ptCount val="10"/>
                <c:pt idx="0">
                  <c:v>-5713</c:v>
                </c:pt>
                <c:pt idx="1">
                  <c:v>-6340</c:v>
                </c:pt>
                <c:pt idx="2">
                  <c:v>-6243</c:v>
                </c:pt>
                <c:pt idx="3">
                  <c:v>-6049</c:v>
                </c:pt>
                <c:pt idx="4">
                  <c:v>-5581</c:v>
                </c:pt>
                <c:pt idx="5">
                  <c:v>-5161</c:v>
                </c:pt>
                <c:pt idx="6">
                  <c:v>-4899</c:v>
                </c:pt>
                <c:pt idx="7">
                  <c:v>-4559</c:v>
                </c:pt>
                <c:pt idx="8">
                  <c:v>-4358</c:v>
                </c:pt>
                <c:pt idx="9">
                  <c:v>-4739</c:v>
                </c:pt>
              </c:numCache>
            </c:numRef>
          </c:val>
          <c:smooth val="0"/>
        </c:ser>
        <c:ser>
          <c:idx val="3"/>
          <c:order val="2"/>
          <c:tx>
            <c:strRef>
              <c:f>'LTFP Ratios'!$BW$35</c:f>
              <c:strCache>
                <c:ptCount val="1"/>
                <c:pt idx="0">
                  <c:v>Target Range</c:v>
                </c:pt>
              </c:strCache>
            </c:strRef>
          </c:tx>
          <c:spPr>
            <a:ln>
              <a:solidFill>
                <a:schemeClr val="accent4">
                  <a:lumMod val="40000"/>
                  <a:lumOff val="60000"/>
                </a:schemeClr>
              </a:solidFill>
            </a:ln>
          </c:spPr>
          <c:marker>
            <c:symbol val="square"/>
            <c:size val="5"/>
            <c:spPr>
              <a:solidFill>
                <a:schemeClr val="accent4">
                  <a:lumMod val="40000"/>
                  <a:lumOff val="60000"/>
                </a:schemeClr>
              </a:solidFill>
              <a:ln>
                <a:solidFill>
                  <a:schemeClr val="accent4">
                    <a:lumMod val="40000"/>
                    <a:lumOff val="60000"/>
                  </a:schemeClr>
                </a:solidFill>
              </a:ln>
            </c:spPr>
          </c:marker>
          <c:cat>
            <c:strRef>
              <c:f>'LTFP Ratios'!$AZ$30:$BI$30</c:f>
              <c:strCache>
                <c:ptCount val="10"/>
                <c:pt idx="0">
                  <c:v>14/15</c:v>
                </c:pt>
                <c:pt idx="1">
                  <c:v>15/16</c:v>
                </c:pt>
                <c:pt idx="2">
                  <c:v>16/17</c:v>
                </c:pt>
                <c:pt idx="3">
                  <c:v>17/18</c:v>
                </c:pt>
                <c:pt idx="4">
                  <c:v>18/19</c:v>
                </c:pt>
                <c:pt idx="5">
                  <c:v>19/20</c:v>
                </c:pt>
                <c:pt idx="6">
                  <c:v>20/21</c:v>
                </c:pt>
                <c:pt idx="7">
                  <c:v>21/22</c:v>
                </c:pt>
                <c:pt idx="8">
                  <c:v>22/23</c:v>
                </c:pt>
                <c:pt idx="9">
                  <c:v>23/24</c:v>
                </c:pt>
              </c:strCache>
            </c:strRef>
          </c:cat>
          <c:val>
            <c:numRef>
              <c:f>'LTFP Ratios'!$BX$35:$CG$35</c:f>
              <c:numCache>
                <c:formatCode>#,##0;\(#,##0\)</c:formatCode>
                <c:ptCount val="10"/>
                <c:pt idx="0">
                  <c:v>-1000</c:v>
                </c:pt>
                <c:pt idx="1">
                  <c:v>-1000</c:v>
                </c:pt>
                <c:pt idx="2">
                  <c:v>-1000</c:v>
                </c:pt>
                <c:pt idx="3">
                  <c:v>-1000</c:v>
                </c:pt>
                <c:pt idx="4">
                  <c:v>-1000</c:v>
                </c:pt>
                <c:pt idx="5">
                  <c:v>-1000</c:v>
                </c:pt>
                <c:pt idx="6">
                  <c:v>-1000</c:v>
                </c:pt>
                <c:pt idx="7">
                  <c:v>-1000</c:v>
                </c:pt>
                <c:pt idx="8">
                  <c:v>-1000</c:v>
                </c:pt>
                <c:pt idx="9">
                  <c:v>-1000</c:v>
                </c:pt>
              </c:numCache>
            </c:numRef>
          </c:val>
          <c:smooth val="0"/>
        </c:ser>
        <c:ser>
          <c:idx val="4"/>
          <c:order val="3"/>
          <c:tx>
            <c:strRef>
              <c:f>'LTFP Ratios'!$BW$34</c:f>
              <c:strCache>
                <c:ptCount val="1"/>
              </c:strCache>
            </c:strRef>
          </c:tx>
          <c:spPr>
            <a:ln>
              <a:solidFill>
                <a:schemeClr val="accent4">
                  <a:lumMod val="40000"/>
                  <a:lumOff val="60000"/>
                </a:schemeClr>
              </a:solidFill>
            </a:ln>
          </c:spPr>
          <c:marker>
            <c:symbol val="square"/>
            <c:size val="5"/>
            <c:spPr>
              <a:solidFill>
                <a:schemeClr val="accent4">
                  <a:lumMod val="40000"/>
                  <a:lumOff val="60000"/>
                </a:schemeClr>
              </a:solidFill>
              <a:ln>
                <a:solidFill>
                  <a:schemeClr val="accent4">
                    <a:lumMod val="40000"/>
                    <a:lumOff val="60000"/>
                  </a:schemeClr>
                </a:solidFill>
              </a:ln>
            </c:spPr>
          </c:marker>
          <c:val>
            <c:numRef>
              <c:f>'LTFP Ratios'!$BX$34:$CG$34</c:f>
              <c:numCache>
                <c:formatCode>#,##0;\(#,##0\)</c:formatCode>
                <c:ptCount val="10"/>
                <c:pt idx="0">
                  <c:v>1000</c:v>
                </c:pt>
                <c:pt idx="1">
                  <c:v>1000</c:v>
                </c:pt>
                <c:pt idx="2">
                  <c:v>1000</c:v>
                </c:pt>
                <c:pt idx="3">
                  <c:v>1000</c:v>
                </c:pt>
                <c:pt idx="4">
                  <c:v>1000</c:v>
                </c:pt>
                <c:pt idx="5">
                  <c:v>1000</c:v>
                </c:pt>
                <c:pt idx="6">
                  <c:v>1000</c:v>
                </c:pt>
                <c:pt idx="7">
                  <c:v>1000</c:v>
                </c:pt>
                <c:pt idx="8">
                  <c:v>1000</c:v>
                </c:pt>
                <c:pt idx="9">
                  <c:v>1000</c:v>
                </c:pt>
              </c:numCache>
            </c:numRef>
          </c:val>
          <c:smooth val="0"/>
        </c:ser>
        <c:dLbls>
          <c:showLegendKey val="0"/>
          <c:showVal val="0"/>
          <c:showCatName val="0"/>
          <c:showSerName val="0"/>
          <c:showPercent val="0"/>
          <c:showBubbleSize val="0"/>
        </c:dLbls>
        <c:marker val="1"/>
        <c:smooth val="0"/>
        <c:axId val="201095040"/>
        <c:axId val="201097216"/>
      </c:lineChart>
      <c:catAx>
        <c:axId val="201095040"/>
        <c:scaling>
          <c:orientation val="minMax"/>
        </c:scaling>
        <c:delete val="0"/>
        <c:axPos val="b"/>
        <c:numFmt formatCode="General" sourceLinked="1"/>
        <c:majorTickMark val="none"/>
        <c:minorTickMark val="none"/>
        <c:tickLblPos val="low"/>
        <c:crossAx val="201097216"/>
        <c:crossesAt val="0"/>
        <c:auto val="1"/>
        <c:lblAlgn val="ctr"/>
        <c:lblOffset val="100"/>
        <c:noMultiLvlLbl val="0"/>
      </c:catAx>
      <c:valAx>
        <c:axId val="201097216"/>
        <c:scaling>
          <c:orientation val="minMax"/>
          <c:max val="2000"/>
          <c:min val="-7000"/>
        </c:scaling>
        <c:delete val="0"/>
        <c:axPos val="l"/>
        <c:majorGridlines/>
        <c:numFmt formatCode="#,##0;\(#,##0\)" sourceLinked="1"/>
        <c:majorTickMark val="none"/>
        <c:minorTickMark val="none"/>
        <c:tickLblPos val="nextTo"/>
        <c:spPr>
          <a:ln w="9525">
            <a:noFill/>
          </a:ln>
        </c:spPr>
        <c:crossAx val="201095040"/>
        <c:crosses val="autoZero"/>
        <c:crossBetween val="between"/>
        <c:majorUnit val="1000"/>
      </c:valAx>
      <c:spPr>
        <a:gradFill>
          <a:gsLst>
            <a:gs pos="7000">
              <a:schemeClr val="bg1"/>
            </a:gs>
            <a:gs pos="22000">
              <a:schemeClr val="accent4">
                <a:lumMod val="40000"/>
                <a:lumOff val="60000"/>
              </a:schemeClr>
            </a:gs>
            <a:gs pos="39000">
              <a:schemeClr val="bg1"/>
            </a:gs>
          </a:gsLst>
          <a:lin ang="5400000" scaled="0"/>
        </a:gradFill>
      </c:spPr>
    </c:plotArea>
    <c:legend>
      <c:legendPos val="b"/>
      <c:layout>
        <c:manualLayout>
          <c:xMode val="edge"/>
          <c:yMode val="edge"/>
          <c:x val="0.14513638631217973"/>
          <c:y val="0.87989229544513148"/>
          <c:w val="0.69783643323654321"/>
          <c:h val="9.1289399715939246E-2"/>
        </c:manualLayout>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769185058076286E-2"/>
          <c:y val="9.5429724765416987E-2"/>
          <c:w val="0.89446544323263377"/>
          <c:h val="0.68188691603422991"/>
        </c:manualLayout>
      </c:layout>
      <c:lineChart>
        <c:grouping val="standard"/>
        <c:varyColors val="0"/>
        <c:ser>
          <c:idx val="1"/>
          <c:order val="0"/>
          <c:tx>
            <c:strRef>
              <c:f>'LTFP Ratios'!$AM$31</c:f>
              <c:strCache>
                <c:ptCount val="1"/>
                <c:pt idx="0">
                  <c:v>Scenario 1</c:v>
                </c:pt>
              </c:strCache>
            </c:strRef>
          </c:tx>
          <c:spPr>
            <a:ln>
              <a:solidFill>
                <a:schemeClr val="accent3">
                  <a:lumMod val="75000"/>
                </a:schemeClr>
              </a:solidFill>
            </a:ln>
          </c:spPr>
          <c:marker>
            <c:symbol val="triangle"/>
            <c:size val="5"/>
            <c:spPr>
              <a:solidFill>
                <a:schemeClr val="accent3"/>
              </a:solidFill>
              <a:ln>
                <a:solidFill>
                  <a:schemeClr val="accent3"/>
                </a:solidFill>
              </a:ln>
            </c:spPr>
          </c:marker>
          <c:cat>
            <c:strRef>
              <c:f>'LTFP Ratios'!$P$30:$Y$30</c:f>
              <c:strCache>
                <c:ptCount val="10"/>
                <c:pt idx="0">
                  <c:v>14/15</c:v>
                </c:pt>
                <c:pt idx="1">
                  <c:v>15/16</c:v>
                </c:pt>
                <c:pt idx="2">
                  <c:v>16/17</c:v>
                </c:pt>
                <c:pt idx="3">
                  <c:v>17/18</c:v>
                </c:pt>
                <c:pt idx="4">
                  <c:v>18/19</c:v>
                </c:pt>
                <c:pt idx="5">
                  <c:v>19/20</c:v>
                </c:pt>
                <c:pt idx="6">
                  <c:v>20/21</c:v>
                </c:pt>
                <c:pt idx="7">
                  <c:v>21/22</c:v>
                </c:pt>
                <c:pt idx="8">
                  <c:v>22/23</c:v>
                </c:pt>
                <c:pt idx="9">
                  <c:v>23/24</c:v>
                </c:pt>
              </c:strCache>
            </c:strRef>
          </c:cat>
          <c:val>
            <c:numRef>
              <c:f>'LTFP Ratios'!$AN$31:$AW$31</c:f>
              <c:numCache>
                <c:formatCode>0%;\(0%\)</c:formatCode>
                <c:ptCount val="10"/>
                <c:pt idx="0">
                  <c:v>-0.06</c:v>
                </c:pt>
                <c:pt idx="1">
                  <c:v>-6.2E-2</c:v>
                </c:pt>
                <c:pt idx="2">
                  <c:v>-3.7999999999999999E-2</c:v>
                </c:pt>
                <c:pt idx="3">
                  <c:v>-1.0999999999999999E-2</c:v>
                </c:pt>
                <c:pt idx="4">
                  <c:v>1.6E-2</c:v>
                </c:pt>
                <c:pt idx="5">
                  <c:v>1.4E-2</c:v>
                </c:pt>
                <c:pt idx="6">
                  <c:v>1.0999999999999999E-2</c:v>
                </c:pt>
                <c:pt idx="7">
                  <c:v>7.0000000000000001E-3</c:v>
                </c:pt>
                <c:pt idx="8">
                  <c:v>4.0000000000000001E-3</c:v>
                </c:pt>
                <c:pt idx="9">
                  <c:v>-5.0000000000000001E-3</c:v>
                </c:pt>
              </c:numCache>
            </c:numRef>
          </c:val>
          <c:smooth val="0"/>
        </c:ser>
        <c:ser>
          <c:idx val="3"/>
          <c:order val="1"/>
          <c:tx>
            <c:strRef>
              <c:f>'LTFP Ratios'!$AM$33</c:f>
              <c:strCache>
                <c:ptCount val="1"/>
                <c:pt idx="0">
                  <c:v>Scenario 3</c:v>
                </c:pt>
              </c:strCache>
            </c:strRef>
          </c:tx>
          <c:spPr>
            <a:ln>
              <a:solidFill>
                <a:srgbClr val="C00000"/>
              </a:solidFill>
            </a:ln>
          </c:spPr>
          <c:marker>
            <c:symbol val="circle"/>
            <c:size val="5"/>
            <c:spPr>
              <a:solidFill>
                <a:srgbClr val="C00000"/>
              </a:solidFill>
              <a:ln>
                <a:solidFill>
                  <a:srgbClr val="C00000"/>
                </a:solidFill>
              </a:ln>
            </c:spPr>
          </c:marker>
          <c:cat>
            <c:strRef>
              <c:f>'LTFP Ratios'!$P$30:$Y$30</c:f>
              <c:strCache>
                <c:ptCount val="10"/>
                <c:pt idx="0">
                  <c:v>14/15</c:v>
                </c:pt>
                <c:pt idx="1">
                  <c:v>15/16</c:v>
                </c:pt>
                <c:pt idx="2">
                  <c:v>16/17</c:v>
                </c:pt>
                <c:pt idx="3">
                  <c:v>17/18</c:v>
                </c:pt>
                <c:pt idx="4">
                  <c:v>18/19</c:v>
                </c:pt>
                <c:pt idx="5">
                  <c:v>19/20</c:v>
                </c:pt>
                <c:pt idx="6">
                  <c:v>20/21</c:v>
                </c:pt>
                <c:pt idx="7">
                  <c:v>21/22</c:v>
                </c:pt>
                <c:pt idx="8">
                  <c:v>22/23</c:v>
                </c:pt>
                <c:pt idx="9">
                  <c:v>23/24</c:v>
                </c:pt>
              </c:strCache>
            </c:strRef>
          </c:cat>
          <c:val>
            <c:numRef>
              <c:f>'LTFP Ratios'!$AN$33:$AW$33</c:f>
              <c:numCache>
                <c:formatCode>0%;\(0%\)</c:formatCode>
                <c:ptCount val="10"/>
                <c:pt idx="0">
                  <c:v>-0.06</c:v>
                </c:pt>
                <c:pt idx="1">
                  <c:v>-6.6000000000000003E-2</c:v>
                </c:pt>
                <c:pt idx="2">
                  <c:v>-6.4000000000000001E-2</c:v>
                </c:pt>
                <c:pt idx="3">
                  <c:v>-0.06</c:v>
                </c:pt>
                <c:pt idx="4">
                  <c:v>-5.2999999999999999E-2</c:v>
                </c:pt>
                <c:pt idx="5">
                  <c:v>-4.8000000000000001E-2</c:v>
                </c:pt>
                <c:pt idx="6">
                  <c:v>-4.3999999999999997E-2</c:v>
                </c:pt>
                <c:pt idx="7">
                  <c:v>-3.9E-2</c:v>
                </c:pt>
                <c:pt idx="8">
                  <c:v>-3.6999999999999998E-2</c:v>
                </c:pt>
                <c:pt idx="9">
                  <c:v>-3.9E-2</c:v>
                </c:pt>
              </c:numCache>
            </c:numRef>
          </c:val>
          <c:smooth val="0"/>
        </c:ser>
        <c:ser>
          <c:idx val="0"/>
          <c:order val="2"/>
          <c:tx>
            <c:strRef>
              <c:f>'LTFP Ratios'!$AM$35</c:f>
              <c:strCache>
                <c:ptCount val="1"/>
                <c:pt idx="0">
                  <c:v>Target Range</c:v>
                </c:pt>
              </c:strCache>
            </c:strRef>
          </c:tx>
          <c:spPr>
            <a:ln>
              <a:solidFill>
                <a:schemeClr val="accent4">
                  <a:lumMod val="40000"/>
                  <a:lumOff val="60000"/>
                </a:schemeClr>
              </a:solidFill>
            </a:ln>
          </c:spPr>
          <c:marker>
            <c:symbol val="square"/>
            <c:size val="5"/>
            <c:spPr>
              <a:solidFill>
                <a:schemeClr val="accent4">
                  <a:lumMod val="40000"/>
                  <a:lumOff val="60000"/>
                </a:schemeClr>
              </a:solidFill>
              <a:ln>
                <a:solidFill>
                  <a:schemeClr val="accent4">
                    <a:lumMod val="40000"/>
                    <a:lumOff val="60000"/>
                  </a:schemeClr>
                </a:solidFill>
              </a:ln>
            </c:spPr>
          </c:marker>
          <c:cat>
            <c:strRef>
              <c:f>'LTFP Ratios'!$P$30:$Y$30</c:f>
              <c:strCache>
                <c:ptCount val="10"/>
                <c:pt idx="0">
                  <c:v>14/15</c:v>
                </c:pt>
                <c:pt idx="1">
                  <c:v>15/16</c:v>
                </c:pt>
                <c:pt idx="2">
                  <c:v>16/17</c:v>
                </c:pt>
                <c:pt idx="3">
                  <c:v>17/18</c:v>
                </c:pt>
                <c:pt idx="4">
                  <c:v>18/19</c:v>
                </c:pt>
                <c:pt idx="5">
                  <c:v>19/20</c:v>
                </c:pt>
                <c:pt idx="6">
                  <c:v>20/21</c:v>
                </c:pt>
                <c:pt idx="7">
                  <c:v>21/22</c:v>
                </c:pt>
                <c:pt idx="8">
                  <c:v>22/23</c:v>
                </c:pt>
                <c:pt idx="9">
                  <c:v>23/24</c:v>
                </c:pt>
              </c:strCache>
            </c:strRef>
          </c:cat>
          <c:val>
            <c:numRef>
              <c:f>'LTFP Ratios'!$AN$35:$AW$35</c:f>
              <c:numCache>
                <c:formatCode>0%;\(0%\)</c:formatCode>
                <c:ptCount val="10"/>
                <c:pt idx="0">
                  <c:v>-0.01</c:v>
                </c:pt>
                <c:pt idx="1">
                  <c:v>-0.01</c:v>
                </c:pt>
                <c:pt idx="2">
                  <c:v>-0.01</c:v>
                </c:pt>
                <c:pt idx="3">
                  <c:v>-0.01</c:v>
                </c:pt>
                <c:pt idx="4">
                  <c:v>-0.01</c:v>
                </c:pt>
                <c:pt idx="5">
                  <c:v>-0.01</c:v>
                </c:pt>
                <c:pt idx="6">
                  <c:v>-0.01</c:v>
                </c:pt>
                <c:pt idx="7">
                  <c:v>-0.01</c:v>
                </c:pt>
                <c:pt idx="8">
                  <c:v>-0.01</c:v>
                </c:pt>
                <c:pt idx="9">
                  <c:v>-0.01</c:v>
                </c:pt>
              </c:numCache>
            </c:numRef>
          </c:val>
          <c:smooth val="0"/>
        </c:ser>
        <c:ser>
          <c:idx val="4"/>
          <c:order val="3"/>
          <c:tx>
            <c:strRef>
              <c:f>'LTFP Ratios'!$AM$34</c:f>
              <c:strCache>
                <c:ptCount val="1"/>
              </c:strCache>
            </c:strRef>
          </c:tx>
          <c:spPr>
            <a:ln>
              <a:solidFill>
                <a:schemeClr val="accent4">
                  <a:lumMod val="60000"/>
                  <a:lumOff val="40000"/>
                </a:schemeClr>
              </a:solidFill>
            </a:ln>
          </c:spPr>
          <c:marker>
            <c:symbol val="square"/>
            <c:size val="5"/>
            <c:spPr>
              <a:solidFill>
                <a:schemeClr val="accent4">
                  <a:lumMod val="60000"/>
                  <a:lumOff val="40000"/>
                </a:schemeClr>
              </a:solidFill>
              <a:ln>
                <a:solidFill>
                  <a:schemeClr val="accent4">
                    <a:lumMod val="40000"/>
                    <a:lumOff val="60000"/>
                  </a:schemeClr>
                </a:solidFill>
              </a:ln>
            </c:spPr>
          </c:marker>
          <c:val>
            <c:numRef>
              <c:f>'LTFP Ratios'!$AN$34:$AW$34</c:f>
              <c:numCache>
                <c:formatCode>0%;\(0%\)</c:formatCode>
                <c:ptCount val="10"/>
                <c:pt idx="0">
                  <c:v>0.01</c:v>
                </c:pt>
                <c:pt idx="1">
                  <c:v>0.01</c:v>
                </c:pt>
                <c:pt idx="2">
                  <c:v>0.01</c:v>
                </c:pt>
                <c:pt idx="3">
                  <c:v>0.01</c:v>
                </c:pt>
                <c:pt idx="4">
                  <c:v>0.01</c:v>
                </c:pt>
                <c:pt idx="5">
                  <c:v>0.01</c:v>
                </c:pt>
                <c:pt idx="6">
                  <c:v>0.01</c:v>
                </c:pt>
                <c:pt idx="7">
                  <c:v>0.01</c:v>
                </c:pt>
                <c:pt idx="8">
                  <c:v>0.01</c:v>
                </c:pt>
                <c:pt idx="9">
                  <c:v>0.01</c:v>
                </c:pt>
              </c:numCache>
            </c:numRef>
          </c:val>
          <c:smooth val="0"/>
        </c:ser>
        <c:dLbls>
          <c:showLegendKey val="0"/>
          <c:showVal val="0"/>
          <c:showCatName val="0"/>
          <c:showSerName val="0"/>
          <c:showPercent val="0"/>
          <c:showBubbleSize val="0"/>
        </c:dLbls>
        <c:marker val="1"/>
        <c:smooth val="0"/>
        <c:axId val="201180288"/>
        <c:axId val="201182208"/>
      </c:lineChart>
      <c:catAx>
        <c:axId val="201180288"/>
        <c:scaling>
          <c:orientation val="minMax"/>
        </c:scaling>
        <c:delete val="0"/>
        <c:axPos val="b"/>
        <c:numFmt formatCode="General" sourceLinked="1"/>
        <c:majorTickMark val="none"/>
        <c:minorTickMark val="none"/>
        <c:tickLblPos val="low"/>
        <c:crossAx val="201182208"/>
        <c:crossesAt val="0"/>
        <c:auto val="1"/>
        <c:lblAlgn val="ctr"/>
        <c:lblOffset val="100"/>
        <c:noMultiLvlLbl val="0"/>
      </c:catAx>
      <c:valAx>
        <c:axId val="201182208"/>
        <c:scaling>
          <c:orientation val="minMax"/>
          <c:max val="4.0000000000000008E-2"/>
          <c:min val="-8.0000000000000016E-2"/>
        </c:scaling>
        <c:delete val="0"/>
        <c:axPos val="l"/>
        <c:majorGridlines/>
        <c:numFmt formatCode="0%;\(0%\)" sourceLinked="1"/>
        <c:majorTickMark val="none"/>
        <c:minorTickMark val="none"/>
        <c:tickLblPos val="nextTo"/>
        <c:spPr>
          <a:ln w="9525">
            <a:noFill/>
          </a:ln>
        </c:spPr>
        <c:crossAx val="201180288"/>
        <c:crosses val="autoZero"/>
        <c:crossBetween val="between"/>
      </c:valAx>
      <c:spPr>
        <a:gradFill>
          <a:gsLst>
            <a:gs pos="21000">
              <a:schemeClr val="bg1"/>
            </a:gs>
            <a:gs pos="34000">
              <a:schemeClr val="accent4">
                <a:lumMod val="40000"/>
                <a:lumOff val="60000"/>
              </a:schemeClr>
            </a:gs>
            <a:gs pos="45000">
              <a:schemeClr val="bg1"/>
            </a:gs>
          </a:gsLst>
          <a:lin ang="5400000" scaled="0"/>
        </a:gradFill>
      </c:spPr>
    </c:plotArea>
    <c:legend>
      <c:legendPos val="b"/>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31743453739301E-2"/>
          <c:y val="7.6243242824246049E-2"/>
          <c:w val="0.88753548104137125"/>
          <c:h val="0.67570684262056191"/>
        </c:manualLayout>
      </c:layout>
      <c:lineChart>
        <c:grouping val="standard"/>
        <c:varyColors val="0"/>
        <c:ser>
          <c:idx val="0"/>
          <c:order val="0"/>
          <c:tx>
            <c:strRef>
              <c:f>'LTFP Ratios'!$BW$31</c:f>
              <c:strCache>
                <c:ptCount val="1"/>
                <c:pt idx="0">
                  <c:v>Scenario 1</c:v>
                </c:pt>
              </c:strCache>
            </c:strRef>
          </c:tx>
          <c:spPr>
            <a:ln>
              <a:solidFill>
                <a:schemeClr val="accent3"/>
              </a:solidFill>
            </a:ln>
          </c:spPr>
          <c:marker>
            <c:symbol val="circle"/>
            <c:size val="5"/>
            <c:spPr>
              <a:solidFill>
                <a:schemeClr val="accent3"/>
              </a:solidFill>
              <a:ln>
                <a:solidFill>
                  <a:schemeClr val="accent3"/>
                </a:solidFill>
              </a:ln>
            </c:spPr>
          </c:marker>
          <c:cat>
            <c:strRef>
              <c:f>'LTFP Ratios'!$AZ$30:$BI$30</c:f>
              <c:strCache>
                <c:ptCount val="10"/>
                <c:pt idx="0">
                  <c:v>14/15</c:v>
                </c:pt>
                <c:pt idx="1">
                  <c:v>15/16</c:v>
                </c:pt>
                <c:pt idx="2">
                  <c:v>16/17</c:v>
                </c:pt>
                <c:pt idx="3">
                  <c:v>17/18</c:v>
                </c:pt>
                <c:pt idx="4">
                  <c:v>18/19</c:v>
                </c:pt>
                <c:pt idx="5">
                  <c:v>19/20</c:v>
                </c:pt>
                <c:pt idx="6">
                  <c:v>20/21</c:v>
                </c:pt>
                <c:pt idx="7">
                  <c:v>21/22</c:v>
                </c:pt>
                <c:pt idx="8">
                  <c:v>22/23</c:v>
                </c:pt>
                <c:pt idx="9">
                  <c:v>23/24</c:v>
                </c:pt>
              </c:strCache>
            </c:strRef>
          </c:cat>
          <c:val>
            <c:numRef>
              <c:f>'LTFP Ratios'!$BX$31:$CG$31</c:f>
              <c:numCache>
                <c:formatCode>#,##0;\(#,##0\)</c:formatCode>
                <c:ptCount val="10"/>
                <c:pt idx="0">
                  <c:v>-5713</c:v>
                </c:pt>
                <c:pt idx="1">
                  <c:v>-6012</c:v>
                </c:pt>
                <c:pt idx="2">
                  <c:v>-3937</c:v>
                </c:pt>
                <c:pt idx="3">
                  <c:v>-1256</c:v>
                </c:pt>
                <c:pt idx="4">
                  <c:v>1927</c:v>
                </c:pt>
                <c:pt idx="5">
                  <c:v>1728</c:v>
                </c:pt>
                <c:pt idx="6">
                  <c:v>1331</c:v>
                </c:pt>
                <c:pt idx="7">
                  <c:v>966</c:v>
                </c:pt>
                <c:pt idx="8">
                  <c:v>508</c:v>
                </c:pt>
                <c:pt idx="9">
                  <c:v>-672</c:v>
                </c:pt>
              </c:numCache>
            </c:numRef>
          </c:val>
          <c:smooth val="0"/>
        </c:ser>
        <c:ser>
          <c:idx val="1"/>
          <c:order val="1"/>
          <c:tx>
            <c:strRef>
              <c:f>'LTFP Ratios'!$BW$33</c:f>
              <c:strCache>
                <c:ptCount val="1"/>
                <c:pt idx="0">
                  <c:v>Scenario 3</c:v>
                </c:pt>
              </c:strCache>
            </c:strRef>
          </c:tx>
          <c:spPr>
            <a:ln>
              <a:solidFill>
                <a:schemeClr val="accent2"/>
              </a:solidFill>
            </a:ln>
          </c:spPr>
          <c:marker>
            <c:symbol val="triangle"/>
            <c:size val="5"/>
            <c:spPr>
              <a:solidFill>
                <a:schemeClr val="accent2"/>
              </a:solidFill>
              <a:ln>
                <a:solidFill>
                  <a:schemeClr val="accent2"/>
                </a:solidFill>
              </a:ln>
            </c:spPr>
          </c:marker>
          <c:cat>
            <c:strRef>
              <c:f>'LTFP Ratios'!$AZ$30:$BI$30</c:f>
              <c:strCache>
                <c:ptCount val="10"/>
                <c:pt idx="0">
                  <c:v>14/15</c:v>
                </c:pt>
                <c:pt idx="1">
                  <c:v>15/16</c:v>
                </c:pt>
                <c:pt idx="2">
                  <c:v>16/17</c:v>
                </c:pt>
                <c:pt idx="3">
                  <c:v>17/18</c:v>
                </c:pt>
                <c:pt idx="4">
                  <c:v>18/19</c:v>
                </c:pt>
                <c:pt idx="5">
                  <c:v>19/20</c:v>
                </c:pt>
                <c:pt idx="6">
                  <c:v>20/21</c:v>
                </c:pt>
                <c:pt idx="7">
                  <c:v>21/22</c:v>
                </c:pt>
                <c:pt idx="8">
                  <c:v>22/23</c:v>
                </c:pt>
                <c:pt idx="9">
                  <c:v>23/24</c:v>
                </c:pt>
              </c:strCache>
            </c:strRef>
          </c:cat>
          <c:val>
            <c:numRef>
              <c:f>'LTFP Ratios'!$BX$33:$CG$33</c:f>
              <c:numCache>
                <c:formatCode>#,##0;\(#,##0\)</c:formatCode>
                <c:ptCount val="10"/>
                <c:pt idx="0">
                  <c:v>-5713</c:v>
                </c:pt>
                <c:pt idx="1">
                  <c:v>-6340</c:v>
                </c:pt>
                <c:pt idx="2">
                  <c:v>-6243</c:v>
                </c:pt>
                <c:pt idx="3">
                  <c:v>-6049</c:v>
                </c:pt>
                <c:pt idx="4">
                  <c:v>-5581</c:v>
                </c:pt>
                <c:pt idx="5">
                  <c:v>-5161</c:v>
                </c:pt>
                <c:pt idx="6">
                  <c:v>-4899</c:v>
                </c:pt>
                <c:pt idx="7">
                  <c:v>-4559</c:v>
                </c:pt>
                <c:pt idx="8">
                  <c:v>-4358</c:v>
                </c:pt>
                <c:pt idx="9">
                  <c:v>-4739</c:v>
                </c:pt>
              </c:numCache>
            </c:numRef>
          </c:val>
          <c:smooth val="0"/>
        </c:ser>
        <c:ser>
          <c:idx val="3"/>
          <c:order val="2"/>
          <c:tx>
            <c:strRef>
              <c:f>'LTFP Ratios'!$BW$35</c:f>
              <c:strCache>
                <c:ptCount val="1"/>
                <c:pt idx="0">
                  <c:v>Target Range</c:v>
                </c:pt>
              </c:strCache>
            </c:strRef>
          </c:tx>
          <c:spPr>
            <a:ln>
              <a:solidFill>
                <a:schemeClr val="accent4">
                  <a:lumMod val="40000"/>
                  <a:lumOff val="60000"/>
                </a:schemeClr>
              </a:solidFill>
            </a:ln>
          </c:spPr>
          <c:marker>
            <c:symbol val="square"/>
            <c:size val="5"/>
            <c:spPr>
              <a:solidFill>
                <a:schemeClr val="accent4">
                  <a:lumMod val="40000"/>
                  <a:lumOff val="60000"/>
                </a:schemeClr>
              </a:solidFill>
              <a:ln>
                <a:solidFill>
                  <a:schemeClr val="accent4">
                    <a:lumMod val="40000"/>
                    <a:lumOff val="60000"/>
                  </a:schemeClr>
                </a:solidFill>
              </a:ln>
            </c:spPr>
          </c:marker>
          <c:cat>
            <c:strRef>
              <c:f>'LTFP Ratios'!$AZ$30:$BI$30</c:f>
              <c:strCache>
                <c:ptCount val="10"/>
                <c:pt idx="0">
                  <c:v>14/15</c:v>
                </c:pt>
                <c:pt idx="1">
                  <c:v>15/16</c:v>
                </c:pt>
                <c:pt idx="2">
                  <c:v>16/17</c:v>
                </c:pt>
                <c:pt idx="3">
                  <c:v>17/18</c:v>
                </c:pt>
                <c:pt idx="4">
                  <c:v>18/19</c:v>
                </c:pt>
                <c:pt idx="5">
                  <c:v>19/20</c:v>
                </c:pt>
                <c:pt idx="6">
                  <c:v>20/21</c:v>
                </c:pt>
                <c:pt idx="7">
                  <c:v>21/22</c:v>
                </c:pt>
                <c:pt idx="8">
                  <c:v>22/23</c:v>
                </c:pt>
                <c:pt idx="9">
                  <c:v>23/24</c:v>
                </c:pt>
              </c:strCache>
            </c:strRef>
          </c:cat>
          <c:val>
            <c:numRef>
              <c:f>'LTFP Ratios'!$BX$35:$CG$35</c:f>
              <c:numCache>
                <c:formatCode>#,##0;\(#,##0\)</c:formatCode>
                <c:ptCount val="10"/>
                <c:pt idx="0">
                  <c:v>-1000</c:v>
                </c:pt>
                <c:pt idx="1">
                  <c:v>-1000</c:v>
                </c:pt>
                <c:pt idx="2">
                  <c:v>-1000</c:v>
                </c:pt>
                <c:pt idx="3">
                  <c:v>-1000</c:v>
                </c:pt>
                <c:pt idx="4">
                  <c:v>-1000</c:v>
                </c:pt>
                <c:pt idx="5">
                  <c:v>-1000</c:v>
                </c:pt>
                <c:pt idx="6">
                  <c:v>-1000</c:v>
                </c:pt>
                <c:pt idx="7">
                  <c:v>-1000</c:v>
                </c:pt>
                <c:pt idx="8">
                  <c:v>-1000</c:v>
                </c:pt>
                <c:pt idx="9">
                  <c:v>-1000</c:v>
                </c:pt>
              </c:numCache>
            </c:numRef>
          </c:val>
          <c:smooth val="0"/>
        </c:ser>
        <c:ser>
          <c:idx val="4"/>
          <c:order val="3"/>
          <c:tx>
            <c:strRef>
              <c:f>'LTFP Ratios'!$BW$34</c:f>
              <c:strCache>
                <c:ptCount val="1"/>
              </c:strCache>
            </c:strRef>
          </c:tx>
          <c:spPr>
            <a:ln>
              <a:solidFill>
                <a:schemeClr val="accent4">
                  <a:lumMod val="40000"/>
                  <a:lumOff val="60000"/>
                </a:schemeClr>
              </a:solidFill>
            </a:ln>
          </c:spPr>
          <c:marker>
            <c:symbol val="square"/>
            <c:size val="5"/>
            <c:spPr>
              <a:solidFill>
                <a:schemeClr val="accent4">
                  <a:lumMod val="40000"/>
                  <a:lumOff val="60000"/>
                </a:schemeClr>
              </a:solidFill>
              <a:ln>
                <a:solidFill>
                  <a:schemeClr val="accent4">
                    <a:lumMod val="40000"/>
                    <a:lumOff val="60000"/>
                  </a:schemeClr>
                </a:solidFill>
              </a:ln>
            </c:spPr>
          </c:marker>
          <c:val>
            <c:numRef>
              <c:f>'LTFP Ratios'!$BX$34:$CG$34</c:f>
              <c:numCache>
                <c:formatCode>#,##0;\(#,##0\)</c:formatCode>
                <c:ptCount val="10"/>
                <c:pt idx="0">
                  <c:v>1000</c:v>
                </c:pt>
                <c:pt idx="1">
                  <c:v>1000</c:v>
                </c:pt>
                <c:pt idx="2">
                  <c:v>1000</c:v>
                </c:pt>
                <c:pt idx="3">
                  <c:v>1000</c:v>
                </c:pt>
                <c:pt idx="4">
                  <c:v>1000</c:v>
                </c:pt>
                <c:pt idx="5">
                  <c:v>1000</c:v>
                </c:pt>
                <c:pt idx="6">
                  <c:v>1000</c:v>
                </c:pt>
                <c:pt idx="7">
                  <c:v>1000</c:v>
                </c:pt>
                <c:pt idx="8">
                  <c:v>1000</c:v>
                </c:pt>
                <c:pt idx="9">
                  <c:v>1000</c:v>
                </c:pt>
              </c:numCache>
            </c:numRef>
          </c:val>
          <c:smooth val="0"/>
        </c:ser>
        <c:dLbls>
          <c:showLegendKey val="0"/>
          <c:showVal val="0"/>
          <c:showCatName val="0"/>
          <c:showSerName val="0"/>
          <c:showPercent val="0"/>
          <c:showBubbleSize val="0"/>
        </c:dLbls>
        <c:marker val="1"/>
        <c:smooth val="0"/>
        <c:axId val="201216768"/>
        <c:axId val="201218688"/>
      </c:lineChart>
      <c:catAx>
        <c:axId val="201216768"/>
        <c:scaling>
          <c:orientation val="minMax"/>
        </c:scaling>
        <c:delete val="0"/>
        <c:axPos val="b"/>
        <c:numFmt formatCode="General" sourceLinked="1"/>
        <c:majorTickMark val="none"/>
        <c:minorTickMark val="none"/>
        <c:tickLblPos val="low"/>
        <c:crossAx val="201218688"/>
        <c:crossesAt val="0"/>
        <c:auto val="1"/>
        <c:lblAlgn val="ctr"/>
        <c:lblOffset val="100"/>
        <c:noMultiLvlLbl val="0"/>
      </c:catAx>
      <c:valAx>
        <c:axId val="201218688"/>
        <c:scaling>
          <c:orientation val="minMax"/>
          <c:max val="2000"/>
          <c:min val="-7000"/>
        </c:scaling>
        <c:delete val="0"/>
        <c:axPos val="l"/>
        <c:majorGridlines/>
        <c:numFmt formatCode="#,##0;\(#,##0\)" sourceLinked="1"/>
        <c:majorTickMark val="none"/>
        <c:minorTickMark val="none"/>
        <c:tickLblPos val="nextTo"/>
        <c:spPr>
          <a:ln w="9525">
            <a:noFill/>
          </a:ln>
        </c:spPr>
        <c:crossAx val="201216768"/>
        <c:crosses val="autoZero"/>
        <c:crossBetween val="between"/>
        <c:majorUnit val="1000"/>
      </c:valAx>
      <c:spPr>
        <a:gradFill>
          <a:gsLst>
            <a:gs pos="7000">
              <a:schemeClr val="bg1"/>
            </a:gs>
            <a:gs pos="22000">
              <a:schemeClr val="accent4">
                <a:lumMod val="40000"/>
                <a:lumOff val="60000"/>
              </a:schemeClr>
            </a:gs>
            <a:gs pos="39000">
              <a:schemeClr val="bg1"/>
            </a:gs>
          </a:gsLst>
          <a:lin ang="5400000" scaled="0"/>
        </a:gradFill>
      </c:spPr>
    </c:plotArea>
    <c:legend>
      <c:legendPos val="b"/>
      <c:layout>
        <c:manualLayout>
          <c:xMode val="edge"/>
          <c:yMode val="edge"/>
          <c:x val="0.14513638631217973"/>
          <c:y val="0.87989229544513148"/>
          <c:w val="0.69783643323654321"/>
          <c:h val="9.1289399715939246E-2"/>
        </c:manualLayout>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380304840300432"/>
          <c:y val="0.12847840571244071"/>
          <c:w val="0.81762274593169437"/>
          <c:h val="0.64223413765623449"/>
        </c:manualLayout>
      </c:layout>
      <c:lineChart>
        <c:grouping val="standard"/>
        <c:varyColors val="0"/>
        <c:ser>
          <c:idx val="1"/>
          <c:order val="0"/>
          <c:tx>
            <c:strRef>
              <c:f>'[Chart in Microsoft Word]Ratios'!$C$31</c:f>
              <c:strCache>
                <c:ptCount val="1"/>
                <c:pt idx="0">
                  <c:v>Scenario 1</c:v>
                </c:pt>
              </c:strCache>
            </c:strRef>
          </c:tx>
          <c:spPr>
            <a:ln>
              <a:solidFill>
                <a:schemeClr val="accent3"/>
              </a:solidFill>
            </a:ln>
          </c:spPr>
          <c:marker>
            <c:symbol val="circle"/>
            <c:size val="5"/>
            <c:spPr>
              <a:solidFill>
                <a:schemeClr val="accent3"/>
              </a:solidFill>
              <a:ln>
                <a:solidFill>
                  <a:schemeClr val="accent3"/>
                </a:solidFill>
              </a:ln>
            </c:spPr>
          </c:marker>
          <c:cat>
            <c:strRef>
              <c:f>'[Chart in Microsoft Word]Ratios'!$D$30:$N$30</c:f>
              <c:strCache>
                <c:ptCount val="10"/>
                <c:pt idx="0">
                  <c:v>14/15</c:v>
                </c:pt>
                <c:pt idx="1">
                  <c:v>15/16</c:v>
                </c:pt>
                <c:pt idx="2">
                  <c:v>16/17</c:v>
                </c:pt>
                <c:pt idx="3">
                  <c:v>17/18</c:v>
                </c:pt>
                <c:pt idx="4">
                  <c:v>18/19</c:v>
                </c:pt>
                <c:pt idx="5">
                  <c:v>19/20</c:v>
                </c:pt>
                <c:pt idx="6">
                  <c:v>20/21</c:v>
                </c:pt>
                <c:pt idx="7">
                  <c:v>21/22</c:v>
                </c:pt>
                <c:pt idx="8">
                  <c:v>22/23</c:v>
                </c:pt>
                <c:pt idx="9">
                  <c:v>23/24</c:v>
                </c:pt>
              </c:strCache>
            </c:strRef>
          </c:cat>
          <c:val>
            <c:numRef>
              <c:f>'[Chart in Microsoft Word]Ratios'!$D$31:$M$31</c:f>
              <c:numCache>
                <c:formatCode>_(* #,##0.00_);_(* \(#,##0.00\);_(* "-"??_);_(@_)</c:formatCode>
                <c:ptCount val="10"/>
                <c:pt idx="0">
                  <c:v>1.35</c:v>
                </c:pt>
                <c:pt idx="1">
                  <c:v>1.43</c:v>
                </c:pt>
                <c:pt idx="2">
                  <c:v>1.54</c:v>
                </c:pt>
                <c:pt idx="3">
                  <c:v>1.68</c:v>
                </c:pt>
                <c:pt idx="4">
                  <c:v>1.76</c:v>
                </c:pt>
                <c:pt idx="5">
                  <c:v>1.77</c:v>
                </c:pt>
                <c:pt idx="6">
                  <c:v>1.72</c:v>
                </c:pt>
                <c:pt idx="7">
                  <c:v>1.64</c:v>
                </c:pt>
                <c:pt idx="8">
                  <c:v>1.58</c:v>
                </c:pt>
                <c:pt idx="9">
                  <c:v>1.5</c:v>
                </c:pt>
              </c:numCache>
            </c:numRef>
          </c:val>
          <c:smooth val="0"/>
        </c:ser>
        <c:ser>
          <c:idx val="0"/>
          <c:order val="1"/>
          <c:tx>
            <c:strRef>
              <c:f>'[Chart in Microsoft Word]Ratios'!$C$33</c:f>
              <c:strCache>
                <c:ptCount val="1"/>
                <c:pt idx="0">
                  <c:v>Scenario 3</c:v>
                </c:pt>
              </c:strCache>
            </c:strRef>
          </c:tx>
          <c:spPr>
            <a:ln>
              <a:solidFill>
                <a:srgbClr val="C00000"/>
              </a:solidFill>
            </a:ln>
          </c:spPr>
          <c:marker>
            <c:symbol val="triangle"/>
            <c:size val="5"/>
            <c:spPr>
              <a:solidFill>
                <a:srgbClr val="C00000"/>
              </a:solidFill>
              <a:ln>
                <a:solidFill>
                  <a:srgbClr val="C00000"/>
                </a:solidFill>
              </a:ln>
            </c:spPr>
          </c:marker>
          <c:val>
            <c:numRef>
              <c:f>'[Chart in Microsoft Word]Ratios'!$D$33:$M$33</c:f>
              <c:numCache>
                <c:formatCode>_(* #,##0.00_);_(* \(#,##0.00\);_(* "-"??_);_(@_)</c:formatCode>
                <c:ptCount val="10"/>
                <c:pt idx="0">
                  <c:v>1.35</c:v>
                </c:pt>
                <c:pt idx="1">
                  <c:v>1.42</c:v>
                </c:pt>
                <c:pt idx="2">
                  <c:v>1.52</c:v>
                </c:pt>
                <c:pt idx="3">
                  <c:v>1.63</c:v>
                </c:pt>
                <c:pt idx="4">
                  <c:v>1.7</c:v>
                </c:pt>
                <c:pt idx="5">
                  <c:v>1.7</c:v>
                </c:pt>
                <c:pt idx="6">
                  <c:v>1.66</c:v>
                </c:pt>
                <c:pt idx="7">
                  <c:v>1.6</c:v>
                </c:pt>
                <c:pt idx="8">
                  <c:v>1.56</c:v>
                </c:pt>
                <c:pt idx="9">
                  <c:v>1.5</c:v>
                </c:pt>
              </c:numCache>
            </c:numRef>
          </c:val>
          <c:smooth val="0"/>
        </c:ser>
        <c:ser>
          <c:idx val="3"/>
          <c:order val="2"/>
          <c:tx>
            <c:strRef>
              <c:f>'[Chart in Microsoft Word]Ratios'!$C$34</c:f>
              <c:strCache>
                <c:ptCount val="1"/>
                <c:pt idx="0">
                  <c:v>Benchmark</c:v>
                </c:pt>
              </c:strCache>
            </c:strRef>
          </c:tx>
          <c:spPr>
            <a:ln>
              <a:solidFill>
                <a:schemeClr val="accent4"/>
              </a:solidFill>
            </a:ln>
          </c:spPr>
          <c:marker>
            <c:symbol val="square"/>
            <c:size val="5"/>
            <c:spPr>
              <a:solidFill>
                <a:schemeClr val="accent4"/>
              </a:solidFill>
              <a:ln>
                <a:solidFill>
                  <a:schemeClr val="accent4"/>
                </a:solidFill>
              </a:ln>
            </c:spPr>
          </c:marker>
          <c:cat>
            <c:strRef>
              <c:f>'[Chart in Microsoft Word]Ratios'!$D$30:$N$30</c:f>
              <c:strCache>
                <c:ptCount val="10"/>
                <c:pt idx="0">
                  <c:v>14/15</c:v>
                </c:pt>
                <c:pt idx="1">
                  <c:v>15/16</c:v>
                </c:pt>
                <c:pt idx="2">
                  <c:v>16/17</c:v>
                </c:pt>
                <c:pt idx="3">
                  <c:v>17/18</c:v>
                </c:pt>
                <c:pt idx="4">
                  <c:v>18/19</c:v>
                </c:pt>
                <c:pt idx="5">
                  <c:v>19/20</c:v>
                </c:pt>
                <c:pt idx="6">
                  <c:v>20/21</c:v>
                </c:pt>
                <c:pt idx="7">
                  <c:v>21/22</c:v>
                </c:pt>
                <c:pt idx="8">
                  <c:v>22/23</c:v>
                </c:pt>
                <c:pt idx="9">
                  <c:v>23/24</c:v>
                </c:pt>
              </c:strCache>
            </c:strRef>
          </c:cat>
          <c:val>
            <c:numRef>
              <c:f>'[Chart in Microsoft Word]Ratios'!$D$34:$M$34</c:f>
              <c:numCache>
                <c:formatCode>_(* #,##0.00_);_(* \(#,##0.00\);_(* "-"??_);_(@_)</c:formatCode>
                <c:ptCount val="10"/>
                <c:pt idx="0">
                  <c:v>1.5</c:v>
                </c:pt>
                <c:pt idx="1">
                  <c:v>1.5</c:v>
                </c:pt>
                <c:pt idx="2">
                  <c:v>1.5</c:v>
                </c:pt>
                <c:pt idx="3">
                  <c:v>1.5</c:v>
                </c:pt>
                <c:pt idx="4">
                  <c:v>1.5</c:v>
                </c:pt>
                <c:pt idx="5">
                  <c:v>1.5</c:v>
                </c:pt>
                <c:pt idx="6">
                  <c:v>1.5</c:v>
                </c:pt>
                <c:pt idx="7">
                  <c:v>1.5</c:v>
                </c:pt>
                <c:pt idx="8">
                  <c:v>1.5</c:v>
                </c:pt>
                <c:pt idx="9">
                  <c:v>1.5</c:v>
                </c:pt>
              </c:numCache>
            </c:numRef>
          </c:val>
          <c:smooth val="0"/>
        </c:ser>
        <c:dLbls>
          <c:showLegendKey val="0"/>
          <c:showVal val="0"/>
          <c:showCatName val="0"/>
          <c:showSerName val="0"/>
          <c:showPercent val="0"/>
          <c:showBubbleSize val="0"/>
        </c:dLbls>
        <c:marker val="1"/>
        <c:smooth val="0"/>
        <c:axId val="201256960"/>
        <c:axId val="201258880"/>
      </c:lineChart>
      <c:catAx>
        <c:axId val="201256960"/>
        <c:scaling>
          <c:orientation val="minMax"/>
        </c:scaling>
        <c:delete val="0"/>
        <c:axPos val="b"/>
        <c:numFmt formatCode="General" sourceLinked="1"/>
        <c:majorTickMark val="none"/>
        <c:minorTickMark val="none"/>
        <c:tickLblPos val="nextTo"/>
        <c:crossAx val="201258880"/>
        <c:crosses val="autoZero"/>
        <c:auto val="1"/>
        <c:lblAlgn val="ctr"/>
        <c:lblOffset val="100"/>
        <c:noMultiLvlLbl val="0"/>
      </c:catAx>
      <c:valAx>
        <c:axId val="201258880"/>
        <c:scaling>
          <c:orientation val="minMax"/>
          <c:max val="1.8"/>
          <c:min val="1.3"/>
        </c:scaling>
        <c:delete val="0"/>
        <c:axPos val="l"/>
        <c:majorGridlines/>
        <c:title>
          <c:tx>
            <c:rich>
              <a:bodyPr rot="-5400000" vert="horz"/>
              <a:lstStyle/>
              <a:p>
                <a:pPr>
                  <a:defRPr/>
                </a:pPr>
                <a:r>
                  <a:rPr lang="en-AU"/>
                  <a:t>Ratio</a:t>
                </a:r>
              </a:p>
              <a:p>
                <a:pPr>
                  <a:defRPr/>
                </a:pPr>
                <a:endParaRPr lang="en-AU"/>
              </a:p>
            </c:rich>
          </c:tx>
          <c:layout/>
          <c:overlay val="0"/>
        </c:title>
        <c:numFmt formatCode="_(* #,##0.00_);_(* \(#,##0.00\);_(* &quot;-&quot;??_);_(@_)" sourceLinked="1"/>
        <c:majorTickMark val="none"/>
        <c:minorTickMark val="none"/>
        <c:tickLblPos val="nextTo"/>
        <c:spPr>
          <a:ln w="9525">
            <a:noFill/>
          </a:ln>
        </c:spPr>
        <c:crossAx val="201256960"/>
        <c:crosses val="autoZero"/>
        <c:crossBetween val="between"/>
      </c:valAx>
    </c:plotArea>
    <c:legend>
      <c:legendPos val="b"/>
      <c:layout/>
      <c:overlay val="0"/>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0.35321</cdr:x>
      <cdr:y>0</cdr:y>
    </cdr:from>
    <cdr:to>
      <cdr:x>0.67734</cdr:x>
      <cdr:y>0.09201</cdr:y>
    </cdr:to>
    <cdr:sp macro="" textlink="">
      <cdr:nvSpPr>
        <cdr:cNvPr id="2" name="Text Box 1"/>
        <cdr:cNvSpPr txBox="1"/>
      </cdr:nvSpPr>
      <cdr:spPr>
        <a:xfrm xmlns:a="http://schemas.openxmlformats.org/drawingml/2006/main">
          <a:off x="2027583" y="0"/>
          <a:ext cx="1860605" cy="2464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1100" b="1"/>
            <a:t>Unrestricted current ratio</a:t>
          </a:r>
        </a:p>
      </cdr:txBody>
    </cdr:sp>
  </cdr:relSizeAnchor>
</c:userShapes>
</file>

<file path=word/drawings/drawing2.xml><?xml version="1.0" encoding="utf-8"?>
<c:userShapes xmlns:c="http://schemas.openxmlformats.org/drawingml/2006/chart">
  <cdr:relSizeAnchor xmlns:cdr="http://schemas.openxmlformats.org/drawingml/2006/chartDrawing">
    <cdr:from>
      <cdr:x>0.38802</cdr:x>
      <cdr:y>0</cdr:y>
    </cdr:from>
    <cdr:to>
      <cdr:x>0.62415</cdr:x>
      <cdr:y>0.11084</cdr:y>
    </cdr:to>
    <cdr:sp macro="" textlink="">
      <cdr:nvSpPr>
        <cdr:cNvPr id="2" name="Text Box 1"/>
        <cdr:cNvSpPr txBox="1"/>
      </cdr:nvSpPr>
      <cdr:spPr>
        <a:xfrm xmlns:a="http://schemas.openxmlformats.org/drawingml/2006/main">
          <a:off x="2234317" y="0"/>
          <a:ext cx="1359673" cy="3180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b="1"/>
            <a:t>Debt Service Ratio</a:t>
          </a:r>
          <a:r>
            <a:rPr lang="en-AU" sz="1100" b="1" baseline="0"/>
            <a:t> Ratio</a:t>
          </a:r>
          <a:endParaRPr lang="en-AU" sz="1100" b="1"/>
        </a:p>
      </cdr:txBody>
    </cdr:sp>
  </cdr:relSizeAnchor>
</c:userShapes>
</file>

<file path=word/drawings/drawing3.xml><?xml version="1.0" encoding="utf-8"?>
<c:userShapes xmlns:c="http://schemas.openxmlformats.org/drawingml/2006/chart">
  <cdr:relSizeAnchor xmlns:cdr="http://schemas.openxmlformats.org/drawingml/2006/chartDrawing">
    <cdr:from>
      <cdr:x>0.26902</cdr:x>
      <cdr:y>0</cdr:y>
    </cdr:from>
    <cdr:to>
      <cdr:x>0.75297</cdr:x>
      <cdr:y>0.10801</cdr:y>
    </cdr:to>
    <cdr:sp macro="" textlink="">
      <cdr:nvSpPr>
        <cdr:cNvPr id="3" name="Text Box 2"/>
        <cdr:cNvSpPr txBox="1"/>
      </cdr:nvSpPr>
      <cdr:spPr>
        <a:xfrm xmlns:a="http://schemas.openxmlformats.org/drawingml/2006/main">
          <a:off x="1542553" y="0"/>
          <a:ext cx="2775005" cy="3339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b="1"/>
            <a:t>Rates and annual charges coverage</a:t>
          </a:r>
          <a:r>
            <a:rPr lang="en-AU" sz="1100" b="1" baseline="0"/>
            <a:t> ratio</a:t>
          </a:r>
          <a:endParaRPr lang="en-AU"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0.07495</cdr:x>
      <cdr:y>0</cdr:y>
    </cdr:from>
    <cdr:to>
      <cdr:x>0.94794</cdr:x>
      <cdr:y>0.13092</cdr:y>
    </cdr:to>
    <cdr:sp macro="" textlink="">
      <cdr:nvSpPr>
        <cdr:cNvPr id="2" name="Text Box 1"/>
        <cdr:cNvSpPr txBox="1"/>
      </cdr:nvSpPr>
      <cdr:spPr>
        <a:xfrm xmlns:a="http://schemas.openxmlformats.org/drawingml/2006/main">
          <a:off x="429370" y="0"/>
          <a:ext cx="5001371" cy="357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1100" b="1"/>
            <a:t>Outstanding Percentage: Rates, annual charges etc.</a:t>
          </a:r>
        </a:p>
      </cdr:txBody>
    </cdr:sp>
  </cdr:relSizeAnchor>
</c:userShapes>
</file>

<file path=word/drawings/drawing5.xml><?xml version="1.0" encoding="utf-8"?>
<c:userShapes xmlns:c="http://schemas.openxmlformats.org/drawingml/2006/chart">
  <cdr:relSizeAnchor xmlns:cdr="http://schemas.openxmlformats.org/drawingml/2006/chartDrawing">
    <cdr:from>
      <cdr:x>0.31858</cdr:x>
      <cdr:y>0.03068</cdr:y>
    </cdr:from>
    <cdr:to>
      <cdr:x>0.69396</cdr:x>
      <cdr:y>0.10736</cdr:y>
    </cdr:to>
    <cdr:sp macro="" textlink="">
      <cdr:nvSpPr>
        <cdr:cNvPr id="2" name="Text Box 1"/>
        <cdr:cNvSpPr txBox="1"/>
      </cdr:nvSpPr>
      <cdr:spPr>
        <a:xfrm xmlns:a="http://schemas.openxmlformats.org/drawingml/2006/main">
          <a:off x="1828800" y="79514"/>
          <a:ext cx="2154804" cy="1987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0.27287</cdr:x>
      <cdr:y>0.02147</cdr:y>
    </cdr:from>
    <cdr:to>
      <cdr:x>0.76876</cdr:x>
      <cdr:y>0.11963</cdr:y>
    </cdr:to>
    <cdr:sp macro="" textlink="">
      <cdr:nvSpPr>
        <cdr:cNvPr id="3" name="Text Box 2"/>
        <cdr:cNvSpPr txBox="1"/>
      </cdr:nvSpPr>
      <cdr:spPr>
        <a:xfrm xmlns:a="http://schemas.openxmlformats.org/drawingml/2006/main">
          <a:off x="1566407" y="55659"/>
          <a:ext cx="2846567" cy="25444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1100" b="1"/>
            <a:t>Building Infrastructure Renewal</a:t>
          </a:r>
          <a:r>
            <a:rPr lang="en-AU" sz="1100" b="1" baseline="0"/>
            <a:t> Ratio</a:t>
          </a:r>
          <a:endParaRPr lang="en-AU" sz="1100" b="1"/>
        </a:p>
      </cdr:txBody>
    </cdr:sp>
  </cdr:relSizeAnchor>
</c:userShapes>
</file>

<file path=word/drawings/drawing6.xml><?xml version="1.0" encoding="utf-8"?>
<c:userShapes xmlns:c="http://schemas.openxmlformats.org/drawingml/2006/chart">
  <cdr:relSizeAnchor xmlns:cdr="http://schemas.openxmlformats.org/drawingml/2006/chartDrawing">
    <cdr:from>
      <cdr:x>0.312</cdr:x>
      <cdr:y>0.02008</cdr:y>
    </cdr:from>
    <cdr:to>
      <cdr:x>0.69334</cdr:x>
      <cdr:y>0.1305</cdr:y>
    </cdr:to>
    <cdr:sp macro="" textlink="">
      <cdr:nvSpPr>
        <cdr:cNvPr id="2" name="Text Box 1"/>
        <cdr:cNvSpPr txBox="1"/>
      </cdr:nvSpPr>
      <cdr:spPr>
        <a:xfrm xmlns:a="http://schemas.openxmlformats.org/drawingml/2006/main">
          <a:off x="1789043" y="47708"/>
          <a:ext cx="2186609" cy="2623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1100" b="1"/>
            <a:t>Asset Renewal Ratio</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1562FF014F3C04880CCC4A7BB31CE1F" ma:contentTypeVersion="0" ma:contentTypeDescription="Create a new document." ma:contentTypeScope="" ma:versionID="e9f8a13a4f73795d591f9ef1c4edb4af">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C4FBC8-B8DE-4AEA-8E1D-52335A1CF93C}">
  <ds:schemaRefs>
    <ds:schemaRef ds:uri="http://www.w3.org/XML/1998/namespace"/>
    <ds:schemaRef ds:uri="http://schemas.microsoft.com/office/2006/metadata/properties"/>
    <ds:schemaRef ds:uri="http://purl.org/dc/terms/"/>
    <ds:schemaRef ds:uri="http://purl.org/dc/dcmitype/"/>
    <ds:schemaRef ds:uri="http://schemas.microsoft.com/office/2006/documentManagement/types"/>
    <ds:schemaRef ds:uri="http://purl.org/dc/elements/1.1/"/>
    <ds:schemaRef ds:uri="http://schemas.openxmlformats.org/package/2006/metadata/core-properties"/>
  </ds:schemaRefs>
</ds:datastoreItem>
</file>

<file path=customXml/itemProps2.xml><?xml version="1.0" encoding="utf-8"?>
<ds:datastoreItem xmlns:ds="http://schemas.openxmlformats.org/officeDocument/2006/customXml" ds:itemID="{0839F7B1-DF3A-4B85-A774-E88DC9059A58}">
  <ds:schemaRefs>
    <ds:schemaRef ds:uri="http://schemas.microsoft.com/sharepoint/v3/contenttype/forms"/>
  </ds:schemaRefs>
</ds:datastoreItem>
</file>

<file path=customXml/itemProps3.xml><?xml version="1.0" encoding="utf-8"?>
<ds:datastoreItem xmlns:ds="http://schemas.openxmlformats.org/officeDocument/2006/customXml" ds:itemID="{2C5FB7DD-246E-4920-97DE-4EFB96A2E5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684DA38-3202-4752-A412-1B2B589F9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Short Report.dotx</Template>
  <TotalTime>39</TotalTime>
  <Pages>153</Pages>
  <Words>46010</Words>
  <Characters>264573</Characters>
  <Application>Microsoft Office Word</Application>
  <DocSecurity>0</DocSecurity>
  <Lines>2204</Lines>
  <Paragraphs>619</Paragraphs>
  <ScaleCrop>false</ScaleCrop>
  <HeadingPairs>
    <vt:vector size="2" baseType="variant">
      <vt:variant>
        <vt:lpstr>Title</vt:lpstr>
      </vt:variant>
      <vt:variant>
        <vt:i4>1</vt:i4>
      </vt:variant>
    </vt:vector>
  </HeadingPairs>
  <TitlesOfParts>
    <vt:vector size="1" baseType="lpstr">
      <vt:lpstr>[Click here and type brief title</vt:lpstr>
    </vt:vector>
  </TitlesOfParts>
  <Company>IPART</Company>
  <LinksUpToDate>false</LinksUpToDate>
  <CharactersWithSpaces>309964</CharactersWithSpaces>
  <SharedDoc>false</SharedDoc>
  <HLinks>
    <vt:vector size="6" baseType="variant">
      <vt:variant>
        <vt:i4>1114133</vt:i4>
      </vt:variant>
      <vt:variant>
        <vt:i4>22</vt:i4>
      </vt:variant>
      <vt:variant>
        <vt:i4>0</vt:i4>
      </vt:variant>
      <vt:variant>
        <vt:i4>5</vt:i4>
      </vt:variant>
      <vt:variant>
        <vt:lpwstr>http://www.ipart.nsw.gov.au/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and type brief title</dc:title>
  <dc:creator>Linda Hoskings</dc:creator>
  <cp:lastModifiedBy>Rosemary Dillon</cp:lastModifiedBy>
  <cp:revision>11</cp:revision>
  <cp:lastPrinted>2015-02-27T00:17:00Z</cp:lastPrinted>
  <dcterms:created xsi:type="dcterms:W3CDTF">2015-02-27T00:14:00Z</dcterms:created>
  <dcterms:modified xsi:type="dcterms:W3CDTF">2015-02-27T01:00:00Z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0x010100B1562FF014F3C04880CCC4A7BB31CE1F</vt:lpwstr>
  </property>
  <property fmtid="{D5CDD505-2E9C-101B-9397-08002B2CF9AE}" pid="3" name="Order">
    <vt:r8>400</vt:r8>
  </property>
  <property fmtid="{D5CDD505-2E9C-101B-9397-08002B2CF9AE}" pid="4" name="TemplateUrl">
    <vt:lpwstr/>
  </property>
  <property fmtid="{D5CDD505-2E9C-101B-9397-08002B2CF9AE}" pid="5" name="_CopySource">
    <vt:lpwstr>http://bmcc-moss2/ipf/cs/Service Hub/SV2 HUB/Application/Application Form - Part B/Application Form Part B.docx</vt:lpwstr>
  </property>
  <property fmtid="{D5CDD505-2E9C-101B-9397-08002B2CF9AE}" pid="6" name="xd_ProgID">
    <vt:lpwstr/>
  </property>
</Properties>
</file>