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4F16B6">
            <w:pPr>
              <w:pStyle w:val="Report"/>
              <w:rPr>
                <w:b w:val="0"/>
              </w:rPr>
            </w:pPr>
            <w:r>
              <w:rPr>
                <w:b w:val="0"/>
              </w:rPr>
              <w:t>12</w:t>
            </w:r>
            <w:r w:rsidR="00264CB8">
              <w:rPr>
                <w:b w:val="0"/>
              </w:rPr>
              <w:t xml:space="preserve"> February 2015</w:t>
            </w:r>
          </w:p>
          <w:p w:rsidR="00264CB8" w:rsidRPr="000F359C" w:rsidRDefault="00264CB8">
            <w:pPr>
              <w:pStyle w:val="Report"/>
              <w:rPr>
                <w:b w:val="0"/>
              </w:rPr>
            </w:pPr>
          </w:p>
          <w:p w:rsidR="00493377" w:rsidRDefault="00264CB8">
            <w:pPr>
              <w:pStyle w:val="Report"/>
              <w:rPr>
                <w:b w:val="0"/>
              </w:rPr>
            </w:pPr>
            <w:r>
              <w:rPr>
                <w:b w:val="0"/>
              </w:rPr>
              <w:t>Lynette Safranek</w:t>
            </w:r>
          </w:p>
          <w:p w:rsidR="00264CB8" w:rsidRPr="000F359C" w:rsidRDefault="00264CB8">
            <w:pPr>
              <w:pStyle w:val="Report"/>
              <w:rPr>
                <w:b w:val="0"/>
              </w:rPr>
            </w:pPr>
            <w:r>
              <w:rPr>
                <w:b w:val="0"/>
              </w:rPr>
              <w:t>Finance &amp; Community Services Director</w:t>
            </w:r>
          </w:p>
          <w:p w:rsidR="000F359C" w:rsidRPr="000F359C" w:rsidRDefault="00264CB8" w:rsidP="000F359C">
            <w:pPr>
              <w:pStyle w:val="Report"/>
              <w:rPr>
                <w:b w:val="0"/>
              </w:rPr>
            </w:pPr>
            <w:r>
              <w:rPr>
                <w:b w:val="0"/>
              </w:rPr>
              <w:t>6329 8100 or 0418 269 921</w:t>
            </w:r>
          </w:p>
          <w:p w:rsidR="000F359C" w:rsidRPr="000F359C" w:rsidRDefault="00843AF5" w:rsidP="000F359C">
            <w:pPr>
              <w:pStyle w:val="Report"/>
              <w:rPr>
                <w:b w:val="0"/>
              </w:rPr>
            </w:pPr>
            <w:hyperlink r:id="rId9" w:history="1">
              <w:r w:rsidR="00264CB8" w:rsidRPr="00003B79">
                <w:rPr>
                  <w:rStyle w:val="Hyperlink"/>
                  <w:b w:val="0"/>
                </w:rPr>
                <w:t>lynette.safranek@oberon.nsw.gov.au</w:t>
              </w:r>
            </w:hyperlink>
            <w:r w:rsidR="00264CB8">
              <w:rPr>
                <w:b w:val="0"/>
              </w:rPr>
              <w:t xml:space="preserve"> </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10"/>
          <w:pgSz w:w="11907" w:h="16840" w:code="9"/>
          <w:pgMar w:top="2268" w:right="1701" w:bottom="1418" w:left="1701" w:header="1134" w:footer="284" w:gutter="567"/>
          <w:pgNumType w:fmt="lowerRoman"/>
          <w:cols w:space="708"/>
          <w:docGrid w:linePitch="360"/>
        </w:sectPr>
      </w:pPr>
    </w:p>
    <w:p w:rsidR="00493377" w:rsidRPr="00804549" w:rsidRDefault="00804549" w:rsidP="001C526A">
      <w:pPr>
        <w:pStyle w:val="Contents"/>
        <w:spacing w:before="0" w:after="1000"/>
        <w:rPr>
          <w:sz w:val="40"/>
        </w:rPr>
      </w:pPr>
      <w:r w:rsidRPr="00804549">
        <w:rPr>
          <w:noProof/>
          <w:sz w:val="40"/>
          <w:lang w:eastAsia="en-AU"/>
        </w:rPr>
        <w:lastRenderedPageBreak/>
        <w:drawing>
          <wp:anchor distT="0" distB="0" distL="114300" distR="114300" simplePos="0" relativeHeight="251659264" behindDoc="0" locked="0" layoutInCell="1" allowOverlap="1" wp14:anchorId="60699CD0" wp14:editId="4EB1C422">
            <wp:simplePos x="0" y="0"/>
            <wp:positionH relativeFrom="column">
              <wp:posOffset>-1176020</wp:posOffset>
            </wp:positionH>
            <wp:positionV relativeFrom="paragraph">
              <wp:posOffset>-1176020</wp:posOffset>
            </wp:positionV>
            <wp:extent cx="678050" cy="508000"/>
            <wp:effectExtent l="0" t="0" r="825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050" cy="508000"/>
                    </a:xfrm>
                    <a:prstGeom prst="rect">
                      <a:avLst/>
                    </a:prstGeom>
                  </pic:spPr>
                </pic:pic>
              </a:graphicData>
            </a:graphic>
            <wp14:sizeRelH relativeFrom="page">
              <wp14:pctWidth>0</wp14:pctWidth>
            </wp14:sizeRelH>
            <wp14:sizeRelV relativeFrom="page">
              <wp14:pctHeight>0</wp14:pctHeight>
            </wp14:sizeRelV>
          </wp:anchor>
        </w:drawing>
      </w:r>
      <w:r w:rsidR="00930361" w:rsidRPr="00804549">
        <w:rPr>
          <w:noProof/>
          <w:sz w:val="40"/>
          <w:lang w:eastAsia="en-AU"/>
        </w:rPr>
        <mc:AlternateContent>
          <mc:Choice Requires="wps">
            <w:drawing>
              <wp:anchor distT="0" distB="0" distL="114300" distR="114300" simplePos="0" relativeHeight="251658240" behindDoc="0" locked="0" layoutInCell="0" allowOverlap="1" wp14:anchorId="5EEE4A69" wp14:editId="76A97D4D">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804549">
        <w:rPr>
          <w:sz w:val="40"/>
        </w:rPr>
        <w:t>Contents</w:t>
      </w:r>
    </w:p>
    <w:p w:rsidR="003B1258" w:rsidRDefault="00493377">
      <w:pPr>
        <w:pStyle w:val="TOC1"/>
        <w:rPr>
          <w:rFonts w:asciiTheme="minorHAnsi" w:eastAsiaTheme="minorEastAsia" w:hAnsiTheme="minorHAnsi" w:cstheme="minorBidi"/>
          <w:b w:val="0"/>
          <w:noProof/>
          <w:color w:val="auto"/>
          <w:sz w:val="22"/>
          <w:szCs w:val="22"/>
        </w:rPr>
      </w:pPr>
      <w:r w:rsidRPr="001C526A">
        <w:rPr>
          <w:sz w:val="24"/>
        </w:rPr>
        <w:fldChar w:fldCharType="begin"/>
      </w:r>
      <w:r w:rsidRPr="001C526A">
        <w:rPr>
          <w:sz w:val="24"/>
        </w:rPr>
        <w:instrText xml:space="preserve"> TOC \o "2-2" \t "Heading 1,1,Heading 6,2,Heading 1 (no number),1,Part Subtitle,1"  \* MERGEFORMAT  \* MERGEFORMAT </w:instrText>
      </w:r>
      <w:r w:rsidRPr="001C526A">
        <w:rPr>
          <w:sz w:val="24"/>
        </w:rPr>
        <w:fldChar w:fldCharType="separate"/>
      </w:r>
      <w:r w:rsidR="003B1258">
        <w:rPr>
          <w:noProof/>
        </w:rPr>
        <w:t>1</w:t>
      </w:r>
      <w:r w:rsidR="003B1258">
        <w:rPr>
          <w:rFonts w:asciiTheme="minorHAnsi" w:eastAsiaTheme="minorEastAsia" w:hAnsiTheme="minorHAnsi" w:cstheme="minorBidi"/>
          <w:b w:val="0"/>
          <w:noProof/>
          <w:color w:val="auto"/>
          <w:sz w:val="22"/>
          <w:szCs w:val="22"/>
        </w:rPr>
        <w:tab/>
      </w:r>
      <w:r w:rsidR="003B1258">
        <w:rPr>
          <w:noProof/>
        </w:rPr>
        <w:t>Preliminary</w:t>
      </w:r>
      <w:r w:rsidR="003B1258">
        <w:rPr>
          <w:noProof/>
        </w:rPr>
        <w:tab/>
      </w:r>
      <w:r w:rsidR="003B1258">
        <w:rPr>
          <w:noProof/>
        </w:rPr>
        <w:fldChar w:fldCharType="begin"/>
      </w:r>
      <w:r w:rsidR="003B1258">
        <w:rPr>
          <w:noProof/>
        </w:rPr>
        <w:instrText xml:space="preserve"> PAGEREF _Toc409776040 \h </w:instrText>
      </w:r>
      <w:r w:rsidR="003B1258">
        <w:rPr>
          <w:noProof/>
        </w:rPr>
      </w:r>
      <w:r w:rsidR="003B1258">
        <w:rPr>
          <w:noProof/>
        </w:rPr>
        <w:fldChar w:fldCharType="separate"/>
      </w:r>
      <w:r w:rsidR="00843AF5">
        <w:rPr>
          <w:noProof/>
        </w:rPr>
        <w:t>1</w:t>
      </w:r>
      <w:r w:rsidR="003B1258">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_Toc409776041 \h </w:instrText>
      </w:r>
      <w:r>
        <w:rPr>
          <w:noProof/>
        </w:rPr>
      </w:r>
      <w:r>
        <w:rPr>
          <w:noProof/>
        </w:rPr>
        <w:fldChar w:fldCharType="separate"/>
      </w:r>
      <w:r w:rsidR="00843AF5">
        <w:rPr>
          <w:noProof/>
        </w:rPr>
        <w:t>1</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Key purpose of Special Rate Variation</w:t>
      </w:r>
      <w:r>
        <w:rPr>
          <w:noProof/>
        </w:rPr>
        <w:tab/>
      </w:r>
      <w:r>
        <w:rPr>
          <w:noProof/>
        </w:rPr>
        <w:fldChar w:fldCharType="begin"/>
      </w:r>
      <w:r>
        <w:rPr>
          <w:noProof/>
        </w:rPr>
        <w:instrText xml:space="preserve"> PAGEREF _Toc409776042 \h </w:instrText>
      </w:r>
      <w:r>
        <w:rPr>
          <w:noProof/>
        </w:rPr>
      </w:r>
      <w:r>
        <w:rPr>
          <w:noProof/>
        </w:rPr>
        <w:fldChar w:fldCharType="separate"/>
      </w:r>
      <w:r w:rsidR="00843AF5">
        <w:rPr>
          <w:noProof/>
        </w:rPr>
        <w:t>1</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_Toc409776043 \h </w:instrText>
      </w:r>
      <w:r>
        <w:rPr>
          <w:noProof/>
        </w:rPr>
      </w:r>
      <w:r>
        <w:rPr>
          <w:noProof/>
        </w:rPr>
        <w:fldChar w:fldCharType="separate"/>
      </w:r>
      <w:r w:rsidR="00843AF5">
        <w:rPr>
          <w:noProof/>
        </w:rPr>
        <w:t>2</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_Toc409776044 \h </w:instrText>
      </w:r>
      <w:r>
        <w:rPr>
          <w:noProof/>
        </w:rPr>
      </w:r>
      <w:r>
        <w:rPr>
          <w:noProof/>
        </w:rPr>
        <w:fldChar w:fldCharType="separate"/>
      </w:r>
      <w:r w:rsidR="00843AF5">
        <w:rPr>
          <w:noProof/>
        </w:rPr>
        <w:t>3</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Case for Special Rate Variation - community need</w:t>
      </w:r>
      <w:r>
        <w:rPr>
          <w:noProof/>
        </w:rPr>
        <w:tab/>
      </w:r>
      <w:r>
        <w:rPr>
          <w:noProof/>
        </w:rPr>
        <w:fldChar w:fldCharType="begin"/>
      </w:r>
      <w:r>
        <w:rPr>
          <w:noProof/>
        </w:rPr>
        <w:instrText xml:space="preserve"> PAGEREF _Toc409776045 \h </w:instrText>
      </w:r>
      <w:r>
        <w:rPr>
          <w:noProof/>
        </w:rPr>
      </w:r>
      <w:r>
        <w:rPr>
          <w:noProof/>
        </w:rPr>
        <w:fldChar w:fldCharType="separate"/>
      </w:r>
      <w:r w:rsidR="00843AF5">
        <w:rPr>
          <w:noProof/>
        </w:rPr>
        <w:t>3</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_Toc409776046 \h </w:instrText>
      </w:r>
      <w:r>
        <w:rPr>
          <w:noProof/>
        </w:rPr>
      </w:r>
      <w:r>
        <w:rPr>
          <w:noProof/>
        </w:rPr>
        <w:fldChar w:fldCharType="separate"/>
      </w:r>
      <w:r w:rsidR="00843AF5">
        <w:rPr>
          <w:noProof/>
        </w:rPr>
        <w:t>5</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_Toc409776047 \h </w:instrText>
      </w:r>
      <w:r>
        <w:rPr>
          <w:noProof/>
        </w:rPr>
      </w:r>
      <w:r>
        <w:rPr>
          <w:noProof/>
        </w:rPr>
        <w:fldChar w:fldCharType="separate"/>
      </w:r>
      <w:r w:rsidR="00843AF5">
        <w:rPr>
          <w:noProof/>
        </w:rPr>
        <w:t>5</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_Toc409776048 \h </w:instrText>
      </w:r>
      <w:r>
        <w:rPr>
          <w:noProof/>
        </w:rPr>
      </w:r>
      <w:r>
        <w:rPr>
          <w:noProof/>
        </w:rPr>
        <w:fldChar w:fldCharType="separate"/>
      </w:r>
      <w:r w:rsidR="00843AF5">
        <w:rPr>
          <w:noProof/>
        </w:rPr>
        <w:t>6</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_Toc409776049 \h </w:instrText>
      </w:r>
      <w:r>
        <w:rPr>
          <w:noProof/>
        </w:rPr>
      </w:r>
      <w:r>
        <w:rPr>
          <w:noProof/>
        </w:rPr>
        <w:fldChar w:fldCharType="separate"/>
      </w:r>
      <w:r w:rsidR="00843AF5">
        <w:rPr>
          <w:noProof/>
        </w:rPr>
        <w:t>6</w:t>
      </w:r>
      <w:r>
        <w:rPr>
          <w:noProof/>
        </w:rPr>
        <w:fldChar w:fldCharType="end"/>
      </w:r>
    </w:p>
    <w:p w:rsidR="003B1258" w:rsidRDefault="003B1258">
      <w:pPr>
        <w:pStyle w:val="TOC2"/>
        <w:rPr>
          <w:rFonts w:asciiTheme="minorHAnsi" w:eastAsiaTheme="minorEastAsia" w:hAnsiTheme="minorHAnsi" w:cstheme="minorBidi"/>
          <w:noProof/>
          <w:sz w:val="22"/>
          <w:szCs w:val="22"/>
        </w:rPr>
      </w:pPr>
      <w:r w:rsidRPr="000A3255">
        <w:rPr>
          <w:bCs/>
          <w:noProof/>
        </w:rPr>
        <w:t>3.1</w:t>
      </w:r>
      <w:r>
        <w:rPr>
          <w:rFonts w:asciiTheme="minorHAnsi" w:eastAsiaTheme="minorEastAsia" w:hAnsiTheme="minorHAnsi" w:cstheme="minorBidi"/>
          <w:noProof/>
          <w:sz w:val="22"/>
          <w:szCs w:val="22"/>
        </w:rPr>
        <w:tab/>
      </w:r>
      <w:r w:rsidRPr="000A3255">
        <w:rPr>
          <w:bCs/>
          <w:noProof/>
        </w:rPr>
        <w:t>The consultation strategy</w:t>
      </w:r>
      <w:r>
        <w:rPr>
          <w:noProof/>
        </w:rPr>
        <w:tab/>
      </w:r>
      <w:r>
        <w:rPr>
          <w:noProof/>
        </w:rPr>
        <w:fldChar w:fldCharType="begin"/>
      </w:r>
      <w:r>
        <w:rPr>
          <w:noProof/>
        </w:rPr>
        <w:instrText xml:space="preserve"> PAGEREF _Toc409776050 \h </w:instrText>
      </w:r>
      <w:r>
        <w:rPr>
          <w:noProof/>
        </w:rPr>
      </w:r>
      <w:r>
        <w:rPr>
          <w:noProof/>
        </w:rPr>
        <w:fldChar w:fldCharType="separate"/>
      </w:r>
      <w:r w:rsidR="00843AF5">
        <w:rPr>
          <w:noProof/>
        </w:rPr>
        <w:t>6</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_Toc409776051 \h </w:instrText>
      </w:r>
      <w:r>
        <w:rPr>
          <w:noProof/>
        </w:rPr>
      </w:r>
      <w:r>
        <w:rPr>
          <w:noProof/>
        </w:rPr>
        <w:fldChar w:fldCharType="separate"/>
      </w:r>
      <w:r w:rsidR="00843AF5">
        <w:rPr>
          <w:noProof/>
        </w:rPr>
        <w:t>10</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_Toc409776052 \h </w:instrText>
      </w:r>
      <w:r>
        <w:rPr>
          <w:noProof/>
        </w:rPr>
      </w:r>
      <w:r>
        <w:rPr>
          <w:noProof/>
        </w:rPr>
        <w:fldChar w:fldCharType="separate"/>
      </w:r>
      <w:r w:rsidR="00843AF5">
        <w:rPr>
          <w:noProof/>
        </w:rPr>
        <w:t>11</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_Toc409776053 \h </w:instrText>
      </w:r>
      <w:r>
        <w:rPr>
          <w:noProof/>
        </w:rPr>
      </w:r>
      <w:r>
        <w:rPr>
          <w:noProof/>
        </w:rPr>
        <w:fldChar w:fldCharType="separate"/>
      </w:r>
      <w:r w:rsidR="00843AF5">
        <w:rPr>
          <w:noProof/>
        </w:rPr>
        <w:t>12</w:t>
      </w:r>
      <w:r>
        <w:rPr>
          <w:noProof/>
        </w:rPr>
        <w:fldChar w:fldCharType="end"/>
      </w:r>
    </w:p>
    <w:p w:rsidR="003B1258" w:rsidRDefault="003B1258">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_Toc409776054 \h </w:instrText>
      </w:r>
      <w:r>
        <w:rPr>
          <w:noProof/>
        </w:rPr>
      </w:r>
      <w:r>
        <w:rPr>
          <w:noProof/>
        </w:rPr>
        <w:fldChar w:fldCharType="separate"/>
      </w:r>
      <w:r w:rsidR="00843AF5">
        <w:rPr>
          <w:noProof/>
        </w:rPr>
        <w:t>13</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_Toc409776055 \h </w:instrText>
      </w:r>
      <w:r>
        <w:rPr>
          <w:noProof/>
        </w:rPr>
      </w:r>
      <w:r>
        <w:rPr>
          <w:noProof/>
        </w:rPr>
        <w:fldChar w:fldCharType="separate"/>
      </w:r>
      <w:r w:rsidR="00843AF5">
        <w:rPr>
          <w:noProof/>
        </w:rPr>
        <w:t>13</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_Toc409776056 \h </w:instrText>
      </w:r>
      <w:r>
        <w:rPr>
          <w:noProof/>
        </w:rPr>
      </w:r>
      <w:r>
        <w:rPr>
          <w:noProof/>
        </w:rPr>
        <w:fldChar w:fldCharType="separate"/>
      </w:r>
      <w:r w:rsidR="00843AF5">
        <w:rPr>
          <w:noProof/>
        </w:rPr>
        <w:t>13</w:t>
      </w:r>
      <w:r>
        <w:rPr>
          <w:noProof/>
        </w:rPr>
        <w:fldChar w:fldCharType="end"/>
      </w:r>
    </w:p>
    <w:p w:rsidR="003B1258" w:rsidRDefault="003B1258">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List of attachments</w:t>
      </w:r>
      <w:r>
        <w:rPr>
          <w:noProof/>
        </w:rPr>
        <w:tab/>
      </w:r>
      <w:r w:rsidR="007D409C">
        <w:rPr>
          <w:noProof/>
        </w:rPr>
        <w:t>14</w:t>
      </w:r>
    </w:p>
    <w:p w:rsidR="002F428B" w:rsidRPr="002F428B" w:rsidRDefault="00493377" w:rsidP="002F428B">
      <w:pPr>
        <w:sectPr w:rsidR="002F428B" w:rsidRPr="002F428B">
          <w:headerReference w:type="even" r:id="rId12"/>
          <w:headerReference w:type="default" r:id="rId13"/>
          <w:headerReference w:type="first" r:id="rId14"/>
          <w:footerReference w:type="first" r:id="rId15"/>
          <w:type w:val="oddPage"/>
          <w:pgSz w:w="11907" w:h="16840" w:code="9"/>
          <w:pgMar w:top="2268" w:right="1701" w:bottom="1418" w:left="1701" w:header="1134" w:footer="284" w:gutter="567"/>
          <w:pgNumType w:fmt="lowerRoman"/>
          <w:cols w:space="708"/>
          <w:docGrid w:linePitch="360"/>
        </w:sectPr>
      </w:pPr>
      <w:r w:rsidRPr="001C526A">
        <w:rPr>
          <w:sz w:val="28"/>
        </w:rPr>
        <w:fldChar w:fldCharType="end"/>
      </w:r>
    </w:p>
    <w:p w:rsidR="00A052C1" w:rsidRDefault="00A052C1" w:rsidP="00A052C1">
      <w:pPr>
        <w:pStyle w:val="Heading1"/>
        <w:tabs>
          <w:tab w:val="clear" w:pos="709"/>
          <w:tab w:val="num" w:pos="567"/>
        </w:tabs>
        <w:ind w:left="567" w:hanging="567"/>
      </w:pPr>
      <w:bookmarkStart w:id="0" w:name="_Toc409776040"/>
      <w:r>
        <w:lastRenderedPageBreak/>
        <w:t>Preliminary</w:t>
      </w:r>
      <w:bookmarkEnd w:id="0"/>
    </w:p>
    <w:p w:rsidR="0020452B" w:rsidRPr="0020452B" w:rsidRDefault="0020452B" w:rsidP="0020452B">
      <w:pPr>
        <w:pStyle w:val="Heading2"/>
      </w:pPr>
      <w:bookmarkStart w:id="1" w:name="_Toc409776041"/>
      <w:r>
        <w:t>Focus on Integrated Planning and Reporting</w:t>
      </w:r>
      <w:bookmarkEnd w:id="1"/>
    </w:p>
    <w:p w:rsidR="00452CBD" w:rsidRPr="00C53F7C" w:rsidRDefault="00F57C50" w:rsidP="00D60EA5">
      <w:pPr>
        <w:pStyle w:val="BodyText"/>
        <w:rPr>
          <w:rFonts w:asciiTheme="minorHAnsi" w:hAnsiTheme="minorHAnsi"/>
        </w:rPr>
      </w:pPr>
      <w:r w:rsidRPr="00C53F7C">
        <w:rPr>
          <w:rFonts w:asciiTheme="minorHAnsi" w:hAnsiTheme="minorHAnsi"/>
        </w:rPr>
        <w:t>Councils must identify</w:t>
      </w:r>
      <w:r w:rsidR="00A32F79" w:rsidRPr="00C53F7C">
        <w:rPr>
          <w:rFonts w:asciiTheme="minorHAnsi" w:hAnsiTheme="minorHAnsi"/>
        </w:rPr>
        <w:t xml:space="preserve"> the need for</w:t>
      </w:r>
      <w:r w:rsidR="00D60EA5" w:rsidRPr="00C53F7C">
        <w:rPr>
          <w:rFonts w:asciiTheme="minorHAnsi" w:hAnsiTheme="minorHAnsi"/>
        </w:rPr>
        <w:t xml:space="preserve"> a </w:t>
      </w:r>
      <w:r w:rsidR="00187715" w:rsidRPr="00C53F7C">
        <w:rPr>
          <w:rFonts w:asciiTheme="minorHAnsi" w:hAnsiTheme="minorHAnsi"/>
        </w:rPr>
        <w:t>Special Rate Variation</w:t>
      </w:r>
      <w:r w:rsidRPr="00C53F7C">
        <w:rPr>
          <w:rFonts w:asciiTheme="minorHAnsi" w:hAnsiTheme="minorHAnsi"/>
        </w:rPr>
        <w:t xml:space="preserve"> </w:t>
      </w:r>
      <w:r w:rsidR="00834504" w:rsidRPr="00C53F7C">
        <w:rPr>
          <w:rFonts w:asciiTheme="minorHAnsi" w:hAnsiTheme="minorHAnsi"/>
        </w:rPr>
        <w:t xml:space="preserve">to their General Fund’s rates revenue </w:t>
      </w:r>
      <w:r w:rsidRPr="00C53F7C">
        <w:rPr>
          <w:rFonts w:asciiTheme="minorHAnsi" w:hAnsiTheme="minorHAnsi"/>
        </w:rPr>
        <w:t>as part of their</w:t>
      </w:r>
      <w:r w:rsidR="00D60EA5" w:rsidRPr="00C53F7C">
        <w:rPr>
          <w:rFonts w:asciiTheme="minorHAnsi" w:hAnsiTheme="minorHAnsi"/>
        </w:rPr>
        <w:t xml:space="preserve"> Integrated Planning and Reporting (IP&amp;R) process</w:t>
      </w:r>
      <w:r w:rsidR="00452CBD" w:rsidRPr="00C53F7C">
        <w:rPr>
          <w:rFonts w:asciiTheme="minorHAnsi" w:hAnsiTheme="minorHAnsi"/>
        </w:rPr>
        <w:t>.</w:t>
      </w:r>
      <w:r w:rsidR="00345C90" w:rsidRPr="00C53F7C">
        <w:rPr>
          <w:rFonts w:asciiTheme="minorHAnsi" w:hAnsiTheme="minorHAnsi"/>
        </w:rPr>
        <w:t xml:space="preserve"> </w:t>
      </w:r>
      <w:r w:rsidR="00A542AB" w:rsidRPr="00C53F7C">
        <w:rPr>
          <w:rFonts w:asciiTheme="minorHAnsi" w:hAnsiTheme="minorHAnsi"/>
        </w:rPr>
        <w:t xml:space="preserve"> The IP&amp;R documents will need to be publicly exhibited and adopted by the council prior to it submitting its application to us.  </w:t>
      </w:r>
      <w:r w:rsidR="004A5187" w:rsidRPr="00C53F7C">
        <w:rPr>
          <w:rFonts w:asciiTheme="minorHAnsi" w:hAnsiTheme="minorHAnsi"/>
        </w:rPr>
        <w:t>Also refer</w:t>
      </w:r>
      <w:r w:rsidR="00A542AB" w:rsidRPr="00C53F7C">
        <w:rPr>
          <w:rFonts w:asciiTheme="minorHAnsi" w:hAnsiTheme="minorHAnsi"/>
        </w:rPr>
        <w:t xml:space="preserve"> to</w:t>
      </w:r>
      <w:r w:rsidR="006958FA" w:rsidRPr="00C53F7C">
        <w:rPr>
          <w:rFonts w:asciiTheme="minorHAnsi" w:hAnsiTheme="minorHAnsi"/>
        </w:rPr>
        <w:t xml:space="preserve"> section 6</w:t>
      </w:r>
      <w:r w:rsidR="00A542AB" w:rsidRPr="00C53F7C">
        <w:rPr>
          <w:rFonts w:asciiTheme="minorHAnsi" w:hAnsiTheme="minorHAnsi"/>
        </w:rPr>
        <w:t xml:space="preserve"> </w:t>
      </w:r>
      <w:r w:rsidR="004A5187" w:rsidRPr="00C53F7C">
        <w:rPr>
          <w:rFonts w:asciiTheme="minorHAnsi" w:hAnsiTheme="minorHAnsi"/>
        </w:rPr>
        <w:t>for a more detailed explanation</w:t>
      </w:r>
      <w:r w:rsidR="006958FA" w:rsidRPr="00C53F7C">
        <w:rPr>
          <w:rFonts w:asciiTheme="minorHAnsi" w:hAnsiTheme="minorHAnsi"/>
        </w:rPr>
        <w:t>.</w:t>
      </w:r>
    </w:p>
    <w:p w:rsidR="00D60EA5" w:rsidRPr="00C53F7C" w:rsidRDefault="00D60EA5" w:rsidP="00D60EA5">
      <w:pPr>
        <w:pStyle w:val="BodyText"/>
        <w:rPr>
          <w:rFonts w:asciiTheme="minorHAnsi" w:hAnsiTheme="minorHAnsi"/>
        </w:rPr>
      </w:pPr>
      <w:r w:rsidRPr="00C53F7C">
        <w:rPr>
          <w:rFonts w:asciiTheme="minorHAnsi" w:hAnsiTheme="minorHAnsi"/>
        </w:rPr>
        <w:t>The key IP&amp;R documents are the Community Strategic Plan, Delivery Program, Long Term Financial Plan and, where appl</w:t>
      </w:r>
      <w:r w:rsidR="006607B9" w:rsidRPr="00C53F7C">
        <w:rPr>
          <w:rFonts w:asciiTheme="minorHAnsi" w:hAnsiTheme="minorHAnsi"/>
        </w:rPr>
        <w:t xml:space="preserve">icable, </w:t>
      </w:r>
      <w:r w:rsidR="003A65AA" w:rsidRPr="00C53F7C">
        <w:rPr>
          <w:rFonts w:asciiTheme="minorHAnsi" w:hAnsiTheme="minorHAnsi"/>
        </w:rPr>
        <w:t xml:space="preserve">the </w:t>
      </w:r>
      <w:r w:rsidR="006607B9" w:rsidRPr="00C53F7C">
        <w:rPr>
          <w:rFonts w:asciiTheme="minorHAnsi" w:hAnsiTheme="minorHAnsi"/>
        </w:rPr>
        <w:t>Asset Management Plan.</w:t>
      </w:r>
      <w:r w:rsidR="0020452B" w:rsidRPr="00C53F7C">
        <w:rPr>
          <w:rFonts w:asciiTheme="minorHAnsi" w:hAnsiTheme="minorHAnsi"/>
        </w:rPr>
        <w:t xml:space="preserve">  </w:t>
      </w:r>
      <w:r w:rsidRPr="00C53F7C">
        <w:rPr>
          <w:rFonts w:asciiTheme="minorHAnsi" w:hAnsiTheme="minorHAnsi"/>
        </w:rPr>
        <w:t xml:space="preserve">A council’s </w:t>
      </w:r>
      <w:r w:rsidR="000D1A92" w:rsidRPr="00C53F7C">
        <w:rPr>
          <w:rFonts w:asciiTheme="minorHAnsi" w:hAnsiTheme="minorHAnsi"/>
        </w:rPr>
        <w:t>application</w:t>
      </w:r>
      <w:r w:rsidRPr="00C53F7C">
        <w:rPr>
          <w:rFonts w:asciiTheme="minorHAnsi" w:hAnsiTheme="minorHAnsi"/>
        </w:rPr>
        <w:t xml:space="preserve"> may also include supplementary and/or background publications used within its IP</w:t>
      </w:r>
      <w:r w:rsidR="00F57C50" w:rsidRPr="00C53F7C">
        <w:rPr>
          <w:rFonts w:asciiTheme="minorHAnsi" w:hAnsiTheme="minorHAnsi"/>
        </w:rPr>
        <w:t>&amp;R processes.  Y</w:t>
      </w:r>
      <w:r w:rsidRPr="00C53F7C">
        <w:rPr>
          <w:rFonts w:asciiTheme="minorHAnsi" w:hAnsiTheme="minorHAnsi"/>
        </w:rPr>
        <w:t xml:space="preserve">ou should refer to these documents to support your application for a </w:t>
      </w:r>
      <w:r w:rsidR="00187715" w:rsidRPr="00C53F7C">
        <w:rPr>
          <w:rFonts w:asciiTheme="minorHAnsi" w:hAnsiTheme="minorHAnsi"/>
        </w:rPr>
        <w:t>Special Rate Variation</w:t>
      </w:r>
      <w:r w:rsidR="00F57C50" w:rsidRPr="00C53F7C">
        <w:rPr>
          <w:rFonts w:asciiTheme="minorHAnsi" w:hAnsiTheme="minorHAnsi"/>
        </w:rPr>
        <w:t xml:space="preserve"> where appropriate</w:t>
      </w:r>
      <w:r w:rsidRPr="00C53F7C">
        <w:rPr>
          <w:rFonts w:asciiTheme="minorHAnsi" w:hAnsiTheme="minorHAnsi"/>
        </w:rPr>
        <w:t>.</w:t>
      </w:r>
    </w:p>
    <w:p w:rsidR="00B157B7" w:rsidRPr="00FE2452" w:rsidRDefault="00B157B7" w:rsidP="00B157B7">
      <w:pPr>
        <w:pStyle w:val="Heading2"/>
      </w:pPr>
      <w:bookmarkStart w:id="2" w:name="_Toc409776042"/>
      <w:r>
        <w:t xml:space="preserve">Key purpose of </w:t>
      </w:r>
      <w:r w:rsidR="00187715">
        <w:t>Special Rate Variation</w:t>
      </w:r>
      <w:bookmarkEnd w:id="2"/>
    </w:p>
    <w:p w:rsidR="00B157B7" w:rsidRPr="00B3100A" w:rsidRDefault="00B157B7" w:rsidP="00B157B7">
      <w:pPr>
        <w:pStyle w:val="BodyText"/>
        <w:rPr>
          <w:rFonts w:asciiTheme="minorHAnsi" w:hAnsiTheme="minorHAnsi"/>
        </w:rPr>
      </w:pPr>
      <w:r w:rsidRPr="00B3100A">
        <w:rPr>
          <w:rFonts w:asciiTheme="minorHAnsi" w:hAnsiTheme="minorHAnsi"/>
        </w:rPr>
        <w:t xml:space="preserve">At the highest level, indicate the key purpose(s) of the </w:t>
      </w:r>
      <w:r w:rsidR="00187715" w:rsidRPr="00B3100A">
        <w:rPr>
          <w:rFonts w:asciiTheme="minorHAnsi" w:hAnsiTheme="minorHAnsi"/>
        </w:rPr>
        <w:t>Special Rate Variation</w:t>
      </w:r>
      <w:r w:rsidRPr="00B3100A">
        <w:rPr>
          <w:rFonts w:asciiTheme="minorHAnsi" w:hAnsiTheme="minorHAnsi"/>
        </w:rPr>
        <w:t xml:space="preserve"> by marking one or more of the boxes below with an “x”.</w:t>
      </w:r>
    </w:p>
    <w:p w:rsidR="00B157B7" w:rsidRDefault="00B157B7" w:rsidP="00B157B7">
      <w:pPr>
        <w:pStyle w:val="BodyText"/>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3" w:name="Check4"/>
            <w:r w:rsidRPr="00B84AA8">
              <w:instrText xml:space="preserve"> FORMCHECKBOX </w:instrText>
            </w:r>
            <w:r w:rsidR="00843AF5">
              <w:fldChar w:fldCharType="separate"/>
            </w:r>
            <w:r w:rsidRPr="00B84AA8">
              <w:fldChar w:fldCharType="end"/>
            </w:r>
            <w:bookmarkEnd w:id="3"/>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264CB8" w:rsidP="00264CB8">
            <w:pPr>
              <w:pStyle w:val="BodyText"/>
              <w:spacing w:before="60" w:after="60"/>
              <w:jc w:val="center"/>
            </w:pPr>
            <w:r>
              <w:t>X</w:t>
            </w:r>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4" w:name="Check3"/>
            <w:r w:rsidRPr="00B84AA8">
              <w:instrText xml:space="preserve"> FORMCHECKBOX </w:instrText>
            </w:r>
            <w:r w:rsidR="00843AF5">
              <w:fldChar w:fldCharType="separate"/>
            </w:r>
            <w:r w:rsidRPr="00B84AA8">
              <w:fldChar w:fldCharType="end"/>
            </w:r>
            <w:bookmarkEnd w:id="4"/>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677035" w:rsidP="00DA3D47">
            <w:pPr>
              <w:pStyle w:val="BodyText"/>
              <w:spacing w:before="60" w:after="60"/>
              <w:jc w:val="center"/>
            </w:pPr>
            <w:r>
              <w:t>X</w:t>
            </w:r>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264CB8" w:rsidP="00DA3D47">
            <w:pPr>
              <w:pStyle w:val="BodyText"/>
              <w:spacing w:before="60" w:after="60"/>
              <w:jc w:val="center"/>
            </w:pPr>
            <w:r>
              <w:t>X</w:t>
            </w:r>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5" w:name="Check2"/>
            <w:r w:rsidRPr="00B84AA8">
              <w:instrText xml:space="preserve"> FORMCHECKBOX </w:instrText>
            </w:r>
            <w:r w:rsidR="00843AF5">
              <w:fldChar w:fldCharType="separate"/>
            </w:r>
            <w:r w:rsidRPr="00B84AA8">
              <w:fldChar w:fldCharType="end"/>
            </w:r>
            <w:bookmarkEnd w:id="5"/>
          </w:p>
        </w:tc>
      </w:tr>
      <w:tr w:rsidR="00B157B7" w:rsidRPr="00B84AA8" w:rsidTr="008C0E0D">
        <w:trPr>
          <w:jc w:val="center"/>
        </w:trPr>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6" w:name="Check5"/>
            <w:r w:rsidRPr="00B84AA8">
              <w:instrText xml:space="preserve"> FORMCHECKBOX </w:instrText>
            </w:r>
            <w:r w:rsidR="00843AF5">
              <w:fldChar w:fldCharType="separate"/>
            </w:r>
            <w:r w:rsidRPr="00B84AA8">
              <w:fldChar w:fldCharType="end"/>
            </w:r>
            <w:bookmarkEnd w:id="6"/>
          </w:p>
        </w:tc>
      </w:tr>
    </w:tbl>
    <w:p w:rsidR="00A22CC6" w:rsidRDefault="00A22CC6" w:rsidP="008C0E0D">
      <w:pPr>
        <w:pStyle w:val="BodyText"/>
      </w:pPr>
    </w:p>
    <w:p w:rsidR="00A22CC6" w:rsidRDefault="00A22CC6" w:rsidP="008C0E0D">
      <w:pPr>
        <w:pStyle w:val="BodyText"/>
        <w:spacing w:before="0" w:line="240" w:lineRule="auto"/>
        <w:rPr>
          <w:rFonts w:asciiTheme="minorHAnsi" w:hAnsiTheme="minorHAnsi"/>
        </w:rPr>
      </w:pPr>
      <w:bookmarkStart w:id="7" w:name="_Toc304287283"/>
      <w:bookmarkStart w:id="8" w:name="_Toc366160409"/>
      <w:r w:rsidRPr="002455C2">
        <w:rPr>
          <w:rFonts w:asciiTheme="minorHAnsi" w:hAnsiTheme="minorHAnsi"/>
        </w:rPr>
        <w:t xml:space="preserve">Oberon Council </w:t>
      </w:r>
      <w:r>
        <w:rPr>
          <w:rFonts w:asciiTheme="minorHAnsi" w:hAnsiTheme="minorHAnsi"/>
        </w:rPr>
        <w:t>is aiming</w:t>
      </w:r>
      <w:r w:rsidRPr="002455C2">
        <w:rPr>
          <w:rFonts w:asciiTheme="minorHAnsi" w:hAnsiTheme="minorHAnsi"/>
        </w:rPr>
        <w:t xml:space="preserve"> to </w:t>
      </w:r>
      <w:r w:rsidR="00A21502">
        <w:rPr>
          <w:rFonts w:asciiTheme="minorHAnsi" w:hAnsiTheme="minorHAnsi"/>
        </w:rPr>
        <w:t>maintain</w:t>
      </w:r>
      <w:r>
        <w:rPr>
          <w:rFonts w:asciiTheme="minorHAnsi" w:hAnsiTheme="minorHAnsi"/>
        </w:rPr>
        <w:t xml:space="preserve"> financial sustainability</w:t>
      </w:r>
      <w:r w:rsidR="00FB0EE6">
        <w:rPr>
          <w:rFonts w:asciiTheme="minorHAnsi" w:hAnsiTheme="minorHAnsi"/>
        </w:rPr>
        <w:t xml:space="preserve">, infrastructure maintenance and renewal, </w:t>
      </w:r>
      <w:r>
        <w:rPr>
          <w:rFonts w:asciiTheme="minorHAnsi" w:hAnsiTheme="minorHAnsi"/>
        </w:rPr>
        <w:t xml:space="preserve">while reducing its </w:t>
      </w:r>
      <w:r w:rsidRPr="002455C2">
        <w:rPr>
          <w:rFonts w:asciiTheme="minorHAnsi" w:hAnsiTheme="minorHAnsi"/>
        </w:rPr>
        <w:t xml:space="preserve">infrastructure backlog.  In </w:t>
      </w:r>
      <w:r>
        <w:rPr>
          <w:rFonts w:asciiTheme="minorHAnsi" w:hAnsiTheme="minorHAnsi"/>
        </w:rPr>
        <w:t>May</w:t>
      </w:r>
      <w:r w:rsidRPr="002455C2">
        <w:rPr>
          <w:rFonts w:asciiTheme="minorHAnsi" w:hAnsiTheme="minorHAnsi"/>
        </w:rPr>
        <w:t xml:space="preserve"> </w:t>
      </w:r>
      <w:r w:rsidR="00FB0EE6">
        <w:rPr>
          <w:rFonts w:asciiTheme="minorHAnsi" w:hAnsiTheme="minorHAnsi"/>
        </w:rPr>
        <w:t xml:space="preserve">and June </w:t>
      </w:r>
      <w:r w:rsidRPr="002455C2">
        <w:rPr>
          <w:rFonts w:asciiTheme="minorHAnsi" w:hAnsiTheme="minorHAnsi"/>
        </w:rPr>
        <w:t xml:space="preserve">2014, </w:t>
      </w:r>
      <w:r>
        <w:rPr>
          <w:rFonts w:asciiTheme="minorHAnsi" w:hAnsiTheme="minorHAnsi"/>
        </w:rPr>
        <w:t xml:space="preserve">Oberon Council </w:t>
      </w:r>
      <w:r w:rsidR="00FB0EE6">
        <w:rPr>
          <w:rFonts w:asciiTheme="minorHAnsi" w:hAnsiTheme="minorHAnsi"/>
        </w:rPr>
        <w:t>consulted</w:t>
      </w:r>
      <w:r w:rsidR="000A741E">
        <w:rPr>
          <w:rFonts w:asciiTheme="minorHAnsi" w:hAnsiTheme="minorHAnsi"/>
        </w:rPr>
        <w:t xml:space="preserve"> with</w:t>
      </w:r>
      <w:r>
        <w:rPr>
          <w:rFonts w:asciiTheme="minorHAnsi" w:hAnsiTheme="minorHAnsi"/>
        </w:rPr>
        <w:t xml:space="preserve"> the community, as part of the </w:t>
      </w:r>
      <w:r w:rsidR="000A741E">
        <w:rPr>
          <w:rFonts w:asciiTheme="minorHAnsi" w:hAnsiTheme="minorHAnsi"/>
        </w:rPr>
        <w:t xml:space="preserve">Draft Oberon </w:t>
      </w:r>
      <w:r>
        <w:rPr>
          <w:rFonts w:asciiTheme="minorHAnsi" w:hAnsiTheme="minorHAnsi"/>
        </w:rPr>
        <w:t xml:space="preserve">Community Strategic Plan </w:t>
      </w:r>
      <w:r w:rsidR="000A741E">
        <w:rPr>
          <w:rFonts w:asciiTheme="minorHAnsi" w:hAnsiTheme="minorHAnsi"/>
        </w:rPr>
        <w:t>2014</w:t>
      </w:r>
      <w:r>
        <w:rPr>
          <w:rFonts w:asciiTheme="minorHAnsi" w:hAnsiTheme="minorHAnsi"/>
        </w:rPr>
        <w:t xml:space="preserve">, </w:t>
      </w:r>
      <w:r w:rsidR="000A741E">
        <w:rPr>
          <w:rFonts w:asciiTheme="minorHAnsi" w:hAnsiTheme="minorHAnsi"/>
        </w:rPr>
        <w:t>regarding</w:t>
      </w:r>
      <w:r>
        <w:rPr>
          <w:rFonts w:asciiTheme="minorHAnsi" w:hAnsiTheme="minorHAnsi"/>
        </w:rPr>
        <w:t xml:space="preserve"> the possibility of having to increase rates by 10% and 15% respectively for the next two years. The community members were informed that this increase would </w:t>
      </w:r>
      <w:r w:rsidR="00BA5E63">
        <w:rPr>
          <w:rFonts w:asciiTheme="minorHAnsi" w:hAnsiTheme="minorHAnsi"/>
        </w:rPr>
        <w:t>fund</w:t>
      </w:r>
      <w:r>
        <w:rPr>
          <w:rFonts w:asciiTheme="minorHAnsi" w:hAnsiTheme="minorHAnsi"/>
        </w:rPr>
        <w:t xml:space="preserve"> </w:t>
      </w:r>
      <w:r w:rsidR="00A21502">
        <w:rPr>
          <w:rFonts w:asciiTheme="minorHAnsi" w:hAnsiTheme="minorHAnsi"/>
        </w:rPr>
        <w:t xml:space="preserve">road </w:t>
      </w:r>
      <w:r>
        <w:rPr>
          <w:rFonts w:asciiTheme="minorHAnsi" w:hAnsiTheme="minorHAnsi"/>
        </w:rPr>
        <w:t xml:space="preserve">infrastructure backlog. </w:t>
      </w:r>
      <w:r w:rsidR="004E396E">
        <w:rPr>
          <w:rFonts w:asciiTheme="minorHAnsi" w:hAnsiTheme="minorHAnsi"/>
        </w:rPr>
        <w:t xml:space="preserve"> </w:t>
      </w:r>
      <w:r>
        <w:rPr>
          <w:rFonts w:asciiTheme="minorHAnsi" w:hAnsiTheme="minorHAnsi"/>
        </w:rPr>
        <w:t>As there was little response and no objection to this information, in November 2014 Council decided to approach the community to gauge community expectations of service levels and a General Rate in</w:t>
      </w:r>
      <w:r w:rsidR="00BA5E63">
        <w:rPr>
          <w:rFonts w:asciiTheme="minorHAnsi" w:hAnsiTheme="minorHAnsi"/>
        </w:rPr>
        <w:t>crease for the next 5 years.</w:t>
      </w:r>
      <w:r w:rsidR="00FE3E43">
        <w:rPr>
          <w:rFonts w:asciiTheme="minorHAnsi" w:hAnsiTheme="minorHAnsi"/>
        </w:rPr>
        <w:t xml:space="preserve"> </w:t>
      </w:r>
      <w:r w:rsidR="00BA5E63">
        <w:rPr>
          <w:rFonts w:asciiTheme="minorHAnsi" w:hAnsiTheme="minorHAnsi"/>
        </w:rPr>
        <w:t xml:space="preserve"> A S</w:t>
      </w:r>
      <w:r>
        <w:rPr>
          <w:rFonts w:asciiTheme="minorHAnsi" w:hAnsiTheme="minorHAnsi"/>
        </w:rPr>
        <w:t xml:space="preserve">urvey was developed titled “Resourcing our Future” and distributed to </w:t>
      </w:r>
      <w:r w:rsidR="00FE3E43">
        <w:rPr>
          <w:rFonts w:asciiTheme="minorHAnsi" w:hAnsiTheme="minorHAnsi"/>
        </w:rPr>
        <w:t>every Oberon Council ratepayer.</w:t>
      </w:r>
    </w:p>
    <w:p w:rsidR="00A22CC6" w:rsidRDefault="00A22CC6" w:rsidP="00FE3E43">
      <w:pPr>
        <w:pStyle w:val="BodyText"/>
        <w:spacing w:before="0" w:line="240" w:lineRule="auto"/>
        <w:rPr>
          <w:rFonts w:asciiTheme="minorHAnsi" w:hAnsiTheme="minorHAnsi"/>
        </w:rPr>
      </w:pPr>
    </w:p>
    <w:p w:rsidR="00A22CC6" w:rsidRDefault="00BA5E63" w:rsidP="008C0E0D">
      <w:pPr>
        <w:pStyle w:val="BodyText"/>
        <w:spacing w:before="0" w:line="240" w:lineRule="auto"/>
        <w:rPr>
          <w:rFonts w:asciiTheme="minorHAnsi" w:hAnsiTheme="minorHAnsi"/>
        </w:rPr>
      </w:pPr>
      <w:r>
        <w:rPr>
          <w:rFonts w:asciiTheme="minorHAnsi" w:hAnsiTheme="minorHAnsi"/>
        </w:rPr>
        <w:t>The S</w:t>
      </w:r>
      <w:r w:rsidR="00A22CC6">
        <w:rPr>
          <w:rFonts w:asciiTheme="minorHAnsi" w:hAnsiTheme="minorHAnsi"/>
        </w:rPr>
        <w:t xml:space="preserve">urvey outlined strategies for financial sustainability and what </w:t>
      </w:r>
      <w:r>
        <w:rPr>
          <w:rFonts w:asciiTheme="minorHAnsi" w:hAnsiTheme="minorHAnsi"/>
        </w:rPr>
        <w:t>actions are being implemented to increase</w:t>
      </w:r>
      <w:r w:rsidR="00A22CC6">
        <w:rPr>
          <w:rFonts w:asciiTheme="minorHAnsi" w:hAnsiTheme="minorHAnsi"/>
        </w:rPr>
        <w:t xml:space="preserve"> </w:t>
      </w:r>
      <w:r>
        <w:rPr>
          <w:rFonts w:asciiTheme="minorHAnsi" w:hAnsiTheme="minorHAnsi"/>
        </w:rPr>
        <w:t>efficiency</w:t>
      </w:r>
      <w:r w:rsidR="00A22CC6">
        <w:rPr>
          <w:rFonts w:asciiTheme="minorHAnsi" w:hAnsiTheme="minorHAnsi"/>
        </w:rPr>
        <w:t xml:space="preserve"> and address the financial challenges. These included increasing income; managing borrowings responsibly; consulting with the community; avoiding shocks; increasing advocacy and partnerships; and balancing the budget.</w:t>
      </w:r>
    </w:p>
    <w:p w:rsidR="00A22CC6" w:rsidRDefault="00A22CC6" w:rsidP="00FE3E43">
      <w:pPr>
        <w:pStyle w:val="BodyText"/>
        <w:spacing w:before="0" w:line="240" w:lineRule="auto"/>
        <w:rPr>
          <w:rFonts w:asciiTheme="minorHAnsi" w:hAnsiTheme="minorHAnsi"/>
        </w:rPr>
      </w:pPr>
    </w:p>
    <w:p w:rsidR="00FE3E43" w:rsidRDefault="00FE3E43">
      <w:pPr>
        <w:rPr>
          <w:rFonts w:asciiTheme="minorHAnsi" w:hAnsiTheme="minorHAnsi"/>
          <w:szCs w:val="21"/>
        </w:rPr>
      </w:pPr>
      <w:r>
        <w:rPr>
          <w:rFonts w:asciiTheme="minorHAnsi" w:hAnsiTheme="minorHAnsi"/>
        </w:rPr>
        <w:br w:type="page"/>
      </w:r>
    </w:p>
    <w:p w:rsidR="00FE3E43" w:rsidRDefault="00FE3E43" w:rsidP="00FE3E43">
      <w:pPr>
        <w:pStyle w:val="BodyText"/>
        <w:spacing w:before="0" w:line="240" w:lineRule="auto"/>
        <w:rPr>
          <w:rFonts w:asciiTheme="minorHAnsi" w:hAnsiTheme="minorHAnsi"/>
        </w:rPr>
      </w:pPr>
    </w:p>
    <w:p w:rsidR="00A22CC6" w:rsidRDefault="00A22CC6" w:rsidP="00FE3E43">
      <w:pPr>
        <w:pStyle w:val="BodyText"/>
        <w:spacing w:before="0" w:line="240" w:lineRule="auto"/>
        <w:rPr>
          <w:rFonts w:asciiTheme="minorHAnsi" w:hAnsiTheme="minorHAnsi"/>
        </w:rPr>
      </w:pPr>
      <w:r>
        <w:rPr>
          <w:rFonts w:asciiTheme="minorHAnsi" w:hAnsiTheme="minorHAnsi"/>
        </w:rPr>
        <w:t>Ratepayers were asked to select between two options:</w:t>
      </w:r>
    </w:p>
    <w:p w:rsidR="00E617C7" w:rsidRDefault="00E617C7" w:rsidP="00FE3E43">
      <w:pPr>
        <w:pStyle w:val="BodyText"/>
        <w:spacing w:before="0" w:line="240" w:lineRule="auto"/>
        <w:rPr>
          <w:rFonts w:asciiTheme="minorHAnsi" w:hAnsiTheme="minorHAnsi"/>
        </w:rPr>
      </w:pPr>
    </w:p>
    <w:p w:rsidR="00A22CC6" w:rsidRDefault="00A22CC6" w:rsidP="00FE3E43">
      <w:pPr>
        <w:pStyle w:val="BodyText"/>
        <w:numPr>
          <w:ilvl w:val="0"/>
          <w:numId w:val="27"/>
        </w:numPr>
        <w:tabs>
          <w:tab w:val="left" w:pos="1134"/>
        </w:tabs>
        <w:spacing w:before="0" w:line="240" w:lineRule="auto"/>
        <w:ind w:left="567" w:hanging="567"/>
        <w:rPr>
          <w:rFonts w:asciiTheme="minorHAnsi" w:hAnsiTheme="minorHAnsi"/>
        </w:rPr>
      </w:pPr>
      <w:r>
        <w:rPr>
          <w:rFonts w:asciiTheme="minorHAnsi" w:hAnsiTheme="minorHAnsi"/>
        </w:rPr>
        <w:t xml:space="preserve">Service levels maintained and improved, with an increase of 10% per year for the next </w:t>
      </w:r>
      <w:r w:rsidR="00313CFE">
        <w:rPr>
          <w:rFonts w:asciiTheme="minorHAnsi" w:hAnsiTheme="minorHAnsi"/>
        </w:rPr>
        <w:br/>
      </w:r>
      <w:r>
        <w:rPr>
          <w:rFonts w:asciiTheme="minorHAnsi" w:hAnsiTheme="minorHAnsi"/>
        </w:rPr>
        <w:t>5 years (including the rate peg increase)</w:t>
      </w:r>
      <w:r w:rsidR="008C0E0D">
        <w:rPr>
          <w:rFonts w:asciiTheme="minorHAnsi" w:hAnsiTheme="minorHAnsi"/>
        </w:rPr>
        <w:t xml:space="preserve">, </w:t>
      </w:r>
      <w:r w:rsidR="00313CFE">
        <w:rPr>
          <w:rFonts w:asciiTheme="minorHAnsi" w:hAnsiTheme="minorHAnsi"/>
        </w:rPr>
        <w:t>or</w:t>
      </w:r>
    </w:p>
    <w:p w:rsidR="00E617C7" w:rsidRDefault="00E617C7" w:rsidP="00FE3E43">
      <w:pPr>
        <w:pStyle w:val="BodyText"/>
        <w:tabs>
          <w:tab w:val="left" w:pos="1134"/>
        </w:tabs>
        <w:spacing w:before="0" w:line="240" w:lineRule="auto"/>
        <w:ind w:left="567"/>
        <w:rPr>
          <w:rFonts w:asciiTheme="minorHAnsi" w:hAnsiTheme="minorHAnsi"/>
        </w:rPr>
      </w:pPr>
    </w:p>
    <w:p w:rsidR="00A22CC6" w:rsidRDefault="00A22CC6" w:rsidP="00FE3E43">
      <w:pPr>
        <w:pStyle w:val="BodyText"/>
        <w:numPr>
          <w:ilvl w:val="0"/>
          <w:numId w:val="27"/>
        </w:numPr>
        <w:tabs>
          <w:tab w:val="left" w:pos="1134"/>
        </w:tabs>
        <w:spacing w:before="0" w:line="240" w:lineRule="auto"/>
        <w:ind w:left="567" w:hanging="567"/>
        <w:rPr>
          <w:rFonts w:asciiTheme="minorHAnsi" w:hAnsiTheme="minorHAnsi"/>
        </w:rPr>
      </w:pPr>
      <w:r>
        <w:rPr>
          <w:rFonts w:asciiTheme="minorHAnsi" w:hAnsiTheme="minorHAnsi"/>
        </w:rPr>
        <w:t xml:space="preserve">Service levels reduced, with an increase of between 5% and 6% per year for the next </w:t>
      </w:r>
      <w:r w:rsidR="00313CFE">
        <w:rPr>
          <w:rFonts w:asciiTheme="minorHAnsi" w:hAnsiTheme="minorHAnsi"/>
        </w:rPr>
        <w:br/>
      </w:r>
      <w:r>
        <w:rPr>
          <w:rFonts w:asciiTheme="minorHAnsi" w:hAnsiTheme="minorHAnsi"/>
        </w:rPr>
        <w:t>5 years (including the rate peg increase).</w:t>
      </w:r>
    </w:p>
    <w:p w:rsidR="00A22CC6" w:rsidRDefault="00A22CC6" w:rsidP="00FE3E43">
      <w:pPr>
        <w:pStyle w:val="BodyText"/>
        <w:tabs>
          <w:tab w:val="left" w:pos="567"/>
        </w:tabs>
        <w:spacing w:before="0" w:line="240" w:lineRule="auto"/>
        <w:ind w:left="1"/>
        <w:rPr>
          <w:rFonts w:asciiTheme="minorHAnsi" w:hAnsiTheme="minorHAnsi"/>
        </w:rPr>
      </w:pPr>
    </w:p>
    <w:p w:rsidR="00A22CC6" w:rsidRDefault="00A22CC6" w:rsidP="00FE3E43">
      <w:pPr>
        <w:pStyle w:val="BodyText"/>
        <w:tabs>
          <w:tab w:val="left" w:pos="567"/>
        </w:tabs>
        <w:spacing w:before="0" w:line="240" w:lineRule="auto"/>
        <w:ind w:left="1"/>
        <w:rPr>
          <w:rFonts w:asciiTheme="minorHAnsi" w:hAnsiTheme="minorHAnsi"/>
        </w:rPr>
      </w:pPr>
      <w:r>
        <w:rPr>
          <w:rFonts w:asciiTheme="minorHAnsi" w:hAnsiTheme="minorHAnsi"/>
        </w:rPr>
        <w:t xml:space="preserve">A </w:t>
      </w:r>
      <w:r w:rsidR="00E617C7">
        <w:rPr>
          <w:rFonts w:asciiTheme="minorHAnsi" w:hAnsiTheme="minorHAnsi"/>
        </w:rPr>
        <w:t>Community Information Session</w:t>
      </w:r>
      <w:r>
        <w:rPr>
          <w:rFonts w:asciiTheme="minorHAnsi" w:hAnsiTheme="minorHAnsi"/>
        </w:rPr>
        <w:t xml:space="preserve"> was held on 20 No</w:t>
      </w:r>
      <w:r w:rsidR="00A21502">
        <w:rPr>
          <w:rFonts w:asciiTheme="minorHAnsi" w:hAnsiTheme="minorHAnsi"/>
        </w:rPr>
        <w:t>vember which saw approximately 4</w:t>
      </w:r>
      <w:r>
        <w:rPr>
          <w:rFonts w:asciiTheme="minorHAnsi" w:hAnsiTheme="minorHAnsi"/>
        </w:rPr>
        <w:t>0 community members in attendance. All Oberon Councillors and Executive Management Team were at this meeting. The Mayor, General Manager and Finance &amp; C</w:t>
      </w:r>
      <w:r w:rsidR="00C96845">
        <w:rPr>
          <w:rFonts w:asciiTheme="minorHAnsi" w:hAnsiTheme="minorHAnsi"/>
        </w:rPr>
        <w:t xml:space="preserve">ommunity Services Director made presentations </w:t>
      </w:r>
      <w:r>
        <w:rPr>
          <w:rFonts w:asciiTheme="minorHAnsi" w:hAnsiTheme="minorHAnsi"/>
        </w:rPr>
        <w:t xml:space="preserve">about the </w:t>
      </w:r>
      <w:r w:rsidR="00C96845">
        <w:rPr>
          <w:rFonts w:asciiTheme="minorHAnsi" w:hAnsiTheme="minorHAnsi"/>
        </w:rPr>
        <w:t>S</w:t>
      </w:r>
      <w:r>
        <w:rPr>
          <w:rFonts w:asciiTheme="minorHAnsi" w:hAnsiTheme="minorHAnsi"/>
        </w:rPr>
        <w:t>urvey and its purpose, before the floor was o</w:t>
      </w:r>
      <w:r w:rsidR="00C96845">
        <w:rPr>
          <w:rFonts w:asciiTheme="minorHAnsi" w:hAnsiTheme="minorHAnsi"/>
        </w:rPr>
        <w:t>pened up for questions</w:t>
      </w:r>
      <w:r>
        <w:rPr>
          <w:rFonts w:asciiTheme="minorHAnsi" w:hAnsiTheme="minorHAnsi"/>
        </w:rPr>
        <w:t>.</w:t>
      </w:r>
    </w:p>
    <w:p w:rsidR="00A22CC6" w:rsidRDefault="00A22CC6" w:rsidP="00FE3E43">
      <w:pPr>
        <w:pStyle w:val="BodyText"/>
        <w:spacing w:before="0" w:line="240" w:lineRule="auto"/>
        <w:ind w:left="1"/>
        <w:rPr>
          <w:rFonts w:asciiTheme="minorHAnsi" w:hAnsiTheme="minorHAnsi"/>
        </w:rPr>
      </w:pPr>
    </w:p>
    <w:p w:rsidR="00C06A5A" w:rsidRPr="005D3D43" w:rsidRDefault="00C06A5A" w:rsidP="00FE3E43">
      <w:pPr>
        <w:pStyle w:val="BodyText"/>
        <w:spacing w:before="0" w:line="240" w:lineRule="auto"/>
        <w:ind w:left="1"/>
        <w:rPr>
          <w:rFonts w:asciiTheme="minorHAnsi" w:hAnsiTheme="minorHAnsi"/>
        </w:rPr>
      </w:pPr>
      <w:r w:rsidRPr="005D3D43">
        <w:rPr>
          <w:rFonts w:asciiTheme="minorHAnsi" w:hAnsiTheme="minorHAnsi"/>
        </w:rPr>
        <w:t>When the Survey was returned, we received a</w:t>
      </w:r>
      <w:r w:rsidR="00A22CC6" w:rsidRPr="005D3D43">
        <w:rPr>
          <w:rFonts w:asciiTheme="minorHAnsi" w:hAnsiTheme="minorHAnsi"/>
        </w:rPr>
        <w:t xml:space="preserve">lmost 12% </w:t>
      </w:r>
      <w:r w:rsidRPr="005D3D43">
        <w:rPr>
          <w:rFonts w:asciiTheme="minorHAnsi" w:hAnsiTheme="minorHAnsi"/>
        </w:rPr>
        <w:t xml:space="preserve">of the total distribution. </w:t>
      </w:r>
    </w:p>
    <w:p w:rsidR="00C06A5A" w:rsidRPr="005D3D43" w:rsidRDefault="00C06A5A" w:rsidP="00FE3E43">
      <w:pPr>
        <w:pStyle w:val="BodyText"/>
        <w:spacing w:before="0" w:line="240" w:lineRule="auto"/>
        <w:ind w:left="1"/>
        <w:rPr>
          <w:rFonts w:asciiTheme="minorHAnsi" w:hAnsiTheme="minorHAnsi"/>
        </w:rPr>
      </w:pPr>
    </w:p>
    <w:p w:rsidR="00A22CC6" w:rsidRPr="005D3D43" w:rsidRDefault="00C06A5A" w:rsidP="00FE3E43">
      <w:pPr>
        <w:pStyle w:val="BodyText"/>
        <w:spacing w:before="0" w:line="240" w:lineRule="auto"/>
        <w:ind w:left="1"/>
        <w:rPr>
          <w:rFonts w:asciiTheme="minorHAnsi" w:hAnsiTheme="minorHAnsi"/>
        </w:rPr>
      </w:pPr>
      <w:r w:rsidRPr="005D3D43">
        <w:rPr>
          <w:rFonts w:asciiTheme="minorHAnsi" w:hAnsiTheme="minorHAnsi"/>
        </w:rPr>
        <w:t xml:space="preserve">Almost 75% </w:t>
      </w:r>
      <w:r w:rsidR="00CD5705" w:rsidRPr="005D3D43">
        <w:rPr>
          <w:rFonts w:asciiTheme="minorHAnsi" w:hAnsiTheme="minorHAnsi"/>
        </w:rPr>
        <w:t xml:space="preserve">(201) </w:t>
      </w:r>
      <w:r w:rsidR="001C4D7B" w:rsidRPr="005D3D43">
        <w:rPr>
          <w:rFonts w:asciiTheme="minorHAnsi" w:hAnsiTheme="minorHAnsi"/>
        </w:rPr>
        <w:t>o</w:t>
      </w:r>
      <w:r w:rsidR="00A22CC6" w:rsidRPr="005D3D43">
        <w:rPr>
          <w:rFonts w:asciiTheme="minorHAnsi" w:hAnsiTheme="minorHAnsi"/>
        </w:rPr>
        <w:t xml:space="preserve">f the </w:t>
      </w:r>
      <w:r w:rsidR="00187715" w:rsidRPr="005D3D43">
        <w:rPr>
          <w:rFonts w:asciiTheme="minorHAnsi" w:hAnsiTheme="minorHAnsi"/>
        </w:rPr>
        <w:t>Survey</w:t>
      </w:r>
      <w:r w:rsidR="001C4D7B" w:rsidRPr="005D3D43">
        <w:rPr>
          <w:rFonts w:asciiTheme="minorHAnsi" w:hAnsiTheme="minorHAnsi"/>
        </w:rPr>
        <w:t xml:space="preserve"> results </w:t>
      </w:r>
      <w:r w:rsidR="00CD5705" w:rsidRPr="005D3D43">
        <w:rPr>
          <w:rFonts w:asciiTheme="minorHAnsi" w:hAnsiTheme="minorHAnsi"/>
        </w:rPr>
        <w:t>were in favour of</w:t>
      </w:r>
      <w:r w:rsidR="001C4D7B" w:rsidRPr="005D3D43">
        <w:rPr>
          <w:rFonts w:asciiTheme="minorHAnsi" w:hAnsiTheme="minorHAnsi"/>
        </w:rPr>
        <w:t xml:space="preserve"> Option 1</w:t>
      </w:r>
      <w:r w:rsidR="00A22CC6" w:rsidRPr="005D3D43">
        <w:rPr>
          <w:rFonts w:asciiTheme="minorHAnsi" w:hAnsiTheme="minorHAnsi"/>
        </w:rPr>
        <w:t xml:space="preserve"> to maintain and improve service levels, with a 10% increase per year for 5 years (including the rate peg increase).</w:t>
      </w:r>
    </w:p>
    <w:p w:rsidR="00CD5705" w:rsidRPr="005D3D43" w:rsidRDefault="00CD5705" w:rsidP="00FE3E43">
      <w:pPr>
        <w:pStyle w:val="BodyText"/>
        <w:spacing w:before="0" w:line="240" w:lineRule="auto"/>
        <w:ind w:left="1"/>
        <w:rPr>
          <w:rFonts w:asciiTheme="minorHAnsi" w:hAnsiTheme="minorHAnsi"/>
        </w:rPr>
      </w:pPr>
    </w:p>
    <w:p w:rsidR="00CD5705" w:rsidRDefault="005D3D43" w:rsidP="00FE3E43">
      <w:pPr>
        <w:pStyle w:val="BodyText"/>
        <w:spacing w:before="0" w:line="240" w:lineRule="auto"/>
        <w:ind w:left="1"/>
        <w:rPr>
          <w:rFonts w:asciiTheme="minorHAnsi" w:hAnsiTheme="minorHAnsi"/>
        </w:rPr>
      </w:pPr>
      <w:r w:rsidRPr="005D3D43">
        <w:rPr>
          <w:rFonts w:asciiTheme="minorHAnsi" w:hAnsiTheme="minorHAnsi"/>
        </w:rPr>
        <w:t>Approximately 28</w:t>
      </w:r>
      <w:r w:rsidR="00CD5705" w:rsidRPr="005D3D43">
        <w:rPr>
          <w:rFonts w:asciiTheme="minorHAnsi" w:hAnsiTheme="minorHAnsi"/>
        </w:rPr>
        <w:t xml:space="preserve">% </w:t>
      </w:r>
      <w:r w:rsidRPr="005D3D43">
        <w:rPr>
          <w:rFonts w:asciiTheme="minorHAnsi" w:hAnsiTheme="minorHAnsi"/>
        </w:rPr>
        <w:t xml:space="preserve">(88) of responses were in favour </w:t>
      </w:r>
      <w:r w:rsidR="00CD5705" w:rsidRPr="005D3D43">
        <w:rPr>
          <w:rFonts w:asciiTheme="minorHAnsi" w:hAnsiTheme="minorHAnsi"/>
        </w:rPr>
        <w:t>of Option 2 to reduce service levels with a varied rate increase over 5 year (including the rate peg increase).</w:t>
      </w:r>
    </w:p>
    <w:p w:rsidR="00A22CC6" w:rsidRDefault="00A22CC6" w:rsidP="00FE3E43">
      <w:pPr>
        <w:pStyle w:val="BodyText"/>
        <w:spacing w:before="0" w:line="240" w:lineRule="auto"/>
        <w:ind w:left="1"/>
        <w:rPr>
          <w:rFonts w:asciiTheme="minorHAnsi" w:hAnsiTheme="minorHAnsi"/>
        </w:rPr>
      </w:pPr>
    </w:p>
    <w:p w:rsidR="00A22CC6" w:rsidRDefault="00A22CC6" w:rsidP="00FE3E43">
      <w:pPr>
        <w:pStyle w:val="BodyText"/>
        <w:spacing w:before="0" w:line="240" w:lineRule="auto"/>
        <w:ind w:left="1"/>
        <w:rPr>
          <w:rFonts w:asciiTheme="minorHAnsi" w:hAnsiTheme="minorHAnsi"/>
        </w:rPr>
      </w:pPr>
      <w:r w:rsidRPr="002455C2">
        <w:rPr>
          <w:rFonts w:asciiTheme="minorHAnsi" w:hAnsiTheme="minorHAnsi"/>
        </w:rPr>
        <w:t xml:space="preserve">The Council met on 9 </w:t>
      </w:r>
      <w:r>
        <w:rPr>
          <w:rFonts w:asciiTheme="minorHAnsi" w:hAnsiTheme="minorHAnsi"/>
        </w:rPr>
        <w:t>December</w:t>
      </w:r>
      <w:r w:rsidRPr="002455C2">
        <w:rPr>
          <w:rFonts w:asciiTheme="minorHAnsi" w:hAnsiTheme="minorHAnsi"/>
        </w:rPr>
        <w:t xml:space="preserve"> to discuss the </w:t>
      </w:r>
      <w:r w:rsidR="000F4EB7">
        <w:rPr>
          <w:rFonts w:asciiTheme="minorHAnsi" w:hAnsiTheme="minorHAnsi"/>
        </w:rPr>
        <w:t>outcome of the S</w:t>
      </w:r>
      <w:r>
        <w:rPr>
          <w:rFonts w:asciiTheme="minorHAnsi" w:hAnsiTheme="minorHAnsi"/>
        </w:rPr>
        <w:t xml:space="preserve">urvey and </w:t>
      </w:r>
      <w:r w:rsidR="000F4EB7">
        <w:rPr>
          <w:rFonts w:asciiTheme="minorHAnsi" w:hAnsiTheme="minorHAnsi"/>
        </w:rPr>
        <w:t>Community Information S</w:t>
      </w:r>
      <w:r>
        <w:rPr>
          <w:rFonts w:asciiTheme="minorHAnsi" w:hAnsiTheme="minorHAnsi"/>
        </w:rPr>
        <w:t>ession</w:t>
      </w:r>
      <w:r w:rsidRPr="002455C2">
        <w:rPr>
          <w:rFonts w:asciiTheme="minorHAnsi" w:hAnsiTheme="minorHAnsi"/>
        </w:rPr>
        <w:t xml:space="preserve"> and </w:t>
      </w:r>
      <w:r>
        <w:rPr>
          <w:rFonts w:asciiTheme="minorHAnsi" w:hAnsiTheme="minorHAnsi"/>
        </w:rPr>
        <w:t xml:space="preserve">to </w:t>
      </w:r>
      <w:r w:rsidRPr="002455C2">
        <w:rPr>
          <w:rFonts w:asciiTheme="minorHAnsi" w:hAnsiTheme="minorHAnsi"/>
        </w:rPr>
        <w:t xml:space="preserve">make a </w:t>
      </w:r>
      <w:r>
        <w:rPr>
          <w:rFonts w:asciiTheme="minorHAnsi" w:hAnsiTheme="minorHAnsi"/>
        </w:rPr>
        <w:t>determination</w:t>
      </w:r>
      <w:r w:rsidRPr="002455C2">
        <w:rPr>
          <w:rFonts w:asciiTheme="minorHAnsi" w:hAnsiTheme="minorHAnsi"/>
        </w:rPr>
        <w:t xml:space="preserve"> on whether to submit an </w:t>
      </w:r>
      <w:r>
        <w:rPr>
          <w:rFonts w:asciiTheme="minorHAnsi" w:hAnsiTheme="minorHAnsi"/>
        </w:rPr>
        <w:t xml:space="preserve">Expression of Interest to IPART. After much debate, the Council agreed to submit an expression of interest and to go back to the </w:t>
      </w:r>
      <w:r w:rsidRPr="002455C2">
        <w:rPr>
          <w:rFonts w:asciiTheme="minorHAnsi" w:hAnsiTheme="minorHAnsi"/>
        </w:rPr>
        <w:t xml:space="preserve">community with </w:t>
      </w:r>
      <w:r>
        <w:rPr>
          <w:rFonts w:asciiTheme="minorHAnsi" w:hAnsiTheme="minorHAnsi"/>
        </w:rPr>
        <w:t xml:space="preserve">an increase of 7.5% </w:t>
      </w:r>
      <w:r w:rsidRPr="002455C2">
        <w:rPr>
          <w:rFonts w:asciiTheme="minorHAnsi" w:hAnsiTheme="minorHAnsi"/>
        </w:rPr>
        <w:t>per year over 5 years on General Rates (including the rate pegging increase</w:t>
      </w:r>
      <w:r>
        <w:rPr>
          <w:rFonts w:asciiTheme="minorHAnsi" w:hAnsiTheme="minorHAnsi"/>
        </w:rPr>
        <w:t xml:space="preserve">). </w:t>
      </w:r>
    </w:p>
    <w:p w:rsidR="00A22CC6" w:rsidRPr="002455C2" w:rsidRDefault="00A22CC6" w:rsidP="00FE3E43">
      <w:pPr>
        <w:pStyle w:val="BodyText"/>
        <w:spacing w:before="0" w:line="240" w:lineRule="auto"/>
        <w:ind w:left="1"/>
        <w:rPr>
          <w:rFonts w:asciiTheme="minorHAnsi" w:hAnsiTheme="minorHAnsi"/>
        </w:rPr>
      </w:pPr>
    </w:p>
    <w:p w:rsidR="003942C9" w:rsidRPr="00F947BE" w:rsidRDefault="00A22CC6" w:rsidP="00FE3E43">
      <w:pPr>
        <w:pStyle w:val="BodyText"/>
        <w:spacing w:before="0" w:line="240" w:lineRule="auto"/>
        <w:ind w:left="1"/>
        <w:rPr>
          <w:rFonts w:asciiTheme="minorHAnsi" w:hAnsiTheme="minorHAnsi"/>
        </w:rPr>
      </w:pPr>
      <w:r w:rsidRPr="00F947BE">
        <w:rPr>
          <w:rFonts w:asciiTheme="minorHAnsi" w:hAnsiTheme="minorHAnsi"/>
        </w:rPr>
        <w:t xml:space="preserve">On 20 January Council met to review the draft IPART Special Rate Variation application. It was put on public display and presented to </w:t>
      </w:r>
      <w:r w:rsidR="003942C9" w:rsidRPr="00F947BE">
        <w:rPr>
          <w:rFonts w:asciiTheme="minorHAnsi" w:hAnsiTheme="minorHAnsi"/>
        </w:rPr>
        <w:t>Community Briefing Sessions in Oberon, Black Springs, Burraga and O’Connell.</w:t>
      </w:r>
    </w:p>
    <w:p w:rsidR="004614F0" w:rsidRPr="00313CFE" w:rsidRDefault="004614F0" w:rsidP="00FE3E43">
      <w:pPr>
        <w:pStyle w:val="BodyText"/>
        <w:spacing w:before="0" w:line="240" w:lineRule="auto"/>
        <w:ind w:left="1"/>
        <w:rPr>
          <w:rFonts w:asciiTheme="minorHAnsi" w:hAnsiTheme="minorHAnsi"/>
          <w:highlight w:val="yellow"/>
        </w:rPr>
      </w:pPr>
    </w:p>
    <w:p w:rsidR="004614F0" w:rsidRPr="00CF02F4" w:rsidRDefault="004614F0" w:rsidP="00F947BE">
      <w:pPr>
        <w:pStyle w:val="BodyText"/>
        <w:spacing w:before="0" w:line="240" w:lineRule="auto"/>
        <w:ind w:left="1"/>
        <w:rPr>
          <w:rFonts w:asciiTheme="minorHAnsi" w:hAnsiTheme="minorHAnsi"/>
        </w:rPr>
      </w:pPr>
      <w:r w:rsidRPr="00CF02F4">
        <w:rPr>
          <w:rFonts w:asciiTheme="minorHAnsi" w:hAnsiTheme="minorHAnsi"/>
        </w:rPr>
        <w:t xml:space="preserve">On 10 February Council </w:t>
      </w:r>
      <w:r w:rsidR="00F947BE" w:rsidRPr="00CF02F4">
        <w:rPr>
          <w:rFonts w:asciiTheme="minorHAnsi" w:hAnsiTheme="minorHAnsi"/>
        </w:rPr>
        <w:t>held an Extraordinary Meeting</w:t>
      </w:r>
      <w:r w:rsidR="00CF02F4" w:rsidRPr="00CF02F4">
        <w:rPr>
          <w:rFonts w:asciiTheme="minorHAnsi" w:hAnsiTheme="minorHAnsi"/>
        </w:rPr>
        <w:t xml:space="preserve"> and adopted to </w:t>
      </w:r>
      <w:r w:rsidR="00CF02F4" w:rsidRPr="00CF02F4">
        <w:rPr>
          <w:rFonts w:asciiTheme="minorHAnsi" w:eastAsia="Calibri" w:hAnsiTheme="minorHAnsi"/>
        </w:rPr>
        <w:t>submit an IPART Special Rate Variation Application for 7.5% (including rate pegging) per year (43.56% cumulative increase, made up of an assumed rate peg of 15.25% and additional rate increase of 28.31%) on General Rates, for the period 2015/16 to 2019/20</w:t>
      </w:r>
    </w:p>
    <w:p w:rsidR="00F947BE" w:rsidRPr="00CF02F4" w:rsidRDefault="00F947BE" w:rsidP="00F947BE">
      <w:pPr>
        <w:pStyle w:val="BodyText"/>
        <w:spacing w:before="0" w:line="240" w:lineRule="auto"/>
        <w:rPr>
          <w:rFonts w:asciiTheme="minorHAnsi" w:hAnsiTheme="minorHAnsi"/>
        </w:rPr>
      </w:pPr>
    </w:p>
    <w:p w:rsidR="007F05F6" w:rsidRDefault="007F05F6" w:rsidP="00FE3E43">
      <w:pPr>
        <w:pStyle w:val="Heading2"/>
        <w:tabs>
          <w:tab w:val="clear" w:pos="709"/>
          <w:tab w:val="num" w:pos="284"/>
        </w:tabs>
        <w:spacing w:after="240"/>
        <w:ind w:left="567" w:hanging="567"/>
      </w:pPr>
      <w:bookmarkStart w:id="9" w:name="_Toc409776043"/>
      <w:r>
        <w:t xml:space="preserve">Capital </w:t>
      </w:r>
      <w:r w:rsidRPr="005E5B1F">
        <w:t>e</w:t>
      </w:r>
      <w:r>
        <w:t>xpenditure</w:t>
      </w:r>
      <w:bookmarkEnd w:id="7"/>
      <w:r>
        <w:t xml:space="preserve"> review</w:t>
      </w:r>
      <w:bookmarkEnd w:id="8"/>
      <w:bookmarkEnd w:id="9"/>
    </w:p>
    <w:p w:rsidR="005E6821" w:rsidRDefault="005E6821" w:rsidP="00FE3E43">
      <w:pPr>
        <w:pStyle w:val="BodyText"/>
        <w:spacing w:before="0" w:line="240" w:lineRule="auto"/>
        <w:ind w:left="1"/>
        <w:rPr>
          <w:rFonts w:asciiTheme="minorHAnsi" w:hAnsiTheme="minorHAnsi"/>
        </w:rPr>
      </w:pPr>
      <w:r>
        <w:rPr>
          <w:rFonts w:asciiTheme="minorHAnsi" w:hAnsiTheme="minorHAnsi"/>
        </w:rPr>
        <w:t>Oberon Council is not undertaking major capital projects that are required to comply with the OLG’s Capital Expenditure Guidelines.</w:t>
      </w:r>
    </w:p>
    <w:p w:rsidR="00FE3E43" w:rsidRDefault="00FE3E43" w:rsidP="00FE3E43">
      <w:pPr>
        <w:pStyle w:val="BodyText"/>
        <w:spacing w:before="0" w:line="240" w:lineRule="auto"/>
        <w:ind w:left="1"/>
        <w:rPr>
          <w:rFonts w:asciiTheme="minorHAnsi" w:hAnsiTheme="minorHAnsi"/>
        </w:rPr>
      </w:pPr>
    </w:p>
    <w:p w:rsidR="00A761FB" w:rsidRDefault="00A761FB">
      <w:pPr>
        <w:rPr>
          <w:rFonts w:ascii="Arial" w:hAnsi="Arial" w:cs="Arial"/>
          <w:b/>
          <w:bCs/>
          <w:color w:val="00408A"/>
          <w:kern w:val="32"/>
          <w:sz w:val="30"/>
          <w:szCs w:val="30"/>
        </w:rPr>
      </w:pPr>
      <w:r>
        <w:br w:type="page"/>
      </w:r>
    </w:p>
    <w:p w:rsidR="000F359C" w:rsidRDefault="00E3295D" w:rsidP="00A761FB">
      <w:pPr>
        <w:pStyle w:val="Heading1"/>
        <w:tabs>
          <w:tab w:val="clear" w:pos="709"/>
          <w:tab w:val="num" w:pos="567"/>
        </w:tabs>
        <w:ind w:left="567" w:hanging="567"/>
      </w:pPr>
      <w:bookmarkStart w:id="10" w:name="_Toc409776044"/>
      <w:r>
        <w:lastRenderedPageBreak/>
        <w:t xml:space="preserve">Assessment Criterion 1: </w:t>
      </w:r>
      <w:r w:rsidR="000F359C">
        <w:t>Need for the variation</w:t>
      </w:r>
      <w:bookmarkEnd w:id="10"/>
    </w:p>
    <w:p w:rsidR="005E6821" w:rsidRDefault="005E6821" w:rsidP="005E6821">
      <w:pPr>
        <w:pStyle w:val="BodyText"/>
        <w:spacing w:before="0" w:line="240" w:lineRule="auto"/>
        <w:ind w:left="568"/>
        <w:rPr>
          <w:rFonts w:asciiTheme="minorHAnsi" w:hAnsiTheme="minorHAnsi"/>
        </w:rPr>
      </w:pPr>
    </w:p>
    <w:p w:rsidR="005E6821" w:rsidRDefault="00A31952" w:rsidP="00A761FB">
      <w:pPr>
        <w:pStyle w:val="BodyText"/>
        <w:spacing w:before="0" w:line="240" w:lineRule="auto"/>
        <w:rPr>
          <w:rFonts w:asciiTheme="minorHAnsi" w:hAnsiTheme="minorHAnsi"/>
        </w:rPr>
      </w:pPr>
      <w:r>
        <w:rPr>
          <w:rFonts w:asciiTheme="minorHAnsi" w:hAnsiTheme="minorHAnsi"/>
        </w:rPr>
        <w:t xml:space="preserve">In the March 2013 </w:t>
      </w:r>
      <w:proofErr w:type="spellStart"/>
      <w:r>
        <w:rPr>
          <w:rFonts w:asciiTheme="minorHAnsi" w:hAnsiTheme="minorHAnsi"/>
        </w:rPr>
        <w:t>TCorp</w:t>
      </w:r>
      <w:proofErr w:type="spellEnd"/>
      <w:r>
        <w:rPr>
          <w:rFonts w:asciiTheme="minorHAnsi" w:hAnsiTheme="minorHAnsi"/>
        </w:rPr>
        <w:t xml:space="preserve"> </w:t>
      </w:r>
      <w:r w:rsidRPr="00E254C7">
        <w:rPr>
          <w:rFonts w:asciiTheme="minorHAnsi" w:hAnsiTheme="minorHAnsi"/>
          <w:i/>
        </w:rPr>
        <w:t>Financial Assessment, Sustainability and Benchmarking Report</w:t>
      </w:r>
      <w:r>
        <w:rPr>
          <w:rFonts w:asciiTheme="minorHAnsi" w:hAnsiTheme="minorHAnsi"/>
        </w:rPr>
        <w:t xml:space="preserve"> </w:t>
      </w:r>
      <w:r w:rsidR="00E254C7">
        <w:rPr>
          <w:rFonts w:asciiTheme="minorHAnsi" w:hAnsiTheme="minorHAnsi"/>
        </w:rPr>
        <w:t xml:space="preserve">assessed </w:t>
      </w:r>
      <w:r w:rsidR="00683998">
        <w:rPr>
          <w:rFonts w:asciiTheme="minorHAnsi" w:hAnsiTheme="minorHAnsi"/>
        </w:rPr>
        <w:t xml:space="preserve">Oberon Council </w:t>
      </w:r>
      <w:r w:rsidR="00A761FB">
        <w:rPr>
          <w:rFonts w:asciiTheme="minorHAnsi" w:hAnsiTheme="minorHAnsi"/>
        </w:rPr>
        <w:t>as being in a “sound s</w:t>
      </w:r>
      <w:r w:rsidR="00E254C7">
        <w:rPr>
          <w:rFonts w:asciiTheme="minorHAnsi" w:hAnsiTheme="minorHAnsi"/>
        </w:rPr>
        <w:t>ustainability position”</w:t>
      </w:r>
      <w:r w:rsidR="003F6E5E">
        <w:rPr>
          <w:rFonts w:asciiTheme="minorHAnsi" w:hAnsiTheme="minorHAnsi"/>
        </w:rPr>
        <w:t xml:space="preserve"> and recognised that there is a “need to address their Backlog and increase their expenditure on asset maintenance”. It reported that Council </w:t>
      </w:r>
      <w:r>
        <w:rPr>
          <w:rFonts w:asciiTheme="minorHAnsi" w:hAnsiTheme="minorHAnsi"/>
        </w:rPr>
        <w:t xml:space="preserve">had a $16 million Infrastructure Backlog in 2012, of which 87% relates to public roads. </w:t>
      </w:r>
    </w:p>
    <w:p w:rsidR="00A31952" w:rsidRDefault="00A31952" w:rsidP="005E6821">
      <w:pPr>
        <w:pStyle w:val="BodyText"/>
        <w:spacing w:before="0" w:line="240" w:lineRule="auto"/>
        <w:ind w:left="568"/>
        <w:rPr>
          <w:rFonts w:asciiTheme="minorHAnsi" w:hAnsiTheme="minorHAnsi"/>
        </w:rPr>
      </w:pPr>
    </w:p>
    <w:p w:rsidR="00A31952" w:rsidRDefault="00A31952" w:rsidP="003942C9">
      <w:pPr>
        <w:pStyle w:val="BodyText"/>
        <w:spacing w:before="0" w:line="240" w:lineRule="auto"/>
        <w:rPr>
          <w:rFonts w:asciiTheme="minorHAnsi" w:hAnsiTheme="minorHAnsi"/>
        </w:rPr>
      </w:pPr>
      <w:r>
        <w:rPr>
          <w:rFonts w:asciiTheme="minorHAnsi" w:hAnsiTheme="minorHAnsi"/>
        </w:rPr>
        <w:t xml:space="preserve">The Report also noted that Council’s own source operating revenue ratio has been below benchmark each year of the review and it </w:t>
      </w:r>
      <w:r w:rsidR="003F6E5E">
        <w:rPr>
          <w:rFonts w:asciiTheme="minorHAnsi" w:hAnsiTheme="minorHAnsi"/>
        </w:rPr>
        <w:t>did</w:t>
      </w:r>
      <w:r>
        <w:rPr>
          <w:rFonts w:asciiTheme="minorHAnsi" w:hAnsiTheme="minorHAnsi"/>
        </w:rPr>
        <w:t xml:space="preserve"> not have sufficient flexibility which forces it to rely on revenue streams outside of its control. With an infrastructure backlog of </w:t>
      </w:r>
      <w:r w:rsidR="003942C9">
        <w:rPr>
          <w:rFonts w:asciiTheme="minorHAnsi" w:hAnsiTheme="minorHAnsi"/>
        </w:rPr>
        <w:t xml:space="preserve">approximately </w:t>
      </w:r>
      <w:r>
        <w:rPr>
          <w:rFonts w:asciiTheme="minorHAnsi" w:hAnsiTheme="minorHAnsi"/>
        </w:rPr>
        <w:t xml:space="preserve">13.3% of its infrastructure asset value, Council has a relatively high level of backlog. Council </w:t>
      </w:r>
      <w:r w:rsidR="003F6E5E">
        <w:rPr>
          <w:rFonts w:asciiTheme="minorHAnsi" w:hAnsiTheme="minorHAnsi"/>
        </w:rPr>
        <w:t>realise</w:t>
      </w:r>
      <w:r w:rsidR="00003F3E">
        <w:rPr>
          <w:rFonts w:asciiTheme="minorHAnsi" w:hAnsiTheme="minorHAnsi"/>
        </w:rPr>
        <w:t>s</w:t>
      </w:r>
      <w:r>
        <w:rPr>
          <w:rFonts w:asciiTheme="minorHAnsi" w:hAnsiTheme="minorHAnsi"/>
        </w:rPr>
        <w:t xml:space="preserve"> that without funding to decrease the current backlog </w:t>
      </w:r>
      <w:r w:rsidR="003F6E5E">
        <w:rPr>
          <w:rFonts w:asciiTheme="minorHAnsi" w:hAnsiTheme="minorHAnsi"/>
        </w:rPr>
        <w:t>its</w:t>
      </w:r>
      <w:r>
        <w:rPr>
          <w:rFonts w:asciiTheme="minorHAnsi" w:hAnsiTheme="minorHAnsi"/>
        </w:rPr>
        <w:t xml:space="preserve"> assets will deteriorate</w:t>
      </w:r>
      <w:r w:rsidR="002E5094">
        <w:rPr>
          <w:rFonts w:asciiTheme="minorHAnsi" w:hAnsiTheme="minorHAnsi"/>
        </w:rPr>
        <w:t>, the backlog may increase and the level of service may be reduced.</w:t>
      </w:r>
    </w:p>
    <w:p w:rsidR="00313CFE" w:rsidRDefault="00313CFE" w:rsidP="001C526A">
      <w:pPr>
        <w:pStyle w:val="BodyText"/>
        <w:spacing w:before="0" w:line="240" w:lineRule="auto"/>
        <w:rPr>
          <w:rFonts w:asciiTheme="minorHAnsi" w:hAnsiTheme="minorHAnsi"/>
        </w:rPr>
      </w:pPr>
    </w:p>
    <w:p w:rsidR="00A31952" w:rsidRDefault="003F6E5E" w:rsidP="001C526A">
      <w:pPr>
        <w:pStyle w:val="BodyText"/>
        <w:spacing w:before="0" w:line="240" w:lineRule="auto"/>
        <w:rPr>
          <w:rFonts w:asciiTheme="minorHAnsi" w:hAnsiTheme="minorHAnsi"/>
        </w:rPr>
      </w:pPr>
      <w:r>
        <w:rPr>
          <w:rFonts w:asciiTheme="minorHAnsi" w:hAnsiTheme="minorHAnsi"/>
        </w:rPr>
        <w:t xml:space="preserve">Council has been </w:t>
      </w:r>
      <w:r w:rsidR="00313CFE">
        <w:rPr>
          <w:rFonts w:asciiTheme="minorHAnsi" w:hAnsiTheme="minorHAnsi"/>
        </w:rPr>
        <w:t>endeavouring</w:t>
      </w:r>
      <w:r>
        <w:rPr>
          <w:rFonts w:asciiTheme="minorHAnsi" w:hAnsiTheme="minorHAnsi"/>
        </w:rPr>
        <w:t xml:space="preserve"> to reduce the </w:t>
      </w:r>
      <w:r w:rsidR="00313CFE">
        <w:rPr>
          <w:rFonts w:asciiTheme="minorHAnsi" w:hAnsiTheme="minorHAnsi"/>
        </w:rPr>
        <w:t xml:space="preserve">infrastructure </w:t>
      </w:r>
      <w:r>
        <w:rPr>
          <w:rFonts w:asciiTheme="minorHAnsi" w:hAnsiTheme="minorHAnsi"/>
        </w:rPr>
        <w:t>backlog and in the</w:t>
      </w:r>
      <w:r w:rsidR="002E5094">
        <w:rPr>
          <w:rFonts w:asciiTheme="minorHAnsi" w:hAnsiTheme="minorHAnsi"/>
        </w:rPr>
        <w:t xml:space="preserve"> </w:t>
      </w:r>
      <w:r w:rsidR="00A31952">
        <w:rPr>
          <w:rFonts w:asciiTheme="minorHAnsi" w:hAnsiTheme="minorHAnsi"/>
        </w:rPr>
        <w:t xml:space="preserve">2014 Asset Management Plan </w:t>
      </w:r>
      <w:r w:rsidR="002E5094">
        <w:rPr>
          <w:rFonts w:asciiTheme="minorHAnsi" w:hAnsiTheme="minorHAnsi"/>
        </w:rPr>
        <w:t xml:space="preserve">it advised the community that it does not have enough funding to provide all services at the desired service levels or </w:t>
      </w:r>
      <w:r w:rsidR="00003F3E">
        <w:rPr>
          <w:rFonts w:asciiTheme="minorHAnsi" w:hAnsiTheme="minorHAnsi"/>
        </w:rPr>
        <w:t xml:space="preserve">to </w:t>
      </w:r>
      <w:r w:rsidR="002E5094">
        <w:rPr>
          <w:rFonts w:asciiTheme="minorHAnsi" w:hAnsiTheme="minorHAnsi"/>
        </w:rPr>
        <w:t>provide new services</w:t>
      </w:r>
      <w:r>
        <w:rPr>
          <w:rFonts w:asciiTheme="minorHAnsi" w:hAnsiTheme="minorHAnsi"/>
        </w:rPr>
        <w:t xml:space="preserve"> without extra funding</w:t>
      </w:r>
      <w:r w:rsidR="002E5094">
        <w:rPr>
          <w:rFonts w:asciiTheme="minorHAnsi" w:hAnsiTheme="minorHAnsi"/>
        </w:rPr>
        <w:t xml:space="preserve">. Works and services that cannot be provided at </w:t>
      </w:r>
      <w:r>
        <w:rPr>
          <w:rFonts w:asciiTheme="minorHAnsi" w:hAnsiTheme="minorHAnsi"/>
        </w:rPr>
        <w:t xml:space="preserve">the </w:t>
      </w:r>
      <w:r w:rsidR="006F46C4">
        <w:rPr>
          <w:rFonts w:asciiTheme="minorHAnsi" w:hAnsiTheme="minorHAnsi"/>
        </w:rPr>
        <w:t>present funding levels are:</w:t>
      </w:r>
    </w:p>
    <w:p w:rsidR="00FE3E43" w:rsidRDefault="00FE3E43" w:rsidP="001C526A">
      <w:pPr>
        <w:pStyle w:val="BodyText"/>
        <w:spacing w:before="0" w:line="240" w:lineRule="auto"/>
        <w:rPr>
          <w:rFonts w:asciiTheme="minorHAnsi" w:hAnsiTheme="minorHAnsi"/>
        </w:rPr>
      </w:pPr>
    </w:p>
    <w:p w:rsidR="002E5094" w:rsidRDefault="002E5094" w:rsidP="00D54D82">
      <w:pPr>
        <w:pStyle w:val="BodyText"/>
        <w:numPr>
          <w:ilvl w:val="0"/>
          <w:numId w:val="41"/>
        </w:numPr>
        <w:tabs>
          <w:tab w:val="left" w:pos="567"/>
        </w:tabs>
        <w:spacing w:before="0" w:line="240" w:lineRule="auto"/>
        <w:ind w:left="567" w:hanging="567"/>
        <w:rPr>
          <w:rFonts w:asciiTheme="minorHAnsi" w:hAnsiTheme="minorHAnsi"/>
        </w:rPr>
      </w:pPr>
      <w:r>
        <w:rPr>
          <w:rFonts w:asciiTheme="minorHAnsi" w:hAnsiTheme="minorHAnsi"/>
        </w:rPr>
        <w:t>Sealing all of the unsealed roads across the Shire which the communi</w:t>
      </w:r>
      <w:r w:rsidR="00C53F7C">
        <w:rPr>
          <w:rFonts w:asciiTheme="minorHAnsi" w:hAnsiTheme="minorHAnsi"/>
        </w:rPr>
        <w:t xml:space="preserve">ty would like to see sealed, </w:t>
      </w:r>
    </w:p>
    <w:p w:rsidR="002E5094" w:rsidRDefault="002E5094" w:rsidP="00D54D82">
      <w:pPr>
        <w:pStyle w:val="BodyText"/>
        <w:numPr>
          <w:ilvl w:val="0"/>
          <w:numId w:val="41"/>
        </w:numPr>
        <w:tabs>
          <w:tab w:val="left" w:pos="567"/>
        </w:tabs>
        <w:spacing w:before="0" w:line="240" w:lineRule="auto"/>
        <w:ind w:left="567" w:hanging="567"/>
        <w:rPr>
          <w:rFonts w:asciiTheme="minorHAnsi" w:hAnsiTheme="minorHAnsi"/>
        </w:rPr>
      </w:pPr>
      <w:r>
        <w:rPr>
          <w:rFonts w:asciiTheme="minorHAnsi" w:hAnsiTheme="minorHAnsi"/>
        </w:rPr>
        <w:t>Repair of all the road defects across the road network.</w:t>
      </w:r>
    </w:p>
    <w:p w:rsidR="002E5094" w:rsidRDefault="002E5094" w:rsidP="002E5094">
      <w:pPr>
        <w:pStyle w:val="BodyText"/>
        <w:spacing w:before="0" w:line="240" w:lineRule="auto"/>
        <w:rPr>
          <w:rFonts w:asciiTheme="minorHAnsi" w:hAnsiTheme="minorHAnsi"/>
        </w:rPr>
      </w:pPr>
    </w:p>
    <w:p w:rsidR="002E5094" w:rsidRDefault="00C53F7C" w:rsidP="00B86CAF">
      <w:pPr>
        <w:pStyle w:val="BodyText"/>
        <w:spacing w:before="0" w:line="240" w:lineRule="auto"/>
        <w:rPr>
          <w:rFonts w:asciiTheme="minorHAnsi" w:hAnsiTheme="minorHAnsi"/>
        </w:rPr>
      </w:pPr>
      <w:r>
        <w:rPr>
          <w:rFonts w:asciiTheme="minorHAnsi" w:hAnsiTheme="minorHAnsi"/>
        </w:rPr>
        <w:t>Without the S</w:t>
      </w:r>
      <w:r w:rsidR="003F6E5E">
        <w:rPr>
          <w:rFonts w:asciiTheme="minorHAnsi" w:hAnsiTheme="minorHAnsi"/>
        </w:rPr>
        <w:t>pecial</w:t>
      </w:r>
      <w:r>
        <w:rPr>
          <w:rFonts w:asciiTheme="minorHAnsi" w:hAnsiTheme="minorHAnsi"/>
        </w:rPr>
        <w:t xml:space="preserve"> R</w:t>
      </w:r>
      <w:r w:rsidR="003F6E5E">
        <w:rPr>
          <w:rFonts w:asciiTheme="minorHAnsi" w:hAnsiTheme="minorHAnsi"/>
        </w:rPr>
        <w:t xml:space="preserve">ate </w:t>
      </w:r>
      <w:r>
        <w:rPr>
          <w:rFonts w:asciiTheme="minorHAnsi" w:hAnsiTheme="minorHAnsi"/>
        </w:rPr>
        <w:t>V</w:t>
      </w:r>
      <w:r w:rsidR="003F6E5E">
        <w:rPr>
          <w:rFonts w:asciiTheme="minorHAnsi" w:hAnsiTheme="minorHAnsi"/>
        </w:rPr>
        <w:t>ariation, t</w:t>
      </w:r>
      <w:r w:rsidR="00E254C7">
        <w:rPr>
          <w:rFonts w:asciiTheme="minorHAnsi" w:hAnsiTheme="minorHAnsi"/>
        </w:rPr>
        <w:t xml:space="preserve">he </w:t>
      </w:r>
      <w:r w:rsidR="00313CFE">
        <w:rPr>
          <w:rFonts w:asciiTheme="minorHAnsi" w:hAnsiTheme="minorHAnsi"/>
        </w:rPr>
        <w:t>Road Asset M</w:t>
      </w:r>
      <w:r w:rsidR="00E254C7">
        <w:rPr>
          <w:rFonts w:asciiTheme="minorHAnsi" w:hAnsiTheme="minorHAnsi"/>
        </w:rPr>
        <w:t xml:space="preserve">anagement </w:t>
      </w:r>
      <w:r w:rsidR="00313CFE">
        <w:rPr>
          <w:rFonts w:asciiTheme="minorHAnsi" w:hAnsiTheme="minorHAnsi"/>
        </w:rPr>
        <w:t>P</w:t>
      </w:r>
      <w:r w:rsidR="00E254C7">
        <w:rPr>
          <w:rFonts w:asciiTheme="minorHAnsi" w:hAnsiTheme="minorHAnsi"/>
        </w:rPr>
        <w:t>lan</w:t>
      </w:r>
      <w:r w:rsidR="006F46C4">
        <w:rPr>
          <w:rFonts w:asciiTheme="minorHAnsi" w:hAnsiTheme="minorHAnsi"/>
        </w:rPr>
        <w:t xml:space="preserve"> 2014</w:t>
      </w:r>
      <w:r w:rsidR="00E254C7">
        <w:rPr>
          <w:rFonts w:asciiTheme="minorHAnsi" w:hAnsiTheme="minorHAnsi"/>
        </w:rPr>
        <w:t xml:space="preserve"> </w:t>
      </w:r>
      <w:r w:rsidR="00313CFE" w:rsidRPr="00566948">
        <w:rPr>
          <w:rFonts w:asciiTheme="minorHAnsi" w:hAnsiTheme="minorHAnsi"/>
        </w:rPr>
        <w:t xml:space="preserve">(Attachment </w:t>
      </w:r>
      <w:r w:rsidR="00566948" w:rsidRPr="00566948">
        <w:rPr>
          <w:rFonts w:asciiTheme="minorHAnsi" w:hAnsiTheme="minorHAnsi"/>
        </w:rPr>
        <w:t>1</w:t>
      </w:r>
      <w:r w:rsidR="005E0211" w:rsidRPr="00566948">
        <w:rPr>
          <w:rFonts w:asciiTheme="minorHAnsi" w:hAnsiTheme="minorHAnsi"/>
        </w:rPr>
        <w:t>)</w:t>
      </w:r>
      <w:r w:rsidR="005E0211">
        <w:rPr>
          <w:rFonts w:asciiTheme="minorHAnsi" w:hAnsiTheme="minorHAnsi"/>
        </w:rPr>
        <w:t xml:space="preserve"> </w:t>
      </w:r>
      <w:r>
        <w:rPr>
          <w:rFonts w:asciiTheme="minorHAnsi" w:hAnsiTheme="minorHAnsi"/>
        </w:rPr>
        <w:t xml:space="preserve">for the next </w:t>
      </w:r>
      <w:r w:rsidR="00E254C7">
        <w:rPr>
          <w:rFonts w:asciiTheme="minorHAnsi" w:hAnsiTheme="minorHAnsi"/>
        </w:rPr>
        <w:t xml:space="preserve">5 years </w:t>
      </w:r>
      <w:r w:rsidR="003F6E5E">
        <w:rPr>
          <w:rFonts w:asciiTheme="minorHAnsi" w:hAnsiTheme="minorHAnsi"/>
        </w:rPr>
        <w:t>is to</w:t>
      </w:r>
      <w:r w:rsidR="00E254C7">
        <w:rPr>
          <w:rFonts w:asciiTheme="minorHAnsi" w:hAnsiTheme="minorHAnsi"/>
        </w:rPr>
        <w:t>:</w:t>
      </w:r>
    </w:p>
    <w:p w:rsidR="00FE3E43" w:rsidRDefault="00FE3E43" w:rsidP="00B86CAF">
      <w:pPr>
        <w:pStyle w:val="BodyText"/>
        <w:spacing w:before="0" w:line="240" w:lineRule="auto"/>
        <w:rPr>
          <w:rFonts w:asciiTheme="minorHAnsi" w:hAnsiTheme="minorHAnsi"/>
        </w:rPr>
      </w:pPr>
    </w:p>
    <w:p w:rsidR="00E254C7" w:rsidRDefault="003F6E5E" w:rsidP="00B86CAF">
      <w:pPr>
        <w:pStyle w:val="BodyText"/>
        <w:numPr>
          <w:ilvl w:val="0"/>
          <w:numId w:val="29"/>
        </w:numPr>
        <w:spacing w:before="0" w:line="240" w:lineRule="auto"/>
        <w:ind w:left="567" w:hanging="567"/>
        <w:rPr>
          <w:rFonts w:asciiTheme="minorHAnsi" w:hAnsiTheme="minorHAnsi"/>
        </w:rPr>
      </w:pPr>
      <w:r>
        <w:rPr>
          <w:rFonts w:asciiTheme="minorHAnsi" w:hAnsiTheme="minorHAnsi"/>
        </w:rPr>
        <w:t>S</w:t>
      </w:r>
      <w:r w:rsidR="00E254C7">
        <w:rPr>
          <w:rFonts w:asciiTheme="minorHAnsi" w:hAnsiTheme="minorHAnsi"/>
        </w:rPr>
        <w:t>plit maintenance expenditure into planned, specific and reactive</w:t>
      </w:r>
      <w:r>
        <w:rPr>
          <w:rFonts w:asciiTheme="minorHAnsi" w:hAnsiTheme="minorHAnsi"/>
        </w:rPr>
        <w:t>.</w:t>
      </w:r>
    </w:p>
    <w:p w:rsidR="00E254C7" w:rsidRDefault="00E254C7" w:rsidP="00B86CAF">
      <w:pPr>
        <w:pStyle w:val="BodyText"/>
        <w:numPr>
          <w:ilvl w:val="0"/>
          <w:numId w:val="29"/>
        </w:numPr>
        <w:spacing w:before="0" w:line="240" w:lineRule="auto"/>
        <w:ind w:left="567" w:hanging="567"/>
        <w:rPr>
          <w:rFonts w:asciiTheme="minorHAnsi" w:hAnsiTheme="minorHAnsi"/>
        </w:rPr>
      </w:pPr>
      <w:r>
        <w:rPr>
          <w:rFonts w:asciiTheme="minorHAnsi" w:hAnsiTheme="minorHAnsi"/>
        </w:rPr>
        <w:t xml:space="preserve">Utilise more accurate planned capital expenditure data, not just estimates </w:t>
      </w:r>
      <w:r w:rsidR="00C53F7C">
        <w:rPr>
          <w:rFonts w:asciiTheme="minorHAnsi" w:hAnsiTheme="minorHAnsi"/>
        </w:rPr>
        <w:t xml:space="preserve">and </w:t>
      </w:r>
      <w:r>
        <w:rPr>
          <w:rFonts w:asciiTheme="minorHAnsi" w:hAnsiTheme="minorHAnsi"/>
        </w:rPr>
        <w:t>recent trends.</w:t>
      </w:r>
    </w:p>
    <w:p w:rsidR="00E254C7" w:rsidRDefault="00E254C7" w:rsidP="00B86CAF">
      <w:pPr>
        <w:pStyle w:val="BodyText"/>
        <w:numPr>
          <w:ilvl w:val="0"/>
          <w:numId w:val="29"/>
        </w:numPr>
        <w:spacing w:before="0" w:line="240" w:lineRule="auto"/>
        <w:ind w:left="567" w:hanging="567"/>
        <w:rPr>
          <w:rFonts w:asciiTheme="minorHAnsi" w:hAnsiTheme="minorHAnsi"/>
        </w:rPr>
      </w:pPr>
      <w:r>
        <w:rPr>
          <w:rFonts w:asciiTheme="minorHAnsi" w:hAnsiTheme="minorHAnsi"/>
        </w:rPr>
        <w:t>More closely match planned capital renewal expenditure with the Long Term Financial Plan to account for anticipated spikes and troughs in Council’s spending ability.</w:t>
      </w:r>
    </w:p>
    <w:p w:rsidR="003F6E5E" w:rsidRPr="000732A6" w:rsidRDefault="003F6E5E" w:rsidP="00B86CAF">
      <w:pPr>
        <w:pStyle w:val="BodyText"/>
        <w:spacing w:before="0" w:line="240" w:lineRule="auto"/>
        <w:ind w:left="568"/>
        <w:rPr>
          <w:rFonts w:asciiTheme="minorHAnsi" w:hAnsiTheme="minorHAnsi"/>
        </w:rPr>
      </w:pPr>
    </w:p>
    <w:p w:rsidR="008D3F24" w:rsidRDefault="008D3F24" w:rsidP="008D3F24">
      <w:pPr>
        <w:jc w:val="both"/>
        <w:rPr>
          <w:rFonts w:asciiTheme="minorHAnsi" w:hAnsiTheme="minorHAnsi"/>
        </w:rPr>
      </w:pPr>
      <w:bookmarkStart w:id="11" w:name="_Toc366160406"/>
      <w:bookmarkStart w:id="12" w:name="_Toc409776045"/>
      <w:r w:rsidRPr="000732A6">
        <w:rPr>
          <w:rFonts w:asciiTheme="minorHAnsi" w:hAnsiTheme="minorHAnsi"/>
        </w:rPr>
        <w:t xml:space="preserve">As financial capacity builds with the </w:t>
      </w:r>
      <w:r>
        <w:rPr>
          <w:rFonts w:asciiTheme="minorHAnsi" w:hAnsiTheme="minorHAnsi"/>
        </w:rPr>
        <w:t>S</w:t>
      </w:r>
      <w:r w:rsidRPr="000732A6">
        <w:rPr>
          <w:rFonts w:asciiTheme="minorHAnsi" w:hAnsiTheme="minorHAnsi"/>
        </w:rPr>
        <w:t xml:space="preserve">pecial </w:t>
      </w:r>
      <w:r>
        <w:rPr>
          <w:rFonts w:asciiTheme="minorHAnsi" w:hAnsiTheme="minorHAnsi"/>
        </w:rPr>
        <w:t>Rate V</w:t>
      </w:r>
      <w:r w:rsidRPr="000732A6">
        <w:rPr>
          <w:rFonts w:asciiTheme="minorHAnsi" w:hAnsiTheme="minorHAnsi"/>
        </w:rPr>
        <w:t xml:space="preserve">ariation, the </w:t>
      </w:r>
      <w:r>
        <w:rPr>
          <w:rFonts w:asciiTheme="minorHAnsi" w:hAnsiTheme="minorHAnsi"/>
        </w:rPr>
        <w:t>Road Asset Management P</w:t>
      </w:r>
      <w:r w:rsidRPr="000732A6">
        <w:rPr>
          <w:rFonts w:asciiTheme="minorHAnsi" w:hAnsiTheme="minorHAnsi"/>
        </w:rPr>
        <w:t>lan for the next</w:t>
      </w:r>
      <w:r>
        <w:rPr>
          <w:rFonts w:asciiTheme="minorHAnsi" w:hAnsiTheme="minorHAnsi"/>
        </w:rPr>
        <w:t xml:space="preserve"> </w:t>
      </w:r>
      <w:r w:rsidRPr="000732A6">
        <w:rPr>
          <w:rFonts w:asciiTheme="minorHAnsi" w:hAnsiTheme="minorHAnsi"/>
        </w:rPr>
        <w:t xml:space="preserve">5 years will address the points above and </w:t>
      </w:r>
      <w:r>
        <w:rPr>
          <w:rFonts w:asciiTheme="minorHAnsi" w:hAnsiTheme="minorHAnsi"/>
        </w:rPr>
        <w:t>w</w:t>
      </w:r>
      <w:r w:rsidRPr="000732A6">
        <w:rPr>
          <w:rFonts w:asciiTheme="minorHAnsi" w:hAnsiTheme="minorHAnsi"/>
        </w:rPr>
        <w:t>ill endeavour to reduce infrastructure backlog by</w:t>
      </w:r>
      <w:r>
        <w:rPr>
          <w:rFonts w:asciiTheme="minorHAnsi" w:hAnsiTheme="minorHAnsi"/>
        </w:rPr>
        <w:t>:</w:t>
      </w:r>
    </w:p>
    <w:p w:rsidR="008D3F24" w:rsidRDefault="008D3F24" w:rsidP="008D3F24">
      <w:pPr>
        <w:jc w:val="both"/>
        <w:rPr>
          <w:rFonts w:asciiTheme="minorHAnsi" w:hAnsiTheme="minorHAnsi"/>
        </w:rPr>
      </w:pPr>
    </w:p>
    <w:tbl>
      <w:tblPr>
        <w:tblStyle w:val="TableGrid"/>
        <w:tblW w:w="90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6663"/>
        <w:gridCol w:w="1984"/>
      </w:tblGrid>
      <w:tr w:rsidR="008D3F24" w:rsidRPr="002B1A53" w:rsidTr="002B1A53">
        <w:tc>
          <w:tcPr>
            <w:tcW w:w="392" w:type="dxa"/>
          </w:tcPr>
          <w:p w:rsidR="008D3F24" w:rsidRPr="002B1A53" w:rsidRDefault="008D3F24" w:rsidP="00BC0765">
            <w:pPr>
              <w:spacing w:before="60" w:after="60"/>
              <w:jc w:val="both"/>
              <w:rPr>
                <w:rFonts w:asciiTheme="minorHAnsi" w:hAnsiTheme="minorHAnsi" w:cs="Arial"/>
                <w:i/>
              </w:rPr>
            </w:pPr>
          </w:p>
        </w:tc>
        <w:tc>
          <w:tcPr>
            <w:tcW w:w="6663" w:type="dxa"/>
          </w:tcPr>
          <w:p w:rsidR="008D3F24" w:rsidRPr="002B1A53" w:rsidRDefault="008D3F24" w:rsidP="00BC0765">
            <w:pPr>
              <w:spacing w:before="60" w:after="60"/>
              <w:rPr>
                <w:rFonts w:asciiTheme="minorHAnsi" w:hAnsiTheme="minorHAnsi" w:cs="Arial"/>
                <w:i/>
              </w:rPr>
            </w:pPr>
          </w:p>
        </w:tc>
        <w:tc>
          <w:tcPr>
            <w:tcW w:w="1984" w:type="dxa"/>
            <w:tcBorders>
              <w:bottom w:val="single" w:sz="4" w:space="0" w:color="auto"/>
            </w:tcBorders>
          </w:tcPr>
          <w:p w:rsidR="008D3F24" w:rsidRPr="002B1A53" w:rsidRDefault="008D3F24" w:rsidP="00BC0765">
            <w:pPr>
              <w:spacing w:before="60" w:after="60"/>
              <w:ind w:left="175"/>
              <w:rPr>
                <w:rFonts w:asciiTheme="minorHAnsi" w:hAnsiTheme="minorHAnsi" w:cs="Arial"/>
                <w:i/>
              </w:rPr>
            </w:pPr>
            <w:r w:rsidRPr="002B1A53">
              <w:rPr>
                <w:rFonts w:asciiTheme="minorHAnsi" w:hAnsiTheme="minorHAnsi" w:cs="Arial"/>
                <w:i/>
              </w:rPr>
              <w:t>Est. 5 year spend</w:t>
            </w:r>
          </w:p>
        </w:tc>
      </w:tr>
      <w:tr w:rsidR="008D3F24" w:rsidRPr="008D3F24" w:rsidTr="002B1A53">
        <w:tc>
          <w:tcPr>
            <w:tcW w:w="392" w:type="dxa"/>
          </w:tcPr>
          <w:p w:rsidR="008D3F24" w:rsidRPr="008D3F24" w:rsidRDefault="008D3F24" w:rsidP="00BC0765">
            <w:pPr>
              <w:spacing w:before="60" w:after="60"/>
              <w:jc w:val="both"/>
              <w:rPr>
                <w:rFonts w:asciiTheme="minorHAnsi" w:hAnsiTheme="minorHAnsi" w:cs="Arial"/>
              </w:rPr>
            </w:pPr>
            <w:r w:rsidRPr="008D3F24">
              <w:rPr>
                <w:rFonts w:asciiTheme="minorHAnsi" w:hAnsiTheme="minorHAnsi" w:cs="Arial"/>
              </w:rPr>
              <w:t>1.</w:t>
            </w:r>
          </w:p>
        </w:tc>
        <w:tc>
          <w:tcPr>
            <w:tcW w:w="6663" w:type="dxa"/>
          </w:tcPr>
          <w:p w:rsidR="008D3F24" w:rsidRPr="008D3F24" w:rsidRDefault="008D3F24" w:rsidP="00BC0765">
            <w:pPr>
              <w:spacing w:before="60" w:after="60"/>
              <w:rPr>
                <w:rFonts w:asciiTheme="minorHAnsi" w:hAnsiTheme="minorHAnsi" w:cs="Arial"/>
              </w:rPr>
            </w:pPr>
            <w:r w:rsidRPr="000732A6">
              <w:rPr>
                <w:rFonts w:asciiTheme="minorHAnsi" w:hAnsiTheme="minorHAnsi"/>
                <w:b/>
              </w:rPr>
              <w:t>Providing</w:t>
            </w:r>
            <w:r w:rsidRPr="000732A6">
              <w:rPr>
                <w:rFonts w:asciiTheme="minorHAnsi" w:hAnsiTheme="minorHAnsi"/>
              </w:rPr>
              <w:t xml:space="preserve"> additional funds to supplement grading on </w:t>
            </w:r>
            <w:r>
              <w:rPr>
                <w:rFonts w:asciiTheme="minorHAnsi" w:hAnsiTheme="minorHAnsi"/>
              </w:rPr>
              <w:t xml:space="preserve">all </w:t>
            </w:r>
            <w:r w:rsidRPr="000732A6">
              <w:rPr>
                <w:rFonts w:asciiTheme="minorHAnsi" w:hAnsiTheme="minorHAnsi"/>
              </w:rPr>
              <w:t>rural unsealed roads to achieve an acceptable level of service by grading every road at least once a year</w:t>
            </w:r>
            <w:r>
              <w:rPr>
                <w:rFonts w:asciiTheme="minorHAnsi" w:hAnsiTheme="minorHAnsi"/>
              </w:rPr>
              <w:t>,</w:t>
            </w:r>
            <w:r w:rsidRPr="000732A6">
              <w:rPr>
                <w:rFonts w:asciiTheme="minorHAnsi" w:hAnsiTheme="minorHAnsi"/>
              </w:rPr>
              <w:t xml:space="preserve"> or as determined by road usage and climatic conditions</w:t>
            </w:r>
          </w:p>
        </w:tc>
        <w:tc>
          <w:tcPr>
            <w:tcW w:w="1984" w:type="dxa"/>
            <w:tcBorders>
              <w:top w:val="single" w:sz="4" w:space="0" w:color="auto"/>
            </w:tcBorders>
          </w:tcPr>
          <w:p w:rsidR="008D3F24" w:rsidRPr="008D3F24" w:rsidRDefault="008D3F24" w:rsidP="00BC0765">
            <w:pPr>
              <w:tabs>
                <w:tab w:val="right" w:pos="2291"/>
              </w:tabs>
              <w:spacing w:before="60" w:after="60"/>
              <w:ind w:left="175"/>
              <w:rPr>
                <w:rFonts w:asciiTheme="minorHAnsi" w:hAnsiTheme="minorHAnsi" w:cs="Arial"/>
              </w:rPr>
            </w:pPr>
            <w:r w:rsidRPr="008D3F24">
              <w:rPr>
                <w:rFonts w:asciiTheme="minorHAnsi" w:hAnsiTheme="minorHAnsi" w:cs="Arial"/>
              </w:rPr>
              <w:t>15% - $219,440</w:t>
            </w:r>
          </w:p>
        </w:tc>
      </w:tr>
      <w:tr w:rsidR="008D3F24" w:rsidRPr="008D3F24" w:rsidTr="002B1A53">
        <w:tc>
          <w:tcPr>
            <w:tcW w:w="392" w:type="dxa"/>
          </w:tcPr>
          <w:p w:rsidR="008D3F24" w:rsidRPr="008D3F24" w:rsidRDefault="008D3F24" w:rsidP="00BC0765">
            <w:pPr>
              <w:spacing w:before="60" w:after="60"/>
              <w:jc w:val="both"/>
              <w:rPr>
                <w:rFonts w:asciiTheme="minorHAnsi" w:hAnsiTheme="minorHAnsi" w:cs="Arial"/>
              </w:rPr>
            </w:pPr>
            <w:r w:rsidRPr="008D3F24">
              <w:rPr>
                <w:rFonts w:asciiTheme="minorHAnsi" w:hAnsiTheme="minorHAnsi" w:cs="Arial"/>
              </w:rPr>
              <w:t>2.</w:t>
            </w:r>
          </w:p>
        </w:tc>
        <w:tc>
          <w:tcPr>
            <w:tcW w:w="6663" w:type="dxa"/>
          </w:tcPr>
          <w:p w:rsidR="008D3F24" w:rsidRPr="008D3F24" w:rsidRDefault="008D3F24" w:rsidP="008D3F24">
            <w:pPr>
              <w:tabs>
                <w:tab w:val="left" w:pos="3969"/>
                <w:tab w:val="right" w:pos="9356"/>
              </w:tabs>
              <w:spacing w:before="60" w:after="60"/>
              <w:jc w:val="both"/>
              <w:rPr>
                <w:rFonts w:asciiTheme="minorHAnsi" w:hAnsiTheme="minorHAnsi" w:cs="Arial"/>
              </w:rPr>
            </w:pPr>
            <w:r w:rsidRPr="008D3F24">
              <w:rPr>
                <w:rFonts w:asciiTheme="minorHAnsi" w:hAnsiTheme="minorHAnsi"/>
                <w:b/>
              </w:rPr>
              <w:t>Upgrading</w:t>
            </w:r>
            <w:r w:rsidRPr="008D3F24">
              <w:rPr>
                <w:rFonts w:asciiTheme="minorHAnsi" w:hAnsiTheme="minorHAnsi"/>
              </w:rPr>
              <w:t xml:space="preserve"> and improving heavily utilised rural freight transport routes, such as</w:t>
            </w:r>
            <w:r>
              <w:rPr>
                <w:rFonts w:asciiTheme="minorHAnsi" w:hAnsiTheme="minorHAnsi"/>
              </w:rPr>
              <w:t>:</w:t>
            </w:r>
            <w:r w:rsidRPr="008D3F24">
              <w:rPr>
                <w:rFonts w:asciiTheme="minorHAnsi" w:hAnsiTheme="minorHAnsi" w:cs="Arial"/>
                <w:lang w:val="en-US"/>
              </w:rPr>
              <w:t xml:space="preserve"> </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r w:rsidRPr="008D3F24">
              <w:rPr>
                <w:rFonts w:asciiTheme="minorHAnsi" w:hAnsiTheme="minorHAnsi" w:cs="Arial"/>
                <w:lang w:val="en-US"/>
              </w:rPr>
              <w:t>Dog Rocks Road</w:t>
            </w:r>
            <w:r w:rsidRPr="008D3F24">
              <w:rPr>
                <w:rFonts w:asciiTheme="minorHAnsi" w:hAnsiTheme="minorHAnsi" w:cs="Arial"/>
                <w:lang w:val="en-US"/>
              </w:rPr>
              <w:tab/>
              <w:t>23.0km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r w:rsidRPr="008D3F24">
              <w:rPr>
                <w:rFonts w:asciiTheme="minorHAnsi" w:hAnsiTheme="minorHAnsi" w:cs="Arial"/>
                <w:lang w:val="en-US"/>
              </w:rPr>
              <w:t>Lowes Mount Road</w:t>
            </w:r>
            <w:r w:rsidRPr="008D3F24">
              <w:rPr>
                <w:rFonts w:asciiTheme="minorHAnsi" w:hAnsiTheme="minorHAnsi" w:cs="Arial"/>
                <w:lang w:val="en-US"/>
              </w:rPr>
              <w:tab/>
              <w:t>19.3km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proofErr w:type="spellStart"/>
            <w:r w:rsidRPr="008D3F24">
              <w:rPr>
                <w:rFonts w:asciiTheme="minorHAnsi" w:hAnsiTheme="minorHAnsi" w:cs="Arial"/>
                <w:lang w:val="en-US"/>
              </w:rPr>
              <w:t>Hazelgrove</w:t>
            </w:r>
            <w:proofErr w:type="spellEnd"/>
            <w:r w:rsidRPr="008D3F24">
              <w:rPr>
                <w:rFonts w:asciiTheme="minorHAnsi" w:hAnsiTheme="minorHAnsi" w:cs="Arial"/>
                <w:lang w:val="en-US"/>
              </w:rPr>
              <w:t xml:space="preserve"> Road</w:t>
            </w:r>
            <w:r w:rsidRPr="008D3F24">
              <w:rPr>
                <w:rFonts w:asciiTheme="minorHAnsi" w:hAnsiTheme="minorHAnsi" w:cs="Arial"/>
                <w:lang w:val="en-US"/>
              </w:rPr>
              <w:tab/>
              <w:t>17.2km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r w:rsidRPr="008D3F24">
              <w:rPr>
                <w:rFonts w:asciiTheme="minorHAnsi" w:hAnsiTheme="minorHAnsi" w:cs="Arial"/>
                <w:lang w:val="en-US"/>
              </w:rPr>
              <w:t>Beaconsfield Road</w:t>
            </w:r>
            <w:r w:rsidRPr="008D3F24">
              <w:rPr>
                <w:rFonts w:asciiTheme="minorHAnsi" w:hAnsiTheme="minorHAnsi" w:cs="Arial"/>
                <w:lang w:val="en-US"/>
              </w:rPr>
              <w:tab/>
              <w:t>38.5km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proofErr w:type="spellStart"/>
            <w:r w:rsidRPr="008D3F24">
              <w:rPr>
                <w:rFonts w:asciiTheme="minorHAnsi" w:hAnsiTheme="minorHAnsi" w:cs="Arial"/>
                <w:lang w:val="en-US"/>
              </w:rPr>
              <w:t>Sewells</w:t>
            </w:r>
            <w:proofErr w:type="spellEnd"/>
            <w:r w:rsidRPr="008D3F24">
              <w:rPr>
                <w:rFonts w:asciiTheme="minorHAnsi" w:hAnsiTheme="minorHAnsi" w:cs="Arial"/>
                <w:lang w:val="en-US"/>
              </w:rPr>
              <w:t xml:space="preserve"> Creek Road</w:t>
            </w:r>
            <w:r w:rsidRPr="008D3F24">
              <w:rPr>
                <w:rFonts w:asciiTheme="minorHAnsi" w:hAnsiTheme="minorHAnsi" w:cs="Arial"/>
                <w:lang w:val="en-US"/>
              </w:rPr>
              <w:tab/>
              <w:t>23.0km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proofErr w:type="spellStart"/>
            <w:r w:rsidRPr="008D3F24">
              <w:rPr>
                <w:rFonts w:asciiTheme="minorHAnsi" w:hAnsiTheme="minorHAnsi" w:cs="Arial"/>
                <w:lang w:val="en-US"/>
              </w:rPr>
              <w:t>Campbells</w:t>
            </w:r>
            <w:proofErr w:type="spellEnd"/>
            <w:r w:rsidRPr="008D3F24">
              <w:rPr>
                <w:rFonts w:asciiTheme="minorHAnsi" w:hAnsiTheme="minorHAnsi" w:cs="Arial"/>
                <w:lang w:val="en-US"/>
              </w:rPr>
              <w:t xml:space="preserve"> River Road</w:t>
            </w:r>
            <w:r w:rsidRPr="008D3F24">
              <w:rPr>
                <w:rFonts w:asciiTheme="minorHAnsi" w:hAnsiTheme="minorHAnsi" w:cs="Arial"/>
                <w:lang w:val="en-US"/>
              </w:rPr>
              <w:tab/>
              <w:t>22.8km</w:t>
            </w:r>
          </w:p>
          <w:p w:rsidR="008D3F24" w:rsidRPr="008D3F24" w:rsidRDefault="008D3F24" w:rsidP="008D3F24">
            <w:pPr>
              <w:pStyle w:val="ListParagraph"/>
              <w:numPr>
                <w:ilvl w:val="0"/>
                <w:numId w:val="42"/>
              </w:numPr>
              <w:tabs>
                <w:tab w:val="left" w:pos="3969"/>
                <w:tab w:val="right" w:pos="9356"/>
              </w:tabs>
              <w:spacing w:before="60" w:after="60"/>
              <w:ind w:left="459" w:hanging="459"/>
              <w:contextualSpacing w:val="0"/>
              <w:jc w:val="both"/>
              <w:rPr>
                <w:rFonts w:asciiTheme="minorHAnsi" w:hAnsiTheme="minorHAnsi" w:cs="Arial"/>
              </w:rPr>
            </w:pPr>
            <w:proofErr w:type="spellStart"/>
            <w:r w:rsidRPr="008D3F24">
              <w:rPr>
                <w:rFonts w:asciiTheme="minorHAnsi" w:hAnsiTheme="minorHAnsi" w:cs="Arial"/>
                <w:lang w:val="en-US"/>
              </w:rPr>
              <w:t>Burraga</w:t>
            </w:r>
            <w:proofErr w:type="spellEnd"/>
            <w:r w:rsidRPr="008D3F24">
              <w:rPr>
                <w:rFonts w:asciiTheme="minorHAnsi" w:hAnsiTheme="minorHAnsi" w:cs="Arial"/>
                <w:lang w:val="en-US"/>
              </w:rPr>
              <w:t xml:space="preserve"> Road</w:t>
            </w:r>
            <w:r w:rsidRPr="008D3F24">
              <w:rPr>
                <w:rFonts w:asciiTheme="minorHAnsi" w:hAnsiTheme="minorHAnsi" w:cs="Arial"/>
                <w:lang w:val="en-US"/>
              </w:rPr>
              <w:tab/>
              <w:t>25.0km</w:t>
            </w:r>
          </w:p>
          <w:p w:rsidR="008D3F24" w:rsidRDefault="008D3F24" w:rsidP="00BC0765">
            <w:pPr>
              <w:tabs>
                <w:tab w:val="left" w:pos="3969"/>
                <w:tab w:val="right" w:pos="9356"/>
              </w:tabs>
              <w:spacing w:before="60" w:after="60"/>
              <w:ind w:left="459" w:hanging="459"/>
              <w:jc w:val="both"/>
              <w:rPr>
                <w:rFonts w:asciiTheme="minorHAnsi" w:hAnsiTheme="minorHAnsi" w:cs="Arial"/>
                <w:lang w:val="en-US"/>
              </w:rPr>
            </w:pPr>
            <w:r w:rsidRPr="008D3F24">
              <w:rPr>
                <w:rFonts w:asciiTheme="minorHAnsi" w:hAnsiTheme="minorHAnsi" w:cs="Arial"/>
                <w:lang w:val="en-US"/>
              </w:rPr>
              <w:t xml:space="preserve">- </w:t>
            </w:r>
            <w:r w:rsidRPr="008D3F24">
              <w:rPr>
                <w:rFonts w:asciiTheme="minorHAnsi" w:hAnsiTheme="minorHAnsi" w:cs="Arial"/>
                <w:lang w:val="en-US"/>
              </w:rPr>
              <w:tab/>
              <w:t>Abercrombie Road</w:t>
            </w:r>
            <w:r w:rsidRPr="008D3F24">
              <w:rPr>
                <w:rFonts w:asciiTheme="minorHAnsi" w:hAnsiTheme="minorHAnsi" w:cs="Arial"/>
                <w:lang w:val="en-US"/>
              </w:rPr>
              <w:tab/>
              <w:t>71.5km</w:t>
            </w:r>
          </w:p>
          <w:p w:rsidR="008D3F24" w:rsidRPr="008D3F24" w:rsidRDefault="008D3F24" w:rsidP="00BC0765">
            <w:pPr>
              <w:tabs>
                <w:tab w:val="left" w:pos="3969"/>
                <w:tab w:val="right" w:pos="9356"/>
              </w:tabs>
              <w:spacing w:before="60" w:after="60"/>
              <w:ind w:left="459" w:hanging="459"/>
              <w:jc w:val="both"/>
              <w:rPr>
                <w:rFonts w:asciiTheme="minorHAnsi" w:hAnsiTheme="minorHAnsi" w:cs="Arial"/>
              </w:rPr>
            </w:pPr>
          </w:p>
        </w:tc>
        <w:tc>
          <w:tcPr>
            <w:tcW w:w="1984" w:type="dxa"/>
          </w:tcPr>
          <w:p w:rsidR="008D3F24" w:rsidRPr="008D3F24" w:rsidRDefault="008D3F24" w:rsidP="00BC0765">
            <w:pPr>
              <w:spacing w:before="60" w:after="60"/>
              <w:ind w:left="175"/>
              <w:rPr>
                <w:rFonts w:asciiTheme="minorHAnsi" w:hAnsiTheme="minorHAnsi" w:cs="Arial"/>
              </w:rPr>
            </w:pPr>
            <w:r w:rsidRPr="008D3F24">
              <w:rPr>
                <w:rFonts w:asciiTheme="minorHAnsi" w:hAnsiTheme="minorHAnsi" w:cs="Arial"/>
              </w:rPr>
              <w:lastRenderedPageBreak/>
              <w:t>80% - $1,170,343</w:t>
            </w:r>
          </w:p>
        </w:tc>
      </w:tr>
      <w:tr w:rsidR="008D3F24" w:rsidRPr="008D3F24" w:rsidTr="002B1A53">
        <w:tc>
          <w:tcPr>
            <w:tcW w:w="392" w:type="dxa"/>
          </w:tcPr>
          <w:p w:rsidR="008D3F24" w:rsidRPr="008D3F24" w:rsidRDefault="008D3F24" w:rsidP="00BC0765">
            <w:pPr>
              <w:spacing w:before="60" w:after="60"/>
              <w:jc w:val="both"/>
              <w:rPr>
                <w:rFonts w:asciiTheme="minorHAnsi" w:hAnsiTheme="minorHAnsi" w:cs="Arial"/>
              </w:rPr>
            </w:pPr>
            <w:r w:rsidRPr="008D3F24">
              <w:rPr>
                <w:rFonts w:asciiTheme="minorHAnsi" w:hAnsiTheme="minorHAnsi" w:cs="Arial"/>
              </w:rPr>
              <w:lastRenderedPageBreak/>
              <w:t>3.</w:t>
            </w:r>
          </w:p>
        </w:tc>
        <w:tc>
          <w:tcPr>
            <w:tcW w:w="6663" w:type="dxa"/>
          </w:tcPr>
          <w:p w:rsidR="008D3F24" w:rsidRPr="008D3F24" w:rsidRDefault="00212567" w:rsidP="00BC0765">
            <w:pPr>
              <w:tabs>
                <w:tab w:val="right" w:pos="9356"/>
              </w:tabs>
              <w:spacing w:before="60" w:after="60"/>
              <w:rPr>
                <w:rFonts w:asciiTheme="minorHAnsi" w:hAnsiTheme="minorHAnsi" w:cs="Arial"/>
                <w:lang w:val="en-US"/>
              </w:rPr>
            </w:pPr>
            <w:r w:rsidRPr="000732A6">
              <w:rPr>
                <w:rFonts w:asciiTheme="minorHAnsi" w:hAnsiTheme="minorHAnsi"/>
                <w:b/>
              </w:rPr>
              <w:t xml:space="preserve">Developing </w:t>
            </w:r>
            <w:r w:rsidRPr="000732A6">
              <w:rPr>
                <w:rFonts w:asciiTheme="minorHAnsi" w:hAnsiTheme="minorHAnsi"/>
              </w:rPr>
              <w:t>asset based data sets to determine the life of road assets in terms of maintenance and long term rehabilitation of the local road network</w:t>
            </w:r>
          </w:p>
        </w:tc>
        <w:tc>
          <w:tcPr>
            <w:tcW w:w="1984" w:type="dxa"/>
          </w:tcPr>
          <w:p w:rsidR="008D3F24" w:rsidRPr="008D3F24" w:rsidRDefault="008D3F24" w:rsidP="00BC0765">
            <w:pPr>
              <w:spacing w:before="60" w:after="60"/>
              <w:ind w:left="175"/>
              <w:rPr>
                <w:rFonts w:asciiTheme="minorHAnsi" w:hAnsiTheme="minorHAnsi" w:cs="Arial"/>
              </w:rPr>
            </w:pPr>
            <w:r w:rsidRPr="008D3F24">
              <w:rPr>
                <w:rFonts w:asciiTheme="minorHAnsi" w:hAnsiTheme="minorHAnsi" w:cs="Arial"/>
              </w:rPr>
              <w:t>1% - $58,517</w:t>
            </w:r>
          </w:p>
        </w:tc>
      </w:tr>
      <w:tr w:rsidR="008D3F24" w:rsidRPr="008D3F24" w:rsidTr="002B1A53">
        <w:tc>
          <w:tcPr>
            <w:tcW w:w="392" w:type="dxa"/>
          </w:tcPr>
          <w:p w:rsidR="008D3F24" w:rsidRPr="008D3F24" w:rsidRDefault="008D3F24" w:rsidP="00BC0765">
            <w:pPr>
              <w:spacing w:before="60" w:after="60"/>
              <w:jc w:val="both"/>
              <w:rPr>
                <w:rFonts w:asciiTheme="minorHAnsi" w:hAnsiTheme="minorHAnsi" w:cs="Arial"/>
              </w:rPr>
            </w:pPr>
            <w:r w:rsidRPr="008D3F24">
              <w:rPr>
                <w:rFonts w:asciiTheme="minorHAnsi" w:hAnsiTheme="minorHAnsi" w:cs="Arial"/>
              </w:rPr>
              <w:t>4.</w:t>
            </w:r>
          </w:p>
        </w:tc>
        <w:tc>
          <w:tcPr>
            <w:tcW w:w="6663" w:type="dxa"/>
          </w:tcPr>
          <w:p w:rsidR="008D3F24" w:rsidRPr="008D3F24" w:rsidRDefault="008D3F24" w:rsidP="00BC0765">
            <w:pPr>
              <w:tabs>
                <w:tab w:val="right" w:pos="9356"/>
              </w:tabs>
              <w:spacing w:before="60" w:after="60"/>
              <w:rPr>
                <w:rFonts w:asciiTheme="minorHAnsi" w:hAnsiTheme="minorHAnsi" w:cs="Arial"/>
                <w:lang w:val="en-US"/>
              </w:rPr>
            </w:pPr>
            <w:r w:rsidRPr="00141838">
              <w:rPr>
                <w:rFonts w:asciiTheme="minorHAnsi" w:hAnsiTheme="minorHAnsi" w:cs="Arial"/>
                <w:b/>
                <w:lang w:val="en-US"/>
              </w:rPr>
              <w:t>Repayment</w:t>
            </w:r>
            <w:r w:rsidRPr="008D3F24">
              <w:rPr>
                <w:rFonts w:asciiTheme="minorHAnsi" w:hAnsiTheme="minorHAnsi" w:cs="Arial"/>
                <w:lang w:val="en-US"/>
              </w:rPr>
              <w:t xml:space="preserve"> of Local Infrastructure Renewal Scheme</w:t>
            </w:r>
          </w:p>
        </w:tc>
        <w:tc>
          <w:tcPr>
            <w:tcW w:w="1984" w:type="dxa"/>
          </w:tcPr>
          <w:p w:rsidR="008D3F24" w:rsidRPr="008D3F24" w:rsidRDefault="008D3F24" w:rsidP="00BC0765">
            <w:pPr>
              <w:spacing w:before="60" w:after="60"/>
              <w:ind w:left="175"/>
              <w:rPr>
                <w:rFonts w:asciiTheme="minorHAnsi" w:hAnsiTheme="minorHAnsi" w:cs="Arial"/>
              </w:rPr>
            </w:pPr>
            <w:r w:rsidRPr="008D3F24">
              <w:rPr>
                <w:rFonts w:asciiTheme="minorHAnsi" w:hAnsiTheme="minorHAnsi" w:cs="Arial"/>
              </w:rPr>
              <w:t>4% - $16,629</w:t>
            </w:r>
          </w:p>
        </w:tc>
      </w:tr>
    </w:tbl>
    <w:p w:rsidR="008D3F24" w:rsidRPr="008D3F24" w:rsidRDefault="008D3F24" w:rsidP="008D3F24">
      <w:pPr>
        <w:jc w:val="both"/>
        <w:rPr>
          <w:rFonts w:asciiTheme="minorHAnsi" w:hAnsiTheme="minorHAnsi" w:cs="Arial"/>
        </w:rPr>
      </w:pPr>
    </w:p>
    <w:p w:rsidR="008D3F24" w:rsidRPr="008D3F24" w:rsidRDefault="008D3F24" w:rsidP="008D3F24">
      <w:pPr>
        <w:tabs>
          <w:tab w:val="right" w:pos="9356"/>
        </w:tabs>
        <w:jc w:val="both"/>
        <w:rPr>
          <w:rFonts w:asciiTheme="minorHAnsi" w:hAnsiTheme="minorHAnsi" w:cs="Arial"/>
          <w:lang w:val="en-US"/>
        </w:rPr>
      </w:pPr>
      <w:r w:rsidRPr="008D3F24">
        <w:rPr>
          <w:rFonts w:asciiTheme="minorHAnsi" w:hAnsiTheme="minorHAnsi" w:cs="Arial"/>
          <w:lang w:val="en-US"/>
        </w:rPr>
        <w:t xml:space="preserve">Non-road infrastructure will continue to receive planned maintenance and any major work required will be addressed on an as needs basis. </w:t>
      </w:r>
    </w:p>
    <w:p w:rsidR="00D60EA5" w:rsidRDefault="00261E25" w:rsidP="00B10C59">
      <w:pPr>
        <w:pStyle w:val="Heading2"/>
        <w:tabs>
          <w:tab w:val="clear" w:pos="709"/>
          <w:tab w:val="num" w:pos="567"/>
        </w:tabs>
        <w:ind w:left="567" w:hanging="567"/>
      </w:pPr>
      <w:r>
        <w:t xml:space="preserve">Case for </w:t>
      </w:r>
      <w:r w:rsidR="00187715">
        <w:t>Special Rate Variation</w:t>
      </w:r>
      <w:r w:rsidR="0057581B">
        <w:t xml:space="preserve"> - </w:t>
      </w:r>
      <w:r w:rsidR="00FE2452" w:rsidRPr="00FE2452">
        <w:t>c</w:t>
      </w:r>
      <w:r w:rsidR="00D60EA5" w:rsidRPr="00FE2452">
        <w:t>ommunity need</w:t>
      </w:r>
      <w:bookmarkEnd w:id="11"/>
      <w:bookmarkEnd w:id="12"/>
    </w:p>
    <w:p w:rsidR="00682CFC" w:rsidRPr="00682CFC" w:rsidRDefault="00682CFC" w:rsidP="00682CFC">
      <w:pPr>
        <w:pStyle w:val="BodyText"/>
        <w:spacing w:before="0" w:line="240" w:lineRule="auto"/>
      </w:pPr>
    </w:p>
    <w:p w:rsidR="00682CFC" w:rsidRDefault="00313CFE" w:rsidP="001C526A">
      <w:pPr>
        <w:pStyle w:val="ListBullet"/>
        <w:numPr>
          <w:ilvl w:val="0"/>
          <w:numId w:val="0"/>
        </w:numPr>
        <w:spacing w:before="0" w:line="240" w:lineRule="auto"/>
        <w:rPr>
          <w:rFonts w:asciiTheme="minorHAnsi" w:hAnsiTheme="minorHAnsi"/>
        </w:rPr>
      </w:pPr>
      <w:r>
        <w:rPr>
          <w:rFonts w:asciiTheme="minorHAnsi" w:hAnsiTheme="minorHAnsi"/>
        </w:rPr>
        <w:t xml:space="preserve">During development of the </w:t>
      </w:r>
      <w:r w:rsidR="004829B1">
        <w:rPr>
          <w:rFonts w:asciiTheme="minorHAnsi" w:hAnsiTheme="minorHAnsi"/>
        </w:rPr>
        <w:t xml:space="preserve">Oberon Community Strategic Plan </w:t>
      </w:r>
      <w:r>
        <w:rPr>
          <w:rFonts w:asciiTheme="minorHAnsi" w:hAnsiTheme="minorHAnsi"/>
        </w:rPr>
        <w:t xml:space="preserve">2014 </w:t>
      </w:r>
      <w:r w:rsidR="004829B1">
        <w:rPr>
          <w:rFonts w:asciiTheme="minorHAnsi" w:hAnsiTheme="minorHAnsi"/>
        </w:rPr>
        <w:t xml:space="preserve">and the </w:t>
      </w:r>
      <w:r w:rsidR="00F87903">
        <w:rPr>
          <w:rFonts w:asciiTheme="minorHAnsi" w:hAnsiTheme="minorHAnsi"/>
        </w:rPr>
        <w:t>Long Term Financial Plan, the need for an increase in revenue to ensure financial sustainability into the future</w:t>
      </w:r>
      <w:r w:rsidR="004829B1">
        <w:rPr>
          <w:rFonts w:asciiTheme="minorHAnsi" w:hAnsiTheme="minorHAnsi"/>
        </w:rPr>
        <w:t xml:space="preserve"> was recognised</w:t>
      </w:r>
      <w:r w:rsidR="00CD0DDD">
        <w:rPr>
          <w:rFonts w:asciiTheme="minorHAnsi" w:hAnsiTheme="minorHAnsi"/>
        </w:rPr>
        <w:t xml:space="preserve">. This will </w:t>
      </w:r>
      <w:r w:rsidR="004829B1">
        <w:rPr>
          <w:rFonts w:asciiTheme="minorHAnsi" w:hAnsiTheme="minorHAnsi"/>
        </w:rPr>
        <w:t>ensure</w:t>
      </w:r>
      <w:r w:rsidR="00F87903">
        <w:rPr>
          <w:rFonts w:asciiTheme="minorHAnsi" w:hAnsiTheme="minorHAnsi"/>
        </w:rPr>
        <w:t xml:space="preserve"> </w:t>
      </w:r>
      <w:r w:rsidR="00CD0DDD">
        <w:rPr>
          <w:rFonts w:asciiTheme="minorHAnsi" w:hAnsiTheme="minorHAnsi"/>
        </w:rPr>
        <w:t>that Council can continue to provide</w:t>
      </w:r>
      <w:r w:rsidR="00F87903">
        <w:rPr>
          <w:rFonts w:asciiTheme="minorHAnsi" w:hAnsiTheme="minorHAnsi"/>
        </w:rPr>
        <w:t xml:space="preserve"> the community with the </w:t>
      </w:r>
      <w:r w:rsidR="004829B1">
        <w:rPr>
          <w:rFonts w:asciiTheme="minorHAnsi" w:hAnsiTheme="minorHAnsi"/>
        </w:rPr>
        <w:t xml:space="preserve">expected </w:t>
      </w:r>
      <w:r w:rsidR="00F87903">
        <w:rPr>
          <w:rFonts w:asciiTheme="minorHAnsi" w:hAnsiTheme="minorHAnsi"/>
        </w:rPr>
        <w:t>levels of service.</w:t>
      </w:r>
    </w:p>
    <w:p w:rsidR="00F87903" w:rsidRDefault="00F87903" w:rsidP="004E396E">
      <w:pPr>
        <w:pStyle w:val="ListBullet"/>
        <w:numPr>
          <w:ilvl w:val="0"/>
          <w:numId w:val="0"/>
        </w:numPr>
        <w:spacing w:before="0" w:line="240" w:lineRule="auto"/>
        <w:rPr>
          <w:rFonts w:asciiTheme="minorHAnsi" w:hAnsiTheme="minorHAnsi"/>
        </w:rPr>
      </w:pPr>
    </w:p>
    <w:p w:rsidR="00F87903" w:rsidRDefault="00F87903" w:rsidP="00596EBA">
      <w:pPr>
        <w:pStyle w:val="ListBullet"/>
        <w:numPr>
          <w:ilvl w:val="0"/>
          <w:numId w:val="0"/>
        </w:numPr>
        <w:spacing w:before="0" w:line="240" w:lineRule="auto"/>
        <w:rPr>
          <w:rFonts w:asciiTheme="minorHAnsi" w:hAnsiTheme="minorHAnsi"/>
        </w:rPr>
      </w:pPr>
      <w:r>
        <w:rPr>
          <w:rFonts w:asciiTheme="minorHAnsi" w:hAnsiTheme="minorHAnsi"/>
        </w:rPr>
        <w:t>Council broached the subject of rate increases with the Community during consultations with members of the public through information sessions and Community Meetings for the</w:t>
      </w:r>
      <w:r w:rsidR="00FE3E43">
        <w:rPr>
          <w:rFonts w:asciiTheme="minorHAnsi" w:hAnsiTheme="minorHAnsi"/>
        </w:rPr>
        <w:t xml:space="preserve"> Draft Oberon </w:t>
      </w:r>
      <w:r w:rsidR="00313CFE">
        <w:rPr>
          <w:rFonts w:asciiTheme="minorHAnsi" w:hAnsiTheme="minorHAnsi"/>
        </w:rPr>
        <w:t xml:space="preserve">Community Strategic Plan </w:t>
      </w:r>
      <w:r w:rsidR="00FE3E43">
        <w:rPr>
          <w:rFonts w:asciiTheme="minorHAnsi" w:hAnsiTheme="minorHAnsi"/>
        </w:rPr>
        <w:t xml:space="preserve">2014 </w:t>
      </w:r>
      <w:r w:rsidR="00313CFE">
        <w:rPr>
          <w:rFonts w:asciiTheme="minorHAnsi" w:hAnsiTheme="minorHAnsi"/>
        </w:rPr>
        <w:t>after c</w:t>
      </w:r>
      <w:r>
        <w:rPr>
          <w:rFonts w:asciiTheme="minorHAnsi" w:hAnsiTheme="minorHAnsi"/>
        </w:rPr>
        <w:t>ommunity members expressed a desire for Council to increase its maintenance of the roads, as well as the sealing of new roads with in the Oberon LGA.</w:t>
      </w:r>
    </w:p>
    <w:p w:rsidR="00B10C59" w:rsidRDefault="00B10C59" w:rsidP="00596EBA">
      <w:pPr>
        <w:pStyle w:val="ListBullet"/>
        <w:numPr>
          <w:ilvl w:val="0"/>
          <w:numId w:val="0"/>
        </w:numPr>
        <w:spacing w:before="0" w:line="240" w:lineRule="auto"/>
        <w:rPr>
          <w:rFonts w:asciiTheme="minorHAnsi" w:hAnsiTheme="minorHAnsi"/>
        </w:rPr>
      </w:pPr>
    </w:p>
    <w:p w:rsidR="00B10C59" w:rsidRDefault="00B10C59" w:rsidP="00596EBA">
      <w:pPr>
        <w:pStyle w:val="ListBullet"/>
        <w:numPr>
          <w:ilvl w:val="0"/>
          <w:numId w:val="0"/>
        </w:numPr>
        <w:spacing w:before="0" w:line="240" w:lineRule="auto"/>
        <w:rPr>
          <w:rFonts w:asciiTheme="minorHAnsi" w:hAnsiTheme="minorHAnsi"/>
        </w:rPr>
      </w:pPr>
      <w:r>
        <w:rPr>
          <w:rFonts w:asciiTheme="minorHAnsi" w:hAnsiTheme="minorHAnsi"/>
        </w:rPr>
        <w:t>Council has been active in seeking other revenue through grants over the pa</w:t>
      </w:r>
      <w:r w:rsidR="00313CFE">
        <w:rPr>
          <w:rFonts w:asciiTheme="minorHAnsi" w:hAnsiTheme="minorHAnsi"/>
        </w:rPr>
        <w:t>s</w:t>
      </w:r>
      <w:r>
        <w:rPr>
          <w:rFonts w:asciiTheme="minorHAnsi" w:hAnsiTheme="minorHAnsi"/>
        </w:rPr>
        <w:t xml:space="preserve">t 5 years. Over $5 million of grants have been received from the Commonwealth and State, including both general purpose </w:t>
      </w:r>
      <w:r w:rsidR="001D236D">
        <w:rPr>
          <w:rFonts w:asciiTheme="minorHAnsi" w:hAnsiTheme="minorHAnsi"/>
        </w:rPr>
        <w:t xml:space="preserve">Financial Assistance Grants </w:t>
      </w:r>
      <w:r>
        <w:rPr>
          <w:rFonts w:asciiTheme="minorHAnsi" w:hAnsiTheme="minorHAnsi"/>
        </w:rPr>
        <w:t xml:space="preserve">(FAGs) and specific purpose grants. </w:t>
      </w:r>
      <w:r w:rsidR="00FE3E43">
        <w:rPr>
          <w:rFonts w:asciiTheme="minorHAnsi" w:hAnsiTheme="minorHAnsi"/>
        </w:rPr>
        <w:t xml:space="preserve"> </w:t>
      </w:r>
      <w:r w:rsidR="00F95352">
        <w:rPr>
          <w:rFonts w:asciiTheme="minorHAnsi" w:hAnsiTheme="minorHAnsi"/>
        </w:rPr>
        <w:t>A</w:t>
      </w:r>
      <w:r>
        <w:rPr>
          <w:rFonts w:asciiTheme="minorHAnsi" w:hAnsiTheme="minorHAnsi"/>
        </w:rPr>
        <w:t xml:space="preserve"> Grant</w:t>
      </w:r>
      <w:r w:rsidR="00F95352">
        <w:rPr>
          <w:rFonts w:asciiTheme="minorHAnsi" w:hAnsiTheme="minorHAnsi"/>
        </w:rPr>
        <w:t>s</w:t>
      </w:r>
      <w:r>
        <w:rPr>
          <w:rFonts w:asciiTheme="minorHAnsi" w:hAnsiTheme="minorHAnsi"/>
        </w:rPr>
        <w:t xml:space="preserve"> </w:t>
      </w:r>
      <w:r w:rsidR="00F95352">
        <w:rPr>
          <w:rFonts w:asciiTheme="minorHAnsi" w:hAnsiTheme="minorHAnsi"/>
        </w:rPr>
        <w:t>Coordinator</w:t>
      </w:r>
      <w:r>
        <w:rPr>
          <w:rFonts w:asciiTheme="minorHAnsi" w:hAnsiTheme="minorHAnsi"/>
        </w:rPr>
        <w:t xml:space="preserve"> </w:t>
      </w:r>
      <w:r w:rsidR="00F95352">
        <w:rPr>
          <w:rFonts w:asciiTheme="minorHAnsi" w:hAnsiTheme="minorHAnsi"/>
        </w:rPr>
        <w:t xml:space="preserve">commenced in late 2013 to assist with </w:t>
      </w:r>
      <w:r>
        <w:rPr>
          <w:rFonts w:asciiTheme="minorHAnsi" w:hAnsiTheme="minorHAnsi"/>
        </w:rPr>
        <w:t xml:space="preserve">sourcing grant funding from other providers </w:t>
      </w:r>
      <w:r w:rsidR="00F95352">
        <w:rPr>
          <w:rFonts w:asciiTheme="minorHAnsi" w:hAnsiTheme="minorHAnsi"/>
        </w:rPr>
        <w:t>for specific community projects</w:t>
      </w:r>
      <w:r>
        <w:rPr>
          <w:rFonts w:asciiTheme="minorHAnsi" w:hAnsiTheme="minorHAnsi"/>
        </w:rPr>
        <w:t>.</w:t>
      </w:r>
    </w:p>
    <w:p w:rsidR="00F87903" w:rsidRDefault="00F87903" w:rsidP="00596EBA">
      <w:pPr>
        <w:pStyle w:val="ListBullet"/>
        <w:numPr>
          <w:ilvl w:val="0"/>
          <w:numId w:val="0"/>
        </w:numPr>
        <w:spacing w:before="0" w:line="240" w:lineRule="auto"/>
        <w:rPr>
          <w:rFonts w:asciiTheme="minorHAnsi" w:hAnsiTheme="minorHAnsi"/>
        </w:rPr>
      </w:pPr>
    </w:p>
    <w:p w:rsidR="004761E7" w:rsidRDefault="00B10C59" w:rsidP="00596EBA">
      <w:pPr>
        <w:pStyle w:val="ListBullet"/>
        <w:numPr>
          <w:ilvl w:val="0"/>
          <w:numId w:val="0"/>
        </w:numPr>
        <w:spacing w:before="0" w:line="240" w:lineRule="auto"/>
        <w:rPr>
          <w:rFonts w:asciiTheme="minorHAnsi" w:hAnsiTheme="minorHAnsi"/>
        </w:rPr>
      </w:pPr>
      <w:r>
        <w:rPr>
          <w:rFonts w:asciiTheme="minorHAnsi" w:hAnsiTheme="minorHAnsi"/>
        </w:rPr>
        <w:t>Council decided the best option was to</w:t>
      </w:r>
      <w:r w:rsidR="004761E7">
        <w:rPr>
          <w:rFonts w:asciiTheme="minorHAnsi" w:hAnsiTheme="minorHAnsi"/>
        </w:rPr>
        <w:t xml:space="preserve"> </w:t>
      </w:r>
      <w:r>
        <w:rPr>
          <w:rFonts w:asciiTheme="minorHAnsi" w:hAnsiTheme="minorHAnsi"/>
        </w:rPr>
        <w:t>approach the community to gain an understanding of their expectations.  A</w:t>
      </w:r>
      <w:r w:rsidR="004761E7">
        <w:rPr>
          <w:rFonts w:asciiTheme="minorHAnsi" w:hAnsiTheme="minorHAnsi"/>
        </w:rPr>
        <w:t xml:space="preserve"> </w:t>
      </w:r>
      <w:r w:rsidR="00187715">
        <w:rPr>
          <w:rFonts w:asciiTheme="minorHAnsi" w:hAnsiTheme="minorHAnsi"/>
        </w:rPr>
        <w:t>Survey</w:t>
      </w:r>
      <w:r w:rsidR="004761E7">
        <w:rPr>
          <w:rFonts w:asciiTheme="minorHAnsi" w:hAnsiTheme="minorHAnsi"/>
        </w:rPr>
        <w:t xml:space="preserve"> “Resourcing Our Future” </w:t>
      </w:r>
      <w:r>
        <w:rPr>
          <w:rFonts w:asciiTheme="minorHAnsi" w:hAnsiTheme="minorHAnsi"/>
        </w:rPr>
        <w:t xml:space="preserve">was developed and distributed to all Oberon LGA Ratepayers to provide </w:t>
      </w:r>
      <w:r w:rsidR="00042A36">
        <w:rPr>
          <w:rFonts w:asciiTheme="minorHAnsi" w:hAnsiTheme="minorHAnsi"/>
        </w:rPr>
        <w:t>feedback about</w:t>
      </w:r>
      <w:r>
        <w:rPr>
          <w:rFonts w:asciiTheme="minorHAnsi" w:hAnsiTheme="minorHAnsi"/>
        </w:rPr>
        <w:t xml:space="preserve"> community expectations for</w:t>
      </w:r>
      <w:r w:rsidR="004761E7">
        <w:rPr>
          <w:rFonts w:asciiTheme="minorHAnsi" w:hAnsiTheme="minorHAnsi"/>
        </w:rPr>
        <w:t xml:space="preserve"> </w:t>
      </w:r>
      <w:r>
        <w:rPr>
          <w:rFonts w:asciiTheme="minorHAnsi" w:hAnsiTheme="minorHAnsi"/>
        </w:rPr>
        <w:t xml:space="preserve">service levels and the revenue required to achieve this outcome </w:t>
      </w:r>
      <w:r w:rsidR="00596EBA" w:rsidRPr="00596EBA">
        <w:rPr>
          <w:rFonts w:asciiTheme="minorHAnsi" w:hAnsiTheme="minorHAnsi"/>
        </w:rPr>
        <w:t>(Attachment 2</w:t>
      </w:r>
      <w:r w:rsidR="004761E7" w:rsidRPr="00596EBA">
        <w:rPr>
          <w:rFonts w:asciiTheme="minorHAnsi" w:hAnsiTheme="minorHAnsi"/>
        </w:rPr>
        <w:t>)</w:t>
      </w:r>
      <w:r w:rsidRPr="00596EBA">
        <w:rPr>
          <w:rFonts w:asciiTheme="minorHAnsi" w:hAnsiTheme="minorHAnsi"/>
        </w:rPr>
        <w:t>.</w:t>
      </w:r>
      <w:r>
        <w:rPr>
          <w:rFonts w:asciiTheme="minorHAnsi" w:hAnsiTheme="minorHAnsi"/>
        </w:rPr>
        <w:t xml:space="preserve"> </w:t>
      </w:r>
    </w:p>
    <w:p w:rsidR="00B10C59" w:rsidRDefault="00B10C59" w:rsidP="00596EBA">
      <w:pPr>
        <w:pStyle w:val="ListBullet"/>
        <w:numPr>
          <w:ilvl w:val="0"/>
          <w:numId w:val="0"/>
        </w:numPr>
        <w:spacing w:before="0" w:line="240" w:lineRule="auto"/>
        <w:ind w:left="568"/>
        <w:rPr>
          <w:rFonts w:asciiTheme="minorHAnsi" w:hAnsiTheme="minorHAnsi"/>
        </w:rPr>
      </w:pPr>
    </w:p>
    <w:p w:rsidR="00101999" w:rsidRDefault="00101999" w:rsidP="00596EBA">
      <w:pPr>
        <w:pStyle w:val="ListBullet"/>
        <w:numPr>
          <w:ilvl w:val="0"/>
          <w:numId w:val="0"/>
        </w:numPr>
        <w:spacing w:before="0" w:line="240" w:lineRule="auto"/>
        <w:rPr>
          <w:rFonts w:asciiTheme="minorHAnsi" w:hAnsiTheme="minorHAnsi"/>
        </w:rPr>
      </w:pPr>
      <w:r w:rsidRPr="00101999">
        <w:rPr>
          <w:rFonts w:asciiTheme="minorHAnsi" w:hAnsiTheme="minorHAnsi"/>
        </w:rPr>
        <w:t>The Long Term Financial Plan</w:t>
      </w:r>
      <w:r w:rsidR="00843222">
        <w:rPr>
          <w:rFonts w:asciiTheme="minorHAnsi" w:hAnsiTheme="minorHAnsi"/>
        </w:rPr>
        <w:t xml:space="preserve"> 2015/16 to 2024/2</w:t>
      </w:r>
      <w:r w:rsidR="00313CFE">
        <w:rPr>
          <w:rFonts w:asciiTheme="minorHAnsi" w:hAnsiTheme="minorHAnsi"/>
        </w:rPr>
        <w:t>5</w:t>
      </w:r>
      <w:r w:rsidRPr="00101999">
        <w:rPr>
          <w:rFonts w:asciiTheme="minorHAnsi" w:hAnsiTheme="minorHAnsi"/>
        </w:rPr>
        <w:t xml:space="preserve"> </w:t>
      </w:r>
      <w:r w:rsidR="00843222" w:rsidRPr="00843222">
        <w:rPr>
          <w:rFonts w:asciiTheme="minorHAnsi" w:hAnsiTheme="minorHAnsi"/>
        </w:rPr>
        <w:t>(Attachment 3</w:t>
      </w:r>
      <w:r w:rsidRPr="00843222">
        <w:rPr>
          <w:rFonts w:asciiTheme="minorHAnsi" w:hAnsiTheme="minorHAnsi"/>
        </w:rPr>
        <w:t xml:space="preserve">) </w:t>
      </w:r>
      <w:r w:rsidRPr="00101999">
        <w:rPr>
          <w:rFonts w:asciiTheme="minorHAnsi" w:hAnsiTheme="minorHAnsi"/>
        </w:rPr>
        <w:t xml:space="preserve">shows the impact of the </w:t>
      </w:r>
      <w:r>
        <w:rPr>
          <w:rFonts w:asciiTheme="minorHAnsi" w:hAnsiTheme="minorHAnsi"/>
        </w:rPr>
        <w:t xml:space="preserve">proposed </w:t>
      </w:r>
      <w:r w:rsidR="00A21502">
        <w:rPr>
          <w:rFonts w:asciiTheme="minorHAnsi" w:hAnsiTheme="minorHAnsi"/>
        </w:rPr>
        <w:t>Special Rate V</w:t>
      </w:r>
      <w:r w:rsidRPr="00101999">
        <w:rPr>
          <w:rFonts w:asciiTheme="minorHAnsi" w:hAnsiTheme="minorHAnsi"/>
        </w:rPr>
        <w:t>aria</w:t>
      </w:r>
      <w:r>
        <w:rPr>
          <w:rFonts w:asciiTheme="minorHAnsi" w:hAnsiTheme="minorHAnsi"/>
        </w:rPr>
        <w:t xml:space="preserve">tion. We are forecasting </w:t>
      </w:r>
      <w:r w:rsidR="005F574F">
        <w:rPr>
          <w:rFonts w:asciiTheme="minorHAnsi" w:hAnsiTheme="minorHAnsi"/>
        </w:rPr>
        <w:t xml:space="preserve">that </w:t>
      </w:r>
      <w:r w:rsidR="004B75F6">
        <w:rPr>
          <w:rFonts w:asciiTheme="minorHAnsi" w:hAnsiTheme="minorHAnsi"/>
        </w:rPr>
        <w:t>an amount of</w:t>
      </w:r>
      <w:r>
        <w:rPr>
          <w:rFonts w:asciiTheme="minorHAnsi" w:hAnsiTheme="minorHAnsi"/>
        </w:rPr>
        <w:t xml:space="preserve"> </w:t>
      </w:r>
      <w:r w:rsidRPr="00313CFE">
        <w:rPr>
          <w:rFonts w:asciiTheme="minorHAnsi" w:hAnsiTheme="minorHAnsi"/>
        </w:rPr>
        <w:t>$</w:t>
      </w:r>
      <w:r w:rsidR="00313CFE">
        <w:rPr>
          <w:rFonts w:asciiTheme="minorHAnsi" w:hAnsiTheme="minorHAnsi"/>
        </w:rPr>
        <w:t xml:space="preserve">1,462,929 </w:t>
      </w:r>
      <w:r w:rsidR="00042A36">
        <w:rPr>
          <w:rFonts w:asciiTheme="minorHAnsi" w:hAnsiTheme="minorHAnsi"/>
        </w:rPr>
        <w:t>will</w:t>
      </w:r>
      <w:r w:rsidR="00313CFE">
        <w:rPr>
          <w:rFonts w:asciiTheme="minorHAnsi" w:hAnsiTheme="minorHAnsi"/>
        </w:rPr>
        <w:t xml:space="preserve"> be used on r</w:t>
      </w:r>
      <w:r>
        <w:rPr>
          <w:rFonts w:asciiTheme="minorHAnsi" w:hAnsiTheme="minorHAnsi"/>
        </w:rPr>
        <w:t>o</w:t>
      </w:r>
      <w:r w:rsidR="00313CFE">
        <w:rPr>
          <w:rFonts w:asciiTheme="minorHAnsi" w:hAnsiTheme="minorHAnsi"/>
        </w:rPr>
        <w:t>ads capital expenditure</w:t>
      </w:r>
      <w:r>
        <w:rPr>
          <w:rFonts w:asciiTheme="minorHAnsi" w:hAnsiTheme="minorHAnsi"/>
        </w:rPr>
        <w:t xml:space="preserve"> </w:t>
      </w:r>
      <w:r w:rsidR="00313CFE">
        <w:rPr>
          <w:rFonts w:asciiTheme="minorHAnsi" w:hAnsiTheme="minorHAnsi"/>
        </w:rPr>
        <w:t>and</w:t>
      </w:r>
      <w:r w:rsidR="00D84CD8">
        <w:rPr>
          <w:rFonts w:asciiTheme="minorHAnsi" w:hAnsiTheme="minorHAnsi"/>
        </w:rPr>
        <w:t xml:space="preserve"> </w:t>
      </w:r>
      <w:r w:rsidR="007C046B">
        <w:rPr>
          <w:rFonts w:asciiTheme="minorHAnsi" w:hAnsiTheme="minorHAnsi"/>
        </w:rPr>
        <w:t>maintenance</w:t>
      </w:r>
      <w:r w:rsidR="00313CFE">
        <w:rPr>
          <w:rFonts w:asciiTheme="minorHAnsi" w:hAnsiTheme="minorHAnsi"/>
        </w:rPr>
        <w:t xml:space="preserve"> to reduce the infrastructure backlog </w:t>
      </w:r>
      <w:r w:rsidR="005F574F">
        <w:rPr>
          <w:rFonts w:asciiTheme="minorHAnsi" w:hAnsiTheme="minorHAnsi"/>
        </w:rPr>
        <w:t>by</w:t>
      </w:r>
      <w:r w:rsidR="00313CFE">
        <w:rPr>
          <w:rFonts w:asciiTheme="minorHAnsi" w:hAnsiTheme="minorHAnsi"/>
        </w:rPr>
        <w:t xml:space="preserve"> improving local roads</w:t>
      </w:r>
      <w:r w:rsidR="00D84CD8">
        <w:rPr>
          <w:rFonts w:asciiTheme="minorHAnsi" w:hAnsiTheme="minorHAnsi"/>
        </w:rPr>
        <w:t>.</w:t>
      </w:r>
      <w:r w:rsidR="004B75F6">
        <w:rPr>
          <w:rFonts w:asciiTheme="minorHAnsi" w:hAnsiTheme="minorHAnsi"/>
        </w:rPr>
        <w:t xml:space="preserve"> The impact to the Long Term Financial Plan</w:t>
      </w:r>
      <w:r w:rsidR="00313CFE">
        <w:rPr>
          <w:rFonts w:asciiTheme="minorHAnsi" w:hAnsiTheme="minorHAnsi"/>
        </w:rPr>
        <w:t>,</w:t>
      </w:r>
      <w:r w:rsidR="00A21502">
        <w:rPr>
          <w:rFonts w:asciiTheme="minorHAnsi" w:hAnsiTheme="minorHAnsi"/>
        </w:rPr>
        <w:t xml:space="preserve"> if the Special Rate V</w:t>
      </w:r>
      <w:r w:rsidR="004B75F6">
        <w:rPr>
          <w:rFonts w:asciiTheme="minorHAnsi" w:hAnsiTheme="minorHAnsi"/>
        </w:rPr>
        <w:t xml:space="preserve">ariation is not </w:t>
      </w:r>
      <w:r w:rsidR="00410272">
        <w:rPr>
          <w:rFonts w:asciiTheme="minorHAnsi" w:hAnsiTheme="minorHAnsi"/>
        </w:rPr>
        <w:t>approved</w:t>
      </w:r>
      <w:r w:rsidR="00313CFE">
        <w:rPr>
          <w:rFonts w:asciiTheme="minorHAnsi" w:hAnsiTheme="minorHAnsi"/>
        </w:rPr>
        <w:t>,</w:t>
      </w:r>
      <w:r w:rsidR="004B75F6">
        <w:rPr>
          <w:rFonts w:asciiTheme="minorHAnsi" w:hAnsiTheme="minorHAnsi"/>
        </w:rPr>
        <w:t xml:space="preserve"> </w:t>
      </w:r>
      <w:r w:rsidR="00042A36">
        <w:rPr>
          <w:rFonts w:asciiTheme="minorHAnsi" w:hAnsiTheme="minorHAnsi"/>
        </w:rPr>
        <w:t>will be an</w:t>
      </w:r>
      <w:r w:rsidR="004B75F6">
        <w:rPr>
          <w:rFonts w:asciiTheme="minorHAnsi" w:hAnsiTheme="minorHAnsi"/>
        </w:rPr>
        <w:t xml:space="preserve"> inability to provide the </w:t>
      </w:r>
      <w:r w:rsidR="00313CFE">
        <w:rPr>
          <w:rFonts w:asciiTheme="minorHAnsi" w:hAnsiTheme="minorHAnsi"/>
        </w:rPr>
        <w:t xml:space="preserve">level of </w:t>
      </w:r>
      <w:r w:rsidR="004B75F6">
        <w:rPr>
          <w:rFonts w:asciiTheme="minorHAnsi" w:hAnsiTheme="minorHAnsi"/>
        </w:rPr>
        <w:t xml:space="preserve">service </w:t>
      </w:r>
      <w:r w:rsidR="00597F86">
        <w:rPr>
          <w:rFonts w:asciiTheme="minorHAnsi" w:hAnsiTheme="minorHAnsi"/>
        </w:rPr>
        <w:t>to</w:t>
      </w:r>
      <w:r w:rsidR="00313CFE">
        <w:rPr>
          <w:rFonts w:asciiTheme="minorHAnsi" w:hAnsiTheme="minorHAnsi"/>
        </w:rPr>
        <w:t xml:space="preserve"> r</w:t>
      </w:r>
      <w:r w:rsidR="004B75F6">
        <w:rPr>
          <w:rFonts w:asciiTheme="minorHAnsi" w:hAnsiTheme="minorHAnsi"/>
        </w:rPr>
        <w:t>oads that the community expect.</w:t>
      </w:r>
    </w:p>
    <w:p w:rsidR="00597F86" w:rsidRDefault="00597F86" w:rsidP="001C526A">
      <w:pPr>
        <w:pStyle w:val="ListBullet"/>
        <w:numPr>
          <w:ilvl w:val="0"/>
          <w:numId w:val="0"/>
        </w:numPr>
        <w:spacing w:before="0" w:line="240" w:lineRule="auto"/>
        <w:ind w:left="568"/>
        <w:rPr>
          <w:rFonts w:asciiTheme="minorHAnsi" w:hAnsiTheme="minorHAnsi"/>
        </w:rPr>
      </w:pPr>
    </w:p>
    <w:p w:rsidR="00597F86" w:rsidRDefault="007039FA" w:rsidP="00843222">
      <w:pPr>
        <w:pStyle w:val="ListBullet"/>
        <w:numPr>
          <w:ilvl w:val="0"/>
          <w:numId w:val="0"/>
        </w:numPr>
        <w:spacing w:before="0" w:line="240" w:lineRule="auto"/>
        <w:rPr>
          <w:rFonts w:asciiTheme="minorHAnsi" w:hAnsiTheme="minorHAnsi"/>
        </w:rPr>
      </w:pPr>
      <w:r>
        <w:rPr>
          <w:rFonts w:asciiTheme="minorHAnsi" w:hAnsiTheme="minorHAnsi"/>
        </w:rPr>
        <w:t>T</w:t>
      </w:r>
      <w:r w:rsidR="00597F86">
        <w:rPr>
          <w:rFonts w:asciiTheme="minorHAnsi" w:hAnsiTheme="minorHAnsi"/>
        </w:rPr>
        <w:t>he possibility of increasing Fees and Charges would not bring in sufficient funds</w:t>
      </w:r>
      <w:r>
        <w:rPr>
          <w:rFonts w:asciiTheme="minorHAnsi" w:hAnsiTheme="minorHAnsi"/>
        </w:rPr>
        <w:t xml:space="preserve"> due to the </w:t>
      </w:r>
      <w:r w:rsidR="00B0587C">
        <w:rPr>
          <w:rFonts w:asciiTheme="minorHAnsi" w:hAnsiTheme="minorHAnsi"/>
        </w:rPr>
        <w:t xml:space="preserve">limited </w:t>
      </w:r>
      <w:r>
        <w:rPr>
          <w:rFonts w:asciiTheme="minorHAnsi" w:hAnsiTheme="minorHAnsi"/>
        </w:rPr>
        <w:t>level of usage</w:t>
      </w:r>
      <w:r w:rsidR="00597F86">
        <w:rPr>
          <w:rFonts w:asciiTheme="minorHAnsi" w:hAnsiTheme="minorHAnsi"/>
        </w:rPr>
        <w:t xml:space="preserve">. </w:t>
      </w:r>
      <w:r w:rsidR="00B0587C">
        <w:rPr>
          <w:rFonts w:asciiTheme="minorHAnsi" w:hAnsiTheme="minorHAnsi"/>
        </w:rPr>
        <w:t>The use of</w:t>
      </w:r>
      <w:r w:rsidR="00597F86">
        <w:rPr>
          <w:rFonts w:asciiTheme="minorHAnsi" w:hAnsiTheme="minorHAnsi"/>
        </w:rPr>
        <w:t xml:space="preserve"> Investment funds to reduce the Infrastructure Backlog </w:t>
      </w:r>
      <w:r w:rsidR="00B0587C">
        <w:rPr>
          <w:rFonts w:asciiTheme="minorHAnsi" w:hAnsiTheme="minorHAnsi"/>
        </w:rPr>
        <w:t xml:space="preserve">was not considered appropriate as a </w:t>
      </w:r>
      <w:r w:rsidR="00D91CAC">
        <w:rPr>
          <w:rFonts w:asciiTheme="minorHAnsi" w:hAnsiTheme="minorHAnsi"/>
        </w:rPr>
        <w:t xml:space="preserve">high </w:t>
      </w:r>
      <w:r w:rsidR="00B0587C">
        <w:rPr>
          <w:rFonts w:asciiTheme="minorHAnsi" w:hAnsiTheme="minorHAnsi"/>
        </w:rPr>
        <w:t>portion of these funds are earmarked for specific future projects</w:t>
      </w:r>
      <w:r w:rsidR="00597F86">
        <w:rPr>
          <w:rFonts w:asciiTheme="minorHAnsi" w:hAnsiTheme="minorHAnsi"/>
        </w:rPr>
        <w:t xml:space="preserve">.  Therefore, the most appropriate option </w:t>
      </w:r>
      <w:r w:rsidR="00D91CAC">
        <w:rPr>
          <w:rFonts w:asciiTheme="minorHAnsi" w:hAnsiTheme="minorHAnsi"/>
        </w:rPr>
        <w:t>i</w:t>
      </w:r>
      <w:r w:rsidR="00597F86">
        <w:rPr>
          <w:rFonts w:asciiTheme="minorHAnsi" w:hAnsiTheme="minorHAnsi"/>
        </w:rPr>
        <w:t>s to apply for a Special Rate Variation for the next 5 years to enable Council to remai</w:t>
      </w:r>
      <w:r w:rsidR="00D91CAC">
        <w:rPr>
          <w:rFonts w:asciiTheme="minorHAnsi" w:hAnsiTheme="minorHAnsi"/>
        </w:rPr>
        <w:t xml:space="preserve">n financially sustainable while maintaining and renewing infrastructure and </w:t>
      </w:r>
      <w:r w:rsidR="00597F86">
        <w:rPr>
          <w:rFonts w:asciiTheme="minorHAnsi" w:hAnsiTheme="minorHAnsi"/>
        </w:rPr>
        <w:t xml:space="preserve">reducing </w:t>
      </w:r>
      <w:r w:rsidR="00D91CAC">
        <w:rPr>
          <w:rFonts w:asciiTheme="minorHAnsi" w:hAnsiTheme="minorHAnsi"/>
        </w:rPr>
        <w:t>the</w:t>
      </w:r>
      <w:r w:rsidR="00597F86">
        <w:rPr>
          <w:rFonts w:asciiTheme="minorHAnsi" w:hAnsiTheme="minorHAnsi"/>
        </w:rPr>
        <w:t xml:space="preserve"> infrastructure backlog.</w:t>
      </w:r>
    </w:p>
    <w:p w:rsidR="004A5471" w:rsidRDefault="004A5471">
      <w:bookmarkStart w:id="13" w:name="_Toc366160408"/>
      <w:bookmarkStart w:id="14" w:name="_Toc409776046"/>
    </w:p>
    <w:p w:rsidR="004A5471" w:rsidRDefault="004A5471">
      <w:r>
        <w:br w:type="page"/>
      </w:r>
    </w:p>
    <w:p w:rsidR="004A5471" w:rsidRPr="004A5471" w:rsidRDefault="004A5471" w:rsidP="004A5471">
      <w:pPr>
        <w:pStyle w:val="BodyText"/>
        <w:rPr>
          <w:rFonts w:ascii="Arial" w:hAnsi="Arial" w:cs="Arial"/>
        </w:rPr>
      </w:pPr>
    </w:p>
    <w:p w:rsidR="00D60EA5" w:rsidRDefault="003B7983" w:rsidP="004A5471">
      <w:pPr>
        <w:pStyle w:val="Heading2"/>
        <w:tabs>
          <w:tab w:val="clear" w:pos="709"/>
          <w:tab w:val="num" w:pos="567"/>
        </w:tabs>
        <w:spacing w:before="120"/>
        <w:ind w:left="567" w:hanging="567"/>
      </w:pPr>
      <w:r>
        <w:t>F</w:t>
      </w:r>
      <w:r w:rsidR="00D60EA5">
        <w:t>inancial sustainability</w:t>
      </w:r>
      <w:bookmarkEnd w:id="13"/>
      <w:bookmarkEnd w:id="14"/>
    </w:p>
    <w:p w:rsidR="00634BE3" w:rsidRDefault="00634BE3" w:rsidP="00AC5325">
      <w:pPr>
        <w:pStyle w:val="BodyText"/>
        <w:spacing w:before="0" w:line="240" w:lineRule="auto"/>
        <w:rPr>
          <w:highlight w:val="yellow"/>
        </w:rPr>
      </w:pPr>
    </w:p>
    <w:p w:rsidR="0033462D" w:rsidRDefault="0033462D" w:rsidP="007354C9">
      <w:pPr>
        <w:pStyle w:val="ListBullet"/>
        <w:numPr>
          <w:ilvl w:val="0"/>
          <w:numId w:val="0"/>
        </w:numPr>
        <w:spacing w:before="0" w:line="240" w:lineRule="auto"/>
        <w:rPr>
          <w:rFonts w:asciiTheme="minorHAnsi" w:hAnsiTheme="minorHAnsi"/>
        </w:rPr>
      </w:pPr>
      <w:r w:rsidRPr="0033462D">
        <w:rPr>
          <w:rFonts w:asciiTheme="minorHAnsi" w:hAnsiTheme="minorHAnsi"/>
        </w:rPr>
        <w:t xml:space="preserve">Council’s view </w:t>
      </w:r>
      <w:r w:rsidR="004538E3">
        <w:rPr>
          <w:rFonts w:asciiTheme="minorHAnsi" w:hAnsiTheme="minorHAnsi"/>
        </w:rPr>
        <w:t xml:space="preserve">is that a Special Rate Variation </w:t>
      </w:r>
      <w:r w:rsidRPr="0033462D">
        <w:rPr>
          <w:rFonts w:asciiTheme="minorHAnsi" w:hAnsiTheme="minorHAnsi"/>
        </w:rPr>
        <w:t xml:space="preserve">is </w:t>
      </w:r>
      <w:r w:rsidR="004538E3">
        <w:rPr>
          <w:rFonts w:asciiTheme="minorHAnsi" w:hAnsiTheme="minorHAnsi"/>
        </w:rPr>
        <w:t>needed</w:t>
      </w:r>
      <w:r w:rsidR="00B73F78">
        <w:rPr>
          <w:rFonts w:asciiTheme="minorHAnsi" w:hAnsiTheme="minorHAnsi"/>
        </w:rPr>
        <w:t xml:space="preserve"> to maintain financial sustainability to be able to </w:t>
      </w:r>
      <w:r w:rsidR="007354C9">
        <w:rPr>
          <w:rFonts w:asciiTheme="minorHAnsi" w:hAnsiTheme="minorHAnsi"/>
        </w:rPr>
        <w:t xml:space="preserve">continue to </w:t>
      </w:r>
      <w:r w:rsidR="00B73F78">
        <w:rPr>
          <w:rFonts w:asciiTheme="minorHAnsi" w:hAnsiTheme="minorHAnsi"/>
        </w:rPr>
        <w:t>provide</w:t>
      </w:r>
      <w:r w:rsidR="007354C9">
        <w:rPr>
          <w:rFonts w:asciiTheme="minorHAnsi" w:hAnsiTheme="minorHAnsi"/>
        </w:rPr>
        <w:t xml:space="preserve">, and improve, </w:t>
      </w:r>
      <w:r w:rsidR="00CF2365">
        <w:rPr>
          <w:rFonts w:asciiTheme="minorHAnsi" w:hAnsiTheme="minorHAnsi"/>
        </w:rPr>
        <w:t>service</w:t>
      </w:r>
      <w:r w:rsidR="007354C9">
        <w:rPr>
          <w:rFonts w:asciiTheme="minorHAnsi" w:hAnsiTheme="minorHAnsi"/>
        </w:rPr>
        <w:t>s</w:t>
      </w:r>
      <w:r w:rsidR="00CF2365">
        <w:rPr>
          <w:rFonts w:asciiTheme="minorHAnsi" w:hAnsiTheme="minorHAnsi"/>
        </w:rPr>
        <w:t xml:space="preserve"> to the Oberon community</w:t>
      </w:r>
      <w:r>
        <w:rPr>
          <w:rFonts w:asciiTheme="minorHAnsi" w:hAnsiTheme="minorHAnsi"/>
        </w:rPr>
        <w:t xml:space="preserve">. </w:t>
      </w:r>
    </w:p>
    <w:p w:rsidR="0033462D" w:rsidRDefault="0033462D" w:rsidP="001C526A">
      <w:pPr>
        <w:pStyle w:val="ListBullet"/>
        <w:numPr>
          <w:ilvl w:val="0"/>
          <w:numId w:val="0"/>
        </w:numPr>
        <w:spacing w:before="0" w:line="240" w:lineRule="auto"/>
        <w:ind w:left="568"/>
        <w:rPr>
          <w:rFonts w:asciiTheme="minorHAnsi" w:hAnsiTheme="minorHAnsi"/>
        </w:rPr>
      </w:pPr>
    </w:p>
    <w:p w:rsidR="00EC2D9F" w:rsidRPr="005B21C7" w:rsidRDefault="007354C9" w:rsidP="00A94656">
      <w:pPr>
        <w:pStyle w:val="ListBullet"/>
        <w:numPr>
          <w:ilvl w:val="0"/>
          <w:numId w:val="0"/>
        </w:numPr>
        <w:spacing w:before="0" w:line="240" w:lineRule="auto"/>
        <w:rPr>
          <w:rFonts w:asciiTheme="minorHAnsi" w:hAnsiTheme="minorHAnsi"/>
        </w:rPr>
      </w:pPr>
      <w:r w:rsidRPr="005B21C7">
        <w:rPr>
          <w:rFonts w:asciiTheme="minorHAnsi" w:hAnsiTheme="minorHAnsi"/>
        </w:rPr>
        <w:t xml:space="preserve">In reviewing Council’s </w:t>
      </w:r>
      <w:r w:rsidR="00EC2D9F" w:rsidRPr="005B21C7">
        <w:rPr>
          <w:rFonts w:asciiTheme="minorHAnsi" w:hAnsiTheme="minorHAnsi"/>
        </w:rPr>
        <w:t>sustainability, effective infrastructure and service management, and efficiency as part of the Fit for the Future Program that has been introduced by the NSW State Government,</w:t>
      </w:r>
      <w:r w:rsidR="0033462D" w:rsidRPr="005B21C7">
        <w:rPr>
          <w:rFonts w:asciiTheme="minorHAnsi" w:hAnsiTheme="minorHAnsi"/>
        </w:rPr>
        <w:t xml:space="preserve"> </w:t>
      </w:r>
      <w:r w:rsidR="00F83707">
        <w:rPr>
          <w:rFonts w:asciiTheme="minorHAnsi" w:hAnsiTheme="minorHAnsi"/>
        </w:rPr>
        <w:t>Council reviewed its Operating Performance, Own Source R</w:t>
      </w:r>
      <w:r w:rsidR="00EC2D9F" w:rsidRPr="005B21C7">
        <w:rPr>
          <w:rFonts w:asciiTheme="minorHAnsi" w:hAnsiTheme="minorHAnsi"/>
        </w:rPr>
        <w:t>evenue, Building and Infrastructure Asset Re</w:t>
      </w:r>
      <w:r w:rsidR="00F83707">
        <w:rPr>
          <w:rFonts w:asciiTheme="minorHAnsi" w:hAnsiTheme="minorHAnsi"/>
        </w:rPr>
        <w:t>newal; Infrastructure Backlog; A</w:t>
      </w:r>
      <w:r w:rsidR="00EC2D9F" w:rsidRPr="005B21C7">
        <w:rPr>
          <w:rFonts w:asciiTheme="minorHAnsi" w:hAnsiTheme="minorHAnsi"/>
        </w:rPr>
        <w:t xml:space="preserve">sset </w:t>
      </w:r>
      <w:r w:rsidR="00F83707">
        <w:rPr>
          <w:rFonts w:asciiTheme="minorHAnsi" w:hAnsiTheme="minorHAnsi"/>
        </w:rPr>
        <w:t>Maintenance, Debt Service, and Real Operating E</w:t>
      </w:r>
      <w:r w:rsidR="00EF73CC">
        <w:rPr>
          <w:rFonts w:asciiTheme="minorHAnsi" w:hAnsiTheme="minorHAnsi"/>
        </w:rPr>
        <w:t>x</w:t>
      </w:r>
      <w:r w:rsidR="00F83707">
        <w:rPr>
          <w:rFonts w:asciiTheme="minorHAnsi" w:hAnsiTheme="minorHAnsi"/>
        </w:rPr>
        <w:t>penditure per C</w:t>
      </w:r>
      <w:r w:rsidR="00EF73CC">
        <w:rPr>
          <w:rFonts w:asciiTheme="minorHAnsi" w:hAnsiTheme="minorHAnsi"/>
        </w:rPr>
        <w:t>apita</w:t>
      </w:r>
      <w:r w:rsidR="00EC2D9F" w:rsidRPr="005B21C7">
        <w:rPr>
          <w:rFonts w:asciiTheme="minorHAnsi" w:hAnsiTheme="minorHAnsi"/>
        </w:rPr>
        <w:t xml:space="preserve"> over time. The result of this review is that Council is very close to achieving the required results by the NSW State Government</w:t>
      </w:r>
      <w:r w:rsidR="005B21C7">
        <w:rPr>
          <w:rFonts w:asciiTheme="minorHAnsi" w:hAnsiTheme="minorHAnsi"/>
        </w:rPr>
        <w:t xml:space="preserve"> </w:t>
      </w:r>
      <w:r w:rsidR="005B21C7">
        <w:t xml:space="preserve">to be </w:t>
      </w:r>
      <w:r w:rsidR="005B21C7" w:rsidRPr="009B303A">
        <w:rPr>
          <w:rFonts w:asciiTheme="minorHAnsi" w:hAnsiTheme="minorHAnsi"/>
        </w:rPr>
        <w:t>classified as a Financially Sustainable</w:t>
      </w:r>
      <w:r w:rsidR="00EC2D9F" w:rsidRPr="005B21C7">
        <w:rPr>
          <w:rFonts w:asciiTheme="minorHAnsi" w:hAnsiTheme="minorHAnsi"/>
        </w:rPr>
        <w:t xml:space="preserve">. </w:t>
      </w:r>
    </w:p>
    <w:p w:rsidR="00EC2D9F" w:rsidRPr="005B21C7" w:rsidRDefault="00EC2D9F" w:rsidP="00A94656">
      <w:pPr>
        <w:pStyle w:val="ListBullet"/>
        <w:numPr>
          <w:ilvl w:val="0"/>
          <w:numId w:val="0"/>
        </w:numPr>
        <w:spacing w:before="0" w:line="240" w:lineRule="auto"/>
        <w:rPr>
          <w:rFonts w:asciiTheme="minorHAnsi" w:hAnsiTheme="minorHAnsi"/>
        </w:rPr>
      </w:pPr>
    </w:p>
    <w:p w:rsidR="00D71136" w:rsidRDefault="0033462D" w:rsidP="00A94656">
      <w:pPr>
        <w:pStyle w:val="ListBullet"/>
        <w:numPr>
          <w:ilvl w:val="0"/>
          <w:numId w:val="0"/>
        </w:numPr>
        <w:spacing w:before="0" w:line="240" w:lineRule="auto"/>
        <w:rPr>
          <w:rFonts w:asciiTheme="minorHAnsi" w:hAnsiTheme="minorHAnsi"/>
        </w:rPr>
      </w:pPr>
      <w:r w:rsidRPr="005B21C7">
        <w:rPr>
          <w:rFonts w:asciiTheme="minorHAnsi" w:hAnsiTheme="minorHAnsi"/>
        </w:rPr>
        <w:t xml:space="preserve">Council is at a point were we could </w:t>
      </w:r>
      <w:r w:rsidR="0014132C" w:rsidRPr="005B21C7">
        <w:rPr>
          <w:rFonts w:asciiTheme="minorHAnsi" w:hAnsiTheme="minorHAnsi"/>
        </w:rPr>
        <w:t xml:space="preserve">continue to </w:t>
      </w:r>
      <w:r w:rsidR="006A6C79" w:rsidRPr="005B21C7">
        <w:rPr>
          <w:rFonts w:asciiTheme="minorHAnsi" w:hAnsiTheme="minorHAnsi"/>
        </w:rPr>
        <w:t>be financially sustainable, while reducing</w:t>
      </w:r>
      <w:r w:rsidRPr="005B21C7">
        <w:rPr>
          <w:rFonts w:asciiTheme="minorHAnsi" w:hAnsiTheme="minorHAnsi"/>
        </w:rPr>
        <w:t xml:space="preserve"> our </w:t>
      </w:r>
      <w:r w:rsidR="006A6C79" w:rsidRPr="005B21C7">
        <w:rPr>
          <w:rFonts w:asciiTheme="minorHAnsi" w:hAnsiTheme="minorHAnsi"/>
        </w:rPr>
        <w:t>Road Infrastructure B</w:t>
      </w:r>
      <w:r w:rsidRPr="005B21C7">
        <w:rPr>
          <w:rFonts w:asciiTheme="minorHAnsi" w:hAnsiTheme="minorHAnsi"/>
        </w:rPr>
        <w:t>acklog</w:t>
      </w:r>
      <w:r w:rsidR="006A6C79" w:rsidRPr="005B21C7">
        <w:rPr>
          <w:rFonts w:asciiTheme="minorHAnsi" w:hAnsiTheme="minorHAnsi"/>
        </w:rPr>
        <w:t>,</w:t>
      </w:r>
      <w:r w:rsidRPr="005B21C7">
        <w:rPr>
          <w:rFonts w:asciiTheme="minorHAnsi" w:hAnsiTheme="minorHAnsi"/>
        </w:rPr>
        <w:t xml:space="preserve"> if we </w:t>
      </w:r>
      <w:r w:rsidR="006A6C79" w:rsidRPr="005B21C7">
        <w:rPr>
          <w:rFonts w:asciiTheme="minorHAnsi" w:hAnsiTheme="minorHAnsi"/>
        </w:rPr>
        <w:t>are able to</w:t>
      </w:r>
      <w:r w:rsidR="0014132C" w:rsidRPr="005B21C7">
        <w:rPr>
          <w:rFonts w:asciiTheme="minorHAnsi" w:hAnsiTheme="minorHAnsi"/>
        </w:rPr>
        <w:t xml:space="preserve"> obtain additional</w:t>
      </w:r>
      <w:r w:rsidRPr="005B21C7">
        <w:rPr>
          <w:rFonts w:asciiTheme="minorHAnsi" w:hAnsiTheme="minorHAnsi"/>
        </w:rPr>
        <w:t xml:space="preserve"> revenue over the next 5 years</w:t>
      </w:r>
      <w:r w:rsidR="0014132C" w:rsidRPr="005B21C7">
        <w:rPr>
          <w:rFonts w:asciiTheme="minorHAnsi" w:hAnsiTheme="minorHAnsi"/>
        </w:rPr>
        <w:t>,</w:t>
      </w:r>
      <w:r w:rsidRPr="005B21C7">
        <w:rPr>
          <w:rFonts w:asciiTheme="minorHAnsi" w:hAnsiTheme="minorHAnsi"/>
        </w:rPr>
        <w:t xml:space="preserve"> </w:t>
      </w:r>
      <w:r w:rsidR="002466A0" w:rsidRPr="005B21C7">
        <w:rPr>
          <w:rFonts w:asciiTheme="minorHAnsi" w:hAnsiTheme="minorHAnsi"/>
        </w:rPr>
        <w:t>through a rate</w:t>
      </w:r>
      <w:r w:rsidRPr="005B21C7">
        <w:rPr>
          <w:rFonts w:asciiTheme="minorHAnsi" w:hAnsiTheme="minorHAnsi"/>
        </w:rPr>
        <w:t xml:space="preserve"> increase of 7.5% per year, rather than th</w:t>
      </w:r>
      <w:r w:rsidR="00B73F78" w:rsidRPr="005B21C7">
        <w:rPr>
          <w:rFonts w:asciiTheme="minorHAnsi" w:hAnsiTheme="minorHAnsi"/>
        </w:rPr>
        <w:t>e lower rate pegging percentage normally allowed.</w:t>
      </w:r>
    </w:p>
    <w:p w:rsidR="00D71136" w:rsidRDefault="00D71136" w:rsidP="00A94656">
      <w:pPr>
        <w:pStyle w:val="BodyText"/>
        <w:spacing w:before="0" w:line="240" w:lineRule="auto"/>
        <w:ind w:left="1"/>
        <w:rPr>
          <w:rFonts w:asciiTheme="minorHAnsi" w:hAnsiTheme="minorHAnsi"/>
        </w:rPr>
      </w:pPr>
    </w:p>
    <w:p w:rsidR="00275926" w:rsidRDefault="00275926" w:rsidP="00A94656">
      <w:pPr>
        <w:pStyle w:val="BodyText"/>
        <w:spacing w:before="0" w:line="240" w:lineRule="auto"/>
        <w:ind w:left="1"/>
        <w:rPr>
          <w:rFonts w:asciiTheme="minorHAnsi" w:hAnsiTheme="minorHAnsi"/>
        </w:rPr>
      </w:pPr>
      <w:r>
        <w:rPr>
          <w:rFonts w:asciiTheme="minorHAnsi" w:hAnsiTheme="minorHAnsi"/>
        </w:rPr>
        <w:t xml:space="preserve">As mentioned above, the March 2013 </w:t>
      </w:r>
      <w:proofErr w:type="spellStart"/>
      <w:r>
        <w:rPr>
          <w:rFonts w:asciiTheme="minorHAnsi" w:hAnsiTheme="minorHAnsi"/>
        </w:rPr>
        <w:t>TCorp</w:t>
      </w:r>
      <w:proofErr w:type="spellEnd"/>
      <w:r>
        <w:rPr>
          <w:rFonts w:asciiTheme="minorHAnsi" w:hAnsiTheme="minorHAnsi"/>
        </w:rPr>
        <w:t xml:space="preserve"> </w:t>
      </w:r>
      <w:r w:rsidRPr="00E254C7">
        <w:rPr>
          <w:rFonts w:asciiTheme="minorHAnsi" w:hAnsiTheme="minorHAnsi"/>
          <w:i/>
        </w:rPr>
        <w:t>Financial Assessment, Sustainability and Benchmarking Report</w:t>
      </w:r>
      <w:r>
        <w:rPr>
          <w:rFonts w:asciiTheme="minorHAnsi" w:hAnsiTheme="minorHAnsi"/>
        </w:rPr>
        <w:t xml:space="preserve"> assessed Oberon Council as being in a “sound Sustainability position” and recognised that there is a “need to address their Backlog and increase their expenditure on asset maintenance”. It reported that Council had a $16 million Infrastructure Backlog in 2012, of which 87% relates to public roads. </w:t>
      </w:r>
    </w:p>
    <w:p w:rsidR="00275926" w:rsidRDefault="00275926" w:rsidP="001C526A">
      <w:pPr>
        <w:pStyle w:val="BodyText"/>
        <w:spacing w:before="0" w:line="240" w:lineRule="auto"/>
        <w:ind w:left="2"/>
        <w:rPr>
          <w:rFonts w:asciiTheme="minorHAnsi" w:hAnsiTheme="minorHAnsi"/>
        </w:rPr>
      </w:pPr>
    </w:p>
    <w:p w:rsidR="00275926" w:rsidRDefault="00275926" w:rsidP="00306335">
      <w:pPr>
        <w:pStyle w:val="BodyText"/>
        <w:spacing w:before="0" w:line="240" w:lineRule="auto"/>
        <w:rPr>
          <w:rFonts w:asciiTheme="minorHAnsi" w:hAnsiTheme="minorHAnsi"/>
        </w:rPr>
      </w:pPr>
      <w:r>
        <w:rPr>
          <w:rFonts w:asciiTheme="minorHAnsi" w:hAnsiTheme="minorHAnsi"/>
        </w:rPr>
        <w:t>The Re</w:t>
      </w:r>
      <w:r w:rsidR="00F83707">
        <w:rPr>
          <w:rFonts w:asciiTheme="minorHAnsi" w:hAnsiTheme="minorHAnsi"/>
        </w:rPr>
        <w:t>port also noted that Council’s Own Source Operating Revenue R</w:t>
      </w:r>
      <w:r>
        <w:rPr>
          <w:rFonts w:asciiTheme="minorHAnsi" w:hAnsiTheme="minorHAnsi"/>
        </w:rPr>
        <w:t xml:space="preserve">atio has been below benchmark each year of the review and it did not have sufficient flexibility which forces it to rely on revenue streams outside of its control. With an infrastructure backlog of 13.3% of its infrastructure asset value, Council has a relatively high level of backlog. Council </w:t>
      </w:r>
      <w:r w:rsidR="00306335">
        <w:rPr>
          <w:rFonts w:asciiTheme="minorHAnsi" w:hAnsiTheme="minorHAnsi"/>
        </w:rPr>
        <w:t>recognises</w:t>
      </w:r>
      <w:r>
        <w:rPr>
          <w:rFonts w:asciiTheme="minorHAnsi" w:hAnsiTheme="minorHAnsi"/>
        </w:rPr>
        <w:t xml:space="preserve"> that without funding to decrease the current backlog its assets will deteriorate, the backlog may increase and the level of service</w:t>
      </w:r>
      <w:r w:rsidR="00306335">
        <w:rPr>
          <w:rFonts w:asciiTheme="minorHAnsi" w:hAnsiTheme="minorHAnsi"/>
        </w:rPr>
        <w:t>s</w:t>
      </w:r>
      <w:r>
        <w:rPr>
          <w:rFonts w:asciiTheme="minorHAnsi" w:hAnsiTheme="minorHAnsi"/>
        </w:rPr>
        <w:t xml:space="preserve"> may be reduced.</w:t>
      </w:r>
    </w:p>
    <w:p w:rsidR="00FF0765" w:rsidRDefault="00FF0765" w:rsidP="004E396E">
      <w:pPr>
        <w:pStyle w:val="BodyText"/>
        <w:spacing w:before="0" w:line="240" w:lineRule="auto"/>
        <w:rPr>
          <w:rFonts w:asciiTheme="minorHAnsi" w:hAnsiTheme="minorHAnsi"/>
        </w:rPr>
      </w:pPr>
    </w:p>
    <w:p w:rsidR="00FF0765" w:rsidRDefault="00FF0765" w:rsidP="00306335">
      <w:pPr>
        <w:pStyle w:val="BodyText"/>
        <w:spacing w:before="0" w:line="240" w:lineRule="auto"/>
        <w:rPr>
          <w:rFonts w:asciiTheme="minorHAnsi" w:hAnsiTheme="minorHAnsi"/>
        </w:rPr>
      </w:pPr>
      <w:r>
        <w:rPr>
          <w:rFonts w:asciiTheme="minorHAnsi" w:hAnsiTheme="minorHAnsi"/>
        </w:rPr>
        <w:t>Council recognise the use of debt could be a useful tool to assist with the reduction of the infrastructure backlog and have recently obtained a $1.6 million Local Infrastructure Renewal</w:t>
      </w:r>
      <w:r w:rsidR="00331DE0">
        <w:rPr>
          <w:rFonts w:asciiTheme="minorHAnsi" w:hAnsiTheme="minorHAnsi"/>
        </w:rPr>
        <w:t xml:space="preserve"> Scheme loan for the Mayfield Road upgrade.</w:t>
      </w:r>
      <w:r w:rsidR="00306335">
        <w:rPr>
          <w:rFonts w:asciiTheme="minorHAnsi" w:hAnsiTheme="minorHAnsi"/>
        </w:rPr>
        <w:t xml:space="preserve"> This is a loan over 10 years with a 3 percent subsidy provided by the State Government.</w:t>
      </w:r>
    </w:p>
    <w:p w:rsidR="00576F7F" w:rsidRDefault="00576F7F" w:rsidP="00AA3FEA">
      <w:pPr>
        <w:pStyle w:val="Heading2"/>
        <w:tabs>
          <w:tab w:val="clear" w:pos="709"/>
          <w:tab w:val="num" w:pos="567"/>
        </w:tabs>
        <w:ind w:left="567" w:hanging="567"/>
      </w:pPr>
      <w:bookmarkStart w:id="15" w:name="_Toc409776047"/>
      <w:r>
        <w:t>Financial indicators</w:t>
      </w:r>
      <w:bookmarkEnd w:id="15"/>
    </w:p>
    <w:p w:rsidR="00634BE3" w:rsidRDefault="00634BE3" w:rsidP="00AC5325">
      <w:pPr>
        <w:pStyle w:val="BodyText"/>
        <w:spacing w:before="0" w:line="240" w:lineRule="auto"/>
        <w:rPr>
          <w:highlight w:val="yellow"/>
        </w:rPr>
      </w:pPr>
    </w:p>
    <w:p w:rsidR="0092678E" w:rsidRPr="0092678E" w:rsidRDefault="0092678E" w:rsidP="0092678E">
      <w:pPr>
        <w:jc w:val="both"/>
        <w:rPr>
          <w:rFonts w:asciiTheme="minorHAnsi" w:hAnsiTheme="minorHAnsi"/>
        </w:rPr>
      </w:pPr>
      <w:r w:rsidRPr="0092678E">
        <w:rPr>
          <w:rFonts w:asciiTheme="minorHAnsi" w:hAnsiTheme="minorHAnsi"/>
        </w:rPr>
        <w:t xml:space="preserve">An application has been submitted under Transport NSW’s Fixing Country Roads grant program to upgrade two local roads </w:t>
      </w:r>
      <w:r w:rsidR="006F3D78">
        <w:rPr>
          <w:rFonts w:asciiTheme="minorHAnsi" w:hAnsiTheme="minorHAnsi"/>
        </w:rPr>
        <w:t xml:space="preserve">(Beaconsfield and </w:t>
      </w:r>
      <w:proofErr w:type="spellStart"/>
      <w:r w:rsidR="006F3D78">
        <w:rPr>
          <w:rFonts w:asciiTheme="minorHAnsi" w:hAnsiTheme="minorHAnsi"/>
        </w:rPr>
        <w:t>Sewells</w:t>
      </w:r>
      <w:proofErr w:type="spellEnd"/>
      <w:r w:rsidR="006F3D78">
        <w:rPr>
          <w:rFonts w:asciiTheme="minorHAnsi" w:hAnsiTheme="minorHAnsi"/>
        </w:rPr>
        <w:t xml:space="preserve"> Creek) </w:t>
      </w:r>
      <w:r w:rsidRPr="0092678E">
        <w:rPr>
          <w:rFonts w:asciiTheme="minorHAnsi" w:hAnsiTheme="minorHAnsi"/>
        </w:rPr>
        <w:t>to improve freight efficiencies and safety of the freight task for the softwood timber industry which is critical to the economy of the Oberon LGA</w:t>
      </w:r>
      <w:r>
        <w:rPr>
          <w:rFonts w:asciiTheme="minorHAnsi" w:hAnsiTheme="minorHAnsi"/>
        </w:rPr>
        <w:t>. Total project cost is $990,000.</w:t>
      </w:r>
    </w:p>
    <w:p w:rsidR="00056C15" w:rsidRDefault="00056C15">
      <w:pPr>
        <w:rPr>
          <w:rFonts w:asciiTheme="minorHAnsi" w:hAnsiTheme="minorHAnsi"/>
        </w:rPr>
      </w:pPr>
    </w:p>
    <w:tbl>
      <w:tblPr>
        <w:tblW w:w="9048" w:type="dxa"/>
        <w:tblInd w:w="93" w:type="dxa"/>
        <w:tblLook w:val="04A0" w:firstRow="1" w:lastRow="0" w:firstColumn="1" w:lastColumn="0" w:noHBand="0" w:noVBand="1"/>
      </w:tblPr>
      <w:tblGrid>
        <w:gridCol w:w="3843"/>
        <w:gridCol w:w="1275"/>
        <w:gridCol w:w="262"/>
        <w:gridCol w:w="917"/>
        <w:gridCol w:w="917"/>
        <w:gridCol w:w="917"/>
        <w:gridCol w:w="917"/>
      </w:tblGrid>
      <w:tr w:rsidR="0002252B" w:rsidRPr="00056C15" w:rsidTr="00537266">
        <w:trPr>
          <w:trHeight w:val="300"/>
        </w:trPr>
        <w:tc>
          <w:tcPr>
            <w:tcW w:w="9048" w:type="dxa"/>
            <w:gridSpan w:val="7"/>
            <w:tcBorders>
              <w:top w:val="nil"/>
              <w:left w:val="nil"/>
              <w:bottom w:val="nil"/>
              <w:right w:val="nil"/>
            </w:tcBorders>
            <w:shd w:val="clear" w:color="auto" w:fill="auto"/>
            <w:noWrap/>
            <w:vAlign w:val="bottom"/>
            <w:hideMark/>
          </w:tcPr>
          <w:p w:rsidR="0002252B" w:rsidRPr="0002252B" w:rsidRDefault="0002252B" w:rsidP="0002252B">
            <w:pPr>
              <w:spacing w:before="120" w:after="120"/>
              <w:rPr>
                <w:rFonts w:ascii="Calibri" w:hAnsi="Calibri"/>
                <w:b/>
                <w:bCs/>
                <w:sz w:val="20"/>
                <w:szCs w:val="20"/>
              </w:rPr>
            </w:pPr>
            <w:r w:rsidRPr="00056C15">
              <w:rPr>
                <w:rFonts w:ascii="Calibri" w:hAnsi="Calibri"/>
                <w:b/>
                <w:bCs/>
                <w:sz w:val="20"/>
                <w:szCs w:val="20"/>
              </w:rPr>
              <w:t xml:space="preserve">FINANCIAL PERFORMANCE INDICATORS - </w:t>
            </w:r>
            <w:r w:rsidRPr="00056C15">
              <w:rPr>
                <w:rFonts w:ascii="Calibri" w:hAnsi="Calibri"/>
                <w:b/>
                <w:bCs/>
                <w:color w:val="FF0000"/>
                <w:sz w:val="20"/>
                <w:szCs w:val="20"/>
              </w:rPr>
              <w:t>GENERAL FUND</w:t>
            </w:r>
          </w:p>
        </w:tc>
      </w:tr>
      <w:tr w:rsidR="00056C15" w:rsidRPr="00056C15" w:rsidTr="00056C15">
        <w:trPr>
          <w:trHeight w:val="300"/>
        </w:trPr>
        <w:tc>
          <w:tcPr>
            <w:tcW w:w="3843"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rPr>
                <w:rFonts w:ascii="Calibri" w:hAnsi="Calibri"/>
                <w:b/>
                <w:bCs/>
                <w:sz w:val="20"/>
                <w:szCs w:val="20"/>
              </w:rPr>
            </w:pPr>
            <w:r w:rsidRPr="00056C15">
              <w:rPr>
                <w:rFonts w:ascii="Calibri" w:hAnsi="Calibri"/>
                <w:b/>
                <w:bCs/>
                <w:sz w:val="20"/>
                <w:szCs w:val="20"/>
              </w:rPr>
              <w:t>Scenario: 7.5% Ordinary Rate Increase</w:t>
            </w:r>
          </w:p>
        </w:tc>
        <w:tc>
          <w:tcPr>
            <w:tcW w:w="1275"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2014/15</w:t>
            </w:r>
          </w:p>
        </w:tc>
        <w:tc>
          <w:tcPr>
            <w:tcW w:w="262" w:type="dxa"/>
            <w:tcBorders>
              <w:top w:val="nil"/>
              <w:left w:val="nil"/>
              <w:bottom w:val="single" w:sz="4" w:space="0" w:color="auto"/>
              <w:right w:val="nil"/>
            </w:tcBorders>
            <w:shd w:val="clear" w:color="000000" w:fill="D9D9D9"/>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 </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2015/16</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2016/17</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2017/18</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2018/19</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342023" w:rsidP="008969AA">
            <w:pPr>
              <w:spacing w:before="60" w:after="60"/>
              <w:rPr>
                <w:rFonts w:ascii="Calibri" w:hAnsi="Calibri"/>
                <w:sz w:val="20"/>
                <w:szCs w:val="20"/>
              </w:rPr>
            </w:pPr>
            <w:r>
              <w:rPr>
                <w:rFonts w:ascii="Calibri" w:hAnsi="Calibri"/>
                <w:sz w:val="20"/>
                <w:szCs w:val="20"/>
              </w:rPr>
              <w:t>Operating Performance Ratio 2</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-4.68%</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-1.11%</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-1.56%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0.50%</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0.99%</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Unrestricted Current Ratio</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3.27</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3.56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4.23</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4.53</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4.97</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Debt Service Ratio</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1.28%</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2.12%</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2.29%</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1.96%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1.99%</w:t>
            </w:r>
          </w:p>
        </w:tc>
      </w:tr>
      <w:tr w:rsidR="00056C15" w:rsidRPr="00056C15" w:rsidTr="00056C15">
        <w:trPr>
          <w:trHeight w:val="300"/>
        </w:trPr>
        <w:tc>
          <w:tcPr>
            <w:tcW w:w="3843"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Capital Expenditure Ratio</w:t>
            </w:r>
          </w:p>
        </w:tc>
        <w:tc>
          <w:tcPr>
            <w:tcW w:w="1275"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2.21</w:t>
            </w:r>
          </w:p>
        </w:tc>
        <w:tc>
          <w:tcPr>
            <w:tcW w:w="262" w:type="dxa"/>
            <w:tcBorders>
              <w:top w:val="nil"/>
              <w:left w:val="nil"/>
              <w:bottom w:val="single" w:sz="4" w:space="0" w:color="auto"/>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1.12</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1.03</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1.06</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1.03</w:t>
            </w:r>
          </w:p>
        </w:tc>
      </w:tr>
    </w:tbl>
    <w:p w:rsidR="0002252B" w:rsidRDefault="0002252B"/>
    <w:p w:rsidR="0002252B" w:rsidRDefault="0002252B"/>
    <w:tbl>
      <w:tblPr>
        <w:tblW w:w="9048" w:type="dxa"/>
        <w:tblInd w:w="93" w:type="dxa"/>
        <w:tblLook w:val="04A0" w:firstRow="1" w:lastRow="0" w:firstColumn="1" w:lastColumn="0" w:noHBand="0" w:noVBand="1"/>
      </w:tblPr>
      <w:tblGrid>
        <w:gridCol w:w="3843"/>
        <w:gridCol w:w="1275"/>
        <w:gridCol w:w="262"/>
        <w:gridCol w:w="917"/>
        <w:gridCol w:w="917"/>
        <w:gridCol w:w="917"/>
        <w:gridCol w:w="917"/>
      </w:tblGrid>
      <w:tr w:rsidR="00056C15" w:rsidRPr="00056C15" w:rsidTr="001C2238">
        <w:trPr>
          <w:trHeight w:val="300"/>
        </w:trPr>
        <w:tc>
          <w:tcPr>
            <w:tcW w:w="5118" w:type="dxa"/>
            <w:gridSpan w:val="2"/>
            <w:tcBorders>
              <w:top w:val="nil"/>
              <w:left w:val="nil"/>
              <w:bottom w:val="nil"/>
              <w:right w:val="nil"/>
            </w:tcBorders>
            <w:shd w:val="clear" w:color="auto" w:fill="auto"/>
            <w:noWrap/>
            <w:vAlign w:val="bottom"/>
            <w:hideMark/>
          </w:tcPr>
          <w:p w:rsidR="00056C15" w:rsidRPr="00056C15" w:rsidRDefault="00056C15" w:rsidP="0002252B">
            <w:pPr>
              <w:spacing w:before="120" w:after="120"/>
              <w:jc w:val="both"/>
              <w:rPr>
                <w:rFonts w:ascii="Calibri" w:hAnsi="Calibri"/>
                <w:color w:val="000000"/>
                <w:sz w:val="20"/>
                <w:szCs w:val="20"/>
              </w:rPr>
            </w:pPr>
            <w:r w:rsidRPr="00056C15">
              <w:rPr>
                <w:rFonts w:ascii="Calibri" w:hAnsi="Calibri"/>
                <w:b/>
                <w:bCs/>
                <w:sz w:val="20"/>
                <w:szCs w:val="20"/>
              </w:rPr>
              <w:t xml:space="preserve">FINANCIAL PERFORMANCE INDICATORS - </w:t>
            </w:r>
            <w:r w:rsidRPr="00056C15">
              <w:rPr>
                <w:rFonts w:ascii="Calibri" w:hAnsi="Calibri"/>
                <w:b/>
                <w:bCs/>
                <w:color w:val="FF0000"/>
                <w:sz w:val="20"/>
                <w:szCs w:val="20"/>
              </w:rPr>
              <w:t>CONSOLIDATED</w:t>
            </w:r>
          </w:p>
        </w:tc>
        <w:tc>
          <w:tcPr>
            <w:tcW w:w="262" w:type="dxa"/>
            <w:tcBorders>
              <w:top w:val="nil"/>
              <w:left w:val="nil"/>
              <w:bottom w:val="nil"/>
              <w:right w:val="nil"/>
            </w:tcBorders>
            <w:shd w:val="clear" w:color="auto" w:fill="auto"/>
            <w:noWrap/>
            <w:vAlign w:val="bottom"/>
            <w:hideMark/>
          </w:tcPr>
          <w:p w:rsidR="00056C15" w:rsidRPr="00056C15" w:rsidRDefault="00056C15" w:rsidP="0002252B">
            <w:pPr>
              <w:spacing w:before="120" w:after="120"/>
              <w:rPr>
                <w:rFonts w:ascii="Calibri" w:hAnsi="Calibri"/>
                <w:color w:val="000000"/>
                <w:sz w:val="20"/>
                <w:szCs w:val="20"/>
              </w:rPr>
            </w:pPr>
          </w:p>
        </w:tc>
        <w:tc>
          <w:tcPr>
            <w:tcW w:w="917" w:type="dxa"/>
            <w:tcBorders>
              <w:top w:val="nil"/>
              <w:left w:val="nil"/>
              <w:bottom w:val="nil"/>
              <w:right w:val="nil"/>
            </w:tcBorders>
            <w:shd w:val="clear" w:color="auto" w:fill="auto"/>
            <w:noWrap/>
            <w:vAlign w:val="bottom"/>
            <w:hideMark/>
          </w:tcPr>
          <w:p w:rsidR="00056C15" w:rsidRPr="00056C15" w:rsidRDefault="00056C15" w:rsidP="0002252B">
            <w:pPr>
              <w:spacing w:before="120" w:after="120"/>
              <w:rPr>
                <w:rFonts w:ascii="Calibri" w:hAnsi="Calibri"/>
                <w:color w:val="000000"/>
                <w:sz w:val="20"/>
                <w:szCs w:val="20"/>
              </w:rPr>
            </w:pPr>
          </w:p>
        </w:tc>
        <w:tc>
          <w:tcPr>
            <w:tcW w:w="917" w:type="dxa"/>
            <w:tcBorders>
              <w:top w:val="nil"/>
              <w:left w:val="nil"/>
              <w:bottom w:val="nil"/>
              <w:right w:val="nil"/>
            </w:tcBorders>
            <w:shd w:val="clear" w:color="auto" w:fill="auto"/>
            <w:noWrap/>
            <w:vAlign w:val="bottom"/>
            <w:hideMark/>
          </w:tcPr>
          <w:p w:rsidR="00056C15" w:rsidRPr="00056C15" w:rsidRDefault="00056C15" w:rsidP="0002252B">
            <w:pPr>
              <w:spacing w:before="120" w:after="120"/>
              <w:rPr>
                <w:rFonts w:ascii="Calibri" w:hAnsi="Calibri"/>
                <w:color w:val="000000"/>
                <w:sz w:val="20"/>
                <w:szCs w:val="20"/>
              </w:rPr>
            </w:pPr>
          </w:p>
        </w:tc>
        <w:tc>
          <w:tcPr>
            <w:tcW w:w="917" w:type="dxa"/>
            <w:tcBorders>
              <w:top w:val="nil"/>
              <w:left w:val="nil"/>
              <w:bottom w:val="nil"/>
              <w:right w:val="nil"/>
            </w:tcBorders>
            <w:shd w:val="clear" w:color="auto" w:fill="auto"/>
            <w:noWrap/>
            <w:vAlign w:val="bottom"/>
            <w:hideMark/>
          </w:tcPr>
          <w:p w:rsidR="00056C15" w:rsidRPr="00056C15" w:rsidRDefault="00056C15" w:rsidP="0002252B">
            <w:pPr>
              <w:spacing w:before="120" w:after="120"/>
              <w:rPr>
                <w:rFonts w:ascii="Calibri" w:hAnsi="Calibri"/>
                <w:color w:val="000000"/>
                <w:sz w:val="20"/>
                <w:szCs w:val="20"/>
              </w:rPr>
            </w:pPr>
          </w:p>
        </w:tc>
        <w:tc>
          <w:tcPr>
            <w:tcW w:w="917" w:type="dxa"/>
            <w:tcBorders>
              <w:top w:val="nil"/>
              <w:left w:val="nil"/>
              <w:bottom w:val="nil"/>
              <w:right w:val="nil"/>
            </w:tcBorders>
            <w:shd w:val="clear" w:color="auto" w:fill="auto"/>
            <w:noWrap/>
            <w:vAlign w:val="bottom"/>
            <w:hideMark/>
          </w:tcPr>
          <w:p w:rsidR="00056C15" w:rsidRPr="00056C15" w:rsidRDefault="00056C15" w:rsidP="0002252B">
            <w:pPr>
              <w:spacing w:before="120" w:after="120"/>
              <w:rPr>
                <w:rFonts w:ascii="Calibri" w:hAnsi="Calibri"/>
                <w:color w:val="000000"/>
                <w:sz w:val="20"/>
                <w:szCs w:val="20"/>
              </w:rPr>
            </w:pPr>
          </w:p>
        </w:tc>
      </w:tr>
      <w:tr w:rsidR="00056C15" w:rsidRPr="00056C15" w:rsidTr="00056C15">
        <w:trPr>
          <w:trHeight w:val="300"/>
        </w:trPr>
        <w:tc>
          <w:tcPr>
            <w:tcW w:w="3843"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rPr>
                <w:rFonts w:ascii="Calibri" w:hAnsi="Calibri"/>
                <w:b/>
                <w:bCs/>
                <w:sz w:val="20"/>
                <w:szCs w:val="20"/>
              </w:rPr>
            </w:pPr>
            <w:r w:rsidRPr="00056C15">
              <w:rPr>
                <w:rFonts w:ascii="Calibri" w:hAnsi="Calibri"/>
                <w:b/>
                <w:bCs/>
                <w:sz w:val="20"/>
                <w:szCs w:val="20"/>
              </w:rPr>
              <w:t>Scenario: 7.5% Ordinary Rate Increase</w:t>
            </w:r>
          </w:p>
        </w:tc>
        <w:tc>
          <w:tcPr>
            <w:tcW w:w="1275"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2014/15</w:t>
            </w:r>
          </w:p>
        </w:tc>
        <w:tc>
          <w:tcPr>
            <w:tcW w:w="262" w:type="dxa"/>
            <w:tcBorders>
              <w:top w:val="nil"/>
              <w:left w:val="nil"/>
              <w:bottom w:val="single" w:sz="4" w:space="0" w:color="auto"/>
              <w:right w:val="nil"/>
            </w:tcBorders>
            <w:shd w:val="clear" w:color="000000" w:fill="D9D9D9"/>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 </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2015/16</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2016/17</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2017/18</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b/>
                <w:bCs/>
                <w:sz w:val="20"/>
                <w:szCs w:val="20"/>
              </w:rPr>
            </w:pPr>
            <w:r w:rsidRPr="00056C15">
              <w:rPr>
                <w:rFonts w:ascii="Calibri" w:hAnsi="Calibri"/>
                <w:b/>
                <w:bCs/>
                <w:sz w:val="20"/>
                <w:szCs w:val="20"/>
              </w:rPr>
              <w:t>2018/19</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xml:space="preserve">Operating </w:t>
            </w:r>
            <w:r w:rsidR="00342023">
              <w:rPr>
                <w:rFonts w:ascii="Calibri" w:hAnsi="Calibri"/>
                <w:sz w:val="20"/>
                <w:szCs w:val="20"/>
              </w:rPr>
              <w:t>Performance Ratio 2</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-6.21%</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-2.36%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-2.94%</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-0.26%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0.83%</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Unrestricted Current Ratio</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3.66</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3.97</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4.57</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5.00</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5.38</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Building &amp; Infrastructure Renewals Ratio</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111.82%</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99.74%</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90.40%</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114.13%</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100.31%</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Asset Renewal Ratio (all assets)</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161.80%</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115.44%</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109.56%</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115.70%</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105.09%</w:t>
            </w:r>
          </w:p>
        </w:tc>
      </w:tr>
      <w:tr w:rsidR="00056C15" w:rsidRPr="00056C15" w:rsidTr="00056C15">
        <w:trPr>
          <w:trHeight w:val="300"/>
        </w:trPr>
        <w:tc>
          <w:tcPr>
            <w:tcW w:w="3843" w:type="dxa"/>
            <w:tcBorders>
              <w:top w:val="nil"/>
              <w:left w:val="nil"/>
              <w:bottom w:val="nil"/>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Capital Expenditure Ratio</w:t>
            </w:r>
          </w:p>
        </w:tc>
        <w:tc>
          <w:tcPr>
            <w:tcW w:w="1275"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2.17</w:t>
            </w:r>
          </w:p>
        </w:tc>
        <w:tc>
          <w:tcPr>
            <w:tcW w:w="262" w:type="dxa"/>
            <w:tcBorders>
              <w:top w:val="nil"/>
              <w:left w:val="nil"/>
              <w:bottom w:val="nil"/>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1.34</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1.18</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1.24</w:t>
            </w:r>
          </w:p>
        </w:tc>
        <w:tc>
          <w:tcPr>
            <w:tcW w:w="917" w:type="dxa"/>
            <w:tcBorders>
              <w:top w:val="nil"/>
              <w:left w:val="nil"/>
              <w:bottom w:val="nil"/>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1.13</w:t>
            </w:r>
          </w:p>
        </w:tc>
      </w:tr>
      <w:tr w:rsidR="00056C15" w:rsidRPr="00056C15" w:rsidTr="00056C15">
        <w:trPr>
          <w:trHeight w:val="300"/>
        </w:trPr>
        <w:tc>
          <w:tcPr>
            <w:tcW w:w="3843"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Debt Service Ratio</w:t>
            </w:r>
          </w:p>
        </w:tc>
        <w:tc>
          <w:tcPr>
            <w:tcW w:w="1275"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1.33%</w:t>
            </w:r>
          </w:p>
        </w:tc>
        <w:tc>
          <w:tcPr>
            <w:tcW w:w="262" w:type="dxa"/>
            <w:tcBorders>
              <w:top w:val="nil"/>
              <w:left w:val="nil"/>
              <w:bottom w:val="single" w:sz="4" w:space="0" w:color="auto"/>
              <w:right w:val="nil"/>
            </w:tcBorders>
            <w:shd w:val="clear" w:color="000000" w:fill="D9D9D9"/>
            <w:noWrap/>
            <w:vAlign w:val="bottom"/>
            <w:hideMark/>
          </w:tcPr>
          <w:p w:rsidR="00056C15" w:rsidRPr="00056C15" w:rsidRDefault="00056C15" w:rsidP="008969AA">
            <w:pPr>
              <w:spacing w:before="60" w:after="60"/>
              <w:rPr>
                <w:rFonts w:ascii="Calibri" w:hAnsi="Calibri"/>
                <w:sz w:val="20"/>
                <w:szCs w:val="20"/>
              </w:rPr>
            </w:pPr>
            <w:r w:rsidRPr="00056C15">
              <w:rPr>
                <w:rFonts w:ascii="Calibri" w:hAnsi="Calibri"/>
                <w:sz w:val="20"/>
                <w:szCs w:val="20"/>
              </w:rPr>
              <w:t> </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2.51%</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3.17%</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3.32%</w:t>
            </w:r>
          </w:p>
        </w:tc>
        <w:tc>
          <w:tcPr>
            <w:tcW w:w="917" w:type="dxa"/>
            <w:tcBorders>
              <w:top w:val="nil"/>
              <w:left w:val="nil"/>
              <w:bottom w:val="single" w:sz="4" w:space="0" w:color="auto"/>
              <w:right w:val="nil"/>
            </w:tcBorders>
            <w:shd w:val="clear" w:color="auto" w:fill="auto"/>
            <w:noWrap/>
            <w:vAlign w:val="bottom"/>
            <w:hideMark/>
          </w:tcPr>
          <w:p w:rsidR="00056C15" w:rsidRPr="00056C15" w:rsidRDefault="00056C15" w:rsidP="008969AA">
            <w:pPr>
              <w:spacing w:before="60" w:after="60"/>
              <w:jc w:val="right"/>
              <w:rPr>
                <w:rFonts w:ascii="Calibri" w:hAnsi="Calibri"/>
                <w:sz w:val="20"/>
                <w:szCs w:val="20"/>
              </w:rPr>
            </w:pPr>
            <w:r w:rsidRPr="00056C15">
              <w:rPr>
                <w:rFonts w:ascii="Calibri" w:hAnsi="Calibri"/>
                <w:sz w:val="20"/>
                <w:szCs w:val="20"/>
              </w:rPr>
              <w:t>3.65%</w:t>
            </w:r>
          </w:p>
        </w:tc>
      </w:tr>
    </w:tbl>
    <w:p w:rsidR="00056C15" w:rsidRPr="00056C15" w:rsidRDefault="00056C15">
      <w:pPr>
        <w:rPr>
          <w:rFonts w:asciiTheme="minorHAnsi" w:hAnsiTheme="minorHAnsi"/>
        </w:rPr>
      </w:pPr>
    </w:p>
    <w:p w:rsidR="004B58E6" w:rsidRDefault="004B58E6" w:rsidP="00103E53">
      <w:pPr>
        <w:pStyle w:val="Heading2"/>
        <w:tabs>
          <w:tab w:val="clear" w:pos="709"/>
          <w:tab w:val="num" w:pos="567"/>
        </w:tabs>
        <w:ind w:left="567" w:hanging="567"/>
      </w:pPr>
      <w:bookmarkStart w:id="16" w:name="_Toc409776048"/>
      <w:r>
        <w:t>Contribution plan costs above the cap</w:t>
      </w:r>
      <w:bookmarkEnd w:id="16"/>
    </w:p>
    <w:p w:rsidR="000F0C96" w:rsidRDefault="000F0C96" w:rsidP="000F0C96">
      <w:pPr>
        <w:pStyle w:val="ListBullet"/>
        <w:numPr>
          <w:ilvl w:val="0"/>
          <w:numId w:val="0"/>
        </w:numPr>
        <w:spacing w:before="0" w:line="240" w:lineRule="auto"/>
        <w:rPr>
          <w:rFonts w:asciiTheme="minorHAnsi" w:hAnsiTheme="minorHAnsi"/>
          <w:szCs w:val="22"/>
        </w:rPr>
      </w:pPr>
    </w:p>
    <w:p w:rsidR="00D77B17" w:rsidRPr="000F0C96" w:rsidRDefault="000F0C96" w:rsidP="00F42360">
      <w:pPr>
        <w:pStyle w:val="ListBullet"/>
        <w:numPr>
          <w:ilvl w:val="0"/>
          <w:numId w:val="0"/>
        </w:numPr>
        <w:spacing w:before="0" w:line="240" w:lineRule="auto"/>
        <w:ind w:left="567"/>
        <w:rPr>
          <w:rFonts w:asciiTheme="minorHAnsi" w:hAnsiTheme="minorHAnsi"/>
          <w:szCs w:val="22"/>
        </w:rPr>
      </w:pPr>
      <w:r w:rsidRPr="000F0C96">
        <w:rPr>
          <w:rFonts w:asciiTheme="minorHAnsi" w:hAnsiTheme="minorHAnsi"/>
          <w:szCs w:val="22"/>
        </w:rPr>
        <w:t>Not applicable</w:t>
      </w:r>
    </w:p>
    <w:p w:rsidR="000F359C" w:rsidRDefault="000F359C" w:rsidP="00103E53">
      <w:pPr>
        <w:pStyle w:val="Heading1"/>
        <w:tabs>
          <w:tab w:val="clear" w:pos="709"/>
        </w:tabs>
        <w:ind w:left="567" w:hanging="567"/>
      </w:pPr>
      <w:bookmarkStart w:id="17" w:name="_Toc409776049"/>
      <w:r>
        <w:t>Assessment criterion 2: Community awareness and engagement</w:t>
      </w:r>
      <w:bookmarkEnd w:id="17"/>
    </w:p>
    <w:p w:rsidR="0004261E" w:rsidRPr="0004261E" w:rsidRDefault="0004261E" w:rsidP="0004261E">
      <w:pPr>
        <w:pStyle w:val="BodyText"/>
        <w:spacing w:before="0" w:line="240" w:lineRule="auto"/>
        <w:ind w:left="567"/>
        <w:rPr>
          <w:rFonts w:asciiTheme="minorHAnsi" w:hAnsiTheme="minorHAnsi"/>
        </w:rPr>
      </w:pPr>
    </w:p>
    <w:p w:rsidR="0004261E" w:rsidRDefault="0004261E" w:rsidP="00103E53">
      <w:pPr>
        <w:pStyle w:val="BodyText"/>
        <w:spacing w:before="0" w:line="240" w:lineRule="auto"/>
        <w:rPr>
          <w:rFonts w:asciiTheme="minorHAnsi" w:hAnsiTheme="minorHAnsi"/>
        </w:rPr>
      </w:pPr>
      <w:r w:rsidRPr="0004261E">
        <w:rPr>
          <w:rFonts w:asciiTheme="minorHAnsi" w:hAnsiTheme="minorHAnsi"/>
        </w:rPr>
        <w:t>Oberon Council has consulted and e</w:t>
      </w:r>
      <w:r w:rsidR="004E396E">
        <w:rPr>
          <w:rFonts w:asciiTheme="minorHAnsi" w:hAnsiTheme="minorHAnsi"/>
        </w:rPr>
        <w:t>ngaged our community about the S</w:t>
      </w:r>
      <w:r w:rsidRPr="0004261E">
        <w:rPr>
          <w:rFonts w:asciiTheme="minorHAnsi" w:hAnsiTheme="minorHAnsi"/>
        </w:rPr>
        <w:t xml:space="preserve">pecial </w:t>
      </w:r>
      <w:r w:rsidR="004E396E">
        <w:rPr>
          <w:rFonts w:asciiTheme="minorHAnsi" w:hAnsiTheme="minorHAnsi"/>
        </w:rPr>
        <w:t>R</w:t>
      </w:r>
      <w:r w:rsidR="00A44720">
        <w:rPr>
          <w:rFonts w:asciiTheme="minorHAnsi" w:hAnsiTheme="minorHAnsi"/>
        </w:rPr>
        <w:t xml:space="preserve">ate </w:t>
      </w:r>
      <w:r w:rsidR="004E396E">
        <w:rPr>
          <w:rFonts w:asciiTheme="minorHAnsi" w:hAnsiTheme="minorHAnsi"/>
        </w:rPr>
        <w:t>V</w:t>
      </w:r>
      <w:r w:rsidRPr="0004261E">
        <w:rPr>
          <w:rFonts w:asciiTheme="minorHAnsi" w:hAnsiTheme="minorHAnsi"/>
        </w:rPr>
        <w:t xml:space="preserve">ariation using a variety of engagement methods </w:t>
      </w:r>
      <w:r w:rsidR="00F42360">
        <w:rPr>
          <w:rFonts w:asciiTheme="minorHAnsi" w:hAnsiTheme="minorHAnsi"/>
        </w:rPr>
        <w:t>to ensure</w:t>
      </w:r>
      <w:r w:rsidRPr="0004261E">
        <w:rPr>
          <w:rFonts w:asciiTheme="minorHAnsi" w:hAnsiTheme="minorHAnsi"/>
        </w:rPr>
        <w:t xml:space="preserve"> that the community is aware of the need for, and extent of, the </w:t>
      </w:r>
      <w:r w:rsidR="004E396E">
        <w:rPr>
          <w:rFonts w:asciiTheme="minorHAnsi" w:hAnsiTheme="minorHAnsi"/>
        </w:rPr>
        <w:t>proposed</w:t>
      </w:r>
      <w:r w:rsidRPr="0004261E">
        <w:rPr>
          <w:rFonts w:asciiTheme="minorHAnsi" w:hAnsiTheme="minorHAnsi"/>
        </w:rPr>
        <w:t xml:space="preserve"> rate increases.</w:t>
      </w:r>
    </w:p>
    <w:p w:rsidR="00D60EA5" w:rsidRPr="00B17EC1" w:rsidRDefault="00D60EA5" w:rsidP="00103E53">
      <w:pPr>
        <w:pStyle w:val="Heading2"/>
        <w:tabs>
          <w:tab w:val="clear" w:pos="709"/>
          <w:tab w:val="num" w:pos="567"/>
        </w:tabs>
        <w:ind w:left="567" w:right="-141" w:hanging="567"/>
        <w:rPr>
          <w:bCs/>
        </w:rPr>
      </w:pPr>
      <w:bookmarkStart w:id="18" w:name="_Toc366160411"/>
      <w:bookmarkStart w:id="19" w:name="_Toc409776050"/>
      <w:r w:rsidRPr="00B17EC1">
        <w:rPr>
          <w:bCs/>
        </w:rPr>
        <w:t>The consultation strategy</w:t>
      </w:r>
      <w:bookmarkEnd w:id="18"/>
      <w:bookmarkEnd w:id="19"/>
    </w:p>
    <w:p w:rsidR="00CF205D" w:rsidRDefault="00CF205D" w:rsidP="004E396E">
      <w:pPr>
        <w:pStyle w:val="BodyText"/>
        <w:spacing w:before="0" w:line="240" w:lineRule="auto"/>
        <w:rPr>
          <w:rFonts w:asciiTheme="minorHAnsi" w:hAnsiTheme="minorHAnsi"/>
          <w:highlight w:val="yellow"/>
        </w:rPr>
      </w:pPr>
    </w:p>
    <w:p w:rsidR="00240ECF" w:rsidRDefault="00240ECF" w:rsidP="00103E53">
      <w:pPr>
        <w:jc w:val="both"/>
        <w:rPr>
          <w:rFonts w:asciiTheme="minorHAnsi" w:hAnsiTheme="minorHAnsi"/>
        </w:rPr>
      </w:pPr>
      <w:r w:rsidRPr="00240ECF">
        <w:rPr>
          <w:rFonts w:asciiTheme="minorHAnsi" w:hAnsiTheme="minorHAnsi"/>
        </w:rPr>
        <w:t>The core values of Oberon Councils Community Engagement strategies</w:t>
      </w:r>
      <w:r>
        <w:rPr>
          <w:rFonts w:asciiTheme="minorHAnsi" w:hAnsiTheme="minorHAnsi"/>
        </w:rPr>
        <w:t xml:space="preserve"> </w:t>
      </w:r>
      <w:r w:rsidRPr="00240ECF">
        <w:rPr>
          <w:rFonts w:asciiTheme="minorHAnsi" w:hAnsiTheme="minorHAnsi"/>
        </w:rPr>
        <w:t>are based on the belief that those who are affected by a decision have a right to be involved in the decision making process.</w:t>
      </w:r>
      <w:r>
        <w:rPr>
          <w:rFonts w:asciiTheme="minorHAnsi" w:hAnsiTheme="minorHAnsi"/>
        </w:rPr>
        <w:t xml:space="preserve"> (</w:t>
      </w:r>
      <w:r w:rsidRPr="00240ECF">
        <w:rPr>
          <w:rFonts w:asciiTheme="minorHAnsi" w:hAnsiTheme="minorHAnsi"/>
        </w:rPr>
        <w:t>Foundations</w:t>
      </w:r>
      <w:r w:rsidR="005C0A7A">
        <w:rPr>
          <w:rFonts w:asciiTheme="minorHAnsi" w:hAnsiTheme="minorHAnsi"/>
        </w:rPr>
        <w:t xml:space="preserve"> of public participation 2012) – </w:t>
      </w:r>
      <w:r w:rsidRPr="00240ECF">
        <w:rPr>
          <w:rFonts w:asciiTheme="minorHAnsi" w:hAnsiTheme="minorHAnsi"/>
        </w:rPr>
        <w:t xml:space="preserve">Oberon Council has engaged with the community about </w:t>
      </w:r>
      <w:r w:rsidR="004E396E">
        <w:rPr>
          <w:rFonts w:asciiTheme="minorHAnsi" w:hAnsiTheme="minorHAnsi"/>
        </w:rPr>
        <w:t>S</w:t>
      </w:r>
      <w:r w:rsidRPr="00240ECF">
        <w:rPr>
          <w:rFonts w:asciiTheme="minorHAnsi" w:hAnsiTheme="minorHAnsi"/>
        </w:rPr>
        <w:t xml:space="preserve">pecial </w:t>
      </w:r>
      <w:r w:rsidR="004E396E">
        <w:rPr>
          <w:rFonts w:asciiTheme="minorHAnsi" w:hAnsiTheme="minorHAnsi"/>
        </w:rPr>
        <w:t>R</w:t>
      </w:r>
      <w:r w:rsidRPr="00240ECF">
        <w:rPr>
          <w:rFonts w:asciiTheme="minorHAnsi" w:hAnsiTheme="minorHAnsi"/>
        </w:rPr>
        <w:t xml:space="preserve">ate </w:t>
      </w:r>
      <w:r w:rsidR="004E396E">
        <w:rPr>
          <w:rFonts w:asciiTheme="minorHAnsi" w:hAnsiTheme="minorHAnsi"/>
        </w:rPr>
        <w:t>V</w:t>
      </w:r>
      <w:r w:rsidRPr="00240ECF">
        <w:rPr>
          <w:rFonts w:asciiTheme="minorHAnsi" w:hAnsiTheme="minorHAnsi"/>
        </w:rPr>
        <w:t>ariations using a variety of engagement methods to ensure that the community are fully aware of the need for and exten</w:t>
      </w:r>
      <w:r w:rsidR="00CC5DE4">
        <w:rPr>
          <w:rFonts w:asciiTheme="minorHAnsi" w:hAnsiTheme="minorHAnsi"/>
        </w:rPr>
        <w:t>t of the proposed rate increase</w:t>
      </w:r>
      <w:r w:rsidRPr="00240ECF">
        <w:rPr>
          <w:rFonts w:asciiTheme="minorHAnsi" w:hAnsiTheme="minorHAnsi"/>
        </w:rPr>
        <w:t>.</w:t>
      </w:r>
    </w:p>
    <w:p w:rsidR="00240ECF" w:rsidRPr="00240ECF" w:rsidRDefault="00240ECF" w:rsidP="00103E53">
      <w:pPr>
        <w:jc w:val="both"/>
        <w:rPr>
          <w:rFonts w:asciiTheme="minorHAnsi" w:hAnsiTheme="minorHAnsi"/>
        </w:rPr>
      </w:pPr>
    </w:p>
    <w:p w:rsidR="00240ECF" w:rsidRDefault="00240ECF" w:rsidP="00103E53">
      <w:pPr>
        <w:jc w:val="both"/>
        <w:rPr>
          <w:rFonts w:asciiTheme="minorHAnsi" w:hAnsiTheme="minorHAnsi"/>
        </w:rPr>
      </w:pPr>
      <w:r w:rsidRPr="00240ECF">
        <w:rPr>
          <w:rFonts w:asciiTheme="minorHAnsi" w:hAnsiTheme="minorHAnsi"/>
        </w:rPr>
        <w:t>The five key principles of the</w:t>
      </w:r>
      <w:r w:rsidR="00F83707">
        <w:rPr>
          <w:rFonts w:asciiTheme="minorHAnsi" w:hAnsiTheme="minorHAnsi"/>
        </w:rPr>
        <w:t xml:space="preserve"> Community Engagement P</w:t>
      </w:r>
      <w:r w:rsidR="005C0A7A">
        <w:rPr>
          <w:rFonts w:asciiTheme="minorHAnsi" w:hAnsiTheme="minorHAnsi"/>
        </w:rPr>
        <w:t xml:space="preserve">rocess </w:t>
      </w:r>
      <w:r w:rsidRPr="00240ECF">
        <w:rPr>
          <w:rFonts w:asciiTheme="minorHAnsi" w:hAnsiTheme="minorHAnsi"/>
        </w:rPr>
        <w:t xml:space="preserve">have been </w:t>
      </w:r>
      <w:r w:rsidRPr="005C0A7A">
        <w:rPr>
          <w:rFonts w:asciiTheme="minorHAnsi" w:hAnsiTheme="minorHAnsi"/>
        </w:rPr>
        <w:t>to inform, consult, involve, collaborate and empower</w:t>
      </w:r>
      <w:r w:rsidRPr="00240ECF">
        <w:rPr>
          <w:rFonts w:asciiTheme="minorHAnsi" w:hAnsiTheme="minorHAnsi"/>
        </w:rPr>
        <w:t xml:space="preserve"> the Oberon community about the application to IPART for a Special Rate Variation.</w:t>
      </w:r>
    </w:p>
    <w:p w:rsidR="005C0A7A" w:rsidRPr="00240ECF" w:rsidRDefault="005C0A7A" w:rsidP="00CC5DE4">
      <w:pPr>
        <w:ind w:left="567"/>
        <w:jc w:val="both"/>
        <w:rPr>
          <w:rFonts w:asciiTheme="minorHAnsi" w:hAnsiTheme="minorHAnsi"/>
        </w:rPr>
      </w:pPr>
    </w:p>
    <w:p w:rsidR="00240ECF" w:rsidRDefault="00240ECF" w:rsidP="00103E53">
      <w:pPr>
        <w:pStyle w:val="ListParagraph"/>
        <w:numPr>
          <w:ilvl w:val="0"/>
          <w:numId w:val="38"/>
        </w:numPr>
        <w:tabs>
          <w:tab w:val="left" w:pos="567"/>
        </w:tabs>
        <w:ind w:left="567" w:hanging="567"/>
        <w:jc w:val="both"/>
        <w:rPr>
          <w:rFonts w:asciiTheme="minorHAnsi" w:hAnsiTheme="minorHAnsi"/>
        </w:rPr>
      </w:pPr>
      <w:r w:rsidRPr="005C0A7A">
        <w:rPr>
          <w:rFonts w:asciiTheme="minorHAnsi" w:hAnsiTheme="minorHAnsi"/>
        </w:rPr>
        <w:t>Inform through Public Meetings</w:t>
      </w:r>
      <w:r w:rsidR="005C0A7A" w:rsidRPr="005C0A7A">
        <w:rPr>
          <w:rFonts w:asciiTheme="minorHAnsi" w:hAnsiTheme="minorHAnsi"/>
        </w:rPr>
        <w:t xml:space="preserve">: </w:t>
      </w:r>
      <w:r w:rsidRPr="00240ECF">
        <w:rPr>
          <w:rFonts w:asciiTheme="minorHAnsi" w:hAnsiTheme="minorHAnsi"/>
        </w:rPr>
        <w:t xml:space="preserve">which were held in the </w:t>
      </w:r>
      <w:r w:rsidR="00CC5DE4">
        <w:rPr>
          <w:rFonts w:asciiTheme="minorHAnsi" w:hAnsiTheme="minorHAnsi"/>
        </w:rPr>
        <w:t xml:space="preserve">Oberon Township as well as the </w:t>
      </w:r>
      <w:r w:rsidRPr="00240ECF">
        <w:rPr>
          <w:rFonts w:asciiTheme="minorHAnsi" w:hAnsiTheme="minorHAnsi"/>
        </w:rPr>
        <w:t xml:space="preserve">surrounding villages of Black Springs, Burraga and O’Connell. In May 2014 discussions commenced as part of the </w:t>
      </w:r>
      <w:r w:rsidR="005F3F61">
        <w:rPr>
          <w:rFonts w:asciiTheme="minorHAnsi" w:hAnsiTheme="minorHAnsi"/>
        </w:rPr>
        <w:t xml:space="preserve">Draft Oberon </w:t>
      </w:r>
      <w:r w:rsidRPr="00240ECF">
        <w:rPr>
          <w:rFonts w:asciiTheme="minorHAnsi" w:hAnsiTheme="minorHAnsi"/>
        </w:rPr>
        <w:t xml:space="preserve">Community Strategic Plan </w:t>
      </w:r>
      <w:r w:rsidR="005F3F61">
        <w:rPr>
          <w:rFonts w:asciiTheme="minorHAnsi" w:hAnsiTheme="minorHAnsi"/>
        </w:rPr>
        <w:t>2014 public exhibition process</w:t>
      </w:r>
      <w:r w:rsidRPr="00240ECF">
        <w:rPr>
          <w:rFonts w:asciiTheme="minorHAnsi" w:hAnsiTheme="minorHAnsi"/>
        </w:rPr>
        <w:t xml:space="preserve">. In November 2014 </w:t>
      </w:r>
      <w:r w:rsidR="005F3F61">
        <w:rPr>
          <w:rFonts w:asciiTheme="minorHAnsi" w:hAnsiTheme="minorHAnsi"/>
        </w:rPr>
        <w:t>a Community information session</w:t>
      </w:r>
      <w:r w:rsidRPr="00240ECF">
        <w:rPr>
          <w:rFonts w:asciiTheme="minorHAnsi" w:hAnsiTheme="minorHAnsi"/>
        </w:rPr>
        <w:t xml:space="preserve"> </w:t>
      </w:r>
      <w:r w:rsidR="005F3F61">
        <w:rPr>
          <w:rFonts w:asciiTheme="minorHAnsi" w:hAnsiTheme="minorHAnsi"/>
        </w:rPr>
        <w:t>was</w:t>
      </w:r>
      <w:r w:rsidR="00F83707">
        <w:rPr>
          <w:rFonts w:asciiTheme="minorHAnsi" w:hAnsiTheme="minorHAnsi"/>
        </w:rPr>
        <w:t xml:space="preserve"> held to explain the C</w:t>
      </w:r>
      <w:r w:rsidRPr="00240ECF">
        <w:rPr>
          <w:rFonts w:asciiTheme="minorHAnsi" w:hAnsiTheme="minorHAnsi"/>
        </w:rPr>
        <w:t xml:space="preserve">ommunity </w:t>
      </w:r>
      <w:r w:rsidR="00187715">
        <w:rPr>
          <w:rFonts w:asciiTheme="minorHAnsi" w:hAnsiTheme="minorHAnsi"/>
        </w:rPr>
        <w:t>Survey</w:t>
      </w:r>
      <w:r w:rsidRPr="00240ECF">
        <w:rPr>
          <w:rFonts w:asciiTheme="minorHAnsi" w:hAnsiTheme="minorHAnsi"/>
        </w:rPr>
        <w:t xml:space="preserve"> and the consequences of the proposed rate variation options. In January and February of 2015 further meetings were held to explain Council’s decision to apply for a 7.5% per year including rate pegging for 5</w:t>
      </w:r>
      <w:r w:rsidR="005F3F61">
        <w:rPr>
          <w:rFonts w:asciiTheme="minorHAnsi" w:hAnsiTheme="minorHAnsi"/>
        </w:rPr>
        <w:t xml:space="preserve"> </w:t>
      </w:r>
      <w:r w:rsidRPr="00240ECF">
        <w:rPr>
          <w:rFonts w:asciiTheme="minorHAnsi" w:hAnsiTheme="minorHAnsi"/>
        </w:rPr>
        <w:t xml:space="preserve">years rather than the 10 % increase which was the result of the </w:t>
      </w:r>
      <w:r w:rsidR="00187715">
        <w:rPr>
          <w:rFonts w:asciiTheme="minorHAnsi" w:hAnsiTheme="minorHAnsi"/>
        </w:rPr>
        <w:t>Survey</w:t>
      </w:r>
      <w:r w:rsidRPr="00240ECF">
        <w:rPr>
          <w:rFonts w:asciiTheme="minorHAnsi" w:hAnsiTheme="minorHAnsi"/>
        </w:rPr>
        <w:t>.</w:t>
      </w:r>
    </w:p>
    <w:p w:rsidR="005324B0" w:rsidRPr="00240ECF" w:rsidRDefault="005324B0" w:rsidP="005324B0">
      <w:pPr>
        <w:pStyle w:val="ListParagraph"/>
        <w:ind w:left="567"/>
        <w:jc w:val="both"/>
        <w:rPr>
          <w:rFonts w:asciiTheme="minorHAnsi" w:hAnsiTheme="minorHAnsi"/>
        </w:rPr>
      </w:pPr>
    </w:p>
    <w:p w:rsidR="00240ECF" w:rsidRPr="00240ECF" w:rsidRDefault="00240ECF" w:rsidP="00103E53">
      <w:pPr>
        <w:ind w:left="568"/>
        <w:jc w:val="both"/>
        <w:rPr>
          <w:rFonts w:asciiTheme="minorHAnsi" w:hAnsiTheme="minorHAnsi"/>
        </w:rPr>
      </w:pPr>
      <w:r w:rsidRPr="00240ECF">
        <w:rPr>
          <w:rFonts w:asciiTheme="minorHAnsi" w:hAnsiTheme="minorHAnsi"/>
        </w:rPr>
        <w:t xml:space="preserve">Small meetings included Council and Community Committee meetings with the Executive Management Team and Councillors addressing several small meetings where they discussed the </w:t>
      </w:r>
      <w:r w:rsidRPr="00240ECF">
        <w:rPr>
          <w:rFonts w:asciiTheme="minorHAnsi" w:hAnsiTheme="minorHAnsi"/>
        </w:rPr>
        <w:lastRenderedPageBreak/>
        <w:t>reasons why we are applying for a</w:t>
      </w:r>
      <w:r w:rsidR="00B3100A">
        <w:rPr>
          <w:rFonts w:asciiTheme="minorHAnsi" w:hAnsiTheme="minorHAnsi"/>
        </w:rPr>
        <w:t xml:space="preserve"> S</w:t>
      </w:r>
      <w:r w:rsidRPr="00240ECF">
        <w:rPr>
          <w:rFonts w:asciiTheme="minorHAnsi" w:hAnsiTheme="minorHAnsi"/>
        </w:rPr>
        <w:t xml:space="preserve">pecial </w:t>
      </w:r>
      <w:r w:rsidR="00B3100A">
        <w:rPr>
          <w:rFonts w:asciiTheme="minorHAnsi" w:hAnsiTheme="minorHAnsi"/>
        </w:rPr>
        <w:t>R</w:t>
      </w:r>
      <w:r w:rsidRPr="00240ECF">
        <w:rPr>
          <w:rFonts w:asciiTheme="minorHAnsi" w:hAnsiTheme="minorHAnsi"/>
        </w:rPr>
        <w:t xml:space="preserve">ate </w:t>
      </w:r>
      <w:r w:rsidR="00B3100A">
        <w:rPr>
          <w:rFonts w:asciiTheme="minorHAnsi" w:hAnsiTheme="minorHAnsi"/>
        </w:rPr>
        <w:t xml:space="preserve">Variation </w:t>
      </w:r>
      <w:r w:rsidRPr="00240ECF">
        <w:rPr>
          <w:rFonts w:asciiTheme="minorHAnsi" w:hAnsiTheme="minorHAnsi"/>
        </w:rPr>
        <w:t>and how it would affect our long term financial sustainability.</w:t>
      </w:r>
    </w:p>
    <w:p w:rsidR="005C0A7A" w:rsidRDefault="005C0A7A" w:rsidP="00103E53">
      <w:pPr>
        <w:ind w:left="568"/>
        <w:jc w:val="both"/>
        <w:rPr>
          <w:rFonts w:asciiTheme="minorHAnsi" w:hAnsiTheme="minorHAnsi"/>
        </w:rPr>
      </w:pPr>
    </w:p>
    <w:p w:rsidR="00240ECF" w:rsidRDefault="00240ECF" w:rsidP="00103E53">
      <w:pPr>
        <w:ind w:left="568"/>
        <w:jc w:val="both"/>
        <w:rPr>
          <w:rFonts w:asciiTheme="minorHAnsi" w:hAnsiTheme="minorHAnsi"/>
        </w:rPr>
      </w:pPr>
      <w:r w:rsidRPr="00240ECF">
        <w:rPr>
          <w:rFonts w:asciiTheme="minorHAnsi" w:hAnsiTheme="minorHAnsi"/>
        </w:rPr>
        <w:t xml:space="preserve">The </w:t>
      </w:r>
      <w:r w:rsidR="005324B0" w:rsidRPr="00240ECF">
        <w:rPr>
          <w:rFonts w:asciiTheme="minorHAnsi" w:hAnsiTheme="minorHAnsi"/>
        </w:rPr>
        <w:t>goals of all these meetings were</w:t>
      </w:r>
      <w:r w:rsidRPr="00240ECF">
        <w:rPr>
          <w:rFonts w:asciiTheme="minorHAnsi" w:hAnsiTheme="minorHAnsi"/>
        </w:rPr>
        <w:t xml:space="preserve"> to provide the public with balanced and objective information to assist t</w:t>
      </w:r>
      <w:r w:rsidR="005F3F61">
        <w:rPr>
          <w:rFonts w:asciiTheme="minorHAnsi" w:hAnsiTheme="minorHAnsi"/>
        </w:rPr>
        <w:t xml:space="preserve">hem to understand the need for </w:t>
      </w:r>
      <w:r w:rsidR="00CC5DE4">
        <w:rPr>
          <w:rFonts w:asciiTheme="minorHAnsi" w:hAnsiTheme="minorHAnsi"/>
        </w:rPr>
        <w:t xml:space="preserve">and alternatives to </w:t>
      </w:r>
      <w:r w:rsidRPr="00240ECF">
        <w:rPr>
          <w:rFonts w:asciiTheme="minorHAnsi" w:hAnsiTheme="minorHAnsi"/>
        </w:rPr>
        <w:t>a rate increase</w:t>
      </w:r>
      <w:r w:rsidR="005C0A7A">
        <w:rPr>
          <w:rFonts w:asciiTheme="minorHAnsi" w:hAnsiTheme="minorHAnsi"/>
        </w:rPr>
        <w:t>.</w:t>
      </w:r>
    </w:p>
    <w:p w:rsidR="005C0A7A" w:rsidRPr="00240ECF" w:rsidRDefault="005C0A7A" w:rsidP="00CC5DE4">
      <w:pPr>
        <w:ind w:left="720"/>
        <w:jc w:val="both"/>
        <w:rPr>
          <w:rFonts w:asciiTheme="minorHAnsi" w:hAnsiTheme="minorHAnsi"/>
        </w:rPr>
      </w:pPr>
    </w:p>
    <w:p w:rsidR="00240ECF" w:rsidRDefault="00103E53" w:rsidP="00103E53">
      <w:pPr>
        <w:pStyle w:val="ListParagraph"/>
        <w:numPr>
          <w:ilvl w:val="0"/>
          <w:numId w:val="38"/>
        </w:numPr>
        <w:ind w:left="567" w:hanging="567"/>
        <w:jc w:val="both"/>
        <w:rPr>
          <w:rFonts w:asciiTheme="minorHAnsi" w:hAnsiTheme="minorHAnsi"/>
        </w:rPr>
      </w:pPr>
      <w:r>
        <w:rPr>
          <w:rFonts w:asciiTheme="minorHAnsi" w:hAnsiTheme="minorHAnsi"/>
        </w:rPr>
        <w:t xml:space="preserve">Involve </w:t>
      </w:r>
      <w:r w:rsidR="00240ECF" w:rsidRPr="005C0A7A">
        <w:rPr>
          <w:rFonts w:asciiTheme="minorHAnsi" w:hAnsiTheme="minorHAnsi"/>
        </w:rPr>
        <w:t>the Community</w:t>
      </w:r>
      <w:r w:rsidR="005C0A7A">
        <w:rPr>
          <w:rFonts w:asciiTheme="minorHAnsi" w:hAnsiTheme="minorHAnsi"/>
        </w:rPr>
        <w:t>:</w:t>
      </w:r>
      <w:r w:rsidR="00240ECF" w:rsidRPr="005C0A7A">
        <w:rPr>
          <w:rFonts w:asciiTheme="minorHAnsi" w:hAnsiTheme="minorHAnsi"/>
        </w:rPr>
        <w:t xml:space="preserve">  </w:t>
      </w:r>
      <w:r w:rsidR="00240ECF" w:rsidRPr="00240ECF">
        <w:rPr>
          <w:rFonts w:asciiTheme="minorHAnsi" w:hAnsiTheme="minorHAnsi"/>
        </w:rPr>
        <w:t xml:space="preserve">through a range </w:t>
      </w:r>
      <w:r w:rsidR="00A80A00">
        <w:rPr>
          <w:rFonts w:asciiTheme="minorHAnsi" w:hAnsiTheme="minorHAnsi"/>
        </w:rPr>
        <w:t xml:space="preserve">of </w:t>
      </w:r>
      <w:r w:rsidR="00240ECF" w:rsidRPr="00240ECF">
        <w:rPr>
          <w:rFonts w:asciiTheme="minorHAnsi" w:hAnsiTheme="minorHAnsi"/>
        </w:rPr>
        <w:t xml:space="preserve">Media  Sources including the Mayor  and General Manager speaking to local television (WIN </w:t>
      </w:r>
      <w:r w:rsidR="005F3F61">
        <w:rPr>
          <w:rFonts w:asciiTheme="minorHAnsi" w:hAnsiTheme="minorHAnsi"/>
        </w:rPr>
        <w:t xml:space="preserve">and Prime </w:t>
      </w:r>
      <w:r w:rsidR="00240ECF" w:rsidRPr="00240ECF">
        <w:rPr>
          <w:rFonts w:asciiTheme="minorHAnsi" w:hAnsiTheme="minorHAnsi"/>
        </w:rPr>
        <w:t xml:space="preserve">TV) and ABC Radio , local  newspaper articles in the </w:t>
      </w:r>
      <w:r w:rsidR="00240ECF" w:rsidRPr="00240ECF">
        <w:rPr>
          <w:rFonts w:asciiTheme="minorHAnsi" w:hAnsiTheme="minorHAnsi"/>
          <w:i/>
        </w:rPr>
        <w:t>Oberon Review ,</w:t>
      </w:r>
      <w:r w:rsidR="00240ECF" w:rsidRPr="00240ECF">
        <w:rPr>
          <w:rFonts w:asciiTheme="minorHAnsi" w:hAnsiTheme="minorHAnsi"/>
        </w:rPr>
        <w:t>postings on social media sites  including  Councils Facebook page.</w:t>
      </w:r>
    </w:p>
    <w:p w:rsidR="005324B0" w:rsidRPr="00240ECF" w:rsidRDefault="005324B0" w:rsidP="005324B0">
      <w:pPr>
        <w:pStyle w:val="ListParagraph"/>
        <w:ind w:left="1134"/>
        <w:jc w:val="both"/>
        <w:rPr>
          <w:rFonts w:asciiTheme="minorHAnsi" w:hAnsiTheme="minorHAnsi"/>
        </w:rPr>
      </w:pPr>
    </w:p>
    <w:p w:rsidR="00240ECF" w:rsidRDefault="00240ECF" w:rsidP="00103E53">
      <w:pPr>
        <w:ind w:left="568"/>
        <w:jc w:val="both"/>
        <w:rPr>
          <w:rFonts w:asciiTheme="minorHAnsi" w:hAnsiTheme="minorHAnsi"/>
        </w:rPr>
      </w:pPr>
      <w:r w:rsidRPr="00240ECF">
        <w:rPr>
          <w:rFonts w:asciiTheme="minorHAnsi" w:hAnsiTheme="minorHAnsi"/>
        </w:rPr>
        <w:t>The goal of this phase of the process was to ensure that the public were given the opportunity to express their issues and concerns and that these issues were directly reflected in the alternatives developed for a rate increase.</w:t>
      </w:r>
    </w:p>
    <w:p w:rsidR="005C0A7A" w:rsidRPr="00240ECF" w:rsidRDefault="005C0A7A" w:rsidP="00CC5DE4">
      <w:pPr>
        <w:ind w:left="720"/>
        <w:jc w:val="both"/>
        <w:rPr>
          <w:rFonts w:asciiTheme="minorHAnsi" w:hAnsiTheme="minorHAnsi"/>
        </w:rPr>
      </w:pPr>
    </w:p>
    <w:p w:rsidR="00240ECF" w:rsidRPr="00240ECF" w:rsidRDefault="00240ECF" w:rsidP="00CC5DE4">
      <w:pPr>
        <w:pStyle w:val="ListParagraph"/>
        <w:numPr>
          <w:ilvl w:val="0"/>
          <w:numId w:val="38"/>
        </w:numPr>
        <w:ind w:left="567" w:hanging="567"/>
        <w:jc w:val="both"/>
        <w:rPr>
          <w:rFonts w:asciiTheme="minorHAnsi" w:hAnsiTheme="minorHAnsi"/>
        </w:rPr>
      </w:pPr>
      <w:r w:rsidRPr="005C0A7A">
        <w:rPr>
          <w:rFonts w:asciiTheme="minorHAnsi" w:hAnsiTheme="minorHAnsi"/>
        </w:rPr>
        <w:t>Consult and Empower</w:t>
      </w:r>
      <w:r w:rsidR="005C0A7A">
        <w:rPr>
          <w:rFonts w:asciiTheme="minorHAnsi" w:hAnsiTheme="minorHAnsi"/>
        </w:rPr>
        <w:t>: t</w:t>
      </w:r>
      <w:r w:rsidRPr="00240ECF">
        <w:rPr>
          <w:rFonts w:asciiTheme="minorHAnsi" w:hAnsiTheme="minorHAnsi"/>
        </w:rPr>
        <w:t xml:space="preserve">hrough a </w:t>
      </w:r>
      <w:r w:rsidR="005F3F61">
        <w:rPr>
          <w:rFonts w:asciiTheme="minorHAnsi" w:hAnsiTheme="minorHAnsi"/>
        </w:rPr>
        <w:t>S</w:t>
      </w:r>
      <w:r w:rsidRPr="00240ECF">
        <w:rPr>
          <w:rFonts w:asciiTheme="minorHAnsi" w:hAnsiTheme="minorHAnsi"/>
        </w:rPr>
        <w:t xml:space="preserve">urvey titled </w:t>
      </w:r>
      <w:r w:rsidRPr="00240ECF">
        <w:rPr>
          <w:rFonts w:asciiTheme="minorHAnsi" w:hAnsiTheme="minorHAnsi"/>
          <w:i/>
        </w:rPr>
        <w:t>Resourcing our Future</w:t>
      </w:r>
      <w:r w:rsidRPr="00240ECF">
        <w:rPr>
          <w:rFonts w:asciiTheme="minorHAnsi" w:hAnsiTheme="minorHAnsi"/>
        </w:rPr>
        <w:t xml:space="preserve"> which was distributed to all Oberon LGA ratepayers in November 2014. </w:t>
      </w:r>
      <w:r w:rsidR="00187715">
        <w:rPr>
          <w:rFonts w:asciiTheme="minorHAnsi" w:hAnsiTheme="minorHAnsi"/>
        </w:rPr>
        <w:t>Ratepayers</w:t>
      </w:r>
      <w:r w:rsidRPr="00240ECF">
        <w:rPr>
          <w:rFonts w:asciiTheme="minorHAnsi" w:hAnsiTheme="minorHAnsi"/>
        </w:rPr>
        <w:t xml:space="preserve"> were provided with opportunities to provide feedback through the </w:t>
      </w:r>
      <w:r w:rsidR="00187715">
        <w:rPr>
          <w:rFonts w:asciiTheme="minorHAnsi" w:hAnsiTheme="minorHAnsi"/>
        </w:rPr>
        <w:t>Survey</w:t>
      </w:r>
      <w:r w:rsidRPr="00240ECF">
        <w:rPr>
          <w:rFonts w:asciiTheme="minorHAnsi" w:hAnsiTheme="minorHAnsi"/>
        </w:rPr>
        <w:t xml:space="preserve"> process. With 12% of ratepayers responding to the </w:t>
      </w:r>
      <w:r w:rsidR="00187715">
        <w:rPr>
          <w:rFonts w:asciiTheme="minorHAnsi" w:hAnsiTheme="minorHAnsi"/>
        </w:rPr>
        <w:t>Survey</w:t>
      </w:r>
      <w:r w:rsidRPr="00240ECF">
        <w:rPr>
          <w:rFonts w:asciiTheme="minorHAnsi" w:hAnsiTheme="minorHAnsi"/>
        </w:rPr>
        <w:t xml:space="preserve">, with </w:t>
      </w:r>
      <w:r w:rsidR="00A81FB3">
        <w:rPr>
          <w:rFonts w:asciiTheme="minorHAnsi" w:hAnsiTheme="minorHAnsi"/>
        </w:rPr>
        <w:t>75</w:t>
      </w:r>
      <w:r w:rsidRPr="00240ECF">
        <w:rPr>
          <w:rFonts w:asciiTheme="minorHAnsi" w:hAnsiTheme="minorHAnsi"/>
        </w:rPr>
        <w:t>% selecting option1 for a 10% increase for 5 years with maintained and improved service levels. The goal of this phase was to place decision making in the hands of the public.</w:t>
      </w:r>
    </w:p>
    <w:p w:rsidR="005F3F61" w:rsidRDefault="005F3F61" w:rsidP="00CC5DE4">
      <w:pPr>
        <w:pStyle w:val="ListParagraph"/>
        <w:ind w:left="567"/>
        <w:jc w:val="both"/>
        <w:rPr>
          <w:rFonts w:asciiTheme="minorHAnsi" w:hAnsiTheme="minorHAnsi"/>
        </w:rPr>
      </w:pPr>
    </w:p>
    <w:p w:rsidR="00240ECF" w:rsidRDefault="00240ECF" w:rsidP="00CC5DE4">
      <w:pPr>
        <w:pStyle w:val="ListParagraph"/>
        <w:numPr>
          <w:ilvl w:val="0"/>
          <w:numId w:val="38"/>
        </w:numPr>
        <w:ind w:left="567" w:hanging="567"/>
        <w:jc w:val="both"/>
        <w:rPr>
          <w:rFonts w:asciiTheme="minorHAnsi" w:hAnsiTheme="minorHAnsi"/>
        </w:rPr>
      </w:pPr>
      <w:r w:rsidRPr="005C0A7A">
        <w:rPr>
          <w:rFonts w:asciiTheme="minorHAnsi" w:hAnsiTheme="minorHAnsi"/>
        </w:rPr>
        <w:t>Collaborate through Public Exhibition</w:t>
      </w:r>
      <w:r w:rsidR="005C0A7A">
        <w:rPr>
          <w:rFonts w:asciiTheme="minorHAnsi" w:hAnsiTheme="minorHAnsi"/>
        </w:rPr>
        <w:t xml:space="preserve">: </w:t>
      </w:r>
      <w:r w:rsidR="003712E3">
        <w:rPr>
          <w:rFonts w:asciiTheme="minorHAnsi" w:hAnsiTheme="minorHAnsi"/>
        </w:rPr>
        <w:t xml:space="preserve">The </w:t>
      </w:r>
      <w:r w:rsidR="004E396E">
        <w:rPr>
          <w:rFonts w:asciiTheme="minorHAnsi" w:hAnsiTheme="minorHAnsi"/>
        </w:rPr>
        <w:t>D</w:t>
      </w:r>
      <w:r w:rsidR="003712E3">
        <w:rPr>
          <w:rFonts w:asciiTheme="minorHAnsi" w:hAnsiTheme="minorHAnsi"/>
        </w:rPr>
        <w:t>raft Oberon Community Strategic Plan 2014 contained details of proposed increases for 2015/16 and 2016/17 for 15% and 10% respectively. Council adopted the Oberon CSP 2014 and provided a commitment to consult with the community about the rating structure and the General Rate increase.  As a result of this, the Resourcing our Future Survey was developed, distributed to all</w:t>
      </w:r>
      <w:r w:rsidR="00537266">
        <w:rPr>
          <w:rFonts w:asciiTheme="minorHAnsi" w:hAnsiTheme="minorHAnsi"/>
        </w:rPr>
        <w:t xml:space="preserve"> Oberon LGA ratepayers and made</w:t>
      </w:r>
      <w:r w:rsidR="003712E3">
        <w:rPr>
          <w:rFonts w:asciiTheme="minorHAnsi" w:hAnsiTheme="minorHAnsi"/>
        </w:rPr>
        <w:t xml:space="preserve"> available at various Council facilities, including the Administration Centre, the Oberon Library and the Oberon Visitor Information Centre. This draft IPART application and relevant documentation was put on public display at the Administration Centre, Oberon Library, Burraga, Black Springs and O’Connell, Council’s Website; with a notice on Council’s Facebook page that it is available for viewing and comment</w:t>
      </w:r>
      <w:r w:rsidR="0039331E">
        <w:rPr>
          <w:rFonts w:asciiTheme="minorHAnsi" w:hAnsiTheme="minorHAnsi"/>
        </w:rPr>
        <w:t>.</w:t>
      </w:r>
    </w:p>
    <w:p w:rsidR="0039331E" w:rsidRPr="0039331E" w:rsidRDefault="0039331E" w:rsidP="0039331E">
      <w:pPr>
        <w:jc w:val="both"/>
        <w:rPr>
          <w:rFonts w:asciiTheme="minorHAnsi" w:hAnsiTheme="minorHAnsi"/>
        </w:rPr>
      </w:pPr>
    </w:p>
    <w:p w:rsidR="00776C16" w:rsidRPr="005C0A7A" w:rsidRDefault="0039331E" w:rsidP="005C0A7A">
      <w:pPr>
        <w:jc w:val="both"/>
        <w:rPr>
          <w:rFonts w:asciiTheme="minorHAnsi" w:hAnsiTheme="minorHAnsi" w:cs="Arial"/>
          <w:szCs w:val="22"/>
          <w:lang w:eastAsia="en-US"/>
        </w:rPr>
      </w:pPr>
      <w:r>
        <w:rPr>
          <w:rFonts w:asciiTheme="minorHAnsi" w:hAnsiTheme="minorHAnsi" w:cs="Arial"/>
          <w:szCs w:val="22"/>
          <w:lang w:eastAsia="en-US"/>
        </w:rPr>
        <w:t>The</w:t>
      </w:r>
      <w:r w:rsidR="00776C16" w:rsidRPr="005C0A7A">
        <w:rPr>
          <w:rFonts w:asciiTheme="minorHAnsi" w:hAnsiTheme="minorHAnsi" w:cs="Arial"/>
          <w:szCs w:val="22"/>
          <w:lang w:eastAsia="en-US"/>
        </w:rPr>
        <w:t xml:space="preserve"> Survey </w:t>
      </w:r>
      <w:r>
        <w:rPr>
          <w:rFonts w:asciiTheme="minorHAnsi" w:hAnsiTheme="minorHAnsi" w:cs="Arial"/>
          <w:szCs w:val="22"/>
          <w:lang w:eastAsia="en-US"/>
        </w:rPr>
        <w:t xml:space="preserve">that </w:t>
      </w:r>
      <w:r w:rsidR="00776C16" w:rsidRPr="005C0A7A">
        <w:rPr>
          <w:rFonts w:asciiTheme="minorHAnsi" w:hAnsiTheme="minorHAnsi" w:cs="Arial"/>
          <w:szCs w:val="22"/>
          <w:lang w:eastAsia="en-US"/>
        </w:rPr>
        <w:t xml:space="preserve">was developed, the </w:t>
      </w:r>
      <w:r w:rsidR="00776C16" w:rsidRPr="005C0A7A">
        <w:rPr>
          <w:rFonts w:asciiTheme="minorHAnsi" w:hAnsiTheme="minorHAnsi" w:cs="Arial"/>
          <w:i/>
          <w:szCs w:val="22"/>
          <w:lang w:eastAsia="en-US"/>
        </w:rPr>
        <w:t>Resourcing our Future</w:t>
      </w:r>
      <w:r w:rsidR="00776C16" w:rsidRPr="005C0A7A">
        <w:rPr>
          <w:rFonts w:asciiTheme="minorHAnsi" w:hAnsiTheme="minorHAnsi" w:cs="Arial"/>
          <w:szCs w:val="22"/>
          <w:lang w:eastAsia="en-US"/>
        </w:rPr>
        <w:t xml:space="preserve"> document</w:t>
      </w:r>
      <w:r>
        <w:rPr>
          <w:rFonts w:asciiTheme="minorHAnsi" w:hAnsiTheme="minorHAnsi" w:cs="Arial"/>
          <w:szCs w:val="22"/>
          <w:lang w:eastAsia="en-US"/>
        </w:rPr>
        <w:t>,</w:t>
      </w:r>
      <w:r w:rsidR="00776C16" w:rsidRPr="005C0A7A">
        <w:rPr>
          <w:rFonts w:asciiTheme="minorHAnsi" w:hAnsiTheme="minorHAnsi" w:cs="Arial"/>
          <w:szCs w:val="22"/>
          <w:lang w:eastAsia="en-US"/>
        </w:rPr>
        <w:t xml:space="preserve"> invited ratepayers to ‘Have a Say’ on the level of increase and service th</w:t>
      </w:r>
      <w:r w:rsidR="00480BBA" w:rsidRPr="005C0A7A">
        <w:rPr>
          <w:rFonts w:asciiTheme="minorHAnsi" w:hAnsiTheme="minorHAnsi" w:cs="Arial"/>
          <w:szCs w:val="22"/>
          <w:lang w:eastAsia="en-US"/>
        </w:rPr>
        <w:t xml:space="preserve">ey would be prepared to accept. </w:t>
      </w:r>
      <w:r w:rsidR="00776C16" w:rsidRPr="005C0A7A">
        <w:rPr>
          <w:rFonts w:asciiTheme="minorHAnsi" w:hAnsiTheme="minorHAnsi" w:cs="Arial"/>
          <w:szCs w:val="22"/>
          <w:lang w:eastAsia="en-US"/>
        </w:rPr>
        <w:t xml:space="preserve">The Survey presented two options for </w:t>
      </w:r>
      <w:r w:rsidR="004E396E">
        <w:rPr>
          <w:rFonts w:asciiTheme="minorHAnsi" w:hAnsiTheme="minorHAnsi" w:cs="Arial"/>
          <w:szCs w:val="22"/>
          <w:lang w:eastAsia="en-US"/>
        </w:rPr>
        <w:t xml:space="preserve">a </w:t>
      </w:r>
      <w:r w:rsidR="00776C16" w:rsidRPr="005C0A7A">
        <w:rPr>
          <w:rFonts w:asciiTheme="minorHAnsi" w:hAnsiTheme="minorHAnsi" w:cs="Arial"/>
          <w:szCs w:val="22"/>
          <w:lang w:eastAsia="en-US"/>
        </w:rPr>
        <w:t>General Rates increases of 10% and approximately 5% each year for 5 years.  These increases include an assumed Rate Pegging Limit of 2.5%.</w:t>
      </w:r>
    </w:p>
    <w:p w:rsidR="00776C16" w:rsidRPr="005C0A7A" w:rsidRDefault="00776C16" w:rsidP="005C0A7A">
      <w:pPr>
        <w:jc w:val="both"/>
        <w:rPr>
          <w:rFonts w:asciiTheme="minorHAnsi" w:hAnsiTheme="minorHAnsi" w:cs="Arial"/>
          <w:szCs w:val="22"/>
          <w:lang w:eastAsia="en-US"/>
        </w:rPr>
      </w:pPr>
    </w:p>
    <w:p w:rsidR="00450821" w:rsidRPr="005C0A7A" w:rsidRDefault="00776C16" w:rsidP="005C0A7A">
      <w:pPr>
        <w:jc w:val="both"/>
        <w:rPr>
          <w:rFonts w:asciiTheme="minorHAnsi" w:hAnsiTheme="minorHAnsi" w:cs="Arial"/>
          <w:szCs w:val="22"/>
          <w:lang w:eastAsia="en-US"/>
        </w:rPr>
      </w:pPr>
      <w:r w:rsidRPr="005C0A7A">
        <w:rPr>
          <w:rFonts w:asciiTheme="minorHAnsi" w:hAnsiTheme="minorHAnsi" w:cs="Arial"/>
          <w:szCs w:val="22"/>
          <w:lang w:eastAsia="en-US"/>
        </w:rPr>
        <w:t xml:space="preserve">The </w:t>
      </w:r>
      <w:r w:rsidRPr="005C0A7A">
        <w:rPr>
          <w:rFonts w:asciiTheme="minorHAnsi" w:hAnsiTheme="minorHAnsi" w:cs="Arial"/>
          <w:i/>
          <w:szCs w:val="22"/>
          <w:lang w:eastAsia="en-US"/>
        </w:rPr>
        <w:t>Resourcing our Future</w:t>
      </w:r>
      <w:r w:rsidRPr="005C0A7A">
        <w:rPr>
          <w:rFonts w:asciiTheme="minorHAnsi" w:hAnsiTheme="minorHAnsi" w:cs="Arial"/>
          <w:szCs w:val="22"/>
          <w:lang w:eastAsia="en-US"/>
        </w:rPr>
        <w:t xml:space="preserve"> Surveys were mailed to all Oberon Council Ratepayers on </w:t>
      </w:r>
      <w:r w:rsidRPr="005C0A7A">
        <w:rPr>
          <w:rFonts w:asciiTheme="minorHAnsi" w:hAnsiTheme="minorHAnsi" w:cs="Arial"/>
          <w:szCs w:val="22"/>
          <w:lang w:eastAsia="en-US"/>
        </w:rPr>
        <w:br/>
        <w:t>12 November and a total of 309 Surveys were returned</w:t>
      </w:r>
      <w:bookmarkStart w:id="20" w:name="_Toc366160413"/>
      <w:r w:rsidR="005C0A7A" w:rsidRPr="005C0A7A">
        <w:rPr>
          <w:rFonts w:asciiTheme="minorHAnsi" w:hAnsiTheme="minorHAnsi" w:cs="Arial"/>
          <w:szCs w:val="22"/>
          <w:lang w:eastAsia="en-US"/>
        </w:rPr>
        <w:t xml:space="preserve">. </w:t>
      </w:r>
      <w:bookmarkEnd w:id="20"/>
    </w:p>
    <w:p w:rsidR="005C0A7A" w:rsidRPr="005C0A7A" w:rsidRDefault="005C0A7A" w:rsidP="005C0A7A">
      <w:pPr>
        <w:ind w:left="567"/>
        <w:jc w:val="both"/>
        <w:rPr>
          <w:rFonts w:asciiTheme="minorHAnsi" w:hAnsiTheme="minorHAnsi"/>
        </w:rPr>
      </w:pPr>
    </w:p>
    <w:p w:rsidR="00776C16" w:rsidRPr="00776C16" w:rsidRDefault="00776C16" w:rsidP="008630C6">
      <w:pPr>
        <w:jc w:val="both"/>
        <w:rPr>
          <w:rFonts w:asciiTheme="minorHAnsi" w:hAnsiTheme="minorHAnsi" w:cs="Arial"/>
          <w:szCs w:val="22"/>
          <w:lang w:eastAsia="en-US"/>
        </w:rPr>
      </w:pPr>
      <w:r w:rsidRPr="00776C16">
        <w:rPr>
          <w:rFonts w:asciiTheme="minorHAnsi" w:hAnsiTheme="minorHAnsi" w:cs="Arial"/>
          <w:szCs w:val="22"/>
          <w:lang w:eastAsia="en-US"/>
        </w:rPr>
        <w:t xml:space="preserve">An Information Session was held </w:t>
      </w:r>
      <w:r w:rsidR="00BC0765">
        <w:rPr>
          <w:rFonts w:asciiTheme="minorHAnsi" w:hAnsiTheme="minorHAnsi" w:cs="Arial"/>
          <w:szCs w:val="22"/>
          <w:lang w:eastAsia="en-US"/>
        </w:rPr>
        <w:t>to discuss the Survey on</w:t>
      </w:r>
      <w:r w:rsidRPr="00776C16">
        <w:rPr>
          <w:rFonts w:asciiTheme="minorHAnsi" w:hAnsiTheme="minorHAnsi" w:cs="Arial"/>
          <w:szCs w:val="22"/>
          <w:lang w:eastAsia="en-US"/>
        </w:rPr>
        <w:t xml:space="preserve"> Thursday 20 November 2014 at the Robert </w:t>
      </w:r>
      <w:r w:rsidR="00BC0765" w:rsidRPr="00776C16">
        <w:rPr>
          <w:rFonts w:asciiTheme="minorHAnsi" w:hAnsiTheme="minorHAnsi" w:cs="Arial"/>
          <w:szCs w:val="22"/>
          <w:lang w:eastAsia="en-US"/>
        </w:rPr>
        <w:t xml:space="preserve">(Bob) </w:t>
      </w:r>
      <w:r w:rsidRPr="00776C16">
        <w:rPr>
          <w:rFonts w:asciiTheme="minorHAnsi" w:hAnsiTheme="minorHAnsi" w:cs="Arial"/>
          <w:szCs w:val="22"/>
          <w:lang w:eastAsia="en-US"/>
        </w:rPr>
        <w:t>Hooper Community Centre from 6.00pm with management staff and most Councillors attending.  Approximately 40 persons from the community attended.</w:t>
      </w:r>
    </w:p>
    <w:p w:rsidR="00776C16" w:rsidRPr="00776C16" w:rsidRDefault="00776C16" w:rsidP="00776C16">
      <w:pPr>
        <w:ind w:left="567"/>
        <w:jc w:val="both"/>
        <w:rPr>
          <w:rFonts w:asciiTheme="minorHAnsi" w:hAnsiTheme="minorHAnsi" w:cs="Arial"/>
          <w:szCs w:val="22"/>
          <w:lang w:eastAsia="en-US"/>
        </w:rPr>
      </w:pPr>
    </w:p>
    <w:p w:rsidR="00776C16" w:rsidRDefault="00776C16" w:rsidP="0039331E">
      <w:pPr>
        <w:jc w:val="both"/>
        <w:rPr>
          <w:rFonts w:asciiTheme="minorHAnsi" w:hAnsiTheme="minorHAnsi" w:cs="Arial"/>
          <w:szCs w:val="22"/>
          <w:lang w:eastAsia="en-US"/>
        </w:rPr>
      </w:pPr>
      <w:r w:rsidRPr="00776C16">
        <w:rPr>
          <w:rFonts w:asciiTheme="minorHAnsi" w:hAnsiTheme="minorHAnsi" w:cs="Arial"/>
          <w:szCs w:val="22"/>
          <w:lang w:eastAsia="en-US"/>
        </w:rPr>
        <w:t xml:space="preserve">Concerns were raised </w:t>
      </w:r>
      <w:r w:rsidR="00936C88">
        <w:rPr>
          <w:rFonts w:asciiTheme="minorHAnsi" w:hAnsiTheme="minorHAnsi" w:cs="Arial"/>
          <w:szCs w:val="22"/>
          <w:lang w:eastAsia="en-US"/>
        </w:rPr>
        <w:t>at this meeting regarding</w:t>
      </w:r>
      <w:r w:rsidRPr="00776C16">
        <w:rPr>
          <w:rFonts w:asciiTheme="minorHAnsi" w:hAnsiTheme="minorHAnsi" w:cs="Arial"/>
          <w:szCs w:val="22"/>
          <w:lang w:eastAsia="en-US"/>
        </w:rPr>
        <w:t xml:space="preserve"> the following matters:</w:t>
      </w:r>
    </w:p>
    <w:p w:rsidR="0039331E" w:rsidRPr="00776C16" w:rsidRDefault="0039331E" w:rsidP="0039331E">
      <w:pPr>
        <w:jc w:val="both"/>
        <w:rPr>
          <w:rFonts w:asciiTheme="minorHAnsi" w:hAnsiTheme="minorHAnsi" w:cs="Arial"/>
          <w:szCs w:val="22"/>
          <w:lang w:eastAsia="en-US"/>
        </w:rPr>
      </w:pPr>
    </w:p>
    <w:p w:rsidR="00776C16" w:rsidRPr="00776C16" w:rsidRDefault="00776C16" w:rsidP="0039331E">
      <w:pPr>
        <w:numPr>
          <w:ilvl w:val="0"/>
          <w:numId w:val="33"/>
        </w:numPr>
        <w:ind w:left="567" w:hanging="567"/>
        <w:contextualSpacing/>
        <w:jc w:val="both"/>
        <w:rPr>
          <w:rFonts w:asciiTheme="minorHAnsi" w:hAnsiTheme="minorHAnsi" w:cs="Arial"/>
          <w:szCs w:val="22"/>
          <w:lang w:eastAsia="en-US"/>
        </w:rPr>
      </w:pPr>
      <w:r w:rsidRPr="00776C16">
        <w:rPr>
          <w:rFonts w:asciiTheme="minorHAnsi" w:hAnsiTheme="minorHAnsi" w:cs="Arial"/>
          <w:b/>
          <w:szCs w:val="22"/>
          <w:lang w:eastAsia="en-US"/>
        </w:rPr>
        <w:t>NSW Forests</w:t>
      </w:r>
      <w:r w:rsidR="00A80A00">
        <w:rPr>
          <w:rFonts w:asciiTheme="minorHAnsi" w:hAnsiTheme="minorHAnsi" w:cs="Arial"/>
          <w:b/>
          <w:szCs w:val="22"/>
          <w:lang w:eastAsia="en-US"/>
        </w:rPr>
        <w:t xml:space="preserve"> and National Parks</w:t>
      </w:r>
      <w:r w:rsidRPr="00776C16">
        <w:rPr>
          <w:rFonts w:asciiTheme="minorHAnsi" w:hAnsiTheme="minorHAnsi" w:cs="Arial"/>
          <w:szCs w:val="22"/>
          <w:lang w:eastAsia="en-US"/>
        </w:rPr>
        <w:t>: concern around the fact that NSW Forestry</w:t>
      </w:r>
      <w:r w:rsidR="00A80A00">
        <w:rPr>
          <w:rFonts w:asciiTheme="minorHAnsi" w:hAnsiTheme="minorHAnsi" w:cs="Arial"/>
          <w:szCs w:val="22"/>
          <w:lang w:eastAsia="en-US"/>
        </w:rPr>
        <w:t xml:space="preserve"> and National Parks</w:t>
      </w:r>
      <w:r w:rsidRPr="00776C16">
        <w:rPr>
          <w:rFonts w:asciiTheme="minorHAnsi" w:hAnsiTheme="minorHAnsi" w:cs="Arial"/>
          <w:szCs w:val="22"/>
          <w:lang w:eastAsia="en-US"/>
        </w:rPr>
        <w:t xml:space="preserve"> </w:t>
      </w:r>
      <w:r w:rsidR="00A80A00">
        <w:rPr>
          <w:rFonts w:asciiTheme="minorHAnsi" w:hAnsiTheme="minorHAnsi" w:cs="Arial"/>
          <w:b/>
          <w:szCs w:val="22"/>
          <w:lang w:eastAsia="en-US"/>
        </w:rPr>
        <w:t>do</w:t>
      </w:r>
      <w:r w:rsidRPr="00776C16">
        <w:rPr>
          <w:rFonts w:asciiTheme="minorHAnsi" w:hAnsiTheme="minorHAnsi" w:cs="Arial"/>
          <w:b/>
          <w:szCs w:val="22"/>
          <w:lang w:eastAsia="en-US"/>
        </w:rPr>
        <w:t xml:space="preserve"> not pay rates</w:t>
      </w:r>
      <w:r w:rsidRPr="00776C16">
        <w:rPr>
          <w:rFonts w:asciiTheme="minorHAnsi" w:hAnsiTheme="minorHAnsi" w:cs="Arial"/>
          <w:szCs w:val="22"/>
          <w:lang w:eastAsia="en-US"/>
        </w:rPr>
        <w:t xml:space="preserve"> and why is Oberon Council not lobbying the State Government to have this changed; discussion also about the amount of money spent by NSW Forestry on roads within the Oberon LGA</w:t>
      </w:r>
      <w:r w:rsidR="00907805">
        <w:rPr>
          <w:rFonts w:asciiTheme="minorHAnsi" w:hAnsiTheme="minorHAnsi" w:cs="Arial"/>
          <w:szCs w:val="22"/>
          <w:lang w:eastAsia="en-US"/>
        </w:rPr>
        <w:t>;</w:t>
      </w:r>
    </w:p>
    <w:p w:rsidR="00346FD2" w:rsidRDefault="00346FD2">
      <w:pPr>
        <w:rPr>
          <w:rFonts w:asciiTheme="minorHAnsi" w:hAnsiTheme="minorHAnsi" w:cs="Arial"/>
          <w:b/>
          <w:szCs w:val="22"/>
          <w:lang w:eastAsia="en-US"/>
        </w:rPr>
      </w:pPr>
      <w:r>
        <w:rPr>
          <w:rFonts w:asciiTheme="minorHAnsi" w:hAnsiTheme="minorHAnsi" w:cs="Arial"/>
          <w:b/>
          <w:szCs w:val="22"/>
          <w:lang w:eastAsia="en-US"/>
        </w:rPr>
        <w:br w:type="page"/>
      </w:r>
    </w:p>
    <w:p w:rsidR="00346FD2" w:rsidRPr="00346FD2" w:rsidRDefault="00346FD2" w:rsidP="00346FD2">
      <w:pPr>
        <w:ind w:left="567"/>
        <w:contextualSpacing/>
        <w:jc w:val="both"/>
        <w:rPr>
          <w:rFonts w:asciiTheme="minorHAnsi" w:hAnsiTheme="minorHAnsi" w:cs="Arial"/>
          <w:szCs w:val="22"/>
          <w:lang w:eastAsia="en-US"/>
        </w:rPr>
      </w:pPr>
    </w:p>
    <w:p w:rsidR="00776C16" w:rsidRPr="00776C16" w:rsidRDefault="00776C16" w:rsidP="0039331E">
      <w:pPr>
        <w:numPr>
          <w:ilvl w:val="0"/>
          <w:numId w:val="33"/>
        </w:numPr>
        <w:ind w:left="567" w:hanging="567"/>
        <w:contextualSpacing/>
        <w:jc w:val="both"/>
        <w:rPr>
          <w:rFonts w:asciiTheme="minorHAnsi" w:hAnsiTheme="minorHAnsi" w:cs="Arial"/>
          <w:szCs w:val="22"/>
          <w:lang w:eastAsia="en-US"/>
        </w:rPr>
      </w:pPr>
      <w:r w:rsidRPr="00776C16">
        <w:rPr>
          <w:rFonts w:asciiTheme="minorHAnsi" w:hAnsiTheme="minorHAnsi" w:cs="Arial"/>
          <w:b/>
          <w:szCs w:val="22"/>
          <w:lang w:eastAsia="en-US"/>
        </w:rPr>
        <w:t>Depreciation:</w:t>
      </w:r>
      <w:r w:rsidRPr="00776C16">
        <w:rPr>
          <w:rFonts w:asciiTheme="minorHAnsi" w:hAnsiTheme="minorHAnsi" w:cs="Arial"/>
          <w:szCs w:val="22"/>
          <w:lang w:eastAsia="en-US"/>
        </w:rPr>
        <w:t xml:space="preserve"> there were questions about the amount of depreciation on assets and that the Asset Management Plan included in the Oberon CSP 2014 was not clear</w:t>
      </w:r>
      <w:r w:rsidR="00907805">
        <w:rPr>
          <w:rFonts w:asciiTheme="minorHAnsi" w:hAnsiTheme="minorHAnsi" w:cs="Arial"/>
          <w:szCs w:val="22"/>
          <w:lang w:eastAsia="en-US"/>
        </w:rPr>
        <w:t>;</w:t>
      </w:r>
    </w:p>
    <w:p w:rsidR="00776C16" w:rsidRDefault="00776C16" w:rsidP="0039331E">
      <w:pPr>
        <w:numPr>
          <w:ilvl w:val="0"/>
          <w:numId w:val="33"/>
        </w:numPr>
        <w:ind w:left="567" w:hanging="567"/>
        <w:contextualSpacing/>
        <w:jc w:val="both"/>
        <w:rPr>
          <w:rFonts w:asciiTheme="minorHAnsi" w:hAnsiTheme="minorHAnsi" w:cs="Arial"/>
          <w:szCs w:val="22"/>
          <w:lang w:eastAsia="en-US"/>
        </w:rPr>
      </w:pPr>
      <w:r w:rsidRPr="00776C16">
        <w:rPr>
          <w:rFonts w:asciiTheme="minorHAnsi" w:hAnsiTheme="minorHAnsi" w:cs="Arial"/>
          <w:b/>
          <w:szCs w:val="22"/>
          <w:lang w:eastAsia="en-US"/>
        </w:rPr>
        <w:t>Operating Costs</w:t>
      </w:r>
      <w:r w:rsidRPr="00776C16">
        <w:rPr>
          <w:rFonts w:asciiTheme="minorHAnsi" w:hAnsiTheme="minorHAnsi" w:cs="Arial"/>
          <w:szCs w:val="22"/>
          <w:lang w:eastAsia="en-US"/>
        </w:rPr>
        <w:t>: difficult to understand how costs could be increasing 7% when income was only raising at an average of 2.5% with rate pegging; there were questions around staff efficiencies and whether Oberon Council had, o</w:t>
      </w:r>
      <w:r w:rsidR="0039331E">
        <w:rPr>
          <w:rFonts w:asciiTheme="minorHAnsi" w:hAnsiTheme="minorHAnsi" w:cs="Arial"/>
          <w:szCs w:val="22"/>
          <w:lang w:eastAsia="en-US"/>
        </w:rPr>
        <w:t>r intended to, conduct efficiency</w:t>
      </w:r>
      <w:r w:rsidRPr="00776C16">
        <w:rPr>
          <w:rFonts w:asciiTheme="minorHAnsi" w:hAnsiTheme="minorHAnsi" w:cs="Arial"/>
          <w:szCs w:val="22"/>
          <w:lang w:eastAsia="en-US"/>
        </w:rPr>
        <w:t xml:space="preserve"> reviews;</w:t>
      </w:r>
    </w:p>
    <w:p w:rsidR="00480BBA" w:rsidRPr="00776C16" w:rsidRDefault="00480BBA" w:rsidP="0039331E">
      <w:pPr>
        <w:numPr>
          <w:ilvl w:val="0"/>
          <w:numId w:val="33"/>
        </w:numPr>
        <w:ind w:left="567" w:hanging="567"/>
        <w:contextualSpacing/>
        <w:jc w:val="both"/>
        <w:rPr>
          <w:rFonts w:asciiTheme="minorHAnsi" w:hAnsiTheme="minorHAnsi" w:cs="Arial"/>
          <w:szCs w:val="22"/>
          <w:lang w:eastAsia="en-US"/>
        </w:rPr>
      </w:pPr>
      <w:r w:rsidRPr="00480BBA">
        <w:rPr>
          <w:rFonts w:asciiTheme="minorHAnsi" w:hAnsiTheme="minorHAnsi" w:cs="Arial"/>
          <w:b/>
          <w:szCs w:val="22"/>
          <w:lang w:eastAsia="en-US"/>
        </w:rPr>
        <w:t>Impact on Farmland</w:t>
      </w:r>
      <w:r>
        <w:rPr>
          <w:rFonts w:asciiTheme="minorHAnsi" w:hAnsiTheme="minorHAnsi" w:cs="Arial"/>
          <w:szCs w:val="22"/>
          <w:lang w:eastAsia="en-US"/>
        </w:rPr>
        <w:t xml:space="preserve">: </w:t>
      </w:r>
      <w:r w:rsidR="00907805">
        <w:rPr>
          <w:rFonts w:asciiTheme="minorHAnsi" w:hAnsiTheme="minorHAnsi" w:cs="Arial"/>
          <w:szCs w:val="22"/>
          <w:lang w:eastAsia="en-US"/>
        </w:rPr>
        <w:t xml:space="preserve">farmers are having </w:t>
      </w:r>
      <w:r w:rsidR="0039331E">
        <w:rPr>
          <w:rFonts w:asciiTheme="minorHAnsi" w:hAnsiTheme="minorHAnsi" w:cs="Arial"/>
          <w:szCs w:val="22"/>
          <w:lang w:eastAsia="en-US"/>
        </w:rPr>
        <w:t xml:space="preserve">a </w:t>
      </w:r>
      <w:r w:rsidR="00907805">
        <w:rPr>
          <w:rFonts w:asciiTheme="minorHAnsi" w:hAnsiTheme="minorHAnsi" w:cs="Arial"/>
          <w:szCs w:val="22"/>
          <w:lang w:eastAsia="en-US"/>
        </w:rPr>
        <w:t>difficult time at the moment with difficult markets and they will not be getting a 10% increase in their income to cover this increase;</w:t>
      </w:r>
    </w:p>
    <w:p w:rsidR="00776C16" w:rsidRPr="00776C16" w:rsidRDefault="00776C16" w:rsidP="0039331E">
      <w:pPr>
        <w:numPr>
          <w:ilvl w:val="0"/>
          <w:numId w:val="33"/>
        </w:numPr>
        <w:ind w:left="567" w:hanging="567"/>
        <w:contextualSpacing/>
        <w:jc w:val="both"/>
        <w:rPr>
          <w:rFonts w:asciiTheme="minorHAnsi" w:hAnsiTheme="minorHAnsi" w:cs="Arial"/>
          <w:szCs w:val="22"/>
          <w:lang w:eastAsia="en-US"/>
        </w:rPr>
      </w:pPr>
      <w:r w:rsidRPr="00776C16">
        <w:rPr>
          <w:rFonts w:asciiTheme="minorHAnsi" w:hAnsiTheme="minorHAnsi" w:cs="Arial"/>
          <w:szCs w:val="22"/>
          <w:lang w:eastAsia="en-US"/>
        </w:rPr>
        <w:t>One member commented that Oberon Council is one of the better Council’s that he has had experience with and that ratepayers should be more accepting.</w:t>
      </w:r>
    </w:p>
    <w:p w:rsidR="00776C16" w:rsidRPr="00776C16" w:rsidRDefault="00776C16" w:rsidP="00776C16">
      <w:pPr>
        <w:ind w:left="567"/>
        <w:jc w:val="both"/>
        <w:rPr>
          <w:rFonts w:asciiTheme="minorHAnsi" w:hAnsiTheme="minorHAnsi" w:cs="Arial"/>
          <w:szCs w:val="22"/>
          <w:lang w:eastAsia="en-US"/>
        </w:rPr>
      </w:pPr>
    </w:p>
    <w:p w:rsidR="00776C16" w:rsidRPr="00776C16" w:rsidRDefault="00776C16" w:rsidP="0039331E">
      <w:pPr>
        <w:jc w:val="both"/>
        <w:rPr>
          <w:rFonts w:asciiTheme="minorHAnsi" w:hAnsiTheme="minorHAnsi" w:cs="Arial"/>
          <w:szCs w:val="22"/>
          <w:lang w:eastAsia="en-US"/>
        </w:rPr>
      </w:pPr>
      <w:r w:rsidRPr="00776C16">
        <w:rPr>
          <w:rFonts w:asciiTheme="minorHAnsi" w:hAnsiTheme="minorHAnsi" w:cs="Arial"/>
          <w:szCs w:val="22"/>
          <w:lang w:eastAsia="en-US"/>
        </w:rPr>
        <w:t>While responses were provided at the Community Information Session to these concerns and other questions, the General Manager committed to have an Issues Paper prepared to distribute if and when Council decided to s</w:t>
      </w:r>
      <w:r w:rsidR="0039331E">
        <w:rPr>
          <w:rFonts w:asciiTheme="minorHAnsi" w:hAnsiTheme="minorHAnsi" w:cs="Arial"/>
          <w:szCs w:val="22"/>
          <w:lang w:eastAsia="en-US"/>
        </w:rPr>
        <w:t>ubmit an Expression of Interest/</w:t>
      </w:r>
      <w:r w:rsidRPr="00776C16">
        <w:rPr>
          <w:rFonts w:asciiTheme="minorHAnsi" w:hAnsiTheme="minorHAnsi" w:cs="Arial"/>
          <w:szCs w:val="22"/>
          <w:lang w:eastAsia="en-US"/>
        </w:rPr>
        <w:t xml:space="preserve">Application to IPART for a </w:t>
      </w:r>
      <w:r w:rsidR="00187715">
        <w:rPr>
          <w:rFonts w:asciiTheme="minorHAnsi" w:hAnsiTheme="minorHAnsi" w:cs="Arial"/>
          <w:szCs w:val="22"/>
          <w:lang w:eastAsia="en-US"/>
        </w:rPr>
        <w:t>Special Rate Variation</w:t>
      </w:r>
      <w:r w:rsidRPr="00776C16">
        <w:rPr>
          <w:rFonts w:asciiTheme="minorHAnsi" w:hAnsiTheme="minorHAnsi" w:cs="Arial"/>
          <w:szCs w:val="22"/>
          <w:lang w:eastAsia="en-US"/>
        </w:rPr>
        <w:t xml:space="preserve"> of the General Rates.</w:t>
      </w:r>
    </w:p>
    <w:p w:rsidR="00776C16" w:rsidRPr="00776C16" w:rsidRDefault="00776C16" w:rsidP="00776C16">
      <w:pPr>
        <w:ind w:left="567"/>
        <w:jc w:val="both"/>
        <w:rPr>
          <w:rFonts w:asciiTheme="minorHAnsi" w:hAnsiTheme="minorHAnsi" w:cs="Arial"/>
          <w:szCs w:val="22"/>
          <w:lang w:eastAsia="en-US"/>
        </w:rPr>
      </w:pPr>
    </w:p>
    <w:p w:rsidR="00776C16" w:rsidRPr="00DB6B18" w:rsidRDefault="00776C16" w:rsidP="00346FD2">
      <w:pPr>
        <w:jc w:val="both"/>
        <w:rPr>
          <w:rFonts w:asciiTheme="minorHAnsi" w:hAnsiTheme="minorHAnsi" w:cs="Arial"/>
          <w:b/>
          <w:szCs w:val="22"/>
          <w:lang w:eastAsia="en-US"/>
        </w:rPr>
      </w:pPr>
      <w:r w:rsidRPr="00DB6B18">
        <w:rPr>
          <w:rFonts w:asciiTheme="minorHAnsi" w:hAnsiTheme="minorHAnsi" w:cs="Arial"/>
          <w:b/>
          <w:szCs w:val="22"/>
          <w:lang w:eastAsia="en-US"/>
        </w:rPr>
        <w:t>SURVEY RESULTS</w:t>
      </w:r>
    </w:p>
    <w:p w:rsidR="00776C16" w:rsidRPr="00776C16" w:rsidRDefault="00776C16" w:rsidP="00346FD2">
      <w:pPr>
        <w:jc w:val="both"/>
        <w:rPr>
          <w:rFonts w:asciiTheme="minorHAnsi" w:hAnsiTheme="minorHAnsi" w:cs="Arial"/>
          <w:szCs w:val="22"/>
          <w:lang w:eastAsia="en-US"/>
        </w:rPr>
      </w:pPr>
      <w:r w:rsidRPr="00776C16">
        <w:rPr>
          <w:rFonts w:asciiTheme="minorHAnsi" w:hAnsiTheme="minorHAnsi" w:cs="Arial"/>
          <w:szCs w:val="22"/>
          <w:lang w:eastAsia="en-US"/>
        </w:rPr>
        <w:t>The result of the Survey responses is</w:t>
      </w:r>
      <w:r w:rsidR="001C526A">
        <w:rPr>
          <w:rFonts w:asciiTheme="minorHAnsi" w:hAnsiTheme="minorHAnsi" w:cs="Arial"/>
          <w:szCs w:val="22"/>
          <w:lang w:eastAsia="en-US"/>
        </w:rPr>
        <w:t xml:space="preserve"> as follows</w:t>
      </w:r>
      <w:r w:rsidRPr="00776C16">
        <w:rPr>
          <w:rFonts w:asciiTheme="minorHAnsi" w:hAnsiTheme="minorHAnsi" w:cs="Arial"/>
          <w:szCs w:val="22"/>
          <w:lang w:eastAsia="en-US"/>
        </w:rPr>
        <w:t>:</w:t>
      </w:r>
    </w:p>
    <w:p w:rsidR="00776C16" w:rsidRPr="00776C16" w:rsidRDefault="00776C16" w:rsidP="00346FD2">
      <w:pPr>
        <w:numPr>
          <w:ilvl w:val="0"/>
          <w:numId w:val="32"/>
        </w:numPr>
        <w:tabs>
          <w:tab w:val="left" w:pos="6663"/>
          <w:tab w:val="right" w:pos="7938"/>
        </w:tabs>
        <w:ind w:left="567" w:hanging="567"/>
        <w:contextualSpacing/>
        <w:rPr>
          <w:rFonts w:asciiTheme="minorHAnsi" w:hAnsiTheme="minorHAnsi" w:cs="Arial"/>
          <w:szCs w:val="22"/>
          <w:lang w:eastAsia="en-US"/>
        </w:rPr>
      </w:pPr>
      <w:r w:rsidRPr="00776C16">
        <w:rPr>
          <w:rFonts w:asciiTheme="minorHAnsi" w:hAnsiTheme="minorHAnsi" w:cs="Arial"/>
          <w:szCs w:val="22"/>
          <w:lang w:eastAsia="en-US"/>
        </w:rPr>
        <w:t>Option 1 Maintain and Improve Service Levels</w:t>
      </w:r>
      <w:r w:rsidR="00C071FF">
        <w:rPr>
          <w:rFonts w:asciiTheme="minorHAnsi" w:hAnsiTheme="minorHAnsi" w:cs="Arial"/>
          <w:szCs w:val="22"/>
          <w:lang w:eastAsia="en-US"/>
        </w:rPr>
        <w:t xml:space="preserve">: </w:t>
      </w:r>
      <w:r w:rsidRPr="00776C16">
        <w:rPr>
          <w:rFonts w:asciiTheme="minorHAnsi" w:hAnsiTheme="minorHAnsi" w:cs="Arial"/>
          <w:szCs w:val="22"/>
          <w:lang w:eastAsia="en-US"/>
        </w:rPr>
        <w:t>10%</w:t>
      </w:r>
      <w:r w:rsidRPr="00776C16">
        <w:rPr>
          <w:rFonts w:asciiTheme="minorHAnsi" w:hAnsiTheme="minorHAnsi" w:cs="Arial"/>
          <w:b/>
          <w:szCs w:val="22"/>
          <w:lang w:eastAsia="en-US"/>
        </w:rPr>
        <w:t xml:space="preserve"> </w:t>
      </w:r>
      <w:r w:rsidRPr="00776C16">
        <w:rPr>
          <w:rFonts w:asciiTheme="minorHAnsi" w:hAnsiTheme="minorHAnsi" w:cs="Arial"/>
          <w:szCs w:val="22"/>
          <w:lang w:eastAsia="en-US"/>
        </w:rPr>
        <w:t xml:space="preserve">increase </w:t>
      </w:r>
      <w:r w:rsidRPr="00776C16">
        <w:rPr>
          <w:rFonts w:asciiTheme="minorHAnsi" w:hAnsiTheme="minorHAnsi" w:cs="Arial"/>
          <w:szCs w:val="22"/>
          <w:lang w:eastAsia="en-US"/>
        </w:rPr>
        <w:tab/>
      </w:r>
      <w:r w:rsidRPr="00776C16">
        <w:rPr>
          <w:rFonts w:asciiTheme="minorHAnsi" w:hAnsiTheme="minorHAnsi" w:cs="Arial"/>
          <w:szCs w:val="22"/>
          <w:lang w:eastAsia="en-US"/>
        </w:rPr>
        <w:tab/>
        <w:t>201</w:t>
      </w:r>
    </w:p>
    <w:p w:rsidR="00776C16" w:rsidRPr="00776C16" w:rsidRDefault="00776C16" w:rsidP="00346FD2">
      <w:pPr>
        <w:numPr>
          <w:ilvl w:val="0"/>
          <w:numId w:val="32"/>
        </w:numPr>
        <w:tabs>
          <w:tab w:val="left" w:pos="6663"/>
          <w:tab w:val="right" w:pos="7938"/>
        </w:tabs>
        <w:ind w:left="567" w:hanging="567"/>
        <w:contextualSpacing/>
        <w:rPr>
          <w:rFonts w:asciiTheme="minorHAnsi" w:hAnsiTheme="minorHAnsi" w:cs="Arial"/>
          <w:szCs w:val="22"/>
          <w:lang w:eastAsia="en-US"/>
        </w:rPr>
      </w:pPr>
      <w:r w:rsidRPr="00776C16">
        <w:rPr>
          <w:rFonts w:asciiTheme="minorHAnsi" w:hAnsiTheme="minorHAnsi" w:cs="Arial"/>
          <w:szCs w:val="22"/>
          <w:lang w:eastAsia="en-US"/>
        </w:rPr>
        <w:t>Option 2 Reduced Service Levels</w:t>
      </w:r>
      <w:r w:rsidR="00C071FF">
        <w:rPr>
          <w:rFonts w:asciiTheme="minorHAnsi" w:hAnsiTheme="minorHAnsi" w:cs="Arial"/>
          <w:szCs w:val="22"/>
          <w:lang w:eastAsia="en-US"/>
        </w:rPr>
        <w:t xml:space="preserve">: </w:t>
      </w:r>
      <w:r w:rsidRPr="00776C16">
        <w:rPr>
          <w:rFonts w:asciiTheme="minorHAnsi" w:hAnsiTheme="minorHAnsi" w:cs="Arial"/>
          <w:szCs w:val="22"/>
          <w:lang w:eastAsia="en-US"/>
        </w:rPr>
        <w:t>5 % increase</w:t>
      </w:r>
      <w:r w:rsidRPr="00776C16">
        <w:rPr>
          <w:rFonts w:asciiTheme="minorHAnsi" w:hAnsiTheme="minorHAnsi" w:cs="Arial"/>
          <w:szCs w:val="22"/>
          <w:lang w:eastAsia="en-US"/>
        </w:rPr>
        <w:tab/>
      </w:r>
      <w:r w:rsidRPr="00776C16">
        <w:rPr>
          <w:rFonts w:asciiTheme="minorHAnsi" w:hAnsiTheme="minorHAnsi" w:cs="Arial"/>
          <w:szCs w:val="22"/>
          <w:lang w:eastAsia="en-US"/>
        </w:rPr>
        <w:tab/>
        <w:t>88</w:t>
      </w:r>
    </w:p>
    <w:p w:rsidR="00776C16" w:rsidRPr="00776C16" w:rsidRDefault="00776C16" w:rsidP="00346FD2">
      <w:pPr>
        <w:numPr>
          <w:ilvl w:val="0"/>
          <w:numId w:val="32"/>
        </w:numPr>
        <w:tabs>
          <w:tab w:val="left" w:pos="6663"/>
          <w:tab w:val="right" w:pos="7938"/>
        </w:tabs>
        <w:ind w:left="567" w:hanging="567"/>
        <w:contextualSpacing/>
        <w:rPr>
          <w:rFonts w:asciiTheme="minorHAnsi" w:hAnsiTheme="minorHAnsi" w:cs="Arial"/>
          <w:szCs w:val="22"/>
          <w:lang w:eastAsia="en-US"/>
        </w:rPr>
      </w:pPr>
      <w:r w:rsidRPr="00776C16">
        <w:rPr>
          <w:rFonts w:asciiTheme="minorHAnsi" w:hAnsiTheme="minorHAnsi" w:cs="Arial"/>
          <w:szCs w:val="22"/>
          <w:lang w:eastAsia="en-US"/>
        </w:rPr>
        <w:t>Other</w:t>
      </w:r>
      <w:r w:rsidRPr="00776C16">
        <w:rPr>
          <w:rFonts w:asciiTheme="minorHAnsi" w:hAnsiTheme="minorHAnsi" w:cs="Arial"/>
          <w:szCs w:val="22"/>
          <w:lang w:eastAsia="en-US"/>
        </w:rPr>
        <w:tab/>
      </w:r>
      <w:r w:rsidRPr="00776C16">
        <w:rPr>
          <w:rFonts w:asciiTheme="minorHAnsi" w:hAnsiTheme="minorHAnsi" w:cs="Arial"/>
          <w:szCs w:val="22"/>
          <w:lang w:eastAsia="en-US"/>
        </w:rPr>
        <w:tab/>
        <w:t>20</w:t>
      </w:r>
    </w:p>
    <w:p w:rsidR="00776C16" w:rsidRPr="00776C16" w:rsidRDefault="00776C16" w:rsidP="00BA6F8D">
      <w:pPr>
        <w:tabs>
          <w:tab w:val="right" w:pos="6237"/>
        </w:tabs>
        <w:rPr>
          <w:rFonts w:asciiTheme="minorHAnsi" w:hAnsiTheme="minorHAnsi" w:cs="Arial"/>
          <w:szCs w:val="22"/>
          <w:lang w:eastAsia="en-US"/>
        </w:rPr>
      </w:pPr>
    </w:p>
    <w:p w:rsidR="00776C16" w:rsidRPr="00776C16" w:rsidRDefault="00776C16" w:rsidP="00346FD2">
      <w:pPr>
        <w:rPr>
          <w:rFonts w:asciiTheme="minorHAnsi" w:hAnsiTheme="minorHAnsi" w:cs="Arial"/>
          <w:szCs w:val="22"/>
          <w:lang w:eastAsia="en-US"/>
        </w:rPr>
      </w:pPr>
      <w:r w:rsidRPr="00776C16">
        <w:rPr>
          <w:rFonts w:asciiTheme="minorHAnsi" w:hAnsiTheme="minorHAnsi" w:cs="Arial"/>
          <w:szCs w:val="22"/>
          <w:lang w:eastAsia="en-US"/>
        </w:rPr>
        <w:t xml:space="preserve">The following comments were received with the </w:t>
      </w:r>
      <w:r w:rsidR="00187715">
        <w:rPr>
          <w:rFonts w:asciiTheme="minorHAnsi" w:hAnsiTheme="minorHAnsi" w:cs="Arial"/>
          <w:szCs w:val="22"/>
          <w:lang w:eastAsia="en-US"/>
        </w:rPr>
        <w:t>Survey</w:t>
      </w:r>
      <w:r w:rsidRPr="00776C16">
        <w:rPr>
          <w:rFonts w:asciiTheme="minorHAnsi" w:hAnsiTheme="minorHAnsi" w:cs="Arial"/>
          <w:szCs w:val="22"/>
          <w:lang w:eastAsia="en-US"/>
        </w:rPr>
        <w:t>s.</w:t>
      </w:r>
    </w:p>
    <w:p w:rsidR="00776C16" w:rsidRPr="00776C16" w:rsidRDefault="00776C16" w:rsidP="00776C16">
      <w:pPr>
        <w:ind w:left="567"/>
        <w:rPr>
          <w:rFonts w:asciiTheme="minorHAnsi" w:hAnsiTheme="minorHAnsi" w:cs="Arial"/>
          <w:szCs w:val="22"/>
          <w:lang w:eastAsia="en-US"/>
        </w:rPr>
      </w:pPr>
    </w:p>
    <w:p w:rsidR="00776C16" w:rsidRPr="00776C16" w:rsidRDefault="00776C16" w:rsidP="00346FD2">
      <w:pPr>
        <w:rPr>
          <w:rFonts w:asciiTheme="minorHAnsi" w:hAnsiTheme="minorHAnsi" w:cs="Arial"/>
          <w:szCs w:val="22"/>
          <w:lang w:eastAsia="en-US"/>
        </w:rPr>
      </w:pPr>
      <w:r w:rsidRPr="00776C16">
        <w:rPr>
          <w:rFonts w:asciiTheme="minorHAnsi" w:hAnsiTheme="minorHAnsi" w:cs="Arial"/>
          <w:szCs w:val="22"/>
          <w:lang w:eastAsia="en-US"/>
        </w:rPr>
        <w:t>OPTION 1</w:t>
      </w:r>
    </w:p>
    <w:p w:rsidR="00776C16" w:rsidRPr="00776C16" w:rsidRDefault="00776C16" w:rsidP="00346FD2">
      <w:pPr>
        <w:numPr>
          <w:ilvl w:val="0"/>
          <w:numId w:val="34"/>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I refer to the pamphlet ‘Resourcing our Future’ and reluctantly nominate Option 1 as my preference. However, I consider the pamphlet fails totally to consider agricultural interests in the shire; unless of course, it is included in ‘environment’ which is a broad term which can cover so many meanings. Oberon is an attractive district but its Council services are just that – Oberon. Without generally poor road works and some village maintenance the old Evans Shire district receives little or no attention except an ever increasing number of large vehicles speeding on roads far too narrow for them and over-all safety. They are an accident waiting to happen with several drivers forced off the right-of-way. A major problem is </w:t>
      </w:r>
      <w:proofErr w:type="spellStart"/>
      <w:r w:rsidRPr="00776C16">
        <w:rPr>
          <w:rFonts w:asciiTheme="minorHAnsi" w:hAnsiTheme="minorHAnsi" w:cs="Arial"/>
          <w:szCs w:val="22"/>
          <w:lang w:eastAsia="en-US"/>
        </w:rPr>
        <w:t>Sifton</w:t>
      </w:r>
      <w:proofErr w:type="spellEnd"/>
      <w:r w:rsidRPr="00776C16">
        <w:rPr>
          <w:rFonts w:asciiTheme="minorHAnsi" w:hAnsiTheme="minorHAnsi" w:cs="Arial"/>
          <w:szCs w:val="22"/>
          <w:lang w:eastAsia="en-US"/>
        </w:rPr>
        <w:t xml:space="preserve"> weed (biddy bush) which is steadily increasing its coverage but every time I raise the subject with Councillors the response is some muttering and a change of subject. It can be controlled by mechanical and/or chemical means and only calls on ta disciplined approach; a programme which I’m sure could be developed and managed by Oberon Council. If there is no action taken on </w:t>
      </w:r>
      <w:proofErr w:type="spellStart"/>
      <w:r w:rsidRPr="00776C16">
        <w:rPr>
          <w:rFonts w:asciiTheme="minorHAnsi" w:hAnsiTheme="minorHAnsi" w:cs="Arial"/>
          <w:szCs w:val="22"/>
          <w:lang w:eastAsia="en-US"/>
        </w:rPr>
        <w:t>Sifton</w:t>
      </w:r>
      <w:proofErr w:type="spellEnd"/>
      <w:r w:rsidRPr="00776C16">
        <w:rPr>
          <w:rFonts w:asciiTheme="minorHAnsi" w:hAnsiTheme="minorHAnsi" w:cs="Arial"/>
          <w:szCs w:val="22"/>
          <w:lang w:eastAsia="en-US"/>
        </w:rPr>
        <w:t xml:space="preserve"> weed there will be little left for Council to manage. Please accept my apologies for your meeting on 20</w:t>
      </w:r>
      <w:r w:rsidRPr="00776C16">
        <w:rPr>
          <w:rFonts w:asciiTheme="minorHAnsi" w:hAnsiTheme="minorHAnsi" w:cs="Arial"/>
          <w:szCs w:val="22"/>
          <w:vertAlign w:val="superscript"/>
          <w:lang w:eastAsia="en-US"/>
        </w:rPr>
        <w:t>th</w:t>
      </w:r>
      <w:r w:rsidRPr="00776C16">
        <w:rPr>
          <w:rFonts w:asciiTheme="minorHAnsi" w:hAnsiTheme="minorHAnsi" w:cs="Arial"/>
          <w:szCs w:val="22"/>
          <w:lang w:eastAsia="en-US"/>
        </w:rPr>
        <w:t xml:space="preserve"> a surgeon has prior claim.</w:t>
      </w:r>
    </w:p>
    <w:p w:rsidR="00776C16" w:rsidRPr="00776C16" w:rsidRDefault="00776C16" w:rsidP="00346FD2">
      <w:pPr>
        <w:numPr>
          <w:ilvl w:val="0"/>
          <w:numId w:val="34"/>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For residents without waste disposal services, maybe Council would consider one free trip to the tip each quarter to dispose of a trailer/ute load of rubbish. Control system issue: 4 coupons with rate notices - coupons can be used as necessary.</w:t>
      </w:r>
    </w:p>
    <w:p w:rsidR="00776C16" w:rsidRPr="00776C16" w:rsidRDefault="00776C16" w:rsidP="00346FD2">
      <w:pPr>
        <w:numPr>
          <w:ilvl w:val="0"/>
          <w:numId w:val="34"/>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Amalgamation - ignoring something unpleasant wont make it disappear.</w:t>
      </w:r>
    </w:p>
    <w:p w:rsidR="00776C16" w:rsidRPr="00776C16" w:rsidRDefault="00776C16" w:rsidP="00776C16">
      <w:pPr>
        <w:ind w:left="567"/>
        <w:rPr>
          <w:rFonts w:asciiTheme="minorHAnsi" w:hAnsiTheme="minorHAnsi" w:cs="Arial"/>
          <w:szCs w:val="22"/>
          <w:lang w:eastAsia="en-US"/>
        </w:rPr>
      </w:pPr>
    </w:p>
    <w:p w:rsidR="00776C16" w:rsidRPr="00776C16" w:rsidRDefault="00776C16" w:rsidP="00346FD2">
      <w:pPr>
        <w:rPr>
          <w:rFonts w:asciiTheme="minorHAnsi" w:hAnsiTheme="minorHAnsi" w:cs="Arial"/>
          <w:szCs w:val="22"/>
          <w:lang w:eastAsia="en-US"/>
        </w:rPr>
      </w:pPr>
      <w:r w:rsidRPr="00776C16">
        <w:rPr>
          <w:rFonts w:asciiTheme="minorHAnsi" w:hAnsiTheme="minorHAnsi" w:cs="Arial"/>
          <w:szCs w:val="22"/>
          <w:lang w:eastAsia="en-US"/>
        </w:rPr>
        <w:t>OPTION 2</w:t>
      </w:r>
    </w:p>
    <w:p w:rsidR="00776C16" w:rsidRPr="00776C16"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You have asked for my pay. If a business is battling it has to cut costs and become more efficient. I feel the Shire Council is not efficient it just wants more money. The landholders on Beaconsfield Road get nothing for their rates except the road graded occasionally. Farmers do not get a 10% increase in their income because things are a bit tough; we have to make do with what we earn. I think the Shire should streamline its operations and make it work.</w:t>
      </w:r>
    </w:p>
    <w:p w:rsidR="00346FD2" w:rsidRDefault="00346FD2">
      <w:pPr>
        <w:rPr>
          <w:rFonts w:asciiTheme="minorHAnsi" w:hAnsiTheme="minorHAnsi" w:cs="Arial"/>
          <w:szCs w:val="22"/>
          <w:lang w:eastAsia="en-US"/>
        </w:rPr>
      </w:pPr>
      <w:r>
        <w:rPr>
          <w:rFonts w:asciiTheme="minorHAnsi" w:hAnsiTheme="minorHAnsi" w:cs="Arial"/>
          <w:szCs w:val="22"/>
          <w:lang w:eastAsia="en-US"/>
        </w:rPr>
        <w:br w:type="page"/>
      </w:r>
    </w:p>
    <w:p w:rsidR="00776C16" w:rsidRPr="00776C16"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lastRenderedPageBreak/>
        <w:t>The rates are already too high, with not even a taxi to get to the shops. A car is needed to get to the bus stop for Bathurst. No convenience in transport.</w:t>
      </w:r>
    </w:p>
    <w:p w:rsidR="00776C16" w:rsidRPr="00776C16"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Manage better</w:t>
      </w:r>
    </w:p>
    <w:p w:rsidR="00776C16" w:rsidRPr="00776C16"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You must be joking</w:t>
      </w:r>
    </w:p>
    <w:p w:rsidR="00776C16" w:rsidRPr="00776C16"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How about cutting indoor staff numbers - that would save money.</w:t>
      </w:r>
    </w:p>
    <w:p w:rsidR="00BA6F8D" w:rsidRDefault="00776C16" w:rsidP="00346FD2">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We own close to 1,100 acres of farmland close to town with access via Bailey Lane and </w:t>
      </w:r>
      <w:proofErr w:type="spellStart"/>
      <w:r w:rsidRPr="00776C16">
        <w:rPr>
          <w:rFonts w:asciiTheme="minorHAnsi" w:hAnsiTheme="minorHAnsi" w:cs="Arial"/>
          <w:szCs w:val="22"/>
          <w:lang w:eastAsia="en-US"/>
        </w:rPr>
        <w:t>Nunan’s</w:t>
      </w:r>
      <w:proofErr w:type="spellEnd"/>
      <w:r w:rsidRPr="00776C16">
        <w:rPr>
          <w:rFonts w:asciiTheme="minorHAnsi" w:hAnsiTheme="minorHAnsi" w:cs="Arial"/>
          <w:szCs w:val="22"/>
          <w:lang w:eastAsia="en-US"/>
        </w:rPr>
        <w:t xml:space="preserve"> Hill Road, neither of which are sealed. We have to remove our own garbage to Oberon tip, where we pay a fee to dump our own garbage. We are not connected to town gas or sewerage. So what exactly are we getting for the $4,441 in rates we paid (in the 2012-13 year)? </w:t>
      </w:r>
    </w:p>
    <w:p w:rsidR="00776C16" w:rsidRPr="00776C16" w:rsidRDefault="00776C16" w:rsidP="002D5D4F">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Option 2, with service levels reduced is still 5% growth at compound interest for 5 years!! Option 1, with service levels maintain and improve is 10% growth with compound interest for 5 years. In both models, ratepayers owning farmland (who receive NIL services from Council rather than occasional grading of our unsealed roads) pay about twice what business ratepayers pay and about three times the average residential rate, yet the business and residential ratepayer receives the bulk of the services. Nor have you provided any guarantee that the rates wont stay at 5% or 10% growth after the 5 years!! The Council needs to: 1) adjust the relative rate charges to better reflect those who most benefit from Council services, or 2) provide better services to farmland ratepayers to justify the very high rates, or 3) review the efficiency of current expenditure levels, so as to keep the rates in line with general inflation which is must lower than 5% pa.</w:t>
      </w:r>
    </w:p>
    <w:p w:rsidR="00776C16" w:rsidRPr="00776C16" w:rsidRDefault="00776C16" w:rsidP="005C0A7A">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My reasons for this are identical to Oberon Council’s reasons for increasing rates. As a farmer my costs are rising far more than my income. This then, of course, makes it impossible to pay for: </w:t>
      </w:r>
      <w:proofErr w:type="spellStart"/>
      <w:r w:rsidRPr="00776C16">
        <w:rPr>
          <w:rFonts w:asciiTheme="minorHAnsi" w:hAnsiTheme="minorHAnsi" w:cs="Arial"/>
          <w:szCs w:val="22"/>
          <w:lang w:eastAsia="en-US"/>
        </w:rPr>
        <w:t>i</w:t>
      </w:r>
      <w:proofErr w:type="spellEnd"/>
      <w:r w:rsidRPr="00776C16">
        <w:rPr>
          <w:rFonts w:asciiTheme="minorHAnsi" w:hAnsiTheme="minorHAnsi" w:cs="Arial"/>
          <w:szCs w:val="22"/>
          <w:lang w:eastAsia="en-US"/>
        </w:rPr>
        <w:t xml:space="preserve">) infrastructure, renewing and repairing; ii) </w:t>
      </w:r>
      <w:proofErr w:type="spellStart"/>
      <w:r w:rsidRPr="00776C16">
        <w:rPr>
          <w:rFonts w:asciiTheme="minorHAnsi" w:hAnsiTheme="minorHAnsi" w:cs="Arial"/>
          <w:szCs w:val="22"/>
          <w:lang w:eastAsia="en-US"/>
        </w:rPr>
        <w:t>catastrophies</w:t>
      </w:r>
      <w:proofErr w:type="spellEnd"/>
      <w:r w:rsidRPr="00776C16">
        <w:rPr>
          <w:rFonts w:asciiTheme="minorHAnsi" w:hAnsiTheme="minorHAnsi" w:cs="Arial"/>
          <w:szCs w:val="22"/>
          <w:lang w:eastAsia="en-US"/>
        </w:rPr>
        <w:t xml:space="preserve"> and shocks, e.g. droughts, fire; iii) weed control; and iv) care of the land and environment. With climate change things are getting harder and there is greater risk of lower income and </w:t>
      </w:r>
      <w:proofErr w:type="spellStart"/>
      <w:r w:rsidRPr="00776C16">
        <w:rPr>
          <w:rFonts w:asciiTheme="minorHAnsi" w:hAnsiTheme="minorHAnsi" w:cs="Arial"/>
          <w:szCs w:val="22"/>
          <w:lang w:eastAsia="en-US"/>
        </w:rPr>
        <w:t>catastrophies</w:t>
      </w:r>
      <w:proofErr w:type="spellEnd"/>
      <w:r w:rsidRPr="00776C16">
        <w:rPr>
          <w:rFonts w:asciiTheme="minorHAnsi" w:hAnsiTheme="minorHAnsi" w:cs="Arial"/>
          <w:szCs w:val="22"/>
          <w:lang w:eastAsia="en-US"/>
        </w:rPr>
        <w:t xml:space="preserve"> to contend with. Life is becoming more difficult for everyone and we are just going to have to accept reduced services. Conserving water is the greatest challenge and should be Council’s biggest priority. We can live with reduced services but we can’t live without water.</w:t>
      </w:r>
    </w:p>
    <w:p w:rsidR="00776C16" w:rsidRPr="00776C16" w:rsidRDefault="00776C16" w:rsidP="005C0A7A">
      <w:pPr>
        <w:numPr>
          <w:ilvl w:val="0"/>
          <w:numId w:val="36"/>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Get rid of </w:t>
      </w:r>
      <w:r w:rsidRPr="0027314D">
        <w:rPr>
          <w:rFonts w:asciiTheme="minorHAnsi" w:hAnsiTheme="minorHAnsi" w:cs="Arial"/>
          <w:szCs w:val="22"/>
          <w:highlight w:val="black"/>
          <w:lang w:eastAsia="en-US"/>
        </w:rPr>
        <w:t>fat cats and 'piss ups'</w:t>
      </w:r>
      <w:r w:rsidRPr="00776C16">
        <w:rPr>
          <w:rFonts w:asciiTheme="minorHAnsi" w:hAnsiTheme="minorHAnsi" w:cs="Arial"/>
          <w:szCs w:val="22"/>
          <w:lang w:eastAsia="en-US"/>
        </w:rPr>
        <w:t xml:space="preserve"> (this person has sent back their </w:t>
      </w:r>
      <w:r w:rsidR="00187715">
        <w:rPr>
          <w:rFonts w:asciiTheme="minorHAnsi" w:hAnsiTheme="minorHAnsi" w:cs="Arial"/>
          <w:szCs w:val="22"/>
          <w:lang w:eastAsia="en-US"/>
        </w:rPr>
        <w:t>Survey</w:t>
      </w:r>
      <w:r w:rsidRPr="00776C16">
        <w:rPr>
          <w:rFonts w:asciiTheme="minorHAnsi" w:hAnsiTheme="minorHAnsi" w:cs="Arial"/>
          <w:szCs w:val="22"/>
          <w:lang w:eastAsia="en-US"/>
        </w:rPr>
        <w:t xml:space="preserve"> with all pictures, except roads, crossed off</w:t>
      </w:r>
      <w:r w:rsidR="002D5D4F">
        <w:rPr>
          <w:rFonts w:asciiTheme="minorHAnsi" w:hAnsiTheme="minorHAnsi" w:cs="Arial"/>
          <w:szCs w:val="22"/>
          <w:lang w:eastAsia="en-US"/>
        </w:rPr>
        <w:t>).</w:t>
      </w:r>
    </w:p>
    <w:p w:rsidR="00776C16" w:rsidRPr="00776C16" w:rsidRDefault="00776C16" w:rsidP="00776C16">
      <w:pPr>
        <w:ind w:left="567"/>
        <w:rPr>
          <w:rFonts w:asciiTheme="minorHAnsi" w:hAnsiTheme="minorHAnsi" w:cs="Arial"/>
          <w:szCs w:val="22"/>
          <w:lang w:eastAsia="en-US"/>
        </w:rPr>
      </w:pPr>
    </w:p>
    <w:p w:rsidR="00776C16" w:rsidRPr="00776C16" w:rsidRDefault="00776C16" w:rsidP="005C0A7A">
      <w:pPr>
        <w:rPr>
          <w:rFonts w:asciiTheme="minorHAnsi" w:hAnsiTheme="minorHAnsi" w:cs="Arial"/>
          <w:szCs w:val="22"/>
          <w:lang w:eastAsia="en-US"/>
        </w:rPr>
      </w:pPr>
      <w:r w:rsidRPr="00776C16">
        <w:rPr>
          <w:rFonts w:asciiTheme="minorHAnsi" w:hAnsiTheme="minorHAnsi" w:cs="Arial"/>
          <w:szCs w:val="22"/>
          <w:lang w:eastAsia="en-US"/>
        </w:rPr>
        <w:t>OTHER</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Increase rates by CPI: theoretically this should allow Council to maintain current services since CPI is designed to accurately reflect </w:t>
      </w:r>
      <w:r w:rsidR="002D5D4F">
        <w:rPr>
          <w:rFonts w:asciiTheme="minorHAnsi" w:hAnsiTheme="minorHAnsi" w:cs="Arial"/>
          <w:szCs w:val="22"/>
          <w:lang w:eastAsia="en-US"/>
        </w:rPr>
        <w:t>inflation</w:t>
      </w:r>
      <w:r w:rsidRPr="00776C16">
        <w:rPr>
          <w:rFonts w:asciiTheme="minorHAnsi" w:hAnsiTheme="minorHAnsi" w:cs="Arial"/>
          <w:szCs w:val="22"/>
          <w:lang w:eastAsia="en-US"/>
        </w:rPr>
        <w:t xml:space="preserve"> (if CPI rise is not enough that is a problem with Commonwealth statisticians not ratepayers), user-pays for 'frills': no footpaths, playing fields, stormwater drainage, public toilets, libraries, swimming pools any place close to my property. Special interest groups such as football enthusiasts should be prepared to pay costs associated, why do far/rural ratepayers have to subsidise?  residential? Seems that they get vast bulk of benefits but only pay one third farmland rates (all I get is a road).</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Service levels maintained and reduce your costs by $180,000 p.a. Suggest a start is</w:t>
      </w:r>
      <w:r w:rsidR="00392CEA">
        <w:rPr>
          <w:rFonts w:asciiTheme="minorHAnsi" w:hAnsiTheme="minorHAnsi" w:cs="Arial"/>
          <w:szCs w:val="22"/>
          <w:lang w:eastAsia="en-US"/>
        </w:rPr>
        <w:t xml:space="preserve"> to</w:t>
      </w:r>
      <w:r w:rsidRPr="00776C16">
        <w:rPr>
          <w:rFonts w:asciiTheme="minorHAnsi" w:hAnsiTheme="minorHAnsi" w:cs="Arial"/>
          <w:szCs w:val="22"/>
          <w:lang w:eastAsia="en-US"/>
        </w:rPr>
        <w:t xml:space="preserve"> look at your staffing.</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Preferred option is to amalgamate</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Not enough information</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Status quo - not enough information</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color w:val="000000"/>
          <w:szCs w:val="22"/>
        </w:rPr>
        <w:t>Amalgamate with Bathurst.</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Leave the way they are</w:t>
      </w:r>
    </w:p>
    <w:p w:rsidR="00776C16" w:rsidRPr="00776C16" w:rsidRDefault="00776C16" w:rsidP="005C0A7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I do not feel that this handout has provided me with enough info to make a decision</w:t>
      </w:r>
    </w:p>
    <w:p w:rsidR="00776C16" w:rsidRPr="00776C16" w:rsidRDefault="00776C16" w:rsidP="00392CE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Rate peg increase only</w:t>
      </w:r>
    </w:p>
    <w:p w:rsidR="00776C16" w:rsidRPr="00776C16" w:rsidRDefault="00776C16" w:rsidP="00392CEA">
      <w:pPr>
        <w:numPr>
          <w:ilvl w:val="0"/>
          <w:numId w:val="35"/>
        </w:numPr>
        <w:ind w:left="567" w:hanging="567"/>
        <w:jc w:val="both"/>
        <w:rPr>
          <w:rFonts w:asciiTheme="minorHAnsi" w:hAnsiTheme="minorHAnsi" w:cs="Arial"/>
          <w:szCs w:val="22"/>
          <w:lang w:eastAsia="en-US"/>
        </w:rPr>
      </w:pPr>
      <w:r w:rsidRPr="00776C16">
        <w:rPr>
          <w:rFonts w:asciiTheme="minorHAnsi" w:hAnsiTheme="minorHAnsi" w:cs="Arial"/>
          <w:szCs w:val="22"/>
          <w:lang w:eastAsia="en-US"/>
        </w:rPr>
        <w:t xml:space="preserve">We </w:t>
      </w:r>
      <w:r w:rsidR="009602C2">
        <w:rPr>
          <w:rFonts w:asciiTheme="minorHAnsi" w:hAnsiTheme="minorHAnsi" w:cs="Arial"/>
          <w:szCs w:val="22"/>
          <w:lang w:eastAsia="en-US"/>
        </w:rPr>
        <w:t>do not agree with either option</w:t>
      </w:r>
      <w:r w:rsidRPr="00776C16">
        <w:rPr>
          <w:rFonts w:asciiTheme="minorHAnsi" w:hAnsiTheme="minorHAnsi" w:cs="Arial"/>
          <w:szCs w:val="22"/>
          <w:lang w:eastAsia="en-US"/>
        </w:rPr>
        <w:t xml:space="preserve"> because farmland ratepayers paying a lot more of an increase to other ratepayers per year when some of the rural roads still will not be sealed or maintain like other roads and the streets.</w:t>
      </w:r>
    </w:p>
    <w:p w:rsidR="00776C16" w:rsidRPr="00776C16" w:rsidRDefault="00776C16" w:rsidP="00776C16">
      <w:pPr>
        <w:ind w:left="567"/>
        <w:contextualSpacing/>
        <w:rPr>
          <w:rFonts w:asciiTheme="minorHAnsi" w:hAnsiTheme="minorHAnsi" w:cs="Arial"/>
          <w:szCs w:val="22"/>
          <w:lang w:eastAsia="en-US"/>
        </w:rPr>
      </w:pPr>
    </w:p>
    <w:p w:rsidR="00346FD2" w:rsidRDefault="00346FD2">
      <w:pPr>
        <w:rPr>
          <w:rFonts w:asciiTheme="minorHAnsi" w:hAnsiTheme="minorHAnsi" w:cs="Arial"/>
          <w:szCs w:val="22"/>
          <w:lang w:eastAsia="en-US"/>
        </w:rPr>
      </w:pPr>
      <w:r>
        <w:rPr>
          <w:rFonts w:asciiTheme="minorHAnsi" w:hAnsiTheme="minorHAnsi" w:cs="Arial"/>
          <w:szCs w:val="22"/>
          <w:lang w:eastAsia="en-US"/>
        </w:rPr>
        <w:br w:type="page"/>
      </w:r>
    </w:p>
    <w:p w:rsidR="00346FD2" w:rsidRDefault="00346FD2" w:rsidP="00392CEA">
      <w:pPr>
        <w:tabs>
          <w:tab w:val="left" w:pos="567"/>
        </w:tabs>
        <w:jc w:val="both"/>
        <w:rPr>
          <w:rFonts w:asciiTheme="minorHAnsi" w:hAnsiTheme="minorHAnsi" w:cs="Arial"/>
          <w:szCs w:val="22"/>
          <w:lang w:eastAsia="en-US"/>
        </w:rPr>
      </w:pPr>
    </w:p>
    <w:p w:rsidR="00776C16" w:rsidRPr="00776C16" w:rsidRDefault="004F3BF9" w:rsidP="00392CEA">
      <w:pPr>
        <w:tabs>
          <w:tab w:val="left" w:pos="567"/>
        </w:tabs>
        <w:jc w:val="both"/>
        <w:rPr>
          <w:rFonts w:asciiTheme="minorHAnsi" w:hAnsiTheme="minorHAnsi" w:cs="Arial"/>
          <w:szCs w:val="22"/>
          <w:lang w:eastAsia="en-US"/>
        </w:rPr>
      </w:pPr>
      <w:r w:rsidRPr="004F3BF9">
        <w:rPr>
          <w:rFonts w:asciiTheme="minorHAnsi" w:hAnsiTheme="minorHAnsi" w:cs="Arial"/>
          <w:szCs w:val="22"/>
          <w:lang w:eastAsia="en-US"/>
        </w:rPr>
        <w:t xml:space="preserve">Please refer to </w:t>
      </w:r>
      <w:r w:rsidRPr="003A5A82">
        <w:rPr>
          <w:rFonts w:asciiTheme="minorHAnsi" w:hAnsiTheme="minorHAnsi" w:cs="Arial"/>
          <w:szCs w:val="22"/>
          <w:lang w:eastAsia="en-US"/>
        </w:rPr>
        <w:t xml:space="preserve">Attachment </w:t>
      </w:r>
      <w:r w:rsidR="003A5A82" w:rsidRPr="003A5A82">
        <w:rPr>
          <w:rFonts w:asciiTheme="minorHAnsi" w:hAnsiTheme="minorHAnsi" w:cs="Arial"/>
          <w:szCs w:val="22"/>
          <w:lang w:eastAsia="en-US"/>
        </w:rPr>
        <w:t>4</w:t>
      </w:r>
      <w:r w:rsidR="00346FD2">
        <w:rPr>
          <w:rFonts w:asciiTheme="minorHAnsi" w:hAnsiTheme="minorHAnsi" w:cs="Arial"/>
          <w:szCs w:val="22"/>
          <w:lang w:eastAsia="en-US"/>
        </w:rPr>
        <w:t>a</w:t>
      </w:r>
      <w:r w:rsidR="003A5A82">
        <w:rPr>
          <w:rFonts w:asciiTheme="minorHAnsi" w:hAnsiTheme="minorHAnsi" w:cs="Arial"/>
          <w:szCs w:val="22"/>
          <w:lang w:eastAsia="en-US"/>
        </w:rPr>
        <w:t>,</w:t>
      </w:r>
      <w:r w:rsidR="00BA6F8D">
        <w:rPr>
          <w:rFonts w:asciiTheme="minorHAnsi" w:hAnsiTheme="minorHAnsi" w:cs="Arial"/>
          <w:szCs w:val="22"/>
          <w:lang w:eastAsia="en-US"/>
        </w:rPr>
        <w:t xml:space="preserve"> </w:t>
      </w:r>
      <w:r>
        <w:rPr>
          <w:rFonts w:asciiTheme="minorHAnsi" w:hAnsiTheme="minorHAnsi" w:cs="Arial"/>
          <w:szCs w:val="22"/>
          <w:lang w:eastAsia="en-US"/>
        </w:rPr>
        <w:t>for</w:t>
      </w:r>
      <w:r w:rsidR="00776C16" w:rsidRPr="00776C16">
        <w:rPr>
          <w:rFonts w:asciiTheme="minorHAnsi" w:hAnsiTheme="minorHAnsi" w:cs="Arial"/>
          <w:szCs w:val="22"/>
          <w:lang w:eastAsia="en-US"/>
        </w:rPr>
        <w:t xml:space="preserve"> letters</w:t>
      </w:r>
      <w:r w:rsidR="00BA6F8D">
        <w:rPr>
          <w:rFonts w:asciiTheme="minorHAnsi" w:hAnsiTheme="minorHAnsi" w:cs="Arial"/>
          <w:szCs w:val="22"/>
          <w:lang w:eastAsia="en-US"/>
        </w:rPr>
        <w:t xml:space="preserve"> received</w:t>
      </w:r>
      <w:r w:rsidR="00776C16" w:rsidRPr="00776C16">
        <w:rPr>
          <w:rFonts w:asciiTheme="minorHAnsi" w:hAnsiTheme="minorHAnsi" w:cs="Arial"/>
          <w:szCs w:val="22"/>
          <w:lang w:eastAsia="en-US"/>
        </w:rPr>
        <w:t xml:space="preserve"> from Ratepayers submitted with the Surveys</w:t>
      </w:r>
      <w:r w:rsidR="002C6DCD">
        <w:rPr>
          <w:rFonts w:asciiTheme="minorHAnsi" w:hAnsiTheme="minorHAnsi" w:cs="Arial"/>
          <w:szCs w:val="22"/>
          <w:lang w:eastAsia="en-US"/>
        </w:rPr>
        <w:t xml:space="preserve"> and </w:t>
      </w:r>
      <w:r w:rsidR="00346FD2">
        <w:rPr>
          <w:rFonts w:asciiTheme="minorHAnsi" w:hAnsiTheme="minorHAnsi" w:cs="Arial"/>
          <w:szCs w:val="22"/>
          <w:lang w:eastAsia="en-US"/>
        </w:rPr>
        <w:t xml:space="preserve">Attachment 4b for </w:t>
      </w:r>
      <w:r w:rsidR="002C6DCD">
        <w:rPr>
          <w:rFonts w:asciiTheme="minorHAnsi" w:hAnsiTheme="minorHAnsi" w:cs="Arial"/>
          <w:szCs w:val="22"/>
          <w:lang w:eastAsia="en-US"/>
        </w:rPr>
        <w:t>Minutes from the Community Information Sessions</w:t>
      </w:r>
      <w:r w:rsidR="00776C16" w:rsidRPr="00776C16">
        <w:rPr>
          <w:rFonts w:asciiTheme="minorHAnsi" w:hAnsiTheme="minorHAnsi" w:cs="Arial"/>
          <w:szCs w:val="22"/>
          <w:lang w:eastAsia="en-US"/>
        </w:rPr>
        <w:t>.</w:t>
      </w:r>
    </w:p>
    <w:p w:rsidR="000F359C" w:rsidRDefault="000F359C" w:rsidP="00270ACB">
      <w:pPr>
        <w:pStyle w:val="Heading1"/>
        <w:tabs>
          <w:tab w:val="clear" w:pos="709"/>
          <w:tab w:val="left" w:pos="567"/>
        </w:tabs>
        <w:ind w:left="567" w:hanging="567"/>
      </w:pPr>
      <w:bookmarkStart w:id="21" w:name="_Toc409776051"/>
      <w:r>
        <w:t>Assessment criterion</w:t>
      </w:r>
      <w:r w:rsidR="00D60EA5">
        <w:t xml:space="preserve"> 3: Impact on ratepayers</w:t>
      </w:r>
      <w:bookmarkEnd w:id="21"/>
    </w:p>
    <w:p w:rsidR="001B5ABF" w:rsidRPr="00270ACB" w:rsidRDefault="001B5ABF" w:rsidP="00450821">
      <w:pPr>
        <w:pStyle w:val="BodyText"/>
        <w:spacing w:before="0" w:line="240" w:lineRule="auto"/>
        <w:ind w:left="568"/>
        <w:rPr>
          <w:rFonts w:asciiTheme="minorHAnsi" w:hAnsiTheme="minorHAnsi"/>
        </w:rPr>
      </w:pPr>
    </w:p>
    <w:p w:rsidR="000428C3" w:rsidRPr="00270ACB" w:rsidRDefault="000428C3" w:rsidP="00270ACB">
      <w:pPr>
        <w:jc w:val="both"/>
        <w:rPr>
          <w:rFonts w:asciiTheme="minorHAnsi" w:hAnsiTheme="minorHAnsi"/>
          <w:szCs w:val="22"/>
        </w:rPr>
      </w:pPr>
      <w:r w:rsidRPr="00270ACB">
        <w:rPr>
          <w:rFonts w:asciiTheme="minorHAnsi" w:hAnsiTheme="minorHAnsi"/>
          <w:szCs w:val="22"/>
        </w:rPr>
        <w:t>Council consi</w:t>
      </w:r>
      <w:r w:rsidR="00F83707">
        <w:rPr>
          <w:rFonts w:asciiTheme="minorHAnsi" w:hAnsiTheme="minorHAnsi"/>
          <w:szCs w:val="22"/>
        </w:rPr>
        <w:t>dered an IPART A</w:t>
      </w:r>
      <w:r w:rsidR="00A21502">
        <w:rPr>
          <w:rFonts w:asciiTheme="minorHAnsi" w:hAnsiTheme="minorHAnsi"/>
          <w:szCs w:val="22"/>
        </w:rPr>
        <w:t>pplication for Special Rate V</w:t>
      </w:r>
      <w:r w:rsidRPr="00270ACB">
        <w:rPr>
          <w:rFonts w:asciiTheme="minorHAnsi" w:hAnsiTheme="minorHAnsi"/>
          <w:szCs w:val="22"/>
        </w:rPr>
        <w:t xml:space="preserve">ariations at several Councillor Workshops, Information Briefing Sessions and Council Meetings.  The Minutes of the Council </w:t>
      </w:r>
      <w:r w:rsidR="00D76915" w:rsidRPr="00270ACB">
        <w:rPr>
          <w:rFonts w:asciiTheme="minorHAnsi" w:hAnsiTheme="minorHAnsi"/>
          <w:szCs w:val="22"/>
        </w:rPr>
        <w:t>adoption to submit an Expression of Interest</w:t>
      </w:r>
      <w:r w:rsidRPr="00270ACB">
        <w:rPr>
          <w:rFonts w:asciiTheme="minorHAnsi" w:hAnsiTheme="minorHAnsi"/>
          <w:szCs w:val="22"/>
        </w:rPr>
        <w:t xml:space="preserve"> follow</w:t>
      </w:r>
      <w:r w:rsidR="00D76915" w:rsidRPr="00270ACB">
        <w:rPr>
          <w:rFonts w:asciiTheme="minorHAnsi" w:hAnsiTheme="minorHAnsi"/>
          <w:szCs w:val="22"/>
        </w:rPr>
        <w:t>s</w:t>
      </w:r>
      <w:r w:rsidRPr="00270ACB">
        <w:rPr>
          <w:rFonts w:asciiTheme="minorHAnsi" w:hAnsiTheme="minorHAnsi"/>
          <w:szCs w:val="22"/>
        </w:rPr>
        <w:t xml:space="preserve">. </w:t>
      </w:r>
    </w:p>
    <w:p w:rsidR="000428C3" w:rsidRPr="00270ACB" w:rsidRDefault="000428C3" w:rsidP="00270ACB">
      <w:pPr>
        <w:rPr>
          <w:rFonts w:asciiTheme="minorHAnsi" w:hAnsiTheme="minorHAnsi"/>
          <w:szCs w:val="22"/>
        </w:rPr>
      </w:pPr>
    </w:p>
    <w:p w:rsidR="000428C3" w:rsidRPr="00270ACB" w:rsidRDefault="000428C3" w:rsidP="00936C88">
      <w:pPr>
        <w:tabs>
          <w:tab w:val="left" w:pos="8789"/>
        </w:tabs>
        <w:ind w:left="284" w:right="566"/>
        <w:jc w:val="both"/>
        <w:rPr>
          <w:rFonts w:asciiTheme="minorHAnsi" w:hAnsiTheme="minorHAnsi"/>
          <w:b/>
          <w:szCs w:val="22"/>
        </w:rPr>
      </w:pPr>
      <w:r w:rsidRPr="00270ACB">
        <w:rPr>
          <w:rFonts w:asciiTheme="minorHAnsi" w:hAnsiTheme="minorHAnsi"/>
          <w:b/>
          <w:szCs w:val="22"/>
        </w:rPr>
        <w:t>Thursday 9 December 2014</w:t>
      </w:r>
    </w:p>
    <w:p w:rsidR="000428C3" w:rsidRPr="00270ACB" w:rsidRDefault="000428C3" w:rsidP="00936C88">
      <w:pPr>
        <w:tabs>
          <w:tab w:val="left" w:pos="8789"/>
        </w:tabs>
        <w:ind w:left="284" w:right="566"/>
        <w:jc w:val="both"/>
        <w:rPr>
          <w:rFonts w:asciiTheme="minorHAnsi" w:hAnsiTheme="minorHAnsi"/>
          <w:szCs w:val="22"/>
        </w:rPr>
      </w:pPr>
    </w:p>
    <w:p w:rsidR="000428C3" w:rsidRPr="00270ACB" w:rsidRDefault="000428C3" w:rsidP="00936C88">
      <w:pPr>
        <w:tabs>
          <w:tab w:val="left" w:pos="8789"/>
        </w:tabs>
        <w:ind w:left="284" w:right="566"/>
        <w:jc w:val="both"/>
        <w:rPr>
          <w:rFonts w:asciiTheme="minorHAnsi" w:hAnsiTheme="minorHAnsi"/>
        </w:rPr>
      </w:pPr>
      <w:r w:rsidRPr="00270ACB">
        <w:rPr>
          <w:rFonts w:asciiTheme="minorHAnsi" w:hAnsiTheme="minorHAnsi"/>
        </w:rPr>
        <w:t xml:space="preserve">Councillor Workshops were held to consider the Rating Structure and Financial Sustainability issues, and a view was formed that the General Rates be increased above the allowable Rate Pegging limit set by the NSW State Government. This is done through an Application to the Independent Pricing &amp; Regulatory Tribunal (IPART) for a </w:t>
      </w:r>
      <w:r w:rsidR="00187715" w:rsidRPr="00270ACB">
        <w:rPr>
          <w:rFonts w:asciiTheme="minorHAnsi" w:hAnsiTheme="minorHAnsi"/>
        </w:rPr>
        <w:t>Special Rate Variation</w:t>
      </w:r>
      <w:r w:rsidRPr="00270ACB">
        <w:rPr>
          <w:rFonts w:asciiTheme="minorHAnsi" w:hAnsiTheme="minorHAnsi"/>
        </w:rPr>
        <w:t>.</w:t>
      </w:r>
    </w:p>
    <w:p w:rsidR="000428C3" w:rsidRPr="00270ACB" w:rsidRDefault="000428C3" w:rsidP="00936C88">
      <w:pPr>
        <w:tabs>
          <w:tab w:val="left" w:pos="8789"/>
        </w:tabs>
        <w:ind w:left="284" w:right="566"/>
        <w:jc w:val="both"/>
        <w:rPr>
          <w:rFonts w:asciiTheme="minorHAnsi" w:hAnsiTheme="minorHAnsi"/>
        </w:rPr>
      </w:pPr>
    </w:p>
    <w:p w:rsidR="000428C3" w:rsidRPr="00270ACB" w:rsidRDefault="000428C3" w:rsidP="00936C88">
      <w:pPr>
        <w:tabs>
          <w:tab w:val="left" w:pos="709"/>
          <w:tab w:val="left" w:pos="8789"/>
        </w:tabs>
        <w:ind w:left="284" w:right="566"/>
        <w:jc w:val="both"/>
        <w:rPr>
          <w:rFonts w:asciiTheme="minorHAnsi" w:hAnsiTheme="minorHAnsi"/>
        </w:rPr>
      </w:pPr>
      <w:r w:rsidRPr="00270ACB">
        <w:rPr>
          <w:rFonts w:asciiTheme="minorHAnsi" w:hAnsiTheme="minorHAnsi"/>
        </w:rPr>
        <w:t>That Council submit an Expression of Interest to IPART for a Special Rate Variation of General Rates for 5 years commencing from the 2015/16 financial year at a 7.5% increase per year which includes the rate pegging increase.</w:t>
      </w:r>
    </w:p>
    <w:p w:rsidR="000428C3" w:rsidRPr="00270ACB" w:rsidRDefault="000428C3" w:rsidP="00936C88">
      <w:pPr>
        <w:tabs>
          <w:tab w:val="left" w:pos="709"/>
          <w:tab w:val="left" w:pos="8789"/>
        </w:tabs>
        <w:ind w:left="284" w:right="566"/>
        <w:jc w:val="both"/>
        <w:rPr>
          <w:rFonts w:asciiTheme="minorHAnsi" w:hAnsiTheme="minorHAnsi"/>
        </w:rPr>
      </w:pPr>
    </w:p>
    <w:p w:rsidR="000428C3" w:rsidRDefault="000428C3" w:rsidP="00936C88">
      <w:pPr>
        <w:tabs>
          <w:tab w:val="left" w:pos="709"/>
          <w:tab w:val="left" w:pos="8789"/>
        </w:tabs>
        <w:ind w:left="284" w:right="566"/>
        <w:jc w:val="both"/>
        <w:rPr>
          <w:rFonts w:asciiTheme="minorHAnsi" w:hAnsiTheme="minorHAnsi"/>
        </w:rPr>
      </w:pPr>
      <w:r w:rsidRPr="00270ACB">
        <w:rPr>
          <w:rFonts w:asciiTheme="minorHAnsi" w:hAnsiTheme="minorHAnsi"/>
        </w:rPr>
        <w:t>Carried 01 091214</w:t>
      </w:r>
    </w:p>
    <w:p w:rsidR="00936C88" w:rsidRDefault="00936C88" w:rsidP="00936C88">
      <w:pPr>
        <w:tabs>
          <w:tab w:val="left" w:pos="709"/>
          <w:tab w:val="left" w:pos="8789"/>
        </w:tabs>
        <w:ind w:left="284" w:right="566"/>
        <w:jc w:val="both"/>
        <w:rPr>
          <w:rFonts w:asciiTheme="minorHAnsi" w:hAnsiTheme="minorHAnsi"/>
        </w:rPr>
      </w:pPr>
    </w:p>
    <w:p w:rsidR="000E126E" w:rsidRDefault="000E126E" w:rsidP="00936C88">
      <w:pPr>
        <w:jc w:val="both"/>
        <w:rPr>
          <w:rFonts w:asciiTheme="minorHAnsi" w:hAnsiTheme="minorHAnsi" w:cs="Arial"/>
        </w:rPr>
      </w:pPr>
      <w:r>
        <w:rPr>
          <w:rFonts w:asciiTheme="minorHAnsi" w:hAnsiTheme="minorHAnsi" w:cs="Arial"/>
        </w:rPr>
        <w:t>Following the Expression of Interest, Council went out to the community to raise awareness and obtain feedback on a possible application to IPART for a Special Rate Variation.</w:t>
      </w:r>
    </w:p>
    <w:p w:rsidR="000E126E" w:rsidRDefault="000E126E" w:rsidP="00936C88">
      <w:pPr>
        <w:jc w:val="both"/>
        <w:rPr>
          <w:rFonts w:asciiTheme="minorHAnsi" w:hAnsiTheme="minorHAnsi" w:cs="Arial"/>
        </w:rPr>
      </w:pPr>
    </w:p>
    <w:p w:rsidR="00936C88" w:rsidRPr="00936C88" w:rsidRDefault="00936C88" w:rsidP="00936C88">
      <w:pPr>
        <w:jc w:val="both"/>
        <w:rPr>
          <w:rFonts w:asciiTheme="minorHAnsi" w:hAnsiTheme="minorHAnsi" w:cs="Arial"/>
        </w:rPr>
      </w:pPr>
      <w:r w:rsidRPr="00936C88">
        <w:rPr>
          <w:rFonts w:asciiTheme="minorHAnsi" w:hAnsiTheme="minorHAnsi" w:cs="Arial"/>
        </w:rPr>
        <w:t xml:space="preserve">The rate implication </w:t>
      </w:r>
      <w:r w:rsidR="00696DDC">
        <w:rPr>
          <w:rFonts w:asciiTheme="minorHAnsi" w:hAnsiTheme="minorHAnsi" w:cs="Arial"/>
        </w:rPr>
        <w:t xml:space="preserve">of the proposed rate increase has been explained to the ratepayers using the following </w:t>
      </w:r>
      <w:r w:rsidRPr="00936C88">
        <w:rPr>
          <w:rFonts w:asciiTheme="minorHAnsi" w:hAnsiTheme="minorHAnsi" w:cs="Arial"/>
        </w:rPr>
        <w:t>table:</w:t>
      </w:r>
    </w:p>
    <w:p w:rsidR="00936C88" w:rsidRDefault="00936C88" w:rsidP="00936C88">
      <w:pPr>
        <w:jc w:val="both"/>
        <w:rPr>
          <w:rFonts w:cs="Arial"/>
        </w:rPr>
      </w:pPr>
    </w:p>
    <w:p w:rsidR="00936C88" w:rsidRDefault="00936C88" w:rsidP="00936C88">
      <w:pPr>
        <w:jc w:val="center"/>
        <w:rPr>
          <w:rFonts w:cs="Arial"/>
        </w:rPr>
      </w:pPr>
      <w:r w:rsidRPr="00F92ABB">
        <w:rPr>
          <w:noProof/>
        </w:rPr>
        <w:drawing>
          <wp:inline distT="0" distB="0" distL="0" distR="0" wp14:anchorId="67DEC447" wp14:editId="681CD0CD">
            <wp:extent cx="5602236" cy="3133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9281" cy="3137665"/>
                    </a:xfrm>
                    <a:prstGeom prst="rect">
                      <a:avLst/>
                    </a:prstGeom>
                    <a:noFill/>
                    <a:ln>
                      <a:noFill/>
                    </a:ln>
                  </pic:spPr>
                </pic:pic>
              </a:graphicData>
            </a:graphic>
          </wp:inline>
        </w:drawing>
      </w:r>
    </w:p>
    <w:p w:rsidR="00936C88" w:rsidRDefault="00936C88" w:rsidP="00936C88">
      <w:pPr>
        <w:jc w:val="both"/>
        <w:rPr>
          <w:rFonts w:cs="Arial"/>
        </w:rPr>
      </w:pPr>
    </w:p>
    <w:p w:rsidR="00936C88" w:rsidRDefault="00936C88" w:rsidP="00936C88">
      <w:pPr>
        <w:jc w:val="both"/>
        <w:rPr>
          <w:rFonts w:cs="Arial"/>
        </w:rPr>
      </w:pPr>
    </w:p>
    <w:p w:rsidR="000E126E" w:rsidRDefault="000E126E" w:rsidP="00696DDC">
      <w:pPr>
        <w:tabs>
          <w:tab w:val="left" w:pos="709"/>
        </w:tabs>
        <w:ind w:right="-1"/>
        <w:jc w:val="both"/>
        <w:rPr>
          <w:rFonts w:asciiTheme="minorHAnsi" w:hAnsiTheme="minorHAnsi"/>
        </w:rPr>
      </w:pPr>
    </w:p>
    <w:p w:rsidR="000E126E" w:rsidRDefault="000E126E" w:rsidP="00696DDC">
      <w:pPr>
        <w:tabs>
          <w:tab w:val="left" w:pos="709"/>
        </w:tabs>
        <w:ind w:right="-1"/>
        <w:jc w:val="both"/>
        <w:rPr>
          <w:rFonts w:asciiTheme="minorHAnsi" w:hAnsiTheme="minorHAnsi"/>
        </w:rPr>
      </w:pPr>
    </w:p>
    <w:p w:rsidR="00936C88" w:rsidRDefault="00696DDC" w:rsidP="00696DDC">
      <w:pPr>
        <w:tabs>
          <w:tab w:val="left" w:pos="709"/>
        </w:tabs>
        <w:ind w:right="-1"/>
        <w:jc w:val="both"/>
        <w:rPr>
          <w:rFonts w:asciiTheme="minorHAnsi" w:hAnsiTheme="minorHAnsi"/>
        </w:rPr>
      </w:pPr>
      <w:r>
        <w:rPr>
          <w:rFonts w:asciiTheme="minorHAnsi" w:hAnsiTheme="minorHAnsi"/>
        </w:rPr>
        <w:t xml:space="preserve">This table was used during the Community Briefing Sessions, distributed through a Media Release, and provided to </w:t>
      </w:r>
      <w:r w:rsidR="00F83707">
        <w:rPr>
          <w:rFonts w:asciiTheme="minorHAnsi" w:hAnsiTheme="minorHAnsi"/>
        </w:rPr>
        <w:t>Councillors in the</w:t>
      </w:r>
      <w:r>
        <w:rPr>
          <w:rFonts w:asciiTheme="minorHAnsi" w:hAnsiTheme="minorHAnsi"/>
        </w:rPr>
        <w:t xml:space="preserve"> report to make a final determination on whether or not to submit a Special Rate Variation Application to IPART.</w:t>
      </w:r>
    </w:p>
    <w:p w:rsidR="000E126E" w:rsidRDefault="000E126E" w:rsidP="00696DDC">
      <w:pPr>
        <w:tabs>
          <w:tab w:val="left" w:pos="709"/>
        </w:tabs>
        <w:ind w:right="-1"/>
        <w:jc w:val="both"/>
        <w:rPr>
          <w:rFonts w:asciiTheme="minorHAnsi" w:hAnsiTheme="minorHAnsi"/>
        </w:rPr>
      </w:pPr>
    </w:p>
    <w:p w:rsidR="000E126E" w:rsidRDefault="000E126E" w:rsidP="00696DDC">
      <w:pPr>
        <w:tabs>
          <w:tab w:val="left" w:pos="709"/>
        </w:tabs>
        <w:ind w:right="-1"/>
        <w:jc w:val="both"/>
        <w:rPr>
          <w:rFonts w:asciiTheme="minorHAnsi" w:hAnsiTheme="minorHAnsi"/>
        </w:rPr>
      </w:pPr>
      <w:r>
        <w:rPr>
          <w:rFonts w:asciiTheme="minorHAnsi" w:hAnsiTheme="minorHAnsi"/>
        </w:rPr>
        <w:t>Council then considered a Report at an Extraordinary Meeting on 10 February to submit an application for IPART</w:t>
      </w:r>
      <w:r w:rsidR="00F83707">
        <w:rPr>
          <w:rFonts w:asciiTheme="minorHAnsi" w:hAnsiTheme="minorHAnsi"/>
        </w:rPr>
        <w:t xml:space="preserve"> (Attachment 11)</w:t>
      </w:r>
      <w:r>
        <w:rPr>
          <w:rFonts w:asciiTheme="minorHAnsi" w:hAnsiTheme="minorHAnsi"/>
        </w:rPr>
        <w:t>. The Minute of that meeting follows:</w:t>
      </w:r>
    </w:p>
    <w:p w:rsidR="000E126E" w:rsidRDefault="000E126E" w:rsidP="00696DDC">
      <w:pPr>
        <w:tabs>
          <w:tab w:val="left" w:pos="709"/>
        </w:tabs>
        <w:ind w:right="-1"/>
        <w:jc w:val="both"/>
        <w:rPr>
          <w:rFonts w:asciiTheme="minorHAnsi" w:hAnsiTheme="minorHAnsi"/>
        </w:rPr>
      </w:pPr>
    </w:p>
    <w:p w:rsidR="00E35A2E" w:rsidRPr="00E35A2E" w:rsidRDefault="00E35A2E" w:rsidP="00E35A2E">
      <w:pPr>
        <w:ind w:left="284" w:right="566"/>
        <w:jc w:val="both"/>
        <w:rPr>
          <w:rFonts w:asciiTheme="minorHAnsi" w:eastAsia="Calibri" w:hAnsiTheme="minorHAnsi"/>
        </w:rPr>
      </w:pPr>
      <w:bookmarkStart w:id="22" w:name="_Toc366160417"/>
      <w:bookmarkStart w:id="23" w:name="_Toc409776052"/>
      <w:r w:rsidRPr="00E35A2E">
        <w:rPr>
          <w:rFonts w:asciiTheme="minorHAnsi" w:eastAsia="Calibri" w:hAnsiTheme="minorHAnsi"/>
        </w:rPr>
        <w:t>That Council submit an IPART Special Rate Variation Application for 7.5% (including rate pegging) per year (43.56% cumulative increase, made up of an assumed rate peg of 15.25% and additional rate increase of 28.31%) on General Rates, for the period 2015/16 to 2019/20.</w:t>
      </w:r>
    </w:p>
    <w:p w:rsidR="00E35A2E" w:rsidRPr="00E35A2E" w:rsidRDefault="00E35A2E" w:rsidP="00E35A2E">
      <w:pPr>
        <w:ind w:left="284" w:right="566"/>
        <w:jc w:val="both"/>
        <w:rPr>
          <w:rFonts w:asciiTheme="minorHAnsi" w:eastAsia="Calibri" w:hAnsiTheme="minorHAnsi"/>
        </w:rPr>
      </w:pPr>
    </w:p>
    <w:p w:rsidR="00E35A2E" w:rsidRPr="00E35A2E" w:rsidRDefault="00E35A2E" w:rsidP="00E35A2E">
      <w:pPr>
        <w:ind w:left="284" w:right="566"/>
        <w:jc w:val="both"/>
        <w:rPr>
          <w:rFonts w:asciiTheme="minorHAnsi" w:eastAsia="Calibri" w:hAnsiTheme="minorHAnsi"/>
        </w:rPr>
      </w:pPr>
      <w:r w:rsidRPr="00E35A2E">
        <w:rPr>
          <w:rFonts w:asciiTheme="minorHAnsi" w:eastAsia="Calibri" w:hAnsiTheme="minorHAnsi"/>
        </w:rPr>
        <w:t>Carried 01 100215</w:t>
      </w:r>
    </w:p>
    <w:p w:rsidR="00D60EA5" w:rsidRPr="00916FAE" w:rsidRDefault="00D60EA5" w:rsidP="00270ACB">
      <w:pPr>
        <w:pStyle w:val="Heading2"/>
        <w:tabs>
          <w:tab w:val="clear" w:pos="709"/>
          <w:tab w:val="num" w:pos="567"/>
        </w:tabs>
        <w:ind w:left="567" w:hanging="567"/>
      </w:pPr>
      <w:r w:rsidRPr="00916FAE">
        <w:t>Impact on rates</w:t>
      </w:r>
      <w:bookmarkEnd w:id="22"/>
      <w:bookmarkEnd w:id="23"/>
    </w:p>
    <w:p w:rsidR="006A1B80" w:rsidRDefault="006A1B80" w:rsidP="00A826AD">
      <w:pPr>
        <w:pStyle w:val="BodyText"/>
        <w:spacing w:before="0" w:line="240" w:lineRule="auto"/>
        <w:ind w:left="567"/>
        <w:rPr>
          <w:rFonts w:asciiTheme="minorHAnsi" w:hAnsiTheme="minorHAnsi"/>
        </w:rPr>
      </w:pPr>
    </w:p>
    <w:p w:rsidR="008908A8" w:rsidRDefault="00777347" w:rsidP="00270ACB">
      <w:pPr>
        <w:pStyle w:val="BodyText"/>
        <w:spacing w:before="0" w:line="240" w:lineRule="auto"/>
        <w:rPr>
          <w:rFonts w:asciiTheme="minorHAnsi" w:hAnsiTheme="minorHAnsi"/>
        </w:rPr>
      </w:pPr>
      <w:r>
        <w:rPr>
          <w:rFonts w:asciiTheme="minorHAnsi" w:hAnsiTheme="minorHAnsi"/>
        </w:rPr>
        <w:t xml:space="preserve">As well as using the table on the previous page, the Community and Council were provided with the following information to explain the </w:t>
      </w:r>
      <w:r w:rsidR="00020B0A">
        <w:rPr>
          <w:rFonts w:asciiTheme="minorHAnsi" w:hAnsiTheme="minorHAnsi"/>
        </w:rPr>
        <w:t xml:space="preserve">impact on rates </w:t>
      </w:r>
      <w:r>
        <w:rPr>
          <w:rFonts w:asciiTheme="minorHAnsi" w:hAnsiTheme="minorHAnsi"/>
        </w:rPr>
        <w:t>over 5 years would be an accumulative rate of 43.56%, which would raise approximately $4,462,929 in General Rates.</w:t>
      </w:r>
    </w:p>
    <w:p w:rsidR="00020B0A" w:rsidRDefault="00020B0A" w:rsidP="00A826AD">
      <w:pPr>
        <w:pStyle w:val="BodyText"/>
        <w:spacing w:before="0" w:line="240" w:lineRule="auto"/>
        <w:ind w:left="567"/>
        <w:rPr>
          <w:rFonts w:asciiTheme="minorHAnsi" w:hAnsiTheme="minorHAnsi"/>
        </w:rPr>
      </w:pPr>
    </w:p>
    <w:p w:rsidR="002A357C" w:rsidRPr="004F3BF9" w:rsidRDefault="002A357C" w:rsidP="00270ACB">
      <w:pPr>
        <w:pStyle w:val="BodyText"/>
        <w:pBdr>
          <w:bottom w:val="single" w:sz="4" w:space="1" w:color="auto"/>
        </w:pBdr>
        <w:tabs>
          <w:tab w:val="left" w:pos="1276"/>
          <w:tab w:val="left" w:pos="3261"/>
          <w:tab w:val="left" w:pos="5387"/>
          <w:tab w:val="left" w:pos="7513"/>
        </w:tabs>
        <w:spacing w:before="0" w:line="240" w:lineRule="auto"/>
        <w:ind w:left="426"/>
        <w:jc w:val="left"/>
        <w:rPr>
          <w:rFonts w:asciiTheme="minorHAnsi" w:hAnsiTheme="minorHAnsi"/>
          <w:b/>
          <w:sz w:val="20"/>
        </w:rPr>
      </w:pPr>
      <w:r w:rsidRPr="004F3BF9">
        <w:rPr>
          <w:rFonts w:asciiTheme="minorHAnsi" w:hAnsiTheme="minorHAnsi"/>
          <w:b/>
          <w:sz w:val="20"/>
        </w:rPr>
        <w:t>Year</w:t>
      </w:r>
      <w:r w:rsidRPr="004F3BF9">
        <w:rPr>
          <w:rFonts w:asciiTheme="minorHAnsi" w:hAnsiTheme="minorHAnsi"/>
          <w:b/>
          <w:sz w:val="20"/>
        </w:rPr>
        <w:tab/>
      </w:r>
      <w:r w:rsidR="00384F60">
        <w:rPr>
          <w:rFonts w:asciiTheme="minorHAnsi" w:hAnsiTheme="minorHAnsi"/>
          <w:b/>
          <w:sz w:val="20"/>
        </w:rPr>
        <w:t>Special rate variation</w:t>
      </w:r>
      <w:r w:rsidRPr="004F3BF9">
        <w:rPr>
          <w:rFonts w:asciiTheme="minorHAnsi" w:hAnsiTheme="minorHAnsi"/>
          <w:b/>
          <w:sz w:val="20"/>
        </w:rPr>
        <w:tab/>
      </w:r>
      <w:r w:rsidR="004F3BF9" w:rsidRPr="004F3BF9">
        <w:rPr>
          <w:rFonts w:asciiTheme="minorHAnsi" w:hAnsiTheme="minorHAnsi"/>
          <w:b/>
          <w:sz w:val="20"/>
        </w:rPr>
        <w:t>Special rate</w:t>
      </w:r>
      <w:r w:rsidR="00384F60">
        <w:rPr>
          <w:rFonts w:asciiTheme="minorHAnsi" w:hAnsiTheme="minorHAnsi"/>
          <w:b/>
          <w:sz w:val="20"/>
        </w:rPr>
        <w:t xml:space="preserve"> cumulative</w:t>
      </w:r>
      <w:r w:rsidRPr="004F3BF9">
        <w:rPr>
          <w:rFonts w:asciiTheme="minorHAnsi" w:hAnsiTheme="minorHAnsi"/>
          <w:b/>
          <w:sz w:val="20"/>
        </w:rPr>
        <w:tab/>
      </w:r>
      <w:r w:rsidR="004F3BF9">
        <w:rPr>
          <w:rFonts w:asciiTheme="minorHAnsi" w:hAnsiTheme="minorHAnsi"/>
          <w:b/>
          <w:sz w:val="20"/>
        </w:rPr>
        <w:t>Special rate cumulative</w:t>
      </w:r>
      <w:r w:rsidR="004F3BF9">
        <w:rPr>
          <w:rFonts w:asciiTheme="minorHAnsi" w:hAnsiTheme="minorHAnsi"/>
          <w:b/>
          <w:sz w:val="20"/>
        </w:rPr>
        <w:tab/>
      </w:r>
      <w:r w:rsidRPr="004F3BF9">
        <w:rPr>
          <w:rFonts w:asciiTheme="minorHAnsi" w:hAnsiTheme="minorHAnsi"/>
          <w:b/>
          <w:sz w:val="20"/>
        </w:rPr>
        <w:t>Annual Income Gain</w:t>
      </w:r>
    </w:p>
    <w:p w:rsidR="004F3BF9" w:rsidRPr="004F3BF9" w:rsidRDefault="004F3BF9" w:rsidP="00270ACB">
      <w:pPr>
        <w:pStyle w:val="BodyText"/>
        <w:pBdr>
          <w:bottom w:val="single" w:sz="4" w:space="1" w:color="auto"/>
        </w:pBdr>
        <w:tabs>
          <w:tab w:val="left" w:pos="1276"/>
          <w:tab w:val="left" w:pos="3261"/>
          <w:tab w:val="left" w:pos="5387"/>
          <w:tab w:val="left" w:pos="7513"/>
        </w:tabs>
        <w:spacing w:before="0" w:line="240" w:lineRule="auto"/>
        <w:ind w:left="426"/>
        <w:jc w:val="left"/>
        <w:rPr>
          <w:rFonts w:asciiTheme="minorHAnsi" w:hAnsiTheme="minorHAnsi"/>
          <w:b/>
          <w:sz w:val="20"/>
        </w:rPr>
      </w:pPr>
      <w:r w:rsidRPr="004F3BF9">
        <w:rPr>
          <w:rFonts w:asciiTheme="minorHAnsi" w:hAnsiTheme="minorHAnsi"/>
          <w:b/>
          <w:sz w:val="20"/>
        </w:rPr>
        <w:tab/>
      </w:r>
      <w:r>
        <w:rPr>
          <w:rFonts w:asciiTheme="minorHAnsi" w:hAnsiTheme="minorHAnsi"/>
          <w:b/>
          <w:sz w:val="20"/>
        </w:rPr>
        <w:t>(</w:t>
      </w:r>
      <w:proofErr w:type="spellStart"/>
      <w:r>
        <w:rPr>
          <w:rFonts w:asciiTheme="minorHAnsi" w:hAnsiTheme="minorHAnsi"/>
          <w:b/>
          <w:sz w:val="20"/>
        </w:rPr>
        <w:t>inc</w:t>
      </w:r>
      <w:r w:rsidR="00384F60">
        <w:rPr>
          <w:rFonts w:asciiTheme="minorHAnsi" w:hAnsiTheme="minorHAnsi"/>
          <w:b/>
          <w:sz w:val="20"/>
        </w:rPr>
        <w:t>.</w:t>
      </w:r>
      <w:proofErr w:type="spellEnd"/>
      <w:r>
        <w:rPr>
          <w:rFonts w:asciiTheme="minorHAnsi" w:hAnsiTheme="minorHAnsi"/>
          <w:b/>
          <w:sz w:val="20"/>
        </w:rPr>
        <w:t xml:space="preserve"> rate pegging)</w:t>
      </w:r>
      <w:r w:rsidRPr="004F3BF9">
        <w:rPr>
          <w:rFonts w:asciiTheme="minorHAnsi" w:hAnsiTheme="minorHAnsi"/>
          <w:b/>
          <w:sz w:val="20"/>
        </w:rPr>
        <w:tab/>
      </w:r>
      <w:r w:rsidR="00384F60">
        <w:rPr>
          <w:rFonts w:asciiTheme="minorHAnsi" w:hAnsiTheme="minorHAnsi"/>
          <w:b/>
          <w:sz w:val="20"/>
        </w:rPr>
        <w:t>(exc. rate pegging)</w:t>
      </w:r>
      <w:r>
        <w:rPr>
          <w:rFonts w:asciiTheme="minorHAnsi" w:hAnsiTheme="minorHAnsi"/>
          <w:b/>
          <w:sz w:val="20"/>
        </w:rPr>
        <w:tab/>
      </w:r>
      <w:r w:rsidR="00384F60">
        <w:rPr>
          <w:rFonts w:asciiTheme="minorHAnsi" w:hAnsiTheme="minorHAnsi"/>
          <w:b/>
          <w:sz w:val="20"/>
        </w:rPr>
        <w:t>(</w:t>
      </w:r>
      <w:proofErr w:type="spellStart"/>
      <w:r w:rsidR="00384F60">
        <w:rPr>
          <w:rFonts w:asciiTheme="minorHAnsi" w:hAnsiTheme="minorHAnsi"/>
          <w:b/>
          <w:sz w:val="20"/>
        </w:rPr>
        <w:t>inc.</w:t>
      </w:r>
      <w:proofErr w:type="spellEnd"/>
      <w:r>
        <w:rPr>
          <w:rFonts w:asciiTheme="minorHAnsi" w:hAnsiTheme="minorHAnsi"/>
          <w:b/>
          <w:sz w:val="20"/>
        </w:rPr>
        <w:t xml:space="preserve"> rate pegging)</w:t>
      </w:r>
    </w:p>
    <w:p w:rsidR="002A357C" w:rsidRPr="0082771E" w:rsidRDefault="00384F60" w:rsidP="00270ACB">
      <w:pPr>
        <w:pStyle w:val="BodyText"/>
        <w:tabs>
          <w:tab w:val="right" w:pos="2127"/>
          <w:tab w:val="right" w:pos="4111"/>
          <w:tab w:val="right" w:pos="6379"/>
          <w:tab w:val="right" w:pos="8789"/>
        </w:tabs>
        <w:spacing w:before="60" w:after="60" w:line="240" w:lineRule="auto"/>
        <w:ind w:left="426"/>
        <w:jc w:val="left"/>
        <w:rPr>
          <w:rFonts w:asciiTheme="minorHAnsi" w:hAnsiTheme="minorHAnsi"/>
        </w:rPr>
      </w:pPr>
      <w:r w:rsidRPr="0082771E">
        <w:rPr>
          <w:rFonts w:asciiTheme="minorHAnsi" w:hAnsiTheme="minorHAnsi"/>
        </w:rPr>
        <w:t>1</w:t>
      </w:r>
      <w:r w:rsidRPr="0082771E">
        <w:rPr>
          <w:rFonts w:asciiTheme="minorHAnsi" w:hAnsiTheme="minorHAnsi"/>
        </w:rPr>
        <w:tab/>
      </w:r>
      <w:r w:rsidR="004F3BF9" w:rsidRPr="0082771E">
        <w:rPr>
          <w:rFonts w:asciiTheme="minorHAnsi" w:hAnsiTheme="minorHAnsi"/>
        </w:rPr>
        <w:t>7.5%</w:t>
      </w:r>
      <w:r w:rsidR="004F3BF9" w:rsidRPr="0082771E">
        <w:rPr>
          <w:rFonts w:asciiTheme="minorHAnsi" w:hAnsiTheme="minorHAnsi"/>
        </w:rPr>
        <w:tab/>
        <w:t>2.4</w:t>
      </w:r>
      <w:r w:rsidR="002A357C" w:rsidRPr="0082771E">
        <w:rPr>
          <w:rFonts w:asciiTheme="minorHAnsi" w:hAnsiTheme="minorHAnsi"/>
        </w:rPr>
        <w:t>%</w:t>
      </w:r>
      <w:r w:rsidR="002A357C" w:rsidRPr="0082771E">
        <w:rPr>
          <w:rFonts w:asciiTheme="minorHAnsi" w:hAnsiTheme="minorHAnsi"/>
        </w:rPr>
        <w:tab/>
      </w:r>
      <w:r w:rsidRPr="0082771E">
        <w:rPr>
          <w:rFonts w:asciiTheme="minorHAnsi" w:hAnsiTheme="minorHAnsi"/>
        </w:rPr>
        <w:t>7.5%</w:t>
      </w:r>
      <w:r w:rsidR="002A357C" w:rsidRPr="0082771E">
        <w:rPr>
          <w:rFonts w:asciiTheme="minorHAnsi" w:hAnsiTheme="minorHAnsi"/>
        </w:rPr>
        <w:tab/>
        <w:t>$</w:t>
      </w:r>
      <w:r w:rsidRPr="0082771E">
        <w:rPr>
          <w:rFonts w:asciiTheme="minorHAnsi" w:hAnsiTheme="minorHAnsi"/>
        </w:rPr>
        <w:t>157,356</w:t>
      </w:r>
    </w:p>
    <w:p w:rsidR="002A357C" w:rsidRPr="0082771E" w:rsidRDefault="00384F60" w:rsidP="00270ACB">
      <w:pPr>
        <w:pStyle w:val="BodyText"/>
        <w:tabs>
          <w:tab w:val="right" w:pos="2127"/>
          <w:tab w:val="right" w:pos="4111"/>
          <w:tab w:val="right" w:pos="6379"/>
          <w:tab w:val="right" w:pos="8789"/>
        </w:tabs>
        <w:spacing w:before="60" w:after="60" w:line="240" w:lineRule="auto"/>
        <w:ind w:left="426"/>
        <w:jc w:val="left"/>
        <w:rPr>
          <w:rFonts w:asciiTheme="minorHAnsi" w:hAnsiTheme="minorHAnsi"/>
        </w:rPr>
      </w:pPr>
      <w:r w:rsidRPr="0082771E">
        <w:rPr>
          <w:rFonts w:asciiTheme="minorHAnsi" w:hAnsiTheme="minorHAnsi"/>
        </w:rPr>
        <w:t>2</w:t>
      </w:r>
      <w:r w:rsidRPr="0082771E">
        <w:rPr>
          <w:rFonts w:asciiTheme="minorHAnsi" w:hAnsiTheme="minorHAnsi"/>
        </w:rPr>
        <w:tab/>
      </w:r>
      <w:r w:rsidR="004F3BF9" w:rsidRPr="0082771E">
        <w:rPr>
          <w:rFonts w:asciiTheme="minorHAnsi" w:hAnsiTheme="minorHAnsi"/>
        </w:rPr>
        <w:t>7.5%</w:t>
      </w:r>
      <w:r w:rsidR="004F3BF9" w:rsidRPr="0082771E">
        <w:rPr>
          <w:rFonts w:asciiTheme="minorHAnsi" w:hAnsiTheme="minorHAnsi"/>
        </w:rPr>
        <w:tab/>
        <w:t>5.47</w:t>
      </w:r>
      <w:r w:rsidR="002A357C" w:rsidRPr="0082771E">
        <w:rPr>
          <w:rFonts w:asciiTheme="minorHAnsi" w:hAnsiTheme="minorHAnsi"/>
        </w:rPr>
        <w:t>%</w:t>
      </w:r>
      <w:r w:rsidR="002A357C" w:rsidRPr="0082771E">
        <w:rPr>
          <w:rFonts w:asciiTheme="minorHAnsi" w:hAnsiTheme="minorHAnsi"/>
        </w:rPr>
        <w:tab/>
      </w:r>
      <w:r w:rsidRPr="0082771E">
        <w:rPr>
          <w:rFonts w:asciiTheme="minorHAnsi" w:hAnsiTheme="minorHAnsi"/>
        </w:rPr>
        <w:t>15.56%</w:t>
      </w:r>
      <w:r w:rsidR="002A357C" w:rsidRPr="0082771E">
        <w:rPr>
          <w:rFonts w:asciiTheme="minorHAnsi" w:hAnsiTheme="minorHAnsi"/>
        </w:rPr>
        <w:tab/>
        <w:t>$</w:t>
      </w:r>
      <w:r w:rsidRPr="0082771E">
        <w:rPr>
          <w:rFonts w:asciiTheme="minorHAnsi" w:hAnsiTheme="minorHAnsi"/>
        </w:rPr>
        <w:t>166,292</w:t>
      </w:r>
    </w:p>
    <w:p w:rsidR="002A357C" w:rsidRPr="0082771E" w:rsidRDefault="00384F60" w:rsidP="00270ACB">
      <w:pPr>
        <w:pStyle w:val="BodyText"/>
        <w:tabs>
          <w:tab w:val="right" w:pos="2127"/>
          <w:tab w:val="right" w:pos="4111"/>
          <w:tab w:val="right" w:pos="6379"/>
          <w:tab w:val="right" w:pos="8789"/>
        </w:tabs>
        <w:spacing w:before="60" w:after="60" w:line="240" w:lineRule="auto"/>
        <w:ind w:left="426"/>
        <w:jc w:val="left"/>
        <w:rPr>
          <w:rFonts w:asciiTheme="minorHAnsi" w:hAnsiTheme="minorHAnsi"/>
        </w:rPr>
      </w:pPr>
      <w:r w:rsidRPr="0082771E">
        <w:rPr>
          <w:rFonts w:asciiTheme="minorHAnsi" w:hAnsiTheme="minorHAnsi"/>
        </w:rPr>
        <w:t>3</w:t>
      </w:r>
      <w:r w:rsidRPr="0082771E">
        <w:rPr>
          <w:rFonts w:asciiTheme="minorHAnsi" w:hAnsiTheme="minorHAnsi"/>
        </w:rPr>
        <w:tab/>
      </w:r>
      <w:r w:rsidR="002A357C" w:rsidRPr="0082771E">
        <w:rPr>
          <w:rFonts w:asciiTheme="minorHAnsi" w:hAnsiTheme="minorHAnsi"/>
        </w:rPr>
        <w:t>7.5%</w:t>
      </w:r>
      <w:r w:rsidR="002A357C" w:rsidRPr="0082771E">
        <w:rPr>
          <w:rFonts w:asciiTheme="minorHAnsi" w:hAnsiTheme="minorHAnsi"/>
        </w:rPr>
        <w:tab/>
      </w:r>
      <w:r w:rsidR="004F3BF9" w:rsidRPr="0082771E">
        <w:rPr>
          <w:rFonts w:asciiTheme="minorHAnsi" w:hAnsiTheme="minorHAnsi"/>
        </w:rPr>
        <w:t>8.64</w:t>
      </w:r>
      <w:r w:rsidR="002A357C" w:rsidRPr="0082771E">
        <w:rPr>
          <w:rFonts w:asciiTheme="minorHAnsi" w:hAnsiTheme="minorHAnsi"/>
        </w:rPr>
        <w:t>%</w:t>
      </w:r>
      <w:r w:rsidR="002A357C" w:rsidRPr="0082771E">
        <w:rPr>
          <w:rFonts w:asciiTheme="minorHAnsi" w:hAnsiTheme="minorHAnsi"/>
        </w:rPr>
        <w:tab/>
      </w:r>
      <w:r w:rsidRPr="0082771E">
        <w:rPr>
          <w:rFonts w:asciiTheme="minorHAnsi" w:hAnsiTheme="minorHAnsi"/>
        </w:rPr>
        <w:t>24.23%</w:t>
      </w:r>
      <w:r w:rsidR="002A357C" w:rsidRPr="0082771E">
        <w:rPr>
          <w:rFonts w:asciiTheme="minorHAnsi" w:hAnsiTheme="minorHAnsi"/>
        </w:rPr>
        <w:tab/>
        <w:t>$</w:t>
      </w:r>
      <w:r w:rsidRPr="0082771E">
        <w:rPr>
          <w:rFonts w:asciiTheme="minorHAnsi" w:hAnsiTheme="minorHAnsi"/>
        </w:rPr>
        <w:t>183,371</w:t>
      </w:r>
    </w:p>
    <w:p w:rsidR="002A357C" w:rsidRPr="0082771E" w:rsidRDefault="00384F60" w:rsidP="00270ACB">
      <w:pPr>
        <w:pStyle w:val="BodyText"/>
        <w:tabs>
          <w:tab w:val="right" w:pos="2127"/>
          <w:tab w:val="right" w:pos="4111"/>
          <w:tab w:val="right" w:pos="6379"/>
          <w:tab w:val="right" w:pos="8789"/>
        </w:tabs>
        <w:spacing w:before="60" w:after="60" w:line="240" w:lineRule="auto"/>
        <w:ind w:left="426"/>
        <w:jc w:val="left"/>
        <w:rPr>
          <w:rFonts w:asciiTheme="minorHAnsi" w:hAnsiTheme="minorHAnsi"/>
        </w:rPr>
      </w:pPr>
      <w:r w:rsidRPr="0082771E">
        <w:rPr>
          <w:rFonts w:asciiTheme="minorHAnsi" w:hAnsiTheme="minorHAnsi"/>
        </w:rPr>
        <w:t>4</w:t>
      </w:r>
      <w:r w:rsidRPr="0082771E">
        <w:rPr>
          <w:rFonts w:asciiTheme="minorHAnsi" w:hAnsiTheme="minorHAnsi"/>
        </w:rPr>
        <w:tab/>
      </w:r>
      <w:r w:rsidR="004F3BF9" w:rsidRPr="0082771E">
        <w:rPr>
          <w:rFonts w:asciiTheme="minorHAnsi" w:hAnsiTheme="minorHAnsi"/>
        </w:rPr>
        <w:t>7.5%</w:t>
      </w:r>
      <w:r w:rsidR="004F3BF9" w:rsidRPr="0082771E">
        <w:rPr>
          <w:rFonts w:asciiTheme="minorHAnsi" w:hAnsiTheme="minorHAnsi"/>
        </w:rPr>
        <w:tab/>
        <w:t>11.90</w:t>
      </w:r>
      <w:r w:rsidR="002A357C" w:rsidRPr="0082771E">
        <w:rPr>
          <w:rFonts w:asciiTheme="minorHAnsi" w:hAnsiTheme="minorHAnsi"/>
        </w:rPr>
        <w:t>%</w:t>
      </w:r>
      <w:r w:rsidR="002A357C" w:rsidRPr="0082771E">
        <w:rPr>
          <w:rFonts w:asciiTheme="minorHAnsi" w:hAnsiTheme="minorHAnsi"/>
        </w:rPr>
        <w:tab/>
      </w:r>
      <w:r w:rsidRPr="0082771E">
        <w:rPr>
          <w:rFonts w:asciiTheme="minorHAnsi" w:hAnsiTheme="minorHAnsi"/>
        </w:rPr>
        <w:t>33.55%</w:t>
      </w:r>
      <w:r w:rsidR="002A357C" w:rsidRPr="0082771E">
        <w:rPr>
          <w:rFonts w:asciiTheme="minorHAnsi" w:hAnsiTheme="minorHAnsi"/>
        </w:rPr>
        <w:tab/>
        <w:t>$</w:t>
      </w:r>
      <w:r w:rsidRPr="0082771E">
        <w:rPr>
          <w:rFonts w:asciiTheme="minorHAnsi" w:hAnsiTheme="minorHAnsi"/>
        </w:rPr>
        <w:t>201,870</w:t>
      </w:r>
    </w:p>
    <w:p w:rsidR="002A357C" w:rsidRPr="0082771E" w:rsidRDefault="00384F60" w:rsidP="00270ACB">
      <w:pPr>
        <w:pStyle w:val="BodyText"/>
        <w:tabs>
          <w:tab w:val="right" w:pos="2127"/>
          <w:tab w:val="right" w:pos="4111"/>
          <w:tab w:val="right" w:pos="6379"/>
          <w:tab w:val="right" w:pos="8789"/>
        </w:tabs>
        <w:spacing w:before="60" w:after="60" w:line="240" w:lineRule="auto"/>
        <w:ind w:left="426"/>
        <w:jc w:val="left"/>
        <w:rPr>
          <w:rFonts w:asciiTheme="minorHAnsi" w:hAnsiTheme="minorHAnsi"/>
        </w:rPr>
      </w:pPr>
      <w:r w:rsidRPr="0082771E">
        <w:rPr>
          <w:rFonts w:asciiTheme="minorHAnsi" w:hAnsiTheme="minorHAnsi"/>
        </w:rPr>
        <w:t>5</w:t>
      </w:r>
      <w:r w:rsidRPr="0082771E">
        <w:rPr>
          <w:rFonts w:asciiTheme="minorHAnsi" w:hAnsiTheme="minorHAnsi"/>
        </w:rPr>
        <w:tab/>
      </w:r>
      <w:r w:rsidR="004F3BF9" w:rsidRPr="0082771E">
        <w:rPr>
          <w:rFonts w:asciiTheme="minorHAnsi" w:hAnsiTheme="minorHAnsi"/>
        </w:rPr>
        <w:t>7.5%</w:t>
      </w:r>
      <w:r w:rsidR="004F3BF9" w:rsidRPr="0082771E">
        <w:rPr>
          <w:rFonts w:asciiTheme="minorHAnsi" w:hAnsiTheme="minorHAnsi"/>
        </w:rPr>
        <w:tab/>
        <w:t>15.25</w:t>
      </w:r>
      <w:r w:rsidR="002A357C" w:rsidRPr="0082771E">
        <w:rPr>
          <w:rFonts w:asciiTheme="minorHAnsi" w:hAnsiTheme="minorHAnsi"/>
        </w:rPr>
        <w:t>%</w:t>
      </w:r>
      <w:r w:rsidR="002A357C" w:rsidRPr="0082771E">
        <w:rPr>
          <w:rFonts w:asciiTheme="minorHAnsi" w:hAnsiTheme="minorHAnsi"/>
        </w:rPr>
        <w:tab/>
      </w:r>
      <w:r w:rsidRPr="0082771E">
        <w:rPr>
          <w:rFonts w:asciiTheme="minorHAnsi" w:hAnsiTheme="minorHAnsi"/>
        </w:rPr>
        <w:t>43.56%</w:t>
      </w:r>
      <w:r w:rsidR="002A357C" w:rsidRPr="0082771E">
        <w:rPr>
          <w:rFonts w:asciiTheme="minorHAnsi" w:hAnsiTheme="minorHAnsi"/>
        </w:rPr>
        <w:tab/>
        <w:t>$</w:t>
      </w:r>
      <w:r w:rsidRPr="0082771E">
        <w:rPr>
          <w:rFonts w:asciiTheme="minorHAnsi" w:hAnsiTheme="minorHAnsi"/>
        </w:rPr>
        <w:t>221,898</w:t>
      </w:r>
    </w:p>
    <w:p w:rsidR="002A357C" w:rsidRPr="00F83F2B" w:rsidRDefault="002A357C" w:rsidP="00270ACB">
      <w:pPr>
        <w:pStyle w:val="BodyText"/>
        <w:pBdr>
          <w:top w:val="single" w:sz="4" w:space="1" w:color="auto"/>
          <w:bottom w:val="single" w:sz="4" w:space="1" w:color="auto"/>
        </w:pBdr>
        <w:tabs>
          <w:tab w:val="right" w:pos="1701"/>
          <w:tab w:val="right" w:pos="3686"/>
          <w:tab w:val="right" w:pos="6521"/>
          <w:tab w:val="right" w:pos="8789"/>
        </w:tabs>
        <w:spacing w:before="60" w:after="60" w:line="240" w:lineRule="auto"/>
        <w:ind w:left="426"/>
        <w:jc w:val="left"/>
        <w:rPr>
          <w:rFonts w:asciiTheme="minorHAnsi" w:hAnsiTheme="minorHAnsi"/>
          <w:b/>
        </w:rPr>
      </w:pPr>
      <w:r w:rsidRPr="0082771E">
        <w:rPr>
          <w:rFonts w:asciiTheme="minorHAnsi" w:hAnsiTheme="minorHAnsi"/>
          <w:b/>
        </w:rPr>
        <w:tab/>
      </w:r>
      <w:r w:rsidRPr="0082771E">
        <w:rPr>
          <w:rFonts w:asciiTheme="minorHAnsi" w:hAnsiTheme="minorHAnsi"/>
          <w:b/>
        </w:rPr>
        <w:tab/>
      </w:r>
      <w:r w:rsidRPr="0082771E">
        <w:rPr>
          <w:rFonts w:asciiTheme="minorHAnsi" w:hAnsiTheme="minorHAnsi"/>
          <w:b/>
        </w:rPr>
        <w:tab/>
        <w:t>Total</w:t>
      </w:r>
      <w:r w:rsidRPr="0082771E">
        <w:rPr>
          <w:rFonts w:asciiTheme="minorHAnsi" w:hAnsiTheme="minorHAnsi"/>
          <w:b/>
        </w:rPr>
        <w:tab/>
        <w:t>$</w:t>
      </w:r>
      <w:r w:rsidR="00384F60" w:rsidRPr="0082771E">
        <w:rPr>
          <w:rFonts w:asciiTheme="minorHAnsi" w:hAnsiTheme="minorHAnsi"/>
          <w:b/>
        </w:rPr>
        <w:t>1,462,929</w:t>
      </w:r>
    </w:p>
    <w:p w:rsidR="00D60EA5" w:rsidRPr="00B17EC1" w:rsidRDefault="00D60EA5" w:rsidP="00270ACB">
      <w:pPr>
        <w:pStyle w:val="Heading3"/>
        <w:tabs>
          <w:tab w:val="clear" w:pos="709"/>
        </w:tabs>
        <w:ind w:left="567" w:hanging="567"/>
      </w:pPr>
      <w:r w:rsidRPr="00B17EC1">
        <w:t>Minimum Rates</w:t>
      </w:r>
    </w:p>
    <w:p w:rsidR="00D60EA5" w:rsidRPr="00270ACB" w:rsidRDefault="00D60EA5" w:rsidP="00270ACB">
      <w:pPr>
        <w:pStyle w:val="BodyText"/>
        <w:rPr>
          <w:rFonts w:asciiTheme="minorHAnsi" w:hAnsiTheme="minorHAnsi"/>
        </w:rPr>
      </w:pPr>
      <w:r w:rsidRPr="00270ACB">
        <w:rPr>
          <w:rFonts w:asciiTheme="minorHAnsi" w:hAnsiTheme="minorHAnsi"/>
        </w:rPr>
        <w:t xml:space="preserve">The </w:t>
      </w:r>
      <w:r w:rsidR="00187715" w:rsidRPr="00270ACB">
        <w:rPr>
          <w:rFonts w:asciiTheme="minorHAnsi" w:hAnsiTheme="minorHAnsi"/>
        </w:rPr>
        <w:t>Special Rate Variation</w:t>
      </w:r>
      <w:r w:rsidRPr="00270ACB">
        <w:rPr>
          <w:rFonts w:asciiTheme="minorHAnsi" w:hAnsiTheme="minorHAnsi"/>
        </w:rPr>
        <w:t xml:space="preserve"> may affect ordinary rates, special rates and</w:t>
      </w:r>
      <w:r w:rsidR="00F834EE" w:rsidRPr="00270ACB">
        <w:rPr>
          <w:rFonts w:asciiTheme="minorHAnsi" w:hAnsiTheme="minorHAnsi"/>
        </w:rPr>
        <w:t>/or</w:t>
      </w:r>
      <w:r w:rsidRPr="00270ACB">
        <w:rPr>
          <w:rFonts w:asciiTheme="minorHAnsi" w:hAnsiTheme="minorHAnsi"/>
        </w:rPr>
        <w:t xml:space="preserve"> minimum rates.</w:t>
      </w:r>
    </w:p>
    <w:p w:rsidR="00B84AA8" w:rsidRPr="00270ACB" w:rsidRDefault="00B84AA8" w:rsidP="00351764">
      <w:pPr>
        <w:pStyle w:val="BodyText"/>
        <w:spacing w:before="0"/>
        <w:rPr>
          <w:rFonts w:asciiTheme="minorHAnsi" w:hAnsiTheme="minorHAnsi"/>
        </w:rPr>
      </w:pPr>
    </w:p>
    <w:tbl>
      <w:tblPr>
        <w:tblStyle w:val="TableGrid"/>
        <w:tblW w:w="0" w:type="auto"/>
        <w:jc w:val="center"/>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270ACB" w:rsidTr="00270ACB">
        <w:trPr>
          <w:jc w:val="center"/>
        </w:trPr>
        <w:tc>
          <w:tcPr>
            <w:tcW w:w="5211" w:type="dxa"/>
          </w:tcPr>
          <w:p w:rsidR="00B84AA8" w:rsidRPr="00270ACB" w:rsidRDefault="00B84AA8" w:rsidP="00270ACB">
            <w:pPr>
              <w:pStyle w:val="TableTextEntries"/>
              <w:jc w:val="both"/>
              <w:rPr>
                <w:rFonts w:asciiTheme="minorHAnsi" w:hAnsiTheme="minorHAnsi"/>
              </w:rPr>
            </w:pPr>
            <w:r w:rsidRPr="00270ACB">
              <w:rPr>
                <w:rFonts w:asciiTheme="minorHAnsi" w:hAnsiTheme="minorHAnsi"/>
              </w:rPr>
              <w:t xml:space="preserve">Does the council have </w:t>
            </w:r>
            <w:r w:rsidR="00F834EE" w:rsidRPr="00270ACB">
              <w:rPr>
                <w:rFonts w:asciiTheme="minorHAnsi" w:hAnsiTheme="minorHAnsi"/>
              </w:rPr>
              <w:t xml:space="preserve">residential </w:t>
            </w:r>
            <w:r w:rsidRPr="00270ACB">
              <w:rPr>
                <w:rFonts w:asciiTheme="minorHAnsi" w:hAnsiTheme="minorHAnsi"/>
              </w:rPr>
              <w:t>minimum rates?</w:t>
            </w:r>
          </w:p>
        </w:tc>
        <w:tc>
          <w:tcPr>
            <w:tcW w:w="1701" w:type="dxa"/>
          </w:tcPr>
          <w:p w:rsidR="00B84AA8" w:rsidRPr="00270ACB" w:rsidRDefault="00B84AA8" w:rsidP="00351764">
            <w:pPr>
              <w:pStyle w:val="TableTextEntries"/>
              <w:rPr>
                <w:rFonts w:asciiTheme="minorHAnsi" w:hAnsiTheme="minorHAnsi"/>
              </w:rPr>
            </w:pPr>
            <w:r w:rsidRPr="00270ACB">
              <w:rPr>
                <w:rFonts w:asciiTheme="minorHAnsi" w:hAnsiTheme="minorHAnsi"/>
              </w:rPr>
              <w:t xml:space="preserve">Yes </w:t>
            </w:r>
            <w:r w:rsidRPr="00270ACB">
              <w:rPr>
                <w:rFonts w:asciiTheme="minorHAnsi" w:hAnsiTheme="minorHAnsi"/>
              </w:rPr>
              <w:fldChar w:fldCharType="begin">
                <w:ffData>
                  <w:name w:val="Check6"/>
                  <w:enabled/>
                  <w:calcOnExit w:val="0"/>
                  <w:checkBox>
                    <w:sizeAuto/>
                    <w:default w:val="0"/>
                  </w:checkBox>
                </w:ffData>
              </w:fldChar>
            </w:r>
            <w:r w:rsidRPr="00270ACB">
              <w:rPr>
                <w:rFonts w:asciiTheme="minorHAnsi" w:hAnsiTheme="minorHAnsi"/>
              </w:rPr>
              <w:instrText xml:space="preserve"> FORMCHECKBOX </w:instrText>
            </w:r>
            <w:r w:rsidR="00843AF5">
              <w:rPr>
                <w:rFonts w:asciiTheme="minorHAnsi" w:hAnsiTheme="minorHAnsi"/>
              </w:rPr>
            </w:r>
            <w:r w:rsidR="00843AF5">
              <w:rPr>
                <w:rFonts w:asciiTheme="minorHAnsi" w:hAnsiTheme="minorHAnsi"/>
              </w:rPr>
              <w:fldChar w:fldCharType="separate"/>
            </w:r>
            <w:r w:rsidRPr="00270ACB">
              <w:rPr>
                <w:rFonts w:asciiTheme="minorHAnsi" w:hAnsiTheme="minorHAnsi"/>
              </w:rPr>
              <w:fldChar w:fldCharType="end"/>
            </w:r>
            <w:r w:rsidRPr="00270ACB">
              <w:rPr>
                <w:rFonts w:asciiTheme="minorHAnsi" w:hAnsiTheme="minorHAnsi"/>
              </w:rPr>
              <w:t xml:space="preserve"> </w:t>
            </w:r>
          </w:p>
        </w:tc>
        <w:tc>
          <w:tcPr>
            <w:tcW w:w="1242" w:type="dxa"/>
          </w:tcPr>
          <w:p w:rsidR="00B84AA8" w:rsidRPr="00270ACB" w:rsidRDefault="00B84AA8" w:rsidP="00351764">
            <w:pPr>
              <w:pStyle w:val="TableTextEntries"/>
              <w:rPr>
                <w:rFonts w:asciiTheme="minorHAnsi" w:hAnsiTheme="minorHAnsi"/>
                <w:sz w:val="24"/>
              </w:rPr>
            </w:pPr>
            <w:r w:rsidRPr="00270ACB">
              <w:rPr>
                <w:rFonts w:asciiTheme="minorHAnsi" w:hAnsiTheme="minorHAnsi"/>
              </w:rPr>
              <w:t xml:space="preserve">No </w:t>
            </w:r>
            <w:r w:rsidR="00020B0A" w:rsidRPr="00270ACB">
              <w:rPr>
                <w:rFonts w:asciiTheme="minorHAnsi" w:hAnsiTheme="minorHAnsi"/>
                <w:b/>
                <w:sz w:val="20"/>
              </w:rPr>
              <w:t>X</w:t>
            </w:r>
          </w:p>
        </w:tc>
      </w:tr>
    </w:tbl>
    <w:p w:rsidR="00346FD2" w:rsidRDefault="00346FD2" w:rsidP="00346FD2">
      <w:pPr>
        <w:pStyle w:val="Heading2"/>
        <w:numPr>
          <w:ilvl w:val="0"/>
          <w:numId w:val="0"/>
        </w:numPr>
        <w:ind w:left="567"/>
        <w:jc w:val="both"/>
      </w:pPr>
      <w:bookmarkStart w:id="24" w:name="_Toc366160418"/>
    </w:p>
    <w:p w:rsidR="00346FD2" w:rsidRDefault="00346FD2" w:rsidP="00346FD2">
      <w:pPr>
        <w:pStyle w:val="Subtitle"/>
        <w:rPr>
          <w:sz w:val="24"/>
        </w:rPr>
      </w:pPr>
      <w:r>
        <w:br w:type="page"/>
      </w:r>
    </w:p>
    <w:p w:rsidR="00346FD2" w:rsidRDefault="00346FD2" w:rsidP="00346FD2">
      <w:pPr>
        <w:pStyle w:val="Heading2"/>
        <w:numPr>
          <w:ilvl w:val="0"/>
          <w:numId w:val="0"/>
        </w:numPr>
        <w:ind w:left="567"/>
        <w:jc w:val="both"/>
      </w:pPr>
    </w:p>
    <w:p w:rsidR="00D60EA5" w:rsidRPr="00B17EC1" w:rsidRDefault="001C6AB3" w:rsidP="00270ACB">
      <w:pPr>
        <w:pStyle w:val="Heading2"/>
        <w:tabs>
          <w:tab w:val="clear" w:pos="709"/>
        </w:tabs>
        <w:ind w:left="567" w:hanging="567"/>
        <w:jc w:val="both"/>
      </w:pPr>
      <w:bookmarkStart w:id="25" w:name="_Toc409776053"/>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24"/>
      <w:bookmarkEnd w:id="25"/>
    </w:p>
    <w:p w:rsidR="00020B0A" w:rsidRDefault="00020B0A" w:rsidP="00351764">
      <w:pPr>
        <w:pStyle w:val="BodyText"/>
        <w:spacing w:before="0" w:line="240" w:lineRule="auto"/>
        <w:ind w:left="567"/>
        <w:rPr>
          <w:rFonts w:asciiTheme="minorHAnsi" w:hAnsiTheme="minorHAnsi"/>
          <w:highlight w:val="yellow"/>
        </w:rPr>
      </w:pPr>
    </w:p>
    <w:p w:rsidR="007343D2" w:rsidRPr="003379CF" w:rsidRDefault="007343D2" w:rsidP="00270ACB">
      <w:pPr>
        <w:pStyle w:val="BodyText"/>
        <w:spacing w:before="0" w:line="240" w:lineRule="auto"/>
        <w:rPr>
          <w:rFonts w:asciiTheme="minorHAnsi" w:hAnsiTheme="minorHAnsi"/>
        </w:rPr>
      </w:pPr>
      <w:r w:rsidRPr="003379CF">
        <w:rPr>
          <w:rFonts w:asciiTheme="minorHAnsi" w:hAnsiTheme="minorHAnsi"/>
        </w:rPr>
        <w:t>More than any other tax the level of rates is determined not by “ability to pay” b</w:t>
      </w:r>
      <w:r w:rsidR="00B91E4D">
        <w:rPr>
          <w:rFonts w:asciiTheme="minorHAnsi" w:hAnsiTheme="minorHAnsi"/>
        </w:rPr>
        <w:t xml:space="preserve">ut the “willingness to pay” </w:t>
      </w:r>
      <w:r w:rsidR="00020B0A" w:rsidRPr="003379CF">
        <w:rPr>
          <w:rFonts w:asciiTheme="minorHAnsi" w:hAnsiTheme="minorHAnsi"/>
        </w:rPr>
        <w:t>(s</w:t>
      </w:r>
      <w:r w:rsidRPr="003379CF">
        <w:rPr>
          <w:rFonts w:asciiTheme="minorHAnsi" w:hAnsiTheme="minorHAnsi"/>
        </w:rPr>
        <w:t xml:space="preserve">trong foundations for sustainable local </w:t>
      </w:r>
      <w:r w:rsidR="008A6D03" w:rsidRPr="003379CF">
        <w:rPr>
          <w:rFonts w:asciiTheme="minorHAnsi" w:hAnsiTheme="minorHAnsi"/>
        </w:rPr>
        <w:t>infrastructure Ernst and Young).</w:t>
      </w:r>
      <w:r w:rsidRPr="003379CF">
        <w:rPr>
          <w:rFonts w:asciiTheme="minorHAnsi" w:hAnsiTheme="minorHAnsi"/>
        </w:rPr>
        <w:t xml:space="preserve">  Oberon Council recognises the importance of assessing the affordability of a rate rise across all groups of </w:t>
      </w:r>
      <w:r w:rsidR="00187715">
        <w:rPr>
          <w:rFonts w:asciiTheme="minorHAnsi" w:hAnsiTheme="minorHAnsi"/>
        </w:rPr>
        <w:t>Ratepayers</w:t>
      </w:r>
      <w:r w:rsidRPr="003379CF">
        <w:rPr>
          <w:rFonts w:asciiTheme="minorHAnsi" w:hAnsiTheme="minorHAnsi"/>
        </w:rPr>
        <w:t>.</w:t>
      </w:r>
    </w:p>
    <w:p w:rsidR="00020B0A" w:rsidRPr="003379CF" w:rsidRDefault="00020B0A" w:rsidP="007F3DF9">
      <w:pPr>
        <w:pStyle w:val="BodyText"/>
        <w:spacing w:before="0" w:line="240" w:lineRule="auto"/>
        <w:ind w:left="567"/>
        <w:rPr>
          <w:rFonts w:asciiTheme="minorHAnsi" w:hAnsiTheme="minorHAnsi"/>
        </w:rPr>
      </w:pPr>
    </w:p>
    <w:p w:rsidR="007343D2" w:rsidRPr="003379CF" w:rsidRDefault="007343D2" w:rsidP="001A0CBB">
      <w:pPr>
        <w:pStyle w:val="BodyText"/>
        <w:spacing w:before="0" w:line="240" w:lineRule="auto"/>
        <w:rPr>
          <w:rFonts w:asciiTheme="minorHAnsi" w:hAnsiTheme="minorHAnsi"/>
        </w:rPr>
      </w:pPr>
      <w:r w:rsidRPr="003379CF">
        <w:rPr>
          <w:rFonts w:asciiTheme="minorHAnsi" w:hAnsiTheme="minorHAnsi"/>
        </w:rPr>
        <w:t>In determ</w:t>
      </w:r>
      <w:r w:rsidR="00A21502">
        <w:rPr>
          <w:rFonts w:asciiTheme="minorHAnsi" w:hAnsiTheme="minorHAnsi"/>
        </w:rPr>
        <w:t>ining the affordability of the S</w:t>
      </w:r>
      <w:r w:rsidRPr="003379CF">
        <w:rPr>
          <w:rFonts w:asciiTheme="minorHAnsi" w:hAnsiTheme="minorHAnsi"/>
        </w:rPr>
        <w:t xml:space="preserve">pecial </w:t>
      </w:r>
      <w:r w:rsidR="00A21502">
        <w:rPr>
          <w:rFonts w:asciiTheme="minorHAnsi" w:hAnsiTheme="minorHAnsi"/>
        </w:rPr>
        <w:t>R</w:t>
      </w:r>
      <w:r w:rsidR="00220BC9">
        <w:rPr>
          <w:rFonts w:asciiTheme="minorHAnsi" w:hAnsiTheme="minorHAnsi"/>
        </w:rPr>
        <w:t xml:space="preserve">ate </w:t>
      </w:r>
      <w:r w:rsidR="00A21502">
        <w:rPr>
          <w:rFonts w:asciiTheme="minorHAnsi" w:hAnsiTheme="minorHAnsi"/>
        </w:rPr>
        <w:t>V</w:t>
      </w:r>
      <w:r w:rsidRPr="003379CF">
        <w:rPr>
          <w:rFonts w:asciiTheme="minorHAnsi" w:hAnsiTheme="minorHAnsi"/>
        </w:rPr>
        <w:t>ariation and the community’s capacity to pay, Oberon Council have made an</w:t>
      </w:r>
      <w:r w:rsidR="003379CF" w:rsidRPr="003379CF">
        <w:rPr>
          <w:rFonts w:asciiTheme="minorHAnsi" w:hAnsiTheme="minorHAnsi"/>
        </w:rPr>
        <w:t xml:space="preserve"> assessment of a number of key </w:t>
      </w:r>
      <w:r w:rsidRPr="003379CF">
        <w:rPr>
          <w:rFonts w:asciiTheme="minorHAnsi" w:hAnsiTheme="minorHAnsi"/>
        </w:rPr>
        <w:t>socio–economic indicators including Oberon’s SEIFA ranking, average annual income for individuals, growth in average annual income and average re</w:t>
      </w:r>
      <w:r w:rsidR="00B91E4D">
        <w:rPr>
          <w:rFonts w:asciiTheme="minorHAnsi" w:hAnsiTheme="minorHAnsi"/>
        </w:rPr>
        <w:t>sidential rates as a percentage</w:t>
      </w:r>
      <w:r w:rsidR="005746B2">
        <w:rPr>
          <w:rFonts w:asciiTheme="minorHAnsi" w:hAnsiTheme="minorHAnsi"/>
        </w:rPr>
        <w:t xml:space="preserve"> of </w:t>
      </w:r>
      <w:r w:rsidRPr="003379CF">
        <w:rPr>
          <w:rFonts w:asciiTheme="minorHAnsi" w:hAnsiTheme="minorHAnsi"/>
        </w:rPr>
        <w:t>annual income. Council has also compared its average rates across all rating categ</w:t>
      </w:r>
      <w:r w:rsidR="00607084">
        <w:rPr>
          <w:rFonts w:asciiTheme="minorHAnsi" w:hAnsiTheme="minorHAnsi"/>
        </w:rPr>
        <w:t>ories to those of neighbouring C</w:t>
      </w:r>
      <w:r w:rsidRPr="003379CF">
        <w:rPr>
          <w:rFonts w:asciiTheme="minorHAnsi" w:hAnsiTheme="minorHAnsi"/>
        </w:rPr>
        <w:t>ounci</w:t>
      </w:r>
      <w:r w:rsidR="00607084">
        <w:rPr>
          <w:rFonts w:asciiTheme="minorHAnsi" w:hAnsiTheme="minorHAnsi"/>
        </w:rPr>
        <w:t xml:space="preserve">ls and other Group 10 Councils </w:t>
      </w:r>
      <w:r w:rsidR="00607084">
        <w:rPr>
          <w:rFonts w:asciiTheme="minorHAnsi" w:hAnsiTheme="minorHAnsi"/>
        </w:rPr>
        <w:br/>
        <w:t>(</w:t>
      </w:r>
      <w:r w:rsidR="00385AA0" w:rsidRPr="004854FC">
        <w:rPr>
          <w:rFonts w:asciiTheme="minorHAnsi" w:hAnsiTheme="minorHAnsi"/>
        </w:rPr>
        <w:t xml:space="preserve">Attachment </w:t>
      </w:r>
      <w:r w:rsidR="004854FC" w:rsidRPr="004854FC">
        <w:rPr>
          <w:rFonts w:asciiTheme="minorHAnsi" w:hAnsiTheme="minorHAnsi"/>
        </w:rPr>
        <w:t>5</w:t>
      </w:r>
      <w:r w:rsidR="00607084">
        <w:rPr>
          <w:rFonts w:asciiTheme="minorHAnsi" w:hAnsiTheme="minorHAnsi"/>
        </w:rPr>
        <w:t>)</w:t>
      </w:r>
      <w:r w:rsidRPr="004854FC">
        <w:rPr>
          <w:rFonts w:asciiTheme="minorHAnsi" w:hAnsiTheme="minorHAnsi"/>
        </w:rPr>
        <w:t>.</w:t>
      </w:r>
    </w:p>
    <w:p w:rsidR="003379CF" w:rsidRPr="003379CF" w:rsidRDefault="003379CF" w:rsidP="00020B0A">
      <w:pPr>
        <w:pStyle w:val="BodyText"/>
        <w:spacing w:before="0" w:line="240" w:lineRule="auto"/>
        <w:ind w:left="1134"/>
        <w:rPr>
          <w:rFonts w:asciiTheme="minorHAnsi" w:hAnsiTheme="minorHAnsi"/>
        </w:rPr>
      </w:pPr>
    </w:p>
    <w:p w:rsidR="007343D2" w:rsidRPr="003379CF" w:rsidRDefault="007343D2" w:rsidP="00385AA0">
      <w:pPr>
        <w:pStyle w:val="BodyText"/>
        <w:spacing w:before="0" w:line="240" w:lineRule="auto"/>
        <w:rPr>
          <w:rFonts w:asciiTheme="minorHAnsi" w:hAnsiTheme="minorHAnsi"/>
        </w:rPr>
      </w:pPr>
      <w:r w:rsidRPr="003379CF">
        <w:rPr>
          <w:rFonts w:asciiTheme="minorHAnsi" w:hAnsiTheme="minorHAnsi"/>
        </w:rPr>
        <w:t>Oberon is a relatively prosperous and vibrant rural community with a low unemployment rate of just 4.8%. The main economic pillars of the Oberon LGA are forestry, timber manufacturing, agriculture and tourism. These industries are considered to be relatively stable compared to neighbouring Councils such as Lithgow who have been impacted by the downturn in mining industries.</w:t>
      </w:r>
    </w:p>
    <w:p w:rsidR="003379CF" w:rsidRPr="003379CF" w:rsidRDefault="003379CF" w:rsidP="00351764">
      <w:pPr>
        <w:pStyle w:val="BodyText"/>
        <w:spacing w:before="0" w:line="240" w:lineRule="auto"/>
        <w:ind w:left="568"/>
        <w:rPr>
          <w:rFonts w:asciiTheme="minorHAnsi" w:hAnsiTheme="minorHAnsi"/>
        </w:rPr>
      </w:pPr>
    </w:p>
    <w:p w:rsidR="007343D2" w:rsidRPr="003379CF" w:rsidRDefault="007343D2" w:rsidP="00017A75">
      <w:pPr>
        <w:pStyle w:val="BodyText"/>
        <w:spacing w:before="0" w:line="240" w:lineRule="auto"/>
        <w:rPr>
          <w:rFonts w:asciiTheme="minorHAnsi" w:hAnsiTheme="minorHAnsi"/>
        </w:rPr>
      </w:pPr>
      <w:r w:rsidRPr="003379CF">
        <w:rPr>
          <w:rFonts w:asciiTheme="minorHAnsi" w:hAnsiTheme="minorHAnsi"/>
        </w:rPr>
        <w:t>The average annual income of individuals is $44 687 which i</w:t>
      </w:r>
      <w:r w:rsidR="00017A75">
        <w:rPr>
          <w:rFonts w:asciiTheme="minorHAnsi" w:hAnsiTheme="minorHAnsi"/>
        </w:rPr>
        <w:t>s considerably higher than the OLG Group 10 average of $35,</w:t>
      </w:r>
      <w:r w:rsidRPr="003379CF">
        <w:rPr>
          <w:rFonts w:asciiTheme="minorHAnsi" w:hAnsiTheme="minorHAnsi"/>
        </w:rPr>
        <w:t xml:space="preserve">157. Growth in individual’s annual income over the period 2006-2010 was </w:t>
      </w:r>
      <w:r w:rsidR="00017A75">
        <w:rPr>
          <w:rFonts w:asciiTheme="minorHAnsi" w:hAnsiTheme="minorHAnsi"/>
        </w:rPr>
        <w:br/>
      </w:r>
      <w:r w:rsidRPr="003379CF">
        <w:rPr>
          <w:rFonts w:asciiTheme="minorHAnsi" w:hAnsiTheme="minorHAnsi"/>
        </w:rPr>
        <w:t>approximately 5%.</w:t>
      </w:r>
    </w:p>
    <w:p w:rsidR="003379CF" w:rsidRPr="003379CF" w:rsidRDefault="003379CF" w:rsidP="00017A75">
      <w:pPr>
        <w:pStyle w:val="BodyText"/>
        <w:spacing w:before="0" w:line="240" w:lineRule="auto"/>
        <w:rPr>
          <w:rFonts w:asciiTheme="minorHAnsi" w:hAnsiTheme="minorHAnsi"/>
        </w:rPr>
      </w:pPr>
    </w:p>
    <w:p w:rsidR="007343D2" w:rsidRPr="003379CF" w:rsidRDefault="007343D2" w:rsidP="00017A75">
      <w:pPr>
        <w:pStyle w:val="BodyText"/>
        <w:spacing w:before="0" w:line="240" w:lineRule="auto"/>
        <w:rPr>
          <w:rFonts w:asciiTheme="minorHAnsi" w:hAnsiTheme="minorHAnsi"/>
        </w:rPr>
      </w:pPr>
      <w:r w:rsidRPr="003379CF">
        <w:rPr>
          <w:rFonts w:asciiTheme="minorHAnsi" w:hAnsiTheme="minorHAnsi"/>
        </w:rPr>
        <w:t>The Oberon LGA is unique in that due to its close proximity to Sydney a signifi</w:t>
      </w:r>
      <w:r w:rsidR="003379CF">
        <w:rPr>
          <w:rFonts w:asciiTheme="minorHAnsi" w:hAnsiTheme="minorHAnsi"/>
        </w:rPr>
        <w:t xml:space="preserve">cant number of </w:t>
      </w:r>
      <w:r w:rsidR="00187715">
        <w:rPr>
          <w:rFonts w:asciiTheme="minorHAnsi" w:hAnsiTheme="minorHAnsi"/>
        </w:rPr>
        <w:t>Ratepayers</w:t>
      </w:r>
      <w:r w:rsidR="003379CF">
        <w:rPr>
          <w:rFonts w:asciiTheme="minorHAnsi" w:hAnsiTheme="minorHAnsi"/>
        </w:rPr>
        <w:t xml:space="preserve"> reside outside the S</w:t>
      </w:r>
      <w:r w:rsidRPr="003379CF">
        <w:rPr>
          <w:rFonts w:asciiTheme="minorHAnsi" w:hAnsiTheme="minorHAnsi"/>
        </w:rPr>
        <w:t xml:space="preserve">hire and own rural lifestyle and agricultural properties in Oberon. The incomes of these ratepayers would not be reflected in census data but it is assumed that the majority of these </w:t>
      </w:r>
      <w:r w:rsidR="00187715">
        <w:rPr>
          <w:rFonts w:asciiTheme="minorHAnsi" w:hAnsiTheme="minorHAnsi"/>
        </w:rPr>
        <w:t>Ratepayers</w:t>
      </w:r>
      <w:r w:rsidRPr="003379CF">
        <w:rPr>
          <w:rFonts w:asciiTheme="minorHAnsi" w:hAnsiTheme="minorHAnsi"/>
        </w:rPr>
        <w:t xml:space="preserve"> are high income earners with su</w:t>
      </w:r>
      <w:r w:rsidR="00A21502">
        <w:rPr>
          <w:rFonts w:asciiTheme="minorHAnsi" w:hAnsiTheme="minorHAnsi"/>
        </w:rPr>
        <w:t>fficient capacity to pay for a Special Rate V</w:t>
      </w:r>
      <w:r w:rsidRPr="003379CF">
        <w:rPr>
          <w:rFonts w:asciiTheme="minorHAnsi" w:hAnsiTheme="minorHAnsi"/>
        </w:rPr>
        <w:t>ariation.</w:t>
      </w:r>
    </w:p>
    <w:p w:rsidR="003379CF" w:rsidRPr="003379CF" w:rsidRDefault="003379CF" w:rsidP="00351764">
      <w:pPr>
        <w:pStyle w:val="BodyText"/>
        <w:spacing w:before="0" w:line="240" w:lineRule="auto"/>
        <w:ind w:left="568"/>
        <w:rPr>
          <w:rFonts w:asciiTheme="minorHAnsi" w:hAnsiTheme="minorHAnsi"/>
        </w:rPr>
      </w:pPr>
    </w:p>
    <w:p w:rsidR="007343D2" w:rsidRPr="003379CF" w:rsidRDefault="007343D2" w:rsidP="006E253C">
      <w:pPr>
        <w:pStyle w:val="BodyText"/>
        <w:spacing w:before="0" w:line="240" w:lineRule="auto"/>
        <w:rPr>
          <w:rFonts w:asciiTheme="minorHAnsi" w:hAnsiTheme="minorHAnsi"/>
        </w:rPr>
      </w:pPr>
      <w:r w:rsidRPr="003379CF">
        <w:rPr>
          <w:rFonts w:asciiTheme="minorHAnsi" w:hAnsiTheme="minorHAnsi"/>
        </w:rPr>
        <w:t>Obe</w:t>
      </w:r>
      <w:r w:rsidR="003379CF">
        <w:rPr>
          <w:rFonts w:asciiTheme="minorHAnsi" w:hAnsiTheme="minorHAnsi"/>
        </w:rPr>
        <w:t>ron is ranked at 79 out of 153 C</w:t>
      </w:r>
      <w:r w:rsidRPr="003379CF">
        <w:rPr>
          <w:rFonts w:asciiTheme="minorHAnsi" w:hAnsiTheme="minorHAnsi"/>
        </w:rPr>
        <w:t>ouncils in NSW</w:t>
      </w:r>
      <w:r w:rsidR="001A5C49">
        <w:rPr>
          <w:rFonts w:asciiTheme="minorHAnsi" w:hAnsiTheme="minorHAnsi"/>
        </w:rPr>
        <w:t xml:space="preserve"> in the SEIFA rating</w:t>
      </w:r>
      <w:r w:rsidR="003379CF">
        <w:rPr>
          <w:rFonts w:asciiTheme="minorHAnsi" w:hAnsiTheme="minorHAnsi"/>
        </w:rPr>
        <w:t>,</w:t>
      </w:r>
      <w:r w:rsidRPr="003379CF">
        <w:rPr>
          <w:rFonts w:asciiTheme="minorHAnsi" w:hAnsiTheme="minorHAnsi"/>
        </w:rPr>
        <w:t xml:space="preserve"> indicating that it represents a community of median financial and social wellbeing.</w:t>
      </w:r>
    </w:p>
    <w:p w:rsidR="003379CF" w:rsidRPr="003379CF" w:rsidRDefault="003379CF" w:rsidP="006E253C">
      <w:pPr>
        <w:pStyle w:val="BodyText"/>
        <w:spacing w:before="0" w:line="240" w:lineRule="auto"/>
        <w:rPr>
          <w:rFonts w:asciiTheme="minorHAnsi" w:hAnsiTheme="minorHAnsi"/>
        </w:rPr>
      </w:pPr>
    </w:p>
    <w:p w:rsidR="007343D2" w:rsidRPr="003379CF" w:rsidRDefault="007343D2" w:rsidP="006E253C">
      <w:pPr>
        <w:pStyle w:val="BodyText"/>
        <w:spacing w:before="0" w:line="240" w:lineRule="auto"/>
        <w:rPr>
          <w:rFonts w:asciiTheme="minorHAnsi" w:hAnsiTheme="minorHAnsi"/>
        </w:rPr>
      </w:pPr>
      <w:r w:rsidRPr="003379CF">
        <w:rPr>
          <w:rFonts w:asciiTheme="minorHAnsi" w:hAnsiTheme="minorHAnsi"/>
        </w:rPr>
        <w:t xml:space="preserve">During the community consultation process Council identified two groups of </w:t>
      </w:r>
      <w:r w:rsidR="00187715">
        <w:rPr>
          <w:rFonts w:asciiTheme="minorHAnsi" w:hAnsiTheme="minorHAnsi"/>
        </w:rPr>
        <w:t>Ratepayers</w:t>
      </w:r>
      <w:r w:rsidRPr="003379CF">
        <w:rPr>
          <w:rFonts w:asciiTheme="minorHAnsi" w:hAnsiTheme="minorHAnsi"/>
        </w:rPr>
        <w:t xml:space="preserve"> who would be most impac</w:t>
      </w:r>
      <w:r w:rsidR="003379CF">
        <w:rPr>
          <w:rFonts w:asciiTheme="minorHAnsi" w:hAnsiTheme="minorHAnsi"/>
        </w:rPr>
        <w:t>ted by</w:t>
      </w:r>
      <w:r w:rsidR="00A21502">
        <w:rPr>
          <w:rFonts w:asciiTheme="minorHAnsi" w:hAnsiTheme="minorHAnsi"/>
        </w:rPr>
        <w:t xml:space="preserve"> a Special Rate V</w:t>
      </w:r>
      <w:r w:rsidR="003379CF">
        <w:rPr>
          <w:rFonts w:asciiTheme="minorHAnsi" w:hAnsiTheme="minorHAnsi"/>
        </w:rPr>
        <w:t>ariation – p</w:t>
      </w:r>
      <w:r w:rsidRPr="003379CF">
        <w:rPr>
          <w:rFonts w:asciiTheme="minorHAnsi" w:hAnsiTheme="minorHAnsi"/>
        </w:rPr>
        <w:t>ensioners and farmers</w:t>
      </w:r>
      <w:r w:rsidR="003379CF">
        <w:rPr>
          <w:rFonts w:asciiTheme="minorHAnsi" w:hAnsiTheme="minorHAnsi"/>
        </w:rPr>
        <w:t>.</w:t>
      </w:r>
    </w:p>
    <w:p w:rsidR="003379CF" w:rsidRPr="003379CF" w:rsidRDefault="003379CF" w:rsidP="006E253C">
      <w:pPr>
        <w:pStyle w:val="BodyText"/>
        <w:spacing w:before="0" w:line="240" w:lineRule="auto"/>
        <w:rPr>
          <w:rFonts w:asciiTheme="minorHAnsi" w:hAnsiTheme="minorHAnsi"/>
        </w:rPr>
      </w:pPr>
    </w:p>
    <w:p w:rsidR="007343D2" w:rsidRPr="003379CF" w:rsidRDefault="007343D2" w:rsidP="006E253C">
      <w:pPr>
        <w:pStyle w:val="BodyText"/>
        <w:spacing w:before="0" w:line="240" w:lineRule="auto"/>
        <w:rPr>
          <w:rFonts w:asciiTheme="minorHAnsi" w:hAnsiTheme="minorHAnsi"/>
        </w:rPr>
      </w:pPr>
      <w:r w:rsidRPr="003379CF">
        <w:rPr>
          <w:rFonts w:asciiTheme="minorHAnsi" w:hAnsiTheme="minorHAnsi"/>
        </w:rPr>
        <w:t>Oberon Council recognises that for the Oberon farming community a rate increase has a significant impact as farmers incomes are dependant on variable commodity prices, rising costs of production and climatic risks such as drought. While the average farmland rate of $1</w:t>
      </w:r>
      <w:r w:rsidR="003379CF">
        <w:rPr>
          <w:rFonts w:asciiTheme="minorHAnsi" w:hAnsiTheme="minorHAnsi"/>
        </w:rPr>
        <w:t>,</w:t>
      </w:r>
      <w:r w:rsidRPr="003379CF">
        <w:rPr>
          <w:rFonts w:asciiTheme="minorHAnsi" w:hAnsiTheme="minorHAnsi"/>
        </w:rPr>
        <w:t>585 is considerably lower than the Group</w:t>
      </w:r>
      <w:r w:rsidR="003379CF">
        <w:rPr>
          <w:rFonts w:asciiTheme="minorHAnsi" w:hAnsiTheme="minorHAnsi"/>
        </w:rPr>
        <w:t xml:space="preserve"> </w:t>
      </w:r>
      <w:r w:rsidRPr="003379CF">
        <w:rPr>
          <w:rFonts w:asciiTheme="minorHAnsi" w:hAnsiTheme="minorHAnsi"/>
        </w:rPr>
        <w:t>10 average of $2</w:t>
      </w:r>
      <w:r w:rsidR="003379CF">
        <w:rPr>
          <w:rFonts w:asciiTheme="minorHAnsi" w:hAnsiTheme="minorHAnsi"/>
        </w:rPr>
        <w:t>,</w:t>
      </w:r>
      <w:r w:rsidRPr="003379CF">
        <w:rPr>
          <w:rFonts w:asciiTheme="minorHAnsi" w:hAnsiTheme="minorHAnsi"/>
        </w:rPr>
        <w:t>192</w:t>
      </w:r>
      <w:r w:rsidR="003379CF">
        <w:rPr>
          <w:rFonts w:asciiTheme="minorHAnsi" w:hAnsiTheme="minorHAnsi"/>
        </w:rPr>
        <w:t>,</w:t>
      </w:r>
      <w:r w:rsidRPr="003379CF">
        <w:rPr>
          <w:rFonts w:asciiTheme="minorHAnsi" w:hAnsiTheme="minorHAnsi"/>
        </w:rPr>
        <w:t xml:space="preserve"> it must be noted that av</w:t>
      </w:r>
      <w:r w:rsidR="009647E7">
        <w:rPr>
          <w:rFonts w:asciiTheme="minorHAnsi" w:hAnsiTheme="minorHAnsi"/>
        </w:rPr>
        <w:t xml:space="preserve">erage rural holdings in Oberon </w:t>
      </w:r>
      <w:r w:rsidRPr="003379CF">
        <w:rPr>
          <w:rFonts w:asciiTheme="minorHAnsi" w:hAnsiTheme="minorHAnsi"/>
        </w:rPr>
        <w:t>are much smaller than other farming areas as Oberon has a considerable number of lifestyle blocks that are subject to a farmland rate.</w:t>
      </w:r>
    </w:p>
    <w:p w:rsidR="003379CF" w:rsidRDefault="003379CF" w:rsidP="006E253C">
      <w:pPr>
        <w:pStyle w:val="BodyText"/>
        <w:spacing w:before="0" w:line="240" w:lineRule="auto"/>
        <w:ind w:left="566"/>
        <w:rPr>
          <w:rFonts w:asciiTheme="minorHAnsi" w:hAnsiTheme="minorHAnsi"/>
          <w:highlight w:val="yellow"/>
        </w:rPr>
      </w:pPr>
    </w:p>
    <w:p w:rsidR="007343D2" w:rsidRDefault="007343D2" w:rsidP="006E253C">
      <w:pPr>
        <w:pStyle w:val="BodyText"/>
        <w:spacing w:before="0" w:line="240" w:lineRule="auto"/>
        <w:rPr>
          <w:rFonts w:asciiTheme="minorHAnsi" w:hAnsiTheme="minorHAnsi"/>
        </w:rPr>
      </w:pPr>
      <w:r w:rsidRPr="003379CF">
        <w:rPr>
          <w:rFonts w:asciiTheme="minorHAnsi" w:hAnsiTheme="minorHAnsi"/>
        </w:rPr>
        <w:t>A specific risk to the Oberon LGA is its ageing population with 25% of our population over the age of 60. Currently</w:t>
      </w:r>
      <w:r w:rsidR="003379CF">
        <w:rPr>
          <w:rFonts w:asciiTheme="minorHAnsi" w:hAnsiTheme="minorHAnsi"/>
        </w:rPr>
        <w:t>,</w:t>
      </w:r>
      <w:r w:rsidRPr="003379CF">
        <w:rPr>
          <w:rFonts w:asciiTheme="minorHAnsi" w:hAnsiTheme="minorHAnsi"/>
        </w:rPr>
        <w:t xml:space="preserve"> ther</w:t>
      </w:r>
      <w:r w:rsidR="003379CF">
        <w:rPr>
          <w:rFonts w:asciiTheme="minorHAnsi" w:hAnsiTheme="minorHAnsi"/>
        </w:rPr>
        <w:t xml:space="preserve">e are 374 ratepayers (14.6 %) </w:t>
      </w:r>
      <w:r w:rsidRPr="003379CF">
        <w:rPr>
          <w:rFonts w:asciiTheme="minorHAnsi" w:hAnsiTheme="minorHAnsi"/>
        </w:rPr>
        <w:t xml:space="preserve">who claim the pensioner rebate. The impact of a </w:t>
      </w:r>
      <w:r w:rsidR="00A21502">
        <w:rPr>
          <w:rFonts w:asciiTheme="minorHAnsi" w:hAnsiTheme="minorHAnsi"/>
        </w:rPr>
        <w:t>Special Rate V</w:t>
      </w:r>
      <w:r w:rsidR="003379CF">
        <w:rPr>
          <w:rFonts w:asciiTheme="minorHAnsi" w:hAnsiTheme="minorHAnsi"/>
        </w:rPr>
        <w:t>ariation</w:t>
      </w:r>
      <w:r w:rsidRPr="003379CF">
        <w:rPr>
          <w:rFonts w:asciiTheme="minorHAnsi" w:hAnsiTheme="minorHAnsi"/>
        </w:rPr>
        <w:t xml:space="preserve"> on these </w:t>
      </w:r>
      <w:r w:rsidR="00187715">
        <w:rPr>
          <w:rFonts w:asciiTheme="minorHAnsi" w:hAnsiTheme="minorHAnsi"/>
        </w:rPr>
        <w:t>Ratepayers</w:t>
      </w:r>
      <w:r w:rsidRPr="003379CF">
        <w:rPr>
          <w:rFonts w:asciiTheme="minorHAnsi" w:hAnsiTheme="minorHAnsi"/>
        </w:rPr>
        <w:t xml:space="preserve"> who are on a fixed income will be managed through the development and imple</w:t>
      </w:r>
      <w:r w:rsidR="002054B1">
        <w:rPr>
          <w:rFonts w:asciiTheme="minorHAnsi" w:hAnsiTheme="minorHAnsi"/>
        </w:rPr>
        <w:t>mentation of a Hardship P</w:t>
      </w:r>
      <w:r w:rsidR="003379CF">
        <w:rPr>
          <w:rFonts w:asciiTheme="minorHAnsi" w:hAnsiTheme="minorHAnsi"/>
        </w:rPr>
        <w:t xml:space="preserve">olicy and </w:t>
      </w:r>
      <w:r w:rsidR="002054B1">
        <w:rPr>
          <w:rFonts w:asciiTheme="minorHAnsi" w:hAnsiTheme="minorHAnsi"/>
        </w:rPr>
        <w:t>agreed</w:t>
      </w:r>
      <w:r w:rsidR="003379CF">
        <w:rPr>
          <w:rFonts w:asciiTheme="minorHAnsi" w:hAnsiTheme="minorHAnsi"/>
        </w:rPr>
        <w:t xml:space="preserve"> Payment Plans that </w:t>
      </w:r>
      <w:r w:rsidR="002054B1">
        <w:rPr>
          <w:rFonts w:asciiTheme="minorHAnsi" w:hAnsiTheme="minorHAnsi"/>
        </w:rPr>
        <w:t>is available</w:t>
      </w:r>
      <w:r w:rsidR="003379CF">
        <w:rPr>
          <w:rFonts w:asciiTheme="minorHAnsi" w:hAnsiTheme="minorHAnsi"/>
        </w:rPr>
        <w:t xml:space="preserve"> to all ratepayers.</w:t>
      </w:r>
    </w:p>
    <w:p w:rsidR="00346FD2" w:rsidRDefault="00346FD2">
      <w:pPr>
        <w:rPr>
          <w:rFonts w:asciiTheme="minorHAnsi" w:hAnsiTheme="minorHAnsi"/>
          <w:szCs w:val="21"/>
        </w:rPr>
      </w:pPr>
      <w:r>
        <w:rPr>
          <w:rFonts w:asciiTheme="minorHAnsi" w:hAnsiTheme="minorHAnsi"/>
        </w:rPr>
        <w:br w:type="page"/>
      </w:r>
    </w:p>
    <w:p w:rsidR="00346FD2" w:rsidRPr="00020B0A" w:rsidRDefault="00346FD2" w:rsidP="006E253C">
      <w:pPr>
        <w:pStyle w:val="BodyText"/>
        <w:spacing w:before="0" w:line="240" w:lineRule="auto"/>
        <w:rPr>
          <w:rFonts w:asciiTheme="minorHAnsi" w:hAnsiTheme="minorHAnsi"/>
        </w:rPr>
      </w:pPr>
    </w:p>
    <w:p w:rsidR="00D60EA5" w:rsidRDefault="00D60EA5" w:rsidP="00346FD2">
      <w:pPr>
        <w:pStyle w:val="Heading2"/>
        <w:tabs>
          <w:tab w:val="clear" w:pos="709"/>
          <w:tab w:val="num" w:pos="567"/>
        </w:tabs>
        <w:spacing w:before="120"/>
        <w:ind w:left="567" w:hanging="567"/>
      </w:pPr>
      <w:bookmarkStart w:id="26" w:name="_Toc409776054"/>
      <w:r w:rsidRPr="00B17EC1">
        <w:t>Addressing hardship</w:t>
      </w:r>
      <w:bookmarkEnd w:id="26"/>
    </w:p>
    <w:p w:rsidR="00D60EA5" w:rsidRDefault="00D60EA5" w:rsidP="005746B2">
      <w:pPr>
        <w:pStyle w:val="BodyText"/>
      </w:pPr>
      <w:r w:rsidRPr="005F72FF">
        <w:t>In addition to the statutory requirement for p</w:t>
      </w:r>
      <w:r w:rsidR="00704C49">
        <w:t>ensioner rebates, most C</w:t>
      </w:r>
      <w:r w:rsidR="00FC2116">
        <w:t>ouncil</w:t>
      </w:r>
      <w:r w:rsidR="00704C49">
        <w:t>’</w:t>
      </w:r>
      <w:r w:rsidR="00FC2116">
        <w:t xml:space="preserve">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jc w:val="center"/>
        <w:tblInd w:w="568" w:type="dxa"/>
        <w:tblLook w:val="01E0" w:firstRow="1" w:lastRow="1" w:firstColumn="1" w:lastColumn="1" w:noHBand="0" w:noVBand="0"/>
      </w:tblPr>
      <w:tblGrid>
        <w:gridCol w:w="6487"/>
        <w:gridCol w:w="851"/>
        <w:gridCol w:w="816"/>
      </w:tblGrid>
      <w:tr w:rsidR="00B84AA8" w:rsidTr="001A48F7">
        <w:trPr>
          <w:jc w:val="center"/>
        </w:trPr>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C6349A" w:rsidRDefault="00B84AA8" w:rsidP="00C6349A">
            <w:pPr>
              <w:pStyle w:val="TableTextEntries"/>
              <w:rPr>
                <w:rFonts w:cs="Arial"/>
                <w:b/>
              </w:rPr>
            </w:pPr>
            <w:r w:rsidRPr="00B84AA8">
              <w:rPr>
                <w:rFonts w:cs="Arial"/>
              </w:rPr>
              <w:t xml:space="preserve">Yes </w:t>
            </w:r>
            <w:r w:rsidR="00C6349A" w:rsidRPr="00C6349A">
              <w:rPr>
                <w:rFonts w:cs="Arial"/>
                <w:b/>
                <w:color w:val="FF0000"/>
              </w:rPr>
              <w:t>X</w:t>
            </w:r>
          </w:p>
        </w:tc>
        <w:tc>
          <w:tcPr>
            <w:tcW w:w="816" w:type="dxa"/>
            <w:vAlign w:val="bottom"/>
          </w:tcPr>
          <w:p w:rsidR="00B84AA8" w:rsidRPr="00B84AA8" w:rsidRDefault="00C6349A" w:rsidP="00C6349A">
            <w:pPr>
              <w:pStyle w:val="TableTextEntries"/>
            </w:pPr>
            <w:r>
              <w:rPr>
                <w:rFonts w:cs="Arial"/>
              </w:rPr>
              <w:t>No</w:t>
            </w:r>
          </w:p>
        </w:tc>
      </w:tr>
      <w:tr w:rsidR="00284554" w:rsidTr="001A48F7">
        <w:trPr>
          <w:jc w:val="center"/>
        </w:trPr>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C6349A">
            <w:pPr>
              <w:pStyle w:val="TableTextEntries"/>
              <w:rPr>
                <w:rFonts w:cs="Arial"/>
              </w:rPr>
            </w:pPr>
            <w:r w:rsidRPr="00B84AA8">
              <w:rPr>
                <w:rFonts w:cs="Arial"/>
              </w:rPr>
              <w:t xml:space="preserve">Yes </w:t>
            </w:r>
          </w:p>
        </w:tc>
        <w:tc>
          <w:tcPr>
            <w:tcW w:w="816" w:type="dxa"/>
            <w:vAlign w:val="bottom"/>
          </w:tcPr>
          <w:p w:rsidR="00284554" w:rsidRPr="00B84AA8" w:rsidRDefault="00284554" w:rsidP="00516ABA">
            <w:pPr>
              <w:pStyle w:val="TableTextEntries"/>
            </w:pPr>
            <w:r w:rsidRPr="00B84AA8">
              <w:rPr>
                <w:rFonts w:cs="Arial"/>
              </w:rPr>
              <w:t xml:space="preserve">No </w:t>
            </w:r>
            <w:r w:rsidR="00C6349A" w:rsidRPr="00C6349A">
              <w:rPr>
                <w:rFonts w:cs="Arial"/>
                <w:b/>
                <w:color w:val="FF0000"/>
              </w:rPr>
              <w:t>X</w:t>
            </w:r>
          </w:p>
        </w:tc>
      </w:tr>
      <w:tr w:rsidR="00284554" w:rsidTr="001A48F7">
        <w:trPr>
          <w:jc w:val="center"/>
        </w:trPr>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 xml:space="preserve">sed </w:t>
            </w:r>
            <w:r w:rsidR="00187715">
              <w:t>Special Rate Variation</w:t>
            </w:r>
            <w:r w:rsidR="009B31B5">
              <w:t xml:space="preserve"> on specific</w:t>
            </w:r>
            <w:r>
              <w:t xml:space="preserve"> groups</w:t>
            </w:r>
            <w:r w:rsidR="00827C5F">
              <w:t xml:space="preserve"> in the community</w:t>
            </w:r>
            <w:r>
              <w:t>?</w:t>
            </w:r>
          </w:p>
        </w:tc>
        <w:tc>
          <w:tcPr>
            <w:tcW w:w="851" w:type="dxa"/>
          </w:tcPr>
          <w:p w:rsidR="00284554" w:rsidRPr="00B84AA8" w:rsidRDefault="00284554" w:rsidP="00C6349A">
            <w:pPr>
              <w:pStyle w:val="TableTextEntries"/>
            </w:pPr>
            <w:r w:rsidRPr="00B84AA8">
              <w:rPr>
                <w:rFonts w:cs="Arial"/>
              </w:rPr>
              <w:t xml:space="preserve">Yes </w:t>
            </w:r>
            <w:r w:rsidR="00C6349A" w:rsidRPr="00C6349A">
              <w:rPr>
                <w:rFonts w:cs="Arial"/>
                <w:b/>
                <w:color w:val="FF0000"/>
              </w:rPr>
              <w:t>X</w:t>
            </w:r>
          </w:p>
        </w:tc>
        <w:tc>
          <w:tcPr>
            <w:tcW w:w="816" w:type="dxa"/>
          </w:tcPr>
          <w:p w:rsidR="00284554" w:rsidRPr="00B84AA8" w:rsidRDefault="00284554" w:rsidP="00CF0DA8">
            <w:pPr>
              <w:pStyle w:val="TableTextEntries"/>
            </w:pPr>
            <w:r w:rsidRPr="00B84AA8">
              <w:rPr>
                <w:rFonts w:cs="Arial"/>
              </w:rPr>
              <w:t xml:space="preserve">No </w:t>
            </w:r>
          </w:p>
        </w:tc>
      </w:tr>
    </w:tbl>
    <w:p w:rsidR="004F3C8C" w:rsidRDefault="004F3C8C" w:rsidP="004E396E">
      <w:pPr>
        <w:pStyle w:val="BodyText"/>
        <w:spacing w:before="0" w:line="240" w:lineRule="auto"/>
        <w:rPr>
          <w:rFonts w:asciiTheme="minorHAnsi" w:hAnsiTheme="minorHAnsi"/>
          <w:highlight w:val="yellow"/>
        </w:rPr>
      </w:pPr>
    </w:p>
    <w:p w:rsidR="004F3C8C" w:rsidRDefault="004F3C8C" w:rsidP="004E396E">
      <w:pPr>
        <w:pStyle w:val="BodyText"/>
        <w:spacing w:before="0" w:line="240" w:lineRule="auto"/>
        <w:rPr>
          <w:rFonts w:asciiTheme="minorHAnsi" w:hAnsiTheme="minorHAnsi"/>
        </w:rPr>
      </w:pPr>
      <w:r w:rsidRPr="004F3C8C">
        <w:rPr>
          <w:rFonts w:asciiTheme="minorHAnsi" w:hAnsiTheme="minorHAnsi"/>
        </w:rPr>
        <w:t xml:space="preserve">Council </w:t>
      </w:r>
      <w:r>
        <w:rPr>
          <w:rFonts w:asciiTheme="minorHAnsi" w:hAnsiTheme="minorHAnsi"/>
        </w:rPr>
        <w:t>has been reviewing all</w:t>
      </w:r>
      <w:r w:rsidR="00704C49">
        <w:rPr>
          <w:rFonts w:asciiTheme="minorHAnsi" w:hAnsiTheme="minorHAnsi"/>
        </w:rPr>
        <w:t xml:space="preserve"> of</w:t>
      </w:r>
      <w:r>
        <w:rPr>
          <w:rFonts w:asciiTheme="minorHAnsi" w:hAnsiTheme="minorHAnsi"/>
        </w:rPr>
        <w:t xml:space="preserve"> its Policies over the past 12 months and</w:t>
      </w:r>
      <w:r w:rsidR="00704C49">
        <w:rPr>
          <w:rFonts w:asciiTheme="minorHAnsi" w:hAnsiTheme="minorHAnsi"/>
        </w:rPr>
        <w:t xml:space="preserve"> </w:t>
      </w:r>
      <w:r w:rsidR="00C6349A">
        <w:rPr>
          <w:rFonts w:asciiTheme="minorHAnsi" w:hAnsiTheme="minorHAnsi"/>
        </w:rPr>
        <w:t xml:space="preserve">will be introducing an </w:t>
      </w:r>
      <w:r>
        <w:rPr>
          <w:rFonts w:asciiTheme="minorHAnsi" w:hAnsiTheme="minorHAnsi"/>
        </w:rPr>
        <w:t>improved Hardship Policy</w:t>
      </w:r>
      <w:r w:rsidR="00704C49">
        <w:rPr>
          <w:rFonts w:asciiTheme="minorHAnsi" w:hAnsiTheme="minorHAnsi"/>
        </w:rPr>
        <w:t xml:space="preserve"> to the February 2015 Council meeting for adoption</w:t>
      </w:r>
      <w:r w:rsidR="00607084">
        <w:rPr>
          <w:rFonts w:asciiTheme="minorHAnsi" w:hAnsiTheme="minorHAnsi"/>
        </w:rPr>
        <w:t xml:space="preserve"> (</w:t>
      </w:r>
      <w:r w:rsidR="00C4592F" w:rsidRPr="00C6349A">
        <w:rPr>
          <w:rFonts w:asciiTheme="minorHAnsi" w:hAnsiTheme="minorHAnsi"/>
        </w:rPr>
        <w:t xml:space="preserve">Attachment </w:t>
      </w:r>
      <w:r w:rsidR="00C6349A">
        <w:rPr>
          <w:rFonts w:asciiTheme="minorHAnsi" w:hAnsiTheme="minorHAnsi"/>
        </w:rPr>
        <w:t>6</w:t>
      </w:r>
      <w:r w:rsidR="00607084">
        <w:rPr>
          <w:rFonts w:asciiTheme="minorHAnsi" w:hAnsiTheme="minorHAnsi"/>
        </w:rPr>
        <w:t>)</w:t>
      </w:r>
      <w:r w:rsidRPr="004F3C8C">
        <w:rPr>
          <w:rFonts w:asciiTheme="minorHAnsi" w:hAnsiTheme="minorHAnsi"/>
        </w:rPr>
        <w:t>.</w:t>
      </w:r>
    </w:p>
    <w:p w:rsidR="00D60EA5" w:rsidRDefault="00D60EA5" w:rsidP="00346FD2">
      <w:pPr>
        <w:pStyle w:val="Heading1"/>
        <w:tabs>
          <w:tab w:val="clear" w:pos="709"/>
        </w:tabs>
        <w:ind w:left="567" w:hanging="567"/>
      </w:pPr>
      <w:bookmarkStart w:id="27" w:name="_Toc409776055"/>
      <w:r>
        <w:t xml:space="preserve">Assessment criterion 4: </w:t>
      </w:r>
      <w:r w:rsidR="00CA35DF">
        <w:t>Public exhibition of relevant IP&amp;R documents</w:t>
      </w:r>
      <w:bookmarkEnd w:id="27"/>
    </w:p>
    <w:p w:rsidR="000B1CFF" w:rsidRPr="002D30F4" w:rsidRDefault="000B1CFF" w:rsidP="000B1CFF">
      <w:pPr>
        <w:pStyle w:val="BodyText"/>
        <w:spacing w:before="0" w:line="240" w:lineRule="auto"/>
        <w:rPr>
          <w:rFonts w:asciiTheme="minorHAnsi" w:hAnsiTheme="minorHAnsi"/>
          <w:szCs w:val="22"/>
        </w:rPr>
      </w:pPr>
    </w:p>
    <w:p w:rsidR="00B30464" w:rsidRDefault="00B30464" w:rsidP="00346FD2">
      <w:pPr>
        <w:jc w:val="both"/>
        <w:rPr>
          <w:rFonts w:asciiTheme="minorHAnsi" w:hAnsiTheme="minorHAnsi"/>
        </w:rPr>
      </w:pPr>
      <w:r>
        <w:rPr>
          <w:rFonts w:asciiTheme="minorHAnsi" w:hAnsiTheme="minorHAnsi"/>
        </w:rPr>
        <w:t xml:space="preserve">The Special Rate Variation was also discussed at the following Council meetings </w:t>
      </w:r>
      <w:r w:rsidRPr="00A23E42">
        <w:rPr>
          <w:rFonts w:asciiTheme="minorHAnsi" w:hAnsiTheme="minorHAnsi"/>
        </w:rPr>
        <w:t xml:space="preserve">(refer </w:t>
      </w:r>
      <w:r w:rsidR="00A23E42">
        <w:rPr>
          <w:rFonts w:asciiTheme="minorHAnsi" w:hAnsiTheme="minorHAnsi"/>
        </w:rPr>
        <w:br/>
      </w:r>
      <w:r w:rsidRPr="00A23E42">
        <w:rPr>
          <w:rFonts w:asciiTheme="minorHAnsi" w:hAnsiTheme="minorHAnsi"/>
        </w:rPr>
        <w:t>Attachment</w:t>
      </w:r>
      <w:r w:rsidR="00A23E42">
        <w:rPr>
          <w:rFonts w:asciiTheme="minorHAnsi" w:hAnsiTheme="minorHAnsi"/>
        </w:rPr>
        <w:t xml:space="preserve"> 7</w:t>
      </w:r>
      <w:r w:rsidRPr="00A23E42">
        <w:rPr>
          <w:rFonts w:asciiTheme="minorHAnsi" w:hAnsiTheme="minorHAnsi"/>
        </w:rPr>
        <w:t>)</w:t>
      </w:r>
      <w:r>
        <w:rPr>
          <w:rFonts w:asciiTheme="minorHAnsi" w:hAnsiTheme="minorHAnsi"/>
        </w:rPr>
        <w:t xml:space="preserve"> for copies:</w:t>
      </w:r>
    </w:p>
    <w:p w:rsidR="004E396E" w:rsidRPr="00B3100A" w:rsidRDefault="004E396E" w:rsidP="00346FD2">
      <w:pPr>
        <w:jc w:val="both"/>
        <w:rPr>
          <w:rFonts w:asciiTheme="minorHAnsi" w:hAnsiTheme="minorHAnsi"/>
        </w:rPr>
      </w:pPr>
    </w:p>
    <w:p w:rsidR="00B30464" w:rsidRPr="00B3100A" w:rsidRDefault="00B30464" w:rsidP="00346FD2">
      <w:pPr>
        <w:pStyle w:val="ListParagraph"/>
        <w:numPr>
          <w:ilvl w:val="0"/>
          <w:numId w:val="40"/>
        </w:numPr>
        <w:ind w:left="567" w:hanging="567"/>
        <w:jc w:val="both"/>
        <w:rPr>
          <w:rFonts w:asciiTheme="minorHAnsi" w:hAnsiTheme="minorHAnsi"/>
        </w:rPr>
      </w:pPr>
      <w:r w:rsidRPr="00B3100A">
        <w:rPr>
          <w:rFonts w:asciiTheme="minorHAnsi" w:hAnsiTheme="minorHAnsi"/>
        </w:rPr>
        <w:t>Report item 05.03 to the Finance Committee Meeting held on 28 August 2014 and related minute.</w:t>
      </w:r>
    </w:p>
    <w:p w:rsidR="00B30464" w:rsidRPr="00B3100A" w:rsidRDefault="00B30464" w:rsidP="00346FD2">
      <w:pPr>
        <w:pStyle w:val="ListParagraph"/>
        <w:numPr>
          <w:ilvl w:val="0"/>
          <w:numId w:val="40"/>
        </w:numPr>
        <w:ind w:left="567" w:hanging="567"/>
        <w:jc w:val="both"/>
        <w:rPr>
          <w:rFonts w:asciiTheme="minorHAnsi" w:hAnsiTheme="minorHAnsi"/>
        </w:rPr>
      </w:pPr>
      <w:r w:rsidRPr="00B3100A">
        <w:rPr>
          <w:rFonts w:asciiTheme="minorHAnsi" w:hAnsiTheme="minorHAnsi"/>
        </w:rPr>
        <w:t>16 September 2014 Ordinary Meeting – Finance and Community Services Monthly Activity Report</w:t>
      </w:r>
    </w:p>
    <w:p w:rsidR="00B30464" w:rsidRPr="00B3100A" w:rsidRDefault="00B30464" w:rsidP="00346FD2">
      <w:pPr>
        <w:pStyle w:val="ListParagraph"/>
        <w:numPr>
          <w:ilvl w:val="0"/>
          <w:numId w:val="40"/>
        </w:numPr>
        <w:ind w:left="567" w:hanging="567"/>
        <w:jc w:val="both"/>
        <w:rPr>
          <w:rFonts w:asciiTheme="minorHAnsi" w:hAnsiTheme="minorHAnsi"/>
        </w:rPr>
      </w:pPr>
      <w:r w:rsidRPr="00B3100A">
        <w:rPr>
          <w:rFonts w:asciiTheme="minorHAnsi" w:hAnsiTheme="minorHAnsi"/>
        </w:rPr>
        <w:t>19 November 2014 Ordinary Meeting – Finance and Community Services Monthly Activity Report</w:t>
      </w:r>
    </w:p>
    <w:p w:rsidR="00B30464" w:rsidRPr="00B3100A" w:rsidRDefault="00B30464" w:rsidP="00346FD2">
      <w:pPr>
        <w:pStyle w:val="ListParagraph"/>
        <w:numPr>
          <w:ilvl w:val="0"/>
          <w:numId w:val="40"/>
        </w:numPr>
        <w:ind w:left="567" w:hanging="567"/>
        <w:jc w:val="both"/>
        <w:rPr>
          <w:rFonts w:asciiTheme="minorHAnsi" w:hAnsiTheme="minorHAnsi"/>
        </w:rPr>
      </w:pPr>
      <w:r w:rsidRPr="00B3100A">
        <w:rPr>
          <w:rFonts w:asciiTheme="minorHAnsi" w:hAnsiTheme="minorHAnsi"/>
        </w:rPr>
        <w:t>16 December 2014 Ordinary Meeting – Finance and Community Services Monthly Activity Report</w:t>
      </w:r>
    </w:p>
    <w:p w:rsidR="00B30464" w:rsidRPr="00B3100A" w:rsidRDefault="00B30464" w:rsidP="00346FD2">
      <w:pPr>
        <w:pStyle w:val="ListParagraph"/>
        <w:numPr>
          <w:ilvl w:val="0"/>
          <w:numId w:val="40"/>
        </w:numPr>
        <w:ind w:left="567" w:hanging="567"/>
        <w:jc w:val="both"/>
        <w:rPr>
          <w:rFonts w:asciiTheme="minorHAnsi" w:hAnsiTheme="minorHAnsi"/>
        </w:rPr>
      </w:pPr>
      <w:r w:rsidRPr="00B3100A">
        <w:rPr>
          <w:rFonts w:asciiTheme="minorHAnsi" w:hAnsiTheme="minorHAnsi"/>
        </w:rPr>
        <w:t>General Business discussed during 5 November 2014 Finance Committee Meeting</w:t>
      </w:r>
    </w:p>
    <w:p w:rsidR="00D60EA5" w:rsidRDefault="00D60EA5" w:rsidP="00346FD2">
      <w:pPr>
        <w:pStyle w:val="Heading1"/>
        <w:tabs>
          <w:tab w:val="clear" w:pos="709"/>
        </w:tabs>
        <w:ind w:left="567" w:hanging="567"/>
      </w:pPr>
      <w:bookmarkStart w:id="28" w:name="_Toc409776056"/>
      <w:r>
        <w:t>Assessment criterion 5: Productivity improvements and cost containment strategies</w:t>
      </w:r>
      <w:bookmarkEnd w:id="28"/>
    </w:p>
    <w:p w:rsidR="00BA6F8D" w:rsidRPr="00BB3890" w:rsidRDefault="00BA6F8D" w:rsidP="00BB3890">
      <w:pPr>
        <w:ind w:left="568"/>
        <w:jc w:val="both"/>
        <w:rPr>
          <w:rFonts w:asciiTheme="minorHAnsi" w:hAnsiTheme="minorHAnsi"/>
        </w:rPr>
      </w:pPr>
    </w:p>
    <w:p w:rsidR="00BB3890" w:rsidRDefault="005746B2" w:rsidP="00346FD2">
      <w:pPr>
        <w:jc w:val="both"/>
        <w:rPr>
          <w:rFonts w:asciiTheme="minorHAnsi" w:hAnsiTheme="minorHAnsi"/>
        </w:rPr>
      </w:pPr>
      <w:r>
        <w:rPr>
          <w:rFonts w:asciiTheme="minorHAnsi" w:hAnsiTheme="minorHAnsi"/>
        </w:rPr>
        <w:t xml:space="preserve">Improving </w:t>
      </w:r>
      <w:r w:rsidR="00A23E42">
        <w:rPr>
          <w:rFonts w:asciiTheme="minorHAnsi" w:hAnsiTheme="minorHAnsi"/>
        </w:rPr>
        <w:t>the financial sustainability</w:t>
      </w:r>
      <w:r w:rsidR="004801B4">
        <w:rPr>
          <w:rFonts w:asciiTheme="minorHAnsi" w:hAnsiTheme="minorHAnsi"/>
        </w:rPr>
        <w:t xml:space="preserve"> at Oberon Council </w:t>
      </w:r>
      <w:r w:rsidR="00BB3890" w:rsidRPr="00BB3890">
        <w:rPr>
          <w:rFonts w:asciiTheme="minorHAnsi" w:hAnsiTheme="minorHAnsi"/>
        </w:rPr>
        <w:t>through</w:t>
      </w:r>
      <w:r w:rsidR="007362B8">
        <w:rPr>
          <w:rFonts w:asciiTheme="minorHAnsi" w:hAnsiTheme="minorHAnsi"/>
        </w:rPr>
        <w:t xml:space="preserve"> productivity improvements and c</w:t>
      </w:r>
      <w:r w:rsidR="00BB3890" w:rsidRPr="00BB3890">
        <w:rPr>
          <w:rFonts w:asciiTheme="minorHAnsi" w:hAnsiTheme="minorHAnsi"/>
        </w:rPr>
        <w:t>ost containm</w:t>
      </w:r>
      <w:r w:rsidR="00346FD2">
        <w:rPr>
          <w:rFonts w:asciiTheme="minorHAnsi" w:hAnsiTheme="minorHAnsi"/>
        </w:rPr>
        <w:t>ent strategies will be based on</w:t>
      </w:r>
      <w:r w:rsidR="00BB3890" w:rsidRPr="00BB3890">
        <w:rPr>
          <w:rFonts w:asciiTheme="minorHAnsi" w:hAnsiTheme="minorHAnsi"/>
        </w:rPr>
        <w:t xml:space="preserve"> the </w:t>
      </w:r>
      <w:r w:rsidR="00BB3890">
        <w:rPr>
          <w:rFonts w:asciiTheme="minorHAnsi" w:hAnsiTheme="minorHAnsi"/>
        </w:rPr>
        <w:t xml:space="preserve">recommendations contained in </w:t>
      </w:r>
      <w:proofErr w:type="spellStart"/>
      <w:r w:rsidR="00BB3890">
        <w:rPr>
          <w:rFonts w:asciiTheme="minorHAnsi" w:hAnsiTheme="minorHAnsi"/>
        </w:rPr>
        <w:t>T</w:t>
      </w:r>
      <w:r w:rsidR="00BB3890" w:rsidRPr="00BB3890">
        <w:rPr>
          <w:rFonts w:asciiTheme="minorHAnsi" w:hAnsiTheme="minorHAnsi"/>
        </w:rPr>
        <w:t>Corp’s</w:t>
      </w:r>
      <w:proofErr w:type="spellEnd"/>
      <w:r w:rsidR="00BB3890" w:rsidRPr="00BB3890">
        <w:rPr>
          <w:rFonts w:asciiTheme="minorHAnsi" w:hAnsiTheme="minorHAnsi"/>
        </w:rPr>
        <w:t xml:space="preserve"> </w:t>
      </w:r>
      <w:r w:rsidR="00BB3890" w:rsidRPr="00BB3890">
        <w:rPr>
          <w:rFonts w:asciiTheme="minorHAnsi" w:hAnsiTheme="minorHAnsi"/>
          <w:i/>
        </w:rPr>
        <w:t>Financial Sustainability of New South Wales Local Government Sector- Finding Recommendations and Analysis</w:t>
      </w:r>
      <w:r w:rsidR="00BB3890" w:rsidRPr="00BB3890">
        <w:rPr>
          <w:rFonts w:asciiTheme="minorHAnsi" w:hAnsiTheme="minorHAnsi"/>
        </w:rPr>
        <w:t xml:space="preserve"> 2013,</w:t>
      </w:r>
      <w:r>
        <w:rPr>
          <w:rFonts w:asciiTheme="minorHAnsi" w:hAnsiTheme="minorHAnsi"/>
        </w:rPr>
        <w:t xml:space="preserve"> and s</w:t>
      </w:r>
      <w:r w:rsidR="00BB3890" w:rsidRPr="00BB3890">
        <w:rPr>
          <w:rFonts w:asciiTheme="minorHAnsi" w:hAnsiTheme="minorHAnsi"/>
        </w:rPr>
        <w:t>trong foundations for sustainable local infr</w:t>
      </w:r>
      <w:r>
        <w:rPr>
          <w:rFonts w:asciiTheme="minorHAnsi" w:hAnsiTheme="minorHAnsi"/>
        </w:rPr>
        <w:t>astructure Ernst and Young 2012. These strategies include:</w:t>
      </w:r>
    </w:p>
    <w:p w:rsidR="00BB3890" w:rsidRPr="00BB3890" w:rsidRDefault="00BB3890" w:rsidP="00BB3890">
      <w:pPr>
        <w:jc w:val="both"/>
        <w:rPr>
          <w:rFonts w:asciiTheme="minorHAnsi" w:hAnsiTheme="minorHAnsi"/>
        </w:rPr>
      </w:pPr>
    </w:p>
    <w:p w:rsidR="00BB3890" w:rsidRPr="00BB3890" w:rsidRDefault="00BB3890" w:rsidP="00346FD2">
      <w:pPr>
        <w:pStyle w:val="ListParagraph"/>
        <w:numPr>
          <w:ilvl w:val="0"/>
          <w:numId w:val="39"/>
        </w:numPr>
        <w:spacing w:after="200" w:line="276" w:lineRule="auto"/>
        <w:ind w:left="567" w:hanging="567"/>
        <w:jc w:val="both"/>
        <w:rPr>
          <w:rFonts w:asciiTheme="minorHAnsi" w:hAnsiTheme="minorHAnsi"/>
        </w:rPr>
      </w:pPr>
      <w:r w:rsidRPr="00BB3890">
        <w:rPr>
          <w:rFonts w:asciiTheme="minorHAnsi" w:hAnsiTheme="minorHAnsi"/>
        </w:rPr>
        <w:t>Ensuring breakeven operating expenditure on key infrastructure and service provision</w:t>
      </w:r>
    </w:p>
    <w:p w:rsidR="00BB3890" w:rsidRPr="00BB3890" w:rsidRDefault="00BB3890" w:rsidP="00346FD2">
      <w:pPr>
        <w:pStyle w:val="ListParagraph"/>
        <w:numPr>
          <w:ilvl w:val="0"/>
          <w:numId w:val="39"/>
        </w:numPr>
        <w:spacing w:after="200" w:line="276" w:lineRule="auto"/>
        <w:ind w:left="567" w:hanging="567"/>
        <w:jc w:val="both"/>
        <w:rPr>
          <w:rFonts w:asciiTheme="minorHAnsi" w:hAnsiTheme="minorHAnsi"/>
        </w:rPr>
      </w:pPr>
      <w:r w:rsidRPr="00BB3890">
        <w:rPr>
          <w:rFonts w:asciiTheme="minorHAnsi" w:hAnsiTheme="minorHAnsi"/>
        </w:rPr>
        <w:t>Lowering operating costs and increasing service output</w:t>
      </w:r>
    </w:p>
    <w:p w:rsidR="00BB3890" w:rsidRPr="00BB3890" w:rsidRDefault="00BB3890" w:rsidP="00346FD2">
      <w:pPr>
        <w:pStyle w:val="ListParagraph"/>
        <w:numPr>
          <w:ilvl w:val="0"/>
          <w:numId w:val="39"/>
        </w:numPr>
        <w:spacing w:after="200" w:line="276" w:lineRule="auto"/>
        <w:ind w:left="567" w:hanging="567"/>
        <w:jc w:val="both"/>
        <w:rPr>
          <w:rFonts w:asciiTheme="minorHAnsi" w:hAnsiTheme="minorHAnsi"/>
        </w:rPr>
      </w:pPr>
      <w:r w:rsidRPr="00BB3890">
        <w:rPr>
          <w:rFonts w:asciiTheme="minorHAnsi" w:hAnsiTheme="minorHAnsi"/>
        </w:rPr>
        <w:t>Creating value through the procurement process</w:t>
      </w:r>
    </w:p>
    <w:p w:rsidR="00BB3890" w:rsidRDefault="00BB3890" w:rsidP="00346FD2">
      <w:pPr>
        <w:pStyle w:val="ListParagraph"/>
        <w:numPr>
          <w:ilvl w:val="0"/>
          <w:numId w:val="39"/>
        </w:numPr>
        <w:spacing w:after="200" w:line="276" w:lineRule="auto"/>
        <w:ind w:left="567" w:hanging="567"/>
        <w:jc w:val="both"/>
        <w:rPr>
          <w:rFonts w:asciiTheme="minorHAnsi" w:hAnsiTheme="minorHAnsi"/>
        </w:rPr>
      </w:pPr>
      <w:r w:rsidRPr="00BB3890">
        <w:rPr>
          <w:rFonts w:asciiTheme="minorHAnsi" w:hAnsiTheme="minorHAnsi"/>
        </w:rPr>
        <w:t>Prioritising and Borrowing for local infrastructure investment</w:t>
      </w:r>
    </w:p>
    <w:p w:rsidR="005746B2" w:rsidRPr="00BB3890" w:rsidRDefault="005746B2" w:rsidP="00346FD2">
      <w:pPr>
        <w:pStyle w:val="ListParagraph"/>
        <w:numPr>
          <w:ilvl w:val="0"/>
          <w:numId w:val="39"/>
        </w:numPr>
        <w:spacing w:after="200" w:line="276" w:lineRule="auto"/>
        <w:ind w:left="567" w:hanging="567"/>
        <w:jc w:val="both"/>
        <w:rPr>
          <w:rFonts w:asciiTheme="minorHAnsi" w:hAnsiTheme="minorHAnsi"/>
        </w:rPr>
      </w:pPr>
      <w:r>
        <w:rPr>
          <w:rFonts w:asciiTheme="minorHAnsi" w:hAnsiTheme="minorHAnsi"/>
        </w:rPr>
        <w:t>Participation in Joint Venture programs.</w:t>
      </w:r>
    </w:p>
    <w:p w:rsidR="00BB3890" w:rsidRPr="00BB3890" w:rsidRDefault="00BB3890" w:rsidP="00BB3890">
      <w:pPr>
        <w:jc w:val="both"/>
        <w:rPr>
          <w:rFonts w:asciiTheme="minorHAnsi" w:hAnsiTheme="minorHAnsi"/>
        </w:rPr>
      </w:pPr>
      <w:r w:rsidRPr="00BB3890">
        <w:rPr>
          <w:rFonts w:asciiTheme="minorHAnsi" w:hAnsiTheme="minorHAnsi"/>
        </w:rPr>
        <w:t>Council has demonstrated its willingness to increase borrowings</w:t>
      </w:r>
      <w:r w:rsidR="005746B2">
        <w:rPr>
          <w:rFonts w:asciiTheme="minorHAnsi" w:hAnsiTheme="minorHAnsi"/>
        </w:rPr>
        <w:t xml:space="preserve"> </w:t>
      </w:r>
      <w:r w:rsidR="00346FD2">
        <w:rPr>
          <w:rFonts w:asciiTheme="minorHAnsi" w:hAnsiTheme="minorHAnsi"/>
        </w:rPr>
        <w:t xml:space="preserve">(through a </w:t>
      </w:r>
      <w:r w:rsidR="005746B2">
        <w:rPr>
          <w:rFonts w:asciiTheme="minorHAnsi" w:hAnsiTheme="minorHAnsi"/>
        </w:rPr>
        <w:t>Local Infrastructure Renewal Scheme supported loan</w:t>
      </w:r>
      <w:r w:rsidRPr="00BB3890">
        <w:rPr>
          <w:rFonts w:asciiTheme="minorHAnsi" w:hAnsiTheme="minorHAnsi"/>
        </w:rPr>
        <w:t>) to address infrastructure backlogs and im</w:t>
      </w:r>
      <w:r w:rsidR="005746B2">
        <w:rPr>
          <w:rFonts w:asciiTheme="minorHAnsi" w:hAnsiTheme="minorHAnsi"/>
        </w:rPr>
        <w:t>prove intergenerational equity.</w:t>
      </w:r>
    </w:p>
    <w:p w:rsidR="00C4592F" w:rsidRDefault="00C4592F" w:rsidP="00BA6F8D">
      <w:pPr>
        <w:ind w:left="568"/>
        <w:jc w:val="both"/>
        <w:rPr>
          <w:rFonts w:asciiTheme="minorHAnsi" w:hAnsiTheme="minorHAnsi" w:cs="Arial"/>
          <w:szCs w:val="22"/>
          <w:lang w:eastAsia="en-US"/>
        </w:rPr>
      </w:pPr>
    </w:p>
    <w:p w:rsidR="002054B1" w:rsidRDefault="002054B1">
      <w:pPr>
        <w:rPr>
          <w:rFonts w:asciiTheme="minorHAnsi" w:hAnsiTheme="minorHAnsi" w:cs="Arial"/>
          <w:szCs w:val="22"/>
          <w:lang w:eastAsia="en-US"/>
        </w:rPr>
      </w:pPr>
      <w:r>
        <w:rPr>
          <w:rFonts w:asciiTheme="minorHAnsi" w:hAnsiTheme="minorHAnsi" w:cs="Arial"/>
          <w:szCs w:val="22"/>
          <w:lang w:eastAsia="en-US"/>
        </w:rPr>
        <w:br w:type="page"/>
      </w:r>
    </w:p>
    <w:p w:rsidR="002054B1" w:rsidRDefault="002054B1" w:rsidP="007A4689">
      <w:pPr>
        <w:jc w:val="both"/>
        <w:rPr>
          <w:rFonts w:asciiTheme="minorHAnsi" w:hAnsiTheme="minorHAnsi" w:cs="Arial"/>
          <w:szCs w:val="22"/>
          <w:lang w:eastAsia="en-US"/>
        </w:rPr>
      </w:pPr>
    </w:p>
    <w:p w:rsidR="00BA6F8D" w:rsidRDefault="005746B2" w:rsidP="00A6717C">
      <w:pPr>
        <w:jc w:val="both"/>
        <w:rPr>
          <w:rFonts w:asciiTheme="minorHAnsi" w:hAnsiTheme="minorHAnsi" w:cs="Arial"/>
          <w:szCs w:val="22"/>
          <w:lang w:eastAsia="en-US"/>
        </w:rPr>
      </w:pPr>
      <w:r>
        <w:rPr>
          <w:rFonts w:asciiTheme="minorHAnsi" w:hAnsiTheme="minorHAnsi" w:cs="Arial"/>
          <w:szCs w:val="22"/>
          <w:lang w:eastAsia="en-US"/>
        </w:rPr>
        <w:t xml:space="preserve">The </w:t>
      </w:r>
      <w:r w:rsidR="00BA6F8D">
        <w:rPr>
          <w:rFonts w:asciiTheme="minorHAnsi" w:hAnsiTheme="minorHAnsi" w:cs="Arial"/>
          <w:szCs w:val="22"/>
          <w:lang w:eastAsia="en-US"/>
        </w:rPr>
        <w:t xml:space="preserve">Executive Management </w:t>
      </w:r>
      <w:r w:rsidR="002054B1">
        <w:rPr>
          <w:rFonts w:asciiTheme="minorHAnsi" w:hAnsiTheme="minorHAnsi" w:cs="Arial"/>
          <w:szCs w:val="22"/>
          <w:lang w:eastAsia="en-US"/>
        </w:rPr>
        <w:t xml:space="preserve">Team </w:t>
      </w:r>
      <w:r w:rsidR="00BA6F8D" w:rsidRPr="00776C16">
        <w:rPr>
          <w:rFonts w:asciiTheme="minorHAnsi" w:hAnsiTheme="minorHAnsi" w:cs="Arial"/>
          <w:szCs w:val="22"/>
          <w:lang w:eastAsia="en-US"/>
        </w:rPr>
        <w:t>review</w:t>
      </w:r>
      <w:r w:rsidR="00BA6F8D">
        <w:rPr>
          <w:rFonts w:asciiTheme="minorHAnsi" w:hAnsiTheme="minorHAnsi" w:cs="Arial"/>
          <w:szCs w:val="22"/>
          <w:lang w:eastAsia="en-US"/>
        </w:rPr>
        <w:t>ed</w:t>
      </w:r>
      <w:r w:rsidR="00BA6F8D" w:rsidRPr="00776C16">
        <w:rPr>
          <w:rFonts w:asciiTheme="minorHAnsi" w:hAnsiTheme="minorHAnsi" w:cs="Arial"/>
          <w:szCs w:val="22"/>
          <w:lang w:eastAsia="en-US"/>
        </w:rPr>
        <w:t xml:space="preserve"> the </w:t>
      </w:r>
      <w:r w:rsidR="002054B1">
        <w:rPr>
          <w:rFonts w:asciiTheme="minorHAnsi" w:hAnsiTheme="minorHAnsi" w:cs="Arial"/>
          <w:szCs w:val="22"/>
          <w:lang w:eastAsia="en-US"/>
        </w:rPr>
        <w:t xml:space="preserve">2014 </w:t>
      </w:r>
      <w:r w:rsidR="00BA6F8D">
        <w:rPr>
          <w:rFonts w:asciiTheme="minorHAnsi" w:hAnsiTheme="minorHAnsi" w:cs="Arial"/>
          <w:szCs w:val="22"/>
          <w:lang w:eastAsia="en-US"/>
        </w:rPr>
        <w:t>Long Term Financial Plan</w:t>
      </w:r>
      <w:r w:rsidR="00BA6F8D" w:rsidRPr="00776C16">
        <w:rPr>
          <w:rFonts w:asciiTheme="minorHAnsi" w:hAnsiTheme="minorHAnsi" w:cs="Arial"/>
          <w:szCs w:val="22"/>
          <w:lang w:eastAsia="en-US"/>
        </w:rPr>
        <w:t xml:space="preserve"> and identified potential efficiencies and cost savings.  These include:</w:t>
      </w:r>
    </w:p>
    <w:p w:rsidR="004E396E" w:rsidRPr="00776C16" w:rsidRDefault="004E396E" w:rsidP="00A6717C">
      <w:pPr>
        <w:jc w:val="both"/>
        <w:rPr>
          <w:rFonts w:asciiTheme="minorHAnsi" w:hAnsiTheme="minorHAnsi" w:cs="Arial"/>
          <w:szCs w:val="22"/>
          <w:lang w:eastAsia="en-US"/>
        </w:rPr>
      </w:pPr>
    </w:p>
    <w:p w:rsidR="00BA6F8D" w:rsidRDefault="005746B2"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introducing</w:t>
      </w:r>
      <w:r w:rsidR="00BA6F8D" w:rsidRPr="00776C16">
        <w:rPr>
          <w:rFonts w:asciiTheme="minorHAnsi" w:hAnsiTheme="minorHAnsi" w:cs="Arial"/>
          <w:szCs w:val="22"/>
          <w:lang w:eastAsia="en-US"/>
        </w:rPr>
        <w:t xml:space="preserve"> ‘better grading practices and improve d</w:t>
      </w:r>
      <w:r w:rsidR="007527CF">
        <w:rPr>
          <w:rFonts w:asciiTheme="minorHAnsi" w:hAnsiTheme="minorHAnsi" w:cs="Arial"/>
          <w:szCs w:val="22"/>
          <w:lang w:eastAsia="en-US"/>
        </w:rPr>
        <w:t>rainage on local unsealed roads, for example the</w:t>
      </w:r>
      <w:r w:rsidR="00BA6F8D" w:rsidRPr="00776C16">
        <w:rPr>
          <w:rFonts w:asciiTheme="minorHAnsi" w:hAnsiTheme="minorHAnsi" w:cs="Arial"/>
          <w:szCs w:val="22"/>
          <w:lang w:eastAsia="en-US"/>
        </w:rPr>
        <w:t xml:space="preserve"> trial </w:t>
      </w:r>
      <w:r w:rsidR="00C4592F">
        <w:rPr>
          <w:rFonts w:asciiTheme="minorHAnsi" w:hAnsiTheme="minorHAnsi" w:cs="Arial"/>
          <w:szCs w:val="22"/>
          <w:lang w:eastAsia="en-US"/>
        </w:rPr>
        <w:t>held in June 2014;</w:t>
      </w:r>
    </w:p>
    <w:p w:rsidR="00D37547" w:rsidRPr="00776C16" w:rsidRDefault="00D37547"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creating work practice efficiencies for major capital works through the use of new technology, and  attendance at workshops, field days and demonstrations</w:t>
      </w:r>
    </w:p>
    <w:p w:rsidR="00BA6F8D" w:rsidRPr="00776C16" w:rsidRDefault="005746B2"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 xml:space="preserve">creating </w:t>
      </w:r>
      <w:r w:rsidR="00BA6F8D" w:rsidRPr="00776C16">
        <w:rPr>
          <w:rFonts w:asciiTheme="minorHAnsi" w:hAnsiTheme="minorHAnsi" w:cs="Arial"/>
          <w:szCs w:val="22"/>
          <w:lang w:eastAsia="en-US"/>
        </w:rPr>
        <w:t>efficiencies in staff training, reduce staff numbers through natural at</w:t>
      </w:r>
      <w:r w:rsidR="00C4592F">
        <w:rPr>
          <w:rFonts w:asciiTheme="minorHAnsi" w:hAnsiTheme="minorHAnsi" w:cs="Arial"/>
          <w:szCs w:val="22"/>
          <w:lang w:eastAsia="en-US"/>
        </w:rPr>
        <w:t>trition and succession planning;</w:t>
      </w:r>
    </w:p>
    <w:p w:rsidR="00BA6F8D" w:rsidRPr="00776C16" w:rsidRDefault="005746B2"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 xml:space="preserve">realising </w:t>
      </w:r>
      <w:r w:rsidR="00BA6F8D" w:rsidRPr="00776C16">
        <w:rPr>
          <w:rFonts w:asciiTheme="minorHAnsi" w:hAnsiTheme="minorHAnsi" w:cs="Arial"/>
          <w:szCs w:val="22"/>
          <w:lang w:eastAsia="en-US"/>
        </w:rPr>
        <w:t>savings in procurement costs - we are participating in the Centroc Regional Procurement Program which aims to make sustainable savings and create efficiencies; improve probity and reduce risk, and st</w:t>
      </w:r>
      <w:r w:rsidR="00C4592F">
        <w:rPr>
          <w:rFonts w:asciiTheme="minorHAnsi" w:hAnsiTheme="minorHAnsi" w:cs="Arial"/>
          <w:szCs w:val="22"/>
          <w:lang w:eastAsia="en-US"/>
        </w:rPr>
        <w:t xml:space="preserve">rengthen regional collaboration; </w:t>
      </w:r>
    </w:p>
    <w:p w:rsidR="00C4592F" w:rsidRDefault="005746B2"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participating</w:t>
      </w:r>
      <w:r w:rsidR="002054B1">
        <w:rPr>
          <w:rFonts w:asciiTheme="minorHAnsi" w:hAnsiTheme="minorHAnsi" w:cs="Arial"/>
          <w:szCs w:val="22"/>
          <w:lang w:eastAsia="en-US"/>
        </w:rPr>
        <w:t xml:space="preserve"> in Centroc </w:t>
      </w:r>
      <w:r>
        <w:rPr>
          <w:rFonts w:asciiTheme="minorHAnsi" w:hAnsiTheme="minorHAnsi" w:cs="Arial"/>
          <w:szCs w:val="22"/>
          <w:lang w:eastAsia="en-US"/>
        </w:rPr>
        <w:t xml:space="preserve">initiatives </w:t>
      </w:r>
      <w:r w:rsidR="002054B1">
        <w:rPr>
          <w:rFonts w:asciiTheme="minorHAnsi" w:hAnsiTheme="minorHAnsi" w:cs="Arial"/>
          <w:szCs w:val="22"/>
          <w:lang w:eastAsia="en-US"/>
        </w:rPr>
        <w:t xml:space="preserve">and </w:t>
      </w:r>
      <w:r>
        <w:rPr>
          <w:rFonts w:asciiTheme="minorHAnsi" w:hAnsiTheme="minorHAnsi" w:cs="Arial"/>
          <w:szCs w:val="22"/>
          <w:lang w:eastAsia="en-US"/>
        </w:rPr>
        <w:t>confirming</w:t>
      </w:r>
      <w:r w:rsidR="002054B1">
        <w:rPr>
          <w:rFonts w:asciiTheme="minorHAnsi" w:hAnsiTheme="minorHAnsi" w:cs="Arial"/>
          <w:szCs w:val="22"/>
          <w:lang w:eastAsia="en-US"/>
        </w:rPr>
        <w:t xml:space="preserve"> to participate in the </w:t>
      </w:r>
      <w:r w:rsidR="00BA6F8D" w:rsidRPr="00776C16">
        <w:rPr>
          <w:rFonts w:asciiTheme="minorHAnsi" w:hAnsiTheme="minorHAnsi" w:cs="Arial"/>
          <w:szCs w:val="22"/>
          <w:lang w:eastAsia="en-US"/>
        </w:rPr>
        <w:t xml:space="preserve">Central West Joint Organisation </w:t>
      </w:r>
      <w:r w:rsidR="002054B1">
        <w:rPr>
          <w:rFonts w:asciiTheme="minorHAnsi" w:hAnsiTheme="minorHAnsi" w:cs="Arial"/>
          <w:szCs w:val="22"/>
          <w:lang w:eastAsia="en-US"/>
        </w:rPr>
        <w:t>p</w:t>
      </w:r>
      <w:r w:rsidR="00AE07F2">
        <w:rPr>
          <w:rFonts w:asciiTheme="minorHAnsi" w:hAnsiTheme="minorHAnsi" w:cs="Arial"/>
          <w:szCs w:val="22"/>
          <w:lang w:eastAsia="en-US"/>
        </w:rPr>
        <w:t>ilot</w:t>
      </w:r>
      <w:r w:rsidR="00C4592F">
        <w:rPr>
          <w:rFonts w:asciiTheme="minorHAnsi" w:hAnsiTheme="minorHAnsi" w:cs="Arial"/>
          <w:szCs w:val="22"/>
          <w:lang w:eastAsia="en-US"/>
        </w:rPr>
        <w:t>; and</w:t>
      </w:r>
    </w:p>
    <w:p w:rsidR="00BA6F8D" w:rsidRPr="00776C16" w:rsidRDefault="005746B2" w:rsidP="00A6717C">
      <w:pPr>
        <w:numPr>
          <w:ilvl w:val="0"/>
          <w:numId w:val="37"/>
        </w:numPr>
        <w:tabs>
          <w:tab w:val="left" w:pos="567"/>
        </w:tabs>
        <w:ind w:left="567" w:hanging="567"/>
        <w:jc w:val="both"/>
        <w:rPr>
          <w:rFonts w:asciiTheme="minorHAnsi" w:hAnsiTheme="minorHAnsi" w:cs="Arial"/>
          <w:szCs w:val="22"/>
          <w:lang w:eastAsia="en-US"/>
        </w:rPr>
      </w:pPr>
      <w:r>
        <w:rPr>
          <w:rFonts w:asciiTheme="minorHAnsi" w:hAnsiTheme="minorHAnsi" w:cs="Arial"/>
          <w:szCs w:val="22"/>
          <w:lang w:eastAsia="en-US"/>
        </w:rPr>
        <w:t>initiating</w:t>
      </w:r>
      <w:r w:rsidR="00C4592F">
        <w:rPr>
          <w:rFonts w:asciiTheme="minorHAnsi" w:hAnsiTheme="minorHAnsi" w:cs="Arial"/>
          <w:szCs w:val="22"/>
          <w:lang w:eastAsia="en-US"/>
        </w:rPr>
        <w:t xml:space="preserve"> debt recovery through the introduction of </w:t>
      </w:r>
      <w:r>
        <w:rPr>
          <w:rFonts w:asciiTheme="minorHAnsi" w:hAnsiTheme="minorHAnsi" w:cs="Arial"/>
          <w:szCs w:val="22"/>
          <w:lang w:eastAsia="en-US"/>
        </w:rPr>
        <w:t xml:space="preserve">an </w:t>
      </w:r>
      <w:r w:rsidR="00C4592F">
        <w:rPr>
          <w:rFonts w:asciiTheme="minorHAnsi" w:hAnsiTheme="minorHAnsi" w:cs="Arial"/>
          <w:szCs w:val="22"/>
          <w:lang w:eastAsia="en-US"/>
        </w:rPr>
        <w:t>external debt recovery agency. The first</w:t>
      </w:r>
      <w:r w:rsidR="00B3100A">
        <w:rPr>
          <w:rFonts w:asciiTheme="minorHAnsi" w:hAnsiTheme="minorHAnsi" w:cs="Arial"/>
          <w:szCs w:val="22"/>
          <w:lang w:eastAsia="en-US"/>
        </w:rPr>
        <w:t xml:space="preserve"> </w:t>
      </w:r>
      <w:r w:rsidR="00B16275">
        <w:rPr>
          <w:rFonts w:asciiTheme="minorHAnsi" w:hAnsiTheme="minorHAnsi" w:cs="Arial"/>
          <w:szCs w:val="22"/>
          <w:lang w:eastAsia="en-US"/>
        </w:rPr>
        <w:br/>
      </w:r>
      <w:r w:rsidR="00C4592F">
        <w:rPr>
          <w:rFonts w:asciiTheme="minorHAnsi" w:hAnsiTheme="minorHAnsi" w:cs="Arial"/>
          <w:szCs w:val="22"/>
          <w:lang w:eastAsia="en-US"/>
        </w:rPr>
        <w:t>12 months has seen a slight decrease in the debt recovery ratio</w:t>
      </w:r>
      <w:r w:rsidR="00BA6F8D">
        <w:rPr>
          <w:rFonts w:asciiTheme="minorHAnsi" w:hAnsiTheme="minorHAnsi" w:cs="Arial"/>
          <w:szCs w:val="22"/>
          <w:lang w:eastAsia="en-US"/>
        </w:rPr>
        <w:t>.</w:t>
      </w:r>
    </w:p>
    <w:p w:rsidR="003035AF" w:rsidRDefault="003035AF" w:rsidP="00A6717C">
      <w:pPr>
        <w:pStyle w:val="BodyText"/>
        <w:spacing w:before="0" w:line="240" w:lineRule="auto"/>
        <w:ind w:left="1"/>
        <w:rPr>
          <w:highlight w:val="yellow"/>
        </w:rPr>
      </w:pPr>
    </w:p>
    <w:p w:rsidR="00151831" w:rsidRDefault="00151831" w:rsidP="00151831">
      <w:pPr>
        <w:pStyle w:val="ListBullet"/>
        <w:numPr>
          <w:ilvl w:val="0"/>
          <w:numId w:val="0"/>
        </w:numPr>
        <w:spacing w:before="0" w:line="240" w:lineRule="auto"/>
        <w:rPr>
          <w:rFonts w:asciiTheme="minorHAnsi" w:hAnsiTheme="minorHAnsi"/>
        </w:rPr>
      </w:pPr>
      <w:r>
        <w:rPr>
          <w:rFonts w:asciiTheme="minorHAnsi" w:hAnsiTheme="minorHAnsi"/>
        </w:rPr>
        <w:t xml:space="preserve">The Executive Management Team continues to analyse the workforce capacity in an effort to gain efficiencies. </w:t>
      </w:r>
      <w:r w:rsidR="00B3100A">
        <w:rPr>
          <w:rFonts w:asciiTheme="minorHAnsi" w:hAnsiTheme="minorHAnsi"/>
        </w:rPr>
        <w:t xml:space="preserve"> </w:t>
      </w:r>
      <w:r>
        <w:rPr>
          <w:rFonts w:asciiTheme="minorHAnsi" w:hAnsiTheme="minorHAnsi"/>
        </w:rPr>
        <w:t xml:space="preserve">Through succession planning and staff departures, we have started to make improvements which are highlighted in the amended 2014 Workforce Management Plan </w:t>
      </w:r>
      <w:r w:rsidR="004801B4" w:rsidRPr="004801B4">
        <w:rPr>
          <w:rFonts w:asciiTheme="minorHAnsi" w:hAnsiTheme="minorHAnsi"/>
        </w:rPr>
        <w:t>(Attachment 8</w:t>
      </w:r>
      <w:r w:rsidRPr="004801B4">
        <w:rPr>
          <w:rFonts w:asciiTheme="minorHAnsi" w:hAnsiTheme="minorHAnsi"/>
        </w:rPr>
        <w:t>).</w:t>
      </w:r>
      <w:r>
        <w:rPr>
          <w:rFonts w:asciiTheme="minorHAnsi" w:hAnsiTheme="minorHAnsi"/>
        </w:rPr>
        <w:t xml:space="preserve"> </w:t>
      </w:r>
    </w:p>
    <w:p w:rsidR="00151831" w:rsidRPr="00DB00EC" w:rsidRDefault="00151831" w:rsidP="00A6717C">
      <w:pPr>
        <w:pStyle w:val="BodyText"/>
        <w:spacing w:before="0" w:line="240" w:lineRule="auto"/>
        <w:ind w:left="1"/>
        <w:rPr>
          <w:highlight w:val="yellow"/>
        </w:rPr>
      </w:pPr>
    </w:p>
    <w:p w:rsidR="008A4A55" w:rsidRDefault="008A4A55">
      <w:pPr>
        <w:rPr>
          <w:rFonts w:ascii="Arial" w:hAnsi="Arial" w:cs="Arial"/>
          <w:b/>
          <w:bCs/>
          <w:color w:val="00408A"/>
          <w:kern w:val="32"/>
          <w:sz w:val="30"/>
          <w:szCs w:val="30"/>
        </w:rPr>
      </w:pPr>
      <w:r>
        <w:br w:type="page"/>
      </w:r>
    </w:p>
    <w:p w:rsidR="00D60EA5" w:rsidRDefault="007304A8" w:rsidP="008A4A55">
      <w:pPr>
        <w:pStyle w:val="Heading1"/>
        <w:tabs>
          <w:tab w:val="clear" w:pos="709"/>
        </w:tabs>
        <w:ind w:left="1134" w:hanging="567"/>
      </w:pPr>
      <w:bookmarkStart w:id="29" w:name="_Toc409776057"/>
      <w:r>
        <w:lastRenderedPageBreak/>
        <w:t>List of attachments</w:t>
      </w:r>
      <w:bookmarkEnd w:id="29"/>
    </w:p>
    <w:p w:rsidR="005C4769" w:rsidRDefault="005C4769" w:rsidP="006D3A62">
      <w:pPr>
        <w:pStyle w:val="BodyText"/>
        <w:spacing w:before="0"/>
      </w:pPr>
    </w:p>
    <w:p w:rsidR="00D87D5C" w:rsidRPr="00B17EC1" w:rsidRDefault="00D87D5C" w:rsidP="006D3A62">
      <w:pPr>
        <w:pStyle w:val="BodyText"/>
        <w:spacing w:before="0"/>
      </w:pPr>
    </w:p>
    <w:tbl>
      <w:tblPr>
        <w:tblW w:w="0" w:type="auto"/>
        <w:jc w:val="center"/>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915"/>
      </w:tblGrid>
      <w:tr w:rsidR="00CD7438" w:rsidRPr="006D3A62" w:rsidTr="00EA18F2">
        <w:trPr>
          <w:jc w:val="center"/>
        </w:trPr>
        <w:tc>
          <w:tcPr>
            <w:tcW w:w="7915" w:type="dxa"/>
            <w:tcBorders>
              <w:top w:val="nil"/>
              <w:bottom w:val="nil"/>
            </w:tcBorders>
            <w:vAlign w:val="center"/>
          </w:tcPr>
          <w:p w:rsidR="00CD7438" w:rsidRPr="00EA18F2" w:rsidRDefault="00CD7438" w:rsidP="00EA18F2">
            <w:pPr>
              <w:pStyle w:val="TableTextEntries"/>
              <w:spacing w:before="120" w:after="120" w:line="240" w:lineRule="auto"/>
              <w:rPr>
                <w:rFonts w:asciiTheme="minorHAnsi" w:hAnsiTheme="minorHAnsi"/>
                <w:b/>
                <w:sz w:val="22"/>
                <w:szCs w:val="22"/>
              </w:rPr>
            </w:pPr>
            <w:r w:rsidRPr="00EA18F2">
              <w:rPr>
                <w:rFonts w:asciiTheme="minorHAnsi" w:hAnsiTheme="minorHAnsi"/>
                <w:b/>
                <w:sz w:val="22"/>
                <w:szCs w:val="22"/>
              </w:rPr>
              <w:t>Mandatory forms and Attachments</w:t>
            </w:r>
          </w:p>
        </w:tc>
      </w:tr>
      <w:tr w:rsidR="00CD7438" w:rsidRPr="006D3A62" w:rsidTr="00EA18F2">
        <w:trPr>
          <w:jc w:val="center"/>
        </w:trPr>
        <w:tc>
          <w:tcPr>
            <w:tcW w:w="7915" w:type="dxa"/>
            <w:tcBorders>
              <w:top w:val="nil"/>
            </w:tcBorders>
            <w:vAlign w:val="center"/>
          </w:tcPr>
          <w:p w:rsidR="00CD7438" w:rsidRPr="00EA18F2" w:rsidRDefault="00CD7438" w:rsidP="00EA18F2">
            <w:pPr>
              <w:pStyle w:val="TableTextEntries"/>
              <w:spacing w:before="120" w:after="120" w:line="240" w:lineRule="auto"/>
              <w:rPr>
                <w:rFonts w:asciiTheme="minorHAnsi" w:hAnsiTheme="minorHAnsi"/>
                <w:sz w:val="22"/>
                <w:szCs w:val="22"/>
              </w:rPr>
            </w:pPr>
            <w:r w:rsidRPr="00EA18F2">
              <w:rPr>
                <w:rFonts w:asciiTheme="minorHAnsi" w:hAnsiTheme="minorHAnsi"/>
                <w:sz w:val="22"/>
                <w:szCs w:val="22"/>
              </w:rPr>
              <w:t xml:space="preserve">Part A Section 508A and Section 508(2) Application form (Excel spreadsheet) </w:t>
            </w:r>
          </w:p>
        </w:tc>
      </w:tr>
      <w:tr w:rsidR="00CD7438" w:rsidRPr="006D3A62" w:rsidTr="00EA18F2">
        <w:trPr>
          <w:jc w:val="center"/>
        </w:trPr>
        <w:tc>
          <w:tcPr>
            <w:tcW w:w="7915" w:type="dxa"/>
            <w:vAlign w:val="center"/>
          </w:tcPr>
          <w:p w:rsidR="00CD7438" w:rsidRPr="00EA18F2" w:rsidRDefault="00CD7438" w:rsidP="00EA18F2">
            <w:pPr>
              <w:pStyle w:val="TableTextEntries"/>
              <w:spacing w:before="120" w:after="120" w:line="240" w:lineRule="auto"/>
              <w:rPr>
                <w:rFonts w:asciiTheme="minorHAnsi" w:hAnsiTheme="minorHAnsi"/>
                <w:sz w:val="22"/>
                <w:szCs w:val="22"/>
              </w:rPr>
            </w:pPr>
            <w:r w:rsidRPr="00EA18F2">
              <w:rPr>
                <w:rFonts w:asciiTheme="minorHAnsi" w:hAnsiTheme="minorHAnsi"/>
                <w:sz w:val="22"/>
                <w:szCs w:val="22"/>
              </w:rPr>
              <w:t xml:space="preserve">Part B Application form (this Word document) </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1: </w:t>
            </w:r>
            <w:r w:rsidR="00F53987" w:rsidRPr="00EA18F2">
              <w:rPr>
                <w:rFonts w:asciiTheme="minorHAnsi" w:hAnsiTheme="minorHAnsi"/>
                <w:sz w:val="22"/>
                <w:szCs w:val="22"/>
              </w:rPr>
              <w:tab/>
            </w:r>
            <w:r w:rsidR="0027314D">
              <w:rPr>
                <w:rFonts w:asciiTheme="minorHAnsi" w:hAnsiTheme="minorHAnsi"/>
                <w:sz w:val="22"/>
                <w:szCs w:val="22"/>
              </w:rPr>
              <w:t>CSP Extract</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2: </w:t>
            </w:r>
            <w:r w:rsidR="00F53987" w:rsidRPr="00EA18F2">
              <w:rPr>
                <w:rFonts w:asciiTheme="minorHAnsi" w:hAnsiTheme="minorHAnsi"/>
                <w:sz w:val="22"/>
                <w:szCs w:val="22"/>
              </w:rPr>
              <w:tab/>
            </w:r>
            <w:r w:rsidR="0027314D">
              <w:rPr>
                <w:rFonts w:asciiTheme="minorHAnsi" w:hAnsiTheme="minorHAnsi"/>
                <w:sz w:val="22"/>
                <w:szCs w:val="22"/>
              </w:rPr>
              <w:t>Delivery Program</w:t>
            </w:r>
          </w:p>
        </w:tc>
      </w:tr>
      <w:tr w:rsidR="00CD7438" w:rsidRPr="006D3A62" w:rsidTr="00EA18F2">
        <w:trPr>
          <w:jc w:val="center"/>
        </w:trPr>
        <w:tc>
          <w:tcPr>
            <w:tcW w:w="7915" w:type="dxa"/>
            <w:vAlign w:val="center"/>
          </w:tcPr>
          <w:p w:rsidR="00CD7438" w:rsidRPr="00EA18F2" w:rsidRDefault="00CD7438" w:rsidP="00EA18F2">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3: </w:t>
            </w:r>
            <w:r w:rsidR="00F53987" w:rsidRPr="00EA18F2">
              <w:rPr>
                <w:rFonts w:asciiTheme="minorHAnsi" w:hAnsiTheme="minorHAnsi"/>
                <w:sz w:val="22"/>
                <w:szCs w:val="22"/>
              </w:rPr>
              <w:tab/>
            </w:r>
            <w:r w:rsidRPr="00EA18F2">
              <w:rPr>
                <w:rFonts w:asciiTheme="minorHAnsi" w:hAnsiTheme="minorHAnsi"/>
                <w:sz w:val="22"/>
                <w:szCs w:val="22"/>
              </w:rPr>
              <w:t>Long Term Financial Plan</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4: </w:t>
            </w:r>
            <w:r w:rsidR="00F53987" w:rsidRPr="00EA18F2">
              <w:rPr>
                <w:rFonts w:asciiTheme="minorHAnsi" w:hAnsiTheme="minorHAnsi"/>
                <w:sz w:val="22"/>
                <w:szCs w:val="22"/>
              </w:rPr>
              <w:tab/>
            </w:r>
            <w:proofErr w:type="spellStart"/>
            <w:r w:rsidR="0027314D">
              <w:rPr>
                <w:rFonts w:asciiTheme="minorHAnsi" w:hAnsiTheme="minorHAnsi"/>
                <w:sz w:val="22"/>
                <w:szCs w:val="22"/>
              </w:rPr>
              <w:t>TCorp</w:t>
            </w:r>
            <w:proofErr w:type="spellEnd"/>
            <w:r w:rsidR="0027314D">
              <w:rPr>
                <w:rFonts w:asciiTheme="minorHAnsi" w:hAnsiTheme="minorHAnsi"/>
                <w:sz w:val="22"/>
                <w:szCs w:val="22"/>
              </w:rPr>
              <w:t xml:space="preserve"> Report on Financial Sustainability</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5: </w:t>
            </w:r>
            <w:r w:rsidR="00F53987" w:rsidRPr="00EA18F2">
              <w:rPr>
                <w:rFonts w:asciiTheme="minorHAnsi" w:hAnsiTheme="minorHAnsi"/>
                <w:sz w:val="22"/>
                <w:szCs w:val="22"/>
              </w:rPr>
              <w:tab/>
            </w:r>
            <w:r w:rsidR="0027314D">
              <w:rPr>
                <w:rFonts w:asciiTheme="minorHAnsi" w:hAnsiTheme="minorHAnsi"/>
                <w:sz w:val="22"/>
                <w:szCs w:val="22"/>
              </w:rPr>
              <w:t>Survey submissions (letters from ratepayers) and Minutes</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6: </w:t>
            </w:r>
            <w:r w:rsidR="00F53987" w:rsidRPr="00EA18F2">
              <w:rPr>
                <w:rFonts w:asciiTheme="minorHAnsi" w:hAnsiTheme="minorHAnsi"/>
                <w:sz w:val="22"/>
                <w:szCs w:val="22"/>
              </w:rPr>
              <w:tab/>
            </w:r>
            <w:r w:rsidR="0027314D">
              <w:rPr>
                <w:rFonts w:asciiTheme="minorHAnsi" w:hAnsiTheme="minorHAnsi"/>
                <w:sz w:val="22"/>
                <w:szCs w:val="22"/>
              </w:rPr>
              <w:t>Community Briefing Sessions – Minutes and Feedback</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7: </w:t>
            </w:r>
            <w:r w:rsidR="00F53987" w:rsidRPr="00EA18F2">
              <w:rPr>
                <w:rFonts w:asciiTheme="minorHAnsi" w:hAnsiTheme="minorHAnsi"/>
                <w:sz w:val="22"/>
                <w:szCs w:val="22"/>
              </w:rPr>
              <w:tab/>
            </w:r>
            <w:r w:rsidR="0027314D">
              <w:rPr>
                <w:rFonts w:asciiTheme="minorHAnsi" w:hAnsiTheme="minorHAnsi"/>
                <w:sz w:val="22"/>
                <w:szCs w:val="22"/>
              </w:rPr>
              <w:t>Hardship Policy</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8: </w:t>
            </w:r>
            <w:r w:rsidR="00F53987" w:rsidRPr="00EA18F2">
              <w:rPr>
                <w:rFonts w:asciiTheme="minorHAnsi" w:hAnsiTheme="minorHAnsi"/>
                <w:sz w:val="22"/>
                <w:szCs w:val="22"/>
              </w:rPr>
              <w:tab/>
            </w:r>
            <w:r w:rsidR="0027314D">
              <w:rPr>
                <w:rFonts w:asciiTheme="minorHAnsi" w:hAnsiTheme="minorHAnsi"/>
                <w:sz w:val="22"/>
                <w:szCs w:val="22"/>
              </w:rPr>
              <w:t>Resolution to apply for the Special Rate Variation</w:t>
            </w:r>
          </w:p>
        </w:tc>
      </w:tr>
      <w:tr w:rsidR="00CD7438" w:rsidRPr="006D3A62" w:rsidTr="00EA18F2">
        <w:trPr>
          <w:jc w:val="center"/>
        </w:trPr>
        <w:tc>
          <w:tcPr>
            <w:tcW w:w="7915" w:type="dxa"/>
            <w:vAlign w:val="center"/>
          </w:tcPr>
          <w:p w:rsidR="00CD7438" w:rsidRPr="00EA18F2" w:rsidRDefault="00CD7438" w:rsidP="0027314D">
            <w:pPr>
              <w:pStyle w:val="TableTextEntries"/>
              <w:tabs>
                <w:tab w:val="left" w:pos="1712"/>
              </w:tabs>
              <w:spacing w:before="120" w:after="120" w:line="240" w:lineRule="auto"/>
              <w:rPr>
                <w:rFonts w:asciiTheme="minorHAnsi" w:hAnsiTheme="minorHAnsi"/>
                <w:b/>
                <w:sz w:val="22"/>
                <w:szCs w:val="22"/>
              </w:rPr>
            </w:pPr>
            <w:r w:rsidRPr="00EA18F2">
              <w:rPr>
                <w:rFonts w:asciiTheme="minorHAnsi" w:hAnsiTheme="minorHAnsi"/>
                <w:sz w:val="22"/>
                <w:szCs w:val="22"/>
              </w:rPr>
              <w:t xml:space="preserve">Attachment 9: </w:t>
            </w:r>
            <w:r w:rsidR="00F53987" w:rsidRPr="00EA18F2">
              <w:rPr>
                <w:rFonts w:asciiTheme="minorHAnsi" w:hAnsiTheme="minorHAnsi"/>
                <w:sz w:val="22"/>
                <w:szCs w:val="22"/>
              </w:rPr>
              <w:tab/>
            </w:r>
            <w:r w:rsidR="0027314D">
              <w:rPr>
                <w:rFonts w:asciiTheme="minorHAnsi" w:hAnsiTheme="minorHAnsi"/>
                <w:sz w:val="22"/>
                <w:szCs w:val="22"/>
              </w:rPr>
              <w:t>Certification</w:t>
            </w:r>
          </w:p>
        </w:tc>
      </w:tr>
      <w:tr w:rsidR="00CD7438" w:rsidRPr="006D3A62" w:rsidTr="00EA18F2">
        <w:trPr>
          <w:jc w:val="center"/>
        </w:trPr>
        <w:tc>
          <w:tcPr>
            <w:tcW w:w="7915" w:type="dxa"/>
            <w:vAlign w:val="center"/>
          </w:tcPr>
          <w:p w:rsidR="00CD7438" w:rsidRPr="00EA18F2" w:rsidRDefault="00CD7438" w:rsidP="009C6960">
            <w:pPr>
              <w:pStyle w:val="TableTextEntries"/>
              <w:tabs>
                <w:tab w:val="left" w:pos="1712"/>
              </w:tabs>
              <w:spacing w:before="120" w:after="120" w:line="240" w:lineRule="auto"/>
              <w:ind w:left="1724" w:hanging="1724"/>
              <w:rPr>
                <w:rFonts w:asciiTheme="minorHAnsi" w:hAnsiTheme="minorHAnsi"/>
                <w:sz w:val="22"/>
                <w:szCs w:val="22"/>
              </w:rPr>
            </w:pPr>
            <w:r w:rsidRPr="00EA18F2">
              <w:rPr>
                <w:rFonts w:asciiTheme="minorHAnsi" w:hAnsiTheme="minorHAnsi"/>
                <w:sz w:val="22"/>
                <w:szCs w:val="22"/>
              </w:rPr>
              <w:t xml:space="preserve">Attachment 10: </w:t>
            </w:r>
            <w:r w:rsidR="00F53987" w:rsidRPr="00EA18F2">
              <w:rPr>
                <w:rFonts w:asciiTheme="minorHAnsi" w:hAnsiTheme="minorHAnsi"/>
                <w:sz w:val="22"/>
                <w:szCs w:val="22"/>
              </w:rPr>
              <w:tab/>
            </w:r>
            <w:r w:rsidRPr="00EA18F2">
              <w:rPr>
                <w:rFonts w:asciiTheme="minorHAnsi" w:hAnsiTheme="minorHAnsi"/>
                <w:sz w:val="22"/>
                <w:szCs w:val="22"/>
              </w:rPr>
              <w:t>Media releases, public meeting notices, newspaper articles, fact sheets relating to the rate increase and Special Rate Variation</w:t>
            </w:r>
          </w:p>
        </w:tc>
      </w:tr>
      <w:tr w:rsidR="00CD7438" w:rsidRPr="006D3A62" w:rsidTr="00EA18F2">
        <w:trPr>
          <w:jc w:val="center"/>
        </w:trPr>
        <w:tc>
          <w:tcPr>
            <w:tcW w:w="7915" w:type="dxa"/>
            <w:tcBorders>
              <w:bottom w:val="nil"/>
            </w:tcBorders>
            <w:vAlign w:val="center"/>
          </w:tcPr>
          <w:p w:rsidR="00CD7438"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11: </w:t>
            </w:r>
            <w:r w:rsidR="00F53987" w:rsidRPr="00EA18F2">
              <w:rPr>
                <w:rFonts w:asciiTheme="minorHAnsi" w:hAnsiTheme="minorHAnsi"/>
                <w:sz w:val="22"/>
                <w:szCs w:val="22"/>
              </w:rPr>
              <w:tab/>
            </w:r>
            <w:r w:rsidR="0027314D">
              <w:rPr>
                <w:rFonts w:asciiTheme="minorHAnsi" w:hAnsiTheme="minorHAnsi"/>
                <w:sz w:val="22"/>
                <w:szCs w:val="22"/>
              </w:rPr>
              <w:t>Asset Management Plan extract</w:t>
            </w:r>
          </w:p>
        </w:tc>
      </w:tr>
      <w:tr w:rsidR="00CD7438" w:rsidRPr="006D3A62" w:rsidTr="00EA18F2">
        <w:trPr>
          <w:jc w:val="center"/>
        </w:trPr>
        <w:tc>
          <w:tcPr>
            <w:tcW w:w="7915" w:type="dxa"/>
            <w:tcBorders>
              <w:top w:val="nil"/>
              <w:bottom w:val="nil"/>
            </w:tcBorders>
            <w:vAlign w:val="center"/>
          </w:tcPr>
          <w:p w:rsidR="0027314D" w:rsidRPr="00EA18F2" w:rsidRDefault="00CD7438" w:rsidP="0027314D">
            <w:pPr>
              <w:pStyle w:val="TableTextEntries"/>
              <w:tabs>
                <w:tab w:val="left" w:pos="1712"/>
              </w:tabs>
              <w:spacing w:before="120" w:after="120" w:line="240" w:lineRule="auto"/>
              <w:rPr>
                <w:rFonts w:asciiTheme="minorHAnsi" w:hAnsiTheme="minorHAnsi"/>
                <w:sz w:val="22"/>
                <w:szCs w:val="22"/>
              </w:rPr>
            </w:pPr>
            <w:r w:rsidRPr="00EA18F2">
              <w:rPr>
                <w:rFonts w:asciiTheme="minorHAnsi" w:hAnsiTheme="minorHAnsi"/>
                <w:sz w:val="22"/>
                <w:szCs w:val="22"/>
              </w:rPr>
              <w:t xml:space="preserve">Attachment 12: </w:t>
            </w:r>
            <w:r w:rsidR="00F53987" w:rsidRPr="00EA18F2">
              <w:rPr>
                <w:rFonts w:asciiTheme="minorHAnsi" w:hAnsiTheme="minorHAnsi"/>
                <w:sz w:val="22"/>
                <w:szCs w:val="22"/>
              </w:rPr>
              <w:tab/>
            </w:r>
            <w:r w:rsidR="0027314D">
              <w:rPr>
                <w:rFonts w:asciiTheme="minorHAnsi" w:hAnsiTheme="minorHAnsi"/>
                <w:sz w:val="22"/>
                <w:szCs w:val="22"/>
              </w:rPr>
              <w:t>Selective Comparisons (Oberon and Blayney)</w:t>
            </w:r>
          </w:p>
        </w:tc>
      </w:tr>
      <w:tr w:rsidR="0027314D" w:rsidRPr="006D3A62" w:rsidTr="00EA18F2">
        <w:trPr>
          <w:jc w:val="center"/>
        </w:trPr>
        <w:tc>
          <w:tcPr>
            <w:tcW w:w="7915" w:type="dxa"/>
            <w:tcBorders>
              <w:top w:val="nil"/>
              <w:bottom w:val="nil"/>
            </w:tcBorders>
            <w:vAlign w:val="center"/>
          </w:tcPr>
          <w:p w:rsidR="0027314D" w:rsidRPr="00EA18F2" w:rsidRDefault="0027314D" w:rsidP="0027314D">
            <w:pPr>
              <w:pStyle w:val="TableTextEntries"/>
              <w:tabs>
                <w:tab w:val="left" w:pos="1712"/>
              </w:tabs>
              <w:spacing w:before="120" w:after="120" w:line="240" w:lineRule="auto"/>
              <w:rPr>
                <w:rFonts w:asciiTheme="minorHAnsi" w:hAnsiTheme="minorHAnsi"/>
                <w:sz w:val="22"/>
                <w:szCs w:val="22"/>
              </w:rPr>
            </w:pPr>
            <w:r>
              <w:rPr>
                <w:rFonts w:asciiTheme="minorHAnsi" w:hAnsiTheme="minorHAnsi"/>
                <w:sz w:val="22"/>
                <w:szCs w:val="22"/>
              </w:rPr>
              <w:t>Attachment 13:</w:t>
            </w:r>
            <w:r>
              <w:rPr>
                <w:rFonts w:asciiTheme="minorHAnsi" w:hAnsiTheme="minorHAnsi"/>
                <w:sz w:val="22"/>
                <w:szCs w:val="22"/>
              </w:rPr>
              <w:tab/>
              <w:t>Council discussions on Special Rate Variation</w:t>
            </w:r>
            <w:bookmarkStart w:id="30" w:name="_GoBack"/>
            <w:bookmarkEnd w:id="30"/>
          </w:p>
        </w:tc>
      </w:tr>
    </w:tbl>
    <w:p w:rsidR="007D46AE" w:rsidRPr="002550E3" w:rsidRDefault="007D46AE" w:rsidP="002550E3">
      <w:pPr>
        <w:pStyle w:val="BodyText"/>
      </w:pPr>
    </w:p>
    <w:sectPr w:rsidR="007D46AE" w:rsidRPr="002550E3" w:rsidSect="00696111">
      <w:headerReference w:type="even" r:id="rId17"/>
      <w:headerReference w:type="default" r:id="rId18"/>
      <w:footerReference w:type="even" r:id="rId19"/>
      <w:footerReference w:type="default" r:id="rId20"/>
      <w:headerReference w:type="first" r:id="rId21"/>
      <w:pgSz w:w="11907" w:h="16840" w:code="9"/>
      <w:pgMar w:top="1134" w:right="1134" w:bottom="1134" w:left="85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B8" w:rsidRDefault="007362B8" w:rsidP="00856DDC">
      <w:r>
        <w:separator/>
      </w:r>
    </w:p>
    <w:p w:rsidR="007362B8" w:rsidRDefault="007362B8"/>
  </w:endnote>
  <w:endnote w:type="continuationSeparator" w:id="0">
    <w:p w:rsidR="007362B8" w:rsidRDefault="007362B8" w:rsidP="00856DDC">
      <w:r>
        <w:continuationSeparator/>
      </w:r>
    </w:p>
    <w:p w:rsidR="007362B8" w:rsidRDefault="00736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Pr="002231EC" w:rsidRDefault="007362B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269200906"/>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rsidR="007362B8" w:rsidRPr="0071343D" w:rsidRDefault="007362B8" w:rsidP="0071343D">
            <w:pPr>
              <w:pStyle w:val="Footer"/>
              <w:tabs>
                <w:tab w:val="right" w:pos="9356"/>
              </w:tabs>
              <w:rPr>
                <w:rFonts w:asciiTheme="minorHAnsi" w:hAnsiTheme="minorHAnsi"/>
                <w:sz w:val="20"/>
                <w:szCs w:val="20"/>
              </w:rPr>
            </w:pPr>
            <w:r>
              <w:rPr>
                <w:rFonts w:asciiTheme="minorHAnsi" w:hAnsiTheme="minorHAnsi"/>
                <w:sz w:val="20"/>
                <w:szCs w:val="20"/>
              </w:rPr>
              <w:t>Oberon Council – IPART Special Rate Variation 2015</w:t>
            </w:r>
            <w:r>
              <w:rPr>
                <w:rFonts w:asciiTheme="minorHAnsi" w:hAnsiTheme="minorHAnsi"/>
                <w:sz w:val="20"/>
                <w:szCs w:val="20"/>
              </w:rPr>
              <w:tab/>
            </w:r>
            <w:r w:rsidRPr="0071343D">
              <w:rPr>
                <w:rFonts w:asciiTheme="minorHAnsi" w:hAnsiTheme="minorHAnsi"/>
                <w:sz w:val="20"/>
                <w:szCs w:val="20"/>
              </w:rPr>
              <w:t xml:space="preserve">Page </w:t>
            </w:r>
            <w:r w:rsidRPr="0071343D">
              <w:rPr>
                <w:rFonts w:asciiTheme="minorHAnsi" w:hAnsiTheme="minorHAnsi"/>
                <w:bCs/>
                <w:sz w:val="20"/>
                <w:szCs w:val="20"/>
              </w:rPr>
              <w:fldChar w:fldCharType="begin"/>
            </w:r>
            <w:r w:rsidRPr="0071343D">
              <w:rPr>
                <w:rFonts w:asciiTheme="minorHAnsi" w:hAnsiTheme="minorHAnsi"/>
                <w:bCs/>
                <w:sz w:val="20"/>
                <w:szCs w:val="20"/>
              </w:rPr>
              <w:instrText xml:space="preserve"> PAGE </w:instrText>
            </w:r>
            <w:r w:rsidRPr="0071343D">
              <w:rPr>
                <w:rFonts w:asciiTheme="minorHAnsi" w:hAnsiTheme="minorHAnsi"/>
                <w:bCs/>
                <w:sz w:val="20"/>
                <w:szCs w:val="20"/>
              </w:rPr>
              <w:fldChar w:fldCharType="separate"/>
            </w:r>
            <w:r>
              <w:rPr>
                <w:rFonts w:asciiTheme="minorHAnsi" w:hAnsiTheme="minorHAnsi"/>
                <w:bCs/>
                <w:noProof/>
                <w:sz w:val="20"/>
                <w:szCs w:val="20"/>
              </w:rPr>
              <w:t>14</w:t>
            </w:r>
            <w:r w:rsidRPr="0071343D">
              <w:rPr>
                <w:rFonts w:asciiTheme="minorHAnsi" w:hAnsiTheme="minorHAnsi"/>
                <w:bCs/>
                <w:sz w:val="20"/>
                <w:szCs w:val="20"/>
              </w:rPr>
              <w:fldChar w:fldCharType="end"/>
            </w:r>
            <w:r w:rsidRPr="0071343D">
              <w:rPr>
                <w:rFonts w:asciiTheme="minorHAnsi" w:hAnsiTheme="minorHAnsi"/>
                <w:sz w:val="20"/>
                <w:szCs w:val="20"/>
              </w:rPr>
              <w:t xml:space="preserve"> of </w:t>
            </w:r>
            <w:r w:rsidRPr="0071343D">
              <w:rPr>
                <w:rFonts w:asciiTheme="minorHAnsi" w:hAnsiTheme="minorHAnsi"/>
                <w:bCs/>
                <w:sz w:val="20"/>
                <w:szCs w:val="20"/>
              </w:rPr>
              <w:fldChar w:fldCharType="begin"/>
            </w:r>
            <w:r w:rsidRPr="0071343D">
              <w:rPr>
                <w:rFonts w:asciiTheme="minorHAnsi" w:hAnsiTheme="minorHAnsi"/>
                <w:bCs/>
                <w:sz w:val="20"/>
                <w:szCs w:val="20"/>
              </w:rPr>
              <w:instrText xml:space="preserve"> NUMPAGES  </w:instrText>
            </w:r>
            <w:r w:rsidRPr="0071343D">
              <w:rPr>
                <w:rFonts w:asciiTheme="minorHAnsi" w:hAnsiTheme="minorHAnsi"/>
                <w:bCs/>
                <w:sz w:val="20"/>
                <w:szCs w:val="20"/>
              </w:rPr>
              <w:fldChar w:fldCharType="separate"/>
            </w:r>
            <w:r w:rsidR="00843AF5">
              <w:rPr>
                <w:rFonts w:asciiTheme="minorHAnsi" w:hAnsiTheme="minorHAnsi"/>
                <w:bCs/>
                <w:noProof/>
                <w:sz w:val="20"/>
                <w:szCs w:val="20"/>
              </w:rPr>
              <w:t>18</w:t>
            </w:r>
            <w:r w:rsidRPr="0071343D">
              <w:rPr>
                <w:rFonts w:asciiTheme="minorHAnsi" w:hAnsiTheme="minorHAnsi"/>
                <w:bCs/>
                <w:sz w:val="20"/>
                <w:szCs w:val="20"/>
              </w:rPr>
              <w:fldChar w:fldCharType="end"/>
            </w:r>
          </w:p>
        </w:sdtContent>
      </w:sdt>
    </w:sdtContent>
  </w:sdt>
  <w:p w:rsidR="007362B8" w:rsidRPr="0071343D" w:rsidRDefault="007362B8" w:rsidP="007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839005446"/>
      <w:docPartObj>
        <w:docPartGallery w:val="Page Numbers (Bottom of Page)"/>
        <w:docPartUnique/>
      </w:docPartObj>
    </w:sdtPr>
    <w:sdtEndPr/>
    <w:sdtContent>
      <w:sdt>
        <w:sdtPr>
          <w:rPr>
            <w:rFonts w:asciiTheme="minorHAnsi" w:hAnsiTheme="minorHAnsi"/>
            <w:sz w:val="20"/>
            <w:szCs w:val="20"/>
          </w:rPr>
          <w:id w:val="-835301307"/>
          <w:docPartObj>
            <w:docPartGallery w:val="Page Numbers (Top of Page)"/>
            <w:docPartUnique/>
          </w:docPartObj>
        </w:sdtPr>
        <w:sdtEndPr/>
        <w:sdtContent>
          <w:p w:rsidR="007D409C" w:rsidRPr="007D409C" w:rsidRDefault="007D409C">
            <w:pPr>
              <w:pStyle w:val="Footer"/>
              <w:jc w:val="right"/>
              <w:rPr>
                <w:rFonts w:asciiTheme="minorHAnsi" w:hAnsiTheme="minorHAnsi"/>
                <w:sz w:val="20"/>
                <w:szCs w:val="20"/>
              </w:rPr>
            </w:pPr>
            <w:r w:rsidRPr="007D409C">
              <w:rPr>
                <w:rFonts w:asciiTheme="minorHAnsi" w:hAnsiTheme="minorHAnsi"/>
                <w:sz w:val="20"/>
                <w:szCs w:val="20"/>
              </w:rPr>
              <w:t xml:space="preserve">Page </w:t>
            </w:r>
            <w:r w:rsidRPr="007D409C">
              <w:rPr>
                <w:rFonts w:asciiTheme="minorHAnsi" w:hAnsiTheme="minorHAnsi"/>
                <w:bCs/>
                <w:sz w:val="20"/>
                <w:szCs w:val="20"/>
              </w:rPr>
              <w:fldChar w:fldCharType="begin"/>
            </w:r>
            <w:r w:rsidRPr="007D409C">
              <w:rPr>
                <w:rFonts w:asciiTheme="minorHAnsi" w:hAnsiTheme="minorHAnsi"/>
                <w:bCs/>
                <w:sz w:val="20"/>
                <w:szCs w:val="20"/>
              </w:rPr>
              <w:instrText xml:space="preserve"> PAGE </w:instrText>
            </w:r>
            <w:r w:rsidRPr="007D409C">
              <w:rPr>
                <w:rFonts w:asciiTheme="minorHAnsi" w:hAnsiTheme="minorHAnsi"/>
                <w:bCs/>
                <w:sz w:val="20"/>
                <w:szCs w:val="20"/>
              </w:rPr>
              <w:fldChar w:fldCharType="separate"/>
            </w:r>
            <w:r w:rsidR="00843AF5">
              <w:rPr>
                <w:rFonts w:asciiTheme="minorHAnsi" w:hAnsiTheme="minorHAnsi"/>
                <w:bCs/>
                <w:noProof/>
                <w:sz w:val="20"/>
                <w:szCs w:val="20"/>
              </w:rPr>
              <w:t>15</w:t>
            </w:r>
            <w:r w:rsidRPr="007D409C">
              <w:rPr>
                <w:rFonts w:asciiTheme="minorHAnsi" w:hAnsiTheme="minorHAnsi"/>
                <w:bCs/>
                <w:sz w:val="20"/>
                <w:szCs w:val="20"/>
              </w:rPr>
              <w:fldChar w:fldCharType="end"/>
            </w:r>
            <w:r w:rsidRPr="007D409C">
              <w:rPr>
                <w:rFonts w:asciiTheme="minorHAnsi" w:hAnsiTheme="minorHAnsi"/>
                <w:sz w:val="20"/>
                <w:szCs w:val="20"/>
              </w:rPr>
              <w:t xml:space="preserve"> of </w:t>
            </w:r>
            <w:r>
              <w:rPr>
                <w:rFonts w:asciiTheme="minorHAnsi" w:hAnsiTheme="minorHAnsi"/>
                <w:bCs/>
                <w:sz w:val="20"/>
                <w:szCs w:val="20"/>
              </w:rPr>
              <w:t>1</w:t>
            </w:r>
            <w:r w:rsidR="0027314D">
              <w:rPr>
                <w:rFonts w:asciiTheme="minorHAnsi" w:hAnsiTheme="minorHAnsi"/>
                <w:bCs/>
                <w:sz w:val="20"/>
                <w:szCs w:val="20"/>
              </w:rPr>
              <w:t>5</w:t>
            </w:r>
          </w:p>
        </w:sdtContent>
      </w:sdt>
    </w:sdtContent>
  </w:sdt>
  <w:p w:rsidR="007362B8" w:rsidRPr="007D409C" w:rsidRDefault="007362B8" w:rsidP="007D4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B8" w:rsidRDefault="007362B8" w:rsidP="00856DDC">
      <w:r>
        <w:separator/>
      </w:r>
    </w:p>
  </w:footnote>
  <w:footnote w:type="continuationSeparator" w:id="0">
    <w:p w:rsidR="007362B8" w:rsidRDefault="007362B8" w:rsidP="00856DDC">
      <w:r>
        <w:continuationSeparator/>
      </w:r>
    </w:p>
    <w:p w:rsidR="007362B8" w:rsidRDefault="007362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Default="007362B8" w:rsidP="00667EA7">
    <w:pPr>
      <w:pStyle w:val="Header"/>
      <w:jc w:val="right"/>
    </w:pPr>
    <w:r>
      <w:rPr>
        <w:noProof/>
      </w:rPr>
      <w:drawing>
        <wp:anchor distT="0" distB="0" distL="114300" distR="114300" simplePos="0" relativeHeight="251669504" behindDoc="0" locked="0" layoutInCell="1" allowOverlap="1" wp14:anchorId="6DC1D514" wp14:editId="40185681">
          <wp:simplePos x="0" y="0"/>
          <wp:positionH relativeFrom="column">
            <wp:posOffset>1292860</wp:posOffset>
          </wp:positionH>
          <wp:positionV relativeFrom="paragraph">
            <wp:posOffset>3821430</wp:posOffset>
          </wp:positionV>
          <wp:extent cx="1440180" cy="1078992"/>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107899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0" wp14:anchorId="00BB5E78" wp14:editId="2F23DFA3">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Pr="0026621F" w:rsidRDefault="007362B8" w:rsidP="005E2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Pr="0026621F" w:rsidRDefault="007362B8" w:rsidP="005E2D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Pr="00083981" w:rsidRDefault="007362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Default="007362B8">
    <w:pPr>
      <w:pStyle w:val="Header"/>
    </w:pPr>
    <w:r>
      <w:rPr>
        <w:noProof/>
      </w:rPr>
      <mc:AlternateContent>
        <mc:Choice Requires="wps">
          <w:drawing>
            <wp:anchor distT="0" distB="0" distL="114300" distR="114300" simplePos="0" relativeHeight="251664384" behindDoc="0" locked="0" layoutInCell="0" allowOverlap="0" wp14:anchorId="13921BD0" wp14:editId="6741C676">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2B8" w:rsidRDefault="007362B8"/>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7362B8" w:rsidRDefault="007362B8"/>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Pr="004401AD" w:rsidRDefault="007362B8">
    <w:pPr>
      <w:pStyle w:val="Header"/>
      <w:rPr>
        <w:lang w:val="en-US"/>
      </w:rPr>
    </w:pPr>
    <w:r>
      <w:rPr>
        <w:noProof/>
      </w:rPr>
      <w:drawing>
        <wp:anchor distT="0" distB="0" distL="114300" distR="114300" simplePos="0" relativeHeight="251670528" behindDoc="0" locked="0" layoutInCell="1" allowOverlap="1" wp14:anchorId="61679D25" wp14:editId="5F046D14">
          <wp:simplePos x="0" y="0"/>
          <wp:positionH relativeFrom="column">
            <wp:posOffset>-20955</wp:posOffset>
          </wp:positionH>
          <wp:positionV relativeFrom="paragraph">
            <wp:posOffset>-383782</wp:posOffset>
          </wp:positionV>
          <wp:extent cx="695325" cy="520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52094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0" wp14:anchorId="47D993E6" wp14:editId="010BAD29">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2B8" w:rsidRDefault="007362B8"/>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7362B8" w:rsidRDefault="007362B8"/>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8" w:rsidRDefault="00736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D68A3"/>
    <w:multiLevelType w:val="hybridMultilevel"/>
    <w:tmpl w:val="DF36D0D0"/>
    <w:lvl w:ilvl="0" w:tplc="D63EAB3E">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nsid w:val="12282C8B"/>
    <w:multiLevelType w:val="hybridMultilevel"/>
    <w:tmpl w:val="07AEF21C"/>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8">
    <w:nsid w:val="17955874"/>
    <w:multiLevelType w:val="hybridMultilevel"/>
    <w:tmpl w:val="1F429778"/>
    <w:lvl w:ilvl="0" w:tplc="AD984B7A">
      <w:numFmt w:val="decimal"/>
      <w:lvlText w:val="%1"/>
      <w:lvlJc w:val="left"/>
      <w:pPr>
        <w:ind w:left="5085" w:hanging="5085"/>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B5362FF"/>
    <w:multiLevelType w:val="hybridMultilevel"/>
    <w:tmpl w:val="591CF530"/>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1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1">
    <w:nsid w:val="24E8116E"/>
    <w:multiLevelType w:val="hybridMultilevel"/>
    <w:tmpl w:val="C3F4E836"/>
    <w:lvl w:ilvl="0" w:tplc="7B6EBE3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7F22F7"/>
    <w:multiLevelType w:val="hybridMultilevel"/>
    <w:tmpl w:val="F5C404A2"/>
    <w:lvl w:ilvl="0" w:tplc="0C09000F">
      <w:start w:val="1"/>
      <w:numFmt w:val="decimal"/>
      <w:lvlText w:val="%1."/>
      <w:lvlJc w:val="left"/>
      <w:pPr>
        <w:ind w:left="437" w:hanging="360"/>
      </w:pPr>
      <w:rPr>
        <w:rFonts w:hint="default"/>
      </w:r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13">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4">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D513734"/>
    <w:multiLevelType w:val="hybridMultilevel"/>
    <w:tmpl w:val="E7C04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1A24E64"/>
    <w:multiLevelType w:val="hybridMultilevel"/>
    <w:tmpl w:val="21F2B45E"/>
    <w:lvl w:ilvl="0" w:tplc="7CD22030">
      <w:start w:val="1"/>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9">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0">
    <w:nsid w:val="437F1954"/>
    <w:multiLevelType w:val="hybridMultilevel"/>
    <w:tmpl w:val="EFCE5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4675D3D"/>
    <w:multiLevelType w:val="hybridMultilevel"/>
    <w:tmpl w:val="26C6F1E6"/>
    <w:lvl w:ilvl="0" w:tplc="0C09000F">
      <w:start w:val="1"/>
      <w:numFmt w:val="decimal"/>
      <w:lvlText w:val="%1."/>
      <w:lvlJc w:val="left"/>
      <w:pPr>
        <w:ind w:left="722" w:hanging="360"/>
      </w:pPr>
      <w:rPr>
        <w:rFonts w:hint="default"/>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22">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3">
    <w:nsid w:val="45A35329"/>
    <w:multiLevelType w:val="hybridMultilevel"/>
    <w:tmpl w:val="052020E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4FD43BE7"/>
    <w:multiLevelType w:val="hybridMultilevel"/>
    <w:tmpl w:val="ABDCA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6">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7">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8">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9">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0">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1">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2">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3">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203FD3"/>
    <w:multiLevelType w:val="hybridMultilevel"/>
    <w:tmpl w:val="94620DF0"/>
    <w:lvl w:ilvl="0" w:tplc="0C09000F">
      <w:start w:val="1"/>
      <w:numFmt w:val="decimal"/>
      <w:lvlText w:val="%1."/>
      <w:lvlJc w:val="left"/>
      <w:pPr>
        <w:ind w:left="-208" w:hanging="360"/>
      </w:pPr>
      <w:rPr>
        <w:rFonts w:hint="default"/>
      </w:rPr>
    </w:lvl>
    <w:lvl w:ilvl="1" w:tplc="0C090003" w:tentative="1">
      <w:start w:val="1"/>
      <w:numFmt w:val="bullet"/>
      <w:lvlText w:val="o"/>
      <w:lvlJc w:val="left"/>
      <w:pPr>
        <w:ind w:left="512" w:hanging="360"/>
      </w:pPr>
      <w:rPr>
        <w:rFonts w:ascii="Courier New" w:hAnsi="Courier New" w:cs="Courier New" w:hint="default"/>
      </w:rPr>
    </w:lvl>
    <w:lvl w:ilvl="2" w:tplc="0C090005" w:tentative="1">
      <w:start w:val="1"/>
      <w:numFmt w:val="bullet"/>
      <w:lvlText w:val=""/>
      <w:lvlJc w:val="left"/>
      <w:pPr>
        <w:ind w:left="1232" w:hanging="360"/>
      </w:pPr>
      <w:rPr>
        <w:rFonts w:ascii="Wingdings" w:hAnsi="Wingdings" w:hint="default"/>
      </w:rPr>
    </w:lvl>
    <w:lvl w:ilvl="3" w:tplc="0C090001" w:tentative="1">
      <w:start w:val="1"/>
      <w:numFmt w:val="bullet"/>
      <w:lvlText w:val=""/>
      <w:lvlJc w:val="left"/>
      <w:pPr>
        <w:ind w:left="1952" w:hanging="360"/>
      </w:pPr>
      <w:rPr>
        <w:rFonts w:ascii="Symbol" w:hAnsi="Symbol" w:hint="default"/>
      </w:rPr>
    </w:lvl>
    <w:lvl w:ilvl="4" w:tplc="0C090003" w:tentative="1">
      <w:start w:val="1"/>
      <w:numFmt w:val="bullet"/>
      <w:lvlText w:val="o"/>
      <w:lvlJc w:val="left"/>
      <w:pPr>
        <w:ind w:left="2672" w:hanging="360"/>
      </w:pPr>
      <w:rPr>
        <w:rFonts w:ascii="Courier New" w:hAnsi="Courier New" w:cs="Courier New" w:hint="default"/>
      </w:rPr>
    </w:lvl>
    <w:lvl w:ilvl="5" w:tplc="0C090005" w:tentative="1">
      <w:start w:val="1"/>
      <w:numFmt w:val="bullet"/>
      <w:lvlText w:val=""/>
      <w:lvlJc w:val="left"/>
      <w:pPr>
        <w:ind w:left="3392" w:hanging="360"/>
      </w:pPr>
      <w:rPr>
        <w:rFonts w:ascii="Wingdings" w:hAnsi="Wingdings" w:hint="default"/>
      </w:rPr>
    </w:lvl>
    <w:lvl w:ilvl="6" w:tplc="0C090001" w:tentative="1">
      <w:start w:val="1"/>
      <w:numFmt w:val="bullet"/>
      <w:lvlText w:val=""/>
      <w:lvlJc w:val="left"/>
      <w:pPr>
        <w:ind w:left="4112" w:hanging="360"/>
      </w:pPr>
      <w:rPr>
        <w:rFonts w:ascii="Symbol" w:hAnsi="Symbol" w:hint="default"/>
      </w:rPr>
    </w:lvl>
    <w:lvl w:ilvl="7" w:tplc="0C090003" w:tentative="1">
      <w:start w:val="1"/>
      <w:numFmt w:val="bullet"/>
      <w:lvlText w:val="o"/>
      <w:lvlJc w:val="left"/>
      <w:pPr>
        <w:ind w:left="4832" w:hanging="360"/>
      </w:pPr>
      <w:rPr>
        <w:rFonts w:ascii="Courier New" w:hAnsi="Courier New" w:cs="Courier New" w:hint="default"/>
      </w:rPr>
    </w:lvl>
    <w:lvl w:ilvl="8" w:tplc="0C090005" w:tentative="1">
      <w:start w:val="1"/>
      <w:numFmt w:val="bullet"/>
      <w:lvlText w:val=""/>
      <w:lvlJc w:val="left"/>
      <w:pPr>
        <w:ind w:left="5552" w:hanging="360"/>
      </w:pPr>
      <w:rPr>
        <w:rFonts w:ascii="Wingdings" w:hAnsi="Wingdings" w:hint="default"/>
      </w:rPr>
    </w:lvl>
  </w:abstractNum>
  <w:abstractNum w:abstractNumId="35">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6">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7">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8">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39">
    <w:nsid w:val="7CEE08BF"/>
    <w:multiLevelType w:val="hybridMultilevel"/>
    <w:tmpl w:val="76A64486"/>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40">
    <w:nsid w:val="7EAB3D59"/>
    <w:multiLevelType w:val="hybridMultilevel"/>
    <w:tmpl w:val="9B98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A81750"/>
    <w:multiLevelType w:val="hybridMultilevel"/>
    <w:tmpl w:val="3CA86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37"/>
  </w:num>
  <w:num w:numId="4">
    <w:abstractNumId w:val="18"/>
  </w:num>
  <w:num w:numId="5">
    <w:abstractNumId w:val="27"/>
  </w:num>
  <w:num w:numId="6">
    <w:abstractNumId w:val="28"/>
  </w:num>
  <w:num w:numId="7">
    <w:abstractNumId w:val="25"/>
  </w:num>
  <w:num w:numId="8">
    <w:abstractNumId w:val="4"/>
  </w:num>
  <w:num w:numId="9">
    <w:abstractNumId w:val="0"/>
  </w:num>
  <w:num w:numId="10">
    <w:abstractNumId w:val="6"/>
  </w:num>
  <w:num w:numId="11">
    <w:abstractNumId w:val="19"/>
  </w:num>
  <w:num w:numId="12">
    <w:abstractNumId w:val="31"/>
  </w:num>
  <w:num w:numId="13">
    <w:abstractNumId w:val="14"/>
  </w:num>
  <w:num w:numId="14">
    <w:abstractNumId w:val="36"/>
  </w:num>
  <w:num w:numId="15">
    <w:abstractNumId w:val="26"/>
  </w:num>
  <w:num w:numId="16">
    <w:abstractNumId w:val="32"/>
  </w:num>
  <w:num w:numId="17">
    <w:abstractNumId w:val="35"/>
  </w:num>
  <w:num w:numId="18">
    <w:abstractNumId w:val="29"/>
  </w:num>
  <w:num w:numId="19">
    <w:abstractNumId w:val="22"/>
  </w:num>
  <w:num w:numId="20">
    <w:abstractNumId w:val="13"/>
  </w:num>
  <w:num w:numId="21">
    <w:abstractNumId w:val="2"/>
  </w:num>
  <w:num w:numId="22">
    <w:abstractNumId w:val="38"/>
  </w:num>
  <w:num w:numId="23">
    <w:abstractNumId w:val="16"/>
  </w:num>
  <w:num w:numId="24">
    <w:abstractNumId w:val="33"/>
  </w:num>
  <w:num w:numId="25">
    <w:abstractNumId w:val="1"/>
  </w:num>
  <w:num w:numId="26">
    <w:abstractNumId w:val="7"/>
  </w:num>
  <w:num w:numId="27">
    <w:abstractNumId w:val="5"/>
  </w:num>
  <w:num w:numId="28">
    <w:abstractNumId w:val="3"/>
  </w:num>
  <w:num w:numId="29">
    <w:abstractNumId w:val="34"/>
  </w:num>
  <w:num w:numId="30">
    <w:abstractNumId w:val="8"/>
  </w:num>
  <w:num w:numId="31">
    <w:abstractNumId w:val="11"/>
  </w:num>
  <w:num w:numId="32">
    <w:abstractNumId w:val="41"/>
  </w:num>
  <w:num w:numId="33">
    <w:abstractNumId w:val="39"/>
  </w:num>
  <w:num w:numId="34">
    <w:abstractNumId w:val="9"/>
  </w:num>
  <w:num w:numId="35">
    <w:abstractNumId w:val="40"/>
  </w:num>
  <w:num w:numId="36">
    <w:abstractNumId w:val="23"/>
  </w:num>
  <w:num w:numId="37">
    <w:abstractNumId w:val="20"/>
  </w:num>
  <w:num w:numId="38">
    <w:abstractNumId w:val="21"/>
  </w:num>
  <w:num w:numId="39">
    <w:abstractNumId w:val="12"/>
  </w:num>
  <w:num w:numId="40">
    <w:abstractNumId w:val="24"/>
  </w:num>
  <w:num w:numId="41">
    <w:abstractNumId w:val="15"/>
  </w:num>
  <w:num w:numId="4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10241">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3F3E"/>
    <w:rsid w:val="00005641"/>
    <w:rsid w:val="00006FE5"/>
    <w:rsid w:val="00007226"/>
    <w:rsid w:val="00007AFB"/>
    <w:rsid w:val="00010DFB"/>
    <w:rsid w:val="000111B5"/>
    <w:rsid w:val="00012D17"/>
    <w:rsid w:val="00012DAC"/>
    <w:rsid w:val="00013389"/>
    <w:rsid w:val="000137B0"/>
    <w:rsid w:val="0001482D"/>
    <w:rsid w:val="00015181"/>
    <w:rsid w:val="000156FD"/>
    <w:rsid w:val="000175AF"/>
    <w:rsid w:val="000176A3"/>
    <w:rsid w:val="00017A75"/>
    <w:rsid w:val="00020B0A"/>
    <w:rsid w:val="000217C3"/>
    <w:rsid w:val="000217CF"/>
    <w:rsid w:val="0002202A"/>
    <w:rsid w:val="00022210"/>
    <w:rsid w:val="0002252B"/>
    <w:rsid w:val="000226DD"/>
    <w:rsid w:val="00022BD0"/>
    <w:rsid w:val="00023450"/>
    <w:rsid w:val="00023A7F"/>
    <w:rsid w:val="00025B09"/>
    <w:rsid w:val="00025BD5"/>
    <w:rsid w:val="000267A5"/>
    <w:rsid w:val="00026B31"/>
    <w:rsid w:val="00027A68"/>
    <w:rsid w:val="00027E0A"/>
    <w:rsid w:val="00027F8A"/>
    <w:rsid w:val="0003040E"/>
    <w:rsid w:val="00030D91"/>
    <w:rsid w:val="0003174B"/>
    <w:rsid w:val="00031FC4"/>
    <w:rsid w:val="00032B89"/>
    <w:rsid w:val="000339B1"/>
    <w:rsid w:val="00033CF5"/>
    <w:rsid w:val="00034510"/>
    <w:rsid w:val="000360F6"/>
    <w:rsid w:val="00036381"/>
    <w:rsid w:val="0003638F"/>
    <w:rsid w:val="00036646"/>
    <w:rsid w:val="00036FFF"/>
    <w:rsid w:val="00040067"/>
    <w:rsid w:val="00040713"/>
    <w:rsid w:val="00040D73"/>
    <w:rsid w:val="00040E7E"/>
    <w:rsid w:val="0004182E"/>
    <w:rsid w:val="000421AD"/>
    <w:rsid w:val="0004261E"/>
    <w:rsid w:val="000428C3"/>
    <w:rsid w:val="00042A36"/>
    <w:rsid w:val="0004319E"/>
    <w:rsid w:val="00043470"/>
    <w:rsid w:val="00043964"/>
    <w:rsid w:val="00043C44"/>
    <w:rsid w:val="0004466D"/>
    <w:rsid w:val="000449C2"/>
    <w:rsid w:val="00044A5D"/>
    <w:rsid w:val="00044D9D"/>
    <w:rsid w:val="00045034"/>
    <w:rsid w:val="00045940"/>
    <w:rsid w:val="00045E55"/>
    <w:rsid w:val="0004651B"/>
    <w:rsid w:val="00050AED"/>
    <w:rsid w:val="00050D51"/>
    <w:rsid w:val="0005255C"/>
    <w:rsid w:val="00052573"/>
    <w:rsid w:val="00052705"/>
    <w:rsid w:val="00052E3D"/>
    <w:rsid w:val="0005432C"/>
    <w:rsid w:val="000545B7"/>
    <w:rsid w:val="00054E84"/>
    <w:rsid w:val="00056C15"/>
    <w:rsid w:val="00056E9F"/>
    <w:rsid w:val="0005753A"/>
    <w:rsid w:val="00061640"/>
    <w:rsid w:val="00062F94"/>
    <w:rsid w:val="000655A8"/>
    <w:rsid w:val="00065DBF"/>
    <w:rsid w:val="000663B9"/>
    <w:rsid w:val="00066802"/>
    <w:rsid w:val="00067EDB"/>
    <w:rsid w:val="000705CD"/>
    <w:rsid w:val="000705E4"/>
    <w:rsid w:val="00070F98"/>
    <w:rsid w:val="00072225"/>
    <w:rsid w:val="000724CE"/>
    <w:rsid w:val="000726AD"/>
    <w:rsid w:val="000732A6"/>
    <w:rsid w:val="00074732"/>
    <w:rsid w:val="00074FF3"/>
    <w:rsid w:val="0007545C"/>
    <w:rsid w:val="00075FAE"/>
    <w:rsid w:val="00080C0C"/>
    <w:rsid w:val="00080D82"/>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4A92"/>
    <w:rsid w:val="000A58C7"/>
    <w:rsid w:val="000A6066"/>
    <w:rsid w:val="000A61BC"/>
    <w:rsid w:val="000A7044"/>
    <w:rsid w:val="000A741E"/>
    <w:rsid w:val="000A75CF"/>
    <w:rsid w:val="000B0371"/>
    <w:rsid w:val="000B09AD"/>
    <w:rsid w:val="000B1CFF"/>
    <w:rsid w:val="000B2645"/>
    <w:rsid w:val="000B3B42"/>
    <w:rsid w:val="000B42C6"/>
    <w:rsid w:val="000B625B"/>
    <w:rsid w:val="000B7275"/>
    <w:rsid w:val="000C0040"/>
    <w:rsid w:val="000C149B"/>
    <w:rsid w:val="000C160F"/>
    <w:rsid w:val="000C173E"/>
    <w:rsid w:val="000C2CFB"/>
    <w:rsid w:val="000C480D"/>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393"/>
    <w:rsid w:val="000D43A0"/>
    <w:rsid w:val="000D7EAF"/>
    <w:rsid w:val="000E0537"/>
    <w:rsid w:val="000E126E"/>
    <w:rsid w:val="000E20ED"/>
    <w:rsid w:val="000E235A"/>
    <w:rsid w:val="000E239A"/>
    <w:rsid w:val="000E2B50"/>
    <w:rsid w:val="000E2D53"/>
    <w:rsid w:val="000E3170"/>
    <w:rsid w:val="000E3415"/>
    <w:rsid w:val="000E41D5"/>
    <w:rsid w:val="000E4F4A"/>
    <w:rsid w:val="000E54FD"/>
    <w:rsid w:val="000E574E"/>
    <w:rsid w:val="000E58D5"/>
    <w:rsid w:val="000F0620"/>
    <w:rsid w:val="000F0C96"/>
    <w:rsid w:val="000F1C3C"/>
    <w:rsid w:val="000F1CB2"/>
    <w:rsid w:val="000F33B8"/>
    <w:rsid w:val="000F359C"/>
    <w:rsid w:val="000F434F"/>
    <w:rsid w:val="000F4EB7"/>
    <w:rsid w:val="000F5B38"/>
    <w:rsid w:val="000F6371"/>
    <w:rsid w:val="000F6734"/>
    <w:rsid w:val="000F7B56"/>
    <w:rsid w:val="000F7D54"/>
    <w:rsid w:val="000F7DB3"/>
    <w:rsid w:val="000F7E79"/>
    <w:rsid w:val="00101999"/>
    <w:rsid w:val="00102095"/>
    <w:rsid w:val="001022D7"/>
    <w:rsid w:val="00102ED1"/>
    <w:rsid w:val="0010395A"/>
    <w:rsid w:val="00103BDC"/>
    <w:rsid w:val="00103C41"/>
    <w:rsid w:val="00103E53"/>
    <w:rsid w:val="001040E8"/>
    <w:rsid w:val="00104FFB"/>
    <w:rsid w:val="00105263"/>
    <w:rsid w:val="0010773E"/>
    <w:rsid w:val="00107A47"/>
    <w:rsid w:val="001112A9"/>
    <w:rsid w:val="00111CE6"/>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313D8"/>
    <w:rsid w:val="00131AFC"/>
    <w:rsid w:val="00134738"/>
    <w:rsid w:val="00135E94"/>
    <w:rsid w:val="0013634A"/>
    <w:rsid w:val="0013770D"/>
    <w:rsid w:val="0014132C"/>
    <w:rsid w:val="0014176A"/>
    <w:rsid w:val="00141838"/>
    <w:rsid w:val="001428F5"/>
    <w:rsid w:val="001433B9"/>
    <w:rsid w:val="00144C80"/>
    <w:rsid w:val="00146479"/>
    <w:rsid w:val="00147A36"/>
    <w:rsid w:val="00147C04"/>
    <w:rsid w:val="00150D48"/>
    <w:rsid w:val="00151831"/>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DAB"/>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715"/>
    <w:rsid w:val="00187D9F"/>
    <w:rsid w:val="0019002E"/>
    <w:rsid w:val="001912B7"/>
    <w:rsid w:val="00191F92"/>
    <w:rsid w:val="001924A7"/>
    <w:rsid w:val="00192FA4"/>
    <w:rsid w:val="001932E1"/>
    <w:rsid w:val="00193756"/>
    <w:rsid w:val="00193F23"/>
    <w:rsid w:val="001941E1"/>
    <w:rsid w:val="00194797"/>
    <w:rsid w:val="00195155"/>
    <w:rsid w:val="001959F4"/>
    <w:rsid w:val="00196755"/>
    <w:rsid w:val="001976C9"/>
    <w:rsid w:val="001A0887"/>
    <w:rsid w:val="001A0CBB"/>
    <w:rsid w:val="001A0CF0"/>
    <w:rsid w:val="001A0DE8"/>
    <w:rsid w:val="001A2B46"/>
    <w:rsid w:val="001A3914"/>
    <w:rsid w:val="001A3A18"/>
    <w:rsid w:val="001A417F"/>
    <w:rsid w:val="001A453B"/>
    <w:rsid w:val="001A48F7"/>
    <w:rsid w:val="001A5158"/>
    <w:rsid w:val="001A587E"/>
    <w:rsid w:val="001A5A28"/>
    <w:rsid w:val="001A5B8C"/>
    <w:rsid w:val="001A5C49"/>
    <w:rsid w:val="001A6C01"/>
    <w:rsid w:val="001A722F"/>
    <w:rsid w:val="001B031F"/>
    <w:rsid w:val="001B106B"/>
    <w:rsid w:val="001B172F"/>
    <w:rsid w:val="001B372E"/>
    <w:rsid w:val="001B4B35"/>
    <w:rsid w:val="001B5050"/>
    <w:rsid w:val="001B5ABF"/>
    <w:rsid w:val="001B5EE9"/>
    <w:rsid w:val="001B67FE"/>
    <w:rsid w:val="001B6961"/>
    <w:rsid w:val="001B74AF"/>
    <w:rsid w:val="001C0F16"/>
    <w:rsid w:val="001C2238"/>
    <w:rsid w:val="001C2502"/>
    <w:rsid w:val="001C2864"/>
    <w:rsid w:val="001C4D7B"/>
    <w:rsid w:val="001C526A"/>
    <w:rsid w:val="001C643A"/>
    <w:rsid w:val="001C6AB3"/>
    <w:rsid w:val="001C7153"/>
    <w:rsid w:val="001C7906"/>
    <w:rsid w:val="001C7929"/>
    <w:rsid w:val="001C7FDC"/>
    <w:rsid w:val="001D0F97"/>
    <w:rsid w:val="001D236D"/>
    <w:rsid w:val="001D30AC"/>
    <w:rsid w:val="001D31C8"/>
    <w:rsid w:val="001D4118"/>
    <w:rsid w:val="001D61EA"/>
    <w:rsid w:val="001D7FF1"/>
    <w:rsid w:val="001E0BBF"/>
    <w:rsid w:val="001E0CD2"/>
    <w:rsid w:val="001E15A4"/>
    <w:rsid w:val="001E2071"/>
    <w:rsid w:val="001E3591"/>
    <w:rsid w:val="001E4875"/>
    <w:rsid w:val="001E4E7B"/>
    <w:rsid w:val="001E4F17"/>
    <w:rsid w:val="001E58E5"/>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AA0"/>
    <w:rsid w:val="00204C41"/>
    <w:rsid w:val="00204E39"/>
    <w:rsid w:val="00205149"/>
    <w:rsid w:val="002054B1"/>
    <w:rsid w:val="0020561B"/>
    <w:rsid w:val="00205A67"/>
    <w:rsid w:val="002067CC"/>
    <w:rsid w:val="00210F2B"/>
    <w:rsid w:val="00211568"/>
    <w:rsid w:val="00212233"/>
    <w:rsid w:val="00212567"/>
    <w:rsid w:val="002127CE"/>
    <w:rsid w:val="00214CAF"/>
    <w:rsid w:val="00215940"/>
    <w:rsid w:val="00216728"/>
    <w:rsid w:val="00216DCF"/>
    <w:rsid w:val="002179F2"/>
    <w:rsid w:val="00220A51"/>
    <w:rsid w:val="00220BC9"/>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624C"/>
    <w:rsid w:val="00236CF1"/>
    <w:rsid w:val="0024098C"/>
    <w:rsid w:val="00240ECF"/>
    <w:rsid w:val="0024122D"/>
    <w:rsid w:val="0024144E"/>
    <w:rsid w:val="00241F66"/>
    <w:rsid w:val="00241F8D"/>
    <w:rsid w:val="00241FCC"/>
    <w:rsid w:val="00242171"/>
    <w:rsid w:val="00243E02"/>
    <w:rsid w:val="00244942"/>
    <w:rsid w:val="00244B7F"/>
    <w:rsid w:val="00244E36"/>
    <w:rsid w:val="0024505B"/>
    <w:rsid w:val="00245E21"/>
    <w:rsid w:val="002466A0"/>
    <w:rsid w:val="00246F27"/>
    <w:rsid w:val="00247575"/>
    <w:rsid w:val="00247746"/>
    <w:rsid w:val="00247E84"/>
    <w:rsid w:val="00250293"/>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4CB8"/>
    <w:rsid w:val="00265600"/>
    <w:rsid w:val="0026621F"/>
    <w:rsid w:val="002663F7"/>
    <w:rsid w:val="00266497"/>
    <w:rsid w:val="002665E4"/>
    <w:rsid w:val="00270404"/>
    <w:rsid w:val="00270840"/>
    <w:rsid w:val="00270ACB"/>
    <w:rsid w:val="00270B1F"/>
    <w:rsid w:val="00270C79"/>
    <w:rsid w:val="00270E9D"/>
    <w:rsid w:val="002727B6"/>
    <w:rsid w:val="002729A6"/>
    <w:rsid w:val="0027314D"/>
    <w:rsid w:val="00273A63"/>
    <w:rsid w:val="00273A77"/>
    <w:rsid w:val="00273A86"/>
    <w:rsid w:val="00274CD0"/>
    <w:rsid w:val="00275926"/>
    <w:rsid w:val="00276859"/>
    <w:rsid w:val="00276CE5"/>
    <w:rsid w:val="00277548"/>
    <w:rsid w:val="00280232"/>
    <w:rsid w:val="00280844"/>
    <w:rsid w:val="00282166"/>
    <w:rsid w:val="0028219B"/>
    <w:rsid w:val="0028234B"/>
    <w:rsid w:val="002823FB"/>
    <w:rsid w:val="002827E2"/>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57C"/>
    <w:rsid w:val="002A38B3"/>
    <w:rsid w:val="002A3FA2"/>
    <w:rsid w:val="002A4721"/>
    <w:rsid w:val="002A4AEB"/>
    <w:rsid w:val="002A56F2"/>
    <w:rsid w:val="002A5876"/>
    <w:rsid w:val="002A58F7"/>
    <w:rsid w:val="002A626C"/>
    <w:rsid w:val="002A6563"/>
    <w:rsid w:val="002A68CF"/>
    <w:rsid w:val="002A7221"/>
    <w:rsid w:val="002B02E5"/>
    <w:rsid w:val="002B0463"/>
    <w:rsid w:val="002B083A"/>
    <w:rsid w:val="002B1735"/>
    <w:rsid w:val="002B1A53"/>
    <w:rsid w:val="002B2390"/>
    <w:rsid w:val="002B4A76"/>
    <w:rsid w:val="002B5E3A"/>
    <w:rsid w:val="002B6903"/>
    <w:rsid w:val="002B70FC"/>
    <w:rsid w:val="002B715A"/>
    <w:rsid w:val="002B7DEE"/>
    <w:rsid w:val="002C16F0"/>
    <w:rsid w:val="002C26DA"/>
    <w:rsid w:val="002C3130"/>
    <w:rsid w:val="002C380F"/>
    <w:rsid w:val="002C3F78"/>
    <w:rsid w:val="002C6409"/>
    <w:rsid w:val="002C6DCD"/>
    <w:rsid w:val="002C7DF3"/>
    <w:rsid w:val="002D00DA"/>
    <w:rsid w:val="002D10E0"/>
    <w:rsid w:val="002D219F"/>
    <w:rsid w:val="002D30F4"/>
    <w:rsid w:val="002D4C12"/>
    <w:rsid w:val="002D57D2"/>
    <w:rsid w:val="002D5AA1"/>
    <w:rsid w:val="002D5CEC"/>
    <w:rsid w:val="002D5D4F"/>
    <w:rsid w:val="002D6259"/>
    <w:rsid w:val="002D6263"/>
    <w:rsid w:val="002E09D9"/>
    <w:rsid w:val="002E118D"/>
    <w:rsid w:val="002E289D"/>
    <w:rsid w:val="002E3E66"/>
    <w:rsid w:val="002E5094"/>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06335"/>
    <w:rsid w:val="0031129C"/>
    <w:rsid w:val="00311A55"/>
    <w:rsid w:val="00312625"/>
    <w:rsid w:val="003129FB"/>
    <w:rsid w:val="00313CFE"/>
    <w:rsid w:val="003142E5"/>
    <w:rsid w:val="00315699"/>
    <w:rsid w:val="00315CBB"/>
    <w:rsid w:val="003174ED"/>
    <w:rsid w:val="0032025B"/>
    <w:rsid w:val="003202F0"/>
    <w:rsid w:val="0032108F"/>
    <w:rsid w:val="0032160B"/>
    <w:rsid w:val="00321AF3"/>
    <w:rsid w:val="00322565"/>
    <w:rsid w:val="0032440A"/>
    <w:rsid w:val="00324C3B"/>
    <w:rsid w:val="00324D55"/>
    <w:rsid w:val="003264BC"/>
    <w:rsid w:val="00326758"/>
    <w:rsid w:val="00330399"/>
    <w:rsid w:val="003305C0"/>
    <w:rsid w:val="00330E5C"/>
    <w:rsid w:val="00330E88"/>
    <w:rsid w:val="00331DE0"/>
    <w:rsid w:val="00331E57"/>
    <w:rsid w:val="00333292"/>
    <w:rsid w:val="00333B0C"/>
    <w:rsid w:val="0033462D"/>
    <w:rsid w:val="003346E3"/>
    <w:rsid w:val="00334C6A"/>
    <w:rsid w:val="00334DFB"/>
    <w:rsid w:val="00334FA6"/>
    <w:rsid w:val="00335B3C"/>
    <w:rsid w:val="00335E36"/>
    <w:rsid w:val="003379CF"/>
    <w:rsid w:val="0034021A"/>
    <w:rsid w:val="003408A0"/>
    <w:rsid w:val="003409BC"/>
    <w:rsid w:val="00342023"/>
    <w:rsid w:val="00342A57"/>
    <w:rsid w:val="00343268"/>
    <w:rsid w:val="003438E6"/>
    <w:rsid w:val="00343907"/>
    <w:rsid w:val="00343EAD"/>
    <w:rsid w:val="0034461D"/>
    <w:rsid w:val="0034496D"/>
    <w:rsid w:val="00344A38"/>
    <w:rsid w:val="003459F4"/>
    <w:rsid w:val="00345C90"/>
    <w:rsid w:val="00346FD2"/>
    <w:rsid w:val="0034744B"/>
    <w:rsid w:val="00351764"/>
    <w:rsid w:val="0035304E"/>
    <w:rsid w:val="00353364"/>
    <w:rsid w:val="00354710"/>
    <w:rsid w:val="00354717"/>
    <w:rsid w:val="00356AF6"/>
    <w:rsid w:val="00356BC4"/>
    <w:rsid w:val="003572DF"/>
    <w:rsid w:val="00357986"/>
    <w:rsid w:val="00360B62"/>
    <w:rsid w:val="00360D1E"/>
    <w:rsid w:val="00361591"/>
    <w:rsid w:val="0036222D"/>
    <w:rsid w:val="0036277A"/>
    <w:rsid w:val="00363FD4"/>
    <w:rsid w:val="0036450A"/>
    <w:rsid w:val="00364AC8"/>
    <w:rsid w:val="003653CD"/>
    <w:rsid w:val="0036603C"/>
    <w:rsid w:val="00366CB7"/>
    <w:rsid w:val="00370907"/>
    <w:rsid w:val="003712E3"/>
    <w:rsid w:val="003737A3"/>
    <w:rsid w:val="00373D3D"/>
    <w:rsid w:val="00375A33"/>
    <w:rsid w:val="00375B96"/>
    <w:rsid w:val="00375BBB"/>
    <w:rsid w:val="00375D6E"/>
    <w:rsid w:val="00376738"/>
    <w:rsid w:val="00376C25"/>
    <w:rsid w:val="00376EB4"/>
    <w:rsid w:val="00377948"/>
    <w:rsid w:val="00377ADB"/>
    <w:rsid w:val="0038003B"/>
    <w:rsid w:val="0038056C"/>
    <w:rsid w:val="00381FBC"/>
    <w:rsid w:val="003831DC"/>
    <w:rsid w:val="0038397D"/>
    <w:rsid w:val="003849E4"/>
    <w:rsid w:val="00384F60"/>
    <w:rsid w:val="00385AA0"/>
    <w:rsid w:val="00385E19"/>
    <w:rsid w:val="003866CD"/>
    <w:rsid w:val="00386EF7"/>
    <w:rsid w:val="003905FB"/>
    <w:rsid w:val="003906BB"/>
    <w:rsid w:val="00390FA2"/>
    <w:rsid w:val="0039176A"/>
    <w:rsid w:val="0039252C"/>
    <w:rsid w:val="003927AE"/>
    <w:rsid w:val="00392CEA"/>
    <w:rsid w:val="0039331E"/>
    <w:rsid w:val="003941AB"/>
    <w:rsid w:val="003942C9"/>
    <w:rsid w:val="00394341"/>
    <w:rsid w:val="003943C9"/>
    <w:rsid w:val="003947D3"/>
    <w:rsid w:val="00395783"/>
    <w:rsid w:val="00395871"/>
    <w:rsid w:val="003A086B"/>
    <w:rsid w:val="003A09A2"/>
    <w:rsid w:val="003A0ED6"/>
    <w:rsid w:val="003A10F1"/>
    <w:rsid w:val="003A23D0"/>
    <w:rsid w:val="003A314F"/>
    <w:rsid w:val="003A3CF8"/>
    <w:rsid w:val="003A3F16"/>
    <w:rsid w:val="003A4F2F"/>
    <w:rsid w:val="003A55FA"/>
    <w:rsid w:val="003A5A82"/>
    <w:rsid w:val="003A6192"/>
    <w:rsid w:val="003A65AA"/>
    <w:rsid w:val="003A783B"/>
    <w:rsid w:val="003A7C37"/>
    <w:rsid w:val="003A7E84"/>
    <w:rsid w:val="003B021B"/>
    <w:rsid w:val="003B1258"/>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4ED4"/>
    <w:rsid w:val="003E5001"/>
    <w:rsid w:val="003E5A2C"/>
    <w:rsid w:val="003E5FAA"/>
    <w:rsid w:val="003E686C"/>
    <w:rsid w:val="003E7484"/>
    <w:rsid w:val="003F0F2B"/>
    <w:rsid w:val="003F2158"/>
    <w:rsid w:val="003F2609"/>
    <w:rsid w:val="003F33FE"/>
    <w:rsid w:val="003F3593"/>
    <w:rsid w:val="003F3A41"/>
    <w:rsid w:val="003F3C1F"/>
    <w:rsid w:val="003F4006"/>
    <w:rsid w:val="003F462D"/>
    <w:rsid w:val="003F60BB"/>
    <w:rsid w:val="003F6DD8"/>
    <w:rsid w:val="003F6E5E"/>
    <w:rsid w:val="0040028D"/>
    <w:rsid w:val="004002C5"/>
    <w:rsid w:val="004009F3"/>
    <w:rsid w:val="004011BD"/>
    <w:rsid w:val="00401A7F"/>
    <w:rsid w:val="00401E2B"/>
    <w:rsid w:val="004020B0"/>
    <w:rsid w:val="0040261A"/>
    <w:rsid w:val="004035C8"/>
    <w:rsid w:val="00403631"/>
    <w:rsid w:val="00403F63"/>
    <w:rsid w:val="0040461C"/>
    <w:rsid w:val="00404F7A"/>
    <w:rsid w:val="0040656D"/>
    <w:rsid w:val="004065B1"/>
    <w:rsid w:val="0040670E"/>
    <w:rsid w:val="004074C0"/>
    <w:rsid w:val="00407863"/>
    <w:rsid w:val="00410272"/>
    <w:rsid w:val="0041033E"/>
    <w:rsid w:val="00410A8B"/>
    <w:rsid w:val="00411333"/>
    <w:rsid w:val="00420365"/>
    <w:rsid w:val="00420943"/>
    <w:rsid w:val="00421133"/>
    <w:rsid w:val="004225E0"/>
    <w:rsid w:val="004226DB"/>
    <w:rsid w:val="00423F03"/>
    <w:rsid w:val="0042406C"/>
    <w:rsid w:val="00424793"/>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1F9"/>
    <w:rsid w:val="0044223A"/>
    <w:rsid w:val="0044264D"/>
    <w:rsid w:val="00442A9F"/>
    <w:rsid w:val="00445306"/>
    <w:rsid w:val="00445CAC"/>
    <w:rsid w:val="0044603A"/>
    <w:rsid w:val="00446210"/>
    <w:rsid w:val="00446CA1"/>
    <w:rsid w:val="00446DD8"/>
    <w:rsid w:val="004478C8"/>
    <w:rsid w:val="004502E8"/>
    <w:rsid w:val="00450821"/>
    <w:rsid w:val="004509BC"/>
    <w:rsid w:val="00451717"/>
    <w:rsid w:val="00451CB7"/>
    <w:rsid w:val="00452541"/>
    <w:rsid w:val="004528BE"/>
    <w:rsid w:val="00452CBD"/>
    <w:rsid w:val="004533B8"/>
    <w:rsid w:val="00453688"/>
    <w:rsid w:val="004538E3"/>
    <w:rsid w:val="00453FD0"/>
    <w:rsid w:val="00454C47"/>
    <w:rsid w:val="00455067"/>
    <w:rsid w:val="00455178"/>
    <w:rsid w:val="00455976"/>
    <w:rsid w:val="00457181"/>
    <w:rsid w:val="00460851"/>
    <w:rsid w:val="00460FCC"/>
    <w:rsid w:val="004611FA"/>
    <w:rsid w:val="004614F0"/>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30F"/>
    <w:rsid w:val="00470EAA"/>
    <w:rsid w:val="0047161E"/>
    <w:rsid w:val="00471BD8"/>
    <w:rsid w:val="00472335"/>
    <w:rsid w:val="004726F2"/>
    <w:rsid w:val="0047317E"/>
    <w:rsid w:val="004737F0"/>
    <w:rsid w:val="004739D9"/>
    <w:rsid w:val="00475180"/>
    <w:rsid w:val="004761E7"/>
    <w:rsid w:val="0047683B"/>
    <w:rsid w:val="00477AE4"/>
    <w:rsid w:val="004801B4"/>
    <w:rsid w:val="0048021D"/>
    <w:rsid w:val="0048070C"/>
    <w:rsid w:val="00480BBA"/>
    <w:rsid w:val="00480F4C"/>
    <w:rsid w:val="00481511"/>
    <w:rsid w:val="0048268A"/>
    <w:rsid w:val="004829B1"/>
    <w:rsid w:val="004829B9"/>
    <w:rsid w:val="00482AD4"/>
    <w:rsid w:val="00482EF2"/>
    <w:rsid w:val="004836C6"/>
    <w:rsid w:val="00484E66"/>
    <w:rsid w:val="00485216"/>
    <w:rsid w:val="004854BB"/>
    <w:rsid w:val="004854FC"/>
    <w:rsid w:val="004856B2"/>
    <w:rsid w:val="00485712"/>
    <w:rsid w:val="0048630B"/>
    <w:rsid w:val="004863D8"/>
    <w:rsid w:val="0048659C"/>
    <w:rsid w:val="00486667"/>
    <w:rsid w:val="004869C5"/>
    <w:rsid w:val="00486A7E"/>
    <w:rsid w:val="004871C5"/>
    <w:rsid w:val="004876C3"/>
    <w:rsid w:val="004901FD"/>
    <w:rsid w:val="004902FC"/>
    <w:rsid w:val="00492052"/>
    <w:rsid w:val="00492307"/>
    <w:rsid w:val="004929BC"/>
    <w:rsid w:val="00492CAA"/>
    <w:rsid w:val="00493081"/>
    <w:rsid w:val="00493377"/>
    <w:rsid w:val="00493C48"/>
    <w:rsid w:val="00493F3C"/>
    <w:rsid w:val="00493FBD"/>
    <w:rsid w:val="0049422F"/>
    <w:rsid w:val="0049632B"/>
    <w:rsid w:val="00496AC0"/>
    <w:rsid w:val="00497D9B"/>
    <w:rsid w:val="004A2427"/>
    <w:rsid w:val="004A32E2"/>
    <w:rsid w:val="004A37F5"/>
    <w:rsid w:val="004A3E4B"/>
    <w:rsid w:val="004A5187"/>
    <w:rsid w:val="004A5434"/>
    <w:rsid w:val="004A5471"/>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B75F6"/>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3FE6"/>
    <w:rsid w:val="004D43B1"/>
    <w:rsid w:val="004D4D97"/>
    <w:rsid w:val="004D50DA"/>
    <w:rsid w:val="004D5539"/>
    <w:rsid w:val="004D557E"/>
    <w:rsid w:val="004D59C3"/>
    <w:rsid w:val="004E050F"/>
    <w:rsid w:val="004E0619"/>
    <w:rsid w:val="004E070B"/>
    <w:rsid w:val="004E0F36"/>
    <w:rsid w:val="004E17DF"/>
    <w:rsid w:val="004E192E"/>
    <w:rsid w:val="004E1B82"/>
    <w:rsid w:val="004E2E07"/>
    <w:rsid w:val="004E30F2"/>
    <w:rsid w:val="004E3373"/>
    <w:rsid w:val="004E396E"/>
    <w:rsid w:val="004E3A6B"/>
    <w:rsid w:val="004E3CC9"/>
    <w:rsid w:val="004E46D6"/>
    <w:rsid w:val="004E49CD"/>
    <w:rsid w:val="004E4EF4"/>
    <w:rsid w:val="004E50A5"/>
    <w:rsid w:val="004E56D6"/>
    <w:rsid w:val="004E6838"/>
    <w:rsid w:val="004E6E36"/>
    <w:rsid w:val="004F07DC"/>
    <w:rsid w:val="004F157C"/>
    <w:rsid w:val="004F16B6"/>
    <w:rsid w:val="004F1E3F"/>
    <w:rsid w:val="004F3067"/>
    <w:rsid w:val="004F3BF9"/>
    <w:rsid w:val="004F3C8C"/>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6ABA"/>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24B0"/>
    <w:rsid w:val="00533245"/>
    <w:rsid w:val="00533B0A"/>
    <w:rsid w:val="00533E29"/>
    <w:rsid w:val="00533F7A"/>
    <w:rsid w:val="00534710"/>
    <w:rsid w:val="005351F4"/>
    <w:rsid w:val="005353F4"/>
    <w:rsid w:val="00537266"/>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07A"/>
    <w:rsid w:val="00550D42"/>
    <w:rsid w:val="00550F5D"/>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6948"/>
    <w:rsid w:val="00567991"/>
    <w:rsid w:val="00567ED2"/>
    <w:rsid w:val="00570465"/>
    <w:rsid w:val="0057164B"/>
    <w:rsid w:val="005721F5"/>
    <w:rsid w:val="00572938"/>
    <w:rsid w:val="005733C8"/>
    <w:rsid w:val="005736C3"/>
    <w:rsid w:val="005746B2"/>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436"/>
    <w:rsid w:val="00584A9E"/>
    <w:rsid w:val="00584E76"/>
    <w:rsid w:val="0058508F"/>
    <w:rsid w:val="00586639"/>
    <w:rsid w:val="00590377"/>
    <w:rsid w:val="00590D14"/>
    <w:rsid w:val="00590E7E"/>
    <w:rsid w:val="00591A27"/>
    <w:rsid w:val="0059262C"/>
    <w:rsid w:val="00592A32"/>
    <w:rsid w:val="00592FE6"/>
    <w:rsid w:val="0059359A"/>
    <w:rsid w:val="00593887"/>
    <w:rsid w:val="00593FBA"/>
    <w:rsid w:val="00595CA1"/>
    <w:rsid w:val="0059674A"/>
    <w:rsid w:val="00596EBA"/>
    <w:rsid w:val="00597421"/>
    <w:rsid w:val="005975C4"/>
    <w:rsid w:val="0059769A"/>
    <w:rsid w:val="00597F86"/>
    <w:rsid w:val="005A0483"/>
    <w:rsid w:val="005A1B33"/>
    <w:rsid w:val="005A2716"/>
    <w:rsid w:val="005A3222"/>
    <w:rsid w:val="005A6A84"/>
    <w:rsid w:val="005A720A"/>
    <w:rsid w:val="005A7730"/>
    <w:rsid w:val="005A7A47"/>
    <w:rsid w:val="005B0928"/>
    <w:rsid w:val="005B0B7C"/>
    <w:rsid w:val="005B0BC7"/>
    <w:rsid w:val="005B1972"/>
    <w:rsid w:val="005B21C7"/>
    <w:rsid w:val="005B24E3"/>
    <w:rsid w:val="005B2BB5"/>
    <w:rsid w:val="005B3116"/>
    <w:rsid w:val="005B35E0"/>
    <w:rsid w:val="005B4560"/>
    <w:rsid w:val="005B4678"/>
    <w:rsid w:val="005B55B2"/>
    <w:rsid w:val="005B5784"/>
    <w:rsid w:val="005B5CDA"/>
    <w:rsid w:val="005B6991"/>
    <w:rsid w:val="005C0A7A"/>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B4A"/>
    <w:rsid w:val="005C7F36"/>
    <w:rsid w:val="005D0561"/>
    <w:rsid w:val="005D07CD"/>
    <w:rsid w:val="005D1499"/>
    <w:rsid w:val="005D18C2"/>
    <w:rsid w:val="005D2822"/>
    <w:rsid w:val="005D2AD2"/>
    <w:rsid w:val="005D2F39"/>
    <w:rsid w:val="005D30F6"/>
    <w:rsid w:val="005D3512"/>
    <w:rsid w:val="005D3D43"/>
    <w:rsid w:val="005D46FA"/>
    <w:rsid w:val="005D53DF"/>
    <w:rsid w:val="005D5A0C"/>
    <w:rsid w:val="005D6F1C"/>
    <w:rsid w:val="005D7159"/>
    <w:rsid w:val="005D7488"/>
    <w:rsid w:val="005E0211"/>
    <w:rsid w:val="005E0A62"/>
    <w:rsid w:val="005E12A5"/>
    <w:rsid w:val="005E16D0"/>
    <w:rsid w:val="005E1DC1"/>
    <w:rsid w:val="005E2D3A"/>
    <w:rsid w:val="005E38A6"/>
    <w:rsid w:val="005E42A5"/>
    <w:rsid w:val="005E5082"/>
    <w:rsid w:val="005E646C"/>
    <w:rsid w:val="005E678C"/>
    <w:rsid w:val="005E6821"/>
    <w:rsid w:val="005E70CB"/>
    <w:rsid w:val="005E75AE"/>
    <w:rsid w:val="005F0786"/>
    <w:rsid w:val="005F3CB3"/>
    <w:rsid w:val="005F3F61"/>
    <w:rsid w:val="005F4A71"/>
    <w:rsid w:val="005F541B"/>
    <w:rsid w:val="005F574F"/>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5276"/>
    <w:rsid w:val="006064F5"/>
    <w:rsid w:val="00607084"/>
    <w:rsid w:val="00607D07"/>
    <w:rsid w:val="0061001C"/>
    <w:rsid w:val="0061083E"/>
    <w:rsid w:val="00610CCA"/>
    <w:rsid w:val="00611FDB"/>
    <w:rsid w:val="00612248"/>
    <w:rsid w:val="00613898"/>
    <w:rsid w:val="00614461"/>
    <w:rsid w:val="00614779"/>
    <w:rsid w:val="00614796"/>
    <w:rsid w:val="00614C0A"/>
    <w:rsid w:val="00616931"/>
    <w:rsid w:val="006170A3"/>
    <w:rsid w:val="0061739B"/>
    <w:rsid w:val="00617D4E"/>
    <w:rsid w:val="006208B9"/>
    <w:rsid w:val="00620C0F"/>
    <w:rsid w:val="006214F4"/>
    <w:rsid w:val="0062244E"/>
    <w:rsid w:val="00623054"/>
    <w:rsid w:val="00623592"/>
    <w:rsid w:val="00626DF5"/>
    <w:rsid w:val="006318F4"/>
    <w:rsid w:val="00634155"/>
    <w:rsid w:val="00634312"/>
    <w:rsid w:val="00634BE3"/>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2D0"/>
    <w:rsid w:val="00647D1B"/>
    <w:rsid w:val="0065063C"/>
    <w:rsid w:val="00650742"/>
    <w:rsid w:val="00651445"/>
    <w:rsid w:val="00651C4C"/>
    <w:rsid w:val="00651CD6"/>
    <w:rsid w:val="00651EA8"/>
    <w:rsid w:val="00652AA7"/>
    <w:rsid w:val="006533D3"/>
    <w:rsid w:val="00653564"/>
    <w:rsid w:val="006537EF"/>
    <w:rsid w:val="00654555"/>
    <w:rsid w:val="00654FEE"/>
    <w:rsid w:val="006550AB"/>
    <w:rsid w:val="00655987"/>
    <w:rsid w:val="00656233"/>
    <w:rsid w:val="0065662A"/>
    <w:rsid w:val="00656FD0"/>
    <w:rsid w:val="006570C3"/>
    <w:rsid w:val="006607B9"/>
    <w:rsid w:val="00660B0A"/>
    <w:rsid w:val="006612F9"/>
    <w:rsid w:val="00661752"/>
    <w:rsid w:val="00662046"/>
    <w:rsid w:val="00663B4D"/>
    <w:rsid w:val="00663EA3"/>
    <w:rsid w:val="00664E82"/>
    <w:rsid w:val="00667EA7"/>
    <w:rsid w:val="00670057"/>
    <w:rsid w:val="00670B72"/>
    <w:rsid w:val="00670E80"/>
    <w:rsid w:val="00671047"/>
    <w:rsid w:val="00671247"/>
    <w:rsid w:val="006713AF"/>
    <w:rsid w:val="00671664"/>
    <w:rsid w:val="006717B7"/>
    <w:rsid w:val="00671B83"/>
    <w:rsid w:val="00672806"/>
    <w:rsid w:val="00674129"/>
    <w:rsid w:val="00674537"/>
    <w:rsid w:val="0067472F"/>
    <w:rsid w:val="006754AA"/>
    <w:rsid w:val="00675C91"/>
    <w:rsid w:val="00676190"/>
    <w:rsid w:val="00677035"/>
    <w:rsid w:val="006776E5"/>
    <w:rsid w:val="00677CB4"/>
    <w:rsid w:val="006802B4"/>
    <w:rsid w:val="00681201"/>
    <w:rsid w:val="006816E3"/>
    <w:rsid w:val="0068280D"/>
    <w:rsid w:val="00682CFC"/>
    <w:rsid w:val="00683998"/>
    <w:rsid w:val="006852F6"/>
    <w:rsid w:val="006857CF"/>
    <w:rsid w:val="0068609A"/>
    <w:rsid w:val="006867C5"/>
    <w:rsid w:val="00686F5D"/>
    <w:rsid w:val="0069016A"/>
    <w:rsid w:val="00691B8E"/>
    <w:rsid w:val="00692CF5"/>
    <w:rsid w:val="00695242"/>
    <w:rsid w:val="006958FA"/>
    <w:rsid w:val="00695E80"/>
    <w:rsid w:val="00696111"/>
    <w:rsid w:val="006965AD"/>
    <w:rsid w:val="006965F9"/>
    <w:rsid w:val="006966A2"/>
    <w:rsid w:val="00696C9F"/>
    <w:rsid w:val="00696DDC"/>
    <w:rsid w:val="00697F5A"/>
    <w:rsid w:val="006A0281"/>
    <w:rsid w:val="006A0EF3"/>
    <w:rsid w:val="006A1A78"/>
    <w:rsid w:val="006A1B80"/>
    <w:rsid w:val="006A1EFB"/>
    <w:rsid w:val="006A21AC"/>
    <w:rsid w:val="006A2594"/>
    <w:rsid w:val="006A3D3D"/>
    <w:rsid w:val="006A3D66"/>
    <w:rsid w:val="006A4E2A"/>
    <w:rsid w:val="006A5E21"/>
    <w:rsid w:val="006A6C79"/>
    <w:rsid w:val="006A6F2B"/>
    <w:rsid w:val="006A760C"/>
    <w:rsid w:val="006A7728"/>
    <w:rsid w:val="006B0666"/>
    <w:rsid w:val="006B30D8"/>
    <w:rsid w:val="006B35EB"/>
    <w:rsid w:val="006B3BD3"/>
    <w:rsid w:val="006B449F"/>
    <w:rsid w:val="006B56C5"/>
    <w:rsid w:val="006B6B37"/>
    <w:rsid w:val="006B6F6C"/>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6534"/>
    <w:rsid w:val="006D1DFA"/>
    <w:rsid w:val="006D212F"/>
    <w:rsid w:val="006D2C16"/>
    <w:rsid w:val="006D3018"/>
    <w:rsid w:val="006D3815"/>
    <w:rsid w:val="006D3A62"/>
    <w:rsid w:val="006D3FC0"/>
    <w:rsid w:val="006D4AAC"/>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53C"/>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3D78"/>
    <w:rsid w:val="006F451B"/>
    <w:rsid w:val="006F46C4"/>
    <w:rsid w:val="006F575E"/>
    <w:rsid w:val="006F5801"/>
    <w:rsid w:val="006F5BE5"/>
    <w:rsid w:val="006F5F25"/>
    <w:rsid w:val="006F62EB"/>
    <w:rsid w:val="006F6985"/>
    <w:rsid w:val="006F7458"/>
    <w:rsid w:val="006F7713"/>
    <w:rsid w:val="006F779F"/>
    <w:rsid w:val="006F7A0C"/>
    <w:rsid w:val="006F7C82"/>
    <w:rsid w:val="006F7FB7"/>
    <w:rsid w:val="00700C41"/>
    <w:rsid w:val="00701339"/>
    <w:rsid w:val="00701A53"/>
    <w:rsid w:val="007022EC"/>
    <w:rsid w:val="00702507"/>
    <w:rsid w:val="007039FA"/>
    <w:rsid w:val="00704187"/>
    <w:rsid w:val="00704C0C"/>
    <w:rsid w:val="00704C49"/>
    <w:rsid w:val="007061F3"/>
    <w:rsid w:val="0070764D"/>
    <w:rsid w:val="00707AE5"/>
    <w:rsid w:val="00711315"/>
    <w:rsid w:val="0071343D"/>
    <w:rsid w:val="00713542"/>
    <w:rsid w:val="0071404C"/>
    <w:rsid w:val="007148D9"/>
    <w:rsid w:val="0071637E"/>
    <w:rsid w:val="00716430"/>
    <w:rsid w:val="0071760B"/>
    <w:rsid w:val="00717639"/>
    <w:rsid w:val="00717F8C"/>
    <w:rsid w:val="00720449"/>
    <w:rsid w:val="007205E5"/>
    <w:rsid w:val="00721229"/>
    <w:rsid w:val="00721561"/>
    <w:rsid w:val="007220A2"/>
    <w:rsid w:val="0072299D"/>
    <w:rsid w:val="0072383C"/>
    <w:rsid w:val="00726B71"/>
    <w:rsid w:val="007300A2"/>
    <w:rsid w:val="007304A8"/>
    <w:rsid w:val="007330F6"/>
    <w:rsid w:val="00733F64"/>
    <w:rsid w:val="007343D2"/>
    <w:rsid w:val="00734CEC"/>
    <w:rsid w:val="007354C9"/>
    <w:rsid w:val="00735A30"/>
    <w:rsid w:val="007362B8"/>
    <w:rsid w:val="007369E2"/>
    <w:rsid w:val="00736FA9"/>
    <w:rsid w:val="0073702F"/>
    <w:rsid w:val="0074149C"/>
    <w:rsid w:val="00743069"/>
    <w:rsid w:val="00743161"/>
    <w:rsid w:val="00743CDA"/>
    <w:rsid w:val="00744571"/>
    <w:rsid w:val="007455E1"/>
    <w:rsid w:val="0074636E"/>
    <w:rsid w:val="00746B24"/>
    <w:rsid w:val="00747B9A"/>
    <w:rsid w:val="00747C60"/>
    <w:rsid w:val="00750432"/>
    <w:rsid w:val="00751312"/>
    <w:rsid w:val="00751384"/>
    <w:rsid w:val="007527CF"/>
    <w:rsid w:val="007541E6"/>
    <w:rsid w:val="00755266"/>
    <w:rsid w:val="00755808"/>
    <w:rsid w:val="00755A85"/>
    <w:rsid w:val="00756ACA"/>
    <w:rsid w:val="00756F65"/>
    <w:rsid w:val="0075734A"/>
    <w:rsid w:val="007601FA"/>
    <w:rsid w:val="007606CB"/>
    <w:rsid w:val="00761EC0"/>
    <w:rsid w:val="0076301A"/>
    <w:rsid w:val="00763058"/>
    <w:rsid w:val="00763644"/>
    <w:rsid w:val="00764596"/>
    <w:rsid w:val="00764D89"/>
    <w:rsid w:val="007653A3"/>
    <w:rsid w:val="0076571E"/>
    <w:rsid w:val="00765BF4"/>
    <w:rsid w:val="00766985"/>
    <w:rsid w:val="00771EFF"/>
    <w:rsid w:val="0077212B"/>
    <w:rsid w:val="007724A4"/>
    <w:rsid w:val="007730A7"/>
    <w:rsid w:val="0077323B"/>
    <w:rsid w:val="007732B1"/>
    <w:rsid w:val="00775B04"/>
    <w:rsid w:val="00775D06"/>
    <w:rsid w:val="00776322"/>
    <w:rsid w:val="00776347"/>
    <w:rsid w:val="00776C16"/>
    <w:rsid w:val="00776EF1"/>
    <w:rsid w:val="00777347"/>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689"/>
    <w:rsid w:val="007A4B45"/>
    <w:rsid w:val="007A6751"/>
    <w:rsid w:val="007A6CD0"/>
    <w:rsid w:val="007B05DD"/>
    <w:rsid w:val="007B0D22"/>
    <w:rsid w:val="007B0FFE"/>
    <w:rsid w:val="007B1568"/>
    <w:rsid w:val="007B2BCF"/>
    <w:rsid w:val="007B2E71"/>
    <w:rsid w:val="007B3F06"/>
    <w:rsid w:val="007B447B"/>
    <w:rsid w:val="007B5AE2"/>
    <w:rsid w:val="007B6C07"/>
    <w:rsid w:val="007B7442"/>
    <w:rsid w:val="007B77CB"/>
    <w:rsid w:val="007C046B"/>
    <w:rsid w:val="007C0BD4"/>
    <w:rsid w:val="007C0DF6"/>
    <w:rsid w:val="007C1B1A"/>
    <w:rsid w:val="007C2227"/>
    <w:rsid w:val="007C25F0"/>
    <w:rsid w:val="007C3133"/>
    <w:rsid w:val="007C365A"/>
    <w:rsid w:val="007C3D3F"/>
    <w:rsid w:val="007C3EAF"/>
    <w:rsid w:val="007C3F5C"/>
    <w:rsid w:val="007C7740"/>
    <w:rsid w:val="007C7884"/>
    <w:rsid w:val="007C7941"/>
    <w:rsid w:val="007D011B"/>
    <w:rsid w:val="007D0644"/>
    <w:rsid w:val="007D2829"/>
    <w:rsid w:val="007D3B6D"/>
    <w:rsid w:val="007D409C"/>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3DF9"/>
    <w:rsid w:val="007F53DC"/>
    <w:rsid w:val="007F68AF"/>
    <w:rsid w:val="007F6C48"/>
    <w:rsid w:val="007F6D56"/>
    <w:rsid w:val="007F7809"/>
    <w:rsid w:val="00800AE8"/>
    <w:rsid w:val="00800B3F"/>
    <w:rsid w:val="00800E5E"/>
    <w:rsid w:val="00801511"/>
    <w:rsid w:val="0080221F"/>
    <w:rsid w:val="00803187"/>
    <w:rsid w:val="00803630"/>
    <w:rsid w:val="00804549"/>
    <w:rsid w:val="00804A65"/>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174AB"/>
    <w:rsid w:val="0082076B"/>
    <w:rsid w:val="0082090B"/>
    <w:rsid w:val="00820AD4"/>
    <w:rsid w:val="00820DBD"/>
    <w:rsid w:val="00820F30"/>
    <w:rsid w:val="00821594"/>
    <w:rsid w:val="0082177C"/>
    <w:rsid w:val="00821E42"/>
    <w:rsid w:val="00822159"/>
    <w:rsid w:val="0082264B"/>
    <w:rsid w:val="00822DD3"/>
    <w:rsid w:val="008230AB"/>
    <w:rsid w:val="0082372B"/>
    <w:rsid w:val="00824753"/>
    <w:rsid w:val="00826756"/>
    <w:rsid w:val="00826DF2"/>
    <w:rsid w:val="008270D1"/>
    <w:rsid w:val="0082771E"/>
    <w:rsid w:val="008278BF"/>
    <w:rsid w:val="00827C5F"/>
    <w:rsid w:val="00830DAF"/>
    <w:rsid w:val="0083153B"/>
    <w:rsid w:val="00834504"/>
    <w:rsid w:val="00834837"/>
    <w:rsid w:val="00834E38"/>
    <w:rsid w:val="008350D3"/>
    <w:rsid w:val="0083587B"/>
    <w:rsid w:val="00837BA9"/>
    <w:rsid w:val="00840627"/>
    <w:rsid w:val="00840D18"/>
    <w:rsid w:val="00840EA9"/>
    <w:rsid w:val="00841021"/>
    <w:rsid w:val="00841855"/>
    <w:rsid w:val="00843222"/>
    <w:rsid w:val="00843371"/>
    <w:rsid w:val="0084340A"/>
    <w:rsid w:val="00843AF5"/>
    <w:rsid w:val="0084488D"/>
    <w:rsid w:val="00845204"/>
    <w:rsid w:val="00846501"/>
    <w:rsid w:val="00847C14"/>
    <w:rsid w:val="0085005E"/>
    <w:rsid w:val="00850B87"/>
    <w:rsid w:val="008510DE"/>
    <w:rsid w:val="00851329"/>
    <w:rsid w:val="0085136F"/>
    <w:rsid w:val="00851A2D"/>
    <w:rsid w:val="008524A8"/>
    <w:rsid w:val="0085268C"/>
    <w:rsid w:val="008528A7"/>
    <w:rsid w:val="00852A49"/>
    <w:rsid w:val="00852DCC"/>
    <w:rsid w:val="00853589"/>
    <w:rsid w:val="00853D6F"/>
    <w:rsid w:val="0085470E"/>
    <w:rsid w:val="00854D43"/>
    <w:rsid w:val="00855360"/>
    <w:rsid w:val="0085538B"/>
    <w:rsid w:val="00856578"/>
    <w:rsid w:val="00856DA6"/>
    <w:rsid w:val="00856DD4"/>
    <w:rsid w:val="00856DDC"/>
    <w:rsid w:val="00856F75"/>
    <w:rsid w:val="00857031"/>
    <w:rsid w:val="0086034B"/>
    <w:rsid w:val="00860563"/>
    <w:rsid w:val="0086067A"/>
    <w:rsid w:val="008619A4"/>
    <w:rsid w:val="008622CF"/>
    <w:rsid w:val="00862B00"/>
    <w:rsid w:val="008630C6"/>
    <w:rsid w:val="00863321"/>
    <w:rsid w:val="0086338F"/>
    <w:rsid w:val="00864159"/>
    <w:rsid w:val="00864CCF"/>
    <w:rsid w:val="0086528B"/>
    <w:rsid w:val="00866144"/>
    <w:rsid w:val="0087102F"/>
    <w:rsid w:val="008711EB"/>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42A8"/>
    <w:rsid w:val="00885586"/>
    <w:rsid w:val="00885C64"/>
    <w:rsid w:val="008862B3"/>
    <w:rsid w:val="00887372"/>
    <w:rsid w:val="008908A8"/>
    <w:rsid w:val="00891C78"/>
    <w:rsid w:val="0089285F"/>
    <w:rsid w:val="008932B5"/>
    <w:rsid w:val="008941D0"/>
    <w:rsid w:val="00894D5D"/>
    <w:rsid w:val="008969AA"/>
    <w:rsid w:val="00897C0F"/>
    <w:rsid w:val="00897D29"/>
    <w:rsid w:val="00897DA7"/>
    <w:rsid w:val="008A215E"/>
    <w:rsid w:val="008A297C"/>
    <w:rsid w:val="008A3965"/>
    <w:rsid w:val="008A3F44"/>
    <w:rsid w:val="008A437A"/>
    <w:rsid w:val="008A4A55"/>
    <w:rsid w:val="008A4F36"/>
    <w:rsid w:val="008A5284"/>
    <w:rsid w:val="008A6134"/>
    <w:rsid w:val="008A66B6"/>
    <w:rsid w:val="008A6BDB"/>
    <w:rsid w:val="008A6D03"/>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0E0D"/>
    <w:rsid w:val="008C1404"/>
    <w:rsid w:val="008C142B"/>
    <w:rsid w:val="008C29F8"/>
    <w:rsid w:val="008C2BAC"/>
    <w:rsid w:val="008C2DB0"/>
    <w:rsid w:val="008C525A"/>
    <w:rsid w:val="008C5464"/>
    <w:rsid w:val="008C6338"/>
    <w:rsid w:val="008C63EE"/>
    <w:rsid w:val="008C7773"/>
    <w:rsid w:val="008C79EE"/>
    <w:rsid w:val="008C7EC6"/>
    <w:rsid w:val="008D0396"/>
    <w:rsid w:val="008D043E"/>
    <w:rsid w:val="008D3E7B"/>
    <w:rsid w:val="008D3F24"/>
    <w:rsid w:val="008D48ED"/>
    <w:rsid w:val="008D58F0"/>
    <w:rsid w:val="008D62AE"/>
    <w:rsid w:val="008D7235"/>
    <w:rsid w:val="008E05E3"/>
    <w:rsid w:val="008E1EEE"/>
    <w:rsid w:val="008E1F7C"/>
    <w:rsid w:val="008E29DA"/>
    <w:rsid w:val="008E3BB8"/>
    <w:rsid w:val="008E3D6D"/>
    <w:rsid w:val="008E4CFD"/>
    <w:rsid w:val="008E5AAB"/>
    <w:rsid w:val="008E6C67"/>
    <w:rsid w:val="008E74C9"/>
    <w:rsid w:val="008E7B33"/>
    <w:rsid w:val="008F1C6A"/>
    <w:rsid w:val="008F201C"/>
    <w:rsid w:val="008F499E"/>
    <w:rsid w:val="008F5C91"/>
    <w:rsid w:val="008F6489"/>
    <w:rsid w:val="008F6D16"/>
    <w:rsid w:val="008F6DF7"/>
    <w:rsid w:val="00900DB5"/>
    <w:rsid w:val="00901623"/>
    <w:rsid w:val="00901685"/>
    <w:rsid w:val="00902D9C"/>
    <w:rsid w:val="00902DDD"/>
    <w:rsid w:val="00903ED0"/>
    <w:rsid w:val="00904BC3"/>
    <w:rsid w:val="009072A6"/>
    <w:rsid w:val="00907805"/>
    <w:rsid w:val="00907D32"/>
    <w:rsid w:val="00907F25"/>
    <w:rsid w:val="009100AB"/>
    <w:rsid w:val="00910D0E"/>
    <w:rsid w:val="009117E6"/>
    <w:rsid w:val="00911EFF"/>
    <w:rsid w:val="00912D09"/>
    <w:rsid w:val="00912F34"/>
    <w:rsid w:val="00913036"/>
    <w:rsid w:val="0091318F"/>
    <w:rsid w:val="00913FC0"/>
    <w:rsid w:val="00914344"/>
    <w:rsid w:val="009143C1"/>
    <w:rsid w:val="00914C33"/>
    <w:rsid w:val="00914D32"/>
    <w:rsid w:val="00914D6E"/>
    <w:rsid w:val="00915B89"/>
    <w:rsid w:val="00915DE3"/>
    <w:rsid w:val="0091686F"/>
    <w:rsid w:val="00916F92"/>
    <w:rsid w:val="00916FAE"/>
    <w:rsid w:val="00916FEE"/>
    <w:rsid w:val="00917AC3"/>
    <w:rsid w:val="0092077F"/>
    <w:rsid w:val="00920AEF"/>
    <w:rsid w:val="0092205A"/>
    <w:rsid w:val="00923C18"/>
    <w:rsid w:val="0092568E"/>
    <w:rsid w:val="009257CF"/>
    <w:rsid w:val="0092678E"/>
    <w:rsid w:val="00927F98"/>
    <w:rsid w:val="00930143"/>
    <w:rsid w:val="00930361"/>
    <w:rsid w:val="00930532"/>
    <w:rsid w:val="00931C21"/>
    <w:rsid w:val="00931D16"/>
    <w:rsid w:val="00932232"/>
    <w:rsid w:val="00933897"/>
    <w:rsid w:val="0093408C"/>
    <w:rsid w:val="00934C7C"/>
    <w:rsid w:val="00934CD0"/>
    <w:rsid w:val="0093565E"/>
    <w:rsid w:val="00935A2A"/>
    <w:rsid w:val="00936C7B"/>
    <w:rsid w:val="00936C88"/>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449B"/>
    <w:rsid w:val="00955043"/>
    <w:rsid w:val="00955C72"/>
    <w:rsid w:val="0095678F"/>
    <w:rsid w:val="00956E16"/>
    <w:rsid w:val="00957863"/>
    <w:rsid w:val="00957D1C"/>
    <w:rsid w:val="009602C2"/>
    <w:rsid w:val="00960637"/>
    <w:rsid w:val="00961EA3"/>
    <w:rsid w:val="00962D2F"/>
    <w:rsid w:val="00963057"/>
    <w:rsid w:val="00963D6F"/>
    <w:rsid w:val="009647E7"/>
    <w:rsid w:val="0096650E"/>
    <w:rsid w:val="009679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A7AA3"/>
    <w:rsid w:val="009B0525"/>
    <w:rsid w:val="009B303A"/>
    <w:rsid w:val="009B31B5"/>
    <w:rsid w:val="009B4F37"/>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C6960"/>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1EF2"/>
    <w:rsid w:val="009E3F3E"/>
    <w:rsid w:val="009E4692"/>
    <w:rsid w:val="009E614B"/>
    <w:rsid w:val="009E6B4A"/>
    <w:rsid w:val="009E6B5D"/>
    <w:rsid w:val="009E72CB"/>
    <w:rsid w:val="009E7795"/>
    <w:rsid w:val="009E7E19"/>
    <w:rsid w:val="009F1C80"/>
    <w:rsid w:val="009F202D"/>
    <w:rsid w:val="009F2DA1"/>
    <w:rsid w:val="009F3B33"/>
    <w:rsid w:val="009F42EB"/>
    <w:rsid w:val="009F46A3"/>
    <w:rsid w:val="009F5A2C"/>
    <w:rsid w:val="009F6444"/>
    <w:rsid w:val="009F7A07"/>
    <w:rsid w:val="00A0007C"/>
    <w:rsid w:val="00A00A9E"/>
    <w:rsid w:val="00A00EDC"/>
    <w:rsid w:val="00A01F22"/>
    <w:rsid w:val="00A01F5A"/>
    <w:rsid w:val="00A021AA"/>
    <w:rsid w:val="00A02920"/>
    <w:rsid w:val="00A0417D"/>
    <w:rsid w:val="00A041EB"/>
    <w:rsid w:val="00A0500F"/>
    <w:rsid w:val="00A052C1"/>
    <w:rsid w:val="00A06821"/>
    <w:rsid w:val="00A06FC1"/>
    <w:rsid w:val="00A10AEF"/>
    <w:rsid w:val="00A11FFC"/>
    <w:rsid w:val="00A12553"/>
    <w:rsid w:val="00A12B7E"/>
    <w:rsid w:val="00A14622"/>
    <w:rsid w:val="00A14A25"/>
    <w:rsid w:val="00A14F99"/>
    <w:rsid w:val="00A1580F"/>
    <w:rsid w:val="00A15832"/>
    <w:rsid w:val="00A16363"/>
    <w:rsid w:val="00A1666A"/>
    <w:rsid w:val="00A1717E"/>
    <w:rsid w:val="00A20900"/>
    <w:rsid w:val="00A20FED"/>
    <w:rsid w:val="00A21502"/>
    <w:rsid w:val="00A21923"/>
    <w:rsid w:val="00A22587"/>
    <w:rsid w:val="00A22CC6"/>
    <w:rsid w:val="00A23066"/>
    <w:rsid w:val="00A231C2"/>
    <w:rsid w:val="00A23325"/>
    <w:rsid w:val="00A23507"/>
    <w:rsid w:val="00A23E42"/>
    <w:rsid w:val="00A24265"/>
    <w:rsid w:val="00A247B2"/>
    <w:rsid w:val="00A24DA5"/>
    <w:rsid w:val="00A24DEE"/>
    <w:rsid w:val="00A2580A"/>
    <w:rsid w:val="00A25B0B"/>
    <w:rsid w:val="00A2647C"/>
    <w:rsid w:val="00A269F4"/>
    <w:rsid w:val="00A307B8"/>
    <w:rsid w:val="00A312E1"/>
    <w:rsid w:val="00A3148C"/>
    <w:rsid w:val="00A31952"/>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720"/>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104"/>
    <w:rsid w:val="00A542AB"/>
    <w:rsid w:val="00A55089"/>
    <w:rsid w:val="00A55498"/>
    <w:rsid w:val="00A5615B"/>
    <w:rsid w:val="00A56512"/>
    <w:rsid w:val="00A56B00"/>
    <w:rsid w:val="00A57258"/>
    <w:rsid w:val="00A57402"/>
    <w:rsid w:val="00A57779"/>
    <w:rsid w:val="00A60BBD"/>
    <w:rsid w:val="00A60EC1"/>
    <w:rsid w:val="00A6358D"/>
    <w:rsid w:val="00A655A5"/>
    <w:rsid w:val="00A65DFC"/>
    <w:rsid w:val="00A66E35"/>
    <w:rsid w:val="00A66E66"/>
    <w:rsid w:val="00A6717C"/>
    <w:rsid w:val="00A67434"/>
    <w:rsid w:val="00A70107"/>
    <w:rsid w:val="00A72353"/>
    <w:rsid w:val="00A73F42"/>
    <w:rsid w:val="00A761FB"/>
    <w:rsid w:val="00A76397"/>
    <w:rsid w:val="00A76C55"/>
    <w:rsid w:val="00A76D2E"/>
    <w:rsid w:val="00A8019D"/>
    <w:rsid w:val="00A80201"/>
    <w:rsid w:val="00A80628"/>
    <w:rsid w:val="00A808A9"/>
    <w:rsid w:val="00A80A00"/>
    <w:rsid w:val="00A81FB3"/>
    <w:rsid w:val="00A826AD"/>
    <w:rsid w:val="00A8288C"/>
    <w:rsid w:val="00A840F7"/>
    <w:rsid w:val="00A84575"/>
    <w:rsid w:val="00A8473C"/>
    <w:rsid w:val="00A855A2"/>
    <w:rsid w:val="00A85EA4"/>
    <w:rsid w:val="00A87CDC"/>
    <w:rsid w:val="00A9087A"/>
    <w:rsid w:val="00A916AA"/>
    <w:rsid w:val="00A91DDE"/>
    <w:rsid w:val="00A92B4F"/>
    <w:rsid w:val="00A92EA2"/>
    <w:rsid w:val="00A9349F"/>
    <w:rsid w:val="00A93A69"/>
    <w:rsid w:val="00A94656"/>
    <w:rsid w:val="00A95D5C"/>
    <w:rsid w:val="00A97049"/>
    <w:rsid w:val="00A9744B"/>
    <w:rsid w:val="00AA031D"/>
    <w:rsid w:val="00AA0F93"/>
    <w:rsid w:val="00AA2737"/>
    <w:rsid w:val="00AA2959"/>
    <w:rsid w:val="00AA2F65"/>
    <w:rsid w:val="00AA36B0"/>
    <w:rsid w:val="00AA3FEA"/>
    <w:rsid w:val="00AA4279"/>
    <w:rsid w:val="00AA4DDB"/>
    <w:rsid w:val="00AA512E"/>
    <w:rsid w:val="00AA5174"/>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5325"/>
    <w:rsid w:val="00AC6917"/>
    <w:rsid w:val="00AC741F"/>
    <w:rsid w:val="00AD07E6"/>
    <w:rsid w:val="00AD0ABB"/>
    <w:rsid w:val="00AD25CC"/>
    <w:rsid w:val="00AD2787"/>
    <w:rsid w:val="00AD3082"/>
    <w:rsid w:val="00AD45F0"/>
    <w:rsid w:val="00AD4AC4"/>
    <w:rsid w:val="00AD60EE"/>
    <w:rsid w:val="00AE07F2"/>
    <w:rsid w:val="00AE22CA"/>
    <w:rsid w:val="00AE38E8"/>
    <w:rsid w:val="00AE3A57"/>
    <w:rsid w:val="00AE45CF"/>
    <w:rsid w:val="00AE493B"/>
    <w:rsid w:val="00AE4B0C"/>
    <w:rsid w:val="00AE7DBB"/>
    <w:rsid w:val="00AF005C"/>
    <w:rsid w:val="00AF144E"/>
    <w:rsid w:val="00AF2242"/>
    <w:rsid w:val="00AF33E3"/>
    <w:rsid w:val="00AF4B98"/>
    <w:rsid w:val="00AF5DD9"/>
    <w:rsid w:val="00B00877"/>
    <w:rsid w:val="00B00CEC"/>
    <w:rsid w:val="00B03382"/>
    <w:rsid w:val="00B03BA9"/>
    <w:rsid w:val="00B0411A"/>
    <w:rsid w:val="00B04269"/>
    <w:rsid w:val="00B043B6"/>
    <w:rsid w:val="00B04ADB"/>
    <w:rsid w:val="00B0587C"/>
    <w:rsid w:val="00B07256"/>
    <w:rsid w:val="00B072A0"/>
    <w:rsid w:val="00B078AC"/>
    <w:rsid w:val="00B07CDB"/>
    <w:rsid w:val="00B1057B"/>
    <w:rsid w:val="00B10C59"/>
    <w:rsid w:val="00B11012"/>
    <w:rsid w:val="00B11FDF"/>
    <w:rsid w:val="00B12182"/>
    <w:rsid w:val="00B13528"/>
    <w:rsid w:val="00B141A4"/>
    <w:rsid w:val="00B14896"/>
    <w:rsid w:val="00B157B7"/>
    <w:rsid w:val="00B16275"/>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0464"/>
    <w:rsid w:val="00B30D8B"/>
    <w:rsid w:val="00B3100A"/>
    <w:rsid w:val="00B317A1"/>
    <w:rsid w:val="00B321A9"/>
    <w:rsid w:val="00B33E8C"/>
    <w:rsid w:val="00B352D2"/>
    <w:rsid w:val="00B355E4"/>
    <w:rsid w:val="00B35E6C"/>
    <w:rsid w:val="00B36772"/>
    <w:rsid w:val="00B369F1"/>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3C72"/>
    <w:rsid w:val="00B73F78"/>
    <w:rsid w:val="00B745C1"/>
    <w:rsid w:val="00B75A6C"/>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CAF"/>
    <w:rsid w:val="00B86F58"/>
    <w:rsid w:val="00B906D5"/>
    <w:rsid w:val="00B91E4D"/>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513A"/>
    <w:rsid w:val="00BA5E63"/>
    <w:rsid w:val="00BA6293"/>
    <w:rsid w:val="00BA6D99"/>
    <w:rsid w:val="00BA6ED7"/>
    <w:rsid w:val="00BA6F8D"/>
    <w:rsid w:val="00BB186C"/>
    <w:rsid w:val="00BB1E43"/>
    <w:rsid w:val="00BB2374"/>
    <w:rsid w:val="00BB2D33"/>
    <w:rsid w:val="00BB358F"/>
    <w:rsid w:val="00BB3890"/>
    <w:rsid w:val="00BB3C37"/>
    <w:rsid w:val="00BB3FA9"/>
    <w:rsid w:val="00BB67E7"/>
    <w:rsid w:val="00BB73AF"/>
    <w:rsid w:val="00BB7D2D"/>
    <w:rsid w:val="00BC0765"/>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2AF"/>
    <w:rsid w:val="00BD6C09"/>
    <w:rsid w:val="00BE091E"/>
    <w:rsid w:val="00BE0CD1"/>
    <w:rsid w:val="00BE1F52"/>
    <w:rsid w:val="00BE27B3"/>
    <w:rsid w:val="00BE27C1"/>
    <w:rsid w:val="00BE27D8"/>
    <w:rsid w:val="00BE2997"/>
    <w:rsid w:val="00BE33BA"/>
    <w:rsid w:val="00BE4076"/>
    <w:rsid w:val="00BE4412"/>
    <w:rsid w:val="00BE6F4D"/>
    <w:rsid w:val="00BE744E"/>
    <w:rsid w:val="00BE7C2B"/>
    <w:rsid w:val="00BF0126"/>
    <w:rsid w:val="00BF0D4C"/>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36C"/>
    <w:rsid w:val="00C01C0C"/>
    <w:rsid w:val="00C021F6"/>
    <w:rsid w:val="00C04159"/>
    <w:rsid w:val="00C04423"/>
    <w:rsid w:val="00C04787"/>
    <w:rsid w:val="00C04DAB"/>
    <w:rsid w:val="00C05185"/>
    <w:rsid w:val="00C05AB6"/>
    <w:rsid w:val="00C06A5A"/>
    <w:rsid w:val="00C071FF"/>
    <w:rsid w:val="00C07DE0"/>
    <w:rsid w:val="00C108DF"/>
    <w:rsid w:val="00C117F4"/>
    <w:rsid w:val="00C11BC4"/>
    <w:rsid w:val="00C11FA1"/>
    <w:rsid w:val="00C12219"/>
    <w:rsid w:val="00C17FAB"/>
    <w:rsid w:val="00C20D30"/>
    <w:rsid w:val="00C21794"/>
    <w:rsid w:val="00C22271"/>
    <w:rsid w:val="00C22D34"/>
    <w:rsid w:val="00C22FD9"/>
    <w:rsid w:val="00C2309D"/>
    <w:rsid w:val="00C23B71"/>
    <w:rsid w:val="00C24EA4"/>
    <w:rsid w:val="00C24EC9"/>
    <w:rsid w:val="00C250D0"/>
    <w:rsid w:val="00C25529"/>
    <w:rsid w:val="00C3143B"/>
    <w:rsid w:val="00C3278C"/>
    <w:rsid w:val="00C33508"/>
    <w:rsid w:val="00C33D94"/>
    <w:rsid w:val="00C34828"/>
    <w:rsid w:val="00C36BC7"/>
    <w:rsid w:val="00C36D0E"/>
    <w:rsid w:val="00C371BC"/>
    <w:rsid w:val="00C37BFE"/>
    <w:rsid w:val="00C37C8C"/>
    <w:rsid w:val="00C37F92"/>
    <w:rsid w:val="00C4116F"/>
    <w:rsid w:val="00C41CA2"/>
    <w:rsid w:val="00C429DD"/>
    <w:rsid w:val="00C43BF7"/>
    <w:rsid w:val="00C44582"/>
    <w:rsid w:val="00C44799"/>
    <w:rsid w:val="00C4592F"/>
    <w:rsid w:val="00C45A06"/>
    <w:rsid w:val="00C463B8"/>
    <w:rsid w:val="00C47107"/>
    <w:rsid w:val="00C4728C"/>
    <w:rsid w:val="00C47C16"/>
    <w:rsid w:val="00C50E7F"/>
    <w:rsid w:val="00C512D2"/>
    <w:rsid w:val="00C51429"/>
    <w:rsid w:val="00C53F7C"/>
    <w:rsid w:val="00C55905"/>
    <w:rsid w:val="00C566C3"/>
    <w:rsid w:val="00C56F6C"/>
    <w:rsid w:val="00C57314"/>
    <w:rsid w:val="00C57A18"/>
    <w:rsid w:val="00C608C8"/>
    <w:rsid w:val="00C6122B"/>
    <w:rsid w:val="00C63238"/>
    <w:rsid w:val="00C6349A"/>
    <w:rsid w:val="00C635BF"/>
    <w:rsid w:val="00C63E58"/>
    <w:rsid w:val="00C640DC"/>
    <w:rsid w:val="00C646F9"/>
    <w:rsid w:val="00C65176"/>
    <w:rsid w:val="00C65495"/>
    <w:rsid w:val="00C6549C"/>
    <w:rsid w:val="00C66870"/>
    <w:rsid w:val="00C66FB2"/>
    <w:rsid w:val="00C67BA0"/>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984"/>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845"/>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5DE4"/>
    <w:rsid w:val="00CC6341"/>
    <w:rsid w:val="00CC69D1"/>
    <w:rsid w:val="00CC7686"/>
    <w:rsid w:val="00CD0946"/>
    <w:rsid w:val="00CD0DDD"/>
    <w:rsid w:val="00CD1CDC"/>
    <w:rsid w:val="00CD2CC9"/>
    <w:rsid w:val="00CD3B02"/>
    <w:rsid w:val="00CD3D96"/>
    <w:rsid w:val="00CD3F10"/>
    <w:rsid w:val="00CD4F77"/>
    <w:rsid w:val="00CD540C"/>
    <w:rsid w:val="00CD5705"/>
    <w:rsid w:val="00CD628C"/>
    <w:rsid w:val="00CD6EB7"/>
    <w:rsid w:val="00CD7438"/>
    <w:rsid w:val="00CE01BD"/>
    <w:rsid w:val="00CE04B4"/>
    <w:rsid w:val="00CE071C"/>
    <w:rsid w:val="00CE1E9B"/>
    <w:rsid w:val="00CE26B4"/>
    <w:rsid w:val="00CE26CD"/>
    <w:rsid w:val="00CE2AAA"/>
    <w:rsid w:val="00CE43C6"/>
    <w:rsid w:val="00CE4F10"/>
    <w:rsid w:val="00CE5F0D"/>
    <w:rsid w:val="00CE612F"/>
    <w:rsid w:val="00CE6AED"/>
    <w:rsid w:val="00CE6E5B"/>
    <w:rsid w:val="00CE70A8"/>
    <w:rsid w:val="00CE7E91"/>
    <w:rsid w:val="00CF02F4"/>
    <w:rsid w:val="00CF0DA8"/>
    <w:rsid w:val="00CF121B"/>
    <w:rsid w:val="00CF1B4A"/>
    <w:rsid w:val="00CF205D"/>
    <w:rsid w:val="00CF2365"/>
    <w:rsid w:val="00CF3A92"/>
    <w:rsid w:val="00CF3D50"/>
    <w:rsid w:val="00CF66FB"/>
    <w:rsid w:val="00CF72AE"/>
    <w:rsid w:val="00CF7D4D"/>
    <w:rsid w:val="00D00087"/>
    <w:rsid w:val="00D01D28"/>
    <w:rsid w:val="00D01E63"/>
    <w:rsid w:val="00D02167"/>
    <w:rsid w:val="00D026FE"/>
    <w:rsid w:val="00D0282A"/>
    <w:rsid w:val="00D04FF2"/>
    <w:rsid w:val="00D06113"/>
    <w:rsid w:val="00D06665"/>
    <w:rsid w:val="00D073BE"/>
    <w:rsid w:val="00D10E85"/>
    <w:rsid w:val="00D12003"/>
    <w:rsid w:val="00D122EA"/>
    <w:rsid w:val="00D12CE8"/>
    <w:rsid w:val="00D13354"/>
    <w:rsid w:val="00D1430C"/>
    <w:rsid w:val="00D154C4"/>
    <w:rsid w:val="00D1576C"/>
    <w:rsid w:val="00D174F9"/>
    <w:rsid w:val="00D17F46"/>
    <w:rsid w:val="00D2068C"/>
    <w:rsid w:val="00D20EDD"/>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36DD7"/>
    <w:rsid w:val="00D37547"/>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4D82"/>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1C9"/>
    <w:rsid w:val="00D673EB"/>
    <w:rsid w:val="00D6770D"/>
    <w:rsid w:val="00D70847"/>
    <w:rsid w:val="00D71136"/>
    <w:rsid w:val="00D71778"/>
    <w:rsid w:val="00D719E9"/>
    <w:rsid w:val="00D71B36"/>
    <w:rsid w:val="00D7267F"/>
    <w:rsid w:val="00D72AF9"/>
    <w:rsid w:val="00D73591"/>
    <w:rsid w:val="00D73BCC"/>
    <w:rsid w:val="00D7525D"/>
    <w:rsid w:val="00D76533"/>
    <w:rsid w:val="00D76915"/>
    <w:rsid w:val="00D77B17"/>
    <w:rsid w:val="00D77BCD"/>
    <w:rsid w:val="00D81942"/>
    <w:rsid w:val="00D83471"/>
    <w:rsid w:val="00D836EC"/>
    <w:rsid w:val="00D8409D"/>
    <w:rsid w:val="00D84CD8"/>
    <w:rsid w:val="00D87D0B"/>
    <w:rsid w:val="00D87D5C"/>
    <w:rsid w:val="00D87EBD"/>
    <w:rsid w:val="00D90A48"/>
    <w:rsid w:val="00D914E6"/>
    <w:rsid w:val="00D91CAC"/>
    <w:rsid w:val="00D91CC4"/>
    <w:rsid w:val="00D93423"/>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0EC"/>
    <w:rsid w:val="00DB08F4"/>
    <w:rsid w:val="00DB0D91"/>
    <w:rsid w:val="00DB1868"/>
    <w:rsid w:val="00DB18CA"/>
    <w:rsid w:val="00DB35A2"/>
    <w:rsid w:val="00DB4678"/>
    <w:rsid w:val="00DB53E7"/>
    <w:rsid w:val="00DB560E"/>
    <w:rsid w:val="00DB5A8E"/>
    <w:rsid w:val="00DB6203"/>
    <w:rsid w:val="00DB6668"/>
    <w:rsid w:val="00DB6B18"/>
    <w:rsid w:val="00DB6B4F"/>
    <w:rsid w:val="00DB7C73"/>
    <w:rsid w:val="00DC1309"/>
    <w:rsid w:val="00DC222B"/>
    <w:rsid w:val="00DC2923"/>
    <w:rsid w:val="00DC3DBA"/>
    <w:rsid w:val="00DC5E8E"/>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5B3"/>
    <w:rsid w:val="00DE3893"/>
    <w:rsid w:val="00DE5A29"/>
    <w:rsid w:val="00DE62A5"/>
    <w:rsid w:val="00DE6F56"/>
    <w:rsid w:val="00DF0568"/>
    <w:rsid w:val="00DF0E02"/>
    <w:rsid w:val="00DF10FE"/>
    <w:rsid w:val="00DF1DB0"/>
    <w:rsid w:val="00DF3D5D"/>
    <w:rsid w:val="00DF3F01"/>
    <w:rsid w:val="00DF4C5B"/>
    <w:rsid w:val="00DF532D"/>
    <w:rsid w:val="00DF5BC2"/>
    <w:rsid w:val="00DF666C"/>
    <w:rsid w:val="00DF66C1"/>
    <w:rsid w:val="00DF6DCC"/>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272"/>
    <w:rsid w:val="00E167DC"/>
    <w:rsid w:val="00E16DD4"/>
    <w:rsid w:val="00E175AE"/>
    <w:rsid w:val="00E1792B"/>
    <w:rsid w:val="00E20634"/>
    <w:rsid w:val="00E20DFD"/>
    <w:rsid w:val="00E218B7"/>
    <w:rsid w:val="00E21D4E"/>
    <w:rsid w:val="00E22F8C"/>
    <w:rsid w:val="00E23083"/>
    <w:rsid w:val="00E254C7"/>
    <w:rsid w:val="00E26DBF"/>
    <w:rsid w:val="00E31FEE"/>
    <w:rsid w:val="00E3295D"/>
    <w:rsid w:val="00E32D60"/>
    <w:rsid w:val="00E33551"/>
    <w:rsid w:val="00E3468A"/>
    <w:rsid w:val="00E35516"/>
    <w:rsid w:val="00E35A2E"/>
    <w:rsid w:val="00E35D3A"/>
    <w:rsid w:val="00E373E4"/>
    <w:rsid w:val="00E403EE"/>
    <w:rsid w:val="00E413D2"/>
    <w:rsid w:val="00E43742"/>
    <w:rsid w:val="00E43D2F"/>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7C7"/>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5DFF"/>
    <w:rsid w:val="00E861F3"/>
    <w:rsid w:val="00E86F86"/>
    <w:rsid w:val="00E8701E"/>
    <w:rsid w:val="00E87279"/>
    <w:rsid w:val="00E90B7C"/>
    <w:rsid w:val="00E9127F"/>
    <w:rsid w:val="00E920F9"/>
    <w:rsid w:val="00E92BDC"/>
    <w:rsid w:val="00E92C20"/>
    <w:rsid w:val="00E930FA"/>
    <w:rsid w:val="00E94746"/>
    <w:rsid w:val="00E94B09"/>
    <w:rsid w:val="00EA0497"/>
    <w:rsid w:val="00EA085B"/>
    <w:rsid w:val="00EA0ED7"/>
    <w:rsid w:val="00EA127D"/>
    <w:rsid w:val="00EA18F2"/>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7533"/>
    <w:rsid w:val="00EB7815"/>
    <w:rsid w:val="00EB79E1"/>
    <w:rsid w:val="00EC15F6"/>
    <w:rsid w:val="00EC2D9F"/>
    <w:rsid w:val="00EC531A"/>
    <w:rsid w:val="00EC6F2E"/>
    <w:rsid w:val="00EC790B"/>
    <w:rsid w:val="00EC7CBC"/>
    <w:rsid w:val="00ED00D1"/>
    <w:rsid w:val="00ED0E6A"/>
    <w:rsid w:val="00ED1B1E"/>
    <w:rsid w:val="00ED1F42"/>
    <w:rsid w:val="00ED45DA"/>
    <w:rsid w:val="00ED4D92"/>
    <w:rsid w:val="00ED5959"/>
    <w:rsid w:val="00ED5B31"/>
    <w:rsid w:val="00ED6D49"/>
    <w:rsid w:val="00ED70A9"/>
    <w:rsid w:val="00ED7973"/>
    <w:rsid w:val="00ED7E01"/>
    <w:rsid w:val="00ED7F16"/>
    <w:rsid w:val="00EE0ECB"/>
    <w:rsid w:val="00EE3530"/>
    <w:rsid w:val="00EE3B49"/>
    <w:rsid w:val="00EE3D17"/>
    <w:rsid w:val="00EE4C6A"/>
    <w:rsid w:val="00EE60C2"/>
    <w:rsid w:val="00EE6744"/>
    <w:rsid w:val="00EF0C00"/>
    <w:rsid w:val="00EF0E74"/>
    <w:rsid w:val="00EF1C09"/>
    <w:rsid w:val="00EF1DCA"/>
    <w:rsid w:val="00EF1E51"/>
    <w:rsid w:val="00EF25FE"/>
    <w:rsid w:val="00EF2CFF"/>
    <w:rsid w:val="00EF2E51"/>
    <w:rsid w:val="00EF4A45"/>
    <w:rsid w:val="00EF572C"/>
    <w:rsid w:val="00EF72F1"/>
    <w:rsid w:val="00EF73CC"/>
    <w:rsid w:val="00EF7515"/>
    <w:rsid w:val="00EF7671"/>
    <w:rsid w:val="00EF7AA0"/>
    <w:rsid w:val="00F00378"/>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405E"/>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360"/>
    <w:rsid w:val="00F42D4C"/>
    <w:rsid w:val="00F44FB4"/>
    <w:rsid w:val="00F4538B"/>
    <w:rsid w:val="00F45612"/>
    <w:rsid w:val="00F45735"/>
    <w:rsid w:val="00F45FFB"/>
    <w:rsid w:val="00F46DF9"/>
    <w:rsid w:val="00F473A1"/>
    <w:rsid w:val="00F51547"/>
    <w:rsid w:val="00F5353E"/>
    <w:rsid w:val="00F53987"/>
    <w:rsid w:val="00F575BD"/>
    <w:rsid w:val="00F57C50"/>
    <w:rsid w:val="00F6064F"/>
    <w:rsid w:val="00F6276D"/>
    <w:rsid w:val="00F627AF"/>
    <w:rsid w:val="00F63021"/>
    <w:rsid w:val="00F63B5C"/>
    <w:rsid w:val="00F64BC3"/>
    <w:rsid w:val="00F65A65"/>
    <w:rsid w:val="00F660FD"/>
    <w:rsid w:val="00F6611D"/>
    <w:rsid w:val="00F667FE"/>
    <w:rsid w:val="00F66AB5"/>
    <w:rsid w:val="00F67EA6"/>
    <w:rsid w:val="00F70737"/>
    <w:rsid w:val="00F714A2"/>
    <w:rsid w:val="00F71A88"/>
    <w:rsid w:val="00F71B3B"/>
    <w:rsid w:val="00F726BB"/>
    <w:rsid w:val="00F729A5"/>
    <w:rsid w:val="00F72A15"/>
    <w:rsid w:val="00F739C7"/>
    <w:rsid w:val="00F748E4"/>
    <w:rsid w:val="00F75348"/>
    <w:rsid w:val="00F7664A"/>
    <w:rsid w:val="00F767C6"/>
    <w:rsid w:val="00F77B50"/>
    <w:rsid w:val="00F804A5"/>
    <w:rsid w:val="00F813E9"/>
    <w:rsid w:val="00F81760"/>
    <w:rsid w:val="00F81E1F"/>
    <w:rsid w:val="00F828AF"/>
    <w:rsid w:val="00F82E40"/>
    <w:rsid w:val="00F830C4"/>
    <w:rsid w:val="00F834EE"/>
    <w:rsid w:val="00F83707"/>
    <w:rsid w:val="00F838C7"/>
    <w:rsid w:val="00F839C0"/>
    <w:rsid w:val="00F839C9"/>
    <w:rsid w:val="00F83DBB"/>
    <w:rsid w:val="00F83F2B"/>
    <w:rsid w:val="00F84EF9"/>
    <w:rsid w:val="00F854D0"/>
    <w:rsid w:val="00F859E1"/>
    <w:rsid w:val="00F85D54"/>
    <w:rsid w:val="00F86701"/>
    <w:rsid w:val="00F869C2"/>
    <w:rsid w:val="00F86A3C"/>
    <w:rsid w:val="00F86AAE"/>
    <w:rsid w:val="00F86E35"/>
    <w:rsid w:val="00F875C9"/>
    <w:rsid w:val="00F87903"/>
    <w:rsid w:val="00F90AC8"/>
    <w:rsid w:val="00F914F6"/>
    <w:rsid w:val="00F91583"/>
    <w:rsid w:val="00F91769"/>
    <w:rsid w:val="00F917A8"/>
    <w:rsid w:val="00F9285E"/>
    <w:rsid w:val="00F9313F"/>
    <w:rsid w:val="00F93834"/>
    <w:rsid w:val="00F94173"/>
    <w:rsid w:val="00F947BE"/>
    <w:rsid w:val="00F94F16"/>
    <w:rsid w:val="00F95352"/>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0EE6"/>
    <w:rsid w:val="00FB16E4"/>
    <w:rsid w:val="00FB1BCE"/>
    <w:rsid w:val="00FB1DC6"/>
    <w:rsid w:val="00FB1E59"/>
    <w:rsid w:val="00FB2717"/>
    <w:rsid w:val="00FB2D1D"/>
    <w:rsid w:val="00FB360D"/>
    <w:rsid w:val="00FB3E3D"/>
    <w:rsid w:val="00FB3ED0"/>
    <w:rsid w:val="00FB409C"/>
    <w:rsid w:val="00FB415A"/>
    <w:rsid w:val="00FB4758"/>
    <w:rsid w:val="00FB47D5"/>
    <w:rsid w:val="00FB4BAA"/>
    <w:rsid w:val="00FB5A44"/>
    <w:rsid w:val="00FB5AB4"/>
    <w:rsid w:val="00FB68A1"/>
    <w:rsid w:val="00FB7EE4"/>
    <w:rsid w:val="00FC05A0"/>
    <w:rsid w:val="00FC0BF3"/>
    <w:rsid w:val="00FC2116"/>
    <w:rsid w:val="00FC27F6"/>
    <w:rsid w:val="00FC303F"/>
    <w:rsid w:val="00FC4967"/>
    <w:rsid w:val="00FC55F5"/>
    <w:rsid w:val="00FC65AB"/>
    <w:rsid w:val="00FC7D59"/>
    <w:rsid w:val="00FD1180"/>
    <w:rsid w:val="00FD4DD0"/>
    <w:rsid w:val="00FD511C"/>
    <w:rsid w:val="00FD5212"/>
    <w:rsid w:val="00FD53BB"/>
    <w:rsid w:val="00FD73A0"/>
    <w:rsid w:val="00FD796D"/>
    <w:rsid w:val="00FD79AD"/>
    <w:rsid w:val="00FD7D7C"/>
    <w:rsid w:val="00FE0290"/>
    <w:rsid w:val="00FE2452"/>
    <w:rsid w:val="00FE2B09"/>
    <w:rsid w:val="00FE2E75"/>
    <w:rsid w:val="00FE3480"/>
    <w:rsid w:val="00FE3514"/>
    <w:rsid w:val="00FE3E43"/>
    <w:rsid w:val="00FE480D"/>
    <w:rsid w:val="00FE4BF8"/>
    <w:rsid w:val="00FE57A5"/>
    <w:rsid w:val="00FE7D6E"/>
    <w:rsid w:val="00FF0765"/>
    <w:rsid w:val="00FF0FA8"/>
    <w:rsid w:val="00FF1212"/>
    <w:rsid w:val="00FF1230"/>
    <w:rsid w:val="00FF12F4"/>
    <w:rsid w:val="00FF163C"/>
    <w:rsid w:val="00FF1EF3"/>
    <w:rsid w:val="00FF213C"/>
    <w:rsid w:val="00FF2D34"/>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Body Text"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link w:val="FooterChar"/>
    <w:uiPriority w:val="99"/>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customStyle="1" w:styleId="Default">
    <w:name w:val="Default"/>
    <w:rsid w:val="0071343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1343D"/>
    <w:rPr>
      <w:rFonts w:ascii="Arial" w:hAnsi="Arial"/>
      <w:sz w:val="18"/>
      <w:szCs w:val="18"/>
    </w:rPr>
  </w:style>
  <w:style w:type="paragraph" w:styleId="ListParagraph">
    <w:name w:val="List Paragraph"/>
    <w:basedOn w:val="Normal"/>
    <w:uiPriority w:val="34"/>
    <w:qFormat/>
    <w:rsid w:val="00DF1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Body Text"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link w:val="FooterChar"/>
    <w:uiPriority w:val="99"/>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customStyle="1" w:styleId="Default">
    <w:name w:val="Default"/>
    <w:rsid w:val="0071343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1343D"/>
    <w:rPr>
      <w:rFonts w:ascii="Arial" w:hAnsi="Arial"/>
      <w:sz w:val="18"/>
      <w:szCs w:val="18"/>
    </w:rPr>
  </w:style>
  <w:style w:type="paragraph" w:styleId="ListParagraph">
    <w:name w:val="List Paragraph"/>
    <w:basedOn w:val="Normal"/>
    <w:uiPriority w:val="34"/>
    <w:qFormat/>
    <w:rsid w:val="00DF1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2706">
      <w:bodyDiv w:val="1"/>
      <w:marLeft w:val="0"/>
      <w:marRight w:val="0"/>
      <w:marTop w:val="0"/>
      <w:marBottom w:val="0"/>
      <w:divBdr>
        <w:top w:val="none" w:sz="0" w:space="0" w:color="auto"/>
        <w:left w:val="none" w:sz="0" w:space="0" w:color="auto"/>
        <w:bottom w:val="none" w:sz="0" w:space="0" w:color="auto"/>
        <w:right w:val="none" w:sz="0" w:space="0" w:color="auto"/>
      </w:divBdr>
    </w:div>
    <w:div w:id="378864508">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707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ynette.safranek@oberon.nsw.gov.au" TargetMode="Externa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6984-F436-487B-982D-0C1E5470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170</TotalTime>
  <Pages>18</Pages>
  <Words>5842</Words>
  <Characters>32237</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38003</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LSafranek.occ</cp:lastModifiedBy>
  <cp:revision>40</cp:revision>
  <cp:lastPrinted>2015-02-17T04:09:00Z</cp:lastPrinted>
  <dcterms:created xsi:type="dcterms:W3CDTF">2015-02-10T18:28:00Z</dcterms:created>
  <dcterms:modified xsi:type="dcterms:W3CDTF">2015-02-17T04:10:00Z</dcterms:modified>
</cp:coreProperties>
</file>